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spacing w:before="120" w:beforeLines="50" w:line="360" w:lineRule="auto"/>
        <w:rPr>
          <w:b/>
          <w:bCs/>
          <w:sz w:val="40"/>
          <w:szCs w:val="40"/>
        </w:rPr>
      </w:pPr>
      <w:bookmarkStart w:id="0" w:name="_Toc578"/>
      <w:bookmarkStart w:id="1" w:name="_Toc5725"/>
      <w:bookmarkStart w:id="2" w:name="_Toc6478"/>
      <w:bookmarkStart w:id="3" w:name="_Toc8252"/>
      <w:bookmarkStart w:id="544" w:name="_GoBack"/>
      <w:bookmarkEnd w:id="544"/>
      <w:r>
        <w:rPr>
          <w:rFonts w:hint="eastAsia"/>
          <w:b/>
          <w:bCs/>
          <w:sz w:val="40"/>
          <w:szCs w:val="40"/>
        </w:rPr>
        <w:t xml:space="preserve">项目编号：510101202100937 </w:t>
      </w:r>
    </w:p>
    <w:p>
      <w:pPr>
        <w:pStyle w:val="30"/>
        <w:spacing w:line="360" w:lineRule="auto"/>
        <w:rPr>
          <w:b/>
          <w:bCs/>
          <w:sz w:val="40"/>
          <w:szCs w:val="40"/>
        </w:rPr>
      </w:pPr>
      <w:r>
        <w:rPr>
          <w:rFonts w:hint="eastAsia"/>
          <w:b/>
          <w:bCs/>
          <w:sz w:val="40"/>
          <w:szCs w:val="40"/>
        </w:rPr>
        <w:t>内部编号：ZCQXZB-2021-0445S</w:t>
      </w:r>
    </w:p>
    <w:p>
      <w:pPr>
        <w:pStyle w:val="30"/>
        <w:spacing w:line="360" w:lineRule="auto"/>
        <w:rPr>
          <w:b/>
          <w:bCs/>
          <w:sz w:val="40"/>
          <w:szCs w:val="40"/>
        </w:rPr>
      </w:pPr>
      <w:r>
        <w:rPr>
          <w:rFonts w:hint="eastAsia"/>
          <w:b/>
          <w:bCs/>
          <w:sz w:val="40"/>
          <w:szCs w:val="40"/>
        </w:rPr>
        <w:t xml:space="preserve">项目名称：成都市规划和自然资源局“乡村振兴”规划项目 </w:t>
      </w:r>
    </w:p>
    <w:p>
      <w:pPr>
        <w:pStyle w:val="30"/>
        <w:wordWrap w:val="0"/>
        <w:topLinePunct/>
        <w:spacing w:before="3360" w:beforeLines="1400" w:after="3360" w:afterLines="1400" w:line="240" w:lineRule="auto"/>
        <w:jc w:val="center"/>
        <w:rPr>
          <w:b/>
          <w:bCs/>
          <w:sz w:val="96"/>
          <w:szCs w:val="96"/>
        </w:rPr>
      </w:pPr>
      <w:r>
        <w:rPr>
          <w:rFonts w:hint="eastAsia" w:asciiTheme="minorEastAsia" w:hAnsiTheme="minorEastAsia" w:eastAsiaTheme="minorEastAsia" w:cstheme="minorEastAsia"/>
          <w:b/>
          <w:color w:val="000000"/>
          <w:sz w:val="96"/>
          <w:szCs w:val="96"/>
        </w:rPr>
        <w:t>竞争性磋商文件</w:t>
      </w:r>
    </w:p>
    <w:p>
      <w:pPr>
        <w:pStyle w:val="30"/>
        <w:spacing w:line="360" w:lineRule="auto"/>
        <w:jc w:val="center"/>
        <w:rPr>
          <w:b/>
          <w:bCs/>
          <w:sz w:val="28"/>
          <w:szCs w:val="28"/>
        </w:rPr>
      </w:pPr>
      <w:r>
        <w:rPr>
          <w:rFonts w:hint="eastAsia"/>
          <w:b/>
          <w:bCs/>
          <w:sz w:val="28"/>
          <w:szCs w:val="28"/>
        </w:rPr>
        <w:t>中国·四川</w:t>
      </w:r>
    </w:p>
    <w:p>
      <w:pPr>
        <w:pStyle w:val="30"/>
        <w:spacing w:line="360" w:lineRule="auto"/>
        <w:ind w:left="2400" w:leftChars="1000"/>
        <w:rPr>
          <w:b/>
          <w:bCs/>
          <w:sz w:val="28"/>
          <w:szCs w:val="28"/>
        </w:rPr>
      </w:pPr>
      <w:r>
        <w:rPr>
          <w:rFonts w:hint="eastAsia"/>
          <w:b/>
          <w:bCs/>
          <w:sz w:val="28"/>
          <w:szCs w:val="28"/>
        </w:rPr>
        <w:t xml:space="preserve">采   购   人：成都市规划和自然资源局         </w:t>
      </w:r>
    </w:p>
    <w:p>
      <w:pPr>
        <w:pStyle w:val="30"/>
        <w:spacing w:line="360" w:lineRule="auto"/>
        <w:ind w:left="2400" w:leftChars="1000"/>
        <w:rPr>
          <w:b/>
          <w:bCs/>
          <w:sz w:val="28"/>
          <w:szCs w:val="28"/>
        </w:rPr>
      </w:pPr>
      <w:r>
        <w:rPr>
          <w:rFonts w:hint="eastAsia"/>
          <w:b/>
          <w:bCs/>
          <w:sz w:val="28"/>
          <w:szCs w:val="28"/>
        </w:rPr>
        <w:t>采购代理机构：四川乾新招投标代理有限公司</w:t>
      </w:r>
    </w:p>
    <w:p>
      <w:pPr>
        <w:pStyle w:val="30"/>
        <w:spacing w:line="360" w:lineRule="auto"/>
        <w:ind w:left="2400" w:leftChars="1000"/>
        <w:rPr>
          <w:b/>
          <w:bCs/>
          <w:sz w:val="28"/>
          <w:szCs w:val="28"/>
        </w:rPr>
      </w:pPr>
      <w:r>
        <w:rPr>
          <w:rFonts w:hint="eastAsia"/>
          <w:b/>
          <w:bCs/>
          <w:sz w:val="28"/>
          <w:szCs w:val="28"/>
        </w:rPr>
        <w:t>文  件 编 制：由采购人和采购代理机构共同编制</w:t>
      </w:r>
    </w:p>
    <w:p>
      <w:pPr>
        <w:pStyle w:val="30"/>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2021年8月</w:t>
      </w:r>
    </w:p>
    <w:p>
      <w:pPr>
        <w:pStyle w:val="30"/>
        <w:spacing w:line="240" w:lineRule="auto"/>
        <w:jc w:val="center"/>
        <w:rPr>
          <w:b/>
          <w:bCs/>
          <w:sz w:val="40"/>
          <w:szCs w:val="40"/>
        </w:rPr>
      </w:pPr>
      <w:bookmarkStart w:id="4" w:name="_Toc452473646"/>
      <w:bookmarkStart w:id="5" w:name="_Toc502651262"/>
      <w:bookmarkStart w:id="6" w:name="_Toc373139265"/>
      <w:bookmarkStart w:id="7" w:name="_Toc371958974"/>
      <w:bookmarkStart w:id="8" w:name="_Toc372620750"/>
      <w:bookmarkStart w:id="9" w:name="_Toc336690878"/>
      <w:r>
        <w:rPr>
          <w:rFonts w:hint="eastAsia"/>
          <w:b/>
          <w:bCs/>
          <w:sz w:val="40"/>
          <w:szCs w:val="40"/>
        </w:rPr>
        <w:t>政府采购阳光宣言</w:t>
      </w:r>
      <w:bookmarkEnd w:id="4"/>
      <w:bookmarkEnd w:id="5"/>
    </w:p>
    <w:p>
      <w:pPr>
        <w:pStyle w:val="30"/>
        <w:ind w:firstLine="480" w:firstLineChars="200"/>
      </w:pPr>
      <w:r>
        <w:rPr>
          <w:rFonts w:hint="eastAsia"/>
        </w:rPr>
        <w:t>四川乾新践行公平竞争、诚信的核心价值观，诚信于股东、诚信于服务对象、诚信于员工、诚信于社会。</w:t>
      </w:r>
    </w:p>
    <w:p>
      <w:pPr>
        <w:pStyle w:val="30"/>
        <w:ind w:firstLine="480" w:firstLineChars="200"/>
      </w:pPr>
      <w:r>
        <w:rPr>
          <w:rFonts w:hint="eastAsia"/>
        </w:rPr>
        <w:t>四川乾新全体员工严格遵守《乾新十戒》和《员工廉洁从业规定》，遵纪守法，强化自律，廉洁从业，规范经营。</w:t>
      </w:r>
    </w:p>
    <w:p>
      <w:pPr>
        <w:pStyle w:val="30"/>
        <w:ind w:firstLine="480" w:firstLineChars="200"/>
      </w:pPr>
      <w:r>
        <w:rPr>
          <w:rFonts w:hint="eastAsia"/>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30"/>
        <w:ind w:firstLine="480" w:firstLineChars="200"/>
      </w:pPr>
      <w:r>
        <w:rPr>
          <w:rFonts w:hint="eastAsia"/>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2"/>
        <w:ind w:firstLine="480"/>
      </w:pPr>
      <w:r>
        <w:rPr>
          <w:rFonts w:hint="eastAsia"/>
        </w:rPr>
        <w:t>四川乾新不以向采购人及其亲属提供任何个人利益的方式谋求合作关系；</w:t>
      </w:r>
    </w:p>
    <w:p>
      <w:pPr>
        <w:pStyle w:val="32"/>
        <w:ind w:firstLine="480"/>
      </w:pPr>
      <w:r>
        <w:rPr>
          <w:rFonts w:hint="eastAsia"/>
        </w:rPr>
        <w:t xml:space="preserve">四川乾新不迷信任何实际存在的或虚构的所谓关系； </w:t>
      </w:r>
    </w:p>
    <w:p>
      <w:pPr>
        <w:pStyle w:val="32"/>
        <w:ind w:firstLine="480"/>
      </w:pPr>
      <w:r>
        <w:rPr>
          <w:rFonts w:hint="eastAsia"/>
        </w:rPr>
        <w:t>四川乾新不采取恶性竞争等不正当手段竞争业务；</w:t>
      </w:r>
    </w:p>
    <w:p>
      <w:pPr>
        <w:pStyle w:val="32"/>
        <w:ind w:firstLine="480"/>
      </w:pPr>
      <w:r>
        <w:rPr>
          <w:rFonts w:hint="eastAsia"/>
        </w:rPr>
        <w:t>四川乾新不向采购人提供好处费、回扣、现金及有价证券、支付凭证、贵重礼物；</w:t>
      </w:r>
    </w:p>
    <w:p>
      <w:pPr>
        <w:pStyle w:val="32"/>
        <w:ind w:firstLine="480"/>
      </w:pPr>
      <w:r>
        <w:rPr>
          <w:rFonts w:hint="eastAsia"/>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2"/>
        <w:ind w:firstLine="480"/>
      </w:pPr>
      <w:r>
        <w:rPr>
          <w:rFonts w:hint="eastAsia"/>
        </w:rPr>
        <w:t>供应商在参与项目时公平竞争，充分发挥市场主体作用，降低采购成本，节约采购资金；</w:t>
      </w:r>
    </w:p>
    <w:p>
      <w:pPr>
        <w:pStyle w:val="32"/>
        <w:ind w:firstLine="480"/>
      </w:pPr>
      <w:r>
        <w:rPr>
          <w:rFonts w:hint="eastAsia"/>
        </w:rPr>
        <w:t>四川乾新不与采购人、供应商串通投标；</w:t>
      </w:r>
    </w:p>
    <w:p>
      <w:pPr>
        <w:pStyle w:val="32"/>
        <w:ind w:firstLine="480"/>
      </w:pPr>
      <w:r>
        <w:rPr>
          <w:rFonts w:hint="eastAsia"/>
        </w:rPr>
        <w:t>四川乾新、采购人不与供应商就标底、其他单位的投标书等商业秘密及合同中的质量、价格、验收等条款进行私下商谈或者达成默契；</w:t>
      </w:r>
    </w:p>
    <w:p>
      <w:pPr>
        <w:pStyle w:val="32"/>
        <w:ind w:firstLine="480"/>
      </w:pPr>
      <w:r>
        <w:rPr>
          <w:rFonts w:hint="eastAsia"/>
        </w:rPr>
        <w:t>四川乾新坚决杜绝以下行为：①乾新员工有行贿倾向、建议等行为；②乾新员工有索贿、受贿等行为。</w:t>
      </w:r>
    </w:p>
    <w:p>
      <w:pPr>
        <w:pStyle w:val="30"/>
        <w:ind w:firstLine="480" w:firstLineChars="200"/>
      </w:pPr>
      <w:r>
        <w:rPr>
          <w:rFonts w:hint="eastAsia"/>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公开、公平、公正、诚实信用、讲求绩效的政采营商环境，共同推动政府采购行业健康发展。 </w:t>
      </w:r>
    </w:p>
    <w:p>
      <w:pPr>
        <w:pStyle w:val="30"/>
        <w:ind w:firstLine="480" w:firstLineChars="200"/>
      </w:pPr>
      <w:r>
        <w:rPr>
          <w:rFonts w:hint="eastAsia"/>
        </w:rPr>
        <w:t>监察部投诉及举报邮箱：scqxzb_shl@163.com</w:t>
      </w:r>
    </w:p>
    <w:p>
      <w:pPr>
        <w:pStyle w:val="30"/>
        <w:ind w:firstLine="480" w:firstLineChars="200"/>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rPr>
        <w:t>监察部投诉及举报电话：028-62630990</w:t>
      </w:r>
      <w:bookmarkEnd w:id="6"/>
      <w:bookmarkEnd w:id="7"/>
      <w:bookmarkEnd w:id="8"/>
      <w:bookmarkEnd w:id="9"/>
    </w:p>
    <w:p>
      <w:pPr>
        <w:pStyle w:val="30"/>
        <w:jc w:val="center"/>
      </w:pPr>
      <w:r>
        <w:rPr>
          <w:rFonts w:hint="eastAsia"/>
        </w:rPr>
        <w:t>目  录</w:t>
      </w:r>
      <w:bookmarkEnd w:id="0"/>
      <w:bookmarkEnd w:id="1"/>
    </w:p>
    <w:p>
      <w:pPr>
        <w:pStyle w:val="17"/>
        <w:tabs>
          <w:tab w:val="clear" w:pos="0"/>
        </w:tabs>
      </w:pPr>
      <w:bookmarkStart w:id="10" w:name="_Toc26242"/>
      <w:bookmarkStart w:id="11" w:name="_Toc28748"/>
      <w:bookmarkStart w:id="12" w:name="_Toc15794"/>
      <w:r>
        <w:fldChar w:fldCharType="begin"/>
      </w:r>
      <w:r>
        <w:instrText xml:space="preserve">TOC \o "1-3" \h \u </w:instrText>
      </w:r>
      <w:r>
        <w:fldChar w:fldCharType="separate"/>
      </w:r>
      <w:r>
        <w:fldChar w:fldCharType="begin"/>
      </w:r>
      <w:r>
        <w:instrText xml:space="preserve"> HYPERLINK \l _Toc13876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_Toc13876 \h </w:instrText>
      </w:r>
      <w:r>
        <w:fldChar w:fldCharType="separate"/>
      </w:r>
      <w:r>
        <w:t>5</w:t>
      </w:r>
      <w:r>
        <w:fldChar w:fldCharType="end"/>
      </w:r>
      <w:r>
        <w:fldChar w:fldCharType="end"/>
      </w:r>
    </w:p>
    <w:p>
      <w:pPr>
        <w:pStyle w:val="17"/>
        <w:tabs>
          <w:tab w:val="clear" w:pos="0"/>
        </w:tabs>
      </w:pPr>
      <w:r>
        <w:fldChar w:fldCharType="begin"/>
      </w:r>
      <w:r>
        <w:instrText xml:space="preserve"> HYPERLINK \l _Toc32306 </w:instrText>
      </w:r>
      <w: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_Toc32306 \h </w:instrText>
      </w:r>
      <w:r>
        <w:fldChar w:fldCharType="separate"/>
      </w:r>
      <w:r>
        <w:t>8</w:t>
      </w:r>
      <w:r>
        <w:fldChar w:fldCharType="end"/>
      </w:r>
      <w:r>
        <w:fldChar w:fldCharType="end"/>
      </w:r>
    </w:p>
    <w:p>
      <w:pPr>
        <w:pStyle w:val="18"/>
        <w:tabs>
          <w:tab w:val="right" w:leader="dot" w:pos="9746"/>
          <w:tab w:val="clear" w:pos="0"/>
        </w:tabs>
      </w:pPr>
      <w:r>
        <w:fldChar w:fldCharType="begin"/>
      </w:r>
      <w:r>
        <w:instrText xml:space="preserve"> HYPERLINK \l _Toc11065 </w:instrText>
      </w:r>
      <w:r>
        <w:fldChar w:fldCharType="separate"/>
      </w:r>
      <w:r>
        <w:rPr>
          <w:rFonts w:hint="eastAsia" w:ascii="宋体" w:hAnsi="宋体" w:eastAsia="宋体" w:cs="宋体"/>
          <w:szCs w:val="36"/>
        </w:rPr>
        <w:t xml:space="preserve">一、 </w:t>
      </w:r>
      <w:r>
        <w:rPr>
          <w:rFonts w:hint="eastAsia"/>
          <w:szCs w:val="36"/>
        </w:rPr>
        <w:t>磋商须知前附表</w:t>
      </w:r>
      <w:r>
        <w:tab/>
      </w:r>
      <w:r>
        <w:fldChar w:fldCharType="begin"/>
      </w:r>
      <w:r>
        <w:instrText xml:space="preserve"> PAGEREF _Toc11065 \h </w:instrText>
      </w:r>
      <w:r>
        <w:fldChar w:fldCharType="separate"/>
      </w:r>
      <w:r>
        <w:t>8</w:t>
      </w:r>
      <w:r>
        <w:fldChar w:fldCharType="end"/>
      </w:r>
      <w:r>
        <w:fldChar w:fldCharType="end"/>
      </w:r>
    </w:p>
    <w:p>
      <w:pPr>
        <w:pStyle w:val="18"/>
        <w:tabs>
          <w:tab w:val="right" w:leader="dot" w:pos="9746"/>
          <w:tab w:val="clear" w:pos="0"/>
        </w:tabs>
      </w:pPr>
      <w:r>
        <w:fldChar w:fldCharType="begin"/>
      </w:r>
      <w:r>
        <w:instrText xml:space="preserve"> HYPERLINK \l _Toc6798 </w:instrText>
      </w:r>
      <w:r>
        <w:fldChar w:fldCharType="separate"/>
      </w:r>
      <w:r>
        <w:rPr>
          <w:rFonts w:hint="eastAsia" w:ascii="宋体" w:hAnsi="宋体" w:eastAsia="宋体" w:cs="宋体"/>
          <w:szCs w:val="36"/>
        </w:rPr>
        <w:t xml:space="preserve">二、 </w:t>
      </w:r>
      <w:r>
        <w:rPr>
          <w:rFonts w:hint="eastAsia"/>
          <w:szCs w:val="36"/>
        </w:rPr>
        <w:t>总则</w:t>
      </w:r>
      <w:r>
        <w:tab/>
      </w:r>
      <w:r>
        <w:fldChar w:fldCharType="begin"/>
      </w:r>
      <w:r>
        <w:instrText xml:space="preserve"> PAGEREF _Toc6798 \h </w:instrText>
      </w:r>
      <w:r>
        <w:fldChar w:fldCharType="separate"/>
      </w:r>
      <w:r>
        <w:t>14</w:t>
      </w:r>
      <w:r>
        <w:fldChar w:fldCharType="end"/>
      </w:r>
      <w:r>
        <w:fldChar w:fldCharType="end"/>
      </w:r>
    </w:p>
    <w:p>
      <w:pPr>
        <w:pStyle w:val="18"/>
        <w:tabs>
          <w:tab w:val="right" w:leader="dot" w:pos="9746"/>
          <w:tab w:val="clear" w:pos="0"/>
        </w:tabs>
      </w:pPr>
      <w:r>
        <w:fldChar w:fldCharType="begin"/>
      </w:r>
      <w:r>
        <w:instrText xml:space="preserve"> HYPERLINK \l _Toc6405 </w:instrText>
      </w:r>
      <w:r>
        <w:fldChar w:fldCharType="separate"/>
      </w:r>
      <w:r>
        <w:rPr>
          <w:rFonts w:hint="eastAsia" w:ascii="宋体" w:hAnsi="宋体" w:eastAsia="宋体" w:cs="宋体"/>
          <w:szCs w:val="36"/>
        </w:rPr>
        <w:t xml:space="preserve">三、 </w:t>
      </w:r>
      <w:r>
        <w:rPr>
          <w:rFonts w:hint="eastAsia"/>
          <w:szCs w:val="36"/>
        </w:rPr>
        <w:t>竞争性磋商文件</w:t>
      </w:r>
      <w:r>
        <w:tab/>
      </w:r>
      <w:r>
        <w:fldChar w:fldCharType="begin"/>
      </w:r>
      <w:r>
        <w:instrText xml:space="preserve"> PAGEREF _Toc6405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_Toc26921 </w:instrText>
      </w:r>
      <w:r>
        <w:fldChar w:fldCharType="separate"/>
      </w:r>
      <w:r>
        <w:rPr>
          <w:rFonts w:hint="eastAsia" w:ascii="宋体" w:hAnsi="宋体" w:eastAsia="宋体" w:cs="宋体"/>
        </w:rPr>
        <w:t xml:space="preserve">(一) </w:t>
      </w:r>
      <w:r>
        <w:rPr>
          <w:rFonts w:hint="eastAsia"/>
        </w:rPr>
        <w:t>竞争性磋商文件的构成(实质性要求)</w:t>
      </w:r>
      <w:r>
        <w:tab/>
      </w:r>
      <w:r>
        <w:fldChar w:fldCharType="begin"/>
      </w:r>
      <w:r>
        <w:instrText xml:space="preserve"> PAGEREF _Toc26921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_Toc17234 </w:instrText>
      </w:r>
      <w:r>
        <w:fldChar w:fldCharType="separate"/>
      </w:r>
      <w:r>
        <w:rPr>
          <w:rFonts w:hint="eastAsia" w:ascii="宋体" w:hAnsi="宋体" w:eastAsia="宋体" w:cs="宋体"/>
        </w:rPr>
        <w:t xml:space="preserve">(二) </w:t>
      </w:r>
      <w:r>
        <w:rPr>
          <w:rFonts w:hint="eastAsia"/>
        </w:rPr>
        <w:t>竞争性磋商文件包含内容</w:t>
      </w:r>
      <w:r>
        <w:tab/>
      </w:r>
      <w:r>
        <w:fldChar w:fldCharType="begin"/>
      </w:r>
      <w:r>
        <w:instrText xml:space="preserve"> PAGEREF _Toc17234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_Toc3469 </w:instrText>
      </w:r>
      <w:r>
        <w:fldChar w:fldCharType="separate"/>
      </w:r>
      <w:r>
        <w:rPr>
          <w:rFonts w:hint="eastAsia" w:ascii="宋体" w:hAnsi="宋体" w:eastAsia="宋体" w:cs="宋体"/>
        </w:rPr>
        <w:t xml:space="preserve">(三) </w:t>
      </w:r>
      <w:r>
        <w:rPr>
          <w:rFonts w:hint="eastAsia"/>
        </w:rPr>
        <w:t>竞争性磋商文件的澄清和修改</w:t>
      </w:r>
      <w:r>
        <w:tab/>
      </w:r>
      <w:r>
        <w:fldChar w:fldCharType="begin"/>
      </w:r>
      <w:r>
        <w:instrText xml:space="preserve"> PAGEREF _Toc3469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_Toc15210 </w:instrText>
      </w:r>
      <w:r>
        <w:fldChar w:fldCharType="separate"/>
      </w:r>
      <w:r>
        <w:rPr>
          <w:rFonts w:hint="eastAsia" w:ascii="宋体" w:hAnsi="宋体" w:eastAsia="宋体" w:cs="宋体"/>
        </w:rPr>
        <w:t xml:space="preserve">(四) </w:t>
      </w:r>
      <w:r>
        <w:rPr>
          <w:rFonts w:hint="eastAsia"/>
        </w:rPr>
        <w:t>实质性变动</w:t>
      </w:r>
      <w:r>
        <w:tab/>
      </w:r>
      <w:r>
        <w:fldChar w:fldCharType="begin"/>
      </w:r>
      <w:r>
        <w:instrText xml:space="preserve"> PAGEREF _Toc15210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_Toc2071 </w:instrText>
      </w:r>
      <w:r>
        <w:fldChar w:fldCharType="separate"/>
      </w:r>
      <w:r>
        <w:rPr>
          <w:rFonts w:hint="eastAsia" w:ascii="宋体" w:hAnsi="宋体" w:eastAsia="宋体" w:cs="宋体"/>
        </w:rPr>
        <w:t xml:space="preserve">(五) </w:t>
      </w:r>
      <w:r>
        <w:rPr>
          <w:rFonts w:hint="eastAsia"/>
        </w:rPr>
        <w:t>答疑会和现场考察</w:t>
      </w:r>
      <w:r>
        <w:tab/>
      </w:r>
      <w:r>
        <w:fldChar w:fldCharType="begin"/>
      </w:r>
      <w:r>
        <w:instrText xml:space="preserve"> PAGEREF _Toc2071 \h </w:instrText>
      </w:r>
      <w:r>
        <w:fldChar w:fldCharType="separate"/>
      </w:r>
      <w:r>
        <w:t>17</w:t>
      </w:r>
      <w:r>
        <w:fldChar w:fldCharType="end"/>
      </w:r>
      <w:r>
        <w:fldChar w:fldCharType="end"/>
      </w:r>
    </w:p>
    <w:p>
      <w:pPr>
        <w:pStyle w:val="18"/>
        <w:tabs>
          <w:tab w:val="right" w:leader="dot" w:pos="9746"/>
          <w:tab w:val="clear" w:pos="0"/>
        </w:tabs>
      </w:pPr>
      <w:r>
        <w:fldChar w:fldCharType="begin"/>
      </w:r>
      <w:r>
        <w:instrText xml:space="preserve"> HYPERLINK \l _Toc27504 </w:instrText>
      </w:r>
      <w:r>
        <w:fldChar w:fldCharType="separate"/>
      </w:r>
      <w:r>
        <w:rPr>
          <w:rFonts w:hint="eastAsia" w:ascii="宋体" w:hAnsi="宋体" w:eastAsia="宋体" w:cs="宋体"/>
          <w:szCs w:val="36"/>
        </w:rPr>
        <w:t xml:space="preserve">四、 </w:t>
      </w:r>
      <w:r>
        <w:rPr>
          <w:rFonts w:hint="eastAsia"/>
          <w:szCs w:val="36"/>
        </w:rPr>
        <w:t>响应文件</w:t>
      </w:r>
      <w:r>
        <w:tab/>
      </w:r>
      <w:r>
        <w:fldChar w:fldCharType="begin"/>
      </w:r>
      <w:r>
        <w:instrText xml:space="preserve"> PAGEREF _Toc27504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_Toc16566 </w:instrText>
      </w:r>
      <w:r>
        <w:fldChar w:fldCharType="separate"/>
      </w:r>
      <w:r>
        <w:rPr>
          <w:rFonts w:hint="eastAsia" w:ascii="宋体" w:hAnsi="宋体" w:eastAsia="宋体" w:cs="宋体"/>
        </w:rPr>
        <w:t xml:space="preserve">(一) </w:t>
      </w:r>
      <w:r>
        <w:rPr>
          <w:rFonts w:hint="eastAsia"/>
        </w:rPr>
        <w:t>响应文件的语言(实质性要求)</w:t>
      </w:r>
      <w:r>
        <w:tab/>
      </w:r>
      <w:r>
        <w:fldChar w:fldCharType="begin"/>
      </w:r>
      <w:r>
        <w:instrText xml:space="preserve"> PAGEREF _Toc16566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_Toc28835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_Toc28835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_Toc2185 </w:instrText>
      </w:r>
      <w:r>
        <w:fldChar w:fldCharType="separate"/>
      </w:r>
      <w:r>
        <w:rPr>
          <w:rFonts w:hint="eastAsia" w:ascii="宋体" w:hAnsi="宋体" w:eastAsia="宋体" w:cs="宋体"/>
        </w:rPr>
        <w:t xml:space="preserve">(三) </w:t>
      </w:r>
      <w:r>
        <w:rPr>
          <w:rFonts w:hint="eastAsia"/>
        </w:rPr>
        <w:t>知识产权(实质性要求)</w:t>
      </w:r>
      <w:r>
        <w:tab/>
      </w:r>
      <w:r>
        <w:fldChar w:fldCharType="begin"/>
      </w:r>
      <w:r>
        <w:instrText xml:space="preserve"> PAGEREF _Toc2185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_Toc25857 </w:instrText>
      </w:r>
      <w:r>
        <w:fldChar w:fldCharType="separate"/>
      </w:r>
      <w:r>
        <w:rPr>
          <w:rFonts w:hint="eastAsia" w:ascii="宋体" w:hAnsi="宋体" w:eastAsia="宋体" w:cs="宋体"/>
        </w:rPr>
        <w:t xml:space="preserve">(四) </w:t>
      </w:r>
      <w:r>
        <w:rPr>
          <w:rFonts w:hint="eastAsia"/>
        </w:rPr>
        <w:t>响应文件格式要求</w:t>
      </w:r>
      <w:r>
        <w:tab/>
      </w:r>
      <w:r>
        <w:fldChar w:fldCharType="begin"/>
      </w:r>
      <w:r>
        <w:instrText xml:space="preserve"> PAGEREF _Toc25857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_Toc20880 </w:instrText>
      </w:r>
      <w:r>
        <w:fldChar w:fldCharType="separate"/>
      </w:r>
      <w:r>
        <w:rPr>
          <w:rFonts w:hint="eastAsia" w:ascii="宋体" w:hAnsi="宋体" w:eastAsia="宋体" w:cs="宋体"/>
        </w:rPr>
        <w:t xml:space="preserve">(五) </w:t>
      </w:r>
      <w:r>
        <w:rPr>
          <w:rFonts w:hint="eastAsia"/>
        </w:rPr>
        <w:t>磋商有效期(实质性要求)</w:t>
      </w:r>
      <w:r>
        <w:tab/>
      </w:r>
      <w:r>
        <w:fldChar w:fldCharType="begin"/>
      </w:r>
      <w:r>
        <w:instrText xml:space="preserve"> PAGEREF _Toc20880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_Toc31409 </w:instrText>
      </w:r>
      <w:r>
        <w:fldChar w:fldCharType="separate"/>
      </w:r>
      <w:r>
        <w:rPr>
          <w:rFonts w:hint="eastAsia" w:ascii="宋体" w:hAnsi="宋体" w:eastAsia="宋体" w:cs="宋体"/>
        </w:rPr>
        <w:t xml:space="preserve">(六) </w:t>
      </w:r>
      <w:r>
        <w:rPr>
          <w:rFonts w:hint="eastAsia"/>
        </w:rPr>
        <w:t>联合体磋商</w:t>
      </w:r>
      <w:r>
        <w:rPr>
          <w:rFonts w:hint="eastAsia"/>
          <w:lang w:val="zh-CN"/>
        </w:rPr>
        <w:t>(实质性要求)</w:t>
      </w:r>
      <w:r>
        <w:tab/>
      </w:r>
      <w:r>
        <w:fldChar w:fldCharType="begin"/>
      </w:r>
      <w:r>
        <w:instrText xml:space="preserve"> PAGEREF _Toc31409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_Toc5327 </w:instrText>
      </w:r>
      <w:r>
        <w:fldChar w:fldCharType="separate"/>
      </w:r>
      <w:r>
        <w:rPr>
          <w:rFonts w:hint="eastAsia" w:ascii="宋体" w:hAnsi="宋体" w:eastAsia="宋体" w:cs="宋体"/>
        </w:rPr>
        <w:t xml:space="preserve">(七) </w:t>
      </w:r>
      <w:r>
        <w:rPr>
          <w:rFonts w:hint="eastAsia"/>
        </w:rPr>
        <w:t>响应文件组成(实质性要求)</w:t>
      </w:r>
      <w:r>
        <w:tab/>
      </w:r>
      <w:r>
        <w:fldChar w:fldCharType="begin"/>
      </w:r>
      <w:r>
        <w:instrText xml:space="preserve"> PAGEREF _Toc5327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_Toc8227 </w:instrText>
      </w:r>
      <w:r>
        <w:fldChar w:fldCharType="separate"/>
      </w:r>
      <w:r>
        <w:rPr>
          <w:rFonts w:hint="eastAsia" w:ascii="宋体" w:hAnsi="宋体" w:eastAsia="宋体" w:cs="宋体"/>
        </w:rPr>
        <w:t xml:space="preserve">(八) </w:t>
      </w:r>
      <w:r>
        <w:rPr>
          <w:rFonts w:hint="eastAsia"/>
        </w:rPr>
        <w:t>报价要求(实质性要求)</w:t>
      </w:r>
      <w:r>
        <w:tab/>
      </w:r>
      <w:r>
        <w:fldChar w:fldCharType="begin"/>
      </w:r>
      <w:r>
        <w:instrText xml:space="preserve"> PAGEREF _Toc8227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_Toc25231 </w:instrText>
      </w:r>
      <w:r>
        <w:fldChar w:fldCharType="separate"/>
      </w:r>
      <w:r>
        <w:rPr>
          <w:rFonts w:hint="eastAsia" w:ascii="宋体" w:hAnsi="宋体" w:eastAsia="宋体" w:cs="宋体"/>
        </w:rPr>
        <w:t xml:space="preserve">(九) </w:t>
      </w:r>
      <w:r>
        <w:rPr>
          <w:rFonts w:hint="eastAsia"/>
        </w:rPr>
        <w:t>响应文件编制要求</w:t>
      </w:r>
      <w:r>
        <w:tab/>
      </w:r>
      <w:r>
        <w:fldChar w:fldCharType="begin"/>
      </w:r>
      <w:r>
        <w:instrText xml:space="preserve"> PAGEREF _Toc25231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_Toc22981 </w:instrText>
      </w:r>
      <w:r>
        <w:fldChar w:fldCharType="separate"/>
      </w:r>
      <w:r>
        <w:rPr>
          <w:rFonts w:hint="eastAsia" w:ascii="宋体" w:hAnsi="宋体" w:eastAsia="宋体" w:cs="宋体"/>
        </w:rPr>
        <w:t xml:space="preserve">(十) </w:t>
      </w:r>
      <w:r>
        <w:rPr>
          <w:rFonts w:hint="eastAsia"/>
        </w:rPr>
        <w:t>响应文件的密封和标注</w:t>
      </w:r>
      <w:r>
        <w:tab/>
      </w:r>
      <w:r>
        <w:fldChar w:fldCharType="begin"/>
      </w:r>
      <w:r>
        <w:instrText xml:space="preserve"> PAGEREF _Toc22981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_Toc13730 </w:instrText>
      </w:r>
      <w:r>
        <w:fldChar w:fldCharType="separate"/>
      </w:r>
      <w:r>
        <w:rPr>
          <w:rFonts w:hint="eastAsia" w:ascii="宋体" w:hAnsi="宋体" w:eastAsia="宋体" w:cs="宋体"/>
        </w:rPr>
        <w:t xml:space="preserve">(十一) </w:t>
      </w:r>
      <w:r>
        <w:rPr>
          <w:rFonts w:hint="eastAsia"/>
        </w:rPr>
        <w:t>响应文件的递交</w:t>
      </w:r>
      <w:r>
        <w:tab/>
      </w:r>
      <w:r>
        <w:fldChar w:fldCharType="begin"/>
      </w:r>
      <w:r>
        <w:instrText xml:space="preserve"> PAGEREF _Toc13730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_Toc9913 </w:instrText>
      </w:r>
      <w:r>
        <w:fldChar w:fldCharType="separate"/>
      </w:r>
      <w:r>
        <w:rPr>
          <w:rFonts w:hint="eastAsia" w:ascii="宋体" w:hAnsi="宋体" w:eastAsia="宋体" w:cs="宋体"/>
        </w:rPr>
        <w:t xml:space="preserve">(十二) </w:t>
      </w:r>
      <w:r>
        <w:rPr>
          <w:rFonts w:hint="eastAsia"/>
        </w:rPr>
        <w:t>响应文件的修改和撤回</w:t>
      </w:r>
      <w:r>
        <w:tab/>
      </w:r>
      <w:r>
        <w:fldChar w:fldCharType="begin"/>
      </w:r>
      <w:r>
        <w:instrText xml:space="preserve"> PAGEREF _Toc9913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_Toc10714 </w:instrText>
      </w:r>
      <w:r>
        <w:fldChar w:fldCharType="separate"/>
      </w:r>
      <w:r>
        <w:rPr>
          <w:rFonts w:hint="eastAsia" w:ascii="宋体" w:hAnsi="宋体" w:eastAsia="宋体" w:cs="宋体"/>
        </w:rPr>
        <w:t xml:space="preserve">(十三) </w:t>
      </w:r>
      <w:r>
        <w:rPr>
          <w:rFonts w:hint="eastAsia"/>
        </w:rPr>
        <w:t>磋商保证金</w:t>
      </w:r>
      <w:r>
        <w:tab/>
      </w:r>
      <w:r>
        <w:fldChar w:fldCharType="begin"/>
      </w:r>
      <w:r>
        <w:instrText xml:space="preserve"> PAGEREF _Toc10714 \h </w:instrText>
      </w:r>
      <w:r>
        <w:fldChar w:fldCharType="separate"/>
      </w:r>
      <w:r>
        <w:t>21</w:t>
      </w:r>
      <w:r>
        <w:fldChar w:fldCharType="end"/>
      </w:r>
      <w:r>
        <w:fldChar w:fldCharType="end"/>
      </w:r>
    </w:p>
    <w:p>
      <w:pPr>
        <w:pStyle w:val="18"/>
        <w:tabs>
          <w:tab w:val="right" w:leader="dot" w:pos="9746"/>
          <w:tab w:val="clear" w:pos="0"/>
        </w:tabs>
      </w:pPr>
      <w:r>
        <w:fldChar w:fldCharType="begin"/>
      </w:r>
      <w:r>
        <w:instrText xml:space="preserve"> HYPERLINK \l _Toc12280 </w:instrText>
      </w:r>
      <w:r>
        <w:fldChar w:fldCharType="separate"/>
      </w:r>
      <w:r>
        <w:rPr>
          <w:rFonts w:hint="eastAsia" w:ascii="宋体" w:hAnsi="宋体" w:eastAsia="宋体" w:cs="宋体"/>
          <w:szCs w:val="36"/>
        </w:rPr>
        <w:t xml:space="preserve">五、 </w:t>
      </w:r>
      <w:r>
        <w:rPr>
          <w:rFonts w:hint="eastAsia"/>
          <w:szCs w:val="36"/>
        </w:rPr>
        <w:t>磋商会</w:t>
      </w:r>
      <w:r>
        <w:tab/>
      </w:r>
      <w:r>
        <w:fldChar w:fldCharType="begin"/>
      </w:r>
      <w:r>
        <w:instrText xml:space="preserve"> PAGEREF _Toc12280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_Toc30475 </w:instrText>
      </w:r>
      <w:r>
        <w:fldChar w:fldCharType="separate"/>
      </w:r>
      <w:r>
        <w:rPr>
          <w:rFonts w:hint="eastAsia" w:ascii="宋体" w:hAnsi="宋体" w:eastAsia="宋体" w:cs="宋体"/>
          <w:bCs/>
        </w:rPr>
        <w:t xml:space="preserve">(一) </w:t>
      </w:r>
      <w:r>
        <w:rPr>
          <w:rFonts w:hint="eastAsia"/>
          <w:bCs/>
        </w:rPr>
        <w:t>磋商会人员</w:t>
      </w:r>
      <w:r>
        <w:tab/>
      </w:r>
      <w:r>
        <w:fldChar w:fldCharType="begin"/>
      </w:r>
      <w:r>
        <w:instrText xml:space="preserve"> PAGEREF _Toc30475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_Toc15806 </w:instrText>
      </w:r>
      <w:r>
        <w:fldChar w:fldCharType="separate"/>
      </w:r>
      <w:r>
        <w:rPr>
          <w:rFonts w:hint="eastAsia" w:ascii="宋体" w:hAnsi="宋体" w:eastAsia="宋体" w:cs="宋体"/>
          <w:bCs/>
        </w:rPr>
        <w:t xml:space="preserve">(二) </w:t>
      </w:r>
      <w:r>
        <w:rPr>
          <w:rFonts w:hint="eastAsia"/>
          <w:bCs/>
        </w:rPr>
        <w:t>磋商会内容</w:t>
      </w:r>
      <w:r>
        <w:tab/>
      </w:r>
      <w:r>
        <w:fldChar w:fldCharType="begin"/>
      </w:r>
      <w:r>
        <w:instrText xml:space="preserve"> PAGEREF _Toc15806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_Toc23889 </w:instrText>
      </w:r>
      <w:r>
        <w:fldChar w:fldCharType="separate"/>
      </w:r>
      <w:r>
        <w:rPr>
          <w:rFonts w:hint="eastAsia" w:ascii="宋体" w:hAnsi="宋体" w:eastAsia="宋体" w:cs="宋体"/>
          <w:bCs/>
        </w:rPr>
        <w:t xml:space="preserve">(三) </w:t>
      </w:r>
      <w:r>
        <w:rPr>
          <w:rFonts w:hint="eastAsia"/>
          <w:bCs/>
        </w:rPr>
        <w:t>电子监控档案</w:t>
      </w:r>
      <w:r>
        <w:tab/>
      </w:r>
      <w:r>
        <w:fldChar w:fldCharType="begin"/>
      </w:r>
      <w:r>
        <w:instrText xml:space="preserve"> PAGEREF _Toc23889 \h </w:instrText>
      </w:r>
      <w:r>
        <w:fldChar w:fldCharType="separate"/>
      </w:r>
      <w:r>
        <w:t>22</w:t>
      </w:r>
      <w:r>
        <w:fldChar w:fldCharType="end"/>
      </w:r>
      <w:r>
        <w:fldChar w:fldCharType="end"/>
      </w:r>
    </w:p>
    <w:p>
      <w:pPr>
        <w:pStyle w:val="18"/>
        <w:tabs>
          <w:tab w:val="right" w:leader="dot" w:pos="9746"/>
          <w:tab w:val="clear" w:pos="0"/>
        </w:tabs>
      </w:pPr>
      <w:r>
        <w:fldChar w:fldCharType="begin"/>
      </w:r>
      <w:r>
        <w:instrText xml:space="preserve"> HYPERLINK \l _Toc3388 </w:instrText>
      </w:r>
      <w:r>
        <w:fldChar w:fldCharType="separate"/>
      </w:r>
      <w:r>
        <w:rPr>
          <w:rFonts w:hint="eastAsia" w:ascii="宋体" w:hAnsi="宋体" w:eastAsia="宋体" w:cs="宋体"/>
          <w:szCs w:val="36"/>
        </w:rPr>
        <w:t xml:space="preserve">六、 </w:t>
      </w:r>
      <w:r>
        <w:rPr>
          <w:rFonts w:hint="eastAsia"/>
          <w:szCs w:val="36"/>
        </w:rPr>
        <w:t>成交事项</w:t>
      </w:r>
      <w:r>
        <w:tab/>
      </w:r>
      <w:r>
        <w:fldChar w:fldCharType="begin"/>
      </w:r>
      <w:r>
        <w:instrText xml:space="preserve"> PAGEREF _Toc3388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_Toc21632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_Toc21632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_Toc12506 </w:instrText>
      </w:r>
      <w:r>
        <w:fldChar w:fldCharType="separate"/>
      </w:r>
      <w:r>
        <w:rPr>
          <w:rFonts w:hint="eastAsia" w:ascii="宋体" w:hAnsi="宋体" w:eastAsia="宋体" w:cs="宋体"/>
        </w:rPr>
        <w:t xml:space="preserve">(二) </w:t>
      </w:r>
      <w:r>
        <w:rPr>
          <w:rFonts w:hint="eastAsia"/>
        </w:rPr>
        <w:t>成交结果</w:t>
      </w:r>
      <w:r>
        <w:tab/>
      </w:r>
      <w:r>
        <w:fldChar w:fldCharType="begin"/>
      </w:r>
      <w:r>
        <w:instrText xml:space="preserve"> PAGEREF _Toc12506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_Toc8143 </w:instrText>
      </w:r>
      <w:r>
        <w:fldChar w:fldCharType="separate"/>
      </w:r>
      <w:r>
        <w:rPr>
          <w:rFonts w:hint="eastAsia" w:ascii="宋体" w:hAnsi="宋体" w:eastAsia="宋体" w:cs="宋体"/>
        </w:rPr>
        <w:t xml:space="preserve">(三) </w:t>
      </w:r>
      <w:r>
        <w:rPr>
          <w:rFonts w:hint="eastAsia"/>
        </w:rPr>
        <w:t>成交通知书</w:t>
      </w:r>
      <w:r>
        <w:tab/>
      </w:r>
      <w:r>
        <w:fldChar w:fldCharType="begin"/>
      </w:r>
      <w:r>
        <w:instrText xml:space="preserve"> PAGEREF _Toc8143 \h </w:instrText>
      </w:r>
      <w:r>
        <w:fldChar w:fldCharType="separate"/>
      </w:r>
      <w:r>
        <w:t>23</w:t>
      </w:r>
      <w:r>
        <w:fldChar w:fldCharType="end"/>
      </w:r>
      <w:r>
        <w:fldChar w:fldCharType="end"/>
      </w:r>
    </w:p>
    <w:p>
      <w:pPr>
        <w:pStyle w:val="18"/>
        <w:tabs>
          <w:tab w:val="right" w:leader="dot" w:pos="9746"/>
          <w:tab w:val="clear" w:pos="0"/>
        </w:tabs>
      </w:pPr>
      <w:r>
        <w:fldChar w:fldCharType="begin"/>
      </w:r>
      <w:r>
        <w:instrText xml:space="preserve"> HYPERLINK \l _Toc14227 </w:instrText>
      </w:r>
      <w:r>
        <w:fldChar w:fldCharType="separate"/>
      </w:r>
      <w:r>
        <w:rPr>
          <w:rFonts w:hint="eastAsia" w:ascii="宋体" w:hAnsi="宋体" w:eastAsia="宋体" w:cs="宋体"/>
          <w:szCs w:val="36"/>
        </w:rPr>
        <w:t xml:space="preserve">七、 </w:t>
      </w:r>
      <w:r>
        <w:rPr>
          <w:rFonts w:hint="eastAsia"/>
          <w:szCs w:val="36"/>
        </w:rPr>
        <w:t>合同事项</w:t>
      </w:r>
      <w:r>
        <w:tab/>
      </w:r>
      <w:r>
        <w:fldChar w:fldCharType="begin"/>
      </w:r>
      <w:r>
        <w:instrText xml:space="preserve"> PAGEREF _Toc14227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_Toc12367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_Toc12367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_Toc31795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_Toc31795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_Toc21420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_Toc21420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_Toc17279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_Toc17279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_Toc23104 </w:instrText>
      </w:r>
      <w:r>
        <w:fldChar w:fldCharType="separate"/>
      </w:r>
      <w:r>
        <w:rPr>
          <w:rFonts w:hint="eastAsia" w:ascii="宋体" w:hAnsi="宋体" w:eastAsia="宋体" w:cs="宋体"/>
        </w:rPr>
        <w:t xml:space="preserve">(五) </w:t>
      </w:r>
      <w:r>
        <w:rPr>
          <w:rFonts w:hint="eastAsia"/>
        </w:rPr>
        <w:t>合同公告</w:t>
      </w:r>
      <w:r>
        <w:tab/>
      </w:r>
      <w:r>
        <w:fldChar w:fldCharType="begin"/>
      </w:r>
      <w:r>
        <w:instrText xml:space="preserve"> PAGEREF _Toc23104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_Toc18566 </w:instrText>
      </w:r>
      <w:r>
        <w:fldChar w:fldCharType="separate"/>
      </w:r>
      <w:r>
        <w:rPr>
          <w:rFonts w:hint="eastAsia" w:ascii="宋体" w:hAnsi="宋体" w:eastAsia="宋体" w:cs="宋体"/>
        </w:rPr>
        <w:t xml:space="preserve">(六) </w:t>
      </w:r>
      <w:r>
        <w:rPr>
          <w:rFonts w:hint="eastAsia"/>
        </w:rPr>
        <w:t>履行合同</w:t>
      </w:r>
      <w:r>
        <w:tab/>
      </w:r>
      <w:r>
        <w:fldChar w:fldCharType="begin"/>
      </w:r>
      <w:r>
        <w:instrText xml:space="preserve"> PAGEREF _Toc18566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_Toc30343 </w:instrText>
      </w:r>
      <w:r>
        <w:fldChar w:fldCharType="separate"/>
      </w:r>
      <w:r>
        <w:rPr>
          <w:rFonts w:hint="eastAsia" w:ascii="宋体" w:hAnsi="宋体" w:eastAsia="宋体" w:cs="宋体"/>
        </w:rPr>
        <w:t xml:space="preserve">(七) </w:t>
      </w:r>
      <w:r>
        <w:rPr>
          <w:rFonts w:hint="eastAsia"/>
        </w:rPr>
        <w:t>付款方式及履约验收</w:t>
      </w:r>
      <w:r>
        <w:tab/>
      </w:r>
      <w:r>
        <w:fldChar w:fldCharType="begin"/>
      </w:r>
      <w:r>
        <w:instrText xml:space="preserve"> PAGEREF _Toc30343 \h </w:instrText>
      </w:r>
      <w:r>
        <w:fldChar w:fldCharType="separate"/>
      </w:r>
      <w:r>
        <w:t>24</w:t>
      </w:r>
      <w:r>
        <w:fldChar w:fldCharType="end"/>
      </w:r>
      <w:r>
        <w:fldChar w:fldCharType="end"/>
      </w:r>
    </w:p>
    <w:p>
      <w:pPr>
        <w:pStyle w:val="18"/>
        <w:tabs>
          <w:tab w:val="right" w:leader="dot" w:pos="9746"/>
          <w:tab w:val="clear" w:pos="0"/>
        </w:tabs>
      </w:pPr>
      <w:r>
        <w:fldChar w:fldCharType="begin"/>
      </w:r>
      <w:r>
        <w:instrText xml:space="preserve"> HYPERLINK \l _Toc4281 </w:instrText>
      </w:r>
      <w:r>
        <w:fldChar w:fldCharType="separate"/>
      </w:r>
      <w:r>
        <w:rPr>
          <w:rFonts w:hint="eastAsia" w:ascii="宋体" w:hAnsi="宋体" w:eastAsia="宋体" w:cs="宋体"/>
          <w:szCs w:val="36"/>
        </w:rPr>
        <w:t xml:space="preserve">八、 </w:t>
      </w:r>
      <w:r>
        <w:rPr>
          <w:rFonts w:hint="eastAsia"/>
          <w:szCs w:val="36"/>
        </w:rPr>
        <w:t>磋商纪律要求</w:t>
      </w:r>
      <w:r>
        <w:tab/>
      </w:r>
      <w:r>
        <w:fldChar w:fldCharType="begin"/>
      </w:r>
      <w:r>
        <w:instrText xml:space="preserve"> PAGEREF _Toc4281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_Toc26997 </w:instrText>
      </w:r>
      <w:r>
        <w:fldChar w:fldCharType="separate"/>
      </w:r>
      <w:r>
        <w:rPr>
          <w:rFonts w:hint="eastAsia" w:ascii="宋体" w:hAnsi="宋体" w:eastAsia="宋体" w:cs="宋体"/>
        </w:rPr>
        <w:t xml:space="preserve">(一) </w:t>
      </w:r>
      <w:r>
        <w:rPr>
          <w:rFonts w:hint="eastAsia"/>
        </w:rPr>
        <w:t>供应商参加本项目采购活动不得具有的情形</w:t>
      </w:r>
      <w:r>
        <w:tab/>
      </w:r>
      <w:r>
        <w:fldChar w:fldCharType="begin"/>
      </w:r>
      <w:r>
        <w:instrText xml:space="preserve"> PAGEREF _Toc26997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_Toc28022 </w:instrText>
      </w:r>
      <w:r>
        <w:fldChar w:fldCharType="separate"/>
      </w:r>
      <w:r>
        <w:rPr>
          <w:rFonts w:hint="eastAsia" w:ascii="宋体" w:hAnsi="宋体" w:eastAsia="宋体" w:cs="宋体"/>
        </w:rPr>
        <w:t xml:space="preserve">(二) </w:t>
      </w:r>
      <w:r>
        <w:rPr>
          <w:rFonts w:hint="eastAsia"/>
        </w:rPr>
        <w:t>磋商现场纪律要求</w:t>
      </w:r>
      <w:r>
        <w:tab/>
      </w:r>
      <w:r>
        <w:fldChar w:fldCharType="begin"/>
      </w:r>
      <w:r>
        <w:instrText xml:space="preserve"> PAGEREF _Toc28022 \h </w:instrText>
      </w:r>
      <w:r>
        <w:fldChar w:fldCharType="separate"/>
      </w:r>
      <w:r>
        <w:t>25</w:t>
      </w:r>
      <w:r>
        <w:fldChar w:fldCharType="end"/>
      </w:r>
      <w:r>
        <w:fldChar w:fldCharType="end"/>
      </w:r>
    </w:p>
    <w:p>
      <w:pPr>
        <w:pStyle w:val="18"/>
        <w:tabs>
          <w:tab w:val="right" w:leader="dot" w:pos="9746"/>
          <w:tab w:val="clear" w:pos="0"/>
        </w:tabs>
      </w:pPr>
      <w:r>
        <w:fldChar w:fldCharType="begin"/>
      </w:r>
      <w:r>
        <w:instrText xml:space="preserve"> HYPERLINK \l _Toc27202 </w:instrText>
      </w:r>
      <w:r>
        <w:fldChar w:fldCharType="separate"/>
      </w:r>
      <w:r>
        <w:rPr>
          <w:rFonts w:hint="eastAsia" w:ascii="宋体" w:hAnsi="宋体" w:eastAsia="宋体" w:cs="宋体"/>
          <w:szCs w:val="36"/>
        </w:rPr>
        <w:t xml:space="preserve">九、 </w:t>
      </w:r>
      <w:r>
        <w:rPr>
          <w:rFonts w:hint="eastAsia"/>
          <w:szCs w:val="36"/>
        </w:rPr>
        <w:t>其他</w:t>
      </w:r>
      <w:r>
        <w:tab/>
      </w:r>
      <w:r>
        <w:fldChar w:fldCharType="begin"/>
      </w:r>
      <w:r>
        <w:instrText xml:space="preserve"> PAGEREF _Toc27202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_Toc32549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_Toc32549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_Toc28054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_Toc28054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_Toc28196 </w:instrText>
      </w:r>
      <w:r>
        <w:fldChar w:fldCharType="separate"/>
      </w:r>
      <w:r>
        <w:rPr>
          <w:rFonts w:hint="eastAsia" w:ascii="宋体" w:hAnsi="宋体" w:eastAsia="宋体" w:cs="宋体"/>
        </w:rPr>
        <w:t xml:space="preserve">(三) </w:t>
      </w:r>
      <w:r>
        <w:rPr>
          <w:rFonts w:hint="eastAsia"/>
        </w:rPr>
        <w:t>供应商信用信息查询</w:t>
      </w:r>
      <w:r>
        <w:tab/>
      </w:r>
      <w:r>
        <w:fldChar w:fldCharType="begin"/>
      </w:r>
      <w:r>
        <w:instrText xml:space="preserve"> PAGEREF _Toc28196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_Toc20301 </w:instrText>
      </w:r>
      <w:r>
        <w:fldChar w:fldCharType="separate"/>
      </w:r>
      <w:r>
        <w:rPr>
          <w:rFonts w:hint="eastAsia" w:ascii="宋体" w:hAnsi="宋体" w:eastAsia="宋体" w:cs="宋体"/>
        </w:rPr>
        <w:t xml:space="preserve">(四) </w:t>
      </w:r>
      <w:r>
        <w:rPr>
          <w:rFonts w:hint="eastAsia"/>
        </w:rPr>
        <w:t>保密</w:t>
      </w:r>
      <w:r>
        <w:tab/>
      </w:r>
      <w:r>
        <w:fldChar w:fldCharType="begin"/>
      </w:r>
      <w:r>
        <w:instrText xml:space="preserve"> PAGEREF _Toc20301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_Toc28678 </w:instrText>
      </w:r>
      <w:r>
        <w:fldChar w:fldCharType="separate"/>
      </w:r>
      <w:r>
        <w:rPr>
          <w:rFonts w:hint="eastAsia" w:ascii="宋体" w:hAnsi="宋体" w:eastAsia="宋体" w:cs="宋体"/>
        </w:rPr>
        <w:t xml:space="preserve">(五) </w:t>
      </w:r>
      <w:r>
        <w:rPr>
          <w:rFonts w:hint="eastAsia"/>
        </w:rPr>
        <w:t>回避</w:t>
      </w:r>
      <w:r>
        <w:tab/>
      </w:r>
      <w:r>
        <w:fldChar w:fldCharType="begin"/>
      </w:r>
      <w:r>
        <w:instrText xml:space="preserve"> PAGEREF _Toc28678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_Toc15147 </w:instrText>
      </w:r>
      <w:r>
        <w:fldChar w:fldCharType="separate"/>
      </w:r>
      <w:r>
        <w:rPr>
          <w:rFonts w:hint="eastAsia" w:ascii="宋体" w:hAnsi="宋体" w:eastAsia="宋体" w:cs="宋体"/>
        </w:rPr>
        <w:t xml:space="preserve">(六) </w:t>
      </w:r>
      <w:r>
        <w:rPr>
          <w:rFonts w:hint="eastAsia"/>
        </w:rPr>
        <w:t>解释说明</w:t>
      </w:r>
      <w:r>
        <w:tab/>
      </w:r>
      <w:r>
        <w:fldChar w:fldCharType="begin"/>
      </w:r>
      <w:r>
        <w:instrText xml:space="preserve"> PAGEREF _Toc15147 \h </w:instrText>
      </w:r>
      <w:r>
        <w:fldChar w:fldCharType="separate"/>
      </w:r>
      <w:r>
        <w:t>26</w:t>
      </w:r>
      <w:r>
        <w:fldChar w:fldCharType="end"/>
      </w:r>
      <w:r>
        <w:fldChar w:fldCharType="end"/>
      </w:r>
    </w:p>
    <w:p>
      <w:pPr>
        <w:pStyle w:val="17"/>
        <w:tabs>
          <w:tab w:val="clear" w:pos="0"/>
        </w:tabs>
      </w:pPr>
      <w:r>
        <w:fldChar w:fldCharType="begin"/>
      </w:r>
      <w:r>
        <w:instrText xml:space="preserve"> HYPERLINK \l _Toc9215 </w:instrText>
      </w:r>
      <w:r>
        <w:fldChar w:fldCharType="separate"/>
      </w:r>
      <w:r>
        <w:rPr>
          <w:rFonts w:hint="eastAsia" w:ascii="宋体" w:hAnsi="宋体" w:eastAsia="宋体" w:cs="宋体"/>
        </w:rPr>
        <w:t xml:space="preserve">第三章 </w:t>
      </w:r>
      <w:r>
        <w:rPr>
          <w:rFonts w:hint="eastAsia"/>
        </w:rPr>
        <w:t>响应文件格式</w:t>
      </w:r>
      <w:r>
        <w:tab/>
      </w:r>
      <w:r>
        <w:fldChar w:fldCharType="begin"/>
      </w:r>
      <w:r>
        <w:instrText xml:space="preserve"> PAGEREF _Toc9215 \h </w:instrText>
      </w:r>
      <w:r>
        <w:fldChar w:fldCharType="separate"/>
      </w:r>
      <w:r>
        <w:t>28</w:t>
      </w:r>
      <w:r>
        <w:fldChar w:fldCharType="end"/>
      </w:r>
      <w:r>
        <w:fldChar w:fldCharType="end"/>
      </w:r>
    </w:p>
    <w:p>
      <w:pPr>
        <w:pStyle w:val="18"/>
        <w:tabs>
          <w:tab w:val="right" w:leader="dot" w:pos="9746"/>
          <w:tab w:val="clear" w:pos="0"/>
        </w:tabs>
      </w:pPr>
      <w:r>
        <w:fldChar w:fldCharType="begin"/>
      </w:r>
      <w:r>
        <w:instrText xml:space="preserve"> HYPERLINK \l _Toc21544 </w:instrText>
      </w:r>
      <w:r>
        <w:fldChar w:fldCharType="separate"/>
      </w:r>
      <w:r>
        <w:rPr>
          <w:rFonts w:hint="eastAsia"/>
          <w:szCs w:val="32"/>
        </w:rPr>
        <w:t>第一部分 资格、资质性及其他类似效力响应文件(格式)</w:t>
      </w:r>
      <w:r>
        <w:tab/>
      </w:r>
      <w:r>
        <w:fldChar w:fldCharType="begin"/>
      </w:r>
      <w:r>
        <w:instrText xml:space="preserve"> PAGEREF _Toc21544 \h </w:instrText>
      </w:r>
      <w:r>
        <w:fldChar w:fldCharType="separate"/>
      </w:r>
      <w:r>
        <w:t>31</w:t>
      </w:r>
      <w:r>
        <w:fldChar w:fldCharType="end"/>
      </w:r>
      <w:r>
        <w:fldChar w:fldCharType="end"/>
      </w:r>
    </w:p>
    <w:p>
      <w:pPr>
        <w:pStyle w:val="13"/>
        <w:tabs>
          <w:tab w:val="right" w:leader="dot" w:pos="9746"/>
          <w:tab w:val="clear" w:pos="0"/>
        </w:tabs>
      </w:pPr>
      <w:r>
        <w:fldChar w:fldCharType="begin"/>
      </w:r>
      <w:r>
        <w:instrText xml:space="preserve"> HYPERLINK \l _Toc26479 </w:instrText>
      </w:r>
      <w:r>
        <w:fldChar w:fldCharType="separate"/>
      </w:r>
      <w:r>
        <w:rPr>
          <w:rFonts w:hint="eastAsia"/>
        </w:rPr>
        <w:t>一、 法定代表人/单位负责人授权书</w:t>
      </w:r>
      <w:r>
        <w:tab/>
      </w:r>
      <w:r>
        <w:fldChar w:fldCharType="begin"/>
      </w:r>
      <w:r>
        <w:instrText xml:space="preserve"> PAGEREF _Toc26479 \h </w:instrText>
      </w:r>
      <w:r>
        <w:fldChar w:fldCharType="separate"/>
      </w:r>
      <w:r>
        <w:t>32</w:t>
      </w:r>
      <w:r>
        <w:fldChar w:fldCharType="end"/>
      </w:r>
      <w:r>
        <w:fldChar w:fldCharType="end"/>
      </w:r>
    </w:p>
    <w:p>
      <w:pPr>
        <w:pStyle w:val="13"/>
        <w:tabs>
          <w:tab w:val="right" w:leader="dot" w:pos="9746"/>
          <w:tab w:val="clear" w:pos="0"/>
        </w:tabs>
      </w:pPr>
      <w:r>
        <w:fldChar w:fldCharType="begin"/>
      </w:r>
      <w:r>
        <w:instrText xml:space="preserve"> HYPERLINK \l _Toc22345 </w:instrText>
      </w:r>
      <w:r>
        <w:fldChar w:fldCharType="separate"/>
      </w:r>
      <w:r>
        <w:rPr>
          <w:rFonts w:hint="eastAsia"/>
        </w:rPr>
        <w:t>一、 法定代表人/单位负责人证明书</w:t>
      </w:r>
      <w:r>
        <w:tab/>
      </w:r>
      <w:r>
        <w:fldChar w:fldCharType="begin"/>
      </w:r>
      <w:r>
        <w:instrText xml:space="preserve"> PAGEREF _Toc22345 \h </w:instrText>
      </w:r>
      <w:r>
        <w:fldChar w:fldCharType="separate"/>
      </w:r>
      <w:r>
        <w:t>33</w:t>
      </w:r>
      <w:r>
        <w:fldChar w:fldCharType="end"/>
      </w:r>
      <w:r>
        <w:fldChar w:fldCharType="end"/>
      </w:r>
    </w:p>
    <w:p>
      <w:pPr>
        <w:pStyle w:val="13"/>
        <w:tabs>
          <w:tab w:val="right" w:leader="dot" w:pos="9746"/>
          <w:tab w:val="clear" w:pos="0"/>
        </w:tabs>
      </w:pPr>
      <w:r>
        <w:fldChar w:fldCharType="begin"/>
      </w:r>
      <w:r>
        <w:instrText xml:space="preserve"> HYPERLINK \l _Toc3038 </w:instrText>
      </w:r>
      <w:r>
        <w:fldChar w:fldCharType="separate"/>
      </w:r>
      <w:r>
        <w:rPr>
          <w:rFonts w:hint="eastAsia"/>
        </w:rPr>
        <w:t>二、 供应商具有独立承担民事责任的能力的证明材料</w:t>
      </w:r>
      <w:r>
        <w:tab/>
      </w:r>
      <w:r>
        <w:fldChar w:fldCharType="begin"/>
      </w:r>
      <w:r>
        <w:instrText xml:space="preserve"> PAGEREF _Toc3038 \h </w:instrText>
      </w:r>
      <w:r>
        <w:fldChar w:fldCharType="separate"/>
      </w:r>
      <w:r>
        <w:t>34</w:t>
      </w:r>
      <w:r>
        <w:fldChar w:fldCharType="end"/>
      </w:r>
      <w:r>
        <w:fldChar w:fldCharType="end"/>
      </w:r>
    </w:p>
    <w:p>
      <w:pPr>
        <w:pStyle w:val="13"/>
        <w:tabs>
          <w:tab w:val="right" w:leader="dot" w:pos="9746"/>
          <w:tab w:val="clear" w:pos="0"/>
        </w:tabs>
      </w:pPr>
      <w:r>
        <w:fldChar w:fldCharType="begin"/>
      </w:r>
      <w:r>
        <w:instrText xml:space="preserve"> HYPERLINK \l _Toc7715 </w:instrText>
      </w:r>
      <w:r>
        <w:fldChar w:fldCharType="separate"/>
      </w:r>
      <w:r>
        <w:rPr>
          <w:rFonts w:hint="eastAsia"/>
        </w:rPr>
        <w:t>三、 供应商具有良好的商业信誉和健全的财务会计制度的证明材料</w:t>
      </w:r>
      <w:r>
        <w:tab/>
      </w:r>
      <w:r>
        <w:fldChar w:fldCharType="begin"/>
      </w:r>
      <w:r>
        <w:instrText xml:space="preserve"> PAGEREF _Toc7715 \h </w:instrText>
      </w:r>
      <w:r>
        <w:fldChar w:fldCharType="separate"/>
      </w:r>
      <w:r>
        <w:t>35</w:t>
      </w:r>
      <w:r>
        <w:fldChar w:fldCharType="end"/>
      </w:r>
      <w:r>
        <w:fldChar w:fldCharType="end"/>
      </w:r>
    </w:p>
    <w:p>
      <w:pPr>
        <w:pStyle w:val="13"/>
        <w:tabs>
          <w:tab w:val="right" w:leader="dot" w:pos="9746"/>
          <w:tab w:val="clear" w:pos="0"/>
        </w:tabs>
      </w:pPr>
      <w:r>
        <w:fldChar w:fldCharType="begin"/>
      </w:r>
      <w:r>
        <w:instrText xml:space="preserve"> HYPERLINK \l _Toc25082 </w:instrText>
      </w:r>
      <w:r>
        <w:fldChar w:fldCharType="separate"/>
      </w:r>
      <w:r>
        <w:rPr>
          <w:rFonts w:hint="eastAsia"/>
        </w:rPr>
        <w:t>四、 供应商具有依法缴纳税收和社会保障资金的良好记录的证明材料</w:t>
      </w:r>
      <w:r>
        <w:tab/>
      </w:r>
      <w:r>
        <w:fldChar w:fldCharType="begin"/>
      </w:r>
      <w:r>
        <w:instrText xml:space="preserve"> PAGEREF _Toc25082 \h </w:instrText>
      </w:r>
      <w:r>
        <w:fldChar w:fldCharType="separate"/>
      </w:r>
      <w:r>
        <w:t>36</w:t>
      </w:r>
      <w:r>
        <w:fldChar w:fldCharType="end"/>
      </w:r>
      <w:r>
        <w:fldChar w:fldCharType="end"/>
      </w:r>
    </w:p>
    <w:p>
      <w:pPr>
        <w:pStyle w:val="13"/>
        <w:tabs>
          <w:tab w:val="right" w:leader="dot" w:pos="9746"/>
          <w:tab w:val="clear" w:pos="0"/>
        </w:tabs>
      </w:pPr>
      <w:r>
        <w:fldChar w:fldCharType="begin"/>
      </w:r>
      <w:r>
        <w:instrText xml:space="preserve"> HYPERLINK \l _Toc18033 </w:instrText>
      </w:r>
      <w:r>
        <w:fldChar w:fldCharType="separate"/>
      </w:r>
      <w:r>
        <w:rPr>
          <w:rFonts w:hint="eastAsia"/>
        </w:rPr>
        <w:t>五、 供应商具有履行合同所必需的设备和专业技术能力证明材料</w:t>
      </w:r>
      <w:r>
        <w:tab/>
      </w:r>
      <w:r>
        <w:fldChar w:fldCharType="begin"/>
      </w:r>
      <w:r>
        <w:instrText xml:space="preserve"> PAGEREF _Toc18033 \h </w:instrText>
      </w:r>
      <w:r>
        <w:fldChar w:fldCharType="separate"/>
      </w:r>
      <w:r>
        <w:t>37</w:t>
      </w:r>
      <w:r>
        <w:fldChar w:fldCharType="end"/>
      </w:r>
      <w:r>
        <w:fldChar w:fldCharType="end"/>
      </w:r>
    </w:p>
    <w:p>
      <w:pPr>
        <w:pStyle w:val="13"/>
        <w:tabs>
          <w:tab w:val="right" w:leader="dot" w:pos="9746"/>
          <w:tab w:val="clear" w:pos="0"/>
        </w:tabs>
      </w:pPr>
      <w:r>
        <w:fldChar w:fldCharType="begin"/>
      </w:r>
      <w:r>
        <w:instrText xml:space="preserve"> HYPERLINK \l _Toc26956 </w:instrText>
      </w:r>
      <w:r>
        <w:fldChar w:fldCharType="separate"/>
      </w:r>
      <w:r>
        <w:rPr>
          <w:rFonts w:hint="eastAsia"/>
        </w:rPr>
        <w:t>六、 供应商参加政府采购活动前三年内，在经营活动中没有重大违法记录的证明材料</w:t>
      </w:r>
      <w:r>
        <w:tab/>
      </w:r>
      <w:r>
        <w:fldChar w:fldCharType="begin"/>
      </w:r>
      <w:r>
        <w:instrText xml:space="preserve"> PAGEREF _Toc26956 \h </w:instrText>
      </w:r>
      <w:r>
        <w:fldChar w:fldCharType="separate"/>
      </w:r>
      <w:r>
        <w:t>38</w:t>
      </w:r>
      <w:r>
        <w:fldChar w:fldCharType="end"/>
      </w:r>
      <w:r>
        <w:fldChar w:fldCharType="end"/>
      </w:r>
    </w:p>
    <w:p>
      <w:pPr>
        <w:pStyle w:val="13"/>
        <w:tabs>
          <w:tab w:val="right" w:leader="dot" w:pos="9746"/>
          <w:tab w:val="clear" w:pos="0"/>
        </w:tabs>
      </w:pPr>
      <w:r>
        <w:fldChar w:fldCharType="begin"/>
      </w:r>
      <w:r>
        <w:instrText xml:space="preserve"> HYPERLINK \l _Toc12137 </w:instrText>
      </w:r>
      <w:r>
        <w:fldChar w:fldCharType="separate"/>
      </w:r>
      <w:r>
        <w:rPr>
          <w:rFonts w:hint="eastAsia"/>
          <w:lang w:val="zh-CN"/>
        </w:rPr>
        <w:t xml:space="preserve">七、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_Toc12137 \h </w:instrText>
      </w:r>
      <w:r>
        <w:fldChar w:fldCharType="separate"/>
      </w:r>
      <w:r>
        <w:t>39</w:t>
      </w:r>
      <w:r>
        <w:fldChar w:fldCharType="end"/>
      </w:r>
      <w:r>
        <w:fldChar w:fldCharType="end"/>
      </w:r>
    </w:p>
    <w:p>
      <w:pPr>
        <w:pStyle w:val="13"/>
        <w:tabs>
          <w:tab w:val="right" w:leader="dot" w:pos="9746"/>
          <w:tab w:val="clear" w:pos="0"/>
        </w:tabs>
      </w:pPr>
      <w:r>
        <w:fldChar w:fldCharType="begin"/>
      </w:r>
      <w:r>
        <w:instrText xml:space="preserve"> HYPERLINK \l _Toc12987 </w:instrText>
      </w:r>
      <w:r>
        <w:fldChar w:fldCharType="separate"/>
      </w:r>
      <w:r>
        <w:rPr>
          <w:rFonts w:hint="eastAsia"/>
          <w:w w:val="95"/>
        </w:rPr>
        <w:t>八、 符合《中华人民共和国政府采购法》第二十二条规定的条件的承诺及声明函</w:t>
      </w:r>
      <w:r>
        <w:tab/>
      </w:r>
      <w:r>
        <w:fldChar w:fldCharType="begin"/>
      </w:r>
      <w:r>
        <w:instrText xml:space="preserve"> PAGEREF _Toc12987 \h </w:instrText>
      </w:r>
      <w:r>
        <w:fldChar w:fldCharType="separate"/>
      </w:r>
      <w:r>
        <w:t>40</w:t>
      </w:r>
      <w:r>
        <w:fldChar w:fldCharType="end"/>
      </w:r>
      <w:r>
        <w:fldChar w:fldCharType="end"/>
      </w:r>
    </w:p>
    <w:p>
      <w:pPr>
        <w:pStyle w:val="18"/>
        <w:tabs>
          <w:tab w:val="right" w:leader="dot" w:pos="9746"/>
          <w:tab w:val="clear" w:pos="0"/>
        </w:tabs>
      </w:pPr>
      <w:r>
        <w:fldChar w:fldCharType="begin"/>
      </w:r>
      <w:r>
        <w:instrText xml:space="preserve"> HYPERLINK \l _Toc17077 </w:instrText>
      </w:r>
      <w:r>
        <w:fldChar w:fldCharType="separate"/>
      </w:r>
      <w:r>
        <w:rPr>
          <w:rFonts w:hint="eastAsia"/>
          <w:szCs w:val="32"/>
        </w:rPr>
        <w:t>第二部分 其他响应文件(格式)</w:t>
      </w:r>
      <w:r>
        <w:tab/>
      </w:r>
      <w:r>
        <w:fldChar w:fldCharType="begin"/>
      </w:r>
      <w:r>
        <w:instrText xml:space="preserve"> PAGEREF _Toc17077 \h </w:instrText>
      </w:r>
      <w:r>
        <w:fldChar w:fldCharType="separate"/>
      </w:r>
      <w:r>
        <w:t>41</w:t>
      </w:r>
      <w:r>
        <w:fldChar w:fldCharType="end"/>
      </w:r>
      <w:r>
        <w:fldChar w:fldCharType="end"/>
      </w:r>
    </w:p>
    <w:p>
      <w:pPr>
        <w:pStyle w:val="13"/>
        <w:tabs>
          <w:tab w:val="right" w:leader="dot" w:pos="9746"/>
          <w:tab w:val="clear" w:pos="0"/>
        </w:tabs>
      </w:pPr>
      <w:r>
        <w:fldChar w:fldCharType="begin"/>
      </w:r>
      <w:r>
        <w:instrText xml:space="preserve"> HYPERLINK \l _Toc13346 </w:instrText>
      </w:r>
      <w:r>
        <w:fldChar w:fldCharType="separate"/>
      </w:r>
      <w:r>
        <w:rPr>
          <w:rFonts w:hint="eastAsia"/>
        </w:rPr>
        <w:t>一、 磋商函</w:t>
      </w:r>
      <w:r>
        <w:tab/>
      </w:r>
      <w:r>
        <w:fldChar w:fldCharType="begin"/>
      </w:r>
      <w:r>
        <w:instrText xml:space="preserve"> PAGEREF _Toc13346 \h </w:instrText>
      </w:r>
      <w:r>
        <w:fldChar w:fldCharType="separate"/>
      </w:r>
      <w:r>
        <w:t>42</w:t>
      </w:r>
      <w:r>
        <w:fldChar w:fldCharType="end"/>
      </w:r>
      <w:r>
        <w:fldChar w:fldCharType="end"/>
      </w:r>
    </w:p>
    <w:p>
      <w:pPr>
        <w:pStyle w:val="13"/>
        <w:tabs>
          <w:tab w:val="right" w:leader="dot" w:pos="9746"/>
          <w:tab w:val="clear" w:pos="0"/>
        </w:tabs>
      </w:pPr>
      <w:r>
        <w:fldChar w:fldCharType="begin"/>
      </w:r>
      <w:r>
        <w:instrText xml:space="preserve"> HYPERLINK \l _Toc28220 </w:instrText>
      </w:r>
      <w:r>
        <w:fldChar w:fldCharType="separate"/>
      </w:r>
      <w:r>
        <w:rPr>
          <w:rFonts w:hint="eastAsia"/>
        </w:rPr>
        <w:t>二、 承诺函(实质性要求)</w:t>
      </w:r>
      <w:r>
        <w:tab/>
      </w:r>
      <w:r>
        <w:fldChar w:fldCharType="begin"/>
      </w:r>
      <w:r>
        <w:instrText xml:space="preserve"> PAGEREF _Toc28220 \h </w:instrText>
      </w:r>
      <w:r>
        <w:fldChar w:fldCharType="separate"/>
      </w:r>
      <w:r>
        <w:t>43</w:t>
      </w:r>
      <w:r>
        <w:fldChar w:fldCharType="end"/>
      </w:r>
      <w:r>
        <w:fldChar w:fldCharType="end"/>
      </w:r>
    </w:p>
    <w:p>
      <w:pPr>
        <w:pStyle w:val="13"/>
        <w:tabs>
          <w:tab w:val="right" w:leader="dot" w:pos="9746"/>
          <w:tab w:val="clear" w:pos="0"/>
        </w:tabs>
      </w:pPr>
      <w:r>
        <w:fldChar w:fldCharType="begin"/>
      </w:r>
      <w:r>
        <w:instrText xml:space="preserve"> HYPERLINK \l _Toc32119 </w:instrText>
      </w:r>
      <w:r>
        <w:fldChar w:fldCharType="separate"/>
      </w:r>
      <w:r>
        <w:rPr>
          <w:rFonts w:hint="eastAsia"/>
        </w:rPr>
        <w:t>三、 供应商基本情况表</w:t>
      </w:r>
      <w:r>
        <w:tab/>
      </w:r>
      <w:r>
        <w:fldChar w:fldCharType="begin"/>
      </w:r>
      <w:r>
        <w:instrText xml:space="preserve"> PAGEREF _Toc32119 \h </w:instrText>
      </w:r>
      <w:r>
        <w:fldChar w:fldCharType="separate"/>
      </w:r>
      <w:r>
        <w:t>45</w:t>
      </w:r>
      <w:r>
        <w:fldChar w:fldCharType="end"/>
      </w:r>
      <w:r>
        <w:fldChar w:fldCharType="end"/>
      </w:r>
    </w:p>
    <w:p>
      <w:pPr>
        <w:pStyle w:val="13"/>
        <w:tabs>
          <w:tab w:val="right" w:leader="dot" w:pos="9746"/>
          <w:tab w:val="clear" w:pos="0"/>
        </w:tabs>
      </w:pPr>
      <w:r>
        <w:fldChar w:fldCharType="begin"/>
      </w:r>
      <w:r>
        <w:instrText xml:space="preserve"> HYPERLINK \l _Toc7452 </w:instrText>
      </w:r>
      <w:r>
        <w:fldChar w:fldCharType="separate"/>
      </w:r>
      <w:r>
        <w:rPr>
          <w:rFonts w:hint="eastAsia"/>
        </w:rPr>
        <w:t>四、 商务应答表</w:t>
      </w:r>
      <w:r>
        <w:tab/>
      </w:r>
      <w:r>
        <w:fldChar w:fldCharType="begin"/>
      </w:r>
      <w:r>
        <w:instrText xml:space="preserve"> PAGEREF _Toc7452 \h </w:instrText>
      </w:r>
      <w:r>
        <w:fldChar w:fldCharType="separate"/>
      </w:r>
      <w:r>
        <w:t>46</w:t>
      </w:r>
      <w:r>
        <w:fldChar w:fldCharType="end"/>
      </w:r>
      <w:r>
        <w:fldChar w:fldCharType="end"/>
      </w:r>
    </w:p>
    <w:p>
      <w:pPr>
        <w:pStyle w:val="13"/>
        <w:tabs>
          <w:tab w:val="right" w:leader="dot" w:pos="9746"/>
          <w:tab w:val="clear" w:pos="0"/>
        </w:tabs>
      </w:pPr>
      <w:r>
        <w:fldChar w:fldCharType="begin"/>
      </w:r>
      <w:r>
        <w:instrText xml:space="preserve"> HYPERLINK \l _Toc1116 </w:instrText>
      </w:r>
      <w:r>
        <w:fldChar w:fldCharType="separate"/>
      </w:r>
      <w:r>
        <w:rPr>
          <w:rFonts w:hint="eastAsia"/>
        </w:rPr>
        <w:t>五、 服务应答表</w:t>
      </w:r>
      <w:r>
        <w:tab/>
      </w:r>
      <w:r>
        <w:fldChar w:fldCharType="begin"/>
      </w:r>
      <w:r>
        <w:instrText xml:space="preserve"> PAGEREF _Toc1116 \h </w:instrText>
      </w:r>
      <w:r>
        <w:fldChar w:fldCharType="separate"/>
      </w:r>
      <w:r>
        <w:t>47</w:t>
      </w:r>
      <w:r>
        <w:fldChar w:fldCharType="end"/>
      </w:r>
      <w:r>
        <w:fldChar w:fldCharType="end"/>
      </w:r>
    </w:p>
    <w:p>
      <w:pPr>
        <w:pStyle w:val="13"/>
        <w:tabs>
          <w:tab w:val="right" w:leader="dot" w:pos="9746"/>
          <w:tab w:val="clear" w:pos="0"/>
        </w:tabs>
      </w:pPr>
      <w:r>
        <w:fldChar w:fldCharType="begin"/>
      </w:r>
      <w:r>
        <w:instrText xml:space="preserve"> HYPERLINK \l _Toc12674 </w:instrText>
      </w:r>
      <w:r>
        <w:fldChar w:fldCharType="separate"/>
      </w:r>
      <w:r>
        <w:rPr>
          <w:rFonts w:hint="eastAsia"/>
        </w:rPr>
        <w:t>六、 供应商针对本项目人员配置情况表</w:t>
      </w:r>
      <w:r>
        <w:tab/>
      </w:r>
      <w:r>
        <w:fldChar w:fldCharType="begin"/>
      </w:r>
      <w:r>
        <w:instrText xml:space="preserve"> PAGEREF _Toc12674 \h </w:instrText>
      </w:r>
      <w:r>
        <w:fldChar w:fldCharType="separate"/>
      </w:r>
      <w:r>
        <w:t>48</w:t>
      </w:r>
      <w:r>
        <w:fldChar w:fldCharType="end"/>
      </w:r>
      <w:r>
        <w:fldChar w:fldCharType="end"/>
      </w:r>
    </w:p>
    <w:p>
      <w:pPr>
        <w:pStyle w:val="13"/>
        <w:tabs>
          <w:tab w:val="right" w:leader="dot" w:pos="9746"/>
          <w:tab w:val="clear" w:pos="0"/>
        </w:tabs>
      </w:pPr>
      <w:r>
        <w:fldChar w:fldCharType="begin"/>
      </w:r>
      <w:r>
        <w:instrText xml:space="preserve"> HYPERLINK \l _Toc8466 </w:instrText>
      </w:r>
      <w:r>
        <w:fldChar w:fldCharType="separate"/>
      </w:r>
      <w:r>
        <w:rPr>
          <w:rFonts w:hint="eastAsia"/>
          <w:w w:val="95"/>
        </w:rPr>
        <w:t xml:space="preserve">七、 </w:t>
      </w:r>
      <w:r>
        <w:rPr>
          <w:rFonts w:hint="eastAsia"/>
        </w:rPr>
        <w:t>中小企业</w:t>
      </w:r>
      <w:r>
        <w:rPr>
          <w:rFonts w:hint="eastAsia"/>
          <w:w w:val="95"/>
        </w:rPr>
        <w:t>声明函(服务)（如</w:t>
      </w:r>
      <w:r>
        <w:rPr>
          <w:w w:val="95"/>
        </w:rPr>
        <w:t>涉及）</w:t>
      </w:r>
      <w:r>
        <w:tab/>
      </w:r>
      <w:r>
        <w:fldChar w:fldCharType="begin"/>
      </w:r>
      <w:r>
        <w:instrText xml:space="preserve"> PAGEREF _Toc8466 \h </w:instrText>
      </w:r>
      <w:r>
        <w:fldChar w:fldCharType="separate"/>
      </w:r>
      <w:r>
        <w:t>49</w:t>
      </w:r>
      <w:r>
        <w:fldChar w:fldCharType="end"/>
      </w:r>
      <w:r>
        <w:fldChar w:fldCharType="end"/>
      </w:r>
    </w:p>
    <w:p>
      <w:pPr>
        <w:pStyle w:val="13"/>
        <w:tabs>
          <w:tab w:val="right" w:leader="dot" w:pos="9746"/>
          <w:tab w:val="clear" w:pos="0"/>
        </w:tabs>
      </w:pPr>
      <w:r>
        <w:fldChar w:fldCharType="begin"/>
      </w:r>
      <w:r>
        <w:instrText xml:space="preserve"> HYPERLINK \l _Toc20040 </w:instrText>
      </w:r>
      <w:r>
        <w:fldChar w:fldCharType="separate"/>
      </w:r>
      <w:r>
        <w:rPr>
          <w:rFonts w:hint="eastAsia"/>
        </w:rPr>
        <w:t>八、 监狱企业相关证明材料(如涉及)</w:t>
      </w:r>
      <w:r>
        <w:tab/>
      </w:r>
      <w:r>
        <w:fldChar w:fldCharType="begin"/>
      </w:r>
      <w:r>
        <w:instrText xml:space="preserve"> PAGEREF _Toc20040 \h </w:instrText>
      </w:r>
      <w:r>
        <w:fldChar w:fldCharType="separate"/>
      </w:r>
      <w:r>
        <w:t>50</w:t>
      </w:r>
      <w:r>
        <w:fldChar w:fldCharType="end"/>
      </w:r>
      <w:r>
        <w:fldChar w:fldCharType="end"/>
      </w:r>
    </w:p>
    <w:p>
      <w:pPr>
        <w:pStyle w:val="13"/>
        <w:tabs>
          <w:tab w:val="right" w:leader="dot" w:pos="9746"/>
          <w:tab w:val="clear" w:pos="0"/>
        </w:tabs>
      </w:pPr>
      <w:r>
        <w:fldChar w:fldCharType="begin"/>
      </w:r>
      <w:r>
        <w:instrText xml:space="preserve"> HYPERLINK \l _Toc28709 </w:instrText>
      </w:r>
      <w:r>
        <w:fldChar w:fldCharType="separate"/>
      </w:r>
      <w:r>
        <w:rPr>
          <w:rFonts w:hint="eastAsia"/>
        </w:rPr>
        <w:t>九、 残疾人福利性单位声明函(如涉及)</w:t>
      </w:r>
      <w:r>
        <w:tab/>
      </w:r>
      <w:r>
        <w:fldChar w:fldCharType="begin"/>
      </w:r>
      <w:r>
        <w:instrText xml:space="preserve"> PAGEREF _Toc28709 \h </w:instrText>
      </w:r>
      <w:r>
        <w:fldChar w:fldCharType="separate"/>
      </w:r>
      <w:r>
        <w:t>51</w:t>
      </w:r>
      <w:r>
        <w:fldChar w:fldCharType="end"/>
      </w:r>
      <w:r>
        <w:fldChar w:fldCharType="end"/>
      </w:r>
    </w:p>
    <w:p>
      <w:pPr>
        <w:pStyle w:val="13"/>
        <w:tabs>
          <w:tab w:val="right" w:leader="dot" w:pos="9746"/>
          <w:tab w:val="clear" w:pos="0"/>
        </w:tabs>
      </w:pPr>
      <w:r>
        <w:fldChar w:fldCharType="begin"/>
      </w:r>
      <w:r>
        <w:instrText xml:space="preserve"> HYPERLINK \l _Toc30337 </w:instrText>
      </w:r>
      <w:r>
        <w:fldChar w:fldCharType="separate"/>
      </w:r>
      <w:r>
        <w:rPr>
          <w:rFonts w:hint="eastAsia"/>
        </w:rPr>
        <w:t>十、 履约能力及相关证明</w:t>
      </w:r>
      <w:r>
        <w:tab/>
      </w:r>
      <w:r>
        <w:fldChar w:fldCharType="begin"/>
      </w:r>
      <w:r>
        <w:instrText xml:space="preserve"> PAGEREF _Toc30337 \h </w:instrText>
      </w:r>
      <w:r>
        <w:fldChar w:fldCharType="separate"/>
      </w:r>
      <w:r>
        <w:t>52</w:t>
      </w:r>
      <w:r>
        <w:fldChar w:fldCharType="end"/>
      </w:r>
      <w:r>
        <w:fldChar w:fldCharType="end"/>
      </w:r>
    </w:p>
    <w:p>
      <w:pPr>
        <w:pStyle w:val="13"/>
        <w:tabs>
          <w:tab w:val="right" w:leader="dot" w:pos="9746"/>
          <w:tab w:val="clear" w:pos="0"/>
        </w:tabs>
      </w:pPr>
      <w:r>
        <w:fldChar w:fldCharType="begin"/>
      </w:r>
      <w:r>
        <w:instrText xml:space="preserve"> HYPERLINK \l _Toc9799 </w:instrText>
      </w:r>
      <w:r>
        <w:fldChar w:fldCharType="separate"/>
      </w:r>
      <w:r>
        <w:rPr>
          <w:rFonts w:hint="eastAsia"/>
        </w:rPr>
        <w:t xml:space="preserve">十一、 </w:t>
      </w:r>
      <w:r>
        <w:rPr>
          <w:rFonts w:hint="eastAsia" w:ascii="Times New Roman" w:hAnsi="Times New Roman" w:cs="Times New Roman"/>
          <w:szCs w:val="21"/>
        </w:rPr>
        <w:t>服务</w:t>
      </w:r>
      <w:r>
        <w:rPr>
          <w:rFonts w:ascii="Times New Roman" w:hAnsi="Times New Roman" w:cs="Times New Roman"/>
          <w:szCs w:val="21"/>
        </w:rPr>
        <w:t>方案</w:t>
      </w:r>
      <w:r>
        <w:tab/>
      </w:r>
      <w:r>
        <w:fldChar w:fldCharType="begin"/>
      </w:r>
      <w:r>
        <w:instrText xml:space="preserve"> PAGEREF _Toc9799 \h </w:instrText>
      </w:r>
      <w:r>
        <w:fldChar w:fldCharType="separate"/>
      </w:r>
      <w:r>
        <w:t>53</w:t>
      </w:r>
      <w:r>
        <w:fldChar w:fldCharType="end"/>
      </w:r>
      <w:r>
        <w:fldChar w:fldCharType="end"/>
      </w:r>
    </w:p>
    <w:p>
      <w:pPr>
        <w:pStyle w:val="13"/>
        <w:tabs>
          <w:tab w:val="right" w:leader="dot" w:pos="9746"/>
          <w:tab w:val="clear" w:pos="0"/>
        </w:tabs>
      </w:pPr>
      <w:r>
        <w:fldChar w:fldCharType="begin"/>
      </w:r>
      <w:r>
        <w:instrText xml:space="preserve"> HYPERLINK \l _Toc31318 </w:instrText>
      </w:r>
      <w:r>
        <w:fldChar w:fldCharType="separate"/>
      </w:r>
      <w:r>
        <w:rPr>
          <w:rFonts w:hint="eastAsia"/>
        </w:rPr>
        <w:t>十二、 招标代理服务费承诺函</w:t>
      </w:r>
      <w:r>
        <w:tab/>
      </w:r>
      <w:r>
        <w:fldChar w:fldCharType="begin"/>
      </w:r>
      <w:r>
        <w:instrText xml:space="preserve"> PAGEREF _Toc31318 \h </w:instrText>
      </w:r>
      <w:r>
        <w:fldChar w:fldCharType="separate"/>
      </w:r>
      <w:r>
        <w:t>54</w:t>
      </w:r>
      <w:r>
        <w:fldChar w:fldCharType="end"/>
      </w:r>
      <w:r>
        <w:fldChar w:fldCharType="end"/>
      </w:r>
    </w:p>
    <w:p>
      <w:pPr>
        <w:pStyle w:val="13"/>
        <w:tabs>
          <w:tab w:val="right" w:leader="dot" w:pos="9746"/>
          <w:tab w:val="clear" w:pos="0"/>
        </w:tabs>
      </w:pPr>
      <w:r>
        <w:fldChar w:fldCharType="begin"/>
      </w:r>
      <w:r>
        <w:instrText xml:space="preserve"> HYPERLINK \l _Toc4148 </w:instrText>
      </w:r>
      <w:r>
        <w:fldChar w:fldCharType="separate"/>
      </w:r>
      <w:r>
        <w:rPr>
          <w:rFonts w:hint="eastAsia"/>
        </w:rPr>
        <w:t>十三、 报价表</w:t>
      </w:r>
      <w:r>
        <w:tab/>
      </w:r>
      <w:r>
        <w:fldChar w:fldCharType="begin"/>
      </w:r>
      <w:r>
        <w:instrText xml:space="preserve"> PAGEREF _Toc4148 \h </w:instrText>
      </w:r>
      <w:r>
        <w:fldChar w:fldCharType="separate"/>
      </w:r>
      <w:r>
        <w:t>55</w:t>
      </w:r>
      <w:r>
        <w:fldChar w:fldCharType="end"/>
      </w:r>
      <w:r>
        <w:fldChar w:fldCharType="end"/>
      </w:r>
    </w:p>
    <w:p>
      <w:pPr>
        <w:pStyle w:val="17"/>
        <w:tabs>
          <w:tab w:val="clear" w:pos="0"/>
        </w:tabs>
      </w:pPr>
      <w:r>
        <w:fldChar w:fldCharType="begin"/>
      </w:r>
      <w:r>
        <w:instrText xml:space="preserve"> HYPERLINK \l _Toc9191 </w:instrText>
      </w:r>
      <w:r>
        <w:fldChar w:fldCharType="separate"/>
      </w:r>
      <w:r>
        <w:rPr>
          <w:rFonts w:hint="eastAsia" w:ascii="宋体" w:hAnsi="宋体" w:eastAsia="宋体" w:cs="宋体"/>
        </w:rPr>
        <w:t xml:space="preserve">第四章 </w:t>
      </w:r>
      <w:r>
        <w:rPr>
          <w:rFonts w:hint="eastAsia"/>
        </w:rPr>
        <w:t>资格性审查内容</w:t>
      </w:r>
      <w:r>
        <w:tab/>
      </w:r>
      <w:r>
        <w:fldChar w:fldCharType="begin"/>
      </w:r>
      <w:r>
        <w:instrText xml:space="preserve"> PAGEREF _Toc9191 \h </w:instrText>
      </w:r>
      <w:r>
        <w:fldChar w:fldCharType="separate"/>
      </w:r>
      <w:r>
        <w:t>56</w:t>
      </w:r>
      <w:r>
        <w:fldChar w:fldCharType="end"/>
      </w:r>
      <w:r>
        <w:fldChar w:fldCharType="end"/>
      </w:r>
    </w:p>
    <w:p>
      <w:pPr>
        <w:pStyle w:val="17"/>
        <w:tabs>
          <w:tab w:val="clear" w:pos="0"/>
        </w:tabs>
      </w:pPr>
      <w:r>
        <w:fldChar w:fldCharType="begin"/>
      </w:r>
      <w:r>
        <w:instrText xml:space="preserve"> HYPERLINK \l _Toc1692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_Toc1692 \h </w:instrText>
      </w:r>
      <w:r>
        <w:fldChar w:fldCharType="separate"/>
      </w:r>
      <w:r>
        <w:t>59</w:t>
      </w:r>
      <w:r>
        <w:fldChar w:fldCharType="end"/>
      </w:r>
      <w:r>
        <w:fldChar w:fldCharType="end"/>
      </w:r>
    </w:p>
    <w:p>
      <w:pPr>
        <w:pStyle w:val="18"/>
        <w:tabs>
          <w:tab w:val="right" w:leader="dot" w:pos="9746"/>
          <w:tab w:val="clear" w:pos="0"/>
        </w:tabs>
      </w:pPr>
      <w:r>
        <w:fldChar w:fldCharType="begin"/>
      </w:r>
      <w:r>
        <w:instrText xml:space="preserve"> HYPERLINK \l _Toc27654 </w:instrText>
      </w:r>
      <w:r>
        <w:fldChar w:fldCharType="separate"/>
      </w:r>
      <w:r>
        <w:rPr>
          <w:rFonts w:cs="宋体"/>
          <w:bCs/>
        </w:rPr>
        <w:t xml:space="preserve">一、 </w:t>
      </w:r>
      <w:r>
        <w:rPr>
          <w:rFonts w:hint="eastAsia" w:cs="宋体"/>
          <w:bCs/>
        </w:rPr>
        <w:t>项目概况</w:t>
      </w:r>
      <w:r>
        <w:tab/>
      </w:r>
      <w:r>
        <w:fldChar w:fldCharType="begin"/>
      </w:r>
      <w:r>
        <w:instrText xml:space="preserve"> PAGEREF _Toc27654 \h </w:instrText>
      </w:r>
      <w:r>
        <w:fldChar w:fldCharType="separate"/>
      </w:r>
      <w:r>
        <w:t>59</w:t>
      </w:r>
      <w:r>
        <w:fldChar w:fldCharType="end"/>
      </w:r>
      <w:r>
        <w:fldChar w:fldCharType="end"/>
      </w:r>
    </w:p>
    <w:p>
      <w:pPr>
        <w:pStyle w:val="18"/>
        <w:tabs>
          <w:tab w:val="right" w:leader="dot" w:pos="9746"/>
          <w:tab w:val="clear" w:pos="0"/>
        </w:tabs>
      </w:pPr>
      <w:r>
        <w:fldChar w:fldCharType="begin"/>
      </w:r>
      <w:r>
        <w:instrText xml:space="preserve"> HYPERLINK \l _Toc7771 </w:instrText>
      </w:r>
      <w:r>
        <w:fldChar w:fldCharType="separate"/>
      </w:r>
      <w:r>
        <w:rPr>
          <w:rFonts w:cs="宋体"/>
          <w:bCs/>
        </w:rPr>
        <w:t xml:space="preserve">二、 </w:t>
      </w:r>
      <w:r>
        <w:rPr>
          <w:rFonts w:hint="eastAsia" w:cs="宋体"/>
          <w:bCs/>
        </w:rPr>
        <w:t>服务内容及要求</w:t>
      </w:r>
      <w:r>
        <w:tab/>
      </w:r>
      <w:r>
        <w:fldChar w:fldCharType="begin"/>
      </w:r>
      <w:r>
        <w:instrText xml:space="preserve"> PAGEREF _Toc7771 \h </w:instrText>
      </w:r>
      <w:r>
        <w:fldChar w:fldCharType="separate"/>
      </w:r>
      <w:r>
        <w:t>59</w:t>
      </w:r>
      <w:r>
        <w:fldChar w:fldCharType="end"/>
      </w:r>
      <w:r>
        <w:fldChar w:fldCharType="end"/>
      </w:r>
    </w:p>
    <w:p>
      <w:pPr>
        <w:pStyle w:val="18"/>
        <w:tabs>
          <w:tab w:val="right" w:leader="dot" w:pos="9746"/>
          <w:tab w:val="clear" w:pos="0"/>
        </w:tabs>
      </w:pPr>
      <w:r>
        <w:fldChar w:fldCharType="begin"/>
      </w:r>
      <w:r>
        <w:instrText xml:space="preserve"> HYPERLINK \l _Toc32269 </w:instrText>
      </w:r>
      <w:r>
        <w:fldChar w:fldCharType="separate"/>
      </w:r>
      <w:r>
        <w:rPr>
          <w:rFonts w:cs="宋体"/>
          <w:bCs/>
        </w:rPr>
        <w:t xml:space="preserve">三、 </w:t>
      </w:r>
      <w:r>
        <w:rPr>
          <w:rFonts w:hint="eastAsia" w:cs="宋体"/>
          <w:bCs/>
        </w:rPr>
        <w:t>※商务要求</w:t>
      </w:r>
      <w:r>
        <w:tab/>
      </w:r>
      <w:r>
        <w:fldChar w:fldCharType="begin"/>
      </w:r>
      <w:r>
        <w:instrText xml:space="preserve"> PAGEREF _Toc32269 \h </w:instrText>
      </w:r>
      <w:r>
        <w:fldChar w:fldCharType="separate"/>
      </w:r>
      <w:r>
        <w:t>60</w:t>
      </w:r>
      <w:r>
        <w:fldChar w:fldCharType="end"/>
      </w:r>
      <w:r>
        <w:fldChar w:fldCharType="end"/>
      </w:r>
    </w:p>
    <w:p>
      <w:pPr>
        <w:pStyle w:val="17"/>
        <w:tabs>
          <w:tab w:val="clear" w:pos="0"/>
        </w:tabs>
      </w:pPr>
      <w:r>
        <w:fldChar w:fldCharType="begin"/>
      </w:r>
      <w:r>
        <w:instrText xml:space="preserve"> HYPERLINK \l _Toc24468 </w:instrText>
      </w:r>
      <w:r>
        <w:fldChar w:fldCharType="separate"/>
      </w:r>
      <w:r>
        <w:rPr>
          <w:rFonts w:hint="eastAsia" w:ascii="宋体" w:hAnsi="宋体" w:eastAsia="宋体" w:cs="宋体"/>
        </w:rPr>
        <w:t xml:space="preserve">第六章 </w:t>
      </w:r>
      <w:r>
        <w:rPr>
          <w:rFonts w:hint="eastAsia"/>
        </w:rPr>
        <w:t>磋商内容、磋商过程中可实质性变动的内容</w:t>
      </w:r>
      <w:r>
        <w:tab/>
      </w:r>
      <w:r>
        <w:fldChar w:fldCharType="begin"/>
      </w:r>
      <w:r>
        <w:instrText xml:space="preserve"> PAGEREF _Toc24468 \h </w:instrText>
      </w:r>
      <w:r>
        <w:fldChar w:fldCharType="separate"/>
      </w:r>
      <w:r>
        <w:t>63</w:t>
      </w:r>
      <w:r>
        <w:fldChar w:fldCharType="end"/>
      </w:r>
      <w:r>
        <w:fldChar w:fldCharType="end"/>
      </w:r>
    </w:p>
    <w:p>
      <w:pPr>
        <w:pStyle w:val="17"/>
        <w:tabs>
          <w:tab w:val="clear" w:pos="0"/>
        </w:tabs>
      </w:pPr>
      <w:r>
        <w:fldChar w:fldCharType="begin"/>
      </w:r>
      <w:r>
        <w:instrText xml:space="preserve"> HYPERLINK \l _Toc19228 </w:instrText>
      </w:r>
      <w:r>
        <w:fldChar w:fldCharType="separate"/>
      </w:r>
      <w:r>
        <w:rPr>
          <w:rFonts w:hint="eastAsia" w:ascii="宋体" w:hAnsi="宋体" w:eastAsia="宋体" w:cs="宋体"/>
        </w:rPr>
        <w:t xml:space="preserve">第七章 </w:t>
      </w:r>
      <w:r>
        <w:rPr>
          <w:rFonts w:hint="eastAsia"/>
        </w:rPr>
        <w:t>磋商程序</w:t>
      </w:r>
      <w:r>
        <w:tab/>
      </w:r>
      <w:r>
        <w:fldChar w:fldCharType="begin"/>
      </w:r>
      <w:r>
        <w:instrText xml:space="preserve"> PAGEREF _Toc19228 \h </w:instrText>
      </w:r>
      <w:r>
        <w:fldChar w:fldCharType="separate"/>
      </w:r>
      <w:r>
        <w:t>64</w:t>
      </w:r>
      <w:r>
        <w:fldChar w:fldCharType="end"/>
      </w:r>
      <w:r>
        <w:fldChar w:fldCharType="end"/>
      </w:r>
    </w:p>
    <w:p>
      <w:pPr>
        <w:pStyle w:val="18"/>
        <w:tabs>
          <w:tab w:val="right" w:leader="dot" w:pos="9746"/>
          <w:tab w:val="clear" w:pos="0"/>
        </w:tabs>
      </w:pPr>
      <w:r>
        <w:fldChar w:fldCharType="begin"/>
      </w:r>
      <w:r>
        <w:instrText xml:space="preserve"> HYPERLINK \l _Toc25181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_Toc25181 \h </w:instrText>
      </w:r>
      <w:r>
        <w:fldChar w:fldCharType="separate"/>
      </w:r>
      <w:r>
        <w:t>64</w:t>
      </w:r>
      <w:r>
        <w:fldChar w:fldCharType="end"/>
      </w:r>
      <w:r>
        <w:fldChar w:fldCharType="end"/>
      </w:r>
    </w:p>
    <w:p>
      <w:pPr>
        <w:pStyle w:val="18"/>
        <w:tabs>
          <w:tab w:val="right" w:leader="dot" w:pos="9746"/>
          <w:tab w:val="clear" w:pos="0"/>
        </w:tabs>
      </w:pPr>
      <w:r>
        <w:fldChar w:fldCharType="begin"/>
      </w:r>
      <w:r>
        <w:instrText xml:space="preserve"> HYPERLINK \l _Toc12412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_Toc12412 \h </w:instrText>
      </w:r>
      <w:r>
        <w:fldChar w:fldCharType="separate"/>
      </w:r>
      <w:r>
        <w:t>64</w:t>
      </w:r>
      <w:r>
        <w:fldChar w:fldCharType="end"/>
      </w:r>
      <w:r>
        <w:fldChar w:fldCharType="end"/>
      </w:r>
    </w:p>
    <w:p>
      <w:pPr>
        <w:pStyle w:val="18"/>
        <w:tabs>
          <w:tab w:val="right" w:leader="dot" w:pos="9746"/>
          <w:tab w:val="clear" w:pos="0"/>
        </w:tabs>
      </w:pPr>
      <w:r>
        <w:fldChar w:fldCharType="begin"/>
      </w:r>
      <w:r>
        <w:instrText xml:space="preserve"> HYPERLINK \l _Toc26150 </w:instrText>
      </w:r>
      <w:r>
        <w:fldChar w:fldCharType="separate"/>
      </w:r>
      <w:r>
        <w:rPr>
          <w:rFonts w:hint="eastAsia" w:ascii="宋体" w:hAnsi="宋体" w:eastAsia="宋体" w:cs="宋体"/>
        </w:rPr>
        <w:t xml:space="preserve">三、 </w:t>
      </w:r>
      <w:r>
        <w:rPr>
          <w:rFonts w:hint="eastAsia"/>
        </w:rPr>
        <w:t>评审程序</w:t>
      </w:r>
      <w:r>
        <w:tab/>
      </w:r>
      <w:r>
        <w:fldChar w:fldCharType="begin"/>
      </w:r>
      <w:r>
        <w:instrText xml:space="preserve"> PAGEREF _Toc26150 \h </w:instrText>
      </w:r>
      <w:r>
        <w:fldChar w:fldCharType="separate"/>
      </w:r>
      <w:r>
        <w:t>65</w:t>
      </w:r>
      <w:r>
        <w:fldChar w:fldCharType="end"/>
      </w:r>
      <w:r>
        <w:fldChar w:fldCharType="end"/>
      </w:r>
    </w:p>
    <w:p>
      <w:pPr>
        <w:pStyle w:val="13"/>
        <w:tabs>
          <w:tab w:val="right" w:leader="dot" w:pos="9746"/>
          <w:tab w:val="clear" w:pos="0"/>
        </w:tabs>
      </w:pPr>
      <w:r>
        <w:fldChar w:fldCharType="begin"/>
      </w:r>
      <w:r>
        <w:instrText xml:space="preserve"> HYPERLINK \l _Toc4614 </w:instrText>
      </w:r>
      <w:r>
        <w:fldChar w:fldCharType="separate"/>
      </w:r>
      <w:r>
        <w:rPr>
          <w:rFonts w:hint="eastAsia" w:ascii="宋体" w:hAnsi="宋体" w:eastAsia="宋体" w:cs="宋体"/>
        </w:rPr>
        <w:t xml:space="preserve">(一) </w:t>
      </w:r>
      <w:r>
        <w:rPr>
          <w:rFonts w:hint="eastAsia"/>
        </w:rPr>
        <w:t>供应商资格审查</w:t>
      </w:r>
      <w:r>
        <w:tab/>
      </w:r>
      <w:r>
        <w:fldChar w:fldCharType="begin"/>
      </w:r>
      <w:r>
        <w:instrText xml:space="preserve"> PAGEREF _Toc4614 \h </w:instrText>
      </w:r>
      <w:r>
        <w:fldChar w:fldCharType="separate"/>
      </w:r>
      <w:r>
        <w:t>65</w:t>
      </w:r>
      <w:r>
        <w:fldChar w:fldCharType="end"/>
      </w:r>
      <w:r>
        <w:fldChar w:fldCharType="end"/>
      </w:r>
    </w:p>
    <w:p>
      <w:pPr>
        <w:pStyle w:val="13"/>
        <w:tabs>
          <w:tab w:val="right" w:leader="dot" w:pos="9746"/>
          <w:tab w:val="clear" w:pos="0"/>
        </w:tabs>
      </w:pPr>
      <w:r>
        <w:fldChar w:fldCharType="begin"/>
      </w:r>
      <w:r>
        <w:instrText xml:space="preserve"> HYPERLINK \l _Toc24833 </w:instrText>
      </w:r>
      <w:r>
        <w:fldChar w:fldCharType="separate"/>
      </w:r>
      <w:r>
        <w:rPr>
          <w:rFonts w:hint="eastAsia" w:ascii="宋体" w:hAnsi="宋体" w:eastAsia="宋体" w:cs="宋体"/>
        </w:rPr>
        <w:t xml:space="preserve">(二) </w:t>
      </w:r>
      <w:r>
        <w:rPr>
          <w:rFonts w:hint="eastAsia"/>
        </w:rPr>
        <w:t>磋商</w:t>
      </w:r>
      <w:r>
        <w:tab/>
      </w:r>
      <w:r>
        <w:fldChar w:fldCharType="begin"/>
      </w:r>
      <w:r>
        <w:instrText xml:space="preserve"> PAGEREF _Toc24833 \h </w:instrText>
      </w:r>
      <w:r>
        <w:fldChar w:fldCharType="separate"/>
      </w:r>
      <w:r>
        <w:t>65</w:t>
      </w:r>
      <w:r>
        <w:fldChar w:fldCharType="end"/>
      </w:r>
      <w:r>
        <w:fldChar w:fldCharType="end"/>
      </w:r>
    </w:p>
    <w:p>
      <w:pPr>
        <w:pStyle w:val="13"/>
        <w:tabs>
          <w:tab w:val="right" w:leader="dot" w:pos="9746"/>
          <w:tab w:val="clear" w:pos="0"/>
        </w:tabs>
      </w:pPr>
      <w:r>
        <w:fldChar w:fldCharType="begin"/>
      </w:r>
      <w:r>
        <w:instrText xml:space="preserve"> HYPERLINK \l _Toc4273 </w:instrText>
      </w:r>
      <w:r>
        <w:fldChar w:fldCharType="separate"/>
      </w:r>
      <w:r>
        <w:rPr>
          <w:rFonts w:hint="eastAsia" w:ascii="宋体" w:hAnsi="宋体" w:eastAsia="宋体" w:cs="宋体"/>
        </w:rPr>
        <w:t xml:space="preserve">(三) </w:t>
      </w:r>
      <w:r>
        <w:rPr>
          <w:rFonts w:hint="eastAsia"/>
        </w:rPr>
        <w:t>采购活动终止</w:t>
      </w:r>
      <w:r>
        <w:tab/>
      </w:r>
      <w:r>
        <w:fldChar w:fldCharType="begin"/>
      </w:r>
      <w:r>
        <w:instrText xml:space="preserve"> PAGEREF _Toc4273 \h </w:instrText>
      </w:r>
      <w:r>
        <w:fldChar w:fldCharType="separate"/>
      </w:r>
      <w:r>
        <w:t>67</w:t>
      </w:r>
      <w:r>
        <w:fldChar w:fldCharType="end"/>
      </w:r>
      <w:r>
        <w:fldChar w:fldCharType="end"/>
      </w:r>
    </w:p>
    <w:p>
      <w:pPr>
        <w:pStyle w:val="13"/>
        <w:tabs>
          <w:tab w:val="right" w:leader="dot" w:pos="9746"/>
          <w:tab w:val="clear" w:pos="0"/>
        </w:tabs>
      </w:pPr>
      <w:r>
        <w:fldChar w:fldCharType="begin"/>
      </w:r>
      <w:r>
        <w:instrText xml:space="preserve"> HYPERLINK \l _Toc11886 </w:instrText>
      </w:r>
      <w:r>
        <w:fldChar w:fldCharType="separate"/>
      </w:r>
      <w:r>
        <w:rPr>
          <w:rFonts w:hint="eastAsia" w:ascii="宋体" w:hAnsi="宋体" w:eastAsia="宋体" w:cs="宋体"/>
        </w:rPr>
        <w:t xml:space="preserve">(四) </w:t>
      </w:r>
      <w:r>
        <w:rPr>
          <w:rFonts w:hint="eastAsia"/>
        </w:rPr>
        <w:t>报价</w:t>
      </w:r>
      <w:r>
        <w:tab/>
      </w:r>
      <w:r>
        <w:fldChar w:fldCharType="begin"/>
      </w:r>
      <w:r>
        <w:instrText xml:space="preserve"> PAGEREF _Toc11886 \h </w:instrText>
      </w:r>
      <w:r>
        <w:fldChar w:fldCharType="separate"/>
      </w:r>
      <w:r>
        <w:t>67</w:t>
      </w:r>
      <w:r>
        <w:fldChar w:fldCharType="end"/>
      </w:r>
      <w:r>
        <w:fldChar w:fldCharType="end"/>
      </w:r>
    </w:p>
    <w:p>
      <w:pPr>
        <w:pStyle w:val="13"/>
        <w:tabs>
          <w:tab w:val="right" w:leader="dot" w:pos="9746"/>
          <w:tab w:val="clear" w:pos="0"/>
        </w:tabs>
      </w:pPr>
      <w:r>
        <w:fldChar w:fldCharType="begin"/>
      </w:r>
      <w:r>
        <w:instrText xml:space="preserve"> HYPERLINK \l _Toc1726 </w:instrText>
      </w:r>
      <w:r>
        <w:fldChar w:fldCharType="separate"/>
      </w:r>
      <w:r>
        <w:rPr>
          <w:rFonts w:hint="eastAsia" w:ascii="宋体" w:hAnsi="宋体" w:eastAsia="宋体" w:cs="宋体"/>
        </w:rPr>
        <w:t xml:space="preserve">(五) </w:t>
      </w:r>
      <w:r>
        <w:rPr>
          <w:rFonts w:hint="eastAsia"/>
        </w:rPr>
        <w:t>评审方法</w:t>
      </w:r>
      <w:r>
        <w:tab/>
      </w:r>
      <w:r>
        <w:fldChar w:fldCharType="begin"/>
      </w:r>
      <w:r>
        <w:instrText xml:space="preserve"> PAGEREF _Toc1726 \h </w:instrText>
      </w:r>
      <w:r>
        <w:fldChar w:fldCharType="separate"/>
      </w:r>
      <w:r>
        <w:t>68</w:t>
      </w:r>
      <w:r>
        <w:fldChar w:fldCharType="end"/>
      </w:r>
      <w:r>
        <w:fldChar w:fldCharType="end"/>
      </w:r>
    </w:p>
    <w:p>
      <w:pPr>
        <w:pStyle w:val="13"/>
        <w:tabs>
          <w:tab w:val="right" w:leader="dot" w:pos="9746"/>
          <w:tab w:val="clear" w:pos="0"/>
        </w:tabs>
      </w:pPr>
      <w:r>
        <w:fldChar w:fldCharType="begin"/>
      </w:r>
      <w:r>
        <w:instrText xml:space="preserve"> HYPERLINK \l _Toc356 </w:instrText>
      </w:r>
      <w:r>
        <w:fldChar w:fldCharType="separate"/>
      </w:r>
      <w:r>
        <w:rPr>
          <w:rFonts w:hint="eastAsia" w:ascii="宋体" w:hAnsi="宋体" w:eastAsia="宋体" w:cs="宋体"/>
          <w:snapToGrid w:val="0"/>
        </w:rPr>
        <w:t xml:space="preserve">(六) </w:t>
      </w:r>
      <w:r>
        <w:rPr>
          <w:rFonts w:hint="eastAsia"/>
          <w:snapToGrid w:val="0"/>
        </w:rPr>
        <w:t>评审标准</w:t>
      </w:r>
      <w:r>
        <w:tab/>
      </w:r>
      <w:r>
        <w:fldChar w:fldCharType="begin"/>
      </w:r>
      <w:r>
        <w:instrText xml:space="preserve"> PAGEREF _Toc356 \h </w:instrText>
      </w:r>
      <w:r>
        <w:fldChar w:fldCharType="separate"/>
      </w:r>
      <w:r>
        <w:t>68</w:t>
      </w:r>
      <w:r>
        <w:fldChar w:fldCharType="end"/>
      </w:r>
      <w:r>
        <w:fldChar w:fldCharType="end"/>
      </w:r>
    </w:p>
    <w:p>
      <w:pPr>
        <w:pStyle w:val="13"/>
        <w:tabs>
          <w:tab w:val="right" w:leader="dot" w:pos="9746"/>
          <w:tab w:val="clear" w:pos="0"/>
        </w:tabs>
      </w:pPr>
      <w:r>
        <w:fldChar w:fldCharType="begin"/>
      </w:r>
      <w:r>
        <w:instrText xml:space="preserve"> HYPERLINK \l _Toc32285 </w:instrText>
      </w:r>
      <w:r>
        <w:fldChar w:fldCharType="separate"/>
      </w:r>
      <w:r>
        <w:rPr>
          <w:rFonts w:hint="eastAsia" w:ascii="宋体" w:hAnsi="宋体" w:eastAsia="宋体" w:cs="宋体"/>
        </w:rPr>
        <w:t xml:space="preserve">(七) </w:t>
      </w:r>
      <w:r>
        <w:rPr>
          <w:rFonts w:hint="eastAsia"/>
        </w:rPr>
        <w:t>复核</w:t>
      </w:r>
      <w:r>
        <w:tab/>
      </w:r>
      <w:r>
        <w:fldChar w:fldCharType="begin"/>
      </w:r>
      <w:r>
        <w:instrText xml:space="preserve"> PAGEREF _Toc32285 \h </w:instrText>
      </w:r>
      <w:r>
        <w:fldChar w:fldCharType="separate"/>
      </w:r>
      <w:r>
        <w:t>70</w:t>
      </w:r>
      <w:r>
        <w:fldChar w:fldCharType="end"/>
      </w:r>
      <w:r>
        <w:fldChar w:fldCharType="end"/>
      </w:r>
    </w:p>
    <w:p>
      <w:pPr>
        <w:pStyle w:val="13"/>
        <w:tabs>
          <w:tab w:val="right" w:leader="dot" w:pos="9746"/>
          <w:tab w:val="clear" w:pos="0"/>
        </w:tabs>
      </w:pPr>
      <w:r>
        <w:fldChar w:fldCharType="begin"/>
      </w:r>
      <w:r>
        <w:instrText xml:space="preserve"> HYPERLINK \l _Toc7075 </w:instrText>
      </w:r>
      <w:r>
        <w:fldChar w:fldCharType="separate"/>
      </w:r>
      <w:r>
        <w:rPr>
          <w:rFonts w:hint="eastAsia" w:ascii="宋体" w:hAnsi="宋体" w:eastAsia="宋体" w:cs="宋体"/>
        </w:rPr>
        <w:t xml:space="preserve">(八) </w:t>
      </w:r>
      <w:r>
        <w:rPr>
          <w:rFonts w:hint="eastAsia"/>
        </w:rPr>
        <w:t>评审报告</w:t>
      </w:r>
      <w:r>
        <w:tab/>
      </w:r>
      <w:r>
        <w:fldChar w:fldCharType="begin"/>
      </w:r>
      <w:r>
        <w:instrText xml:space="preserve"> PAGEREF _Toc7075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_Toc15090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_Toc15090 \h </w:instrText>
      </w:r>
      <w:r>
        <w:fldChar w:fldCharType="separate"/>
      </w:r>
      <w:r>
        <w:t>72</w:t>
      </w:r>
      <w:r>
        <w:fldChar w:fldCharType="end"/>
      </w:r>
      <w:r>
        <w:fldChar w:fldCharType="end"/>
      </w:r>
    </w:p>
    <w:p>
      <w:pPr>
        <w:pStyle w:val="13"/>
        <w:tabs>
          <w:tab w:val="right" w:leader="dot" w:pos="9746"/>
          <w:tab w:val="clear" w:pos="0"/>
        </w:tabs>
      </w:pPr>
      <w:r>
        <w:fldChar w:fldCharType="begin"/>
      </w:r>
      <w:r>
        <w:instrText xml:space="preserve"> HYPERLINK \l _Toc7315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_Toc7315 \h </w:instrText>
      </w:r>
      <w:r>
        <w:fldChar w:fldCharType="separate"/>
      </w:r>
      <w:r>
        <w:t>72</w:t>
      </w:r>
      <w:r>
        <w:fldChar w:fldCharType="end"/>
      </w:r>
      <w:r>
        <w:fldChar w:fldCharType="end"/>
      </w:r>
    </w:p>
    <w:p>
      <w:pPr>
        <w:pStyle w:val="13"/>
        <w:tabs>
          <w:tab w:val="right" w:leader="dot" w:pos="9746"/>
          <w:tab w:val="clear" w:pos="0"/>
        </w:tabs>
      </w:pPr>
      <w:r>
        <w:fldChar w:fldCharType="begin"/>
      </w:r>
      <w:r>
        <w:instrText xml:space="preserve"> HYPERLINK \l _Toc880 </w:instrText>
      </w:r>
      <w:r>
        <w:fldChar w:fldCharType="separate"/>
      </w:r>
      <w:r>
        <w:rPr>
          <w:rFonts w:hint="eastAsia" w:ascii="宋体" w:hAnsi="宋体" w:eastAsia="宋体" w:cs="宋体"/>
        </w:rPr>
        <w:t xml:space="preserve">(十一) </w:t>
      </w:r>
      <w:r>
        <w:rPr>
          <w:rFonts w:hint="eastAsia"/>
        </w:rPr>
        <w:t>评审专家在政府采购活动中承担以下义务</w:t>
      </w:r>
      <w:r>
        <w:tab/>
      </w:r>
      <w:r>
        <w:fldChar w:fldCharType="begin"/>
      </w:r>
      <w:r>
        <w:instrText xml:space="preserve"> PAGEREF _Toc880 \h </w:instrText>
      </w:r>
      <w:r>
        <w:fldChar w:fldCharType="separate"/>
      </w:r>
      <w:r>
        <w:t>73</w:t>
      </w:r>
      <w:r>
        <w:fldChar w:fldCharType="end"/>
      </w:r>
      <w:r>
        <w:fldChar w:fldCharType="end"/>
      </w:r>
    </w:p>
    <w:p>
      <w:pPr>
        <w:pStyle w:val="13"/>
        <w:tabs>
          <w:tab w:val="right" w:leader="dot" w:pos="9746"/>
          <w:tab w:val="clear" w:pos="0"/>
        </w:tabs>
      </w:pPr>
      <w:r>
        <w:fldChar w:fldCharType="begin"/>
      </w:r>
      <w:r>
        <w:instrText xml:space="preserve"> HYPERLINK \l _Toc3145 </w:instrText>
      </w:r>
      <w:r>
        <w:fldChar w:fldCharType="separate"/>
      </w:r>
      <w:r>
        <w:rPr>
          <w:rFonts w:hint="eastAsia" w:ascii="宋体" w:hAnsi="宋体" w:eastAsia="宋体" w:cs="宋体"/>
        </w:rPr>
        <w:t xml:space="preserve">(十二) </w:t>
      </w:r>
      <w:r>
        <w:rPr>
          <w:rFonts w:hint="eastAsia"/>
        </w:rPr>
        <w:t>评审专家在政府采购活动中应当遵守以下工作纪律</w:t>
      </w:r>
      <w:r>
        <w:tab/>
      </w:r>
      <w:r>
        <w:fldChar w:fldCharType="begin"/>
      </w:r>
      <w:r>
        <w:instrText xml:space="preserve"> PAGEREF _Toc3145 \h </w:instrText>
      </w:r>
      <w:r>
        <w:fldChar w:fldCharType="separate"/>
      </w:r>
      <w:r>
        <w:t>73</w:t>
      </w:r>
      <w:r>
        <w:fldChar w:fldCharType="end"/>
      </w:r>
      <w:r>
        <w:fldChar w:fldCharType="end"/>
      </w:r>
    </w:p>
    <w:p>
      <w:pPr>
        <w:pStyle w:val="13"/>
        <w:tabs>
          <w:tab w:val="right" w:leader="dot" w:pos="9746"/>
          <w:tab w:val="clear" w:pos="0"/>
        </w:tabs>
      </w:pPr>
      <w:r>
        <w:fldChar w:fldCharType="begin"/>
      </w:r>
      <w:r>
        <w:instrText xml:space="preserve"> HYPERLINK \l _Toc22371 </w:instrText>
      </w:r>
      <w:r>
        <w:fldChar w:fldCharType="separate"/>
      </w:r>
      <w:r>
        <w:rPr>
          <w:rFonts w:hint="eastAsia" w:ascii="宋体" w:hAnsi="宋体" w:eastAsia="宋体" w:cs="宋体"/>
        </w:rPr>
        <w:t xml:space="preserve">(十三) </w:t>
      </w:r>
      <w:r>
        <w:rPr>
          <w:rFonts w:hint="eastAsia"/>
        </w:rPr>
        <w:t>评审委员会及其成员不得有下列违约情形</w:t>
      </w:r>
      <w:r>
        <w:tab/>
      </w:r>
      <w:r>
        <w:fldChar w:fldCharType="begin"/>
      </w:r>
      <w:r>
        <w:instrText xml:space="preserve"> PAGEREF _Toc22371 \h </w:instrText>
      </w:r>
      <w:r>
        <w:fldChar w:fldCharType="separate"/>
      </w:r>
      <w:r>
        <w:t>74</w:t>
      </w:r>
      <w:r>
        <w:fldChar w:fldCharType="end"/>
      </w:r>
      <w:r>
        <w:fldChar w:fldCharType="end"/>
      </w:r>
    </w:p>
    <w:p>
      <w:pPr>
        <w:pStyle w:val="17"/>
        <w:tabs>
          <w:tab w:val="clear" w:pos="0"/>
        </w:tabs>
      </w:pPr>
      <w:r>
        <w:fldChar w:fldCharType="begin"/>
      </w:r>
      <w:r>
        <w:instrText xml:space="preserve"> HYPERLINK \l _Toc11097 </w:instrText>
      </w:r>
      <w:r>
        <w:fldChar w:fldCharType="separate"/>
      </w:r>
      <w:r>
        <w:rPr>
          <w:rFonts w:hint="eastAsia" w:ascii="宋体" w:hAnsi="宋体" w:eastAsia="宋体" w:cs="宋体"/>
        </w:rPr>
        <w:t xml:space="preserve">第八章 </w:t>
      </w:r>
      <w:r>
        <w:rPr>
          <w:rFonts w:hint="eastAsia"/>
        </w:rPr>
        <w:t>合同草案条款(参考文本)</w:t>
      </w:r>
      <w:r>
        <w:tab/>
      </w:r>
      <w:r>
        <w:fldChar w:fldCharType="begin"/>
      </w:r>
      <w:r>
        <w:instrText xml:space="preserve"> PAGEREF _Toc11097 \h </w:instrText>
      </w:r>
      <w:r>
        <w:fldChar w:fldCharType="separate"/>
      </w:r>
      <w:r>
        <w:t>75</w:t>
      </w:r>
      <w:r>
        <w:fldChar w:fldCharType="end"/>
      </w:r>
      <w:r>
        <w:fldChar w:fldCharType="end"/>
      </w:r>
    </w:p>
    <w:p>
      <w:pPr>
        <w:pStyle w:val="17"/>
        <w:tabs>
          <w:tab w:val="clear" w:pos="0"/>
        </w:tabs>
      </w:pPr>
      <w:r>
        <w:fldChar w:fldCharType="begin"/>
      </w:r>
      <w:r>
        <w:instrText xml:space="preserve"> HYPERLINK \l _Toc17637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_Toc17637 \h </w:instrText>
      </w:r>
      <w:r>
        <w:fldChar w:fldCharType="separate"/>
      </w:r>
      <w:r>
        <w:t>80</w:t>
      </w:r>
      <w:r>
        <w:fldChar w:fldCharType="end"/>
      </w:r>
      <w:r>
        <w:fldChar w:fldCharType="end"/>
      </w:r>
    </w:p>
    <w:p>
      <w:pPr>
        <w:pStyle w:val="18"/>
        <w:tabs>
          <w:tab w:val="right" w:leader="dot" w:pos="9746"/>
          <w:tab w:val="clear" w:pos="0"/>
        </w:tabs>
      </w:pPr>
      <w:r>
        <w:fldChar w:fldCharType="begin"/>
      </w:r>
      <w:r>
        <w:instrText xml:space="preserve"> HYPERLINK \l _Toc23188 </w:instrText>
      </w:r>
      <w:r>
        <w:fldChar w:fldCharType="separate"/>
      </w:r>
      <w:r>
        <w:rPr>
          <w:rFonts w:hint="eastAsia"/>
        </w:rPr>
        <w:t>附件一：问题的澄清、说明、更正通知</w:t>
      </w:r>
      <w:r>
        <w:tab/>
      </w:r>
      <w:r>
        <w:fldChar w:fldCharType="begin"/>
      </w:r>
      <w:r>
        <w:instrText xml:space="preserve"> PAGEREF _Toc23188 \h </w:instrText>
      </w:r>
      <w:r>
        <w:fldChar w:fldCharType="separate"/>
      </w:r>
      <w:r>
        <w:t>80</w:t>
      </w:r>
      <w:r>
        <w:fldChar w:fldCharType="end"/>
      </w:r>
      <w:r>
        <w:fldChar w:fldCharType="end"/>
      </w:r>
    </w:p>
    <w:p>
      <w:pPr>
        <w:pStyle w:val="18"/>
        <w:tabs>
          <w:tab w:val="right" w:leader="dot" w:pos="9746"/>
          <w:tab w:val="clear" w:pos="0"/>
        </w:tabs>
      </w:pPr>
      <w:r>
        <w:fldChar w:fldCharType="begin"/>
      </w:r>
      <w:r>
        <w:instrText xml:space="preserve"> HYPERLINK \l _Toc19667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_Toc19667 \h </w:instrText>
      </w:r>
      <w:r>
        <w:fldChar w:fldCharType="separate"/>
      </w:r>
      <w:r>
        <w:t>81</w:t>
      </w:r>
      <w:r>
        <w:fldChar w:fldCharType="end"/>
      </w:r>
      <w:r>
        <w:fldChar w:fldCharType="end"/>
      </w:r>
    </w:p>
    <w:p>
      <w:pPr>
        <w:pStyle w:val="18"/>
        <w:tabs>
          <w:tab w:val="right" w:leader="dot" w:pos="9746"/>
          <w:tab w:val="clear" w:pos="0"/>
        </w:tabs>
      </w:pPr>
      <w:r>
        <w:fldChar w:fldCharType="begin"/>
      </w:r>
      <w:r>
        <w:instrText xml:space="preserve"> HYPERLINK \l _Toc8480 </w:instrText>
      </w:r>
      <w:r>
        <w:fldChar w:fldCharType="separate"/>
      </w:r>
      <w:r>
        <w:rPr>
          <w:rFonts w:hint="eastAsia"/>
        </w:rPr>
        <w:t>附件三：2021年度信用评价服务效果调查表</w:t>
      </w:r>
      <w:r>
        <w:tab/>
      </w:r>
      <w:r>
        <w:fldChar w:fldCharType="begin"/>
      </w:r>
      <w:r>
        <w:instrText xml:space="preserve"> PAGEREF _Toc8480 \h </w:instrText>
      </w:r>
      <w:r>
        <w:fldChar w:fldCharType="separate"/>
      </w:r>
      <w:r>
        <w:t>82</w:t>
      </w:r>
      <w:r>
        <w:fldChar w:fldCharType="end"/>
      </w:r>
      <w:r>
        <w:fldChar w:fldCharType="end"/>
      </w:r>
    </w:p>
    <w:p>
      <w:pPr>
        <w:pStyle w:val="18"/>
        <w:tabs>
          <w:tab w:val="right" w:leader="dot" w:pos="9746"/>
          <w:tab w:val="clear" w:pos="0"/>
        </w:tabs>
      </w:pPr>
      <w:r>
        <w:fldChar w:fldCharType="begin"/>
      </w:r>
      <w:r>
        <w:instrText xml:space="preserve"> HYPERLINK \l _Toc5194 </w:instrText>
      </w:r>
      <w:r>
        <w:fldChar w:fldCharType="separate"/>
      </w:r>
      <w:r>
        <w:rPr>
          <w:rFonts w:hint="eastAsia" w:asciiTheme="minorEastAsia" w:hAnsiTheme="minorEastAsia" w:eastAsiaTheme="minorEastAsia" w:cstheme="minorEastAsia"/>
        </w:rPr>
        <w:t>附件四：统计上大中小微型企业划分标准</w:t>
      </w:r>
      <w:r>
        <w:tab/>
      </w:r>
      <w:r>
        <w:fldChar w:fldCharType="begin"/>
      </w:r>
      <w:r>
        <w:instrText xml:space="preserve"> PAGEREF _Toc5194 \h </w:instrText>
      </w:r>
      <w:r>
        <w:fldChar w:fldCharType="separate"/>
      </w:r>
      <w:r>
        <w:t>83</w:t>
      </w:r>
      <w:r>
        <w:fldChar w:fldCharType="end"/>
      </w:r>
      <w:r>
        <w:fldChar w:fldCharType="end"/>
      </w:r>
    </w:p>
    <w:p>
      <w:pPr>
        <w:pStyle w:val="18"/>
        <w:tabs>
          <w:tab w:val="right" w:leader="dot" w:pos="9746"/>
          <w:tab w:val="clear" w:pos="0"/>
        </w:tabs>
      </w:pPr>
      <w:r>
        <w:fldChar w:fldCharType="begin"/>
      </w:r>
      <w:r>
        <w:instrText xml:space="preserve"> HYPERLINK \l _Toc22282 </w:instrText>
      </w:r>
      <w:r>
        <w:fldChar w:fldCharType="separate"/>
      </w:r>
      <w:r>
        <w:rPr>
          <w:rFonts w:hint="eastAsia" w:asciiTheme="minorEastAsia" w:hAnsiTheme="minorEastAsia" w:eastAsiaTheme="minorEastAsia" w:cstheme="minorEastAsia"/>
        </w:rPr>
        <w:t>附件五：《四川省财政厅关于推进四川省政府采购供应商信用融资工作的通知》(川财采〔2018〕123号文)</w:t>
      </w:r>
      <w:r>
        <w:tab/>
      </w:r>
      <w:r>
        <w:fldChar w:fldCharType="begin"/>
      </w:r>
      <w:r>
        <w:instrText xml:space="preserve"> PAGEREF _Toc22282 \h </w:instrText>
      </w:r>
      <w:r>
        <w:fldChar w:fldCharType="separate"/>
      </w:r>
      <w:r>
        <w:t>85</w:t>
      </w:r>
      <w:r>
        <w:fldChar w:fldCharType="end"/>
      </w:r>
      <w:r>
        <w:fldChar w:fldCharType="end"/>
      </w:r>
    </w:p>
    <w:p>
      <w:pPr>
        <w:pStyle w:val="18"/>
        <w:tabs>
          <w:tab w:val="right" w:leader="dot" w:pos="9746"/>
          <w:tab w:val="clear" w:pos="0"/>
        </w:tabs>
      </w:pPr>
      <w:r>
        <w:fldChar w:fldCharType="begin"/>
      </w:r>
      <w:r>
        <w:instrText xml:space="preserve"> HYPERLINK \l _Toc13501 </w:instrText>
      </w:r>
      <w:r>
        <w:fldChar w:fldCharType="separate"/>
      </w:r>
      <w:r>
        <w:rPr>
          <w:rFonts w:hint="eastAsia" w:asciiTheme="minorEastAsia" w:hAnsiTheme="minorEastAsia" w:eastAsiaTheme="minorEastAsia" w:cstheme="minorEastAsia"/>
        </w:rPr>
        <w:t>附件六：成都市财政局  中国人民银行成都分行营业管理部关于印发《成都市中小企业政府采购信用融资暂行办法》和《成都市级支持中小企业政府采购信用融资实施方案》的通</w:t>
      </w:r>
      <w:r>
        <w:rPr>
          <w:rFonts w:hint="eastAsia"/>
        </w:rPr>
        <w:t>知(成财采〔2019〕17号)</w:t>
      </w:r>
      <w:r>
        <w:tab/>
      </w:r>
      <w:r>
        <w:fldChar w:fldCharType="begin"/>
      </w:r>
      <w:r>
        <w:instrText xml:space="preserve"> PAGEREF _Toc13501 \h </w:instrText>
      </w:r>
      <w:r>
        <w:fldChar w:fldCharType="separate"/>
      </w:r>
      <w:r>
        <w:t>90</w:t>
      </w:r>
      <w:r>
        <w:fldChar w:fldCharType="end"/>
      </w:r>
      <w:r>
        <w:fldChar w:fldCharType="end"/>
      </w:r>
    </w:p>
    <w:p>
      <w:r>
        <w:fldChar w:fldCharType="end"/>
      </w:r>
    </w:p>
    <w:p>
      <w:pPr>
        <w:pStyle w:val="44"/>
        <w:spacing w:before="120" w:after="120"/>
      </w:pPr>
      <w:r>
        <w:rPr>
          <w:rFonts w:hint="eastAsia"/>
        </w:rPr>
        <w:br w:type="page"/>
      </w:r>
      <w:bookmarkEnd w:id="2"/>
      <w:bookmarkEnd w:id="10"/>
      <w:bookmarkEnd w:id="11"/>
      <w:bookmarkEnd w:id="12"/>
      <w:bookmarkStart w:id="13" w:name="_Toc13876"/>
      <w:bookmarkStart w:id="14" w:name="_Toc213396759"/>
      <w:bookmarkStart w:id="15" w:name="_Toc217446031"/>
      <w:bookmarkStart w:id="16" w:name="_Toc213496267"/>
      <w:bookmarkStart w:id="17" w:name="_Toc213396945"/>
      <w:bookmarkStart w:id="18" w:name="_Toc213397009"/>
      <w:r>
        <w:rPr>
          <w:rFonts w:hint="eastAsia"/>
        </w:rPr>
        <w:t>竞争性磋商邀请公告</w:t>
      </w:r>
      <w:bookmarkEnd w:id="13"/>
    </w:p>
    <w:p>
      <w:pPr>
        <w:pStyle w:val="42"/>
        <w:spacing w:line="410" w:lineRule="exact"/>
      </w:pPr>
      <w:r>
        <w:rPr>
          <w:rFonts w:hint="eastAsia"/>
          <w:lang w:val="zh-CN"/>
        </w:rPr>
        <w:t>四川乾新招投标代理有限公司</w:t>
      </w:r>
      <w:r>
        <w:rPr>
          <w:rFonts w:hint="eastAsia"/>
        </w:rPr>
        <w:t>受成都市规划和自然资源局的委托，拟对成都市规划和自然资源局“乡村振兴”规划项目采用竞争性磋商方式进行采购，特邀请合格的供应商参加该项目的竞争性磋商。</w:t>
      </w:r>
    </w:p>
    <w:p>
      <w:pPr>
        <w:pStyle w:val="39"/>
        <w:numPr>
          <w:ilvl w:val="0"/>
          <w:numId w:val="7"/>
        </w:numPr>
        <w:spacing w:line="410" w:lineRule="exact"/>
        <w:ind w:firstLine="482" w:firstLineChars="200"/>
      </w:pPr>
      <w:r>
        <w:rPr>
          <w:rFonts w:hint="eastAsia"/>
          <w:b/>
          <w:bCs/>
        </w:rPr>
        <w:t>项目名称：</w:t>
      </w:r>
      <w:r>
        <w:rPr>
          <w:rFonts w:hint="eastAsia"/>
        </w:rPr>
        <w:t xml:space="preserve">成都市规划和自然资源局“乡村振兴”规划项目         </w:t>
      </w:r>
    </w:p>
    <w:p>
      <w:pPr>
        <w:pStyle w:val="39"/>
        <w:numPr>
          <w:ilvl w:val="0"/>
          <w:numId w:val="7"/>
        </w:numPr>
        <w:spacing w:line="410" w:lineRule="exact"/>
        <w:ind w:firstLine="482" w:firstLineChars="200"/>
      </w:pPr>
      <w:r>
        <w:rPr>
          <w:rFonts w:hint="eastAsia"/>
          <w:b/>
          <w:bCs/>
        </w:rPr>
        <w:t>项目编号：510101202100937</w:t>
      </w:r>
    </w:p>
    <w:p>
      <w:pPr>
        <w:pStyle w:val="39"/>
        <w:numPr>
          <w:ilvl w:val="0"/>
          <w:numId w:val="7"/>
        </w:numPr>
        <w:spacing w:line="410" w:lineRule="exact"/>
        <w:ind w:firstLine="482" w:firstLineChars="200"/>
        <w:rPr>
          <w:b/>
          <w:bCs/>
        </w:rPr>
      </w:pPr>
      <w:r>
        <w:rPr>
          <w:rFonts w:hint="eastAsia"/>
          <w:b/>
          <w:bCs/>
        </w:rPr>
        <w:t>采购项目简介：</w:t>
      </w:r>
    </w:p>
    <w:p>
      <w:pPr>
        <w:pStyle w:val="30"/>
        <w:numPr>
          <w:ilvl w:val="1"/>
          <w:numId w:val="8"/>
        </w:numPr>
        <w:spacing w:line="410" w:lineRule="exact"/>
        <w:ind w:firstLine="482" w:firstLineChars="200"/>
      </w:pPr>
      <w:r>
        <w:rPr>
          <w:rFonts w:hint="eastAsia"/>
          <w:b/>
          <w:bCs/>
        </w:rPr>
        <w:t>资金来源：根据</w:t>
      </w:r>
      <w:r>
        <w:rPr>
          <w:rFonts w:hint="eastAsia"/>
          <w:b/>
          <w:bCs/>
          <w:u w:val="single"/>
        </w:rPr>
        <w:t>成都市</w:t>
      </w:r>
      <w:r>
        <w:rPr>
          <w:rFonts w:hint="eastAsia"/>
          <w:b/>
          <w:bCs/>
        </w:rPr>
        <w:t>财政局下达的《</w:t>
      </w:r>
      <w:r>
        <w:rPr>
          <w:rFonts w:hint="eastAsia"/>
          <w:b/>
          <w:bCs/>
          <w:u w:val="single"/>
        </w:rPr>
        <w:t>成都市市级</w:t>
      </w:r>
      <w:r>
        <w:rPr>
          <w:rFonts w:hint="eastAsia"/>
          <w:b/>
          <w:bCs/>
        </w:rPr>
        <w:t>政府采购实施计划备案表》(备案号：(2021)2362号)，该项目预算资金为人民币199.5万元</w:t>
      </w:r>
      <w:r>
        <w:rPr>
          <w:rFonts w:hint="eastAsia"/>
        </w:rPr>
        <w:t>。</w:t>
      </w:r>
    </w:p>
    <w:p>
      <w:pPr>
        <w:pStyle w:val="30"/>
        <w:numPr>
          <w:ilvl w:val="1"/>
          <w:numId w:val="8"/>
        </w:numPr>
        <w:spacing w:line="410" w:lineRule="exact"/>
        <w:ind w:firstLine="480" w:firstLineChars="200"/>
      </w:pPr>
      <w:r>
        <w:rPr>
          <w:rFonts w:hint="eastAsia"/>
        </w:rPr>
        <w:t>本项目共1个包，采购项目简介及采购内容详见第五章，本项目设置1名成交供应商。</w:t>
      </w:r>
    </w:p>
    <w:p>
      <w:pPr>
        <w:pStyle w:val="30"/>
        <w:numPr>
          <w:ilvl w:val="1"/>
          <w:numId w:val="8"/>
        </w:numPr>
        <w:spacing w:line="410" w:lineRule="exact"/>
        <w:ind w:firstLine="480" w:firstLineChars="200"/>
      </w:pPr>
      <w:r>
        <w:rPr>
          <w:rFonts w:hint="eastAsia"/>
        </w:rPr>
        <w:t>供应商邀请方式：本次竞争性磋商邀请在“四川政府采购网”以公告形式发布。</w:t>
      </w:r>
    </w:p>
    <w:p>
      <w:pPr>
        <w:pStyle w:val="39"/>
        <w:numPr>
          <w:ilvl w:val="0"/>
          <w:numId w:val="7"/>
        </w:numPr>
        <w:spacing w:line="410" w:lineRule="exact"/>
        <w:ind w:firstLine="482" w:firstLineChars="200"/>
        <w:rPr>
          <w:b/>
          <w:bCs/>
        </w:rPr>
      </w:pPr>
      <w:r>
        <w:rPr>
          <w:rFonts w:hint="eastAsia"/>
          <w:b/>
          <w:bCs/>
        </w:rPr>
        <w:t>项目性质：政府采购。</w:t>
      </w:r>
    </w:p>
    <w:p>
      <w:pPr>
        <w:pStyle w:val="39"/>
        <w:numPr>
          <w:ilvl w:val="0"/>
          <w:numId w:val="7"/>
        </w:numPr>
        <w:spacing w:line="410" w:lineRule="exact"/>
        <w:ind w:firstLine="482" w:firstLineChars="200"/>
        <w:rPr>
          <w:b/>
          <w:bCs/>
        </w:rPr>
      </w:pPr>
      <w:r>
        <w:rPr>
          <w:rFonts w:hint="eastAsia"/>
          <w:b/>
          <w:bCs/>
        </w:rPr>
        <w:t>采购用途：</w:t>
      </w:r>
      <w:r>
        <w:rPr>
          <w:rFonts w:hint="eastAsia"/>
        </w:rPr>
        <w:t>一是</w:t>
      </w:r>
      <w:r>
        <w:rPr>
          <w:rFonts w:hint="eastAsia" w:cs="Times New Roman"/>
        </w:rPr>
        <w:t>对镇村建设项目进行规范化管控和灵活化指引，塑造公园城市大美乡村形态，传承地方人居环境特征，彰显地域人文特色；二是</w:t>
      </w:r>
      <w:r>
        <w:rPr>
          <w:rFonts w:hint="eastAsia" w:cs="宋体"/>
        </w:rPr>
        <w:t>规范镇村</w:t>
      </w:r>
      <w:r>
        <w:rPr>
          <w:rFonts w:cs="宋体"/>
        </w:rPr>
        <w:t>各级规划</w:t>
      </w:r>
      <w:r>
        <w:rPr>
          <w:rFonts w:hint="eastAsia" w:cs="宋体"/>
        </w:rPr>
        <w:t>的</w:t>
      </w:r>
      <w:r>
        <w:rPr>
          <w:rFonts w:cs="宋体"/>
        </w:rPr>
        <w:t>编制要求</w:t>
      </w:r>
      <w:r>
        <w:rPr>
          <w:rFonts w:hint="eastAsia" w:cs="宋体"/>
        </w:rPr>
        <w:t>和</w:t>
      </w:r>
      <w:r>
        <w:rPr>
          <w:rFonts w:cs="宋体"/>
        </w:rPr>
        <w:t>成果形式，</w:t>
      </w:r>
      <w:r>
        <w:rPr>
          <w:rFonts w:hint="eastAsia" w:cs="宋体"/>
        </w:rPr>
        <w:t>以支撑成都乡村高质量发展</w:t>
      </w:r>
      <w:r>
        <w:rPr>
          <w:rFonts w:hint="eastAsia"/>
        </w:rPr>
        <w:t>。</w:t>
      </w:r>
    </w:p>
    <w:p>
      <w:pPr>
        <w:pStyle w:val="39"/>
        <w:numPr>
          <w:ilvl w:val="0"/>
          <w:numId w:val="7"/>
        </w:numPr>
        <w:spacing w:line="410" w:lineRule="exact"/>
        <w:ind w:firstLine="482" w:firstLineChars="200"/>
        <w:rPr>
          <w:b/>
          <w:bCs/>
        </w:rPr>
      </w:pPr>
      <w:r>
        <w:rPr>
          <w:rFonts w:hint="eastAsia"/>
          <w:b/>
          <w:bCs/>
        </w:rPr>
        <w:t>合格供应商应具备的资格条件：</w:t>
      </w:r>
    </w:p>
    <w:p>
      <w:pPr>
        <w:pStyle w:val="30"/>
        <w:spacing w:line="410" w:lineRule="exact"/>
        <w:ind w:firstLine="480" w:firstLineChars="200"/>
        <w:rPr>
          <w:lang w:val="zh-CN"/>
        </w:rPr>
      </w:pPr>
      <w:r>
        <w:rPr>
          <w:rFonts w:hint="eastAsia"/>
        </w:rPr>
        <w:t>(一)</w:t>
      </w:r>
      <w:r>
        <w:rPr>
          <w:rFonts w:hint="eastAsia"/>
          <w:lang w:val="zh-CN"/>
        </w:rPr>
        <w:t>符合《中华人民共和国政府采购法》第二十二条规定的条件：</w:t>
      </w:r>
    </w:p>
    <w:p>
      <w:pPr>
        <w:pStyle w:val="30"/>
        <w:spacing w:line="410" w:lineRule="exact"/>
        <w:ind w:firstLine="480" w:firstLineChars="200"/>
      </w:pPr>
      <w:r>
        <w:rPr>
          <w:rFonts w:hint="eastAsia"/>
        </w:rPr>
        <w:t>1.具有独立承担</w:t>
      </w:r>
      <w:r>
        <w:fldChar w:fldCharType="begin"/>
      </w:r>
      <w:r>
        <w:instrText xml:space="preserve"> HYPERLINK "http://www.lawtime.cn/info/minfa/mszeren/" \t "_blank" </w:instrText>
      </w:r>
      <w:r>
        <w:fldChar w:fldCharType="separate"/>
      </w:r>
      <w:r>
        <w:rPr>
          <w:rFonts w:hint="eastAsia"/>
        </w:rPr>
        <w:t>民事责任</w:t>
      </w:r>
      <w:r>
        <w:rPr>
          <w:rFonts w:hint="eastAsia"/>
        </w:rPr>
        <w:fldChar w:fldCharType="end"/>
      </w:r>
      <w:r>
        <w:rPr>
          <w:rFonts w:hint="eastAsia"/>
        </w:rPr>
        <w:t>的能力；</w:t>
      </w:r>
    </w:p>
    <w:p>
      <w:pPr>
        <w:pStyle w:val="30"/>
        <w:spacing w:line="410" w:lineRule="exact"/>
        <w:ind w:firstLine="480" w:firstLineChars="200"/>
      </w:pPr>
      <w:r>
        <w:rPr>
          <w:rFonts w:hint="eastAsia"/>
        </w:rPr>
        <w:t>2.具有良好的商业信誉和健全的财务会计制度；</w:t>
      </w:r>
    </w:p>
    <w:p>
      <w:pPr>
        <w:pStyle w:val="30"/>
        <w:spacing w:line="410" w:lineRule="exact"/>
        <w:ind w:firstLine="480" w:firstLineChars="200"/>
      </w:pPr>
      <w:r>
        <w:rPr>
          <w:rFonts w:hint="eastAsia"/>
        </w:rPr>
        <w:t>3.具有履行合同所必需的设备和专业技术能力；</w:t>
      </w:r>
    </w:p>
    <w:p>
      <w:pPr>
        <w:pStyle w:val="30"/>
        <w:spacing w:line="410" w:lineRule="exact"/>
        <w:ind w:firstLine="480" w:firstLineChars="200"/>
      </w:pPr>
      <w:r>
        <w:rPr>
          <w:rFonts w:hint="eastAsia"/>
        </w:rPr>
        <w:t>4.有依法缴纳税收和</w:t>
      </w:r>
      <w:r>
        <w:fldChar w:fldCharType="begin"/>
      </w:r>
      <w:r>
        <w:instrText xml:space="preserve"> HYPERLINK "http://www.lawtime.cn/info/laodong/shehuibaozhang/" \t "_blank" </w:instrText>
      </w:r>
      <w:r>
        <w:fldChar w:fldCharType="separate"/>
      </w:r>
      <w:r>
        <w:rPr>
          <w:rFonts w:hint="eastAsia"/>
        </w:rPr>
        <w:t>社会保障</w:t>
      </w:r>
      <w:r>
        <w:rPr>
          <w:rFonts w:hint="eastAsia"/>
        </w:rPr>
        <w:fldChar w:fldCharType="end"/>
      </w:r>
      <w:r>
        <w:rPr>
          <w:rFonts w:hint="eastAsia"/>
        </w:rPr>
        <w:t>资金的良好记录；</w:t>
      </w:r>
    </w:p>
    <w:p>
      <w:pPr>
        <w:pStyle w:val="30"/>
        <w:spacing w:line="410" w:lineRule="exact"/>
        <w:ind w:firstLine="480" w:firstLineChars="200"/>
      </w:pPr>
      <w:r>
        <w:rPr>
          <w:rFonts w:hint="eastAsia"/>
        </w:rPr>
        <w:t>5.参加政府采购活动前三年内，在经营活动中没有重大违法记录；</w:t>
      </w:r>
    </w:p>
    <w:p>
      <w:pPr>
        <w:pStyle w:val="30"/>
        <w:spacing w:line="410" w:lineRule="exact"/>
        <w:ind w:firstLine="480" w:firstLineChars="200"/>
        <w:rPr>
          <w:lang w:val="zh-CN"/>
        </w:rPr>
      </w:pPr>
      <w:r>
        <w:rPr>
          <w:rFonts w:hint="eastAsia"/>
        </w:rPr>
        <w:t>6.法律、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w:t>
      </w:r>
    </w:p>
    <w:p>
      <w:pPr>
        <w:pStyle w:val="39"/>
        <w:spacing w:line="460" w:lineRule="exact"/>
        <w:ind w:firstLine="480" w:firstLineChars="200"/>
        <w:rPr>
          <w:lang w:val="zh-CN"/>
        </w:rPr>
      </w:pPr>
      <w:r>
        <w:rPr>
          <w:rFonts w:hint="eastAsia"/>
        </w:rPr>
        <w:t>(二)</w:t>
      </w:r>
      <w:r>
        <w:rPr>
          <w:rFonts w:hint="eastAsia"/>
          <w:lang w:val="zh-CN"/>
        </w:rPr>
        <w:t>本项目的特定资格要求：</w:t>
      </w:r>
      <w:r>
        <w:rPr>
          <w:rFonts w:hint="eastAsia"/>
        </w:rPr>
        <w:t>本项目不接受联合体参加磋商。</w:t>
      </w:r>
    </w:p>
    <w:p>
      <w:pPr>
        <w:pStyle w:val="39"/>
        <w:numPr>
          <w:ilvl w:val="0"/>
          <w:numId w:val="7"/>
        </w:numPr>
        <w:spacing w:line="410" w:lineRule="exact"/>
        <w:ind w:firstLine="482" w:firstLineChars="200"/>
        <w:rPr>
          <w:b/>
          <w:bCs/>
        </w:rPr>
      </w:pPr>
      <w:r>
        <w:rPr>
          <w:rFonts w:hint="eastAsia"/>
          <w:b/>
          <w:bCs/>
        </w:rPr>
        <w:t>禁止参加本次采购活动的供应商</w:t>
      </w:r>
    </w:p>
    <w:p>
      <w:pPr>
        <w:pStyle w:val="30"/>
        <w:spacing w:line="420" w:lineRule="exact"/>
        <w:ind w:firstLine="480" w:firstLineChars="200"/>
      </w:pPr>
      <w:bookmarkStart w:id="19" w:name="PO_默认文件内容_4"/>
      <w:r>
        <w:rPr>
          <w:rFonts w:hint="eastAsia"/>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参加本项目的采购活动。</w:t>
      </w:r>
    </w:p>
    <w:bookmarkEnd w:id="19"/>
    <w:p>
      <w:pPr>
        <w:pStyle w:val="39"/>
        <w:numPr>
          <w:ilvl w:val="0"/>
          <w:numId w:val="7"/>
        </w:numPr>
        <w:spacing w:line="410" w:lineRule="exact"/>
        <w:ind w:firstLine="482" w:firstLineChars="200"/>
        <w:rPr>
          <w:b/>
          <w:bCs/>
        </w:rPr>
      </w:pPr>
      <w:r>
        <w:rPr>
          <w:rFonts w:hint="eastAsia"/>
          <w:b/>
          <w:bCs/>
        </w:rPr>
        <w:t>获取磋商文件的时间期限、地点及方式</w:t>
      </w:r>
    </w:p>
    <w:p>
      <w:pPr>
        <w:pStyle w:val="39"/>
        <w:ind w:firstLine="482" w:firstLineChars="200"/>
        <w:rPr>
          <w:lang w:val="zh-CN"/>
        </w:rPr>
      </w:pPr>
      <w:r>
        <w:rPr>
          <w:rFonts w:hint="eastAsia"/>
          <w:b/>
          <w:bCs/>
        </w:rPr>
        <w:t>(一)获取磋商文件的时间期限(即报名时间)</w:t>
      </w:r>
      <w:r>
        <w:rPr>
          <w:rFonts w:hint="eastAsia"/>
        </w:rPr>
        <w:t>：</w:t>
      </w:r>
      <w:r>
        <w:rPr>
          <w:rFonts w:hint="eastAsia"/>
          <w:u w:val="single"/>
        </w:rPr>
        <w:t>2021年</w:t>
      </w:r>
      <w:r>
        <w:rPr>
          <w:rFonts w:hint="eastAsia"/>
          <w:u w:val="single"/>
          <w:lang w:val="en-US" w:eastAsia="zh-CN"/>
        </w:rPr>
        <w:t>8</w:t>
      </w:r>
      <w:r>
        <w:rPr>
          <w:rFonts w:hint="eastAsia"/>
          <w:u w:val="single"/>
        </w:rPr>
        <w:t>月</w:t>
      </w:r>
      <w:r>
        <w:rPr>
          <w:rFonts w:hint="eastAsia"/>
          <w:u w:val="single"/>
          <w:lang w:val="en-US" w:eastAsia="zh-CN"/>
        </w:rPr>
        <w:t>13</w:t>
      </w:r>
      <w:r>
        <w:rPr>
          <w:rFonts w:hint="eastAsia"/>
          <w:u w:val="single"/>
        </w:rPr>
        <w:t>日至2021年</w:t>
      </w:r>
      <w:r>
        <w:rPr>
          <w:rFonts w:hint="eastAsia"/>
          <w:u w:val="single"/>
          <w:lang w:val="en-US" w:eastAsia="zh-CN"/>
        </w:rPr>
        <w:t>8</w:t>
      </w:r>
      <w:r>
        <w:rPr>
          <w:rFonts w:hint="eastAsia"/>
          <w:u w:val="single"/>
        </w:rPr>
        <w:t>月</w:t>
      </w:r>
      <w:r>
        <w:rPr>
          <w:rFonts w:hint="eastAsia"/>
          <w:u w:val="single"/>
          <w:lang w:val="en-US" w:eastAsia="zh-CN"/>
        </w:rPr>
        <w:t>19</w:t>
      </w:r>
      <w:r>
        <w:rPr>
          <w:rFonts w:hint="eastAsia"/>
          <w:u w:val="single"/>
        </w:rPr>
        <w:t>日，每天上午9时00分至12时00分，下午14时00分至17时00分(北京时间，法定节假日除外)。</w:t>
      </w:r>
    </w:p>
    <w:p>
      <w:pPr>
        <w:pStyle w:val="39"/>
        <w:ind w:firstLine="482" w:firstLineChars="200"/>
        <w:rPr>
          <w:lang w:val="zh-CN"/>
        </w:rPr>
      </w:pPr>
      <w:r>
        <w:rPr>
          <w:rFonts w:hint="eastAsia"/>
          <w:b/>
          <w:bCs/>
        </w:rPr>
        <w:t>(二)获取磋商文件的地点：</w:t>
      </w:r>
      <w:r>
        <w:rPr>
          <w:rFonts w:hint="eastAsia"/>
        </w:rPr>
        <w:t>http：//www.qxztb.cn</w:t>
      </w:r>
      <w:r>
        <w:rPr>
          <w:rFonts w:hint="eastAsia"/>
          <w:lang w:val="zh-CN"/>
        </w:rPr>
        <w:t>。</w:t>
      </w:r>
    </w:p>
    <w:p>
      <w:pPr>
        <w:pStyle w:val="39"/>
        <w:spacing w:line="460" w:lineRule="exact"/>
        <w:ind w:firstLine="482" w:firstLineChars="200"/>
        <w:rPr>
          <w:b/>
          <w:bCs/>
        </w:rPr>
      </w:pPr>
      <w:r>
        <w:rPr>
          <w:rFonts w:hint="eastAsia"/>
          <w:b/>
          <w:bCs/>
        </w:rPr>
        <w:t>(三)获取磋商文件的方式：</w:t>
      </w:r>
    </w:p>
    <w:p>
      <w:pPr>
        <w:pStyle w:val="39"/>
        <w:spacing w:line="460" w:lineRule="exact"/>
        <w:ind w:firstLine="482" w:firstLineChars="200"/>
      </w:pPr>
      <w:r>
        <w:rPr>
          <w:rFonts w:hint="eastAsia"/>
          <w:b/>
          <w:bCs/>
        </w:rPr>
        <w:t>1.</w:t>
      </w:r>
      <w:r>
        <w:rPr>
          <w:rFonts w:hint="eastAsia"/>
          <w:b/>
          <w:bCs/>
        </w:rPr>
        <w:tab/>
      </w:r>
      <w:r>
        <w:rPr>
          <w:rFonts w:hint="eastAsia"/>
          <w:b/>
          <w:bCs/>
        </w:rPr>
        <w:t>在本项目磋商文件获取时间期限内，在采购代理机构指定网站(http：//www.qxztb.cn)</w:t>
      </w:r>
      <w:r>
        <w:rPr>
          <w:rFonts w:hint="eastAsia"/>
          <w:b/>
          <w:bCs/>
          <w:lang w:val="en-US" w:eastAsia="zh-CN"/>
        </w:rPr>
        <w:t>获取</w:t>
      </w:r>
      <w:r>
        <w:rPr>
          <w:rFonts w:hint="eastAsia"/>
          <w:b/>
          <w:bCs/>
        </w:rPr>
        <w:t>，具体</w:t>
      </w:r>
      <w:r>
        <w:rPr>
          <w:rFonts w:hint="eastAsia"/>
          <w:b/>
          <w:bCs/>
          <w:lang w:val="en-US" w:eastAsia="zh-CN"/>
        </w:rPr>
        <w:t>获取</w:t>
      </w:r>
      <w:r>
        <w:rPr>
          <w:rFonts w:hint="eastAsia"/>
          <w:b/>
          <w:bCs/>
        </w:rPr>
        <w:t>流程详见该网站的“标书在线</w:t>
      </w:r>
      <w:r>
        <w:rPr>
          <w:rFonts w:hint="eastAsia"/>
          <w:b/>
          <w:bCs/>
          <w:lang w:val="en-US" w:eastAsia="zh-CN"/>
        </w:rPr>
        <w:t>购买</w:t>
      </w:r>
      <w:r>
        <w:rPr>
          <w:rFonts w:hint="eastAsia"/>
          <w:b/>
          <w:bCs/>
        </w:rPr>
        <w:t>流程”</w:t>
      </w:r>
      <w:r>
        <w:rPr>
          <w:rFonts w:hint="eastAsia"/>
        </w:rPr>
        <w:t>。</w:t>
      </w:r>
    </w:p>
    <w:p>
      <w:pPr>
        <w:pStyle w:val="39"/>
        <w:spacing w:line="460" w:lineRule="exact"/>
        <w:ind w:firstLine="482" w:firstLineChars="200"/>
        <w:rPr>
          <w:b/>
          <w:bCs/>
          <w:lang w:val="zh-CN"/>
        </w:rPr>
      </w:pPr>
      <w:r>
        <w:rPr>
          <w:rFonts w:hint="eastAsia"/>
          <w:b/>
          <w:bCs/>
        </w:rPr>
        <w:t>2.报名咨询电话：</w:t>
      </w:r>
      <w:r>
        <w:rPr>
          <w:rFonts w:hint="eastAsia"/>
          <w:b/>
          <w:bCs/>
          <w:lang w:val="zh-CN"/>
        </w:rPr>
        <w:t>028-61375575、62600820、62630990转601或602。</w:t>
      </w:r>
    </w:p>
    <w:p>
      <w:pPr>
        <w:pStyle w:val="39"/>
        <w:ind w:firstLine="482" w:firstLineChars="200"/>
      </w:pPr>
      <w:r>
        <w:rPr>
          <w:rFonts w:hint="eastAsia"/>
          <w:b/>
          <w:bCs/>
        </w:rPr>
        <w:t>(四)</w:t>
      </w:r>
      <w:r>
        <w:rPr>
          <w:rFonts w:hint="eastAsia"/>
          <w:lang w:val="zh-CN"/>
        </w:rPr>
        <w:t>磋商文件</w:t>
      </w:r>
      <w:r>
        <w:rPr>
          <w:rFonts w:hint="eastAsia"/>
        </w:rPr>
        <w:t>免费提供</w:t>
      </w:r>
      <w:r>
        <w:rPr>
          <w:rFonts w:hint="eastAsia"/>
          <w:lang w:val="zh-CN"/>
        </w:rPr>
        <w:t xml:space="preserve">, </w:t>
      </w:r>
      <w:r>
        <w:rPr>
          <w:rFonts w:hint="eastAsia"/>
        </w:rPr>
        <w:t>磋商资格不得转让。</w:t>
      </w:r>
    </w:p>
    <w:p>
      <w:pPr>
        <w:pStyle w:val="39"/>
        <w:ind w:firstLine="482" w:firstLineChars="200"/>
      </w:pPr>
      <w:r>
        <w:rPr>
          <w:rFonts w:hint="eastAsia"/>
          <w:b/>
          <w:bCs/>
        </w:rPr>
        <w:t>(五)</w:t>
      </w:r>
      <w:r>
        <w:rPr>
          <w:rFonts w:hint="eastAsia"/>
        </w:rPr>
        <w:t>供应商应在规定的时间内按上述要求获取本磋商文件，否则均无资格参加该项目。</w:t>
      </w:r>
    </w:p>
    <w:p>
      <w:pPr>
        <w:pStyle w:val="39"/>
        <w:numPr>
          <w:ilvl w:val="0"/>
          <w:numId w:val="7"/>
        </w:numPr>
        <w:spacing w:line="410" w:lineRule="exact"/>
        <w:ind w:firstLine="482" w:firstLineChars="200"/>
        <w:rPr>
          <w:b/>
          <w:bCs/>
        </w:rPr>
      </w:pPr>
      <w:r>
        <w:rPr>
          <w:rFonts w:hint="eastAsia"/>
          <w:b/>
          <w:bCs/>
        </w:rPr>
        <w:t>竞争性磋商响应文件递交的截止时间：2021年</w:t>
      </w:r>
      <w:r>
        <w:rPr>
          <w:rFonts w:hint="eastAsia"/>
          <w:b/>
          <w:bCs/>
          <w:lang w:val="en-US" w:eastAsia="zh-CN"/>
        </w:rPr>
        <w:t>8</w:t>
      </w:r>
      <w:r>
        <w:rPr>
          <w:rFonts w:hint="eastAsia"/>
          <w:b/>
          <w:bCs/>
        </w:rPr>
        <w:t>月</w:t>
      </w:r>
      <w:r>
        <w:rPr>
          <w:rFonts w:hint="eastAsia"/>
          <w:b/>
          <w:bCs/>
          <w:lang w:val="en-US" w:eastAsia="zh-CN"/>
        </w:rPr>
        <w:t>25</w:t>
      </w:r>
      <w:r>
        <w:rPr>
          <w:rFonts w:hint="eastAsia"/>
          <w:b/>
          <w:bCs/>
        </w:rPr>
        <w:t>日</w:t>
      </w:r>
      <w:r>
        <w:rPr>
          <w:rFonts w:hint="eastAsia"/>
          <w:b/>
          <w:bCs/>
          <w:lang w:val="en-US" w:eastAsia="zh-CN"/>
        </w:rPr>
        <w:t>11</w:t>
      </w:r>
      <w:r>
        <w:rPr>
          <w:rFonts w:hint="eastAsia"/>
          <w:b/>
          <w:bCs/>
        </w:rPr>
        <w:t>时30分(北京时间)</w:t>
      </w:r>
    </w:p>
    <w:p>
      <w:pPr>
        <w:pStyle w:val="42"/>
        <w:spacing w:line="410" w:lineRule="exact"/>
        <w:ind w:firstLine="482"/>
        <w:rPr>
          <w:b/>
          <w:bCs/>
        </w:rPr>
      </w:pPr>
      <w:r>
        <w:rPr>
          <w:rFonts w:hint="eastAsia"/>
          <w:b/>
          <w:bCs/>
        </w:rPr>
        <w:t>响应文件递交的起止时间：磋商当日</w:t>
      </w:r>
      <w:r>
        <w:rPr>
          <w:rFonts w:hint="eastAsia"/>
          <w:b/>
          <w:bCs/>
          <w:lang w:val="en-US" w:eastAsia="zh-CN"/>
        </w:rPr>
        <w:t>11</w:t>
      </w:r>
      <w:r>
        <w:rPr>
          <w:rFonts w:hint="eastAsia"/>
          <w:b/>
          <w:bCs/>
        </w:rPr>
        <w:t>时00分-</w:t>
      </w:r>
      <w:r>
        <w:rPr>
          <w:rFonts w:hint="eastAsia"/>
          <w:b/>
          <w:bCs/>
          <w:lang w:val="en-US" w:eastAsia="zh-CN"/>
        </w:rPr>
        <w:t>11</w:t>
      </w:r>
      <w:r>
        <w:rPr>
          <w:rFonts w:hint="eastAsia"/>
          <w:b/>
          <w:bCs/>
        </w:rPr>
        <w:t>时30分(北京时间)；</w:t>
      </w:r>
    </w:p>
    <w:p>
      <w:pPr>
        <w:pStyle w:val="42"/>
        <w:spacing w:line="410" w:lineRule="exact"/>
        <w:ind w:firstLine="482"/>
        <w:rPr>
          <w:b/>
          <w:bCs/>
        </w:rPr>
      </w:pPr>
      <w:r>
        <w:rPr>
          <w:rFonts w:hint="eastAsia"/>
          <w:b/>
          <w:bCs/>
        </w:rPr>
        <w:t>开启时间：磋商小组组建后立即开启；</w:t>
      </w:r>
    </w:p>
    <w:p>
      <w:pPr>
        <w:pStyle w:val="42"/>
        <w:spacing w:line="410" w:lineRule="exact"/>
        <w:ind w:firstLine="482"/>
      </w:pPr>
      <w:r>
        <w:rPr>
          <w:rFonts w:hint="eastAsia"/>
          <w:b/>
          <w:bCs/>
        </w:rPr>
        <w:t>响应文件递交的地点：</w:t>
      </w:r>
      <w:r>
        <w:rPr>
          <w:rFonts w:hint="eastAsia"/>
        </w:rPr>
        <w:t>成都市高新区吉庆三路333号蜀都中心二期一号楼一单元401号本项目会议室；</w:t>
      </w:r>
    </w:p>
    <w:p>
      <w:pPr>
        <w:pStyle w:val="42"/>
        <w:spacing w:line="410" w:lineRule="exact"/>
      </w:pPr>
      <w:r>
        <w:rPr>
          <w:rFonts w:hint="eastAsia"/>
        </w:rPr>
        <w:t>供应商应当在磋商文件要求的截止时间前，将响应文件密封送达指定地点。在截止时间后送达的响应文件为无效文件，将被采购代理机构拒收。</w:t>
      </w:r>
    </w:p>
    <w:p>
      <w:pPr>
        <w:pStyle w:val="39"/>
        <w:numPr>
          <w:ilvl w:val="0"/>
          <w:numId w:val="7"/>
        </w:numPr>
        <w:spacing w:line="410" w:lineRule="exact"/>
        <w:ind w:firstLine="482" w:firstLineChars="200"/>
        <w:rPr>
          <w:b/>
          <w:bCs/>
        </w:rPr>
      </w:pPr>
      <w:r>
        <w:rPr>
          <w:rFonts w:hint="eastAsia"/>
          <w:b/>
          <w:bCs/>
        </w:rPr>
        <w:t>磋商时间：2021年</w:t>
      </w:r>
      <w:r>
        <w:rPr>
          <w:rFonts w:hint="eastAsia"/>
          <w:b/>
          <w:bCs/>
          <w:lang w:val="en-US" w:eastAsia="zh-CN"/>
        </w:rPr>
        <w:t>8</w:t>
      </w:r>
      <w:r>
        <w:rPr>
          <w:rFonts w:hint="eastAsia"/>
          <w:b/>
          <w:bCs/>
        </w:rPr>
        <w:t>月</w:t>
      </w:r>
      <w:r>
        <w:rPr>
          <w:rFonts w:hint="eastAsia"/>
          <w:b/>
          <w:bCs/>
          <w:lang w:val="en-US" w:eastAsia="zh-CN"/>
        </w:rPr>
        <w:t>25</w:t>
      </w:r>
      <w:r>
        <w:rPr>
          <w:rFonts w:hint="eastAsia"/>
          <w:b/>
          <w:bCs/>
        </w:rPr>
        <w:t>日</w:t>
      </w:r>
      <w:r>
        <w:rPr>
          <w:rFonts w:hint="eastAsia"/>
          <w:b/>
          <w:bCs/>
          <w:lang w:val="en-US" w:eastAsia="zh-CN"/>
        </w:rPr>
        <w:t>11</w:t>
      </w:r>
      <w:r>
        <w:rPr>
          <w:rFonts w:hint="eastAsia"/>
          <w:b/>
          <w:bCs/>
        </w:rPr>
        <w:t>时30分(北京时间)。</w:t>
      </w:r>
    </w:p>
    <w:p>
      <w:pPr>
        <w:pStyle w:val="39"/>
        <w:numPr>
          <w:ilvl w:val="0"/>
          <w:numId w:val="7"/>
        </w:numPr>
        <w:spacing w:line="410" w:lineRule="exact"/>
        <w:ind w:firstLine="482" w:firstLineChars="200"/>
        <w:rPr>
          <w:b/>
          <w:bCs/>
        </w:rPr>
      </w:pPr>
      <w:r>
        <w:rPr>
          <w:rFonts w:hint="eastAsia"/>
          <w:b/>
          <w:bCs/>
        </w:rPr>
        <w:t>磋商地点：</w:t>
      </w:r>
      <w:r>
        <w:rPr>
          <w:rFonts w:hint="eastAsia"/>
        </w:rPr>
        <w:t>成都市高新区吉庆三路333号蜀都中心二期一号楼一单元401号本项目会议室。</w:t>
      </w:r>
    </w:p>
    <w:p>
      <w:pPr>
        <w:pStyle w:val="39"/>
        <w:numPr>
          <w:ilvl w:val="0"/>
          <w:numId w:val="7"/>
        </w:numPr>
        <w:spacing w:line="410" w:lineRule="exact"/>
        <w:ind w:firstLine="482" w:firstLineChars="200"/>
      </w:pPr>
      <w:r>
        <w:rPr>
          <w:rFonts w:hint="eastAsia"/>
          <w:b/>
          <w:bCs/>
        </w:rPr>
        <w:t>采购信息发布媒体：</w:t>
      </w:r>
      <w:r>
        <w:rPr>
          <w:rFonts w:hint="eastAsia"/>
        </w:rPr>
        <w:t>“四川政府采购网”。</w:t>
      </w:r>
    </w:p>
    <w:p>
      <w:pPr>
        <w:pStyle w:val="39"/>
        <w:numPr>
          <w:ilvl w:val="0"/>
          <w:numId w:val="7"/>
        </w:numPr>
        <w:spacing w:line="410" w:lineRule="exact"/>
        <w:ind w:firstLine="482" w:firstLineChars="200"/>
        <w:rPr>
          <w:b/>
          <w:bCs/>
        </w:rPr>
      </w:pPr>
      <w:r>
        <w:rPr>
          <w:rFonts w:hint="eastAsia"/>
          <w:b/>
          <w:bCs/>
        </w:rPr>
        <w:t>供应商信用融资：</w:t>
      </w:r>
    </w:p>
    <w:p>
      <w:pPr>
        <w:pStyle w:val="42"/>
        <w:spacing w:line="420" w:lineRule="exact"/>
        <w:jc w:val="both"/>
      </w:pPr>
      <w:r>
        <w:rPr>
          <w:rFonts w:hint="eastAsi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39"/>
        <w:numPr>
          <w:ilvl w:val="0"/>
          <w:numId w:val="7"/>
        </w:numPr>
        <w:spacing w:line="410" w:lineRule="exact"/>
        <w:ind w:firstLine="482" w:firstLineChars="200"/>
        <w:rPr>
          <w:b/>
          <w:bCs/>
        </w:rPr>
      </w:pPr>
      <w:r>
        <w:rPr>
          <w:rFonts w:hint="eastAsia"/>
          <w:b/>
          <w:bCs/>
        </w:rPr>
        <w:t>凡对本次采购提出询问，请按以下方式联系。</w:t>
      </w:r>
    </w:p>
    <w:p>
      <w:pPr>
        <w:pStyle w:val="39"/>
        <w:spacing w:line="460" w:lineRule="exact"/>
        <w:ind w:firstLine="480" w:firstLineChars="200"/>
      </w:pPr>
      <w:r>
        <w:rPr>
          <w:rFonts w:hint="eastAsia"/>
        </w:rPr>
        <w:t>(一)采购人信息</w:t>
      </w:r>
    </w:p>
    <w:p>
      <w:pPr>
        <w:pStyle w:val="39"/>
        <w:spacing w:line="460" w:lineRule="exact"/>
        <w:ind w:firstLine="480" w:firstLineChars="200"/>
        <w:rPr>
          <w:highlight w:val="none"/>
        </w:rPr>
      </w:pPr>
      <w:r>
        <w:rPr>
          <w:rFonts w:hint="eastAsia"/>
        </w:rPr>
        <w:t>名    称</w:t>
      </w:r>
      <w:r>
        <w:rPr>
          <w:rFonts w:hint="eastAsia"/>
          <w:highlight w:val="none"/>
        </w:rPr>
        <w:t>：成都市规划和自然资源局</w:t>
      </w:r>
    </w:p>
    <w:p>
      <w:pPr>
        <w:pStyle w:val="39"/>
        <w:spacing w:line="460" w:lineRule="exact"/>
        <w:ind w:firstLine="480" w:firstLineChars="200"/>
        <w:rPr>
          <w:highlight w:val="none"/>
        </w:rPr>
      </w:pPr>
      <w:r>
        <w:rPr>
          <w:rFonts w:hint="eastAsia"/>
          <w:highlight w:val="none"/>
        </w:rPr>
        <w:t>地    址：</w:t>
      </w:r>
      <w:r>
        <w:rPr>
          <w:rFonts w:hint="eastAsia"/>
          <w:highlight w:val="none"/>
        </w:rPr>
        <w:tab/>
      </w:r>
      <w:r>
        <w:rPr>
          <w:rFonts w:hint="eastAsia"/>
          <w:highlight w:val="none"/>
        </w:rPr>
        <w:t xml:space="preserve">成都市高新区蜀锦路68号 </w:t>
      </w:r>
    </w:p>
    <w:p>
      <w:pPr>
        <w:pStyle w:val="39"/>
        <w:spacing w:line="460" w:lineRule="exact"/>
        <w:ind w:firstLine="480" w:firstLineChars="200"/>
        <w:rPr>
          <w:highlight w:val="none"/>
        </w:rPr>
      </w:pPr>
      <w:r>
        <w:rPr>
          <w:rFonts w:hint="eastAsia"/>
          <w:highlight w:val="none"/>
        </w:rPr>
        <w:t xml:space="preserve">联 系 人：张老师 </w:t>
      </w:r>
    </w:p>
    <w:p>
      <w:pPr>
        <w:pStyle w:val="39"/>
        <w:spacing w:line="460" w:lineRule="exact"/>
        <w:ind w:firstLine="480" w:firstLineChars="200"/>
        <w:rPr>
          <w:highlight w:val="none"/>
        </w:rPr>
      </w:pPr>
      <w:r>
        <w:rPr>
          <w:rFonts w:hint="eastAsia"/>
          <w:highlight w:val="none"/>
        </w:rPr>
        <w:t>联系方式：028-</w:t>
      </w:r>
      <w:r>
        <w:rPr>
          <w:rFonts w:hint="eastAsia"/>
          <w:highlight w:val="none"/>
          <w:lang w:val="en-US" w:eastAsia="zh-CN"/>
        </w:rPr>
        <w:t>61884169</w:t>
      </w:r>
      <w:r>
        <w:rPr>
          <w:rFonts w:hint="eastAsia"/>
          <w:highlight w:val="none"/>
        </w:rPr>
        <w:t xml:space="preserve"> </w:t>
      </w:r>
    </w:p>
    <w:p>
      <w:pPr>
        <w:pStyle w:val="39"/>
        <w:spacing w:line="460" w:lineRule="exact"/>
        <w:ind w:firstLine="480" w:firstLineChars="200"/>
      </w:pPr>
      <w:r>
        <w:rPr>
          <w:rFonts w:hint="eastAsia"/>
        </w:rPr>
        <w:t>(二)采购代理机构信息</w:t>
      </w:r>
    </w:p>
    <w:p>
      <w:pPr>
        <w:pStyle w:val="39"/>
        <w:spacing w:line="460" w:lineRule="exact"/>
        <w:ind w:firstLine="480" w:firstLineChars="200"/>
      </w:pPr>
      <w:r>
        <w:rPr>
          <w:rFonts w:hint="eastAsia"/>
        </w:rPr>
        <w:t>名    称：四川乾新招投标代理有限公司</w:t>
      </w:r>
    </w:p>
    <w:p>
      <w:pPr>
        <w:pStyle w:val="39"/>
        <w:spacing w:line="460" w:lineRule="exact"/>
        <w:ind w:firstLine="480" w:firstLineChars="200"/>
      </w:pPr>
      <w:r>
        <w:rPr>
          <w:rFonts w:hint="eastAsia"/>
        </w:rPr>
        <w:t>地    址：</w:t>
      </w:r>
      <w:r>
        <w:rPr>
          <w:rFonts w:hint="eastAsia"/>
          <w:lang w:val="zh-CN"/>
        </w:rPr>
        <w:t>成都市高新区吉庆三路333号蜀都中心二期一号楼一单元401号</w:t>
      </w:r>
    </w:p>
    <w:p>
      <w:pPr>
        <w:pStyle w:val="39"/>
        <w:spacing w:line="460" w:lineRule="exact"/>
        <w:ind w:firstLine="480" w:firstLineChars="200"/>
      </w:pPr>
      <w:r>
        <w:rPr>
          <w:rFonts w:hint="eastAsia"/>
        </w:rPr>
        <w:t>联 系 人：郭巧樾</w:t>
      </w:r>
    </w:p>
    <w:p>
      <w:pPr>
        <w:pStyle w:val="39"/>
        <w:spacing w:line="460" w:lineRule="exact"/>
        <w:ind w:firstLine="480" w:firstLineChars="200"/>
        <w:rPr>
          <w:rFonts w:hint="default" w:eastAsia="宋体"/>
          <w:lang w:val="en-US" w:eastAsia="zh-CN"/>
        </w:rPr>
      </w:pPr>
      <w:r>
        <w:rPr>
          <w:rFonts w:hint="eastAsia"/>
          <w:lang w:val="zh-CN"/>
        </w:rPr>
        <w:t>联系电话：028-61375575转</w:t>
      </w:r>
      <w:r>
        <w:rPr>
          <w:rFonts w:hint="eastAsia"/>
          <w:lang w:val="en-US" w:eastAsia="zh-CN"/>
        </w:rPr>
        <w:t>627</w:t>
      </w:r>
    </w:p>
    <w:p>
      <w:pPr>
        <w:pStyle w:val="39"/>
        <w:spacing w:line="460" w:lineRule="exact"/>
        <w:ind w:firstLine="480" w:firstLineChars="200"/>
        <w:rPr>
          <w:lang w:val="zh-CN"/>
        </w:rPr>
      </w:pPr>
      <w:r>
        <w:rPr>
          <w:rFonts w:hint="eastAsia"/>
          <w:lang w:val="zh-CN"/>
        </w:rPr>
        <w:t>传    真：</w:t>
      </w:r>
      <w:r>
        <w:rPr>
          <w:rFonts w:hint="eastAsia"/>
        </w:rPr>
        <w:t>028-</w:t>
      </w:r>
      <w:r>
        <w:rPr>
          <w:rFonts w:hint="eastAsia"/>
          <w:lang w:val="zh-CN"/>
        </w:rPr>
        <w:t>83381</w:t>
      </w:r>
      <w:r>
        <w:rPr>
          <w:rFonts w:hint="eastAsia"/>
        </w:rPr>
        <w:t>268</w:t>
      </w:r>
    </w:p>
    <w:p>
      <w:pPr>
        <w:pStyle w:val="39"/>
        <w:spacing w:line="460" w:lineRule="exact"/>
        <w:ind w:firstLine="480" w:firstLineChars="200"/>
        <w:rPr>
          <w:lang w:val="zh-CN"/>
        </w:rPr>
      </w:pPr>
      <w:r>
        <w:rPr>
          <w:rFonts w:hint="eastAsia"/>
          <w:lang w:val="zh-CN"/>
        </w:rPr>
        <w:t>电子邮件：</w:t>
      </w:r>
      <w:r>
        <w:fldChar w:fldCharType="begin"/>
      </w:r>
      <w:r>
        <w:instrText xml:space="preserve"> HYPERLINK "mailto:scqxzb@163.com" </w:instrText>
      </w:r>
      <w:r>
        <w:fldChar w:fldCharType="separate"/>
      </w:r>
      <w:r>
        <w:rPr>
          <w:rFonts w:hint="eastAsia"/>
          <w:lang w:val="zh-CN"/>
        </w:rPr>
        <w:t>scqxzb@163.com</w:t>
      </w:r>
      <w:r>
        <w:rPr>
          <w:rFonts w:hint="eastAsia"/>
          <w:lang w:val="zh-CN"/>
        </w:rPr>
        <w:fldChar w:fldCharType="end"/>
      </w:r>
    </w:p>
    <w:p>
      <w:pPr>
        <w:pStyle w:val="44"/>
        <w:spacing w:before="120" w:after="120"/>
      </w:pPr>
      <w:r>
        <w:rPr>
          <w:rFonts w:hint="eastAsia"/>
        </w:rPr>
        <w:br w:type="page"/>
      </w:r>
      <w:bookmarkEnd w:id="14"/>
      <w:bookmarkEnd w:id="15"/>
      <w:bookmarkEnd w:id="16"/>
      <w:bookmarkEnd w:id="17"/>
      <w:bookmarkEnd w:id="18"/>
      <w:bookmarkStart w:id="20" w:name="_Toc32306"/>
      <w:r>
        <w:rPr>
          <w:rFonts w:hint="eastAsia" w:asciiTheme="minorEastAsia" w:hAnsiTheme="minorEastAsia" w:eastAsiaTheme="minorEastAsia" w:cstheme="minorEastAsia"/>
          <w:color w:val="000000"/>
          <w:szCs w:val="36"/>
        </w:rPr>
        <w:t>磋商须知</w:t>
      </w:r>
      <w:bookmarkEnd w:id="3"/>
      <w:bookmarkEnd w:id="20"/>
    </w:p>
    <w:p>
      <w:pPr>
        <w:pStyle w:val="31"/>
        <w:spacing w:before="120" w:beforeLines="50" w:after="120" w:afterLines="50"/>
        <w:ind w:firstLine="0" w:firstLineChars="0"/>
        <w:jc w:val="center"/>
        <w:rPr>
          <w:sz w:val="36"/>
          <w:szCs w:val="36"/>
        </w:rPr>
      </w:pPr>
      <w:bookmarkStart w:id="21" w:name="_Toc14542"/>
      <w:bookmarkStart w:id="22" w:name="_Toc11065"/>
      <w:r>
        <w:rPr>
          <w:rFonts w:hint="eastAsia"/>
          <w:sz w:val="36"/>
          <w:szCs w:val="36"/>
        </w:rPr>
        <w:t>磋商须知前附表</w:t>
      </w:r>
      <w:bookmarkEnd w:id="21"/>
      <w:bookmarkEnd w:id="22"/>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1"/>
              <w:rPr>
                <w:b/>
                <w:bCs/>
                <w:lang w:val="zh-CN"/>
              </w:rPr>
            </w:pPr>
            <w:bookmarkStart w:id="23" w:name="_Toc327196262"/>
            <w:r>
              <w:rPr>
                <w:rFonts w:hint="eastAsia"/>
                <w:b/>
                <w:bCs/>
                <w:lang w:val="zh-CN"/>
              </w:rPr>
              <w:t>序号</w:t>
            </w:r>
          </w:p>
        </w:tc>
        <w:tc>
          <w:tcPr>
            <w:tcW w:w="2020" w:type="dxa"/>
            <w:vAlign w:val="center"/>
          </w:tcPr>
          <w:p>
            <w:pPr>
              <w:pStyle w:val="41"/>
              <w:rPr>
                <w:b/>
                <w:bCs/>
                <w:lang w:val="zh-CN"/>
              </w:rPr>
            </w:pPr>
            <w:r>
              <w:rPr>
                <w:rFonts w:hint="eastAsia"/>
                <w:b/>
                <w:bCs/>
                <w:lang w:val="zh-CN"/>
              </w:rPr>
              <w:t>须知事项</w:t>
            </w:r>
          </w:p>
        </w:tc>
        <w:tc>
          <w:tcPr>
            <w:tcW w:w="7061" w:type="dxa"/>
            <w:vAlign w:val="center"/>
          </w:tcPr>
          <w:p>
            <w:pPr>
              <w:pStyle w:val="41"/>
              <w:ind w:left="60" w:leftChars="25" w:right="60" w:rightChars="25"/>
              <w:rPr>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lang w:val="zh-CN"/>
              </w:rPr>
              <w:t>采购</w:t>
            </w:r>
            <w:r>
              <w:rPr>
                <w:rFonts w:hint="eastAsia"/>
              </w:rPr>
              <w:t>预算及报价要求</w:t>
            </w:r>
          </w:p>
          <w:p>
            <w:pPr>
              <w:pStyle w:val="41"/>
              <w:rPr>
                <w:lang w:val="zh-CN"/>
              </w:rPr>
            </w:pPr>
            <w:r>
              <w:rPr>
                <w:rFonts w:hint="eastAsia"/>
                <w:lang w:val="zh-CN"/>
              </w:rPr>
              <w:t>(实质性要求)</w:t>
            </w:r>
          </w:p>
        </w:tc>
        <w:tc>
          <w:tcPr>
            <w:tcW w:w="7061" w:type="dxa"/>
            <w:vAlign w:val="center"/>
          </w:tcPr>
          <w:p>
            <w:pPr>
              <w:pStyle w:val="38"/>
              <w:numPr>
                <w:ilvl w:val="0"/>
                <w:numId w:val="10"/>
              </w:numPr>
              <w:tabs>
                <w:tab w:val="clear" w:pos="312"/>
              </w:tabs>
              <w:ind w:left="60" w:leftChars="25" w:right="60" w:rightChars="25"/>
              <w:rPr>
                <w:lang w:val="zh-CN"/>
              </w:rPr>
            </w:pPr>
            <w:r>
              <w:rPr>
                <w:rFonts w:hint="eastAsia"/>
                <w:lang w:val="zh-CN"/>
              </w:rPr>
              <w:t>本项目采购</w:t>
            </w:r>
            <w:r>
              <w:rPr>
                <w:rFonts w:hint="eastAsia"/>
              </w:rPr>
              <w:t>预算</w:t>
            </w:r>
            <w:r>
              <w:rPr>
                <w:rFonts w:hint="eastAsia"/>
                <w:lang w:val="zh-CN"/>
              </w:rPr>
              <w:t>为人民币</w:t>
            </w:r>
            <w:r>
              <w:rPr>
                <w:rFonts w:hint="eastAsia"/>
              </w:rPr>
              <w:t>199.5</w:t>
            </w:r>
            <w:r>
              <w:rPr>
                <w:rFonts w:hint="eastAsia"/>
                <w:lang w:val="zh-CN"/>
              </w:rPr>
              <w:t>万元。</w:t>
            </w:r>
          </w:p>
          <w:p>
            <w:pPr>
              <w:pStyle w:val="38"/>
              <w:numPr>
                <w:ilvl w:val="0"/>
                <w:numId w:val="10"/>
              </w:numPr>
              <w:tabs>
                <w:tab w:val="clear" w:pos="312"/>
              </w:tabs>
              <w:ind w:left="60" w:leftChars="25" w:right="60" w:rightChars="25"/>
              <w:rPr>
                <w:lang w:val="zh-CN"/>
              </w:rPr>
            </w:pPr>
            <w:r>
              <w:rPr>
                <w:rFonts w:hint="eastAsia"/>
                <w:lang w:val="zh-CN"/>
              </w:rPr>
              <w:t>供应商提交的报价（</w:t>
            </w:r>
            <w:r>
              <w:rPr>
                <w:rFonts w:hint="eastAsia"/>
              </w:rPr>
              <w:t>包括最后报价</w:t>
            </w:r>
            <w:r>
              <w:rPr>
                <w:rFonts w:hint="eastAsia"/>
                <w:lang w:val="zh-CN"/>
              </w:rPr>
              <w:t>）不得超过本项目</w:t>
            </w:r>
            <w:r>
              <w:rPr>
                <w:rFonts w:hint="eastAsia"/>
              </w:rPr>
              <w:t>采购预算</w:t>
            </w:r>
            <w:r>
              <w:rPr>
                <w:rFonts w:hint="eastAsia"/>
                <w:lang w:val="zh-CN"/>
              </w:rPr>
              <w:t>，否则将被作为无效响应处理。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numPr>
                <w:ilvl w:val="0"/>
                <w:numId w:val="9"/>
              </w:numPr>
              <w:rPr>
                <w:lang w:val="zh-CN"/>
              </w:rPr>
            </w:pPr>
          </w:p>
        </w:tc>
        <w:tc>
          <w:tcPr>
            <w:tcW w:w="2020" w:type="dxa"/>
            <w:vAlign w:val="center"/>
          </w:tcPr>
          <w:p>
            <w:pPr>
              <w:pStyle w:val="41"/>
              <w:rPr>
                <w:highlight w:val="yellow"/>
                <w:lang w:val="zh-CN"/>
              </w:rPr>
            </w:pPr>
            <w:r>
              <w:rPr>
                <w:rFonts w:hint="eastAsia"/>
              </w:rPr>
              <w:t>项目属性</w:t>
            </w:r>
          </w:p>
        </w:tc>
        <w:tc>
          <w:tcPr>
            <w:tcW w:w="7061" w:type="dxa"/>
            <w:vAlign w:val="center"/>
          </w:tcPr>
          <w:p>
            <w:pPr>
              <w:pStyle w:val="38"/>
              <w:ind w:left="60" w:leftChars="25" w:right="60" w:rightChars="25"/>
            </w:pPr>
            <w:r>
              <w:rPr>
                <w:rFonts w:hint="eastAsia"/>
              </w:rPr>
              <w:t>本项目属于服务类采购项目。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6" w:hRule="atLeast"/>
          <w:jc w:val="center"/>
        </w:trPr>
        <w:tc>
          <w:tcPr>
            <w:tcW w:w="622" w:type="dxa"/>
            <w:vAlign w:val="center"/>
          </w:tcPr>
          <w:p>
            <w:pPr>
              <w:pStyle w:val="41"/>
              <w:numPr>
                <w:ilvl w:val="0"/>
                <w:numId w:val="9"/>
              </w:numPr>
              <w:rPr>
                <w:lang w:val="zh-CN"/>
              </w:rPr>
            </w:pPr>
          </w:p>
        </w:tc>
        <w:tc>
          <w:tcPr>
            <w:tcW w:w="2020" w:type="dxa"/>
            <w:vAlign w:val="center"/>
          </w:tcPr>
          <w:p>
            <w:pPr>
              <w:pStyle w:val="41"/>
              <w:ind w:left="24" w:leftChars="10" w:right="24" w:rightChars="10"/>
              <w:rPr>
                <w:lang w:val="zh-CN"/>
              </w:rPr>
            </w:pPr>
            <w:r>
              <w:rPr>
                <w:rFonts w:hint="eastAsia"/>
              </w:rPr>
              <w:t>本项目所属行业</w:t>
            </w:r>
          </w:p>
        </w:tc>
        <w:tc>
          <w:tcPr>
            <w:tcW w:w="7061" w:type="dxa"/>
            <w:vAlign w:val="center"/>
          </w:tcPr>
          <w:p>
            <w:pPr>
              <w:pStyle w:val="38"/>
              <w:ind w:left="60" w:leftChars="25" w:right="60" w:rightChars="25"/>
            </w:pPr>
            <w:r>
              <w:rPr>
                <w:rFonts w:hint="eastAsia"/>
              </w:rPr>
              <w:t>本项目所属行业为</w:t>
            </w:r>
            <w:r>
              <w:rPr>
                <w:rFonts w:hint="eastAsia"/>
                <w:u w:val="single"/>
              </w:rPr>
              <w:t>其他未列明行业</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lang w:val="zh-CN"/>
              </w:rPr>
              <w:t>定向采购</w:t>
            </w:r>
          </w:p>
        </w:tc>
        <w:tc>
          <w:tcPr>
            <w:tcW w:w="7061" w:type="dxa"/>
          </w:tcPr>
          <w:p>
            <w:pPr>
              <w:pStyle w:val="38"/>
              <w:ind w:left="60" w:leftChars="25" w:right="60" w:rightChars="25"/>
            </w:pPr>
            <w:r>
              <w:rPr>
                <w:rFonts w:hint="eastAsia"/>
              </w:rPr>
              <w:t>本</w:t>
            </w:r>
            <w:r>
              <w:rPr>
                <w:rFonts w:hint="eastAsia"/>
                <w:lang w:val="zh-CN"/>
              </w:rPr>
              <w:t>项目</w:t>
            </w:r>
            <w:r>
              <w:rPr>
                <w:rFonts w:hint="eastAsia"/>
              </w:rPr>
              <w:t>不为</w:t>
            </w:r>
            <w:r>
              <w:rPr>
                <w:rFonts w:hint="eastAsia"/>
                <w:lang w:val="zh-CN"/>
              </w:rPr>
              <w:t>专门面向中小企业</w:t>
            </w:r>
            <w:r>
              <w:rPr>
                <w:rFonts w:hint="eastAsia"/>
              </w:rPr>
              <w:t>采购</w:t>
            </w:r>
            <w:r>
              <w:rPr>
                <w:rFonts w:hint="eastAsia"/>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lang w:val="zh-CN"/>
              </w:rPr>
              <w:t>本国</w:t>
            </w:r>
            <w:r>
              <w:rPr>
                <w:rFonts w:hint="eastAsia"/>
              </w:rPr>
              <w:t>服务</w:t>
            </w:r>
          </w:p>
          <w:p>
            <w:pPr>
              <w:pStyle w:val="41"/>
              <w:rPr>
                <w:lang w:val="zh-CN"/>
              </w:rPr>
            </w:pPr>
            <w:r>
              <w:rPr>
                <w:rFonts w:hint="eastAsia"/>
                <w:lang w:val="zh-CN"/>
              </w:rPr>
              <w:t>(实质性要求)</w:t>
            </w:r>
          </w:p>
        </w:tc>
        <w:tc>
          <w:tcPr>
            <w:tcW w:w="7061" w:type="dxa"/>
            <w:vAlign w:val="center"/>
          </w:tcPr>
          <w:p>
            <w:pPr>
              <w:pStyle w:val="41"/>
              <w:ind w:left="60" w:leftChars="25" w:right="60" w:rightChars="25"/>
              <w:rPr>
                <w:lang w:val="zh-CN"/>
              </w:rPr>
            </w:pPr>
            <w:r>
              <w:rPr>
                <w:rFonts w:hint="eastAsia"/>
                <w:lang w:val="zh-CN"/>
              </w:rPr>
              <w:t>根据《中华人民共和国政府采购法》第十条的规定，本项目采购本国</w:t>
            </w:r>
            <w:r>
              <w:rPr>
                <w:rFonts w:hint="eastAsia"/>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采购方式</w:t>
            </w:r>
          </w:p>
        </w:tc>
        <w:tc>
          <w:tcPr>
            <w:tcW w:w="7061" w:type="dxa"/>
            <w:vAlign w:val="center"/>
          </w:tcPr>
          <w:p>
            <w:pPr>
              <w:pStyle w:val="38"/>
              <w:ind w:left="60" w:leftChars="25" w:right="60" w:rightChars="25"/>
              <w:rPr>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评审办法</w:t>
            </w:r>
          </w:p>
        </w:tc>
        <w:tc>
          <w:tcPr>
            <w:tcW w:w="7061" w:type="dxa"/>
            <w:vAlign w:val="center"/>
          </w:tcPr>
          <w:p>
            <w:pPr>
              <w:pStyle w:val="38"/>
              <w:ind w:left="60" w:leftChars="25" w:right="60" w:rightChars="25"/>
              <w:rPr>
                <w:lang w:val="zh-CN"/>
              </w:rPr>
            </w:pPr>
            <w:r>
              <w:rPr>
                <w:rFonts w:hint="eastAsia"/>
                <w:lang w:val="zh-CN"/>
              </w:rPr>
              <w:t>综合评分法(</w:t>
            </w:r>
            <w:r>
              <w:rPr>
                <w:rFonts w:hint="eastAsia"/>
              </w:rPr>
              <w:t>评审标准</w:t>
            </w:r>
            <w:r>
              <w:rPr>
                <w:rFonts w:hint="eastAsia"/>
                <w:lang w:val="zh-CN"/>
              </w:rPr>
              <w:t>详见第</w:t>
            </w:r>
            <w:r>
              <w:rPr>
                <w:rFonts w:hint="eastAsia"/>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是否接受联合体参与本次磋商</w:t>
            </w:r>
          </w:p>
          <w:p>
            <w:pPr>
              <w:pStyle w:val="41"/>
              <w:rPr>
                <w:lang w:val="zh-CN"/>
              </w:rPr>
            </w:pPr>
            <w:r>
              <w:rPr>
                <w:rFonts w:hint="eastAsia"/>
                <w:lang w:val="zh-CN"/>
              </w:rPr>
              <w:t>(实质性要求)</w:t>
            </w:r>
          </w:p>
        </w:tc>
        <w:tc>
          <w:tcPr>
            <w:tcW w:w="7061" w:type="dxa"/>
            <w:vAlign w:val="center"/>
          </w:tcPr>
          <w:p>
            <w:pPr>
              <w:pStyle w:val="38"/>
              <w:ind w:left="60" w:leftChars="25" w:right="60" w:rightChars="25"/>
              <w:rPr>
                <w:lang w:val="zh-CN"/>
              </w:rPr>
            </w:pPr>
            <w:r>
              <w:rPr>
                <w:rFonts w:hint="eastAsia"/>
              </w:rPr>
              <w:t>本项目不</w:t>
            </w:r>
            <w:r>
              <w:rPr>
                <w:rFonts w:hint="eastAsia"/>
                <w:lang w:val="zh-CN"/>
              </w:rPr>
              <w:t>接受</w:t>
            </w:r>
            <w:r>
              <w:rPr>
                <w:rFonts w:hint="eastAsia"/>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pPr>
          </w:p>
        </w:tc>
        <w:tc>
          <w:tcPr>
            <w:tcW w:w="2020" w:type="dxa"/>
            <w:vAlign w:val="center"/>
          </w:tcPr>
          <w:p>
            <w:pPr>
              <w:pStyle w:val="41"/>
            </w:pPr>
            <w:r>
              <w:rPr>
                <w:rFonts w:hint="eastAsia"/>
                <w:lang w:val="zh-CN"/>
              </w:rPr>
              <w:t>磋商保证金</w:t>
            </w:r>
          </w:p>
        </w:tc>
        <w:tc>
          <w:tcPr>
            <w:tcW w:w="7061" w:type="dxa"/>
            <w:vAlign w:val="center"/>
          </w:tcPr>
          <w:p>
            <w:pPr>
              <w:pStyle w:val="38"/>
              <w:ind w:left="60" w:leftChars="25" w:right="60" w:rightChars="25"/>
            </w:pPr>
            <w:r>
              <w:rPr>
                <w:rFonts w:hint="eastAsia"/>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67"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质量要求、验收标准(实质性要求)</w:t>
            </w:r>
          </w:p>
        </w:tc>
        <w:tc>
          <w:tcPr>
            <w:tcW w:w="7061" w:type="dxa"/>
            <w:vAlign w:val="center"/>
          </w:tcPr>
          <w:p>
            <w:pPr>
              <w:pStyle w:val="38"/>
              <w:ind w:left="60" w:leftChars="25" w:right="60" w:rightChars="25"/>
            </w:pPr>
            <w:r>
              <w:rPr>
                <w:rFonts w:hint="eastAsia"/>
              </w:rPr>
              <w:t>1.质量要求：符合国家相关标准、行业标准、地方标准或者其他标准、规范要求。</w:t>
            </w:r>
          </w:p>
          <w:p>
            <w:pPr>
              <w:pStyle w:val="38"/>
              <w:ind w:left="60" w:leftChars="25" w:right="60" w:rightChars="25"/>
            </w:pPr>
            <w:r>
              <w:rPr>
                <w:rFonts w:hint="eastAsia"/>
              </w:rPr>
              <w:t>2.验收标准：严格按照《财政部关于进一步加强政府采购需求和履约验收管理的指导意见》(财库〔2016〕205号)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答疑会和现场考察</w:t>
            </w:r>
          </w:p>
        </w:tc>
        <w:tc>
          <w:tcPr>
            <w:tcW w:w="7061" w:type="dxa"/>
            <w:vAlign w:val="center"/>
          </w:tcPr>
          <w:p>
            <w:pPr>
              <w:pStyle w:val="38"/>
              <w:ind w:left="60" w:leftChars="25" w:right="60" w:rightChars="25"/>
            </w:pPr>
            <w:r>
              <w:rPr>
                <w:rFonts w:hint="eastAsia"/>
              </w:rPr>
              <w:t>1.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8"/>
              <w:ind w:left="60" w:leftChars="25" w:right="60" w:rightChars="25"/>
            </w:pPr>
            <w:r>
              <w:rPr>
                <w:rFonts w:hint="eastAsia"/>
              </w:rPr>
              <w:t>2.供应商考察现场所发生的一切费用由供应商自行承担。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低于成本价不正当竞争预防措施</w:t>
            </w:r>
          </w:p>
          <w:p>
            <w:pPr>
              <w:pStyle w:val="41"/>
            </w:pPr>
            <w:r>
              <w:rPr>
                <w:rFonts w:hint="eastAsia"/>
              </w:rPr>
              <w:t>(实质性要求)</w:t>
            </w:r>
          </w:p>
        </w:tc>
        <w:tc>
          <w:tcPr>
            <w:tcW w:w="7061" w:type="dxa"/>
            <w:vAlign w:val="center"/>
          </w:tcPr>
          <w:p>
            <w:pPr>
              <w:pStyle w:val="38"/>
              <w:ind w:left="60" w:leftChars="25" w:right="60" w:rightChars="25"/>
            </w:pPr>
            <w:r>
              <w:rPr>
                <w:rFonts w:hint="eastAsia"/>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ind w:left="60" w:leftChars="25" w:right="60" w:rightChars="25"/>
            </w:pPr>
            <w:r>
              <w:rPr>
                <w:rFonts w:hint="eastAsia"/>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ind w:left="60" w:leftChars="25" w:right="60" w:rightChars="25"/>
            </w:pPr>
            <w:r>
              <w:rPr>
                <w:rFonts w:hint="eastAsia"/>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小微企业、监狱企业、残疾人福利性单位价格扣除</w:t>
            </w:r>
          </w:p>
          <w:p>
            <w:pPr>
              <w:pStyle w:val="41"/>
              <w:rPr>
                <w:lang w:val="zh-CN"/>
              </w:rPr>
            </w:pPr>
            <w:r>
              <w:rPr>
                <w:rFonts w:hint="eastAsia"/>
              </w:rPr>
              <w:t>(实质性要求)</w:t>
            </w:r>
          </w:p>
        </w:tc>
        <w:tc>
          <w:tcPr>
            <w:tcW w:w="7061" w:type="dxa"/>
            <w:vAlign w:val="center"/>
          </w:tcPr>
          <w:p>
            <w:pPr>
              <w:pStyle w:val="38"/>
              <w:numPr>
                <w:ilvl w:val="0"/>
                <w:numId w:val="11"/>
              </w:numPr>
              <w:ind w:left="60" w:leftChars="25" w:right="60" w:rightChars="25"/>
            </w:pPr>
            <w:r>
              <w:rPr>
                <w:rFonts w:hint="eastAsia"/>
              </w:rPr>
              <w:t>政府采购促进中小企业发展政策</w:t>
            </w:r>
          </w:p>
          <w:p>
            <w:pPr>
              <w:pStyle w:val="38"/>
              <w:numPr>
                <w:ilvl w:val="0"/>
                <w:numId w:val="12"/>
              </w:numPr>
              <w:tabs>
                <w:tab w:val="clear" w:pos="312"/>
              </w:tabs>
              <w:ind w:left="60" w:leftChars="25" w:right="60" w:rightChars="25"/>
            </w:pPr>
            <w:r>
              <w:rPr>
                <w:rFonts w:hint="eastAsia"/>
                <w:b/>
                <w:bCs/>
              </w:rPr>
              <w:t>定义：</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8"/>
              <w:ind w:left="60" w:leftChars="25" w:right="60" w:rightChars="25"/>
            </w:pPr>
            <w:r>
              <w:rPr>
                <w:rFonts w:hint="eastAsia"/>
                <w:b/>
                <w:bCs/>
              </w:rPr>
              <w:t>适用情形：</w:t>
            </w:r>
            <w:r>
              <w:rPr>
                <w:rFonts w:hint="eastAsia"/>
              </w:rPr>
              <w:t>在服务采购项目中，服务由中小企业承接，即提供服务的人员为中小企业依照《中华人民共和国劳动合同法》 订立劳动合同的从业人员。</w:t>
            </w:r>
          </w:p>
          <w:p>
            <w:pPr>
              <w:pStyle w:val="38"/>
              <w:ind w:left="60" w:leftChars="25" w:right="60" w:rightChars="25"/>
            </w:pPr>
            <w:r>
              <w:rPr>
                <w:rFonts w:hint="eastAsia"/>
              </w:rPr>
              <w:t>注：关于中小微型企业划分标准详见附件四。</w:t>
            </w:r>
          </w:p>
          <w:p>
            <w:pPr>
              <w:pStyle w:val="38"/>
              <w:numPr>
                <w:ilvl w:val="0"/>
                <w:numId w:val="12"/>
              </w:numPr>
              <w:tabs>
                <w:tab w:val="clear" w:pos="312"/>
              </w:tabs>
              <w:ind w:left="60" w:leftChars="25" w:right="60" w:rightChars="25"/>
            </w:pPr>
            <w:r>
              <w:rPr>
                <w:rFonts w:hint="eastAsia"/>
              </w:rPr>
              <w:t>执行方式：</w:t>
            </w:r>
          </w:p>
          <w:p>
            <w:pPr>
              <w:pStyle w:val="38"/>
              <w:ind w:left="60" w:leftChars="25" w:right="60" w:rightChars="25"/>
            </w:pPr>
            <w:r>
              <w:rPr>
                <w:rFonts w:hint="eastAsia"/>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w:t>
            </w:r>
          </w:p>
          <w:p>
            <w:pPr>
              <w:pStyle w:val="38"/>
              <w:ind w:left="60" w:leftChars="25" w:right="60" w:rightChars="25"/>
            </w:pPr>
            <w:r>
              <w:rPr>
                <w:rFonts w:hint="eastAsia"/>
              </w:rPr>
              <w:t>(2)中小企业参加政府采购活动，应当出具《中小企业声明函》(格式详见采购文件)，否则不得享受相关中小企业扶持政策。</w:t>
            </w:r>
          </w:p>
          <w:p>
            <w:pPr>
              <w:pStyle w:val="38"/>
              <w:ind w:left="60" w:leftChars="25" w:right="60" w:rightChars="25"/>
            </w:pPr>
            <w:r>
              <w:rPr>
                <w:rFonts w:hint="eastAsia"/>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38"/>
              <w:ind w:left="60" w:leftChars="25" w:right="60" w:rightChars="25"/>
            </w:pPr>
            <w:r>
              <w:rPr>
                <w:rFonts w:hint="eastAsia"/>
              </w:rPr>
              <w:t>二、监狱企业价格扣除</w:t>
            </w:r>
          </w:p>
          <w:p>
            <w:pPr>
              <w:pStyle w:val="38"/>
              <w:ind w:left="60" w:leftChars="25" w:right="60" w:rightChars="25"/>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8"/>
              <w:ind w:left="60" w:leftChars="25" w:right="60" w:rightChars="25"/>
            </w:pPr>
            <w:r>
              <w:rPr>
                <w:rFonts w:hint="eastAsia"/>
              </w:rPr>
              <w:t>2.本项目对监狱企业参与投标的价格给予10%的扣除，用扣除后的价格参与评审。</w:t>
            </w:r>
          </w:p>
          <w:p>
            <w:pPr>
              <w:pStyle w:val="38"/>
              <w:ind w:left="60" w:leftChars="25" w:right="60" w:rightChars="25"/>
            </w:pPr>
            <w:r>
              <w:rPr>
                <w:rFonts w:hint="eastAsia"/>
              </w:rPr>
              <w:t>3.监狱企业参加政府采购活动时，应当提供由省级以上监狱管理局、戒毒管理局(含新疆生产建设兵团)出具的属于监狱企业的证明文件。</w:t>
            </w:r>
          </w:p>
          <w:p>
            <w:pPr>
              <w:pStyle w:val="38"/>
              <w:ind w:left="60" w:leftChars="25" w:right="60" w:rightChars="25"/>
            </w:pPr>
            <w:r>
              <w:rPr>
                <w:rFonts w:hint="eastAsia"/>
              </w:rPr>
              <w:t>4.监狱企业属于小型、微型企业的，不重复享受政策。</w:t>
            </w:r>
          </w:p>
          <w:p>
            <w:pPr>
              <w:pStyle w:val="38"/>
              <w:ind w:left="60" w:leftChars="25" w:right="60" w:rightChars="25"/>
            </w:pPr>
            <w:r>
              <w:rPr>
                <w:rFonts w:hint="eastAsia"/>
              </w:rPr>
              <w:t>三、残疾人福利性单位价格扣除</w:t>
            </w:r>
          </w:p>
          <w:p>
            <w:pPr>
              <w:pStyle w:val="38"/>
              <w:ind w:left="60" w:leftChars="25" w:right="60" w:rightChars="25"/>
            </w:pPr>
            <w:r>
              <w:rPr>
                <w:rFonts w:hint="eastAsia"/>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8"/>
              <w:ind w:left="60" w:leftChars="25" w:right="60" w:rightChars="25"/>
            </w:pPr>
            <w:r>
              <w:rPr>
                <w:rFonts w:hint="eastAsia"/>
              </w:rPr>
              <w:t>2.本项目对残疾人福利性单位参与投标的价格给予10%的扣除，用扣除后的价格参与评审。</w:t>
            </w:r>
          </w:p>
          <w:p>
            <w:pPr>
              <w:pStyle w:val="38"/>
              <w:ind w:left="60" w:leftChars="25" w:right="60" w:rightChars="25"/>
            </w:pPr>
            <w:r>
              <w:rPr>
                <w:rFonts w:hint="eastAsia"/>
              </w:rPr>
              <w:t>3.残疾人福利性单位参加政府采购活动时，应当提供本通知规定的《残疾人福利性单位声明函》。</w:t>
            </w:r>
          </w:p>
          <w:p>
            <w:pPr>
              <w:pStyle w:val="38"/>
              <w:ind w:left="60" w:leftChars="25" w:right="60" w:rightChars="25"/>
            </w:pPr>
            <w:r>
              <w:rPr>
                <w:rFonts w:hint="eastAsia"/>
              </w:rPr>
              <w:t>4.供应商提供的《残疾人福利性单位声明函》与事实不符的，依照《政府采购法》第七十七条第一款的规定追究法律责任。</w:t>
            </w:r>
          </w:p>
          <w:p>
            <w:pPr>
              <w:pStyle w:val="38"/>
              <w:ind w:left="60" w:leftChars="25" w:right="60" w:rightChars="25"/>
            </w:pPr>
            <w:r>
              <w:rPr>
                <w:rFonts w:hint="eastAsia"/>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节能产品、环境标志产品、无线局域网产品、商品包装、快递包装采购政策</w:t>
            </w:r>
          </w:p>
          <w:p>
            <w:pPr>
              <w:pStyle w:val="41"/>
            </w:pPr>
            <w:r>
              <w:rPr>
                <w:rFonts w:hint="eastAsia"/>
              </w:rPr>
              <w:t>(如涉及)</w:t>
            </w:r>
          </w:p>
        </w:tc>
        <w:tc>
          <w:tcPr>
            <w:tcW w:w="7061" w:type="dxa"/>
            <w:vAlign w:val="center"/>
          </w:tcPr>
          <w:p>
            <w:pPr>
              <w:pStyle w:val="38"/>
              <w:ind w:left="60" w:leftChars="25" w:right="60" w:rightChars="25"/>
            </w:pPr>
            <w:r>
              <w:rPr>
                <w:rFonts w:hint="eastAsia"/>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品牌或者供应商</w:t>
            </w:r>
          </w:p>
          <w:p>
            <w:pPr>
              <w:pStyle w:val="41"/>
            </w:pPr>
            <w:r>
              <w:rPr>
                <w:rFonts w:hint="eastAsia"/>
              </w:rPr>
              <w:t>(如涉及)</w:t>
            </w:r>
          </w:p>
        </w:tc>
        <w:tc>
          <w:tcPr>
            <w:tcW w:w="7061" w:type="dxa"/>
            <w:vAlign w:val="center"/>
          </w:tcPr>
          <w:p>
            <w:pPr>
              <w:pStyle w:val="38"/>
              <w:ind w:left="60" w:leftChars="25" w:right="60" w:rightChars="25"/>
            </w:pPr>
            <w:r>
              <w:rPr>
                <w:rFonts w:hint="eastAsia"/>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其他强制性规定</w:t>
            </w:r>
          </w:p>
          <w:p>
            <w:pPr>
              <w:pStyle w:val="41"/>
            </w:pPr>
            <w:r>
              <w:rPr>
                <w:rFonts w:hint="eastAsia"/>
              </w:rPr>
              <w:t>(如涉及时作为实质性要求)</w:t>
            </w:r>
          </w:p>
        </w:tc>
        <w:tc>
          <w:tcPr>
            <w:tcW w:w="7061" w:type="dxa"/>
            <w:vAlign w:val="center"/>
          </w:tcPr>
          <w:p>
            <w:pPr>
              <w:pStyle w:val="38"/>
              <w:ind w:left="60" w:leftChars="25" w:right="60" w:rightChars="25"/>
            </w:pPr>
            <w:r>
              <w:rPr>
                <w:rFonts w:hint="eastAsia"/>
              </w:rPr>
              <w:t>国家或行业主管部门对采购产品的技术标准、质量标准和资格资质条件等有强制性规定的，必须符合其要求。如涉及3C认证产品的3C认证证书在响应文件中可不提供(磋商文件有要求在磋商时提供证明材料的除外)，供应商成交后应在签订采购合同时向采购人提供加盖供应商公章的3C证书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lang w:val="zh-CN"/>
              </w:rPr>
              <w:t>评</w:t>
            </w:r>
            <w:r>
              <w:rPr>
                <w:rFonts w:hint="eastAsia"/>
              </w:rPr>
              <w:t>审</w:t>
            </w:r>
            <w:r>
              <w:rPr>
                <w:rFonts w:hint="eastAsia"/>
                <w:lang w:val="zh-CN"/>
              </w:rPr>
              <w:t>情况的公告</w:t>
            </w:r>
          </w:p>
        </w:tc>
        <w:tc>
          <w:tcPr>
            <w:tcW w:w="7061" w:type="dxa"/>
            <w:vAlign w:val="center"/>
          </w:tcPr>
          <w:p>
            <w:pPr>
              <w:pStyle w:val="38"/>
              <w:ind w:left="60" w:leftChars="25" w:right="60" w:rightChars="25"/>
            </w:pPr>
            <w:r>
              <w:rPr>
                <w:rFonts w:hint="eastAsia"/>
              </w:rPr>
              <w:t>1.所有递交了响应文件的供应商资格性审查情况、总得分和分项汇总得分情况、评审结果、《中小企业声明函》（如涉及）等将在“四川政府采购网”采购结果公告栏中予以公告。</w:t>
            </w:r>
          </w:p>
          <w:p>
            <w:pPr>
              <w:pStyle w:val="38"/>
              <w:ind w:left="60" w:leftChars="25" w:right="60" w:rightChars="25"/>
            </w:pPr>
            <w:r>
              <w:rPr>
                <w:rFonts w:hint="eastAsia"/>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成交通知书领取</w:t>
            </w:r>
          </w:p>
        </w:tc>
        <w:tc>
          <w:tcPr>
            <w:tcW w:w="7061" w:type="dxa"/>
            <w:vAlign w:val="center"/>
          </w:tcPr>
          <w:p>
            <w:pPr>
              <w:pStyle w:val="38"/>
              <w:ind w:left="60" w:leftChars="25" w:right="60" w:rightChars="25"/>
              <w:rPr>
                <w:lang w:val="zh-CN"/>
              </w:rPr>
            </w:pPr>
            <w:r>
              <w:rPr>
                <w:rFonts w:hint="eastAsia"/>
                <w:lang w:val="zh-CN"/>
              </w:rPr>
              <w:t>采购代理机构在</w:t>
            </w:r>
            <w:r>
              <w:rPr>
                <w:rFonts w:hint="eastAsia"/>
              </w:rPr>
              <w:t>成交</w:t>
            </w:r>
            <w:r>
              <w:rPr>
                <w:rFonts w:hint="eastAsia"/>
                <w:lang w:val="zh-CN"/>
              </w:rPr>
              <w:t>供应商确定后2个工作日内，在“四川政府采购网”发布成交公告。</w:t>
            </w:r>
          </w:p>
          <w:p>
            <w:pPr>
              <w:pStyle w:val="38"/>
              <w:ind w:left="60" w:leftChars="25" w:right="60" w:rightChars="25"/>
              <w:rPr>
                <w:lang w:val="zh-CN"/>
              </w:rPr>
            </w:pPr>
            <w:r>
              <w:rPr>
                <w:rFonts w:hint="eastAsia"/>
              </w:rPr>
              <w:t>供应商成交后应当及时领取成交通知书，不能及时领取或拒绝领取成交通知书的，采购代理机构将于成交供应商确定之日起两个工作日内采取邮寄、快递方式将成交通知书送达成交供应商。</w:t>
            </w:r>
          </w:p>
          <w:p>
            <w:pPr>
              <w:pStyle w:val="38"/>
              <w:ind w:left="60" w:leftChars="25" w:right="60" w:rightChars="25"/>
            </w:pPr>
            <w:r>
              <w:rPr>
                <w:rFonts w:hint="eastAsia"/>
              </w:rPr>
              <w:t>联系人：张婵嫒</w:t>
            </w:r>
          </w:p>
          <w:p>
            <w:pPr>
              <w:pStyle w:val="38"/>
              <w:ind w:left="60" w:leftChars="25" w:right="60" w:rightChars="25"/>
            </w:pPr>
            <w:r>
              <w:rPr>
                <w:rFonts w:hint="eastAsia"/>
                <w:lang w:val="zh-CN"/>
              </w:rPr>
              <w:t>联系电话：</w:t>
            </w:r>
            <w:r>
              <w:rPr>
                <w:rFonts w:hint="eastAsia"/>
              </w:rPr>
              <w:t>028-61375575、62600820、62630990转601或602</w:t>
            </w:r>
          </w:p>
          <w:p>
            <w:pPr>
              <w:pStyle w:val="38"/>
              <w:ind w:left="60" w:leftChars="25" w:right="60" w:rightChars="25"/>
            </w:pPr>
            <w:r>
              <w:rPr>
                <w:rFonts w:hint="eastAsia"/>
                <w:lang w:val="zh-CN"/>
              </w:rPr>
              <w:t>地址：成都市高新区吉庆三路333号蜀都中心二期一号楼一单元401</w:t>
            </w:r>
            <w:r>
              <w:rPr>
                <w:rFonts w:hint="eastAsia"/>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0" w:hRule="atLeast"/>
          <w:jc w:val="center"/>
        </w:trPr>
        <w:tc>
          <w:tcPr>
            <w:tcW w:w="622" w:type="dxa"/>
            <w:vAlign w:val="center"/>
          </w:tcPr>
          <w:p>
            <w:pPr>
              <w:pStyle w:val="41"/>
              <w:numPr>
                <w:ilvl w:val="0"/>
                <w:numId w:val="9"/>
              </w:numPr>
              <w:rPr>
                <w:lang w:val="zh-CN"/>
              </w:rPr>
            </w:pPr>
          </w:p>
        </w:tc>
        <w:tc>
          <w:tcPr>
            <w:tcW w:w="2020" w:type="dxa"/>
            <w:vAlign w:val="center"/>
          </w:tcPr>
          <w:p>
            <w:pPr>
              <w:pStyle w:val="41"/>
              <w:rPr>
                <w:highlight w:val="none"/>
                <w:lang w:val="zh-CN"/>
              </w:rPr>
            </w:pPr>
            <w:r>
              <w:rPr>
                <w:rFonts w:hint="eastAsia"/>
                <w:highlight w:val="none"/>
              </w:rPr>
              <w:t>招标代理</w:t>
            </w:r>
            <w:r>
              <w:rPr>
                <w:rFonts w:hint="eastAsia"/>
                <w:highlight w:val="none"/>
                <w:lang w:val="zh-CN"/>
              </w:rPr>
              <w:t>服务费</w:t>
            </w:r>
          </w:p>
        </w:tc>
        <w:tc>
          <w:tcPr>
            <w:tcW w:w="7061" w:type="dxa"/>
            <w:tcBorders>
              <w:bottom w:val="single" w:color="auto" w:sz="4" w:space="0"/>
            </w:tcBorders>
            <w:vAlign w:val="center"/>
          </w:tcPr>
          <w:p>
            <w:pPr>
              <w:pStyle w:val="38"/>
              <w:ind w:left="60" w:leftChars="25" w:right="60" w:rightChars="25"/>
              <w:rPr>
                <w:rFonts w:cs="宋体"/>
                <w:color w:val="000000" w:themeColor="text1"/>
                <w:szCs w:val="21"/>
                <w:highlight w:val="none"/>
                <w14:textFill>
                  <w14:solidFill>
                    <w14:schemeClr w14:val="tx1"/>
                  </w14:solidFill>
                </w14:textFill>
              </w:rPr>
            </w:pPr>
            <w:r>
              <w:rPr>
                <w:rFonts w:hint="eastAsia"/>
                <w:highlight w:val="none"/>
              </w:rPr>
              <w:t>1.</w:t>
            </w:r>
            <w:r>
              <w:rPr>
                <w:rFonts w:hint="eastAsia" w:cs="宋体"/>
                <w:color w:val="000000" w:themeColor="text1"/>
                <w:szCs w:val="21"/>
                <w:highlight w:val="none"/>
                <w14:textFill>
                  <w14:solidFill>
                    <w14:schemeClr w14:val="tx1"/>
                  </w14:solidFill>
                </w14:textFill>
              </w:rPr>
              <w:t>收取标准：招标代理服务费以成本加合理利润为原则，定额计取22960元。</w:t>
            </w:r>
          </w:p>
          <w:p>
            <w:pPr>
              <w:pStyle w:val="38"/>
              <w:ind w:left="60" w:leftChars="25" w:right="60" w:rightChars="25"/>
              <w:rPr>
                <w:highlight w:val="none"/>
              </w:rPr>
            </w:pPr>
            <w:r>
              <w:rPr>
                <w:rFonts w:hint="eastAsia" w:cs="宋体"/>
                <w:color w:val="000000" w:themeColor="text1"/>
                <w:szCs w:val="21"/>
                <w:highlight w:val="none"/>
                <w14:textFill>
                  <w14:solidFill>
                    <w14:schemeClr w14:val="tx1"/>
                  </w14:solidFill>
                </w14:textFill>
              </w:rPr>
              <w:t>2.收取方式：成交</w:t>
            </w:r>
            <w:r>
              <w:rPr>
                <w:rFonts w:hint="eastAsia" w:cs="宋体"/>
                <w:color w:val="000000" w:themeColor="text1"/>
                <w:szCs w:val="21"/>
                <w:highlight w:val="none"/>
                <w:lang w:val="zh-CN"/>
                <w14:textFill>
                  <w14:solidFill>
                    <w14:schemeClr w14:val="tx1"/>
                  </w14:solidFill>
                </w14:textFill>
              </w:rPr>
              <w:t>通知发出后二个工作日内由</w:t>
            </w:r>
            <w:r>
              <w:rPr>
                <w:rFonts w:hint="eastAsia" w:cs="宋体"/>
                <w:color w:val="000000" w:themeColor="text1"/>
                <w:szCs w:val="21"/>
                <w:highlight w:val="none"/>
                <w14:textFill>
                  <w14:solidFill>
                    <w14:schemeClr w14:val="tx1"/>
                  </w14:solidFill>
                </w14:textFill>
              </w:rPr>
              <w:t>成交供应商</w:t>
            </w:r>
            <w:r>
              <w:rPr>
                <w:rFonts w:hint="eastAsia" w:cs="宋体"/>
                <w:color w:val="000000" w:themeColor="text1"/>
                <w:szCs w:val="21"/>
                <w:highlight w:val="none"/>
                <w:lang w:val="zh-CN"/>
                <w14:textFill>
                  <w14:solidFill>
                    <w14:schemeClr w14:val="tx1"/>
                  </w14:solidFill>
                </w14:textFill>
              </w:rPr>
              <w:t>一次性支付</w:t>
            </w:r>
            <w:r>
              <w:rPr>
                <w:rFonts w:hint="eastAsia" w:cs="宋体"/>
                <w:color w:val="000000" w:themeColor="text1"/>
                <w:szCs w:val="21"/>
                <w:highlight w:val="none"/>
                <w14:textFill>
                  <w14:solidFill>
                    <w14:schemeClr w14:val="tx1"/>
                  </w14:solidFill>
                </w14:textFill>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履约保证金</w:t>
            </w:r>
          </w:p>
        </w:tc>
        <w:tc>
          <w:tcPr>
            <w:tcW w:w="7061" w:type="dxa"/>
            <w:vAlign w:val="center"/>
          </w:tcPr>
          <w:p>
            <w:pPr>
              <w:pStyle w:val="38"/>
              <w:ind w:left="60" w:leftChars="25" w:right="60" w:rightChars="25"/>
              <w:rPr>
                <w:lang w:val="zh-CN"/>
              </w:rPr>
            </w:pPr>
            <w:r>
              <w:rPr>
                <w:rFonts w:hint="eastAsia"/>
              </w:rPr>
              <w:t>本项目不收取履约保证金</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rPr>
              <w:t>政府采购供应商信用融资</w:t>
            </w:r>
          </w:p>
        </w:tc>
        <w:tc>
          <w:tcPr>
            <w:tcW w:w="7061" w:type="dxa"/>
            <w:vAlign w:val="center"/>
          </w:tcPr>
          <w:p>
            <w:pPr>
              <w:pStyle w:val="38"/>
              <w:ind w:left="60" w:leftChars="25" w:right="60" w:rightChars="25"/>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ind w:left="60" w:leftChars="25" w:right="60" w:rightChars="25"/>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lang w:val="zh-CN"/>
              </w:rPr>
              <w:t>并按照相关规定要求和贷款流程</w:t>
            </w:r>
            <w:r>
              <w:rPr>
                <w:rFonts w:hint="eastAsia"/>
              </w:rPr>
              <w:t>办理。</w:t>
            </w:r>
          </w:p>
          <w:p>
            <w:pPr>
              <w:pStyle w:val="38"/>
              <w:ind w:left="60" w:leftChars="25" w:right="60" w:rightChars="25"/>
            </w:pPr>
            <w:r>
              <w:rPr>
                <w:rFonts w:hint="eastAsia"/>
              </w:rPr>
              <w:t>3.“政采贷”政策咨询电话：</w:t>
            </w:r>
            <w:r>
              <w:rPr>
                <w:rFonts w:hint="eastAsia"/>
                <w:lang w:val="zh-CN"/>
              </w:rPr>
              <w:t>028-61375575转6</w:t>
            </w:r>
            <w:r>
              <w:rPr>
                <w:rFonts w:hint="eastAsia"/>
              </w:rPr>
              <w:t>08。</w:t>
            </w:r>
          </w:p>
          <w:p>
            <w:pPr>
              <w:pStyle w:val="38"/>
              <w:ind w:left="60" w:leftChars="25" w:right="60" w:rightChars="25"/>
            </w:pPr>
            <w:r>
              <w:rPr>
                <w:rFonts w:hint="eastAsia"/>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合同分包</w:t>
            </w:r>
          </w:p>
          <w:p>
            <w:pPr>
              <w:pStyle w:val="41"/>
            </w:pPr>
            <w:r>
              <w:rPr>
                <w:rFonts w:hint="eastAsia"/>
                <w:lang w:val="zh-CN"/>
              </w:rPr>
              <w:t>(</w:t>
            </w:r>
            <w:r>
              <w:rPr>
                <w:rFonts w:hint="eastAsia"/>
              </w:rPr>
              <w:t>实质性要求</w:t>
            </w:r>
            <w:r>
              <w:rPr>
                <w:rFonts w:hint="eastAsia"/>
                <w:lang w:val="zh-CN"/>
              </w:rPr>
              <w:t>)</w:t>
            </w:r>
          </w:p>
        </w:tc>
        <w:tc>
          <w:tcPr>
            <w:tcW w:w="7061" w:type="dxa"/>
            <w:vAlign w:val="center"/>
          </w:tcPr>
          <w:p>
            <w:pPr>
              <w:pStyle w:val="38"/>
              <w:ind w:left="60" w:leftChars="25" w:right="60" w:rightChars="25"/>
            </w:pPr>
            <w:r>
              <w:rPr>
                <w:rFonts w:hint="eastAsia"/>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rPr>
                <w:lang w:val="zh-CN"/>
              </w:rPr>
            </w:pPr>
            <w:r>
              <w:rPr>
                <w:rFonts w:hint="eastAsia"/>
                <w:lang w:val="zh-CN"/>
              </w:rPr>
              <w:t>政府采购合同</w:t>
            </w:r>
          </w:p>
          <w:p>
            <w:pPr>
              <w:pStyle w:val="41"/>
            </w:pPr>
            <w:r>
              <w:rPr>
                <w:rFonts w:hint="eastAsia"/>
                <w:lang w:val="zh-CN"/>
              </w:rPr>
              <w:t>公告备案</w:t>
            </w:r>
          </w:p>
        </w:tc>
        <w:tc>
          <w:tcPr>
            <w:tcW w:w="7061" w:type="dxa"/>
            <w:vAlign w:val="center"/>
          </w:tcPr>
          <w:p>
            <w:pPr>
              <w:pStyle w:val="38"/>
              <w:ind w:left="60" w:leftChars="25" w:right="60" w:rightChars="25"/>
              <w:rPr>
                <w:lang w:val="zh-CN"/>
              </w:rPr>
            </w:pPr>
            <w:r>
              <w:rPr>
                <w:rFonts w:hint="eastAsia"/>
              </w:rPr>
              <w:t>1.</w:t>
            </w:r>
            <w:r>
              <w:rPr>
                <w:rFonts w:hint="eastAsia"/>
                <w:lang w:val="zh-CN"/>
              </w:rPr>
              <w:t>政府采购合同签订之日起2个工作日内，</w:t>
            </w:r>
            <w:r>
              <w:rPr>
                <w:rFonts w:hint="eastAsia"/>
              </w:rPr>
              <w:t>采购人将</w:t>
            </w:r>
            <w:r>
              <w:rPr>
                <w:rFonts w:hint="eastAsia"/>
                <w:lang w:val="zh-CN"/>
              </w:rPr>
              <w:t>政府采购合同在“四川政府采购网”公告；政府采购合同签订之日起七个工作日内，</w:t>
            </w:r>
            <w:r>
              <w:rPr>
                <w:rFonts w:hint="eastAsia"/>
              </w:rPr>
              <w:t>采购人</w:t>
            </w:r>
            <w:r>
              <w:rPr>
                <w:rFonts w:hint="eastAsia"/>
                <w:lang w:val="zh-CN"/>
              </w:rPr>
              <w:t>将政府采购合同向采购项目同级财政部门备案。</w:t>
            </w:r>
          </w:p>
          <w:p>
            <w:pPr>
              <w:pStyle w:val="38"/>
              <w:ind w:left="60" w:leftChars="25" w:right="60" w:rightChars="25"/>
            </w:pPr>
            <w:r>
              <w:rPr>
                <w:rFonts w:hint="eastAsia"/>
              </w:rPr>
              <w:t>2.</w:t>
            </w:r>
            <w:r>
              <w:rPr>
                <w:rFonts w:hint="eastAsia"/>
                <w:lang w:val="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供应商询问</w:t>
            </w:r>
          </w:p>
        </w:tc>
        <w:tc>
          <w:tcPr>
            <w:tcW w:w="7061" w:type="dxa"/>
          </w:tcPr>
          <w:p>
            <w:pPr>
              <w:pStyle w:val="38"/>
              <w:ind w:left="60" w:leftChars="25" w:right="60" w:rightChars="25"/>
              <w:rPr>
                <w:lang w:val="zh-CN"/>
              </w:rPr>
            </w:pPr>
            <w:r>
              <w:rPr>
                <w:rFonts w:hint="eastAsia"/>
              </w:rPr>
              <w:t>1.根据委托代理协议约定，采购人负责对磋商文件技术参数部分的询问答复，四川乾新招投标代理有限公司负责磋商文件技术参数部分以外的询问答复。</w:t>
            </w:r>
          </w:p>
          <w:p>
            <w:pPr>
              <w:pStyle w:val="38"/>
              <w:ind w:left="60" w:leftChars="25" w:right="60" w:rightChars="25"/>
            </w:pPr>
            <w:r>
              <w:rPr>
                <w:rFonts w:hint="eastAsia"/>
              </w:rPr>
              <w:t>2.询问内容不得涉及评审秘密、国家机密和商业秘密等保密内容。</w:t>
            </w:r>
          </w:p>
          <w:p>
            <w:pPr>
              <w:pStyle w:val="38"/>
              <w:ind w:left="60" w:leftChars="25" w:right="60" w:rightChars="25"/>
            </w:pPr>
            <w:r>
              <w:rPr>
                <w:rFonts w:hint="eastAsia"/>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ind w:left="60" w:leftChars="25" w:right="60" w:rightChars="25"/>
            </w:pPr>
            <w:r>
              <w:rPr>
                <w:rFonts w:hint="eastAsia"/>
                <w:lang w:val="zh-CN"/>
              </w:rPr>
              <w:t>联系人：</w:t>
            </w:r>
            <w:r>
              <w:rPr>
                <w:rFonts w:hint="eastAsia"/>
              </w:rPr>
              <w:t>郭巧樾</w:t>
            </w:r>
          </w:p>
          <w:p>
            <w:pPr>
              <w:pStyle w:val="38"/>
              <w:ind w:left="60" w:leftChars="25" w:right="60" w:rightChars="25"/>
            </w:pPr>
            <w:r>
              <w:rPr>
                <w:rFonts w:hint="eastAsia"/>
                <w:lang w:val="zh-CN"/>
              </w:rPr>
              <w:t>联系电话：</w:t>
            </w:r>
            <w:r>
              <w:rPr>
                <w:rFonts w:hint="eastAsia"/>
              </w:rPr>
              <w:t>028-61375575、62600820、62630990转682</w:t>
            </w:r>
          </w:p>
          <w:p>
            <w:pPr>
              <w:pStyle w:val="38"/>
              <w:ind w:left="60" w:leftChars="25" w:right="60" w:rightChars="25"/>
              <w:rPr>
                <w:lang w:val="zh-CN"/>
              </w:rPr>
            </w:pPr>
            <w:r>
              <w:rPr>
                <w:rFonts w:hint="eastAsia"/>
                <w:lang w:val="zh-CN"/>
              </w:rPr>
              <w:t>地址：成都市高新区吉庆三路333号蜀都中心二期一号楼一单元401号</w:t>
            </w:r>
          </w:p>
          <w:p>
            <w:pPr>
              <w:pStyle w:val="38"/>
              <w:ind w:left="60" w:leftChars="25" w:right="60" w:rightChars="25"/>
            </w:pPr>
            <w:r>
              <w:rPr>
                <w:rFonts w:hint="eastAsia"/>
                <w:lang w:val="zh-CN"/>
              </w:rPr>
              <w:t>邮编</w:t>
            </w:r>
            <w:r>
              <w:rPr>
                <w:rFonts w:hint="eastAsia"/>
              </w:rPr>
              <w:t>：610041</w:t>
            </w:r>
          </w:p>
          <w:p>
            <w:pPr>
              <w:pStyle w:val="38"/>
              <w:ind w:left="60" w:leftChars="25" w:right="60" w:rightChars="25"/>
            </w:pPr>
            <w:r>
              <w:rPr>
                <w:rFonts w:hint="eastAsia"/>
              </w:rPr>
              <w:t>4.询问提出的范围及主体：①磋商文件及采购信息公告环节：依法获取磋商文件的潜在供应商可以对磋商文件及采购信息公告的内容向四川乾新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询问提出的时间原则上以政府采购活动中有效质疑的时间计算为准。</w:t>
            </w:r>
          </w:p>
          <w:p>
            <w:pPr>
              <w:pStyle w:val="38"/>
              <w:ind w:left="60" w:leftChars="25" w:right="60" w:rightChars="25"/>
            </w:pPr>
            <w:r>
              <w:rPr>
                <w:rFonts w:hint="eastAsia"/>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8"/>
              <w:ind w:left="60" w:leftChars="25" w:right="60" w:rightChars="25"/>
              <w:rPr>
                <w:lang w:val="zh-CN"/>
              </w:rPr>
            </w:pPr>
            <w:r>
              <w:rPr>
                <w:rFonts w:hint="eastAsia"/>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rPr>
                <w:lang w:val="zh-CN"/>
              </w:rPr>
            </w:pPr>
          </w:p>
        </w:tc>
        <w:tc>
          <w:tcPr>
            <w:tcW w:w="2020" w:type="dxa"/>
            <w:vAlign w:val="center"/>
          </w:tcPr>
          <w:p>
            <w:pPr>
              <w:pStyle w:val="41"/>
            </w:pPr>
            <w:r>
              <w:rPr>
                <w:rFonts w:hint="eastAsia"/>
              </w:rPr>
              <w:t>供应商质疑</w:t>
            </w:r>
          </w:p>
        </w:tc>
        <w:tc>
          <w:tcPr>
            <w:tcW w:w="7061" w:type="dxa"/>
            <w:vAlign w:val="center"/>
          </w:tcPr>
          <w:p>
            <w:pPr>
              <w:pStyle w:val="38"/>
              <w:ind w:left="60" w:leftChars="25" w:right="60" w:rightChars="25"/>
            </w:pPr>
            <w:r>
              <w:rPr>
                <w:rFonts w:hint="eastAsia"/>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rPr>
              <w:br w:type="textWrapping"/>
            </w:r>
            <w:r>
              <w:rPr>
                <w:rFonts w:hint="eastAsia"/>
              </w:rPr>
              <w:t>2.供应商提出质疑应当坚持依法依规、诚实信用原则；不得超出磋商文件、采购过程、采购结果的范围，不得进行虚假、恶意质疑，不得以质疑为手段获取不当得利、实现非法目的。</w:t>
            </w:r>
            <w:r>
              <w:rPr>
                <w:rFonts w:hint="eastAsia"/>
              </w:rPr>
              <w:br w:type="textWrapping"/>
            </w:r>
            <w:r>
              <w:rPr>
                <w:rFonts w:hint="eastAsia"/>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rPr>
              <w:br w:type="textWrapping"/>
            </w:r>
            <w:r>
              <w:rPr>
                <w:rFonts w:hint="eastAsia"/>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8"/>
              <w:ind w:left="60" w:leftChars="25" w:right="60" w:rightChars="25"/>
            </w:pPr>
            <w:r>
              <w:rPr>
                <w:rFonts w:hint="eastAsia"/>
              </w:rPr>
              <w:t>联系人：滕德伟</w:t>
            </w:r>
          </w:p>
          <w:p>
            <w:pPr>
              <w:pStyle w:val="38"/>
              <w:ind w:left="60" w:leftChars="25" w:right="60" w:rightChars="25"/>
            </w:pPr>
            <w:r>
              <w:rPr>
                <w:rFonts w:hint="eastAsia"/>
              </w:rPr>
              <w:t>联系电话：028-61375575、62600820、62630990转656</w:t>
            </w:r>
          </w:p>
          <w:p>
            <w:pPr>
              <w:pStyle w:val="38"/>
              <w:ind w:left="60" w:leftChars="25" w:right="60" w:rightChars="25"/>
            </w:pPr>
            <w:r>
              <w:rPr>
                <w:rFonts w:hint="eastAsia"/>
              </w:rPr>
              <w:t>通讯地址：</w:t>
            </w:r>
            <w:r>
              <w:rPr>
                <w:rFonts w:hint="eastAsia"/>
                <w:lang w:val="zh-CN"/>
              </w:rPr>
              <w:t>成都市高新区吉庆三路333号蜀都中心二期一号楼一单元401号</w:t>
            </w:r>
          </w:p>
          <w:p>
            <w:pPr>
              <w:pStyle w:val="38"/>
              <w:ind w:left="60" w:leftChars="25" w:right="60" w:rightChars="25"/>
            </w:pPr>
            <w:r>
              <w:rPr>
                <w:rFonts w:hint="eastAsia"/>
              </w:rPr>
              <w:t>邮编：610041</w:t>
            </w:r>
          </w:p>
          <w:p>
            <w:pPr>
              <w:pStyle w:val="38"/>
              <w:ind w:left="60" w:leftChars="25" w:right="60" w:rightChars="25"/>
            </w:pPr>
            <w:r>
              <w:rPr>
                <w:rFonts w:hint="eastAsia"/>
              </w:rPr>
              <w:t>注：①根据《中华人民共和国政府采购法》等法律法规规定，供应商质疑应当有明确的请求和必要的证明材料，须符合《政府采购质疑和投诉办法》(财政部第94号令)规定，并使用财政部下发《质疑函》范本。</w:t>
            </w:r>
          </w:p>
          <w:p>
            <w:pPr>
              <w:pStyle w:val="38"/>
              <w:ind w:left="60" w:leftChars="25" w:right="60" w:rightChars="25"/>
            </w:pPr>
            <w:r>
              <w:rPr>
                <w:rFonts w:hint="eastAsia"/>
              </w:rPr>
              <w:t>明确的请求是指：供应商对磋商文件还是对采购过程还是对中标、成交结果提出质疑；想要达到的结果，如中标成交无效、废标、重新组织采购、赔偿、追究法律责任等；</w:t>
            </w:r>
          </w:p>
          <w:p>
            <w:pPr>
              <w:pStyle w:val="38"/>
              <w:ind w:left="60" w:leftChars="25" w:right="60" w:rightChars="25"/>
            </w:pPr>
            <w:r>
              <w:rPr>
                <w:rFonts w:hint="eastAsia"/>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ind w:left="60" w:leftChars="25" w:right="60" w:rightChars="25"/>
            </w:pPr>
            <w:r>
              <w:rPr>
                <w:rFonts w:hint="eastAsia"/>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ind w:left="60" w:leftChars="25" w:right="60" w:rightChars="25"/>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1"/>
              <w:numPr>
                <w:ilvl w:val="0"/>
                <w:numId w:val="9"/>
              </w:numPr>
            </w:pPr>
          </w:p>
        </w:tc>
        <w:tc>
          <w:tcPr>
            <w:tcW w:w="2020" w:type="dxa"/>
            <w:vAlign w:val="center"/>
          </w:tcPr>
          <w:p>
            <w:pPr>
              <w:pStyle w:val="41"/>
              <w:rPr>
                <w:lang w:val="zh-CN"/>
              </w:rPr>
            </w:pPr>
            <w:r>
              <w:rPr>
                <w:rFonts w:hint="eastAsia"/>
              </w:rPr>
              <w:t>供应商投诉</w:t>
            </w:r>
          </w:p>
        </w:tc>
        <w:tc>
          <w:tcPr>
            <w:tcW w:w="7061" w:type="dxa"/>
          </w:tcPr>
          <w:p>
            <w:pPr>
              <w:spacing w:line="320" w:lineRule="exact"/>
              <w:ind w:left="60" w:leftChars="25" w:right="60" w:rightChars="25"/>
              <w:rPr>
                <w:rFonts w:cs="宋体"/>
                <w:sz w:val="21"/>
                <w:szCs w:val="21"/>
              </w:rPr>
            </w:pPr>
            <w:r>
              <w:rPr>
                <w:rFonts w:hint="eastAsia" w:cs="宋体"/>
                <w:sz w:val="21"/>
                <w:szCs w:val="21"/>
              </w:rPr>
              <w:t>投诉受理单位：成都市财政局</w:t>
            </w:r>
          </w:p>
          <w:p>
            <w:pPr>
              <w:spacing w:line="320" w:lineRule="exact"/>
              <w:ind w:left="60" w:leftChars="25" w:right="60" w:rightChars="25"/>
              <w:rPr>
                <w:rFonts w:cs="宋体"/>
                <w:sz w:val="21"/>
                <w:szCs w:val="21"/>
              </w:rPr>
            </w:pPr>
            <w:r>
              <w:rPr>
                <w:rFonts w:hint="eastAsia" w:cs="宋体"/>
                <w:sz w:val="21"/>
                <w:szCs w:val="21"/>
              </w:rPr>
              <w:t>联系人：陈老师</w:t>
            </w:r>
          </w:p>
          <w:p>
            <w:pPr>
              <w:spacing w:line="320" w:lineRule="exact"/>
              <w:ind w:left="60" w:leftChars="25" w:right="60" w:rightChars="25"/>
              <w:rPr>
                <w:rFonts w:cs="宋体"/>
                <w:sz w:val="21"/>
                <w:szCs w:val="21"/>
              </w:rPr>
            </w:pPr>
            <w:r>
              <w:rPr>
                <w:rFonts w:hint="eastAsia" w:cs="宋体"/>
                <w:sz w:val="21"/>
                <w:szCs w:val="21"/>
              </w:rPr>
              <w:t xml:space="preserve">联系电话：028-61882648 </w:t>
            </w:r>
          </w:p>
          <w:p>
            <w:pPr>
              <w:spacing w:line="320" w:lineRule="exact"/>
              <w:ind w:left="60" w:leftChars="25" w:right="60" w:rightChars="25"/>
              <w:rPr>
                <w:rFonts w:cs="宋体"/>
                <w:sz w:val="21"/>
                <w:szCs w:val="21"/>
              </w:rPr>
            </w:pPr>
            <w:r>
              <w:rPr>
                <w:rFonts w:hint="eastAsia" w:cs="宋体"/>
                <w:sz w:val="21"/>
                <w:szCs w:val="21"/>
              </w:rPr>
              <w:t xml:space="preserve">地址：成都市锦城大道366号 </w:t>
            </w:r>
          </w:p>
          <w:p>
            <w:pPr>
              <w:pStyle w:val="38"/>
              <w:ind w:left="72" w:leftChars="30"/>
            </w:pPr>
            <w:r>
              <w:rPr>
                <w:rFonts w:hint="eastAsia" w:cs="宋体"/>
                <w:szCs w:val="21"/>
              </w:rPr>
              <w:t>邮编：610041</w:t>
            </w:r>
          </w:p>
          <w:p>
            <w:pPr>
              <w:pStyle w:val="38"/>
              <w:ind w:left="60" w:leftChars="25" w:right="60" w:rightChars="25"/>
              <w:rPr>
                <w:lang w:val="zh-CN"/>
              </w:rPr>
            </w:pPr>
            <w:r>
              <w:rPr>
                <w:rFonts w:hint="eastAsia"/>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pPr>
          </w:p>
        </w:tc>
        <w:tc>
          <w:tcPr>
            <w:tcW w:w="2020" w:type="dxa"/>
            <w:vAlign w:val="center"/>
          </w:tcPr>
          <w:p>
            <w:pPr>
              <w:pStyle w:val="41"/>
            </w:pPr>
            <w:r>
              <w:rPr>
                <w:rFonts w:hint="eastAsia"/>
              </w:rPr>
              <w:t>竞争性磋商费用</w:t>
            </w:r>
          </w:p>
        </w:tc>
        <w:tc>
          <w:tcPr>
            <w:tcW w:w="7061" w:type="dxa"/>
            <w:vAlign w:val="center"/>
          </w:tcPr>
          <w:p>
            <w:pPr>
              <w:pStyle w:val="38"/>
              <w:ind w:left="60" w:leftChars="25" w:right="60" w:rightChars="25"/>
            </w:pPr>
            <w:r>
              <w:rPr>
                <w:rFonts w:hint="eastAsia"/>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pPr>
          </w:p>
        </w:tc>
        <w:tc>
          <w:tcPr>
            <w:tcW w:w="2020" w:type="dxa"/>
            <w:vAlign w:val="center"/>
          </w:tcPr>
          <w:p>
            <w:pPr>
              <w:pStyle w:val="41"/>
            </w:pPr>
            <w:r>
              <w:rPr>
                <w:rFonts w:hint="eastAsia"/>
              </w:rPr>
              <w:t>磋商</w:t>
            </w:r>
            <w:r>
              <w:rPr>
                <w:rFonts w:hint="eastAsia"/>
                <w:lang w:val="zh-CN"/>
              </w:rPr>
              <w:t>文件咨询</w:t>
            </w:r>
          </w:p>
        </w:tc>
        <w:tc>
          <w:tcPr>
            <w:tcW w:w="7061" w:type="dxa"/>
            <w:vAlign w:val="center"/>
          </w:tcPr>
          <w:p>
            <w:pPr>
              <w:pStyle w:val="38"/>
              <w:ind w:left="60" w:leftChars="25" w:right="60" w:rightChars="25"/>
              <w:rPr>
                <w:lang w:val="zh-CN"/>
              </w:rPr>
            </w:pPr>
            <w:r>
              <w:rPr>
                <w:rFonts w:hint="eastAsia"/>
                <w:lang w:val="zh-CN"/>
              </w:rPr>
              <w:t>联系人：</w:t>
            </w:r>
            <w:r>
              <w:rPr>
                <w:rFonts w:hint="eastAsia"/>
              </w:rPr>
              <w:t>郭巧樾</w:t>
            </w:r>
          </w:p>
          <w:p>
            <w:pPr>
              <w:pStyle w:val="38"/>
              <w:ind w:left="60" w:leftChars="25" w:right="60" w:rightChars="25"/>
            </w:pPr>
            <w:r>
              <w:rPr>
                <w:rFonts w:hint="eastAsia"/>
                <w:lang w:val="zh-CN"/>
              </w:rPr>
              <w:t>联系电话：028-61375575、62600820、62630990转6</w:t>
            </w:r>
            <w:r>
              <w:rPr>
                <w:rFonts w:hint="eastAsia"/>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pPr>
          </w:p>
        </w:tc>
        <w:tc>
          <w:tcPr>
            <w:tcW w:w="2020" w:type="dxa"/>
            <w:vAlign w:val="center"/>
          </w:tcPr>
          <w:p>
            <w:pPr>
              <w:pStyle w:val="41"/>
              <w:rPr>
                <w:lang w:val="zh-CN"/>
              </w:rPr>
            </w:pPr>
            <w:r>
              <w:rPr>
                <w:rFonts w:hint="eastAsia"/>
              </w:rPr>
              <w:t>服务质量投诉电话</w:t>
            </w:r>
          </w:p>
        </w:tc>
        <w:tc>
          <w:tcPr>
            <w:tcW w:w="7061" w:type="dxa"/>
            <w:vAlign w:val="center"/>
          </w:tcPr>
          <w:p>
            <w:pPr>
              <w:pStyle w:val="38"/>
              <w:ind w:left="60" w:leftChars="25" w:right="60" w:rightChars="25"/>
            </w:pPr>
            <w:r>
              <w:rPr>
                <w:rFonts w:hint="eastAsia"/>
              </w:rPr>
              <w:t>联系人：滕德伟</w:t>
            </w:r>
          </w:p>
          <w:p>
            <w:pPr>
              <w:pStyle w:val="38"/>
              <w:ind w:left="60" w:leftChars="25" w:right="60" w:rightChars="25"/>
              <w:rPr>
                <w:lang w:val="zh-CN"/>
              </w:rPr>
            </w:pPr>
            <w:r>
              <w:rPr>
                <w:rFonts w:hint="eastAsia"/>
              </w:rPr>
              <w:t>联系电话：028-61375575、62600820、62630990转656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pPr>
          </w:p>
        </w:tc>
        <w:tc>
          <w:tcPr>
            <w:tcW w:w="2020" w:type="dxa"/>
            <w:vAlign w:val="center"/>
          </w:tcPr>
          <w:p>
            <w:pPr>
              <w:pStyle w:val="41"/>
              <w:rPr>
                <w:lang w:val="zh-CN"/>
              </w:rPr>
            </w:pPr>
            <w:r>
              <w:rPr>
                <w:rFonts w:hint="eastAsia"/>
                <w:lang w:val="zh-CN"/>
              </w:rPr>
              <w:t>声明承诺提醒</w:t>
            </w:r>
          </w:p>
        </w:tc>
        <w:tc>
          <w:tcPr>
            <w:tcW w:w="7061" w:type="dxa"/>
            <w:vAlign w:val="center"/>
          </w:tcPr>
          <w:p>
            <w:pPr>
              <w:pStyle w:val="38"/>
              <w:ind w:left="60" w:leftChars="25" w:right="60" w:rightChars="25"/>
              <w:rPr>
                <w:lang w:val="zh-CN"/>
              </w:rPr>
            </w:pPr>
            <w:r>
              <w:rPr>
                <w:rFonts w:hint="eastAsia"/>
                <w:lang w:val="zh-CN"/>
              </w:rPr>
              <w:t>供应商响应文件中提供的各种声明和承诺应当真实有效，无效声明和承诺、虚假声明和承诺将由供应商</w:t>
            </w:r>
            <w:r>
              <w:rPr>
                <w:rFonts w:hint="eastAsia"/>
              </w:rPr>
              <w:t>自行</w:t>
            </w:r>
            <w:r>
              <w:rPr>
                <w:rFonts w:hint="eastAsia"/>
                <w:lang w:val="zh-CN"/>
              </w:rPr>
              <w:t>承担由此带来的</w:t>
            </w:r>
            <w:r>
              <w:rPr>
                <w:rFonts w:hint="eastAsia"/>
              </w:rPr>
              <w:t>一切</w:t>
            </w:r>
            <w:r>
              <w:rPr>
                <w:rFonts w:hint="eastAsia"/>
                <w:lang w:val="zh-CN"/>
              </w:rPr>
              <w:t>不利后果，</w:t>
            </w:r>
            <w:r>
              <w:rPr>
                <w:rFonts w:hint="eastAsia"/>
              </w:rPr>
              <w:t>采购代理机构</w:t>
            </w:r>
            <w:r>
              <w:rPr>
                <w:rFonts w:hint="eastAsia"/>
                <w:lang w:val="zh-CN"/>
              </w:rPr>
              <w:t>还将报告监管部门追究</w:t>
            </w:r>
            <w:r>
              <w:rPr>
                <w:rFonts w:hint="eastAsia"/>
              </w:rPr>
              <w:t>其</w:t>
            </w:r>
            <w:r>
              <w:rPr>
                <w:rFonts w:hint="eastAsia"/>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pPr>
          </w:p>
        </w:tc>
        <w:tc>
          <w:tcPr>
            <w:tcW w:w="2020" w:type="dxa"/>
            <w:vAlign w:val="center"/>
          </w:tcPr>
          <w:p>
            <w:pPr>
              <w:pStyle w:val="41"/>
              <w:rPr>
                <w:lang w:val="zh-CN"/>
              </w:rPr>
            </w:pPr>
            <w:r>
              <w:rPr>
                <w:rFonts w:hint="eastAsia"/>
              </w:rPr>
              <w:t>备注</w:t>
            </w:r>
          </w:p>
        </w:tc>
        <w:tc>
          <w:tcPr>
            <w:tcW w:w="7061" w:type="dxa"/>
            <w:vAlign w:val="center"/>
          </w:tcPr>
          <w:p>
            <w:pPr>
              <w:pStyle w:val="38"/>
              <w:ind w:left="60" w:leftChars="25" w:right="60" w:rightChars="25"/>
              <w:rPr>
                <w:lang w:val="zh-CN"/>
              </w:rPr>
            </w:pPr>
            <w:r>
              <w:rPr>
                <w:rFonts w:hint="eastAsia"/>
                <w:lang w:val="zh-CN"/>
              </w:rPr>
              <w:t>若竞争性磋商文件中其他内容与磋商须知前附表内容不一致的，以磋商须知前附表为准。</w:t>
            </w:r>
          </w:p>
        </w:tc>
      </w:tr>
    </w:tbl>
    <w:p>
      <w:pPr>
        <w:pStyle w:val="31"/>
        <w:spacing w:before="120" w:beforeLines="50" w:after="120" w:afterLines="50"/>
        <w:ind w:firstLine="0" w:firstLineChars="0"/>
        <w:jc w:val="center"/>
        <w:rPr>
          <w:sz w:val="36"/>
          <w:szCs w:val="36"/>
        </w:rPr>
      </w:pPr>
      <w:r>
        <w:rPr>
          <w:rFonts w:hint="eastAsia"/>
        </w:rPr>
        <w:br w:type="page"/>
      </w:r>
      <w:bookmarkStart w:id="24" w:name="_Toc6798"/>
      <w:r>
        <w:rPr>
          <w:rFonts w:hint="eastAsia"/>
          <w:sz w:val="36"/>
          <w:szCs w:val="36"/>
        </w:rPr>
        <w:t>总则</w:t>
      </w:r>
      <w:bookmarkEnd w:id="24"/>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1"/>
            </w:pPr>
            <w:r>
              <w:rPr>
                <w:rFonts w:hint="eastAsia"/>
                <w:b/>
                <w:bCs/>
                <w:lang w:val="zh-CN"/>
              </w:rPr>
              <w:t>序号</w:t>
            </w:r>
          </w:p>
        </w:tc>
        <w:tc>
          <w:tcPr>
            <w:tcW w:w="1753" w:type="dxa"/>
            <w:vAlign w:val="center"/>
          </w:tcPr>
          <w:p>
            <w:pPr>
              <w:pStyle w:val="41"/>
              <w:rPr>
                <w:lang w:val="zh-CN"/>
              </w:rPr>
            </w:pPr>
            <w:r>
              <w:rPr>
                <w:rFonts w:hint="eastAsia"/>
                <w:b/>
                <w:bCs/>
                <w:lang w:val="zh-CN"/>
              </w:rPr>
              <w:t>事项</w:t>
            </w:r>
          </w:p>
        </w:tc>
        <w:tc>
          <w:tcPr>
            <w:tcW w:w="7328" w:type="dxa"/>
            <w:vAlign w:val="center"/>
          </w:tcPr>
          <w:p>
            <w:pPr>
              <w:pStyle w:val="41"/>
              <w:ind w:left="60" w:leftChars="25" w:right="60" w:rightChars="25"/>
              <w:rPr>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pPr>
            <w:r>
              <w:rPr>
                <w:rFonts w:hint="eastAsia"/>
              </w:rPr>
              <w:t>1</w:t>
            </w:r>
          </w:p>
        </w:tc>
        <w:tc>
          <w:tcPr>
            <w:tcW w:w="1753" w:type="dxa"/>
            <w:vAlign w:val="center"/>
          </w:tcPr>
          <w:p>
            <w:pPr>
              <w:pStyle w:val="41"/>
              <w:rPr>
                <w:lang w:val="zh-CN"/>
              </w:rPr>
            </w:pPr>
            <w:r>
              <w:rPr>
                <w:rFonts w:hint="eastAsia"/>
                <w:lang w:val="zh-CN"/>
              </w:rPr>
              <w:t>适用范围</w:t>
            </w:r>
          </w:p>
        </w:tc>
        <w:tc>
          <w:tcPr>
            <w:tcW w:w="7328" w:type="dxa"/>
            <w:vAlign w:val="center"/>
          </w:tcPr>
          <w:p>
            <w:pPr>
              <w:pStyle w:val="38"/>
              <w:ind w:left="60" w:leftChars="25" w:right="60" w:rightChars="25"/>
            </w:pPr>
            <w:r>
              <w:rPr>
                <w:rFonts w:hint="eastAsia"/>
              </w:rPr>
              <w:t>1.</w:t>
            </w:r>
            <w:r>
              <w:rPr>
                <w:rFonts w:hint="eastAsia"/>
                <w:lang w:val="zh-CN"/>
              </w:rPr>
              <w:t>本竞争性磋商文件(亦</w:t>
            </w:r>
            <w:r>
              <w:rPr>
                <w:rFonts w:hint="eastAsia"/>
              </w:rPr>
              <w:t>简称“磋商文件”或“采购文件”</w:t>
            </w:r>
            <w:r>
              <w:rPr>
                <w:rFonts w:hint="eastAsia"/>
                <w:lang w:val="zh-CN"/>
              </w:rPr>
              <w:t>)仅适用于</w:t>
            </w:r>
            <w:r>
              <w:rPr>
                <w:rFonts w:hint="eastAsia"/>
              </w:rPr>
              <w:t>本次磋商</w:t>
            </w:r>
            <w:r>
              <w:rPr>
                <w:rFonts w:hint="eastAsia"/>
                <w:lang w:val="zh-CN"/>
              </w:rPr>
              <w:t>采购</w:t>
            </w:r>
            <w:r>
              <w:rPr>
                <w:rFonts w:hint="eastAsia"/>
              </w:rPr>
              <w:t>项目。</w:t>
            </w:r>
          </w:p>
          <w:p>
            <w:pPr>
              <w:pStyle w:val="38"/>
              <w:ind w:left="60" w:leftChars="25" w:right="60" w:rightChars="25"/>
              <w:rPr>
                <w:lang w:val="zh-CN"/>
              </w:rPr>
            </w:pPr>
            <w:r>
              <w:rPr>
                <w:rFonts w:hint="eastAsia"/>
                <w:lang w:val="zh-CN"/>
              </w:rPr>
              <w:t>2.本竞争性</w:t>
            </w:r>
            <w:r>
              <w:rPr>
                <w:rFonts w:hint="eastAsia"/>
              </w:rPr>
              <w:t>磋商</w:t>
            </w:r>
            <w:r>
              <w:rPr>
                <w:rFonts w:hint="eastAsia"/>
                <w:lang w:val="zh-CN"/>
              </w:rPr>
              <w:t>文件中的</w:t>
            </w:r>
            <w:r>
              <w:rPr>
                <w:rFonts w:hint="eastAsia"/>
              </w:rPr>
              <w:t>响应文件</w:t>
            </w:r>
            <w:r>
              <w:rPr>
                <w:rFonts w:hint="eastAsia"/>
                <w:lang w:val="zh-CN"/>
              </w:rPr>
              <w:t>，仅适用于本采购项目。</w:t>
            </w:r>
          </w:p>
          <w:p>
            <w:pPr>
              <w:pStyle w:val="38"/>
              <w:ind w:left="60" w:leftChars="25" w:right="60" w:rightChars="25"/>
              <w:rPr>
                <w:lang w:val="zh-CN"/>
              </w:rPr>
            </w:pPr>
            <w:r>
              <w:rPr>
                <w:rFonts w:hint="eastAsia"/>
              </w:rPr>
              <w:t>3.</w:t>
            </w:r>
            <w:r>
              <w:rPr>
                <w:rFonts w:hint="eastAsia"/>
                <w:lang w:val="zh-CN"/>
              </w:rPr>
              <w:t>本竞争性</w:t>
            </w:r>
            <w:r>
              <w:rPr>
                <w:rFonts w:hint="eastAsia"/>
              </w:rPr>
              <w:t>磋商</w:t>
            </w:r>
            <w:r>
              <w:rPr>
                <w:rFonts w:hint="eastAsia"/>
                <w:lang w:val="zh-CN"/>
              </w:rPr>
              <w:t>文件中的</w:t>
            </w:r>
            <w:r>
              <w:rPr>
                <w:rFonts w:hint="eastAsia"/>
              </w:rPr>
              <w:t>磋商</w:t>
            </w:r>
            <w:r>
              <w:rPr>
                <w:rFonts w:hint="eastAsia"/>
                <w:lang w:val="zh-CN"/>
              </w:rPr>
              <w:t>小组(亦可称为“评审委员会”)，仅适用于本采购项目。</w:t>
            </w:r>
          </w:p>
          <w:p>
            <w:pPr>
              <w:pStyle w:val="38"/>
              <w:ind w:left="60" w:leftChars="25" w:right="60" w:rightChars="25"/>
            </w:pPr>
            <w:r>
              <w:rPr>
                <w:rFonts w:hint="eastAsia"/>
              </w:rPr>
              <w:t>4</w:t>
            </w:r>
            <w:r>
              <w:rPr>
                <w:rFonts w:hint="eastAsia"/>
                <w:lang w:val="zh-CN"/>
              </w:rPr>
              <w:t>.本</w:t>
            </w:r>
            <w:r>
              <w:rPr>
                <w:rFonts w:hint="eastAsia"/>
              </w:rPr>
              <w:t>磋商</w:t>
            </w:r>
            <w:r>
              <w:rPr>
                <w:rFonts w:hint="eastAsia"/>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pPr>
            <w:r>
              <w:rPr>
                <w:rFonts w:hint="eastAsia"/>
              </w:rPr>
              <w:t>2</w:t>
            </w:r>
          </w:p>
        </w:tc>
        <w:tc>
          <w:tcPr>
            <w:tcW w:w="1753" w:type="dxa"/>
            <w:vAlign w:val="center"/>
          </w:tcPr>
          <w:p>
            <w:pPr>
              <w:pStyle w:val="41"/>
            </w:pPr>
            <w:r>
              <w:rPr>
                <w:rFonts w:hint="eastAsia"/>
              </w:rPr>
              <w:t>采购主体</w:t>
            </w:r>
          </w:p>
        </w:tc>
        <w:tc>
          <w:tcPr>
            <w:tcW w:w="7328" w:type="dxa"/>
            <w:vAlign w:val="center"/>
          </w:tcPr>
          <w:p>
            <w:pPr>
              <w:pStyle w:val="38"/>
              <w:ind w:left="60" w:leftChars="25" w:right="60" w:rightChars="25"/>
            </w:pPr>
            <w:r>
              <w:rPr>
                <w:rFonts w:hint="eastAsia"/>
              </w:rPr>
              <w:t>1.“采购人”系依法进行政府采购的国家机关、事业单位、团体组织。本次采购的采购人是成都市规划和自然资源局。</w:t>
            </w:r>
          </w:p>
          <w:p>
            <w:pPr>
              <w:pStyle w:val="38"/>
              <w:ind w:left="60" w:leftChars="25" w:right="60" w:rightChars="25"/>
            </w:pPr>
            <w:r>
              <w:rPr>
                <w:rFonts w:hint="eastAsia"/>
              </w:rPr>
              <w:t>2.“供应商”系指购买了竞争性磋商文件拟参加磋商和向采购人提供相应服务的法人、其他组织或者自然人。</w:t>
            </w:r>
          </w:p>
          <w:p>
            <w:pPr>
              <w:pStyle w:val="38"/>
              <w:ind w:left="60" w:leftChars="25" w:right="60" w:rightChars="25"/>
            </w:pPr>
            <w:r>
              <w:rPr>
                <w:rFonts w:hint="eastAsia"/>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pPr>
            <w:r>
              <w:rPr>
                <w:rFonts w:hint="eastAsia"/>
              </w:rPr>
              <w:t>3</w:t>
            </w:r>
          </w:p>
        </w:tc>
        <w:tc>
          <w:tcPr>
            <w:tcW w:w="1753" w:type="dxa"/>
            <w:vAlign w:val="center"/>
          </w:tcPr>
          <w:p>
            <w:pPr>
              <w:pStyle w:val="41"/>
            </w:pPr>
            <w:r>
              <w:rPr>
                <w:rFonts w:hint="eastAsia"/>
              </w:rPr>
              <w:t>合格供应商条件</w:t>
            </w:r>
          </w:p>
          <w:p>
            <w:pPr>
              <w:pStyle w:val="41"/>
            </w:pPr>
            <w:r>
              <w:rPr>
                <w:rFonts w:hint="eastAsia"/>
              </w:rPr>
              <w:t>(实质性要求)</w:t>
            </w:r>
          </w:p>
        </w:tc>
        <w:tc>
          <w:tcPr>
            <w:tcW w:w="7328" w:type="dxa"/>
            <w:vAlign w:val="center"/>
          </w:tcPr>
          <w:p>
            <w:pPr>
              <w:pStyle w:val="38"/>
              <w:ind w:left="60" w:leftChars="25" w:right="60" w:rightChars="25"/>
            </w:pPr>
            <w:r>
              <w:rPr>
                <w:rFonts w:hint="eastAsia"/>
              </w:rPr>
              <w:t>1.不属于禁止参加本项目采购活动的供应商。</w:t>
            </w:r>
          </w:p>
          <w:p>
            <w:pPr>
              <w:pStyle w:val="38"/>
              <w:ind w:left="60" w:leftChars="25" w:right="60" w:rightChars="25"/>
            </w:pPr>
            <w:r>
              <w:rPr>
                <w:rFonts w:hint="eastAsia"/>
              </w:rPr>
              <w:t>2.遵守国家有关的法律、法规、规章和其他政策制度。</w:t>
            </w:r>
          </w:p>
          <w:p>
            <w:pPr>
              <w:pStyle w:val="38"/>
              <w:ind w:left="60" w:leftChars="25" w:right="60" w:rightChars="25"/>
            </w:pPr>
            <w:r>
              <w:rPr>
                <w:rFonts w:hint="eastAsia"/>
              </w:rPr>
              <w:t>3.向采购代理机构获取了竞争性磋商文件并登记。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pPr>
            <w:r>
              <w:rPr>
                <w:rFonts w:hint="eastAsia"/>
              </w:rPr>
              <w:t>4</w:t>
            </w:r>
          </w:p>
        </w:tc>
        <w:tc>
          <w:tcPr>
            <w:tcW w:w="1753" w:type="dxa"/>
            <w:vAlign w:val="center"/>
          </w:tcPr>
          <w:p>
            <w:pPr>
              <w:pStyle w:val="41"/>
            </w:pPr>
            <w:r>
              <w:rPr>
                <w:rFonts w:hint="eastAsia"/>
              </w:rPr>
              <w:t>充分、公平竞争保障措施</w:t>
            </w:r>
          </w:p>
          <w:p>
            <w:pPr>
              <w:pStyle w:val="41"/>
            </w:pPr>
            <w:r>
              <w:rPr>
                <w:rFonts w:hint="eastAsia"/>
              </w:rPr>
              <w:t>(实质性要求)</w:t>
            </w:r>
          </w:p>
        </w:tc>
        <w:tc>
          <w:tcPr>
            <w:tcW w:w="7328" w:type="dxa"/>
            <w:vAlign w:val="center"/>
          </w:tcPr>
          <w:p>
            <w:pPr>
              <w:pStyle w:val="38"/>
              <w:ind w:left="60" w:leftChars="25" w:right="60" w:rightChars="25"/>
            </w:pPr>
            <w:r>
              <w:rPr>
                <w:rFonts w:hint="eastAsia"/>
              </w:rPr>
              <w:t>1.利害关系供应商处理。单位负责人为同一人或者存在直接控股、管理关系的不同供应商不得参加同一合同项下的政府采购活动。</w:t>
            </w:r>
          </w:p>
          <w:p>
            <w:pPr>
              <w:pStyle w:val="38"/>
              <w:ind w:left="60" w:leftChars="25" w:right="60" w:rightChars="25"/>
            </w:pPr>
            <w:r>
              <w:rPr>
                <w:rFonts w:hint="eastAsia"/>
              </w:rPr>
              <w:t>2.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38"/>
              <w:ind w:left="60" w:leftChars="25" w:right="60" w:rightChars="25"/>
              <w:rPr>
                <w:b/>
                <w:bCs/>
              </w:rPr>
            </w:pPr>
            <w:r>
              <w:rPr>
                <w:rFonts w:hint="eastAsia"/>
                <w:b/>
                <w:bCs/>
              </w:rPr>
              <w:t>注：本项目无符合本条规定的供应商。</w:t>
            </w:r>
          </w:p>
          <w:p>
            <w:pPr>
              <w:pStyle w:val="38"/>
              <w:ind w:left="60" w:leftChars="25" w:right="60" w:rightChars="25"/>
            </w:pPr>
            <w:r>
              <w:rPr>
                <w:rFonts w:hint="eastAsia"/>
              </w:rPr>
              <w:t>3.利害关系代理人处理。2家以上的供应商不得在同一合同项下的采购项目中，同时委托同一个自然人、同一家庭的人员、同一单位的人员作为其代理人，否则，其响应文件作为无效处理。</w:t>
            </w:r>
          </w:p>
          <w:p>
            <w:pPr>
              <w:pStyle w:val="38"/>
              <w:ind w:left="60" w:leftChars="25" w:right="60" w:rightChars="25"/>
            </w:pPr>
            <w:r>
              <w:rPr>
                <w:rFonts w:hint="eastAsia"/>
              </w:rPr>
              <w:t>4.供应商实际控制人或者中高级管理人员，同时是采购代理机构工作人员，不得参与本项目政府采购活动。</w:t>
            </w:r>
          </w:p>
          <w:p>
            <w:pPr>
              <w:pStyle w:val="38"/>
              <w:ind w:left="60" w:leftChars="25" w:right="60" w:rightChars="25"/>
            </w:pPr>
            <w:r>
              <w:rPr>
                <w:rFonts w:hint="eastAsia"/>
              </w:rPr>
              <w:t>5.同一母公司的两家以上的子公司只能组成联合体参加本项目同一合同项下的采购活动，不得以不同供应商身份同时参加本项目同一合同项下的采购活动。</w:t>
            </w:r>
          </w:p>
          <w:p>
            <w:pPr>
              <w:pStyle w:val="38"/>
              <w:ind w:left="60" w:leftChars="25" w:right="60" w:rightChars="25"/>
            </w:pPr>
            <w:r>
              <w:rPr>
                <w:rFonts w:hint="eastAsia"/>
              </w:rPr>
              <w:t>6.供应商与采购代理机构存在关联关系，或者是采购代理机构的母公司或子公司，不得参加本项目政府采购活动。</w:t>
            </w:r>
          </w:p>
          <w:p>
            <w:pPr>
              <w:pStyle w:val="38"/>
              <w:ind w:left="60" w:leftChars="25" w:right="60" w:rightChars="25"/>
            </w:pPr>
            <w:r>
              <w:rPr>
                <w:rFonts w:hint="eastAsia"/>
              </w:rPr>
              <w:t>7.回避。政府采购活动中，采购人员及相关人员与供应商有下列利害关系之一的，应当回避：</w:t>
            </w:r>
          </w:p>
          <w:p>
            <w:pPr>
              <w:pStyle w:val="38"/>
              <w:ind w:left="60" w:leftChars="25" w:right="60" w:rightChars="25"/>
            </w:pPr>
            <w:r>
              <w:rPr>
                <w:rFonts w:hint="eastAsia"/>
              </w:rPr>
              <w:t>(1)参加采购活动前3年内与供应商存在劳动关系；</w:t>
            </w:r>
          </w:p>
          <w:p>
            <w:pPr>
              <w:pStyle w:val="38"/>
              <w:ind w:left="60" w:leftChars="25" w:right="60" w:rightChars="25"/>
            </w:pPr>
            <w:r>
              <w:rPr>
                <w:rFonts w:hint="eastAsia"/>
              </w:rPr>
              <w:t>(2)参加采购活动前3年内担任供应商的董事、监事；</w:t>
            </w:r>
          </w:p>
          <w:p>
            <w:pPr>
              <w:pStyle w:val="38"/>
              <w:ind w:left="60" w:leftChars="25" w:right="60" w:rightChars="25"/>
            </w:pPr>
            <w:r>
              <w:rPr>
                <w:rFonts w:hint="eastAsia"/>
              </w:rPr>
              <w:t>(3)参加采购活动前3年内是供应商的控股股东或者实际控制人；</w:t>
            </w:r>
          </w:p>
          <w:p>
            <w:pPr>
              <w:pStyle w:val="38"/>
              <w:ind w:left="60" w:leftChars="25" w:right="60" w:rightChars="25"/>
            </w:pPr>
            <w:r>
              <w:rPr>
                <w:rFonts w:hint="eastAsia"/>
              </w:rPr>
              <w:t>(4)与供应商的法定代表人或者负责人有夫妻、直系血亲、三代以内旁系血亲或者近姻亲关系；</w:t>
            </w:r>
          </w:p>
          <w:p>
            <w:pPr>
              <w:pStyle w:val="38"/>
              <w:ind w:left="60" w:leftChars="25" w:right="60" w:rightChars="25"/>
            </w:pPr>
            <w:r>
              <w:rPr>
                <w:rFonts w:hint="eastAsia"/>
              </w:rPr>
              <w:t>(5)与供应商有其他可能影响政府采购活动公平、公正进行的关系。</w:t>
            </w:r>
          </w:p>
          <w:p>
            <w:pPr>
              <w:pStyle w:val="38"/>
              <w:ind w:left="60" w:leftChars="25" w:right="60" w:rightChars="25"/>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8"/>
              <w:ind w:left="60" w:leftChars="25" w:right="60" w:rightChars="25"/>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8"/>
              <w:ind w:left="60" w:leftChars="25" w:right="60" w:rightChars="25"/>
            </w:pPr>
            <w:r>
              <w:rPr>
                <w:rFonts w:hint="eastAsia"/>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pPr>
            <w:r>
              <w:rPr>
                <w:rFonts w:hint="eastAsia"/>
              </w:rPr>
              <w:t>5</w:t>
            </w:r>
          </w:p>
        </w:tc>
        <w:tc>
          <w:tcPr>
            <w:tcW w:w="1753" w:type="dxa"/>
            <w:vAlign w:val="center"/>
          </w:tcPr>
          <w:p>
            <w:pPr>
              <w:pStyle w:val="41"/>
            </w:pPr>
            <w:r>
              <w:rPr>
                <w:rFonts w:hint="eastAsia"/>
              </w:rPr>
              <w:t>磋商有效期</w:t>
            </w:r>
          </w:p>
          <w:p>
            <w:pPr>
              <w:pStyle w:val="41"/>
            </w:pPr>
            <w:r>
              <w:rPr>
                <w:rFonts w:hint="eastAsia"/>
              </w:rPr>
              <w:t>(实质性要求)</w:t>
            </w:r>
          </w:p>
        </w:tc>
        <w:tc>
          <w:tcPr>
            <w:tcW w:w="7328" w:type="dxa"/>
            <w:vAlign w:val="center"/>
          </w:tcPr>
          <w:p>
            <w:pPr>
              <w:pStyle w:val="38"/>
              <w:ind w:left="60" w:leftChars="25" w:right="60" w:rightChars="25"/>
            </w:pPr>
            <w:r>
              <w:rPr>
                <w:rFonts w:hint="eastAsia"/>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8"/>
              <w:ind w:left="60" w:leftChars="25" w:right="60" w:rightChars="25"/>
            </w:pPr>
            <w:r>
              <w:rPr>
                <w:rFonts w:hint="eastAsia"/>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8"/>
              <w:ind w:left="60" w:leftChars="25" w:right="60" w:rightChars="25"/>
            </w:pPr>
            <w:r>
              <w:rPr>
                <w:rFonts w:hint="eastAsia"/>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pPr>
            <w:r>
              <w:rPr>
                <w:rFonts w:hint="eastAsia"/>
              </w:rPr>
              <w:t>6</w:t>
            </w:r>
          </w:p>
        </w:tc>
        <w:tc>
          <w:tcPr>
            <w:tcW w:w="1753" w:type="dxa"/>
            <w:vAlign w:val="center"/>
          </w:tcPr>
          <w:p>
            <w:pPr>
              <w:pStyle w:val="41"/>
            </w:pPr>
            <w:r>
              <w:rPr>
                <w:rFonts w:hint="eastAsia"/>
              </w:rPr>
              <w:t>其他</w:t>
            </w:r>
          </w:p>
        </w:tc>
        <w:tc>
          <w:tcPr>
            <w:tcW w:w="7328" w:type="dxa"/>
            <w:vAlign w:val="center"/>
          </w:tcPr>
          <w:p>
            <w:pPr>
              <w:pStyle w:val="38"/>
              <w:ind w:left="60" w:leftChars="25" w:right="60" w:rightChars="25"/>
            </w:pPr>
            <w:r>
              <w:rPr>
                <w:rFonts w:hint="eastAsia"/>
              </w:rPr>
              <w:t>1.本竞争性磋商文件各部分规定的期间以时、日、月、年计算。期间开始的时和日，不计算在期间内，而从次日开始计算。期间届满的最后一天是节假日的，以节假日后的第一日为期间届满的日期。</w:t>
            </w:r>
          </w:p>
          <w:p>
            <w:pPr>
              <w:pStyle w:val="38"/>
              <w:ind w:left="60" w:leftChars="25" w:right="60" w:rightChars="25"/>
            </w:pPr>
            <w:r>
              <w:rPr>
                <w:rFonts w:hint="eastAsia"/>
              </w:rPr>
              <w:t>2.本竞争性磋商文件各部分规定的时间均以北京时间为准。</w:t>
            </w:r>
          </w:p>
        </w:tc>
      </w:tr>
    </w:tbl>
    <w:p>
      <w:pPr>
        <w:rPr>
          <w:rFonts w:asciiTheme="minorEastAsia" w:hAnsiTheme="minorEastAsia" w:eastAsiaTheme="minorEastAsia" w:cstheme="minorEastAsia"/>
          <w:color w:val="000000"/>
          <w:sz w:val="36"/>
          <w:szCs w:val="36"/>
        </w:rPr>
      </w:pPr>
      <w:bookmarkStart w:id="25" w:name="_Toc26593"/>
      <w:bookmarkStart w:id="26" w:name="_Toc2042"/>
      <w:bookmarkStart w:id="27" w:name="_Toc23295"/>
      <w:bookmarkStart w:id="28" w:name="_Toc4011"/>
      <w:r>
        <w:rPr>
          <w:rFonts w:hint="eastAsia"/>
        </w:rPr>
        <w:br w:type="page"/>
      </w:r>
    </w:p>
    <w:p>
      <w:pPr>
        <w:pStyle w:val="31"/>
        <w:spacing w:before="120" w:beforeLines="50" w:after="120" w:afterLines="50"/>
        <w:ind w:firstLine="0" w:firstLineChars="0"/>
        <w:jc w:val="center"/>
        <w:rPr>
          <w:sz w:val="36"/>
          <w:szCs w:val="36"/>
        </w:rPr>
      </w:pPr>
      <w:bookmarkStart w:id="29" w:name="_Toc6405"/>
      <w:r>
        <w:rPr>
          <w:rFonts w:hint="eastAsia"/>
          <w:sz w:val="36"/>
          <w:szCs w:val="36"/>
        </w:rPr>
        <w:t>竞争性磋商文件</w:t>
      </w:r>
      <w:bookmarkEnd w:id="23"/>
      <w:bookmarkEnd w:id="25"/>
      <w:bookmarkEnd w:id="26"/>
      <w:bookmarkEnd w:id="27"/>
      <w:bookmarkEnd w:id="28"/>
      <w:bookmarkEnd w:id="29"/>
    </w:p>
    <w:p>
      <w:pPr>
        <w:pStyle w:val="45"/>
        <w:ind w:firstLine="482"/>
      </w:pPr>
      <w:bookmarkStart w:id="30" w:name="_Toc22302"/>
      <w:bookmarkStart w:id="31" w:name="_Toc26921"/>
      <w:bookmarkStart w:id="32" w:name="_Toc12046"/>
      <w:bookmarkStart w:id="33" w:name="_Toc32483"/>
      <w:bookmarkStart w:id="34" w:name="_Toc5790"/>
      <w:bookmarkStart w:id="35" w:name="_Toc319440119"/>
      <w:bookmarkStart w:id="36" w:name="_Toc327196263"/>
      <w:bookmarkStart w:id="37" w:name="_Toc29532"/>
      <w:bookmarkStart w:id="38" w:name="_Toc20769"/>
      <w:bookmarkStart w:id="39" w:name="_Toc308188129"/>
      <w:bookmarkStart w:id="40" w:name="_Toc217446034"/>
      <w:bookmarkStart w:id="41" w:name="_Toc307564829"/>
      <w:bookmarkStart w:id="42" w:name="_Toc307501086"/>
      <w:bookmarkStart w:id="43" w:name="_Toc23796"/>
      <w:bookmarkStart w:id="44" w:name="_Toc31870"/>
      <w:bookmarkStart w:id="45" w:name="_Toc308084574"/>
      <w:bookmarkStart w:id="46" w:name="_Toc10311"/>
      <w:bookmarkStart w:id="47" w:name="_Toc319439877"/>
      <w:bookmarkStart w:id="48" w:name="_Toc28450"/>
      <w:bookmarkStart w:id="49" w:name="_Toc32648"/>
      <w:bookmarkStart w:id="50" w:name="_Toc309897492"/>
      <w:bookmarkStart w:id="51" w:name="_Toc3601"/>
      <w:r>
        <w:rPr>
          <w:rFonts w:hint="eastAsia"/>
        </w:rPr>
        <w:t>竞争性磋商文件的构成</w:t>
      </w:r>
      <w:bookmarkEnd w:id="30"/>
      <w:r>
        <w:rPr>
          <w:rFonts w:hint="eastAsia"/>
        </w:rPr>
        <w:t>(实质性要求)</w:t>
      </w:r>
      <w:bookmarkEnd w:id="31"/>
    </w:p>
    <w:p>
      <w:pPr>
        <w:pStyle w:val="42"/>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pPr>
        <w:pStyle w:val="42"/>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5"/>
        <w:ind w:firstLine="482"/>
      </w:pPr>
      <w:bookmarkStart w:id="52" w:name="_Toc2367"/>
      <w:bookmarkStart w:id="53" w:name="_Toc17234"/>
      <w:r>
        <w:rPr>
          <w:rFonts w:hint="eastAsia"/>
        </w:rPr>
        <w:t>竞争性磋商文件包含内容</w:t>
      </w:r>
      <w:bookmarkEnd w:id="52"/>
      <w:bookmarkEnd w:id="53"/>
    </w:p>
    <w:p>
      <w:pPr>
        <w:pStyle w:val="59"/>
        <w:ind w:firstLine="480"/>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本竞争性磋商文件包括以下内容：</w:t>
      </w:r>
    </w:p>
    <w:p>
      <w:pPr>
        <w:pStyle w:val="32"/>
        <w:numPr>
          <w:ilvl w:val="0"/>
          <w:numId w:val="13"/>
        </w:numPr>
        <w:ind w:left="0" w:firstLine="480"/>
      </w:pPr>
      <w:r>
        <w:rPr>
          <w:rFonts w:hint="eastAsia"/>
        </w:rPr>
        <w:t>竞争性磋商邀请；</w:t>
      </w:r>
    </w:p>
    <w:p>
      <w:pPr>
        <w:pStyle w:val="32"/>
        <w:numPr>
          <w:ilvl w:val="0"/>
          <w:numId w:val="13"/>
        </w:numPr>
        <w:ind w:left="0" w:firstLine="480"/>
      </w:pPr>
      <w:r>
        <w:rPr>
          <w:rFonts w:hint="eastAsia"/>
        </w:rPr>
        <w:t>磋商须知；</w:t>
      </w:r>
    </w:p>
    <w:p>
      <w:pPr>
        <w:pStyle w:val="32"/>
        <w:numPr>
          <w:ilvl w:val="0"/>
          <w:numId w:val="13"/>
        </w:numPr>
        <w:ind w:left="0" w:firstLine="480"/>
      </w:pPr>
      <w:r>
        <w:rPr>
          <w:rFonts w:hint="eastAsia"/>
        </w:rPr>
        <w:t>供应商资格条件；</w:t>
      </w:r>
    </w:p>
    <w:p>
      <w:pPr>
        <w:pStyle w:val="32"/>
        <w:numPr>
          <w:ilvl w:val="0"/>
          <w:numId w:val="13"/>
        </w:numPr>
        <w:ind w:left="0" w:firstLine="480"/>
      </w:pPr>
      <w:r>
        <w:rPr>
          <w:rFonts w:hint="eastAsia"/>
        </w:rPr>
        <w:t>采购需求；</w:t>
      </w:r>
    </w:p>
    <w:p>
      <w:pPr>
        <w:pStyle w:val="32"/>
        <w:numPr>
          <w:ilvl w:val="0"/>
          <w:numId w:val="13"/>
        </w:numPr>
        <w:ind w:left="0" w:firstLine="480"/>
      </w:pPr>
      <w:r>
        <w:rPr>
          <w:rFonts w:hint="eastAsia"/>
        </w:rPr>
        <w:t>政府采购政策要求；</w:t>
      </w:r>
    </w:p>
    <w:p>
      <w:pPr>
        <w:pStyle w:val="32"/>
        <w:numPr>
          <w:ilvl w:val="0"/>
          <w:numId w:val="13"/>
        </w:numPr>
        <w:ind w:left="0" w:firstLine="480"/>
      </w:pPr>
      <w:r>
        <w:rPr>
          <w:rFonts w:hint="eastAsia"/>
        </w:rPr>
        <w:t>评审程序、评审方法、评审标准；</w:t>
      </w:r>
    </w:p>
    <w:p>
      <w:pPr>
        <w:pStyle w:val="32"/>
        <w:numPr>
          <w:ilvl w:val="0"/>
          <w:numId w:val="13"/>
        </w:numPr>
        <w:ind w:left="0" w:firstLine="480"/>
      </w:pPr>
      <w:r>
        <w:rPr>
          <w:rFonts w:hint="eastAsia"/>
        </w:rPr>
        <w:t>报价要求；</w:t>
      </w:r>
    </w:p>
    <w:p>
      <w:pPr>
        <w:pStyle w:val="32"/>
        <w:numPr>
          <w:ilvl w:val="0"/>
          <w:numId w:val="13"/>
        </w:numPr>
        <w:ind w:left="0" w:firstLine="480"/>
      </w:pPr>
      <w:r>
        <w:rPr>
          <w:rFonts w:hint="eastAsia"/>
        </w:rPr>
        <w:t>响应文件编制要求；</w:t>
      </w:r>
    </w:p>
    <w:p>
      <w:pPr>
        <w:pStyle w:val="32"/>
        <w:numPr>
          <w:ilvl w:val="0"/>
          <w:numId w:val="13"/>
        </w:numPr>
        <w:ind w:left="0" w:firstLine="480"/>
      </w:pPr>
      <w:r>
        <w:rPr>
          <w:rFonts w:hint="eastAsia"/>
        </w:rPr>
        <w:t>磋商过程中可能实质性变动的内容；</w:t>
      </w:r>
    </w:p>
    <w:p>
      <w:pPr>
        <w:pStyle w:val="32"/>
        <w:numPr>
          <w:ilvl w:val="0"/>
          <w:numId w:val="13"/>
        </w:numPr>
        <w:ind w:left="0" w:firstLine="480"/>
      </w:pPr>
      <w:r>
        <w:rPr>
          <w:rFonts w:hint="eastAsia"/>
        </w:rPr>
        <w:t>合同草案条款(参考文本)；</w:t>
      </w:r>
    </w:p>
    <w:p>
      <w:pPr>
        <w:pStyle w:val="32"/>
        <w:numPr>
          <w:ilvl w:val="0"/>
          <w:numId w:val="13"/>
        </w:numPr>
        <w:ind w:left="0" w:firstLine="480"/>
      </w:pPr>
      <w:r>
        <w:rPr>
          <w:rFonts w:hint="eastAsia"/>
        </w:rPr>
        <w:t>磋商过程中形成的书面澄清、说明、更正。</w:t>
      </w:r>
    </w:p>
    <w:p>
      <w:pPr>
        <w:pStyle w:val="59"/>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45"/>
        <w:ind w:firstLine="482"/>
      </w:pPr>
      <w:bookmarkStart w:id="54" w:name="_Toc17499"/>
      <w:bookmarkStart w:id="55" w:name="_Toc3469"/>
      <w:r>
        <w:rPr>
          <w:rFonts w:hint="eastAsia"/>
        </w:rPr>
        <w:t>竞争性磋商文件的澄清和修改</w:t>
      </w:r>
      <w:bookmarkEnd w:id="54"/>
      <w:bookmarkEnd w:id="55"/>
    </w:p>
    <w:p>
      <w:pPr>
        <w:pStyle w:val="29"/>
        <w:numPr>
          <w:ilvl w:val="1"/>
          <w:numId w:val="0"/>
        </w:numPr>
        <w:ind w:firstLine="480" w:firstLineChars="200"/>
      </w:pPr>
      <w:bookmarkStart w:id="56"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29"/>
        <w:numPr>
          <w:ilvl w:val="1"/>
          <w:numId w:val="0"/>
        </w:numPr>
        <w:ind w:firstLine="480" w:firstLineChars="200"/>
      </w:pPr>
      <w:r>
        <w:rPr>
          <w:rFonts w:hint="eastAsia"/>
        </w:rPr>
        <w:t>2.采购代理机构以书面形式将澄清或者修改的内容通知所有按照规定获得了磋商文件的供应商，同时在“四川政府采购网”发布更正公告。</w:t>
      </w:r>
    </w:p>
    <w:p>
      <w:pPr>
        <w:pStyle w:val="29"/>
        <w:numPr>
          <w:ilvl w:val="1"/>
          <w:numId w:val="0"/>
        </w:numPr>
        <w:ind w:firstLine="480" w:firstLineChars="200"/>
      </w:pPr>
      <w:r>
        <w:rPr>
          <w:rFonts w:hint="eastAsia"/>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29"/>
        <w:numPr>
          <w:ilvl w:val="1"/>
          <w:numId w:val="0"/>
        </w:numPr>
        <w:ind w:firstLine="480" w:firstLineChars="200"/>
      </w:pPr>
      <w:r>
        <w:rPr>
          <w:rFonts w:hint="eastAsia"/>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9"/>
        <w:numPr>
          <w:ilvl w:val="1"/>
          <w:numId w:val="0"/>
        </w:numPr>
        <w:ind w:firstLine="480" w:firstLineChars="200"/>
      </w:pPr>
      <w:r>
        <w:rPr>
          <w:rFonts w:hint="eastAsia"/>
        </w:rPr>
        <w:t>采购代理机构将通过报名系统将更正通知发送至所有购买采购文件的供应商，供应商在收到相应更正通知后，将更正公告打印后加盖单位公章扫描并通过报名系统提交至采购代理机构。如供应商未给予书面回复，则视为收到并认可该更正通知的内容。</w:t>
      </w:r>
    </w:p>
    <w:p>
      <w:pPr>
        <w:pStyle w:val="29"/>
        <w:numPr>
          <w:ilvl w:val="1"/>
          <w:numId w:val="0"/>
        </w:numPr>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9"/>
        <w:numPr>
          <w:ilvl w:val="1"/>
          <w:numId w:val="0"/>
        </w:numPr>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9"/>
        <w:numPr>
          <w:ilvl w:val="1"/>
          <w:numId w:val="0"/>
        </w:numPr>
        <w:ind w:firstLine="480" w:firstLineChars="200"/>
      </w:pPr>
      <w:r>
        <w:rPr>
          <w:rFonts w:hint="eastAsia"/>
        </w:rPr>
        <w:t>7.供应商认为采购代理机构需要对磋商文件进行澄清或者修改的，可以在响应文件递交的截止时间前以书面形式向采购代理机构提出申请，由采购代理机构决定是否采纳供应商的申请事项。</w:t>
      </w:r>
    </w:p>
    <w:p>
      <w:pPr>
        <w:pStyle w:val="45"/>
        <w:ind w:firstLine="482"/>
      </w:pPr>
      <w:bookmarkStart w:id="57" w:name="_Toc15210"/>
      <w:r>
        <w:rPr>
          <w:rFonts w:hint="eastAsia"/>
        </w:rPr>
        <w:t>实质性变动</w:t>
      </w:r>
      <w:bookmarkEnd w:id="56"/>
      <w:bookmarkEnd w:id="57"/>
    </w:p>
    <w:p>
      <w:pPr>
        <w:pStyle w:val="42"/>
      </w:pPr>
      <w:r>
        <w:rPr>
          <w:rFonts w:hint="eastAsia"/>
        </w:rPr>
        <w:t>磋商小组对磋商文件作出的实质性变动是磋商文件的有效组成部分，磋商小组应当及时以书面形式同时通知所有参加磋商的供应商。</w:t>
      </w:r>
    </w:p>
    <w:p>
      <w:pPr>
        <w:pStyle w:val="45"/>
        <w:ind w:firstLine="482"/>
      </w:pPr>
      <w:bookmarkStart w:id="58" w:name="_Toc30694"/>
      <w:bookmarkStart w:id="59" w:name="_Toc2071"/>
      <w:r>
        <w:rPr>
          <w:rFonts w:hint="eastAsia"/>
        </w:rPr>
        <w:t>答疑会和现场考察</w:t>
      </w:r>
      <w:bookmarkEnd w:id="58"/>
      <w:bookmarkEnd w:id="59"/>
    </w:p>
    <w:p>
      <w:pPr>
        <w:pStyle w:val="59"/>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59"/>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9"/>
        <w:ind w:firstLine="480"/>
      </w:pPr>
      <w:r>
        <w:rPr>
          <w:rFonts w:hint="eastAsia"/>
        </w:rPr>
        <w:t>供应商考察现场或者参加答疑会所发生的一切费用由供应商自行承担。</w:t>
      </w:r>
    </w:p>
    <w:p>
      <w:pPr>
        <w:pStyle w:val="31"/>
        <w:spacing w:before="120" w:beforeLines="50" w:after="120" w:afterLines="50"/>
        <w:ind w:firstLine="0" w:firstLineChars="0"/>
        <w:jc w:val="center"/>
        <w:rPr>
          <w:sz w:val="36"/>
          <w:szCs w:val="36"/>
        </w:rPr>
      </w:pPr>
      <w:bookmarkStart w:id="60" w:name="_Toc27504"/>
      <w:r>
        <w:rPr>
          <w:rFonts w:hint="eastAsia"/>
          <w:sz w:val="36"/>
          <w:szCs w:val="36"/>
        </w:rPr>
        <w:t>响应文件</w:t>
      </w:r>
      <w:bookmarkEnd w:id="60"/>
    </w:p>
    <w:p>
      <w:pPr>
        <w:pStyle w:val="45"/>
        <w:ind w:firstLine="482"/>
      </w:pPr>
      <w:bookmarkStart w:id="61" w:name="_Toc9698"/>
      <w:bookmarkStart w:id="62" w:name="_Toc16566"/>
      <w:bookmarkStart w:id="63" w:name="_Toc1594"/>
      <w:bookmarkStart w:id="64" w:name="_Toc32601"/>
      <w:bookmarkStart w:id="65" w:name="_Toc7367"/>
      <w:r>
        <w:rPr>
          <w:rFonts w:hint="eastAsia"/>
        </w:rPr>
        <w:t>响应文件的语言(实质性要求)</w:t>
      </w:r>
      <w:bookmarkEnd w:id="61"/>
      <w:bookmarkEnd w:id="62"/>
    </w:p>
    <w:p>
      <w:pPr>
        <w:pStyle w:val="29"/>
        <w:numPr>
          <w:ilvl w:val="1"/>
          <w:numId w:val="0"/>
        </w:numPr>
        <w:ind w:firstLine="480" w:firstLineChars="200"/>
      </w:pPr>
      <w:bookmarkStart w:id="66" w:name="_Toc21182"/>
      <w:r>
        <w:rPr>
          <w:rFonts w:hint="eastAsia"/>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29"/>
        <w:numPr>
          <w:ilvl w:val="1"/>
          <w:numId w:val="0"/>
        </w:numPr>
        <w:ind w:firstLine="480" w:firstLineChars="200"/>
      </w:pPr>
      <w:r>
        <w:rPr>
          <w:rFonts w:hint="eastAsia"/>
        </w:rPr>
        <w:t>2.翻译的中文资料与外文资料如果出现差异和矛盾时，以中文为准。涉嫌提供虚假材料的按照相关法律法规处理。</w:t>
      </w:r>
    </w:p>
    <w:p>
      <w:pPr>
        <w:pStyle w:val="29"/>
        <w:numPr>
          <w:ilvl w:val="1"/>
          <w:numId w:val="0"/>
        </w:numPr>
        <w:ind w:firstLine="480" w:firstLineChars="200"/>
      </w:pPr>
      <w:r>
        <w:rPr>
          <w:rFonts w:hint="eastAsia"/>
        </w:rPr>
        <w:t>3.如因未翻译而造成对供应商的不利后果，由供应商承担。</w:t>
      </w:r>
    </w:p>
    <w:p>
      <w:pPr>
        <w:pStyle w:val="45"/>
        <w:ind w:firstLine="482"/>
      </w:pPr>
      <w:bookmarkStart w:id="67" w:name="_Toc28835"/>
      <w:r>
        <w:rPr>
          <w:rFonts w:hint="eastAsia"/>
        </w:rPr>
        <w:t>计量单位(实质性要求)</w:t>
      </w:r>
      <w:bookmarkEnd w:id="66"/>
      <w:bookmarkEnd w:id="67"/>
    </w:p>
    <w:p>
      <w:pPr>
        <w:pStyle w:val="42"/>
      </w:pPr>
      <w:r>
        <w:rPr>
          <w:rFonts w:hint="eastAsia"/>
        </w:rPr>
        <w:t>除采购需求中另有规定外，本采购项下的磋商均采用国家法定的计量单位。</w:t>
      </w:r>
    </w:p>
    <w:p>
      <w:pPr>
        <w:pStyle w:val="45"/>
        <w:ind w:firstLine="482"/>
      </w:pPr>
      <w:bookmarkStart w:id="68" w:name="_Toc9568"/>
      <w:bookmarkStart w:id="69" w:name="_Toc2185"/>
      <w:r>
        <w:rPr>
          <w:rFonts w:hint="eastAsia"/>
        </w:rPr>
        <w:t>知识产权(实质性要求)</w:t>
      </w:r>
      <w:bookmarkEnd w:id="68"/>
      <w:bookmarkEnd w:id="69"/>
    </w:p>
    <w:p>
      <w:pPr>
        <w:pStyle w:val="29"/>
        <w:numPr>
          <w:ilvl w:val="1"/>
          <w:numId w:val="0"/>
        </w:numPr>
        <w:ind w:firstLine="480" w:firstLineChars="200"/>
      </w:pPr>
      <w:bookmarkStart w:id="70" w:name="_Toc23820"/>
      <w:r>
        <w:rPr>
          <w:rFonts w:hint="eastAsia"/>
        </w:rPr>
        <w:t>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29"/>
        <w:numPr>
          <w:ilvl w:val="1"/>
          <w:numId w:val="0"/>
        </w:numPr>
        <w:ind w:firstLine="480" w:firstLineChars="200"/>
      </w:pPr>
      <w:r>
        <w:rPr>
          <w:rFonts w:hint="eastAsia"/>
        </w:rPr>
        <w:t>2.采购人享有本项目实施过程中产生的知识成果及知识产权。</w:t>
      </w:r>
    </w:p>
    <w:p>
      <w:pPr>
        <w:pStyle w:val="29"/>
        <w:numPr>
          <w:ilvl w:val="1"/>
          <w:numId w:val="0"/>
        </w:numPr>
        <w:ind w:firstLine="480" w:firstLineChars="200"/>
      </w:pPr>
      <w:r>
        <w:rPr>
          <w:rFonts w:hint="eastAsia"/>
        </w:rPr>
        <w:t>3.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pPr>
        <w:pStyle w:val="29"/>
        <w:numPr>
          <w:ilvl w:val="1"/>
          <w:numId w:val="0"/>
        </w:numPr>
        <w:ind w:firstLine="480" w:firstLineChars="200"/>
      </w:pPr>
      <w:r>
        <w:rPr>
          <w:rFonts w:hint="eastAsia"/>
        </w:rPr>
        <w:t>4.如采用供应商所不拥有的知识产权，则在报价中必须包括合法获取该知识产权的相关费用。</w:t>
      </w:r>
    </w:p>
    <w:p>
      <w:pPr>
        <w:pStyle w:val="29"/>
        <w:numPr>
          <w:ilvl w:val="1"/>
          <w:numId w:val="0"/>
        </w:numPr>
        <w:ind w:left="480" w:leftChars="200"/>
      </w:pPr>
      <w:r>
        <w:rPr>
          <w:rFonts w:hint="eastAsia"/>
        </w:rPr>
        <w:t>5.如采购项目涉及知识产权时按照此条要求执行，并在评审时作实质性审查。</w:t>
      </w:r>
    </w:p>
    <w:p>
      <w:pPr>
        <w:pStyle w:val="45"/>
        <w:ind w:firstLine="482"/>
      </w:pPr>
      <w:bookmarkStart w:id="71" w:name="_Toc25857"/>
      <w:r>
        <w:rPr>
          <w:rFonts w:hint="eastAsia"/>
        </w:rPr>
        <w:t>响应文件格式要求</w:t>
      </w:r>
      <w:bookmarkEnd w:id="70"/>
      <w:bookmarkEnd w:id="71"/>
    </w:p>
    <w:p>
      <w:pPr>
        <w:pStyle w:val="29"/>
        <w:numPr>
          <w:ilvl w:val="1"/>
          <w:numId w:val="0"/>
        </w:numPr>
        <w:ind w:left="480" w:leftChars="200"/>
      </w:pPr>
      <w:bookmarkStart w:id="72" w:name="_Toc13765"/>
      <w:r>
        <w:rPr>
          <w:rFonts w:hint="eastAsia"/>
        </w:rPr>
        <w:t>1.供应商应按照磋商文件第三章中提供的“响应文件格式”编制相关内容。</w:t>
      </w:r>
    </w:p>
    <w:p>
      <w:pPr>
        <w:pStyle w:val="29"/>
        <w:numPr>
          <w:ilvl w:val="1"/>
          <w:numId w:val="0"/>
        </w:numPr>
        <w:ind w:left="480" w:leftChars="200"/>
      </w:pPr>
      <w:r>
        <w:rPr>
          <w:rFonts w:hint="eastAsia"/>
        </w:rPr>
        <w:t>2.对于磋商文件没有格式要求的由供应商自行编写。</w:t>
      </w:r>
    </w:p>
    <w:p>
      <w:pPr>
        <w:pStyle w:val="45"/>
        <w:ind w:firstLine="482"/>
      </w:pPr>
      <w:bookmarkStart w:id="73" w:name="_Toc20880"/>
      <w:r>
        <w:rPr>
          <w:rFonts w:hint="eastAsia"/>
        </w:rPr>
        <w:t>磋商有效期(实质性要求)</w:t>
      </w:r>
      <w:bookmarkEnd w:id="72"/>
      <w:bookmarkEnd w:id="73"/>
    </w:p>
    <w:p>
      <w:pPr>
        <w:pStyle w:val="59"/>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59"/>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59"/>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5"/>
        <w:ind w:firstLine="482"/>
      </w:pPr>
      <w:bookmarkStart w:id="74" w:name="_Toc16657"/>
      <w:bookmarkStart w:id="75" w:name="_Toc31409"/>
      <w:r>
        <w:rPr>
          <w:rFonts w:hint="eastAsia"/>
        </w:rPr>
        <w:t>联合体磋商</w:t>
      </w:r>
      <w:bookmarkEnd w:id="74"/>
      <w:r>
        <w:rPr>
          <w:rFonts w:hint="eastAsia"/>
          <w:lang w:val="zh-CN"/>
        </w:rPr>
        <w:t>(实质性要求)</w:t>
      </w:r>
      <w:bookmarkEnd w:id="75"/>
    </w:p>
    <w:p>
      <w:pPr>
        <w:pStyle w:val="42"/>
      </w:pPr>
      <w:r>
        <w:rPr>
          <w:rFonts w:hint="eastAsia"/>
        </w:rPr>
        <w:t>本项目不接受联合体参加磋商。</w:t>
      </w:r>
    </w:p>
    <w:p>
      <w:pPr>
        <w:pStyle w:val="45"/>
        <w:ind w:firstLine="482"/>
      </w:pPr>
      <w:bookmarkStart w:id="76" w:name="_Toc5327"/>
      <w:bookmarkStart w:id="77" w:name="_Toc24757"/>
      <w:r>
        <w:rPr>
          <w:rFonts w:hint="eastAsia"/>
        </w:rPr>
        <w:t>响应文件</w:t>
      </w:r>
      <w:bookmarkEnd w:id="63"/>
      <w:bookmarkEnd w:id="64"/>
      <w:bookmarkEnd w:id="65"/>
      <w:r>
        <w:rPr>
          <w:rFonts w:hint="eastAsia"/>
        </w:rPr>
        <w:t>组成(实质性要求)</w:t>
      </w:r>
      <w:bookmarkEnd w:id="76"/>
      <w:bookmarkEnd w:id="77"/>
    </w:p>
    <w:p>
      <w:pPr>
        <w:pStyle w:val="59"/>
        <w:ind w:firstLine="480"/>
        <w:rPr>
          <w:rStyle w:val="63"/>
        </w:rPr>
      </w:pPr>
      <w:r>
        <w:rPr>
          <w:rStyle w:val="63"/>
          <w:rFonts w:hint="eastAsia"/>
        </w:rPr>
        <w:t>供应商须按竞争性磋商文件的要求编写响应文件，对竞争性磋商文件提出的要求和条件做出实质性响应。响应文件应包括但不限于下列内容：</w:t>
      </w:r>
    </w:p>
    <w:p>
      <w:pPr>
        <w:pStyle w:val="32"/>
        <w:numPr>
          <w:ilvl w:val="0"/>
          <w:numId w:val="14"/>
        </w:numPr>
        <w:adjustRightInd/>
        <w:ind w:left="0" w:firstLine="480"/>
      </w:pPr>
      <w:r>
        <w:rPr>
          <w:rFonts w:hint="eastAsia"/>
        </w:rPr>
        <w:t>文件一：资格、资质性及其他类似效力响应文件</w:t>
      </w:r>
    </w:p>
    <w:p>
      <w:pPr>
        <w:pStyle w:val="42"/>
        <w:adjustRightInd/>
      </w:pPr>
      <w:r>
        <w:rPr>
          <w:rFonts w:hint="eastAsia"/>
        </w:rPr>
        <w:t>包括但不限于竞争性磋商文件第四章规定的资格证明材料。</w:t>
      </w:r>
    </w:p>
    <w:p>
      <w:pPr>
        <w:pStyle w:val="32"/>
        <w:numPr>
          <w:ilvl w:val="0"/>
          <w:numId w:val="14"/>
        </w:numPr>
        <w:adjustRightInd/>
        <w:ind w:left="0" w:firstLine="480"/>
      </w:pPr>
      <w:r>
        <w:rPr>
          <w:rFonts w:hint="eastAsia"/>
        </w:rPr>
        <w:t>文件二：其他响应文件</w:t>
      </w:r>
    </w:p>
    <w:p>
      <w:pPr>
        <w:pStyle w:val="42"/>
        <w:adjustRightInd/>
      </w:pPr>
      <w:r>
        <w:rPr>
          <w:rFonts w:hint="eastAsia"/>
        </w:rPr>
        <w:t>包括但不限于竞争性磋商文件第三章格式要求的内容。</w:t>
      </w:r>
    </w:p>
    <w:p>
      <w:pPr>
        <w:pStyle w:val="59"/>
        <w:ind w:firstLine="480"/>
      </w:pPr>
      <w:r>
        <w:rPr>
          <w:rFonts w:hint="eastAsia"/>
        </w:rPr>
        <w:t>补充、修改的内容作为响应文件的组成部分。</w:t>
      </w:r>
    </w:p>
    <w:p>
      <w:pPr>
        <w:pStyle w:val="59"/>
        <w:ind w:firstLine="480"/>
      </w:pPr>
      <w:r>
        <w:rPr>
          <w:rFonts w:hint="eastAsia"/>
        </w:rPr>
        <w:t>最后报价是供应商响应文件的有效组成部分。</w:t>
      </w:r>
    </w:p>
    <w:p>
      <w:pPr>
        <w:pStyle w:val="45"/>
        <w:ind w:firstLine="482"/>
      </w:pPr>
      <w:bookmarkStart w:id="78" w:name="_Toc4939"/>
      <w:bookmarkStart w:id="79" w:name="_Toc8102"/>
      <w:bookmarkStart w:id="80" w:name="_Toc2322"/>
      <w:bookmarkStart w:id="81" w:name="_Toc30559"/>
      <w:bookmarkStart w:id="82" w:name="_Toc8227"/>
      <w:r>
        <w:rPr>
          <w:rFonts w:hint="eastAsia"/>
        </w:rPr>
        <w:t>报价</w:t>
      </w:r>
      <w:bookmarkEnd w:id="78"/>
      <w:bookmarkEnd w:id="79"/>
      <w:bookmarkEnd w:id="80"/>
      <w:r>
        <w:rPr>
          <w:rFonts w:hint="eastAsia"/>
        </w:rPr>
        <w:t>要求(实质性要求)</w:t>
      </w:r>
      <w:bookmarkEnd w:id="81"/>
      <w:bookmarkEnd w:id="82"/>
    </w:p>
    <w:p>
      <w:pPr>
        <w:pStyle w:val="59"/>
        <w:ind w:firstLine="480"/>
      </w:pPr>
      <w:r>
        <w:rPr>
          <w:rFonts w:hint="eastAsia"/>
        </w:rPr>
        <w:t>所有报价货币一律以人民币报价。采购人不接受任何非人民币币种的报价。</w:t>
      </w:r>
    </w:p>
    <w:p>
      <w:pPr>
        <w:pStyle w:val="59"/>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59"/>
        <w:ind w:firstLine="480"/>
      </w:pPr>
      <w:r>
        <w:rPr>
          <w:rFonts w:hint="eastAsia"/>
        </w:rPr>
        <w:t>本次磋商采购最后报价采用现场报价，通过资格审查及实质性审查的供应商按磋商小组要求进行报价。</w:t>
      </w:r>
    </w:p>
    <w:p>
      <w:pPr>
        <w:pStyle w:val="59"/>
        <w:ind w:firstLine="480"/>
      </w:pPr>
      <w:r>
        <w:rPr>
          <w:rFonts w:hint="eastAsia"/>
          <w:lang w:val="zh-CN"/>
        </w:rPr>
        <w:t>供应商报价(包括最后报价)应为完成本竞争性磋商文件中所要求的</w:t>
      </w:r>
      <w:r>
        <w:rPr>
          <w:rFonts w:hint="eastAsia"/>
        </w:rPr>
        <w:t>服务</w:t>
      </w:r>
      <w:r>
        <w:rPr>
          <w:rFonts w:hint="eastAsia"/>
          <w:lang w:val="zh-CN"/>
        </w:rPr>
        <w:t>所应包括内容的</w:t>
      </w:r>
      <w:r>
        <w:rPr>
          <w:rFonts w:hint="eastAsia"/>
          <w:lang w:val="en-US" w:eastAsia="zh-CN"/>
        </w:rPr>
        <w:t>全部</w:t>
      </w:r>
      <w:r>
        <w:rPr>
          <w:rFonts w:hint="eastAsia"/>
          <w:lang w:val="zh-CN"/>
        </w:rPr>
        <w:t>价格。</w:t>
      </w:r>
    </w:p>
    <w:p>
      <w:pPr>
        <w:pStyle w:val="59"/>
        <w:ind w:firstLine="480"/>
      </w:pPr>
      <w:r>
        <w:rPr>
          <w:rFonts w:hint="eastAsia"/>
        </w:rPr>
        <w:t>成交供应商的成交价是以最后报价表的报价为准，并以此作为结算的依据。</w:t>
      </w:r>
    </w:p>
    <w:p>
      <w:pPr>
        <w:pStyle w:val="45"/>
        <w:ind w:firstLine="482"/>
      </w:pPr>
      <w:bookmarkStart w:id="83" w:name="_Toc25231"/>
      <w:bookmarkStart w:id="84" w:name="_Toc25616"/>
      <w:r>
        <w:rPr>
          <w:rFonts w:hint="eastAsia"/>
        </w:rPr>
        <w:t>响应文件编制要求</w:t>
      </w:r>
      <w:bookmarkEnd w:id="83"/>
      <w:bookmarkEnd w:id="84"/>
    </w:p>
    <w:p>
      <w:pPr>
        <w:pStyle w:val="59"/>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59"/>
        <w:ind w:firstLine="480"/>
      </w:pPr>
      <w:r>
        <w:rPr>
          <w:rFonts w:hint="eastAsia"/>
        </w:rPr>
        <w:t>本项目供应商只提供纸质响应文件。</w:t>
      </w:r>
    </w:p>
    <w:p>
      <w:pPr>
        <w:pStyle w:val="59"/>
        <w:ind w:firstLine="480"/>
      </w:pPr>
      <w:r>
        <w:rPr>
          <w:rFonts w:hint="eastAsia"/>
        </w:rPr>
        <w:t>供应商递交的响应文件为一式叁份，其中</w:t>
      </w:r>
      <w:r>
        <w:rPr>
          <w:rFonts w:hint="eastAsia"/>
          <w:b/>
          <w:bCs/>
        </w:rPr>
        <w:t>正本壹份、副本贰份</w:t>
      </w:r>
      <w:r>
        <w:rPr>
          <w:rFonts w:hint="eastAsia"/>
        </w:rPr>
        <w:t>。</w:t>
      </w:r>
    </w:p>
    <w:p>
      <w:pPr>
        <w:pStyle w:val="59"/>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59"/>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59"/>
        <w:ind w:firstLine="480"/>
      </w:pPr>
      <w:r>
        <w:rPr>
          <w:rFonts w:hint="eastAsia"/>
        </w:rPr>
        <w:t>响应文件的正本和副本应采用左侧胶装，不得散装或不得采用活页夹等可随时拆换的方式装订，不得有零散页。</w:t>
      </w:r>
    </w:p>
    <w:p>
      <w:pPr>
        <w:pStyle w:val="59"/>
        <w:ind w:firstLine="480"/>
      </w:pPr>
      <w:r>
        <w:rPr>
          <w:rFonts w:hint="eastAsia"/>
        </w:rPr>
        <w:t>若同一册的内容较多，可装订成若干分册，并在封面标明次序及册数。</w:t>
      </w:r>
    </w:p>
    <w:p>
      <w:pPr>
        <w:pStyle w:val="59"/>
        <w:ind w:firstLine="480"/>
      </w:pPr>
      <w:r>
        <w:rPr>
          <w:rFonts w:hint="eastAsia"/>
        </w:rPr>
        <w:t>响应文件中的证明、证件及附件等复印件应集中紧附在相应正文内容后面，并尽量与前面正文部分的顺序相对应。</w:t>
      </w:r>
    </w:p>
    <w:p>
      <w:pPr>
        <w:pStyle w:val="59"/>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59"/>
        <w:ind w:firstLine="480"/>
      </w:pPr>
      <w:r>
        <w:rPr>
          <w:rFonts w:hint="eastAsia"/>
        </w:rPr>
        <w:t>补充、修改的响应文件的装订也应按以上要求办理。</w:t>
      </w:r>
    </w:p>
    <w:p>
      <w:pPr>
        <w:pStyle w:val="45"/>
        <w:ind w:firstLine="482"/>
      </w:pPr>
      <w:bookmarkStart w:id="85" w:name="_Toc26009"/>
      <w:bookmarkStart w:id="86" w:name="_Toc22981"/>
      <w:bookmarkStart w:id="87" w:name="_Toc27272"/>
      <w:bookmarkStart w:id="88" w:name="_Toc32589"/>
      <w:bookmarkStart w:id="89" w:name="_Toc6048"/>
      <w:bookmarkStart w:id="90" w:name="_Toc27391"/>
      <w:r>
        <w:rPr>
          <w:rFonts w:hint="eastAsia"/>
        </w:rPr>
        <w:t>响应文件的密封和标注</w:t>
      </w:r>
      <w:bookmarkEnd w:id="85"/>
      <w:bookmarkEnd w:id="86"/>
    </w:p>
    <w:p>
      <w:pPr>
        <w:pStyle w:val="32"/>
        <w:numPr>
          <w:ilvl w:val="2"/>
          <w:numId w:val="0"/>
        </w:numPr>
        <w:ind w:firstLine="480" w:firstLineChars="200"/>
      </w:pPr>
      <w:r>
        <w:rPr>
          <w:rFonts w:hint="eastAsia"/>
        </w:rPr>
        <w:t>1.本项不属于本项目磋商小组评审范畴，由采购人、采购代理机构在接收响应文件时及时处理。</w:t>
      </w:r>
    </w:p>
    <w:p>
      <w:pPr>
        <w:pStyle w:val="32"/>
        <w:numPr>
          <w:ilvl w:val="2"/>
          <w:numId w:val="0"/>
        </w:numPr>
        <w:ind w:firstLine="480" w:firstLineChars="200"/>
      </w:pPr>
      <w:r>
        <w:rPr>
          <w:rFonts w:hint="eastAsia"/>
        </w:rPr>
        <w:t>2.响应文件可以单独密封包装，也可以将所有响应文件密封包装在一个密封袋内。</w:t>
      </w:r>
    </w:p>
    <w:p>
      <w:pPr>
        <w:pStyle w:val="32"/>
        <w:numPr>
          <w:ilvl w:val="2"/>
          <w:numId w:val="0"/>
        </w:numPr>
        <w:ind w:firstLine="480" w:firstLineChars="200"/>
      </w:pPr>
      <w:r>
        <w:rPr>
          <w:rFonts w:hint="eastAsia"/>
        </w:rPr>
        <w:t>3.响应文件密封袋的最外层应清楚地标明采购项目名称、项目编号、供应商名称、磋商日期。</w:t>
      </w:r>
    </w:p>
    <w:p>
      <w:pPr>
        <w:pStyle w:val="32"/>
        <w:numPr>
          <w:ilvl w:val="2"/>
          <w:numId w:val="0"/>
        </w:numPr>
        <w:ind w:firstLine="480" w:firstLineChars="200"/>
      </w:pPr>
      <w:r>
        <w:rPr>
          <w:rFonts w:hint="eastAsia"/>
        </w:rPr>
        <w:t>4.所有外层密封袋的封口处应粘贴牢固。</w:t>
      </w:r>
    </w:p>
    <w:p>
      <w:pPr>
        <w:pStyle w:val="32"/>
        <w:numPr>
          <w:ilvl w:val="2"/>
          <w:numId w:val="0"/>
        </w:numPr>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45"/>
        <w:ind w:firstLine="482"/>
      </w:pPr>
      <w:bookmarkStart w:id="91" w:name="_Toc13730"/>
      <w:r>
        <w:rPr>
          <w:rFonts w:hint="eastAsia"/>
        </w:rPr>
        <w:t>响应文件的递交</w:t>
      </w:r>
      <w:bookmarkEnd w:id="87"/>
      <w:bookmarkEnd w:id="88"/>
      <w:bookmarkEnd w:id="89"/>
      <w:bookmarkEnd w:id="90"/>
      <w:bookmarkEnd w:id="91"/>
    </w:p>
    <w:p>
      <w:pPr>
        <w:pStyle w:val="59"/>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59"/>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59"/>
        <w:ind w:firstLine="480"/>
      </w:pPr>
      <w:r>
        <w:rPr>
          <w:rFonts w:hint="eastAsia"/>
        </w:rPr>
        <w:t>本次竞争性磋商不接收邮寄的响应文件。</w:t>
      </w:r>
    </w:p>
    <w:p>
      <w:pPr>
        <w:pStyle w:val="45"/>
        <w:ind w:firstLine="482"/>
      </w:pPr>
      <w:bookmarkStart w:id="92" w:name="_Toc9913"/>
      <w:bookmarkStart w:id="93" w:name="_Toc11511"/>
      <w:r>
        <w:rPr>
          <w:rFonts w:hint="eastAsia"/>
        </w:rPr>
        <w:t>响应文件的修改和撤回</w:t>
      </w:r>
      <w:bookmarkEnd w:id="92"/>
      <w:bookmarkEnd w:id="93"/>
    </w:p>
    <w:p>
      <w:pPr>
        <w:pStyle w:val="59"/>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59"/>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59"/>
        <w:ind w:firstLine="480"/>
      </w:pPr>
      <w:r>
        <w:rPr>
          <w:rFonts w:hint="eastAsia"/>
        </w:rPr>
        <w:t>在响应文件递交截止时间之后，供应商不得对其递交的响应文件进行撤回。</w:t>
      </w:r>
    </w:p>
    <w:p>
      <w:pPr>
        <w:pStyle w:val="59"/>
        <w:ind w:firstLine="480"/>
      </w:pPr>
      <w:r>
        <w:rPr>
          <w:rFonts w:hint="eastAsia"/>
        </w:rPr>
        <w:t>供应商不得在递交截止时间起至响应文件有效期期满前撤销其响应文件，否则将认定其响应文件有效期的承诺为虚假承诺，并依法追究其法律责任。</w:t>
      </w:r>
    </w:p>
    <w:p>
      <w:pPr>
        <w:pStyle w:val="45"/>
        <w:ind w:firstLine="482"/>
      </w:pPr>
      <w:bookmarkStart w:id="94" w:name="_Toc10714"/>
      <w:bookmarkStart w:id="95" w:name="_Toc31639"/>
      <w:bookmarkStart w:id="96" w:name="_Toc9598"/>
      <w:bookmarkStart w:id="97" w:name="_Toc17928"/>
      <w:r>
        <w:rPr>
          <w:rFonts w:hint="eastAsia"/>
        </w:rPr>
        <w:t>磋商保证金</w:t>
      </w:r>
      <w:bookmarkEnd w:id="94"/>
      <w:bookmarkEnd w:id="95"/>
      <w:bookmarkEnd w:id="96"/>
      <w:bookmarkEnd w:id="97"/>
    </w:p>
    <w:p>
      <w:pPr>
        <w:pStyle w:val="43"/>
        <w:rPr>
          <w:b w:val="0"/>
          <w:bCs/>
        </w:rPr>
      </w:pPr>
      <w:r>
        <w:rPr>
          <w:rFonts w:hint="eastAsia"/>
          <w:b w:val="0"/>
          <w:bCs/>
        </w:rPr>
        <w:t>本项目不收取磋商保证金。</w:t>
      </w:r>
    </w:p>
    <w:p>
      <w:pPr>
        <w:pStyle w:val="31"/>
        <w:spacing w:before="120" w:beforeLines="50" w:after="120" w:afterLines="50"/>
        <w:ind w:firstLine="0" w:firstLineChars="0"/>
        <w:jc w:val="center"/>
        <w:rPr>
          <w:sz w:val="36"/>
          <w:szCs w:val="36"/>
        </w:rPr>
      </w:pPr>
      <w:bookmarkStart w:id="98" w:name="_Toc12280"/>
      <w:bookmarkStart w:id="99" w:name="_Toc29699"/>
      <w:bookmarkStart w:id="100" w:name="_Toc6138"/>
      <w:bookmarkStart w:id="101" w:name="_Toc5914"/>
      <w:bookmarkStart w:id="102" w:name="_Toc6947"/>
      <w:r>
        <w:rPr>
          <w:rFonts w:hint="eastAsia"/>
          <w:sz w:val="36"/>
          <w:szCs w:val="36"/>
        </w:rPr>
        <w:t>磋商会</w:t>
      </w:r>
      <w:bookmarkEnd w:id="98"/>
      <w:bookmarkEnd w:id="99"/>
    </w:p>
    <w:p>
      <w:pPr>
        <w:pStyle w:val="29"/>
        <w:numPr>
          <w:ilvl w:val="1"/>
          <w:numId w:val="15"/>
        </w:numPr>
        <w:ind w:firstLine="482"/>
        <w:outlineLvl w:val="2"/>
        <w:rPr>
          <w:b/>
          <w:bCs/>
        </w:rPr>
      </w:pPr>
      <w:bookmarkStart w:id="103" w:name="_Toc30475"/>
      <w:r>
        <w:rPr>
          <w:rFonts w:hint="eastAsia"/>
          <w:b/>
          <w:bCs/>
        </w:rPr>
        <w:t>磋商会人员</w:t>
      </w:r>
      <w:bookmarkEnd w:id="103"/>
    </w:p>
    <w:p>
      <w:pPr>
        <w:pStyle w:val="42"/>
      </w:pPr>
      <w:r>
        <w:rPr>
          <w:rFonts w:hint="eastAsia"/>
        </w:rPr>
        <w:t>采购代理机构在竞争性磋商文件规定的时间和地点组织磋商，采购人、供应商须派授权代表参加并签到以证明其出席，磋商会由采购代理机构主持。</w:t>
      </w:r>
    </w:p>
    <w:p>
      <w:pPr>
        <w:pStyle w:val="29"/>
        <w:numPr>
          <w:ilvl w:val="1"/>
          <w:numId w:val="15"/>
        </w:numPr>
        <w:ind w:firstLine="482"/>
        <w:outlineLvl w:val="2"/>
        <w:rPr>
          <w:b/>
          <w:bCs/>
        </w:rPr>
      </w:pPr>
      <w:bookmarkStart w:id="104" w:name="_Toc15806"/>
      <w:r>
        <w:rPr>
          <w:rFonts w:hint="eastAsia"/>
          <w:b/>
          <w:bCs/>
        </w:rPr>
        <w:t>磋商会内容</w:t>
      </w:r>
      <w:bookmarkEnd w:id="104"/>
    </w:p>
    <w:p>
      <w:pPr>
        <w:pStyle w:val="42"/>
      </w:pPr>
      <w:r>
        <w:rPr>
          <w:rFonts w:hint="eastAsia"/>
        </w:rPr>
        <w:t>磋商会主持人按照磋商文件规定宣布响应文件递交截止时间，按照规定主持磋商会。将按以下程序进行：</w:t>
      </w:r>
    </w:p>
    <w:p>
      <w:pPr>
        <w:pStyle w:val="32"/>
        <w:ind w:firstLine="480"/>
      </w:pPr>
      <w:r>
        <w:rPr>
          <w:rFonts w:hint="eastAsia"/>
        </w:rPr>
        <w:t>宣布磋商会开始。响应文件递交截止时间已到，主持人宣布磋商会开始并致辞；</w:t>
      </w:r>
    </w:p>
    <w:p>
      <w:pPr>
        <w:pStyle w:val="32"/>
        <w:ind w:firstLine="480"/>
      </w:pPr>
      <w:r>
        <w:rPr>
          <w:rFonts w:hint="eastAsia"/>
        </w:rPr>
        <w:t>宣布会场纪律和有关注意事项；</w:t>
      </w:r>
    </w:p>
    <w:p>
      <w:pPr>
        <w:pStyle w:val="32"/>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2"/>
        <w:ind w:firstLine="480"/>
      </w:pPr>
      <w:r>
        <w:rPr>
          <w:rFonts w:hint="eastAsia"/>
        </w:rPr>
        <w:t>供应商或者其推选的代表需现场对磋商会议记录进行签字确认经确认无误后，由采购代理机构工作人员宣布磋商纪律，并由供应商签字确认；</w:t>
      </w:r>
    </w:p>
    <w:p>
      <w:pPr>
        <w:pStyle w:val="32"/>
        <w:ind w:firstLine="480"/>
      </w:pPr>
      <w:r>
        <w:rPr>
          <w:rFonts w:hint="eastAsia"/>
        </w:rPr>
        <w:t>供应商不足3家的，终止采购活动，并退回响应文件；</w:t>
      </w:r>
    </w:p>
    <w:p>
      <w:pPr>
        <w:pStyle w:val="32"/>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9"/>
        <w:numPr>
          <w:ilvl w:val="1"/>
          <w:numId w:val="15"/>
        </w:numPr>
        <w:ind w:firstLine="482"/>
        <w:outlineLvl w:val="2"/>
        <w:rPr>
          <w:b/>
          <w:bCs/>
        </w:rPr>
      </w:pPr>
      <w:bookmarkStart w:id="105" w:name="_Toc10036"/>
      <w:bookmarkStart w:id="106" w:name="_Toc23889"/>
      <w:r>
        <w:rPr>
          <w:rFonts w:hint="eastAsia"/>
          <w:b/>
          <w:bCs/>
        </w:rPr>
        <w:t>电子监控档案</w:t>
      </w:r>
      <w:bookmarkEnd w:id="105"/>
      <w:bookmarkEnd w:id="106"/>
    </w:p>
    <w:p>
      <w:pPr>
        <w:pStyle w:val="29"/>
        <w:numPr>
          <w:ilvl w:val="1"/>
          <w:numId w:val="0"/>
        </w:numPr>
        <w:ind w:left="480" w:leftChars="200"/>
      </w:pPr>
      <w:r>
        <w:rPr>
          <w:rFonts w:hint="eastAsia"/>
        </w:rPr>
        <w:t>本项目磋商会和评审过程进行全过程电子监控，并将电子监控资料存储介质留存归档。</w:t>
      </w:r>
    </w:p>
    <w:p>
      <w:pPr>
        <w:pStyle w:val="31"/>
        <w:spacing w:before="120" w:beforeLines="50" w:after="120" w:afterLines="50"/>
        <w:ind w:firstLine="0" w:firstLineChars="0"/>
        <w:jc w:val="center"/>
        <w:rPr>
          <w:sz w:val="36"/>
          <w:szCs w:val="36"/>
        </w:rPr>
      </w:pPr>
      <w:bookmarkStart w:id="107" w:name="_Toc3388"/>
      <w:bookmarkStart w:id="108" w:name="_Toc31404"/>
      <w:bookmarkStart w:id="109" w:name="_Toc11904"/>
      <w:bookmarkStart w:id="110" w:name="_Toc14786"/>
      <w:bookmarkStart w:id="111" w:name="_Toc12604"/>
      <w:bookmarkStart w:id="112" w:name="_Toc8117"/>
      <w:r>
        <w:rPr>
          <w:rFonts w:hint="eastAsia"/>
          <w:sz w:val="36"/>
          <w:szCs w:val="36"/>
        </w:rPr>
        <w:t>成交事项</w:t>
      </w:r>
      <w:bookmarkEnd w:id="107"/>
      <w:bookmarkEnd w:id="108"/>
    </w:p>
    <w:bookmarkEnd w:id="109"/>
    <w:bookmarkEnd w:id="110"/>
    <w:bookmarkEnd w:id="111"/>
    <w:bookmarkEnd w:id="112"/>
    <w:p>
      <w:pPr>
        <w:pStyle w:val="45"/>
        <w:ind w:firstLine="482"/>
      </w:pPr>
      <w:bookmarkStart w:id="113" w:name="_Toc16799"/>
      <w:bookmarkStart w:id="114" w:name="_Toc21632"/>
      <w:r>
        <w:rPr>
          <w:rFonts w:hint="eastAsia"/>
        </w:rPr>
        <w:t>确定成交候选人</w:t>
      </w:r>
      <w:bookmarkEnd w:id="113"/>
      <w:bookmarkEnd w:id="114"/>
    </w:p>
    <w:p>
      <w:pPr>
        <w:pStyle w:val="59"/>
        <w:ind w:firstLine="480"/>
      </w:pPr>
      <w:r>
        <w:rPr>
          <w:rFonts w:hint="eastAsia"/>
        </w:rPr>
        <w:t>采购代理机构应当在评审结束后2个工作日内将评审报告送采购人确认。</w:t>
      </w:r>
    </w:p>
    <w:p>
      <w:pPr>
        <w:pStyle w:val="59"/>
        <w:ind w:firstLine="480"/>
      </w:pPr>
      <w:r>
        <w:rPr>
          <w:rFonts w:hint="eastAsia"/>
        </w:rPr>
        <w:t>本项目采购人根据磋商小组推荐的成交候选人名单，按顺序确定成交供应商。</w:t>
      </w:r>
    </w:p>
    <w:p>
      <w:pPr>
        <w:pStyle w:val="59"/>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成交候选人及其现任法定代表人、主要负责人存在行贿犯罪记录，采购人将不确定其为成交人。采购人在确认成交供应商前，应到中国裁判文书网(https://wenshu.court.gov.cn)查询成交候选供应商及其现任法定代表人、主要负责人是否存在行贿犯罪记录。</w:t>
      </w:r>
    </w:p>
    <w:p>
      <w:pPr>
        <w:pStyle w:val="59"/>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9"/>
        <w:ind w:firstLine="480"/>
      </w:pPr>
      <w:r>
        <w:rPr>
          <w:rFonts w:hint="eastAsia"/>
        </w:rPr>
        <w:t>采购人确定成交供应商过程中，发现成交候选供应商有下列情形之一的，不予确定其为成交供应商：</w:t>
      </w:r>
    </w:p>
    <w:p>
      <w:pPr>
        <w:pStyle w:val="59"/>
        <w:numPr>
          <w:ilvl w:val="3"/>
          <w:numId w:val="0"/>
        </w:numPr>
        <w:ind w:left="480" w:leftChars="200"/>
      </w:pPr>
      <w:r>
        <w:rPr>
          <w:rFonts w:hint="eastAsia"/>
        </w:rPr>
        <w:t>5.1成交候选供应商属于禁止参加本项目采购活动的；</w:t>
      </w:r>
    </w:p>
    <w:p>
      <w:pPr>
        <w:pStyle w:val="59"/>
        <w:numPr>
          <w:ilvl w:val="3"/>
          <w:numId w:val="0"/>
        </w:numPr>
        <w:ind w:left="480" w:leftChars="200"/>
      </w:pPr>
      <w:r>
        <w:rPr>
          <w:rFonts w:hint="eastAsia"/>
        </w:rPr>
        <w:t>5.2成交候选供应商因不可抗力，不能继续参加政府采购活动；</w:t>
      </w:r>
    </w:p>
    <w:p>
      <w:pPr>
        <w:pStyle w:val="59"/>
        <w:numPr>
          <w:ilvl w:val="3"/>
          <w:numId w:val="0"/>
        </w:numPr>
        <w:ind w:left="480" w:leftChars="200"/>
      </w:pPr>
      <w:r>
        <w:rPr>
          <w:rFonts w:hint="eastAsia"/>
        </w:rPr>
        <w:t>5.3成交候选供应商无偿赠与或者低于成本价竞争；</w:t>
      </w:r>
    </w:p>
    <w:p>
      <w:pPr>
        <w:pStyle w:val="59"/>
        <w:numPr>
          <w:ilvl w:val="3"/>
          <w:numId w:val="0"/>
        </w:numPr>
        <w:ind w:left="480" w:leftChars="200"/>
      </w:pPr>
      <w:r>
        <w:rPr>
          <w:rFonts w:hint="eastAsia"/>
        </w:rPr>
        <w:t>5.4成交候选供应商提供虚假材料；</w:t>
      </w:r>
    </w:p>
    <w:p>
      <w:pPr>
        <w:pStyle w:val="59"/>
        <w:numPr>
          <w:ilvl w:val="3"/>
          <w:numId w:val="0"/>
        </w:numPr>
        <w:ind w:left="480" w:leftChars="200"/>
      </w:pPr>
      <w:r>
        <w:rPr>
          <w:rFonts w:hint="eastAsia"/>
        </w:rPr>
        <w:t>5.5成交候选供应商恶意串通。</w:t>
      </w:r>
    </w:p>
    <w:p>
      <w:pPr>
        <w:pStyle w:val="45"/>
        <w:ind w:firstLine="482"/>
      </w:pPr>
      <w:bookmarkStart w:id="115" w:name="_Toc12506"/>
      <w:bookmarkStart w:id="116" w:name="_Toc17698"/>
      <w:r>
        <w:rPr>
          <w:rFonts w:hint="eastAsia"/>
        </w:rPr>
        <w:t>成交结果</w:t>
      </w:r>
      <w:bookmarkEnd w:id="115"/>
      <w:bookmarkEnd w:id="116"/>
    </w:p>
    <w:p>
      <w:pPr>
        <w:pStyle w:val="59"/>
        <w:numPr>
          <w:ilvl w:val="0"/>
          <w:numId w:val="16"/>
        </w:numPr>
        <w:tabs>
          <w:tab w:val="clear" w:pos="312"/>
        </w:tabs>
        <w:ind w:firstLine="480"/>
      </w:pPr>
      <w:bookmarkStart w:id="117" w:name="_Toc7224"/>
      <w:r>
        <w:rPr>
          <w:rFonts w:hint="eastAsia"/>
        </w:rPr>
        <w:t>采购人确定成交供应商后，将及时书面通知采购代理机构，采购代理机构在成交供应商确定后2个工作日内，在“四川政府采购网”公告成交结果。</w:t>
      </w:r>
    </w:p>
    <w:p>
      <w:pPr>
        <w:pStyle w:val="59"/>
        <w:numPr>
          <w:ilvl w:val="0"/>
          <w:numId w:val="16"/>
        </w:numPr>
        <w:tabs>
          <w:tab w:val="clear" w:pos="312"/>
        </w:tabs>
        <w:ind w:firstLine="480"/>
      </w:pPr>
      <w:r>
        <w:rPr>
          <w:rFonts w:hint="eastAsia"/>
        </w:rPr>
        <w:t>供应商成交后应当及时领取成交通知书，不能及时领取或拒绝领取成交通知书的，采购代理机构将于成交供应商确定之日起两个工作日内采取邮寄、快递方式将成交通知书送达成交供应商。</w:t>
      </w:r>
    </w:p>
    <w:p>
      <w:pPr>
        <w:pStyle w:val="45"/>
        <w:ind w:firstLine="482"/>
      </w:pPr>
      <w:bookmarkStart w:id="118" w:name="_Toc8143"/>
      <w:r>
        <w:rPr>
          <w:rFonts w:hint="eastAsia"/>
        </w:rPr>
        <w:t>成交通知书</w:t>
      </w:r>
      <w:bookmarkEnd w:id="117"/>
      <w:bookmarkEnd w:id="118"/>
    </w:p>
    <w:p>
      <w:pPr>
        <w:pStyle w:val="59"/>
        <w:ind w:firstLine="480"/>
      </w:pPr>
      <w:r>
        <w:rPr>
          <w:rFonts w:hint="eastAsia"/>
        </w:rPr>
        <w:t>成交通知书为签订政府采购合同的依据之一，是合同的有效组成部分。</w:t>
      </w:r>
    </w:p>
    <w:p>
      <w:pPr>
        <w:pStyle w:val="59"/>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59"/>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31"/>
        <w:spacing w:before="120" w:beforeLines="50" w:after="120" w:afterLines="50"/>
        <w:ind w:firstLine="0" w:firstLineChars="0"/>
        <w:jc w:val="center"/>
        <w:rPr>
          <w:sz w:val="36"/>
          <w:szCs w:val="36"/>
        </w:rPr>
      </w:pPr>
      <w:bookmarkStart w:id="119" w:name="_Toc14227"/>
      <w:bookmarkStart w:id="120" w:name="_Toc29192"/>
      <w:r>
        <w:rPr>
          <w:rFonts w:hint="eastAsia"/>
          <w:sz w:val="36"/>
          <w:szCs w:val="36"/>
        </w:rPr>
        <w:t>合同事项</w:t>
      </w:r>
      <w:bookmarkEnd w:id="119"/>
      <w:bookmarkEnd w:id="120"/>
    </w:p>
    <w:p>
      <w:pPr>
        <w:pStyle w:val="45"/>
        <w:ind w:firstLine="482"/>
      </w:pPr>
      <w:bookmarkStart w:id="121" w:name="_Toc12367"/>
      <w:bookmarkStart w:id="122" w:name="_Toc8081"/>
      <w:bookmarkStart w:id="123" w:name="_Toc19462"/>
      <w:r>
        <w:rPr>
          <w:rFonts w:hint="eastAsia"/>
        </w:rPr>
        <w:t>签订合同</w:t>
      </w:r>
      <w:bookmarkEnd w:id="121"/>
      <w:bookmarkEnd w:id="122"/>
    </w:p>
    <w:p>
      <w:pPr>
        <w:pStyle w:val="32"/>
        <w:ind w:firstLine="480"/>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2"/>
        <w:ind w:firstLine="480"/>
      </w:pPr>
      <w:r>
        <w:rPr>
          <w:rFonts w:hint="eastAsia"/>
        </w:rPr>
        <w:t>政府采购合同应当包括采购人与成交供应商的名称和住所、标的、数量、质量、价款或者报酬、履行期限及地点和方式、验收要求、违约责任、解决争议的方法等内容。</w:t>
      </w:r>
    </w:p>
    <w:p>
      <w:pPr>
        <w:pStyle w:val="32"/>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2"/>
        <w:ind w:firstLine="480"/>
      </w:pPr>
      <w:r>
        <w:rPr>
          <w:rFonts w:hint="eastAsia"/>
        </w:rPr>
        <w:t>成交供应商因不可抗力原因不能履行采购合同或放弃成交的，采购人可以按照评审报告推荐的成交候选人名单排序，确定下一候选人为成交供应商。</w:t>
      </w:r>
    </w:p>
    <w:p>
      <w:pPr>
        <w:pStyle w:val="32"/>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32"/>
        <w:ind w:firstLine="480"/>
      </w:pPr>
      <w:r>
        <w:rPr>
          <w:rFonts w:hint="eastAsia"/>
        </w:rPr>
        <w:t>成交供应商在采购合同签订之后2个工作日内，将签订的采购合同送采购代理机构进行合同编号。</w:t>
      </w:r>
    </w:p>
    <w:p>
      <w:pPr>
        <w:pStyle w:val="45"/>
        <w:ind w:firstLine="482"/>
      </w:pPr>
      <w:bookmarkStart w:id="124" w:name="_Toc2425"/>
      <w:bookmarkStart w:id="125" w:name="_Toc31795"/>
      <w:r>
        <w:rPr>
          <w:rFonts w:hint="eastAsia"/>
        </w:rPr>
        <w:t>合同分包(实质性要求)</w:t>
      </w:r>
      <w:bookmarkEnd w:id="124"/>
      <w:bookmarkEnd w:id="125"/>
    </w:p>
    <w:p>
      <w:pPr>
        <w:pStyle w:val="42"/>
      </w:pPr>
      <w:r>
        <w:rPr>
          <w:rFonts w:hint="eastAsia"/>
        </w:rPr>
        <w:t>本项目不接受合同分包。</w:t>
      </w:r>
    </w:p>
    <w:p>
      <w:pPr>
        <w:pStyle w:val="45"/>
        <w:ind w:firstLine="482"/>
      </w:pPr>
      <w:bookmarkStart w:id="126" w:name="_Toc13796"/>
      <w:bookmarkStart w:id="127" w:name="_Toc21420"/>
      <w:r>
        <w:rPr>
          <w:rFonts w:hint="eastAsia"/>
        </w:rPr>
        <w:t>合同转包(实质性要求)</w:t>
      </w:r>
      <w:bookmarkEnd w:id="126"/>
      <w:bookmarkEnd w:id="127"/>
    </w:p>
    <w:p>
      <w:pPr>
        <w:pStyle w:val="59"/>
        <w:ind w:firstLine="480"/>
      </w:pPr>
      <w:r>
        <w:rPr>
          <w:rFonts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9"/>
        <w:ind w:firstLine="480"/>
      </w:pPr>
      <w:r>
        <w:rPr>
          <w:rFonts w:hint="eastAsia"/>
        </w:rPr>
        <w:t>成交供应商转包的，视同拒绝履行政府采购合同义务，将依法追究法律责任。</w:t>
      </w:r>
    </w:p>
    <w:p>
      <w:pPr>
        <w:pStyle w:val="45"/>
        <w:ind w:firstLine="482"/>
      </w:pPr>
      <w:bookmarkStart w:id="128" w:name="_Toc27950"/>
      <w:bookmarkStart w:id="129" w:name="_Toc17279"/>
      <w:r>
        <w:rPr>
          <w:rFonts w:hint="eastAsia"/>
        </w:rPr>
        <w:t>补充合同</w:t>
      </w:r>
      <w:bookmarkEnd w:id="128"/>
      <w:bookmarkEnd w:id="129"/>
    </w:p>
    <w:p>
      <w:pPr>
        <w:pStyle w:val="42"/>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5"/>
        <w:ind w:firstLine="482"/>
      </w:pPr>
      <w:bookmarkStart w:id="130" w:name="_Toc23104"/>
      <w:bookmarkStart w:id="131" w:name="_Toc24801"/>
      <w:r>
        <w:rPr>
          <w:rFonts w:hint="eastAsia"/>
        </w:rPr>
        <w:t>合同公告</w:t>
      </w:r>
      <w:bookmarkEnd w:id="130"/>
      <w:bookmarkEnd w:id="131"/>
    </w:p>
    <w:p>
      <w:pPr>
        <w:pStyle w:val="42"/>
      </w:pPr>
      <w:r>
        <w:rPr>
          <w:rFonts w:hint="eastAsia"/>
        </w:rPr>
        <w:t>1.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59"/>
        <w:numPr>
          <w:ilvl w:val="3"/>
          <w:numId w:val="0"/>
        </w:numPr>
        <w:ind w:firstLine="480" w:firstLineChars="200"/>
      </w:pPr>
      <w:r>
        <w:rPr>
          <w:rFonts w:hint="eastAsia"/>
        </w:rPr>
        <w:t>2.采购人应当将政府采购合同副本自签订(双方当事人均已签字盖章)之日起七个工作日内通过“四川政府采购网”报同级财政部门备案。</w:t>
      </w:r>
    </w:p>
    <w:p>
      <w:pPr>
        <w:pStyle w:val="45"/>
        <w:ind w:firstLine="482"/>
      </w:pPr>
      <w:bookmarkStart w:id="132" w:name="_Toc2945"/>
      <w:bookmarkStart w:id="133" w:name="_Toc18566"/>
      <w:r>
        <w:rPr>
          <w:rFonts w:hint="eastAsia"/>
        </w:rPr>
        <w:t>履行合同</w:t>
      </w:r>
      <w:bookmarkEnd w:id="132"/>
      <w:bookmarkEnd w:id="133"/>
    </w:p>
    <w:p>
      <w:pPr>
        <w:pStyle w:val="59"/>
        <w:ind w:firstLine="480"/>
      </w:pPr>
      <w:r>
        <w:rPr>
          <w:rFonts w:hint="eastAsia"/>
        </w:rPr>
        <w:t>采购人与成交供应商应当根据合同的约定依法履行合同义务，保证合同顺利完成。</w:t>
      </w:r>
    </w:p>
    <w:p>
      <w:pPr>
        <w:pStyle w:val="59"/>
        <w:ind w:firstLine="480"/>
      </w:pPr>
      <w:r>
        <w:rPr>
          <w:rFonts w:hint="eastAsia"/>
        </w:rPr>
        <w:t>政府采购合同的履行、违约责任和解决争议的方法等适用《中华人民共和国民法典》。</w:t>
      </w:r>
    </w:p>
    <w:p>
      <w:pPr>
        <w:pStyle w:val="45"/>
        <w:ind w:firstLine="482"/>
      </w:pPr>
      <w:bookmarkStart w:id="134" w:name="_Toc8615"/>
      <w:bookmarkStart w:id="135" w:name="_Toc17186"/>
      <w:bookmarkStart w:id="136" w:name="_Toc30343"/>
      <w:bookmarkStart w:id="137" w:name="_Toc26311"/>
      <w:bookmarkStart w:id="138" w:name="_Toc19475"/>
      <w:r>
        <w:rPr>
          <w:rFonts w:hint="eastAsia"/>
        </w:rPr>
        <w:t>付款方式及履约验收</w:t>
      </w:r>
      <w:bookmarkEnd w:id="134"/>
      <w:bookmarkEnd w:id="135"/>
      <w:bookmarkEnd w:id="136"/>
      <w:bookmarkEnd w:id="137"/>
      <w:bookmarkEnd w:id="138"/>
    </w:p>
    <w:p>
      <w:pPr>
        <w:pStyle w:val="59"/>
        <w:ind w:firstLine="480"/>
      </w:pPr>
      <w:r>
        <w:rPr>
          <w:rFonts w:hint="eastAsia"/>
        </w:rPr>
        <w:t>付款方式</w:t>
      </w:r>
    </w:p>
    <w:p>
      <w:pPr>
        <w:pStyle w:val="60"/>
        <w:ind w:firstLine="480"/>
      </w:pPr>
      <w:r>
        <w:rPr>
          <w:rFonts w:hint="eastAsia"/>
        </w:rPr>
        <w:t>本项目付款方式详见磋</w:t>
      </w:r>
      <w:r>
        <w:rPr>
          <w:rFonts w:hint="eastAsia"/>
          <w:color w:val="000000" w:themeColor="text1"/>
          <w14:textFill>
            <w14:solidFill>
              <w14:schemeClr w14:val="tx1"/>
            </w14:solidFill>
          </w14:textFill>
        </w:rPr>
        <w:t>商文件第五章要求；</w:t>
      </w:r>
    </w:p>
    <w:p>
      <w:pPr>
        <w:pStyle w:val="60"/>
        <w:ind w:firstLine="480"/>
      </w:pPr>
      <w:r>
        <w:rPr>
          <w:rFonts w:hint="eastAsia"/>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59"/>
        <w:ind w:firstLine="480"/>
      </w:pPr>
      <w:r>
        <w:rPr>
          <w:rFonts w:hint="eastAsia"/>
        </w:rPr>
        <w:t>履约验收</w:t>
      </w:r>
      <w:r>
        <w:rPr>
          <w:rFonts w:hint="eastAsia"/>
          <w:b/>
          <w:bCs/>
        </w:rPr>
        <w:t>(实质性要求)</w:t>
      </w:r>
    </w:p>
    <w:p>
      <w:pPr>
        <w:pStyle w:val="60"/>
        <w:ind w:firstLine="480"/>
      </w:pPr>
      <w:r>
        <w:rPr>
          <w:rFonts w:hint="eastAsia"/>
        </w:rPr>
        <w:t>严格按照《财政部关于进一步加强政府采购需求和履约验收管理的指导意见》(财库〔2016〕205号)要求以及主管部门的相关要求进行验收。</w:t>
      </w:r>
    </w:p>
    <w:p>
      <w:pPr>
        <w:pStyle w:val="60"/>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0"/>
        <w:ind w:firstLine="480"/>
      </w:pPr>
      <w:r>
        <w:rPr>
          <w:rFonts w:hint="eastAsia"/>
        </w:rPr>
        <w:t>验收结果合格的，成交供应商凭验收报告办理相关手续；验收结果不合格的，将不予支付采购资金，按照有关规定给予处罚。</w:t>
      </w:r>
    </w:p>
    <w:p>
      <w:pPr>
        <w:pStyle w:val="31"/>
        <w:spacing w:before="120" w:beforeLines="50" w:after="120" w:afterLines="50"/>
        <w:ind w:firstLine="0" w:firstLineChars="0"/>
        <w:jc w:val="center"/>
        <w:rPr>
          <w:sz w:val="36"/>
          <w:szCs w:val="36"/>
        </w:rPr>
      </w:pPr>
      <w:bookmarkStart w:id="139" w:name="_Toc4281"/>
      <w:bookmarkStart w:id="140" w:name="_Toc23470"/>
      <w:r>
        <w:rPr>
          <w:rFonts w:hint="eastAsia"/>
          <w:sz w:val="36"/>
          <w:szCs w:val="36"/>
        </w:rPr>
        <w:t>磋商纪律要求</w:t>
      </w:r>
      <w:bookmarkEnd w:id="139"/>
      <w:bookmarkEnd w:id="140"/>
    </w:p>
    <w:p>
      <w:pPr>
        <w:pStyle w:val="45"/>
        <w:ind w:firstLine="482"/>
      </w:pPr>
      <w:bookmarkStart w:id="141" w:name="_Toc25072"/>
      <w:bookmarkStart w:id="142" w:name="_Toc26997"/>
      <w:r>
        <w:rPr>
          <w:rFonts w:hint="eastAsia"/>
        </w:rPr>
        <w:t>供应商参加本项目采购活动不得具有的情形</w:t>
      </w:r>
      <w:bookmarkEnd w:id="123"/>
      <w:bookmarkEnd w:id="141"/>
      <w:bookmarkEnd w:id="142"/>
    </w:p>
    <w:p>
      <w:pPr>
        <w:pStyle w:val="29"/>
        <w:numPr>
          <w:ilvl w:val="1"/>
          <w:numId w:val="0"/>
        </w:numPr>
        <w:ind w:left="480" w:leftChars="200"/>
      </w:pPr>
      <w:r>
        <w:rPr>
          <w:rFonts w:hint="eastAsia"/>
        </w:rPr>
        <w:t>1.提供虚假材料谋取成交；</w:t>
      </w:r>
    </w:p>
    <w:p>
      <w:pPr>
        <w:pStyle w:val="29"/>
        <w:numPr>
          <w:ilvl w:val="1"/>
          <w:numId w:val="0"/>
        </w:numPr>
        <w:ind w:left="480" w:leftChars="200"/>
      </w:pPr>
      <w:r>
        <w:rPr>
          <w:rFonts w:hint="eastAsia"/>
        </w:rPr>
        <w:t>2.采取不正当手段诋毁、排挤其他供应商；</w:t>
      </w:r>
    </w:p>
    <w:p>
      <w:pPr>
        <w:pStyle w:val="29"/>
        <w:numPr>
          <w:ilvl w:val="1"/>
          <w:numId w:val="0"/>
        </w:numPr>
        <w:ind w:left="480" w:leftChars="200"/>
      </w:pPr>
      <w:r>
        <w:rPr>
          <w:rFonts w:hint="eastAsia"/>
        </w:rPr>
        <w:t>3.与采购人、采购代理机构或其他供应商恶意串通；</w:t>
      </w:r>
    </w:p>
    <w:p>
      <w:pPr>
        <w:pStyle w:val="29"/>
        <w:numPr>
          <w:ilvl w:val="1"/>
          <w:numId w:val="0"/>
        </w:numPr>
        <w:ind w:left="480" w:leftChars="200"/>
      </w:pPr>
      <w:r>
        <w:rPr>
          <w:rFonts w:hint="eastAsia"/>
        </w:rPr>
        <w:t>4.向采购人、采购代理机构、磋商小组成员行贿或者提供其他不正当利益；</w:t>
      </w:r>
    </w:p>
    <w:p>
      <w:pPr>
        <w:pStyle w:val="29"/>
        <w:numPr>
          <w:ilvl w:val="1"/>
          <w:numId w:val="0"/>
        </w:numPr>
        <w:ind w:left="480" w:leftChars="200"/>
      </w:pPr>
      <w:r>
        <w:rPr>
          <w:rFonts w:hint="eastAsia"/>
        </w:rPr>
        <w:t>5.在磋商过程中与采购人、采购代理机构进行协商；</w:t>
      </w:r>
    </w:p>
    <w:p>
      <w:pPr>
        <w:pStyle w:val="29"/>
        <w:numPr>
          <w:ilvl w:val="1"/>
          <w:numId w:val="0"/>
        </w:numPr>
        <w:ind w:left="480" w:leftChars="200"/>
      </w:pPr>
      <w:r>
        <w:rPr>
          <w:rFonts w:hint="eastAsia"/>
        </w:rPr>
        <w:t>6.成交后无正当理由拒不与采购人签订政府采购合同；</w:t>
      </w:r>
    </w:p>
    <w:p>
      <w:pPr>
        <w:pStyle w:val="29"/>
        <w:numPr>
          <w:ilvl w:val="1"/>
          <w:numId w:val="0"/>
        </w:numPr>
        <w:ind w:left="480" w:leftChars="200"/>
      </w:pPr>
      <w:r>
        <w:rPr>
          <w:rFonts w:hint="eastAsia"/>
        </w:rPr>
        <w:t>7.未按照磋商文件确定的事项签订政府采购合同；</w:t>
      </w:r>
    </w:p>
    <w:p>
      <w:pPr>
        <w:pStyle w:val="29"/>
        <w:numPr>
          <w:ilvl w:val="1"/>
          <w:numId w:val="0"/>
        </w:numPr>
        <w:ind w:left="480" w:leftChars="200"/>
      </w:pPr>
      <w:r>
        <w:rPr>
          <w:rFonts w:hint="eastAsia"/>
        </w:rPr>
        <w:t>8.将政府采购合同转包或者违规分包；</w:t>
      </w:r>
    </w:p>
    <w:p>
      <w:pPr>
        <w:pStyle w:val="29"/>
        <w:numPr>
          <w:ilvl w:val="1"/>
          <w:numId w:val="0"/>
        </w:numPr>
        <w:ind w:left="480" w:leftChars="200"/>
      </w:pPr>
      <w:r>
        <w:rPr>
          <w:rFonts w:hint="eastAsia"/>
        </w:rPr>
        <w:t>9.提供假冒伪劣产品；</w:t>
      </w:r>
    </w:p>
    <w:p>
      <w:pPr>
        <w:pStyle w:val="29"/>
        <w:numPr>
          <w:ilvl w:val="1"/>
          <w:numId w:val="0"/>
        </w:numPr>
        <w:ind w:left="480" w:leftChars="200"/>
      </w:pPr>
      <w:r>
        <w:rPr>
          <w:rFonts w:hint="eastAsia"/>
        </w:rPr>
        <w:t>10.擅自变更、中止或者终止政府采购合同；</w:t>
      </w:r>
    </w:p>
    <w:p>
      <w:pPr>
        <w:pStyle w:val="29"/>
        <w:numPr>
          <w:ilvl w:val="1"/>
          <w:numId w:val="0"/>
        </w:numPr>
        <w:ind w:left="480" w:leftChars="200"/>
      </w:pPr>
      <w:r>
        <w:rPr>
          <w:rFonts w:hint="eastAsia"/>
        </w:rPr>
        <w:t>11.拒绝有关部门的监督检查或者向监督检查部门提供虚假情况；</w:t>
      </w:r>
    </w:p>
    <w:p>
      <w:pPr>
        <w:pStyle w:val="29"/>
        <w:numPr>
          <w:ilvl w:val="1"/>
          <w:numId w:val="0"/>
        </w:numPr>
        <w:ind w:left="480" w:leftChars="200"/>
      </w:pPr>
      <w:r>
        <w:rPr>
          <w:rFonts w:hint="eastAsia"/>
        </w:rPr>
        <w:t>12.法律法规规定的其他情形。</w:t>
      </w:r>
    </w:p>
    <w:p>
      <w:pPr>
        <w:pStyle w:val="42"/>
      </w:pPr>
      <w:bookmarkStart w:id="143" w:name="_Toc12708"/>
      <w:bookmarkStart w:id="144" w:name="_Toc28656"/>
      <w:bookmarkStart w:id="145" w:name="_Toc31594"/>
      <w:bookmarkStart w:id="146" w:name="_Toc1683"/>
      <w:bookmarkStart w:id="147" w:name="_Toc19578"/>
      <w:bookmarkStart w:id="148" w:name="_Toc11007"/>
      <w:bookmarkStart w:id="149" w:name="_Toc29848"/>
      <w:bookmarkStart w:id="150" w:name="_Toc17041"/>
      <w:r>
        <w:rPr>
          <w:rFonts w:hint="eastAsia"/>
        </w:rPr>
        <w:t>供应商有上述情形的，按照规定追究法律责任，具备1～10条情形之一的，同时将取消成交资格或者认定成交无效。</w:t>
      </w:r>
    </w:p>
    <w:p>
      <w:pPr>
        <w:pStyle w:val="45"/>
        <w:ind w:firstLine="482"/>
      </w:pPr>
      <w:bookmarkStart w:id="151" w:name="_Toc28022"/>
      <w:bookmarkStart w:id="152" w:name="_Toc29926"/>
      <w:r>
        <w:rPr>
          <w:rFonts w:hint="eastAsia"/>
        </w:rPr>
        <w:t>磋商现场纪律要求</w:t>
      </w:r>
      <w:bookmarkEnd w:id="151"/>
      <w:bookmarkEnd w:id="152"/>
    </w:p>
    <w:p>
      <w:pPr>
        <w:pStyle w:val="42"/>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1"/>
        <w:spacing w:before="120" w:beforeLines="50" w:after="120" w:afterLines="50"/>
        <w:ind w:firstLine="0" w:firstLineChars="0"/>
        <w:jc w:val="center"/>
        <w:rPr>
          <w:sz w:val="36"/>
          <w:szCs w:val="36"/>
        </w:rPr>
      </w:pPr>
      <w:bookmarkStart w:id="153" w:name="_Toc19072"/>
      <w:bookmarkStart w:id="154" w:name="_Toc27202"/>
      <w:r>
        <w:rPr>
          <w:rFonts w:hint="eastAsia"/>
          <w:sz w:val="36"/>
          <w:szCs w:val="36"/>
        </w:rPr>
        <w:t>其他</w:t>
      </w:r>
      <w:bookmarkEnd w:id="153"/>
      <w:bookmarkEnd w:id="154"/>
    </w:p>
    <w:p>
      <w:pPr>
        <w:pStyle w:val="45"/>
        <w:ind w:firstLine="482"/>
      </w:pPr>
      <w:bookmarkStart w:id="155" w:name="_Toc32549"/>
      <w:bookmarkStart w:id="156" w:name="_Toc24369"/>
      <w:r>
        <w:rPr>
          <w:rFonts w:hint="eastAsia"/>
        </w:rPr>
        <w:t>询问、质疑和投诉</w:t>
      </w:r>
      <w:bookmarkEnd w:id="155"/>
      <w:bookmarkEnd w:id="156"/>
    </w:p>
    <w:p>
      <w:pPr>
        <w:pStyle w:val="29"/>
        <w:numPr>
          <w:ilvl w:val="1"/>
          <w:numId w:val="0"/>
        </w:numPr>
        <w:ind w:left="480" w:leftChars="200"/>
      </w:pPr>
      <w:r>
        <w:rPr>
          <w:rFonts w:hint="eastAsia"/>
        </w:rPr>
        <w:t>具体详见磋商须知前附表</w:t>
      </w:r>
      <w:bookmarkEnd w:id="150"/>
      <w:r>
        <w:rPr>
          <w:rFonts w:hint="eastAsia"/>
        </w:rPr>
        <w:t>。</w:t>
      </w:r>
    </w:p>
    <w:p>
      <w:pPr>
        <w:pStyle w:val="45"/>
        <w:ind w:firstLine="482"/>
      </w:pPr>
      <w:bookmarkStart w:id="157" w:name="_Toc18625"/>
      <w:bookmarkStart w:id="158" w:name="_Toc28054"/>
      <w:bookmarkStart w:id="159" w:name="_Toc26947"/>
      <w:bookmarkStart w:id="160" w:name="_Toc24020"/>
      <w:bookmarkStart w:id="161" w:name="_Toc31084"/>
      <w:bookmarkStart w:id="162" w:name="_Toc16406"/>
      <w:bookmarkStart w:id="163" w:name="_Toc1748"/>
      <w:bookmarkStart w:id="164" w:name="_Toc2794"/>
      <w:r>
        <w:rPr>
          <w:rFonts w:hint="eastAsia"/>
        </w:rPr>
        <w:t>关于行贿犯罪档案查询工作的规定</w:t>
      </w:r>
      <w:bookmarkEnd w:id="157"/>
      <w:bookmarkEnd w:id="158"/>
      <w:bookmarkEnd w:id="159"/>
      <w:bookmarkEnd w:id="160"/>
      <w:bookmarkEnd w:id="161"/>
      <w:bookmarkEnd w:id="162"/>
      <w:bookmarkEnd w:id="163"/>
      <w:bookmarkEnd w:id="164"/>
    </w:p>
    <w:p>
      <w:pPr>
        <w:pStyle w:val="42"/>
      </w:pPr>
      <w:bookmarkStart w:id="165" w:name="_Toc14412"/>
      <w:bookmarkStart w:id="166" w:name="_Toc29751"/>
      <w:bookmarkStart w:id="167"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165"/>
      <w:bookmarkEnd w:id="166"/>
    </w:p>
    <w:p>
      <w:pPr>
        <w:pStyle w:val="45"/>
        <w:ind w:firstLine="482"/>
      </w:pPr>
      <w:bookmarkStart w:id="168" w:name="_Toc28196"/>
      <w:bookmarkStart w:id="169" w:name="_Toc24800"/>
      <w:r>
        <w:rPr>
          <w:rFonts w:hint="eastAsia"/>
        </w:rPr>
        <w:t>供应商信用信息查询</w:t>
      </w:r>
      <w:bookmarkEnd w:id="167"/>
      <w:bookmarkEnd w:id="168"/>
      <w:bookmarkEnd w:id="169"/>
    </w:p>
    <w:p>
      <w:pPr>
        <w:pStyle w:val="29"/>
        <w:numPr>
          <w:ilvl w:val="1"/>
          <w:numId w:val="0"/>
        </w:numPr>
        <w:ind w:firstLine="480" w:firstLineChars="200"/>
      </w:pPr>
      <w:r>
        <w:rPr>
          <w:rFonts w:hint="eastAsia"/>
        </w:rPr>
        <w:t>1.供应商信用信息查询渠道</w:t>
      </w:r>
    </w:p>
    <w:p>
      <w:pPr>
        <w:pStyle w:val="42"/>
      </w:pPr>
      <w:r>
        <w:rPr>
          <w:rFonts w:hint="eastAsia"/>
        </w:rPr>
        <w:t>“信用中国”网站(www.creditchina.gov.cn)、“中国政府采购网”(www.ccgp.gov.cn)等。</w:t>
      </w:r>
    </w:p>
    <w:p>
      <w:pPr>
        <w:pStyle w:val="29"/>
        <w:numPr>
          <w:ilvl w:val="1"/>
          <w:numId w:val="0"/>
        </w:numPr>
        <w:ind w:firstLine="480" w:firstLineChars="200"/>
      </w:pPr>
      <w:r>
        <w:rPr>
          <w:rFonts w:hint="eastAsia"/>
        </w:rPr>
        <w:t>2.供应商信用信息查询截止时点</w:t>
      </w:r>
    </w:p>
    <w:p>
      <w:pPr>
        <w:pStyle w:val="42"/>
      </w:pPr>
      <w:r>
        <w:rPr>
          <w:rFonts w:hint="eastAsia"/>
        </w:rPr>
        <w:t>信用信息查询在资格审查阶段进行。</w:t>
      </w:r>
    </w:p>
    <w:p>
      <w:pPr>
        <w:pStyle w:val="29"/>
        <w:numPr>
          <w:ilvl w:val="1"/>
          <w:numId w:val="0"/>
        </w:numPr>
        <w:ind w:firstLine="480" w:firstLineChars="200"/>
      </w:pPr>
      <w:r>
        <w:rPr>
          <w:rFonts w:hint="eastAsia"/>
        </w:rPr>
        <w:t>3.供应商信用信息查询记录和证据留存的具体方式</w:t>
      </w:r>
    </w:p>
    <w:p>
      <w:pPr>
        <w:pStyle w:val="42"/>
      </w:pPr>
      <w:r>
        <w:rPr>
          <w:rFonts w:hint="eastAsia"/>
        </w:rPr>
        <w:t>采购代理机构通过“信用中国”网站、“中国政府采购网”等渠道对供应商进行信用记录查询，并将查询记录存档。</w:t>
      </w:r>
    </w:p>
    <w:p>
      <w:pPr>
        <w:pStyle w:val="29"/>
        <w:numPr>
          <w:ilvl w:val="0"/>
          <w:numId w:val="16"/>
        </w:numPr>
        <w:tabs>
          <w:tab w:val="clear" w:pos="312"/>
        </w:tabs>
        <w:ind w:firstLine="480"/>
      </w:pPr>
      <w:r>
        <w:rPr>
          <w:rFonts w:hint="eastAsia"/>
        </w:rPr>
        <w:t>供应商信用信息的使用：凡被列入失信被执行人、重大税收违法案件当事人名单、政府采购严重违法失信行为记录名单的，视为存在不良信用记录，参与本项目的将被拒绝。</w:t>
      </w:r>
    </w:p>
    <w:p>
      <w:pPr>
        <w:pStyle w:val="45"/>
        <w:ind w:firstLine="482"/>
      </w:pPr>
      <w:bookmarkStart w:id="170" w:name="_Toc5438"/>
      <w:bookmarkStart w:id="171" w:name="_Toc20301"/>
      <w:r>
        <w:rPr>
          <w:rFonts w:hint="eastAsia"/>
        </w:rPr>
        <w:t>保密</w:t>
      </w:r>
      <w:bookmarkEnd w:id="170"/>
      <w:bookmarkEnd w:id="171"/>
    </w:p>
    <w:p>
      <w:pPr>
        <w:pStyle w:val="10"/>
        <w:tabs>
          <w:tab w:val="left" w:pos="1134"/>
          <w:tab w:val="clear" w:pos="0"/>
        </w:tabs>
        <w:ind w:firstLine="480"/>
      </w:pPr>
      <w:r>
        <w:rPr>
          <w:rFonts w:hint="eastAsia"/>
        </w:rPr>
        <w:t>1.各采购当事人不得透露有关成功获取采购文件的潜在供应商的任何情况。</w:t>
      </w:r>
    </w:p>
    <w:p>
      <w:pPr>
        <w:pStyle w:val="10"/>
        <w:tabs>
          <w:tab w:val="left" w:pos="1134"/>
          <w:tab w:val="clear" w:pos="0"/>
        </w:tabs>
        <w:ind w:firstLine="480"/>
      </w:pPr>
      <w:r>
        <w:rPr>
          <w:rFonts w:hint="eastAsia"/>
        </w:rPr>
        <w:t>2.供应商有关响应文件的审查、澄清、评估和比较以及合同授予意向等情况均不得对外透露。</w:t>
      </w:r>
    </w:p>
    <w:p>
      <w:pPr>
        <w:pStyle w:val="45"/>
        <w:ind w:firstLine="482"/>
      </w:pPr>
      <w:bookmarkStart w:id="172" w:name="_Toc9400"/>
      <w:bookmarkStart w:id="173" w:name="_Toc28678"/>
      <w:r>
        <w:rPr>
          <w:rFonts w:hint="eastAsia"/>
        </w:rPr>
        <w:t>回避</w:t>
      </w:r>
      <w:bookmarkEnd w:id="172"/>
      <w:bookmarkEnd w:id="173"/>
    </w:p>
    <w:p>
      <w:pPr>
        <w:pStyle w:val="19"/>
        <w:spacing w:beforeAutospacing="0" w:afterAutospacing="0"/>
        <w:ind w:firstLine="480" w:firstLineChars="200"/>
        <w:jc w:val="both"/>
        <w:textAlignment w:val="center"/>
        <w:rPr>
          <w:rFonts w:cstheme="minorBidi"/>
          <w:kern w:val="2"/>
        </w:rPr>
      </w:pPr>
      <w:r>
        <w:rPr>
          <w:rFonts w:hint="eastAsia" w:cstheme="minorBidi"/>
          <w:kern w:val="2"/>
        </w:rPr>
        <w:t>在政府采购活动中，采购人员及相关人员与供应商有下列利害关系之一的，应当回避：</w:t>
      </w:r>
    </w:p>
    <w:p>
      <w:pPr>
        <w:pStyle w:val="19"/>
        <w:spacing w:beforeAutospacing="0" w:afterAutospacing="0"/>
        <w:ind w:firstLine="480" w:firstLineChars="200"/>
        <w:jc w:val="both"/>
        <w:textAlignment w:val="center"/>
        <w:rPr>
          <w:rFonts w:cstheme="minorBidi"/>
          <w:kern w:val="2"/>
        </w:rPr>
      </w:pPr>
      <w:r>
        <w:rPr>
          <w:rFonts w:hint="eastAsia" w:cstheme="minorBidi"/>
          <w:kern w:val="2"/>
        </w:rPr>
        <w:t>1.参加采购活动前3年内与供应商存在劳动关系；</w:t>
      </w:r>
    </w:p>
    <w:p>
      <w:pPr>
        <w:pStyle w:val="19"/>
        <w:spacing w:beforeAutospacing="0" w:afterAutospacing="0"/>
        <w:ind w:firstLine="480" w:firstLineChars="200"/>
        <w:jc w:val="both"/>
        <w:textAlignment w:val="center"/>
        <w:rPr>
          <w:rFonts w:cstheme="minorBidi"/>
          <w:kern w:val="2"/>
        </w:rPr>
      </w:pPr>
      <w:r>
        <w:rPr>
          <w:rFonts w:hint="eastAsia" w:cstheme="minorBidi"/>
          <w:kern w:val="2"/>
        </w:rPr>
        <w:t>2.参加采购活动前3年内担任供应商的董事、监事；</w:t>
      </w:r>
    </w:p>
    <w:p>
      <w:pPr>
        <w:pStyle w:val="19"/>
        <w:spacing w:beforeAutospacing="0" w:afterAutospacing="0"/>
        <w:ind w:firstLine="480" w:firstLineChars="200"/>
        <w:jc w:val="both"/>
        <w:textAlignment w:val="center"/>
        <w:rPr>
          <w:rFonts w:cstheme="minorBidi"/>
          <w:kern w:val="2"/>
        </w:rPr>
      </w:pPr>
      <w:r>
        <w:rPr>
          <w:rFonts w:hint="eastAsia" w:cstheme="minorBidi"/>
          <w:kern w:val="2"/>
        </w:rPr>
        <w:t>3.参加采购活动前3年内是供应商的控股股东或者实际控制人；</w:t>
      </w:r>
    </w:p>
    <w:p>
      <w:pPr>
        <w:pStyle w:val="19"/>
        <w:spacing w:beforeAutospacing="0" w:afterAutospacing="0"/>
        <w:ind w:firstLine="480" w:firstLineChars="200"/>
        <w:jc w:val="both"/>
        <w:textAlignment w:val="center"/>
        <w:rPr>
          <w:rFonts w:cstheme="minorBidi"/>
          <w:kern w:val="2"/>
        </w:rPr>
      </w:pPr>
      <w:r>
        <w:rPr>
          <w:rFonts w:hint="eastAsia" w:cstheme="minorBidi"/>
          <w:kern w:val="2"/>
        </w:rPr>
        <w:t>4.与供应商的法定代表人或者负责人有夫妻、直系血亲、三代以内旁系血亲或者近姻亲关系；</w:t>
      </w:r>
    </w:p>
    <w:p>
      <w:pPr>
        <w:pStyle w:val="19"/>
        <w:spacing w:beforeAutospacing="0" w:afterAutospacing="0"/>
        <w:ind w:firstLine="480" w:firstLineChars="200"/>
        <w:jc w:val="both"/>
        <w:textAlignment w:val="center"/>
        <w:rPr>
          <w:rFonts w:cstheme="minorBidi"/>
          <w:kern w:val="2"/>
        </w:rPr>
      </w:pPr>
      <w:r>
        <w:rPr>
          <w:rFonts w:hint="eastAsia" w:cstheme="minorBidi"/>
          <w:kern w:val="2"/>
        </w:rPr>
        <w:t>5.与供应商有其他可能影响政府采购活动公平、公正进行的关系。</w:t>
      </w:r>
    </w:p>
    <w:p>
      <w:pPr>
        <w:pStyle w:val="10"/>
        <w:tabs>
          <w:tab w:val="left" w:pos="1134"/>
          <w:tab w:val="clear" w:pos="0"/>
        </w:tabs>
        <w:ind w:firstLine="480"/>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5"/>
        <w:ind w:firstLine="482"/>
      </w:pPr>
      <w:bookmarkStart w:id="174" w:name="_Toc15147"/>
      <w:r>
        <w:rPr>
          <w:rFonts w:hint="eastAsia"/>
        </w:rPr>
        <w:t>解释说明</w:t>
      </w:r>
      <w:bookmarkEnd w:id="174"/>
    </w:p>
    <w:p>
      <w:pPr>
        <w:pStyle w:val="29"/>
        <w:numPr>
          <w:ilvl w:val="1"/>
          <w:numId w:val="0"/>
        </w:numPr>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29"/>
        <w:numPr>
          <w:ilvl w:val="1"/>
          <w:numId w:val="0"/>
        </w:numPr>
        <w:ind w:firstLine="480" w:firstLineChars="200"/>
      </w:pPr>
      <w:r>
        <w:rPr>
          <w:rFonts w:hint="eastAsia"/>
        </w:rPr>
        <w:t>2.本磋商文件中所引用的相关法律制度规定，在政府采购中有变化的，按照变化后的相关法律制度规定执行。在本项目响应文件递交截止时间届满后，因相关法律制度规定的变化导致不符合相关法律制度规定的，按照变化后的相关法律制度规定执行，本磋商文件不再做调整。</w:t>
      </w:r>
    </w:p>
    <w:p>
      <w:pPr>
        <w:pStyle w:val="29"/>
        <w:numPr>
          <w:ilvl w:val="1"/>
          <w:numId w:val="0"/>
        </w:numPr>
        <w:ind w:firstLine="480" w:firstLineChars="200"/>
      </w:pPr>
      <w:r>
        <w:rPr>
          <w:rFonts w:hint="eastAsia"/>
        </w:rPr>
        <w:t>3.国家或行业主管部门对供应商和采购产品的技术标准、质量标准等有强制性规定的，必须符合其要求</w:t>
      </w:r>
      <w:r>
        <w:rPr>
          <w:rFonts w:hint="eastAsia"/>
          <w:b/>
          <w:bCs/>
        </w:rPr>
        <w:t>(实质性要求)</w:t>
      </w:r>
      <w:r>
        <w:rPr>
          <w:rFonts w:hint="eastAsia"/>
        </w:rPr>
        <w:t>。</w:t>
      </w:r>
    </w:p>
    <w:p>
      <w:pPr>
        <w:pStyle w:val="29"/>
        <w:numPr>
          <w:ilvl w:val="1"/>
          <w:numId w:val="0"/>
        </w:numPr>
        <w:ind w:firstLine="480" w:firstLineChars="200"/>
      </w:pPr>
      <w:r>
        <w:rPr>
          <w:rFonts w:hint="eastAsia"/>
        </w:rPr>
        <w:t>4.</w:t>
      </w:r>
      <w:r>
        <w:rPr>
          <w:rFonts w:hint="eastAsia" w:cs="宋体"/>
        </w:rPr>
        <w:t>本项目涉及企业资质、产品认证、人员执业资格等描述与国家最新要求不一致时以最新要求为准。</w:t>
      </w:r>
    </w:p>
    <w:p>
      <w:pPr>
        <w:pStyle w:val="39"/>
      </w:pPr>
    </w:p>
    <w:p>
      <w:pPr>
        <w:pStyle w:val="39"/>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4"/>
        <w:spacing w:before="120" w:after="120"/>
      </w:pPr>
      <w:bookmarkStart w:id="175" w:name="_Toc5589"/>
      <w:r>
        <w:rPr>
          <w:rFonts w:hint="eastAsia"/>
        </w:rPr>
        <w:br w:type="page"/>
      </w:r>
      <w:bookmarkEnd w:id="175"/>
      <w:bookmarkStart w:id="176" w:name="_Toc29575"/>
      <w:bookmarkStart w:id="177" w:name="_Toc31402"/>
      <w:bookmarkStart w:id="178" w:name="_Toc9215"/>
      <w:bookmarkStart w:id="179" w:name="_Toc4206"/>
      <w:bookmarkStart w:id="180" w:name="_Toc25961"/>
      <w:r>
        <w:rPr>
          <w:rFonts w:hint="eastAsia"/>
        </w:rPr>
        <w:t>响应文件格式</w:t>
      </w:r>
      <w:bookmarkEnd w:id="176"/>
      <w:bookmarkEnd w:id="177"/>
      <w:bookmarkEnd w:id="178"/>
      <w:bookmarkEnd w:id="179"/>
      <w:bookmarkEnd w:id="180"/>
    </w:p>
    <w:p>
      <w:pPr>
        <w:pStyle w:val="42"/>
      </w:pPr>
      <w:bookmarkStart w:id="181" w:name="_Toc211218954"/>
      <w:bookmarkStart w:id="182" w:name="_Toc16460"/>
      <w:bookmarkStart w:id="183" w:name="_Toc182759327"/>
      <w:bookmarkStart w:id="184" w:name="_Toc439161746"/>
      <w:bookmarkStart w:id="185" w:name="_Toc316462354"/>
      <w:bookmarkStart w:id="186" w:name="_Toc182629023"/>
      <w:bookmarkStart w:id="187" w:name="_Toc295978802"/>
      <w:bookmarkStart w:id="188" w:name="_Toc294701519"/>
      <w:bookmarkStart w:id="189" w:name="_Toc287367101"/>
      <w:bookmarkStart w:id="190" w:name="_Toc294688711"/>
      <w:r>
        <w:rPr>
          <w:rFonts w:hint="eastAsia"/>
        </w:rPr>
        <w:t>一、本章所制响应文件格式，除格式中明确将该格式作为实质性要求的，一律不具有强制性，供应商不涉及的格式可以不提供。</w:t>
      </w:r>
    </w:p>
    <w:p>
      <w:pPr>
        <w:pStyle w:val="42"/>
      </w:pPr>
      <w:r>
        <w:rPr>
          <w:rFonts w:hint="eastAsia"/>
        </w:rPr>
        <w:t>二、本章所制响应文件格式有关表格中的备注栏，由供应商根据自身响应情况作解释性说明，不作为必填项。</w:t>
      </w:r>
    </w:p>
    <w:p>
      <w:pPr>
        <w:pStyle w:val="42"/>
      </w:pPr>
      <w:r>
        <w:rPr>
          <w:rFonts w:hint="eastAsia"/>
        </w:rPr>
        <w:t>三、本章格式中“注”的内容，供应商可自行决定是否保留在响应文件中，未保留的视为供应商默认接受“注”的内容。</w:t>
      </w:r>
    </w:p>
    <w:p>
      <w:pPr>
        <w:pStyle w:val="42"/>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39"/>
      </w:pPr>
      <w:r>
        <w:rPr>
          <w:rFonts w:hint="eastAsia"/>
        </w:rPr>
        <w:br w:type="page"/>
      </w:r>
    </w:p>
    <w:p>
      <w:pPr>
        <w:pStyle w:val="30"/>
      </w:pPr>
      <w:r>
        <w:rPr>
          <w:rFonts w:hint="eastAsia"/>
        </w:rPr>
        <w:t>附件：密封袋的格式</w:t>
      </w:r>
    </w:p>
    <w:p>
      <w:pPr>
        <w:pStyle w:val="30"/>
      </w:pPr>
    </w:p>
    <w:p>
      <w:pPr>
        <w:pStyle w:val="30"/>
      </w:pPr>
    </w:p>
    <w:p>
      <w:pPr>
        <w:pStyle w:val="30"/>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0"/>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jc w:val="center"/>
              <w:rPr>
                <w:rFonts w:asciiTheme="minorEastAsia" w:hAnsiTheme="minorEastAsia" w:eastAsiaTheme="minorEastAsia" w:cstheme="minorEastAsia"/>
                <w:b/>
                <w:color w:val="000000"/>
                <w:sz w:val="32"/>
                <w:szCs w:val="32"/>
              </w:rPr>
            </w:pPr>
          </w:p>
          <w:p>
            <w:pPr>
              <w:pStyle w:val="30"/>
              <w:jc w:val="center"/>
              <w:rPr>
                <w:b/>
                <w:bCs/>
                <w:sz w:val="32"/>
                <w:szCs w:val="32"/>
              </w:rPr>
            </w:pPr>
            <w:r>
              <w:rPr>
                <w:rFonts w:hint="eastAsia"/>
                <w:b/>
                <w:bCs/>
                <w:sz w:val="32"/>
                <w:szCs w:val="32"/>
              </w:rPr>
              <w:t>资格、资质性及其他类似效力响应文件</w:t>
            </w:r>
          </w:p>
          <w:p>
            <w:pPr>
              <w:pStyle w:val="30"/>
              <w:jc w:val="center"/>
              <w:rPr>
                <w:b/>
                <w:bCs/>
                <w:sz w:val="32"/>
                <w:szCs w:val="32"/>
              </w:rPr>
            </w:pPr>
            <w:r>
              <w:rPr>
                <w:rFonts w:hint="eastAsia"/>
                <w:b/>
                <w:bCs/>
                <w:sz w:val="32"/>
                <w:szCs w:val="32"/>
              </w:rPr>
              <w:t>/其他响应文件</w:t>
            </w:r>
          </w:p>
          <w:p>
            <w:pPr>
              <w:tabs>
                <w:tab w:val="left" w:pos="7665"/>
                <w:tab w:val="clear" w:pos="0"/>
              </w:tabs>
              <w:spacing w:line="400" w:lineRule="exact"/>
              <w:ind w:firstLine="2280" w:firstLineChars="950"/>
              <w:rPr>
                <w:rFonts w:asciiTheme="minorEastAsia" w:hAnsiTheme="minorEastAsia" w:eastAsiaTheme="minorEastAsia" w:cstheme="minorEastAsia"/>
                <w:color w:val="000000"/>
              </w:rPr>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p>
          <w:p>
            <w:pPr>
              <w:pStyle w:val="30"/>
              <w:ind w:firstLine="2280" w:firstLineChars="950"/>
            </w:pPr>
            <w:r>
              <w:rPr>
                <w:rFonts w:hint="eastAsia" w:asciiTheme="minorEastAsia" w:hAnsiTheme="minorEastAsia" w:eastAsiaTheme="minorEastAsia" w:cstheme="minorEastAsia"/>
                <w:color w:val="000000"/>
              </w:rPr>
              <w:t>磋商时间：</w:t>
            </w:r>
            <w:r>
              <w:rPr>
                <w:rFonts w:hint="eastAsia" w:asciiTheme="minorEastAsia" w:hAnsiTheme="minorEastAsia" w:eastAsiaTheme="minorEastAsia" w:cstheme="minorEastAsia"/>
                <w:color w:val="000000"/>
                <w:u w:val="single"/>
              </w:rPr>
              <w:t xml:space="preserve">                   </w:t>
            </w:r>
            <w:r>
              <w:rPr>
                <w:rFonts w:hint="eastAsia"/>
              </w:rPr>
              <w:t xml:space="preserve">                   </w:t>
            </w:r>
          </w:p>
          <w:p>
            <w:pPr>
              <w:pStyle w:val="30"/>
            </w:pPr>
          </w:p>
        </w:tc>
      </w:tr>
    </w:tbl>
    <w:p>
      <w:pPr>
        <w:pStyle w:val="30"/>
      </w:pPr>
      <w:bookmarkStart w:id="191" w:name="_Toc6994"/>
      <w:bookmarkStart w:id="192" w:name="_Toc11581"/>
      <w:r>
        <w:rPr>
          <w:rFonts w:hint="eastAsia"/>
        </w:rPr>
        <w:br w:type="page"/>
      </w:r>
    </w:p>
    <w:p>
      <w:pPr>
        <w:pStyle w:val="30"/>
      </w:pPr>
      <w:r>
        <w:rPr>
          <w:rFonts w:hint="eastAsia"/>
        </w:rPr>
        <w:t>响应文件封面格式</w:t>
      </w:r>
      <w:bookmarkEnd w:id="181"/>
      <w:bookmarkEnd w:id="182"/>
      <w:bookmarkEnd w:id="183"/>
      <w:bookmarkEnd w:id="184"/>
      <w:bookmarkEnd w:id="185"/>
      <w:bookmarkEnd w:id="186"/>
      <w:bookmarkEnd w:id="187"/>
      <w:bookmarkEnd w:id="188"/>
      <w:bookmarkEnd w:id="189"/>
      <w:bookmarkEnd w:id="190"/>
      <w:bookmarkEnd w:id="191"/>
      <w:bookmarkEnd w:id="192"/>
    </w:p>
    <w:p>
      <w:pPr>
        <w:pStyle w:val="3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59264;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0"/>
      </w:pPr>
    </w:p>
    <w:p>
      <w:pPr>
        <w:pStyle w:val="30"/>
      </w:pPr>
    </w:p>
    <w:p>
      <w:pPr>
        <w:pStyle w:val="30"/>
      </w:pPr>
    </w:p>
    <w:p>
      <w:pPr>
        <w:pStyle w:val="30"/>
        <w:spacing w:line="360" w:lineRule="auto"/>
        <w:jc w:val="center"/>
        <w:rPr>
          <w:b/>
          <w:bCs/>
          <w:sz w:val="48"/>
          <w:szCs w:val="48"/>
        </w:rPr>
      </w:pPr>
    </w:p>
    <w:p>
      <w:pPr>
        <w:pStyle w:val="30"/>
        <w:spacing w:line="360" w:lineRule="auto"/>
        <w:jc w:val="center"/>
        <w:rPr>
          <w:b/>
          <w:bCs/>
          <w:sz w:val="48"/>
          <w:szCs w:val="48"/>
        </w:rPr>
      </w:pPr>
      <w:r>
        <w:rPr>
          <w:rFonts w:hint="eastAsia"/>
          <w:b/>
          <w:bCs/>
          <w:sz w:val="48"/>
          <w:szCs w:val="48"/>
        </w:rPr>
        <w:t>资格、资质性及其他类似效力响应文件</w:t>
      </w:r>
    </w:p>
    <w:p>
      <w:pPr>
        <w:pStyle w:val="30"/>
        <w:spacing w:line="360" w:lineRule="auto"/>
        <w:jc w:val="center"/>
        <w:rPr>
          <w:b/>
          <w:bCs/>
          <w:sz w:val="48"/>
          <w:szCs w:val="48"/>
        </w:rPr>
      </w:pPr>
      <w:r>
        <w:rPr>
          <w:rFonts w:hint="eastAsia"/>
          <w:b/>
          <w:bCs/>
          <w:sz w:val="48"/>
          <w:szCs w:val="48"/>
        </w:rPr>
        <w:t>/其他响应文件</w:t>
      </w:r>
    </w:p>
    <w:p>
      <w:pPr>
        <w:pStyle w:val="30"/>
      </w:pPr>
    </w:p>
    <w:p>
      <w:pPr>
        <w:pStyle w:val="30"/>
        <w:spacing w:line="480" w:lineRule="auto"/>
        <w:ind w:left="2400" w:leftChars="1000"/>
        <w:rPr>
          <w:b/>
          <w:bCs/>
          <w:sz w:val="32"/>
          <w:szCs w:val="32"/>
        </w:rPr>
      </w:pPr>
    </w:p>
    <w:p>
      <w:pPr>
        <w:pStyle w:val="30"/>
        <w:spacing w:line="480" w:lineRule="auto"/>
        <w:ind w:left="2400" w:leftChars="1000"/>
        <w:rPr>
          <w:b/>
          <w:bCs/>
          <w:sz w:val="32"/>
          <w:szCs w:val="32"/>
        </w:rPr>
      </w:pPr>
    </w:p>
    <w:p>
      <w:pPr>
        <w:pStyle w:val="30"/>
        <w:spacing w:line="480" w:lineRule="auto"/>
        <w:ind w:left="2400" w:leftChars="1000"/>
        <w:rPr>
          <w:b/>
          <w:bCs/>
          <w:sz w:val="32"/>
          <w:szCs w:val="32"/>
        </w:rPr>
      </w:pPr>
    </w:p>
    <w:p>
      <w:pPr>
        <w:pStyle w:val="30"/>
        <w:spacing w:line="480" w:lineRule="auto"/>
        <w:ind w:left="2400" w:leftChars="1000"/>
        <w:rPr>
          <w:b/>
          <w:bCs/>
          <w:sz w:val="32"/>
          <w:szCs w:val="32"/>
        </w:rPr>
      </w:pPr>
    </w:p>
    <w:p>
      <w:pPr>
        <w:pStyle w:val="30"/>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0"/>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0"/>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0"/>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9"/>
      </w:pPr>
      <w:bookmarkStart w:id="193" w:name="_Toc31011"/>
      <w:bookmarkStart w:id="194" w:name="_Toc11556"/>
      <w:bookmarkStart w:id="195" w:name="_Toc5306"/>
      <w:bookmarkStart w:id="196" w:name="_Toc5565"/>
      <w:r>
        <w:rPr>
          <w:rFonts w:hint="eastAsia"/>
        </w:rPr>
        <w:br w:type="page"/>
      </w:r>
    </w:p>
    <w:bookmarkEnd w:id="193"/>
    <w:bookmarkEnd w:id="194"/>
    <w:bookmarkEnd w:id="195"/>
    <w:bookmarkEnd w:id="196"/>
    <w:p>
      <w:pPr>
        <w:pStyle w:val="39"/>
      </w:pPr>
      <w:bookmarkStart w:id="197" w:name="_Toc15611"/>
    </w:p>
    <w:p>
      <w:pPr>
        <w:pStyle w:val="39"/>
      </w:pPr>
    </w:p>
    <w:p>
      <w:pPr>
        <w:pStyle w:val="39"/>
      </w:pPr>
    </w:p>
    <w:p>
      <w:pPr>
        <w:pStyle w:val="39"/>
      </w:pPr>
    </w:p>
    <w:p>
      <w:pPr>
        <w:pStyle w:val="39"/>
      </w:pPr>
    </w:p>
    <w:p>
      <w:pPr>
        <w:pStyle w:val="39"/>
      </w:pPr>
    </w:p>
    <w:p>
      <w:pPr>
        <w:pStyle w:val="39"/>
      </w:pPr>
    </w:p>
    <w:p>
      <w:pPr>
        <w:pStyle w:val="39"/>
      </w:pPr>
      <w:bookmarkStart w:id="198" w:name="_Toc24630"/>
    </w:p>
    <w:p>
      <w:pPr>
        <w:pStyle w:val="39"/>
      </w:pPr>
    </w:p>
    <w:p>
      <w:pPr>
        <w:pStyle w:val="39"/>
      </w:pPr>
    </w:p>
    <w:p>
      <w:pPr>
        <w:pStyle w:val="39"/>
      </w:pPr>
    </w:p>
    <w:p>
      <w:pPr>
        <w:pStyle w:val="39"/>
      </w:pPr>
    </w:p>
    <w:p>
      <w:pPr>
        <w:pStyle w:val="31"/>
        <w:numPr>
          <w:ilvl w:val="1"/>
          <w:numId w:val="0"/>
        </w:numPr>
        <w:spacing w:before="480" w:beforeLines="200"/>
        <w:jc w:val="center"/>
        <w:rPr>
          <w:sz w:val="32"/>
          <w:szCs w:val="32"/>
        </w:rPr>
      </w:pPr>
      <w:bookmarkStart w:id="199" w:name="_Toc21544"/>
      <w:r>
        <w:rPr>
          <w:rFonts w:hint="eastAsia"/>
          <w:sz w:val="32"/>
          <w:szCs w:val="32"/>
        </w:rPr>
        <w:t>第一部分 资格、资质性及其他类似效力响应文件(格式)</w:t>
      </w:r>
      <w:bookmarkEnd w:id="197"/>
      <w:bookmarkEnd w:id="198"/>
      <w:bookmarkEnd w:id="199"/>
      <w:bookmarkStart w:id="200" w:name="_Toc23537"/>
      <w:bookmarkStart w:id="201" w:name="_Toc16168"/>
    </w:p>
    <w:p>
      <w:pPr>
        <w:pStyle w:val="39"/>
      </w:pPr>
      <w:r>
        <w:rPr>
          <w:rFonts w:hint="eastAsia"/>
        </w:rPr>
        <w:br w:type="page"/>
      </w:r>
      <w:bookmarkEnd w:id="200"/>
      <w:bookmarkEnd w:id="201"/>
      <w:bookmarkStart w:id="202" w:name="_Toc4996"/>
      <w:bookmarkStart w:id="203" w:name="_Toc26837"/>
    </w:p>
    <w:p>
      <w:pPr>
        <w:pStyle w:val="40"/>
        <w:numPr>
          <w:ilvl w:val="0"/>
          <w:numId w:val="17"/>
        </w:numPr>
        <w:spacing w:before="120" w:after="120"/>
        <w:ind w:firstLine="0"/>
      </w:pPr>
      <w:bookmarkStart w:id="204" w:name="_Toc26479"/>
      <w:r>
        <w:rPr>
          <w:rFonts w:hint="eastAsia"/>
        </w:rPr>
        <w:t>法定代表人/单位负责人授权书</w:t>
      </w:r>
      <w:bookmarkEnd w:id="202"/>
      <w:bookmarkEnd w:id="203"/>
      <w:bookmarkEnd w:id="204"/>
    </w:p>
    <w:p>
      <w:pPr>
        <w:pStyle w:val="39"/>
      </w:pPr>
      <w:r>
        <w:rPr>
          <w:rFonts w:hint="eastAsia" w:asciiTheme="minorEastAsia" w:hAnsiTheme="minorEastAsia" w:eastAsiaTheme="minorEastAsia" w:cstheme="minorEastAsia"/>
          <w:u w:val="single"/>
        </w:rPr>
        <w:t xml:space="preserve">                     </w:t>
      </w:r>
      <w:r>
        <w:rPr>
          <w:rFonts w:hint="eastAsia"/>
        </w:rPr>
        <w:t>(采购代理机构名称)：</w:t>
      </w:r>
    </w:p>
    <w:p>
      <w:pPr>
        <w:pStyle w:val="42"/>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)”政府采购活动的合法代表，以我方名义全权处理参与该项目政府采购活动、合同签订以及合同履约中的一切事宜，我单位均予承认，所产生的法律后果均由我单位承担。</w:t>
      </w:r>
    </w:p>
    <w:p>
      <w:pPr>
        <w:pStyle w:val="42"/>
      </w:pPr>
      <w:r>
        <w:rPr>
          <w:rFonts w:hint="eastAsia"/>
        </w:rPr>
        <w:t>特此声明。</w:t>
      </w:r>
    </w:p>
    <w:p>
      <w:pPr>
        <w:pStyle w:val="39"/>
      </w:pPr>
    </w:p>
    <w:p>
      <w:pPr>
        <w:pStyle w:val="39"/>
      </w:pPr>
    </w:p>
    <w:p>
      <w:pPr>
        <w:pStyle w:val="39"/>
      </w:pPr>
    </w:p>
    <w:p>
      <w:pPr>
        <w:pStyle w:val="39"/>
      </w:pPr>
    </w:p>
    <w:p>
      <w:pPr>
        <w:pStyle w:val="39"/>
      </w:pPr>
    </w:p>
    <w:p>
      <w:pPr>
        <w:pStyle w:val="39"/>
      </w:pPr>
    </w:p>
    <w:p>
      <w:pPr>
        <w:pStyle w:val="39"/>
      </w:pPr>
    </w:p>
    <w:p>
      <w:pPr>
        <w:pStyle w:val="42"/>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2"/>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2"/>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2"/>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39"/>
      </w:pPr>
    </w:p>
    <w:p>
      <w:pPr>
        <w:pStyle w:val="43"/>
        <w:ind w:firstLine="482"/>
      </w:pPr>
      <w:r>
        <w:rPr>
          <w:rFonts w:hint="eastAsia"/>
        </w:rPr>
        <w:t>注：1.法定代表人/单位负责人不亲自参加磋商，而授权代表参加磋商的适用。</w:t>
      </w:r>
    </w:p>
    <w:p>
      <w:pPr>
        <w:pStyle w:val="43"/>
        <w:ind w:firstLine="482"/>
      </w:pPr>
      <w:r>
        <w:rPr>
          <w:rFonts w:hint="eastAsia"/>
        </w:rPr>
        <w:t>2.</w:t>
      </w:r>
      <w:r>
        <w:t>供应商为法人单位时提供“法定代表人授权书”，供应商为其他组织时提供“单位负责人授权书”，供应商为自然人时提供“自然人身份证明材料”。</w:t>
      </w:r>
    </w:p>
    <w:p>
      <w:pPr>
        <w:pStyle w:val="43"/>
        <w:ind w:firstLine="482"/>
      </w:pPr>
      <w:r>
        <w:rPr>
          <w:rFonts w:hint="eastAsia"/>
        </w:rPr>
        <w:t>3.</w:t>
      </w:r>
      <w:r>
        <w:t>应附法定代表人/单位负责人身份证明材料复印件和授权代表身份证明材料复印件。</w:t>
      </w:r>
    </w:p>
    <w:p>
      <w:pPr>
        <w:pStyle w:val="43"/>
        <w:ind w:firstLine="482"/>
      </w:pPr>
      <w:r>
        <w:rPr>
          <w:rFonts w:hint="eastAsia"/>
        </w:rPr>
        <w:t>4.</w:t>
      </w:r>
      <w:r>
        <w:t>身份证明材料包括居民身份证或户口本或军官证或护照等。</w:t>
      </w:r>
    </w:p>
    <w:p>
      <w:pPr>
        <w:pStyle w:val="43"/>
        <w:ind w:firstLine="482"/>
      </w:pPr>
      <w:r>
        <w:rPr>
          <w:rFonts w:hint="eastAsia"/>
        </w:rPr>
        <w:t>5.</w:t>
      </w:r>
      <w:r>
        <w:t>身份证明材料应同时提供其在有效期的材料，如居民身份证正、反面复印件</w:t>
      </w:r>
      <w:r>
        <w:rPr>
          <w:rFonts w:hint="eastAsia"/>
        </w:rPr>
        <w:t>。</w:t>
      </w:r>
    </w:p>
    <w:p>
      <w:pPr>
        <w:pStyle w:val="39"/>
      </w:pPr>
      <w:r>
        <w:rPr>
          <w:rFonts w:hint="eastAsia"/>
        </w:rPr>
        <w:br w:type="page"/>
      </w:r>
    </w:p>
    <w:p>
      <w:pPr>
        <w:pStyle w:val="40"/>
        <w:numPr>
          <w:ilvl w:val="0"/>
          <w:numId w:val="18"/>
        </w:numPr>
        <w:spacing w:before="120" w:after="120"/>
        <w:ind w:firstLine="0"/>
      </w:pPr>
      <w:bookmarkStart w:id="205" w:name="_Toc9688"/>
      <w:bookmarkStart w:id="206" w:name="_Toc22140"/>
      <w:bookmarkStart w:id="207" w:name="_Toc9243"/>
      <w:bookmarkStart w:id="208" w:name="_Toc22345"/>
      <w:bookmarkStart w:id="209" w:name="_Toc5501"/>
      <w:r>
        <w:rPr>
          <w:rFonts w:hint="eastAsia"/>
        </w:rPr>
        <w:t>法定代表人/单位负责人证明书</w:t>
      </w:r>
      <w:bookmarkEnd w:id="205"/>
      <w:bookmarkEnd w:id="206"/>
      <w:bookmarkEnd w:id="207"/>
      <w:bookmarkEnd w:id="208"/>
      <w:bookmarkEnd w:id="209"/>
    </w:p>
    <w:p>
      <w:pPr>
        <w:pStyle w:val="42"/>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2"/>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2"/>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2"/>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)”的政府采购活动、合同签订以及合同履约等一切事宜，我单位均予承认，所产生的法律后果均由我单位承担。</w:t>
      </w:r>
    </w:p>
    <w:p>
      <w:pPr>
        <w:pStyle w:val="42"/>
      </w:pPr>
      <w:r>
        <w:rPr>
          <w:rFonts w:hint="eastAsia"/>
        </w:rPr>
        <w:t>特此证明。</w:t>
      </w:r>
    </w:p>
    <w:p>
      <w:pPr>
        <w:pStyle w:val="39"/>
      </w:pPr>
    </w:p>
    <w:p>
      <w:pPr>
        <w:pStyle w:val="39"/>
      </w:pPr>
    </w:p>
    <w:p>
      <w:pPr>
        <w:pStyle w:val="39"/>
      </w:pPr>
    </w:p>
    <w:p>
      <w:pPr>
        <w:pStyle w:val="39"/>
      </w:pPr>
    </w:p>
    <w:p>
      <w:pPr>
        <w:pStyle w:val="39"/>
      </w:pPr>
    </w:p>
    <w:p>
      <w:pPr>
        <w:pStyle w:val="42"/>
      </w:pPr>
      <w:r>
        <w:rPr>
          <w:rFonts w:hint="eastAsia"/>
        </w:rPr>
        <w:t>供应商名称：</w:t>
      </w:r>
      <w:r>
        <w:rPr>
          <w:rFonts w:hint="eastAsia"/>
          <w:u w:val="single"/>
        </w:rPr>
        <w:t xml:space="preserve">             </w:t>
      </w:r>
      <w:r>
        <w:rPr>
          <w:rFonts w:hint="eastAsia"/>
        </w:rPr>
        <w:t xml:space="preserve">(盖章) </w:t>
      </w:r>
    </w:p>
    <w:p>
      <w:pPr>
        <w:pStyle w:val="42"/>
      </w:pPr>
      <w:r>
        <w:rPr>
          <w:rFonts w:hint="eastAsia"/>
        </w:rPr>
        <w:t>法定代表人/单位负责人：</w:t>
      </w:r>
      <w:r>
        <w:rPr>
          <w:rFonts w:hint="eastAsia"/>
          <w:u w:val="single"/>
        </w:rPr>
        <w:t xml:space="preserve">               </w:t>
      </w:r>
      <w:r>
        <w:rPr>
          <w:rFonts w:hint="eastAsia"/>
        </w:rPr>
        <w:t>(签字或盖章)</w:t>
      </w:r>
    </w:p>
    <w:p>
      <w:pPr>
        <w:pStyle w:val="42"/>
        <w:rPr>
          <w:u w:val="single"/>
        </w:rPr>
      </w:pPr>
      <w:r>
        <w:rPr>
          <w:rFonts w:hint="eastAsia"/>
        </w:rPr>
        <w:t>磋商日期：</w:t>
      </w:r>
      <w:r>
        <w:rPr>
          <w:rFonts w:hint="eastAsia"/>
          <w:u w:val="single"/>
        </w:rPr>
        <w:t xml:space="preserve">             </w:t>
      </w:r>
    </w:p>
    <w:p>
      <w:pPr>
        <w:pStyle w:val="42"/>
      </w:pPr>
    </w:p>
    <w:p>
      <w:pPr>
        <w:pStyle w:val="43"/>
        <w:ind w:firstLine="482"/>
      </w:pPr>
      <w:r>
        <w:rPr>
          <w:rFonts w:hint="eastAsia"/>
        </w:rPr>
        <w:t>注：1.法定代表人</w:t>
      </w:r>
      <w:r>
        <w:t>/单位负责人</w:t>
      </w:r>
      <w:r>
        <w:rPr>
          <w:rFonts w:hint="eastAsia"/>
        </w:rPr>
        <w:t>亲自参加磋商时适用本证明书。</w:t>
      </w:r>
    </w:p>
    <w:p>
      <w:pPr>
        <w:pStyle w:val="43"/>
        <w:ind w:firstLine="482"/>
      </w:pPr>
      <w:r>
        <w:rPr>
          <w:rFonts w:hint="eastAsia"/>
        </w:rPr>
        <w:t>2.</w:t>
      </w:r>
      <w:r>
        <w:t>应附法定代表人/单位负责人身份证明材料复印件。</w:t>
      </w:r>
    </w:p>
    <w:p>
      <w:pPr>
        <w:pStyle w:val="43"/>
        <w:ind w:firstLine="482"/>
      </w:pPr>
      <w:r>
        <w:rPr>
          <w:rFonts w:hint="eastAsia"/>
        </w:rPr>
        <w:t>3.</w:t>
      </w:r>
      <w:r>
        <w:t>身份证明材料包括居民身份证或户口本或军官证或护照等。</w:t>
      </w:r>
    </w:p>
    <w:p>
      <w:pPr>
        <w:pStyle w:val="43"/>
        <w:ind w:firstLine="482"/>
      </w:pPr>
      <w:r>
        <w:rPr>
          <w:rFonts w:hint="eastAsia"/>
        </w:rPr>
        <w:t>4.</w:t>
      </w:r>
      <w:r>
        <w:t>身份证明材料应同时提供其在有效期的材料，如居民身份证正、反面复印件</w:t>
      </w:r>
      <w:r>
        <w:rPr>
          <w:rFonts w:hint="eastAsia"/>
        </w:rPr>
        <w:t>。</w:t>
      </w:r>
    </w:p>
    <w:p>
      <w:pPr>
        <w:pStyle w:val="40"/>
        <w:numPr>
          <w:ilvl w:val="0"/>
          <w:numId w:val="18"/>
        </w:numPr>
        <w:spacing w:before="120" w:after="120"/>
        <w:ind w:firstLine="0"/>
      </w:pPr>
      <w:bookmarkStart w:id="210" w:name="_Toc28837"/>
      <w:bookmarkStart w:id="211" w:name="_Toc22152"/>
      <w:bookmarkStart w:id="212" w:name="_Toc3038"/>
      <w:bookmarkStart w:id="213" w:name="_Toc28397"/>
      <w:bookmarkStart w:id="214" w:name="_Toc3822"/>
      <w:r>
        <w:rPr>
          <w:rFonts w:hint="eastAsia"/>
        </w:rPr>
        <w:t>供应商具有独立承担民事责任的能力的证明材料</w:t>
      </w:r>
      <w:bookmarkEnd w:id="210"/>
      <w:bookmarkEnd w:id="211"/>
      <w:bookmarkEnd w:id="212"/>
    </w:p>
    <w:p>
      <w:pPr>
        <w:pStyle w:val="42"/>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3"/>
    </w:p>
    <w:p>
      <w:pPr>
        <w:pStyle w:val="43"/>
        <w:ind w:firstLine="482"/>
      </w:pPr>
      <w:r>
        <w:rPr>
          <w:rFonts w:hint="eastAsia"/>
        </w:rPr>
        <w:t>注：1.以上证明材料应满足此条要求①发证机关有年检要求的，应按规定通过年检；②在有效期内；③复印件加盖供应商公章；</w:t>
      </w:r>
    </w:p>
    <w:p>
      <w:pPr>
        <w:pStyle w:val="43"/>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14"/>
    </w:p>
    <w:p>
      <w:pPr>
        <w:pStyle w:val="39"/>
      </w:pPr>
    </w:p>
    <w:p>
      <w:pPr>
        <w:pStyle w:val="40"/>
        <w:numPr>
          <w:ilvl w:val="0"/>
          <w:numId w:val="18"/>
        </w:numPr>
        <w:spacing w:before="120" w:after="120"/>
        <w:ind w:firstLine="0"/>
      </w:pPr>
      <w:bookmarkStart w:id="215" w:name="_Toc28024"/>
      <w:bookmarkStart w:id="216" w:name="_Toc29937"/>
      <w:bookmarkStart w:id="217" w:name="_Toc7715"/>
      <w:bookmarkStart w:id="218" w:name="_Toc14566"/>
      <w:r>
        <w:rPr>
          <w:rFonts w:hint="eastAsia"/>
        </w:rPr>
        <w:t>供应商具有良好的商业信誉和健全的财务会计制度的证明材料</w:t>
      </w:r>
      <w:bookmarkEnd w:id="215"/>
      <w:bookmarkEnd w:id="216"/>
      <w:bookmarkEnd w:id="217"/>
    </w:p>
    <w:bookmarkEnd w:id="218"/>
    <w:p>
      <w:pPr>
        <w:pStyle w:val="42"/>
      </w:pPr>
      <w:r>
        <w:rPr>
          <w:rFonts w:hint="eastAsia"/>
        </w:rPr>
        <w:t>1.供应商具有良好商业信誉的证明材料；</w:t>
      </w:r>
    </w:p>
    <w:p>
      <w:pPr>
        <w:pStyle w:val="42"/>
      </w:pPr>
      <w:r>
        <w:rPr>
          <w:rFonts w:hint="eastAsia"/>
        </w:rPr>
        <w:t>提供具有良好的商业信誉的承诺函。</w:t>
      </w:r>
    </w:p>
    <w:p>
      <w:pPr>
        <w:pStyle w:val="42"/>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pPr>
      <w:r>
        <w:rPr>
          <w:rFonts w:hint="eastAsia"/>
        </w:rPr>
        <w:t>2.供应商具有健全的财务会计制度的证明材料；</w:t>
      </w:r>
    </w:p>
    <w:p>
      <w:pPr>
        <w:pStyle w:val="42"/>
      </w:pPr>
      <w:r>
        <w:rPr>
          <w:rFonts w:hint="eastAsia"/>
        </w:rPr>
        <w:t>(1)供应商提供2020年度经过会计师事务所审计的财务报告复印件(经审计的有效财务报告应包括报告及报告中所附的完整内容，并由注册会计师签名、盖章以及会计师事务所盖章)；</w:t>
      </w:r>
    </w:p>
    <w:p>
      <w:pPr>
        <w:pStyle w:val="42"/>
      </w:pPr>
      <w:r>
        <w:rPr>
          <w:rFonts w:hint="eastAsia"/>
        </w:rPr>
        <w:t>(2)供应商提供2020年度供应商内部的财务报表复印件(至少包含资产负债表)；</w:t>
      </w:r>
    </w:p>
    <w:p>
      <w:pPr>
        <w:pStyle w:val="42"/>
      </w:pPr>
      <w:r>
        <w:rPr>
          <w:rFonts w:hint="eastAsia"/>
        </w:rPr>
        <w:t>(3)供应商提供响应文件递交截止日前一年内银行为其出具的资信证明复印件；</w:t>
      </w:r>
    </w:p>
    <w:p>
      <w:pPr>
        <w:pStyle w:val="42"/>
      </w:pPr>
      <w:r>
        <w:rPr>
          <w:rFonts w:hint="eastAsia"/>
        </w:rPr>
        <w:t>(4)供应商注册时间截至响应文件递交截止日不足一年的，可提供公司章程复印件；</w:t>
      </w:r>
    </w:p>
    <w:p>
      <w:pPr>
        <w:pStyle w:val="42"/>
      </w:pPr>
      <w:r>
        <w:rPr>
          <w:rFonts w:hint="eastAsia"/>
        </w:rPr>
        <w:t>(5)供应商为事业单位、大型国有企业或其他组织(不具备法人条件的组织，如合伙组织、个体工商户、农村承包经营户等)或自然人时，可提供承诺函。</w:t>
      </w:r>
    </w:p>
    <w:p>
      <w:pPr>
        <w:pStyle w:val="43"/>
        <w:ind w:firstLine="482"/>
      </w:pPr>
      <w:r>
        <w:rPr>
          <w:rFonts w:hint="eastAsia"/>
          <w:bCs/>
        </w:rPr>
        <w:t>注：具有健全的财务会计制度的证明材料中第(1)-(5)项具有同等的效力，供应商可根据自身实际情况选择提供其中任意一项。</w:t>
      </w:r>
    </w:p>
    <w:p>
      <w:pPr>
        <w:pStyle w:val="43"/>
        <w:ind w:firstLine="482"/>
      </w:pPr>
    </w:p>
    <w:p>
      <w:pPr>
        <w:pStyle w:val="40"/>
        <w:numPr>
          <w:ilvl w:val="0"/>
          <w:numId w:val="18"/>
        </w:numPr>
        <w:spacing w:before="120" w:after="120"/>
        <w:ind w:firstLine="0"/>
      </w:pPr>
      <w:bookmarkStart w:id="219" w:name="_Toc19866"/>
      <w:bookmarkStart w:id="220" w:name="_Toc17744"/>
      <w:bookmarkStart w:id="221" w:name="_Toc25082"/>
      <w:bookmarkStart w:id="222" w:name="_Toc5443"/>
      <w:r>
        <w:rPr>
          <w:rFonts w:hint="eastAsia"/>
        </w:rPr>
        <w:t>供应商具有依法缴纳税收和社会保障资金的良好记录的证明材料</w:t>
      </w:r>
      <w:bookmarkEnd w:id="219"/>
      <w:bookmarkEnd w:id="220"/>
      <w:bookmarkEnd w:id="221"/>
    </w:p>
    <w:bookmarkEnd w:id="222"/>
    <w:p>
      <w:pPr>
        <w:pStyle w:val="42"/>
      </w:pPr>
      <w:r>
        <w:rPr>
          <w:rFonts w:hint="eastAsia"/>
        </w:rPr>
        <w:t>提供具有</w:t>
      </w:r>
      <w:r>
        <w:rPr>
          <w:rFonts w:hint="eastAsia"/>
          <w:lang w:val="zh-CN"/>
        </w:rPr>
        <w:t>依法缴纳税收和社会保障资金的良好记录</w:t>
      </w:r>
      <w:r>
        <w:rPr>
          <w:rFonts w:hint="eastAsia"/>
        </w:rPr>
        <w:t>的承诺函。</w:t>
      </w:r>
    </w:p>
    <w:p>
      <w:pPr>
        <w:pStyle w:val="43"/>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9"/>
      </w:pPr>
      <w:r>
        <w:rPr>
          <w:rFonts w:hint="eastAsia"/>
        </w:rPr>
        <w:br w:type="page"/>
      </w:r>
    </w:p>
    <w:p>
      <w:pPr>
        <w:pStyle w:val="40"/>
        <w:numPr>
          <w:ilvl w:val="0"/>
          <w:numId w:val="18"/>
        </w:numPr>
        <w:spacing w:before="120" w:after="120"/>
        <w:ind w:firstLine="0"/>
      </w:pPr>
      <w:bookmarkStart w:id="223" w:name="_Toc15870"/>
      <w:bookmarkStart w:id="224" w:name="_Toc16336"/>
      <w:bookmarkStart w:id="225" w:name="_Toc18033"/>
      <w:r>
        <w:rPr>
          <w:rFonts w:hint="eastAsia"/>
        </w:rPr>
        <w:t>供应商具有履行合同所必需的设备和专业技术能力证明材料</w:t>
      </w:r>
      <w:bookmarkEnd w:id="223"/>
      <w:bookmarkEnd w:id="224"/>
      <w:bookmarkEnd w:id="225"/>
    </w:p>
    <w:p>
      <w:pPr>
        <w:pStyle w:val="42"/>
      </w:pPr>
      <w:r>
        <w:rPr>
          <w:rFonts w:hint="eastAsia"/>
        </w:rPr>
        <w:t>提供具有履行合同所必需的设备和专业技术能力的承诺函。</w:t>
      </w:r>
    </w:p>
    <w:p>
      <w:pPr>
        <w:pStyle w:val="43"/>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9"/>
      </w:pPr>
      <w:r>
        <w:rPr>
          <w:rFonts w:hint="eastAsia"/>
        </w:rPr>
        <w:br w:type="page"/>
      </w:r>
    </w:p>
    <w:p>
      <w:pPr>
        <w:pStyle w:val="40"/>
        <w:numPr>
          <w:ilvl w:val="0"/>
          <w:numId w:val="18"/>
        </w:numPr>
        <w:spacing w:before="120" w:after="120"/>
        <w:ind w:firstLine="0"/>
      </w:pPr>
      <w:bookmarkStart w:id="226" w:name="_Toc26956"/>
      <w:bookmarkStart w:id="227" w:name="_Toc21379"/>
      <w:r>
        <w:rPr>
          <w:rFonts w:hint="eastAsia"/>
        </w:rPr>
        <w:t>供应商参加政府采购活动前三年内，在经营活动中没有重大违法记录的证明材料</w:t>
      </w:r>
      <w:bookmarkEnd w:id="226"/>
      <w:bookmarkEnd w:id="227"/>
    </w:p>
    <w:p>
      <w:pPr>
        <w:pStyle w:val="42"/>
      </w:pPr>
      <w:bookmarkStart w:id="228" w:name="_Toc9591"/>
      <w:bookmarkStart w:id="229" w:name="_Toc14299"/>
      <w:r>
        <w:rPr>
          <w:rFonts w:hint="eastAsia"/>
        </w:rPr>
        <w:t>提供参加本次政府采购活动前三年内，在经营活动中没有重大违法记录的书面声明(成立不足三年的，从成立之日起计算)。</w:t>
      </w:r>
    </w:p>
    <w:p>
      <w:pPr>
        <w:pStyle w:val="43"/>
        <w:ind w:firstLine="482"/>
      </w:pPr>
      <w:r>
        <w:rPr>
          <w:rFonts w:hint="eastAsia"/>
        </w:rPr>
        <w:t>注：格式自拟，或参照《符合&lt;中华人民共和国政府采购法&gt;第二十二条规定的条件的承诺及声明函》提供声明函。</w:t>
      </w:r>
    </w:p>
    <w:p>
      <w:pPr>
        <w:pStyle w:val="40"/>
        <w:numPr>
          <w:ilvl w:val="0"/>
          <w:numId w:val="18"/>
        </w:numPr>
        <w:spacing w:before="120" w:after="120"/>
        <w:ind w:firstLine="0"/>
        <w:rPr>
          <w:lang w:val="zh-CN"/>
        </w:rPr>
      </w:pPr>
      <w:bookmarkStart w:id="230" w:name="_Toc3840"/>
      <w:bookmarkStart w:id="231" w:name="_Toc17558"/>
      <w:bookmarkStart w:id="232" w:name="_Toc12137"/>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30"/>
      <w:bookmarkEnd w:id="231"/>
      <w:r>
        <w:rPr>
          <w:rFonts w:hint="eastAsia"/>
          <w:w w:val="95"/>
        </w:rPr>
        <w:t>承诺函</w:t>
      </w:r>
      <w:bookmarkEnd w:id="232"/>
    </w:p>
    <w:bookmarkEnd w:id="228"/>
    <w:bookmarkEnd w:id="229"/>
    <w:p>
      <w:pPr>
        <w:pStyle w:val="39"/>
        <w:rPr>
          <w:rFonts w:cs="宋体"/>
        </w:rPr>
      </w:pPr>
      <w:bookmarkStart w:id="233" w:name="_Toc8455"/>
      <w:r>
        <w:rPr>
          <w:rFonts w:hint="eastAsia" w:cs="宋体"/>
          <w:u w:val="single"/>
        </w:rPr>
        <w:t xml:space="preserve">                   </w:t>
      </w:r>
      <w:r>
        <w:rPr>
          <w:rFonts w:hint="eastAsia" w:cs="宋体"/>
        </w:rPr>
        <w:t>(采购代理机构名称)：</w:t>
      </w:r>
    </w:p>
    <w:p>
      <w:pPr>
        <w:pStyle w:val="39"/>
        <w:ind w:firstLine="480" w:firstLineChars="200"/>
        <w:rPr>
          <w:rFonts w:cs="宋体"/>
        </w:rPr>
      </w:pPr>
      <w:r>
        <w:rPr>
          <w:rFonts w:hint="eastAsia" w:cs="宋体"/>
        </w:rPr>
        <w:t>我单位作为本次采购项目的供应商，根据磋商文件要求，现郑重承诺如下：</w:t>
      </w:r>
    </w:p>
    <w:p>
      <w:pPr>
        <w:pStyle w:val="42"/>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     本单位对上述承诺的内容事项真实性、合法性负责。如经查实上述承诺的内容事项存在虚假，我单位自愿接受以提供虚假材料谋取成交所带来的所有法律责任。</w:t>
      </w:r>
    </w:p>
    <w:p>
      <w:pPr>
        <w:pStyle w:val="39"/>
        <w:rPr>
          <w:rFonts w:cs="宋体"/>
        </w:rPr>
      </w:pPr>
    </w:p>
    <w:p>
      <w:pPr>
        <w:pStyle w:val="39"/>
        <w:rPr>
          <w:rFonts w:cs="宋体"/>
        </w:rPr>
      </w:pPr>
    </w:p>
    <w:p>
      <w:pPr>
        <w:pStyle w:val="42"/>
        <w:rPr>
          <w:rFonts w:cs="宋体"/>
        </w:rPr>
      </w:pPr>
      <w:r>
        <w:rPr>
          <w:rFonts w:hint="eastAsia" w:cs="宋体"/>
        </w:rPr>
        <w:t>供应商名称：</w:t>
      </w:r>
      <w:r>
        <w:rPr>
          <w:rFonts w:hint="eastAsia" w:cs="宋体"/>
          <w:u w:val="single"/>
        </w:rPr>
        <w:t xml:space="preserve">             </w:t>
      </w:r>
      <w:r>
        <w:rPr>
          <w:rFonts w:hint="eastAsia" w:cs="宋体"/>
        </w:rPr>
        <w:t>(盖章)</w:t>
      </w:r>
    </w:p>
    <w:p>
      <w:pPr>
        <w:pStyle w:val="42"/>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2"/>
        <w:rPr>
          <w:rFonts w:cs="宋体"/>
        </w:rPr>
      </w:pPr>
      <w:r>
        <w:rPr>
          <w:rFonts w:hint="eastAsia" w:cs="宋体"/>
        </w:rPr>
        <w:t>磋商日期：</w:t>
      </w:r>
      <w:r>
        <w:rPr>
          <w:rFonts w:hint="eastAsia" w:cs="宋体"/>
          <w:u w:val="single"/>
        </w:rPr>
        <w:t xml:space="preserve">                </w:t>
      </w:r>
      <w:r>
        <w:rPr>
          <w:rFonts w:hint="eastAsia" w:cs="宋体"/>
        </w:rPr>
        <w:t xml:space="preserve">  </w:t>
      </w:r>
    </w:p>
    <w:p>
      <w:pPr>
        <w:pStyle w:val="59"/>
        <w:numPr>
          <w:ilvl w:val="3"/>
          <w:numId w:val="0"/>
        </w:numPr>
        <w:ind w:firstLine="482" w:firstLineChars="200"/>
        <w:jc w:val="both"/>
        <w:rPr>
          <w:b/>
          <w:bCs/>
        </w:rPr>
      </w:pPr>
    </w:p>
    <w:p>
      <w:pPr>
        <w:pStyle w:val="59"/>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39"/>
        <w:rPr>
          <w:lang w:val="zh-CN"/>
        </w:rPr>
      </w:pPr>
    </w:p>
    <w:p>
      <w:pPr>
        <w:pStyle w:val="39"/>
        <w:rPr>
          <w:highlight w:val="yellow"/>
        </w:rPr>
      </w:pPr>
      <w:r>
        <w:rPr>
          <w:rFonts w:hint="eastAsia"/>
        </w:rPr>
        <w:br w:type="page"/>
      </w:r>
      <w:bookmarkEnd w:id="233"/>
    </w:p>
    <w:p>
      <w:pPr>
        <w:pStyle w:val="40"/>
        <w:numPr>
          <w:ilvl w:val="0"/>
          <w:numId w:val="18"/>
        </w:numPr>
        <w:spacing w:before="120" w:after="120"/>
        <w:ind w:firstLine="0"/>
        <w:rPr>
          <w:w w:val="95"/>
        </w:rPr>
      </w:pPr>
      <w:bookmarkStart w:id="234" w:name="_Toc12987"/>
      <w:bookmarkStart w:id="235" w:name="_Toc15708"/>
      <w:bookmarkStart w:id="236" w:name="_Toc21855"/>
      <w:r>
        <w:rPr>
          <w:rFonts w:hint="eastAsia"/>
          <w:w w:val="95"/>
        </w:rPr>
        <w:t>符合《中华人民共和国政府采购法》第二十二条规定的条件的承诺及声明函</w:t>
      </w:r>
      <w:bookmarkEnd w:id="234"/>
      <w:bookmarkEnd w:id="235"/>
      <w:bookmarkEnd w:id="236"/>
    </w:p>
    <w:p>
      <w:pPr>
        <w:pStyle w:val="39"/>
      </w:pPr>
      <w:r>
        <w:rPr>
          <w:rFonts w:hint="eastAsia"/>
          <w:u w:val="single"/>
        </w:rPr>
        <w:t xml:space="preserve">                   </w:t>
      </w:r>
      <w:r>
        <w:rPr>
          <w:rFonts w:hint="eastAsia"/>
        </w:rPr>
        <w:t>(采购代理机构名称)：</w:t>
      </w:r>
    </w:p>
    <w:p>
      <w:pPr>
        <w:pStyle w:val="39"/>
        <w:ind w:firstLine="480" w:firstLineChars="200"/>
      </w:pPr>
      <w:r>
        <w:rPr>
          <w:rFonts w:hint="eastAsia"/>
        </w:rPr>
        <w:t>我公司作为本次采购项目的供应商，根据磋商文件要求，现郑重承诺及声明如下：</w:t>
      </w:r>
    </w:p>
    <w:p>
      <w:pPr>
        <w:pStyle w:val="32"/>
        <w:numPr>
          <w:ilvl w:val="2"/>
          <w:numId w:val="19"/>
        </w:numPr>
        <w:ind w:firstLine="480"/>
      </w:pPr>
      <w:r>
        <w:rPr>
          <w:rFonts w:hint="eastAsia"/>
        </w:rPr>
        <w:t xml:space="preserve">具有良好的商业信誉和健全的财务会计制度； </w:t>
      </w:r>
    </w:p>
    <w:p>
      <w:pPr>
        <w:pStyle w:val="32"/>
        <w:numPr>
          <w:ilvl w:val="2"/>
          <w:numId w:val="19"/>
        </w:numPr>
        <w:ind w:firstLine="480"/>
      </w:pPr>
      <w:r>
        <w:rPr>
          <w:rFonts w:hint="eastAsia"/>
        </w:rPr>
        <w:t xml:space="preserve">具有履行合同所必需的设备和专业技术能力； </w:t>
      </w:r>
    </w:p>
    <w:p>
      <w:pPr>
        <w:pStyle w:val="32"/>
        <w:numPr>
          <w:ilvl w:val="2"/>
          <w:numId w:val="19"/>
        </w:numPr>
        <w:ind w:firstLine="480"/>
      </w:pPr>
      <w:r>
        <w:rPr>
          <w:rFonts w:hint="eastAsia"/>
        </w:rPr>
        <w:t xml:space="preserve">具有依法缴纳税收和社会保障资金的良好记录； </w:t>
      </w:r>
    </w:p>
    <w:p>
      <w:pPr>
        <w:pStyle w:val="32"/>
        <w:numPr>
          <w:ilvl w:val="2"/>
          <w:numId w:val="19"/>
        </w:numPr>
        <w:ind w:firstLine="480"/>
      </w:pPr>
      <w:r>
        <w:rPr>
          <w:rFonts w:hint="eastAsia"/>
        </w:rPr>
        <w:t>参加本次政府采购活动前三年内，在经营活动中没有重大违法记录(供应商成立不足三年的，从成立之日起计算)；</w:t>
      </w:r>
    </w:p>
    <w:p>
      <w:pPr>
        <w:pStyle w:val="32"/>
        <w:numPr>
          <w:ilvl w:val="2"/>
          <w:numId w:val="19"/>
        </w:numPr>
        <w:ind w:firstLine="480"/>
      </w:pPr>
      <w:r>
        <w:rPr>
          <w:rFonts w:hint="eastAsia"/>
        </w:rPr>
        <w:t>符合法律、行政法规规定的其他条件；</w:t>
      </w:r>
    </w:p>
    <w:p>
      <w:pPr>
        <w:pStyle w:val="32"/>
        <w:numPr>
          <w:ilvl w:val="2"/>
          <w:numId w:val="1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未与其他供应商组成联合体参与本项目磋商；</w:t>
      </w:r>
    </w:p>
    <w:p>
      <w:pPr>
        <w:pStyle w:val="42"/>
      </w:pPr>
      <w:r>
        <w:rPr>
          <w:rFonts w:hint="eastAsia"/>
        </w:rPr>
        <w:t>本公司对上述承诺的内容事项真实性、合法性负责。如经查实上述承诺的内容事项存在虚假，我公司自愿接受以提供虚假材料谋取成交所带来的所有法律责任。</w:t>
      </w:r>
    </w:p>
    <w:p>
      <w:pPr>
        <w:pStyle w:val="39"/>
      </w:pPr>
    </w:p>
    <w:p>
      <w:pPr>
        <w:pStyle w:val="39"/>
      </w:pPr>
    </w:p>
    <w:p>
      <w:pPr>
        <w:pStyle w:val="42"/>
      </w:pPr>
      <w:r>
        <w:rPr>
          <w:rFonts w:hint="eastAsia"/>
        </w:rPr>
        <w:t>供应商名称：</w:t>
      </w:r>
      <w:r>
        <w:rPr>
          <w:rFonts w:hint="eastAsia"/>
          <w:u w:val="single"/>
        </w:rPr>
        <w:t xml:space="preserve">             </w:t>
      </w:r>
      <w:r>
        <w:rPr>
          <w:rFonts w:hint="eastAsia"/>
        </w:rPr>
        <w:t>(盖章)</w:t>
      </w:r>
    </w:p>
    <w:p>
      <w:pPr>
        <w:pStyle w:val="42"/>
      </w:pPr>
      <w:r>
        <w:rPr>
          <w:rFonts w:hint="eastAsia"/>
        </w:rPr>
        <w:t>法定代表人/单位负责人或授权代表：</w:t>
      </w:r>
      <w:r>
        <w:rPr>
          <w:rFonts w:hint="eastAsia"/>
          <w:u w:val="single"/>
        </w:rPr>
        <w:t xml:space="preserve">            </w:t>
      </w:r>
      <w:r>
        <w:rPr>
          <w:rFonts w:hint="eastAsia"/>
        </w:rPr>
        <w:t>(签字或盖章)</w:t>
      </w:r>
    </w:p>
    <w:p>
      <w:pPr>
        <w:pStyle w:val="42"/>
      </w:pPr>
      <w:r>
        <w:rPr>
          <w:rFonts w:hint="eastAsia"/>
        </w:rPr>
        <w:t>磋商日期：</w:t>
      </w:r>
      <w:r>
        <w:rPr>
          <w:rFonts w:hint="eastAsia"/>
          <w:u w:val="single"/>
        </w:rPr>
        <w:t xml:space="preserve">                </w:t>
      </w:r>
      <w:r>
        <w:rPr>
          <w:rFonts w:hint="eastAsia"/>
        </w:rPr>
        <w:t xml:space="preserve">  </w:t>
      </w:r>
    </w:p>
    <w:p>
      <w:pPr>
        <w:pStyle w:val="43"/>
        <w:ind w:firstLine="482"/>
      </w:pPr>
      <w:r>
        <w:rPr>
          <w:rFonts w:hint="eastAsia"/>
        </w:rPr>
        <w:t>注：本部分所要求的承诺函可参照本格式或自拟格式填写均有效。</w:t>
      </w:r>
    </w:p>
    <w:p>
      <w:r>
        <w:rPr>
          <w:rFonts w:hint="eastAsia"/>
        </w:rPr>
        <w:br w:type="page"/>
      </w:r>
      <w:bookmarkStart w:id="237" w:name="_Toc18702"/>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bookmarkStart w:id="238" w:name="_Toc14607"/>
    </w:p>
    <w:p>
      <w:pPr>
        <w:pStyle w:val="39"/>
      </w:pPr>
    </w:p>
    <w:p>
      <w:pPr>
        <w:pStyle w:val="39"/>
      </w:pPr>
    </w:p>
    <w:p>
      <w:pPr>
        <w:pStyle w:val="39"/>
      </w:pPr>
    </w:p>
    <w:p>
      <w:pPr>
        <w:pStyle w:val="31"/>
        <w:numPr>
          <w:ilvl w:val="1"/>
          <w:numId w:val="0"/>
        </w:numPr>
        <w:jc w:val="center"/>
        <w:rPr>
          <w:sz w:val="32"/>
          <w:szCs w:val="32"/>
        </w:rPr>
      </w:pPr>
      <w:bookmarkStart w:id="239" w:name="_Toc17077"/>
      <w:r>
        <w:rPr>
          <w:rFonts w:hint="eastAsia"/>
          <w:sz w:val="32"/>
          <w:szCs w:val="32"/>
        </w:rPr>
        <w:t>第二部分 其他响应文件(格式)</w:t>
      </w:r>
      <w:bookmarkEnd w:id="238"/>
      <w:bookmarkEnd w:id="239"/>
    </w:p>
    <w:p>
      <w:pPr>
        <w:pStyle w:val="39"/>
      </w:pPr>
      <w:bookmarkStart w:id="240" w:name="_Toc26038"/>
      <w:r>
        <w:rPr>
          <w:rFonts w:hint="eastAsia"/>
        </w:rPr>
        <w:br w:type="page"/>
      </w:r>
    </w:p>
    <w:p>
      <w:pPr>
        <w:pStyle w:val="40"/>
        <w:numPr>
          <w:ilvl w:val="0"/>
          <w:numId w:val="20"/>
        </w:numPr>
        <w:spacing w:before="120" w:after="120"/>
        <w:ind w:firstLine="0"/>
      </w:pPr>
      <w:bookmarkStart w:id="241" w:name="_Toc2311"/>
      <w:bookmarkStart w:id="242" w:name="_Toc13346"/>
      <w:r>
        <w:rPr>
          <w:rFonts w:hint="eastAsia"/>
        </w:rPr>
        <w:t>磋商函</w:t>
      </w:r>
      <w:bookmarkEnd w:id="237"/>
      <w:bookmarkEnd w:id="240"/>
      <w:bookmarkEnd w:id="241"/>
      <w:bookmarkEnd w:id="242"/>
    </w:p>
    <w:p>
      <w:pPr>
        <w:pStyle w:val="39"/>
        <w:rPr>
          <w:lang w:val="zh-CN"/>
        </w:rPr>
      </w:pPr>
      <w:r>
        <w:rPr>
          <w:rFonts w:hint="eastAsia"/>
          <w:lang w:val="zh-CN"/>
        </w:rPr>
        <w:t>致：四川乾新招投标代理有限公司　</w:t>
      </w:r>
    </w:p>
    <w:p>
      <w:pPr>
        <w:pStyle w:val="42"/>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)”的磋商文件，决定参加贵单位组织的本项目的政府采购活动。我方授权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32"/>
        <w:numPr>
          <w:ilvl w:val="2"/>
          <w:numId w:val="21"/>
        </w:numPr>
        <w:ind w:firstLine="480"/>
      </w:pPr>
      <w:r>
        <w:rPr>
          <w:rFonts w:hint="eastAsia"/>
        </w:rPr>
        <w:t>我方自愿按照磋商文件规定的各项要求向采购人提供所需服务，履约时间为</w:t>
      </w:r>
      <w:r>
        <w:rPr>
          <w:rFonts w:hint="eastAsia"/>
          <w:u w:val="single"/>
        </w:rPr>
        <w:t xml:space="preserve">         </w:t>
      </w:r>
      <w:r>
        <w:rPr>
          <w:rFonts w:hint="eastAsia"/>
        </w:rPr>
        <w:t>。</w:t>
      </w:r>
    </w:p>
    <w:p>
      <w:pPr>
        <w:pStyle w:val="32"/>
        <w:numPr>
          <w:ilvl w:val="2"/>
          <w:numId w:val="21"/>
        </w:numPr>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32"/>
        <w:numPr>
          <w:ilvl w:val="2"/>
          <w:numId w:val="21"/>
        </w:numPr>
        <w:ind w:firstLine="480"/>
      </w:pPr>
      <w:r>
        <w:rPr>
          <w:rFonts w:hint="eastAsia"/>
        </w:rPr>
        <w:t>如我方成交：</w:t>
      </w:r>
    </w:p>
    <w:p>
      <w:pPr>
        <w:pStyle w:val="33"/>
        <w:ind w:firstLine="480"/>
      </w:pPr>
      <w:r>
        <w:rPr>
          <w:rFonts w:hint="eastAsia"/>
        </w:rPr>
        <w:t>我方承诺在收到成交通知书后，在规定的期限内与采购人签订合同。</w:t>
      </w:r>
    </w:p>
    <w:p>
      <w:pPr>
        <w:pStyle w:val="33"/>
        <w:ind w:firstLine="480"/>
      </w:pPr>
      <w:r>
        <w:rPr>
          <w:rFonts w:hint="eastAsia"/>
        </w:rPr>
        <w:t>我方将严格履行政府采购合同规定的责任和义务。</w:t>
      </w:r>
    </w:p>
    <w:p>
      <w:pPr>
        <w:pStyle w:val="33"/>
        <w:ind w:firstLine="480"/>
      </w:pPr>
      <w:r>
        <w:rPr>
          <w:rFonts w:hint="eastAsia"/>
        </w:rPr>
        <w:t>我方愿意提供贵单位可能另外要求的，与磋商报价有关的文件资料，并保证我方已提供和将要提供的文件资料是真实、准确的。</w:t>
      </w:r>
    </w:p>
    <w:p>
      <w:pPr>
        <w:pStyle w:val="33"/>
        <w:ind w:firstLine="480"/>
      </w:pPr>
      <w:r>
        <w:rPr>
          <w:rFonts w:hint="eastAsia"/>
        </w:rPr>
        <w:t>我方自愿按照磋商文件规定的各项要求完成采购项目，最后报价以《最后报价表》为准，接受采购人按照政府采购合同约定金额支付采购资金。</w:t>
      </w:r>
    </w:p>
    <w:p>
      <w:pPr>
        <w:pStyle w:val="32"/>
        <w:numPr>
          <w:ilvl w:val="2"/>
          <w:numId w:val="21"/>
        </w:numPr>
        <w:ind w:firstLine="480"/>
      </w:pPr>
      <w:r>
        <w:rPr>
          <w:rFonts w:hint="eastAsia"/>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pStyle w:val="39"/>
        <w:ind w:firstLine="480" w:firstLineChars="200"/>
      </w:pPr>
    </w:p>
    <w:p>
      <w:pPr>
        <w:pStyle w:val="39"/>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39"/>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39"/>
        <w:ind w:firstLine="480" w:firstLineChars="200"/>
      </w:pPr>
      <w:r>
        <w:rPr>
          <w:rFonts w:hint="eastAsia"/>
        </w:rPr>
        <w:t>通讯地址：</w:t>
      </w:r>
      <w:r>
        <w:rPr>
          <w:rFonts w:hint="eastAsia" w:asciiTheme="minorEastAsia" w:hAnsiTheme="minorEastAsia" w:eastAsiaTheme="minorEastAsia" w:cstheme="minorEastAsia"/>
          <w:bCs/>
          <w:u w:val="single"/>
        </w:rPr>
        <w:t xml:space="preserve">               </w:t>
      </w:r>
      <w:r>
        <w:rPr>
          <w:rFonts w:hint="eastAsia"/>
        </w:rPr>
        <w:t xml:space="preserve">               </w:t>
      </w:r>
    </w:p>
    <w:p>
      <w:pPr>
        <w:pStyle w:val="39"/>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39"/>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39"/>
        <w:ind w:firstLine="480" w:firstLineChars="200"/>
      </w:pPr>
      <w:r>
        <w:rPr>
          <w:rFonts w:hint="eastAsia"/>
        </w:rPr>
        <w:t>传    真：</w:t>
      </w:r>
      <w:r>
        <w:rPr>
          <w:rFonts w:hint="eastAsia" w:asciiTheme="minorEastAsia" w:hAnsiTheme="minorEastAsia" w:eastAsiaTheme="minorEastAsia" w:cstheme="minorEastAsia"/>
          <w:bCs/>
          <w:u w:val="single"/>
        </w:rPr>
        <w:t xml:space="preserve">               </w:t>
      </w:r>
      <w:r>
        <w:rPr>
          <w:rFonts w:hint="eastAsia"/>
        </w:rPr>
        <w:t xml:space="preserve">               </w:t>
      </w:r>
    </w:p>
    <w:p>
      <w:pPr>
        <w:pStyle w:val="39"/>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243" w:name="_Toc439161752"/>
      <w:bookmarkStart w:id="244" w:name="_Toc6982"/>
      <w:bookmarkStart w:id="245" w:name="_Toc5912"/>
      <w:bookmarkStart w:id="246" w:name="_Toc302997926"/>
      <w:bookmarkStart w:id="247" w:name="_Toc10493"/>
      <w:bookmarkStart w:id="248" w:name="_Toc3690"/>
      <w:r>
        <w:rPr>
          <w:rFonts w:hint="eastAsia"/>
        </w:rPr>
        <w:br w:type="page"/>
      </w:r>
    </w:p>
    <w:p>
      <w:pPr>
        <w:pStyle w:val="40"/>
        <w:numPr>
          <w:ilvl w:val="0"/>
          <w:numId w:val="20"/>
        </w:numPr>
        <w:spacing w:before="120" w:after="120"/>
        <w:ind w:firstLine="0"/>
      </w:pPr>
      <w:bookmarkStart w:id="249" w:name="_Toc22640"/>
      <w:bookmarkStart w:id="250" w:name="_Toc28220"/>
      <w:r>
        <w:rPr>
          <w:rFonts w:hint="eastAsia"/>
        </w:rPr>
        <w:t>承诺函(实质性要求</w:t>
      </w:r>
      <w:bookmarkEnd w:id="249"/>
      <w:r>
        <w:rPr>
          <w:rFonts w:hint="eastAsia"/>
        </w:rPr>
        <w:t>)</w:t>
      </w:r>
      <w:bookmarkEnd w:id="250"/>
    </w:p>
    <w:p>
      <w:pPr>
        <w:pStyle w:val="39"/>
      </w:pPr>
      <w:r>
        <w:rPr>
          <w:rFonts w:hint="eastAsia"/>
          <w:u w:val="single"/>
        </w:rPr>
        <w:t xml:space="preserve">                   </w:t>
      </w:r>
      <w:r>
        <w:rPr>
          <w:rFonts w:hint="eastAsia"/>
        </w:rPr>
        <w:t>(采购代理机构名称)：</w:t>
      </w:r>
    </w:p>
    <w:p>
      <w:pPr>
        <w:pStyle w:val="42"/>
      </w:pPr>
      <w:r>
        <w:rPr>
          <w:rFonts w:hint="eastAsia"/>
        </w:rPr>
        <w:t>我方作为本次采购项目的供应商，根据磋商文件要求，现郑重承诺及声明如下：</w:t>
      </w:r>
    </w:p>
    <w:p>
      <w:pPr>
        <w:pStyle w:val="32"/>
        <w:numPr>
          <w:ilvl w:val="2"/>
          <w:numId w:val="22"/>
        </w:numPr>
        <w:ind w:firstLine="480"/>
      </w:pPr>
      <w:r>
        <w:rPr>
          <w:rFonts w:hint="eastAsia"/>
        </w:rPr>
        <w:t>我方已认真阅读并接受本项目磋商文件的全部实质性要求。</w:t>
      </w:r>
    </w:p>
    <w:p>
      <w:pPr>
        <w:pStyle w:val="32"/>
        <w:numPr>
          <w:ilvl w:val="2"/>
          <w:numId w:val="22"/>
        </w:numPr>
        <w:ind w:firstLine="480"/>
      </w:pPr>
      <w:r>
        <w:rPr>
          <w:rFonts w:hint="eastAsia"/>
        </w:rPr>
        <w:t>我方参加本次采购活动，不存在与单位负责人为同一人或者存在直接控股、管理关系的其他供应商参与同一合同项下的政府采购活动的行为。与我方存在直接控股关系的单位为：</w:t>
      </w:r>
      <w:r>
        <w:rPr>
          <w:rFonts w:hint="eastAsia"/>
          <w:u w:val="single"/>
        </w:rPr>
        <w:t xml:space="preserve">                  </w:t>
      </w:r>
      <w:r>
        <w:rPr>
          <w:rFonts w:hint="eastAsia"/>
        </w:rPr>
        <w:t>；存在管理关系的单位为：</w:t>
      </w:r>
      <w:r>
        <w:rPr>
          <w:rFonts w:hint="eastAsia"/>
          <w:u w:val="single"/>
        </w:rPr>
        <w:t xml:space="preserve">                      </w:t>
      </w:r>
      <w:r>
        <w:rPr>
          <w:rFonts w:hint="eastAsia"/>
        </w:rPr>
        <w:t>(如不存在直接控股、管理关系的相关供应商填“无”)。</w:t>
      </w:r>
    </w:p>
    <w:p>
      <w:pPr>
        <w:pStyle w:val="32"/>
        <w:numPr>
          <w:ilvl w:val="2"/>
          <w:numId w:val="22"/>
        </w:numPr>
        <w:ind w:firstLine="480"/>
      </w:pPr>
      <w:r>
        <w:rPr>
          <w:rFonts w:hint="eastAsia"/>
        </w:rPr>
        <w:t>我方参加本次采购活动前本单位未对本次采购项目提供过整体设计、规范编制或者项目管理、监理、检测等服务。</w:t>
      </w:r>
    </w:p>
    <w:p>
      <w:pPr>
        <w:pStyle w:val="32"/>
        <w:numPr>
          <w:ilvl w:val="2"/>
          <w:numId w:val="22"/>
        </w:numPr>
        <w:ind w:firstLine="480"/>
      </w:pPr>
      <w:r>
        <w:rPr>
          <w:rFonts w:hint="eastAsia"/>
        </w:rPr>
        <w:t>我方参加本次采购活动，不存在我单位实际控制人或者中高级管理人员是本项目采购代理机构的工作人员的情形。</w:t>
      </w:r>
    </w:p>
    <w:p>
      <w:pPr>
        <w:pStyle w:val="32"/>
        <w:numPr>
          <w:ilvl w:val="2"/>
          <w:numId w:val="22"/>
        </w:numPr>
        <w:ind w:firstLine="480"/>
      </w:pPr>
      <w:r>
        <w:rPr>
          <w:rFonts w:hint="eastAsia"/>
        </w:rPr>
        <w:t>我方参加本次采购活动，不存在同一母公司的两家以上的子公司以不同供应商身份同时参加本项目同一合同项下的采购活动的情形。</w:t>
      </w:r>
    </w:p>
    <w:p>
      <w:pPr>
        <w:pStyle w:val="32"/>
        <w:numPr>
          <w:ilvl w:val="2"/>
          <w:numId w:val="22"/>
        </w:numPr>
        <w:ind w:firstLine="480"/>
      </w:pPr>
      <w:r>
        <w:rPr>
          <w:rFonts w:hint="eastAsia"/>
        </w:rPr>
        <w:t>我方参加本次采购活动，与采购代理机构不存在关联关系，不为采购代理机构的母公司或子公司。</w:t>
      </w:r>
    </w:p>
    <w:p>
      <w:pPr>
        <w:pStyle w:val="32"/>
        <w:numPr>
          <w:ilvl w:val="2"/>
          <w:numId w:val="22"/>
        </w:numPr>
        <w:ind w:firstLine="480"/>
      </w:pPr>
      <w:r>
        <w:rPr>
          <w:rFonts w:hint="eastAsia"/>
        </w:rPr>
        <w:t>我方参加本次采购活动，不存在和其他供应商在同一合同项下的采购项目中，同时委托同一个自然人、同一家庭的人员、同一单位的人员作为代理人的行为。</w:t>
      </w:r>
    </w:p>
    <w:p>
      <w:pPr>
        <w:pStyle w:val="32"/>
        <w:numPr>
          <w:ilvl w:val="2"/>
          <w:numId w:val="22"/>
        </w:numPr>
        <w:ind w:firstLine="480"/>
      </w:pPr>
      <w:r>
        <w:rPr>
          <w:rFonts w:hint="eastAsia"/>
        </w:rPr>
        <w:t>我方响应文件中提供的任何资料和技术、服务、商务等响应承诺情况都是真实的、有效的、合法的。</w:t>
      </w:r>
    </w:p>
    <w:p>
      <w:pPr>
        <w:pStyle w:val="32"/>
        <w:numPr>
          <w:ilvl w:val="2"/>
          <w:numId w:val="22"/>
        </w:numPr>
        <w:ind w:firstLine="480"/>
      </w:pPr>
      <w:r>
        <w:rPr>
          <w:rFonts w:hint="eastAsia"/>
        </w:rPr>
        <w:t>我方参加本次采购活动，我方完全同意磋商文件中关于“磋商费用”、“合同分包”、“合同转包”等实质性要求，并承诺严格按照磋商文件要求履行。</w:t>
      </w:r>
    </w:p>
    <w:p>
      <w:pPr>
        <w:pStyle w:val="32"/>
        <w:numPr>
          <w:ilvl w:val="2"/>
          <w:numId w:val="22"/>
        </w:numPr>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32"/>
        <w:numPr>
          <w:ilvl w:val="2"/>
          <w:numId w:val="22"/>
        </w:numPr>
        <w:ind w:firstLine="480"/>
      </w:pPr>
      <w:r>
        <w:rPr>
          <w:rFonts w:hint="eastAsia"/>
        </w:rPr>
        <w:t>本项目如涉及3C认证产品的，我方参加磋商所提供的产品均满足相关要求，承诺在成交后签订采购合同时向采购人提供加盖供应商公章的3C证书复印件。</w:t>
      </w:r>
    </w:p>
    <w:p>
      <w:pPr>
        <w:pStyle w:val="42"/>
      </w:pPr>
      <w:r>
        <w:rPr>
          <w:rFonts w:hint="eastAsia"/>
        </w:rPr>
        <w:t>本公司对上述承诺的内容事项真实性、合法性负责。如经查实上述承诺的内容事项存在虚假，我公司自愿接受以提供虚假材料谋取成交所带来的所有法律责任。</w:t>
      </w:r>
    </w:p>
    <w:p>
      <w:pPr>
        <w:pStyle w:val="39"/>
      </w:pPr>
    </w:p>
    <w:p>
      <w:pPr>
        <w:pStyle w:val="42"/>
      </w:pPr>
      <w:r>
        <w:rPr>
          <w:rFonts w:hint="eastAsia"/>
        </w:rPr>
        <w:t>供应商名称：</w:t>
      </w:r>
      <w:r>
        <w:rPr>
          <w:rFonts w:hint="eastAsia"/>
          <w:u w:val="single"/>
        </w:rPr>
        <w:t xml:space="preserve">               </w:t>
      </w:r>
      <w:r>
        <w:rPr>
          <w:rFonts w:hint="eastAsia"/>
        </w:rPr>
        <w:t>(盖章)</w:t>
      </w:r>
    </w:p>
    <w:p>
      <w:pPr>
        <w:pStyle w:val="42"/>
      </w:pPr>
      <w:r>
        <w:rPr>
          <w:rFonts w:hint="eastAsia"/>
        </w:rPr>
        <w:t>法定代表人/单位负责人或授权代表：</w:t>
      </w:r>
      <w:r>
        <w:rPr>
          <w:rFonts w:hint="eastAsia"/>
          <w:u w:val="single"/>
        </w:rPr>
        <w:t xml:space="preserve">            </w:t>
      </w:r>
      <w:r>
        <w:rPr>
          <w:rFonts w:hint="eastAsia"/>
        </w:rPr>
        <w:t>(签字或盖章)</w:t>
      </w:r>
    </w:p>
    <w:p>
      <w:pPr>
        <w:pStyle w:val="42"/>
      </w:pPr>
      <w:r>
        <w:rPr>
          <w:rFonts w:hint="eastAsia"/>
        </w:rPr>
        <w:t>磋商日期：</w:t>
      </w:r>
      <w:r>
        <w:rPr>
          <w:rFonts w:hint="eastAsia"/>
          <w:u w:val="single"/>
        </w:rPr>
        <w:t xml:space="preserve">                  </w:t>
      </w:r>
    </w:p>
    <w:p>
      <w:r>
        <w:rPr>
          <w:rFonts w:hint="eastAsia"/>
        </w:rPr>
        <w:br w:type="page"/>
      </w:r>
    </w:p>
    <w:p>
      <w:pPr>
        <w:pStyle w:val="40"/>
        <w:numPr>
          <w:ilvl w:val="0"/>
          <w:numId w:val="20"/>
        </w:numPr>
        <w:spacing w:before="120" w:after="120"/>
        <w:ind w:firstLine="0"/>
      </w:pPr>
      <w:bookmarkStart w:id="251" w:name="_Toc32119"/>
      <w:r>
        <w:rPr>
          <w:rFonts w:hint="eastAsia"/>
        </w:rPr>
        <w:t>供应商基本情况表</w:t>
      </w:r>
      <w:bookmarkEnd w:id="243"/>
      <w:bookmarkEnd w:id="244"/>
      <w:bookmarkEnd w:id="245"/>
      <w:bookmarkEnd w:id="246"/>
      <w:bookmarkEnd w:id="247"/>
      <w:bookmarkEnd w:id="248"/>
      <w:bookmarkEnd w:id="251"/>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pPr>
            <w:r>
              <w:rPr>
                <w:rFonts w:hint="eastAsia"/>
              </w:rPr>
              <w:t>供应商名称</w:t>
            </w:r>
          </w:p>
        </w:tc>
        <w:tc>
          <w:tcPr>
            <w:tcW w:w="8186" w:type="dxa"/>
            <w:gridSpan w:val="7"/>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pPr>
            <w:r>
              <w:rPr>
                <w:rFonts w:hint="eastAsia"/>
              </w:rPr>
              <w:t>注册地址</w:t>
            </w:r>
          </w:p>
        </w:tc>
        <w:tc>
          <w:tcPr>
            <w:tcW w:w="4012" w:type="dxa"/>
            <w:gridSpan w:val="3"/>
            <w:vAlign w:val="center"/>
          </w:tcPr>
          <w:p>
            <w:pPr>
              <w:pStyle w:val="41"/>
              <w:spacing w:line="480" w:lineRule="exact"/>
            </w:pPr>
          </w:p>
        </w:tc>
        <w:tc>
          <w:tcPr>
            <w:tcW w:w="1548" w:type="dxa"/>
            <w:vAlign w:val="center"/>
          </w:tcPr>
          <w:p>
            <w:pPr>
              <w:pStyle w:val="41"/>
              <w:spacing w:line="480" w:lineRule="exact"/>
            </w:pPr>
            <w:r>
              <w:rPr>
                <w:rFonts w:hint="eastAsia"/>
              </w:rPr>
              <w:t>邮政编码</w:t>
            </w:r>
          </w:p>
        </w:tc>
        <w:tc>
          <w:tcPr>
            <w:tcW w:w="2626" w:type="dxa"/>
            <w:gridSpan w:val="3"/>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1"/>
              <w:spacing w:line="480" w:lineRule="exact"/>
            </w:pPr>
            <w:r>
              <w:rPr>
                <w:rFonts w:hint="eastAsia"/>
              </w:rPr>
              <w:t>联系方式</w:t>
            </w:r>
          </w:p>
        </w:tc>
        <w:tc>
          <w:tcPr>
            <w:tcW w:w="1125" w:type="dxa"/>
            <w:vAlign w:val="center"/>
          </w:tcPr>
          <w:p>
            <w:pPr>
              <w:pStyle w:val="41"/>
              <w:spacing w:line="480" w:lineRule="exact"/>
            </w:pPr>
            <w:r>
              <w:rPr>
                <w:rFonts w:hint="eastAsia"/>
              </w:rPr>
              <w:t>联系人</w:t>
            </w:r>
          </w:p>
        </w:tc>
        <w:tc>
          <w:tcPr>
            <w:tcW w:w="2887" w:type="dxa"/>
            <w:gridSpan w:val="2"/>
            <w:vAlign w:val="center"/>
          </w:tcPr>
          <w:p>
            <w:pPr>
              <w:pStyle w:val="41"/>
              <w:spacing w:line="480" w:lineRule="exact"/>
            </w:pPr>
          </w:p>
        </w:tc>
        <w:tc>
          <w:tcPr>
            <w:tcW w:w="1548" w:type="dxa"/>
            <w:vAlign w:val="center"/>
          </w:tcPr>
          <w:p>
            <w:pPr>
              <w:pStyle w:val="41"/>
              <w:spacing w:line="480" w:lineRule="exact"/>
            </w:pPr>
            <w:r>
              <w:rPr>
                <w:rFonts w:hint="eastAsia"/>
              </w:rPr>
              <w:t>电话</w:t>
            </w:r>
          </w:p>
        </w:tc>
        <w:tc>
          <w:tcPr>
            <w:tcW w:w="2626" w:type="dxa"/>
            <w:gridSpan w:val="3"/>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1"/>
              <w:spacing w:line="480" w:lineRule="exact"/>
            </w:pPr>
          </w:p>
        </w:tc>
        <w:tc>
          <w:tcPr>
            <w:tcW w:w="1125" w:type="dxa"/>
            <w:vAlign w:val="center"/>
          </w:tcPr>
          <w:p>
            <w:pPr>
              <w:pStyle w:val="41"/>
              <w:spacing w:line="480" w:lineRule="exact"/>
            </w:pPr>
            <w:r>
              <w:rPr>
                <w:rFonts w:hint="eastAsia"/>
              </w:rPr>
              <w:t>传真</w:t>
            </w:r>
          </w:p>
        </w:tc>
        <w:tc>
          <w:tcPr>
            <w:tcW w:w="2887" w:type="dxa"/>
            <w:gridSpan w:val="2"/>
            <w:vAlign w:val="center"/>
          </w:tcPr>
          <w:p>
            <w:pPr>
              <w:pStyle w:val="41"/>
              <w:spacing w:line="480" w:lineRule="exact"/>
            </w:pPr>
          </w:p>
        </w:tc>
        <w:tc>
          <w:tcPr>
            <w:tcW w:w="1548" w:type="dxa"/>
            <w:vAlign w:val="center"/>
          </w:tcPr>
          <w:p>
            <w:pPr>
              <w:pStyle w:val="41"/>
              <w:spacing w:line="480" w:lineRule="exact"/>
            </w:pPr>
            <w:r>
              <w:rPr>
                <w:rFonts w:hint="eastAsia"/>
              </w:rPr>
              <w:t>电子邮箱</w:t>
            </w:r>
          </w:p>
        </w:tc>
        <w:tc>
          <w:tcPr>
            <w:tcW w:w="2626" w:type="dxa"/>
            <w:gridSpan w:val="3"/>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1"/>
              <w:spacing w:line="480" w:lineRule="exact"/>
            </w:pPr>
            <w:r>
              <w:rPr>
                <w:rFonts w:hint="eastAsia"/>
              </w:rPr>
              <w:t>法定代表人</w:t>
            </w:r>
          </w:p>
        </w:tc>
        <w:tc>
          <w:tcPr>
            <w:tcW w:w="1125" w:type="dxa"/>
            <w:vAlign w:val="center"/>
          </w:tcPr>
          <w:p>
            <w:pPr>
              <w:pStyle w:val="41"/>
              <w:spacing w:line="480" w:lineRule="exact"/>
            </w:pPr>
            <w:r>
              <w:rPr>
                <w:rFonts w:hint="eastAsia"/>
              </w:rPr>
              <w:t>姓名</w:t>
            </w:r>
          </w:p>
        </w:tc>
        <w:tc>
          <w:tcPr>
            <w:tcW w:w="1432" w:type="dxa"/>
            <w:vAlign w:val="center"/>
          </w:tcPr>
          <w:p>
            <w:pPr>
              <w:pStyle w:val="41"/>
              <w:spacing w:line="480" w:lineRule="exact"/>
            </w:pPr>
          </w:p>
        </w:tc>
        <w:tc>
          <w:tcPr>
            <w:tcW w:w="1455" w:type="dxa"/>
            <w:vAlign w:val="center"/>
          </w:tcPr>
          <w:p>
            <w:pPr>
              <w:pStyle w:val="41"/>
              <w:spacing w:line="480" w:lineRule="exact"/>
            </w:pPr>
            <w:r>
              <w:rPr>
                <w:rFonts w:hint="eastAsia"/>
              </w:rPr>
              <w:t>技术职称</w:t>
            </w:r>
          </w:p>
        </w:tc>
        <w:tc>
          <w:tcPr>
            <w:tcW w:w="1548" w:type="dxa"/>
            <w:vAlign w:val="center"/>
          </w:tcPr>
          <w:p>
            <w:pPr>
              <w:pStyle w:val="41"/>
              <w:spacing w:line="480" w:lineRule="exact"/>
            </w:pPr>
          </w:p>
        </w:tc>
        <w:tc>
          <w:tcPr>
            <w:tcW w:w="1364" w:type="dxa"/>
            <w:gridSpan w:val="2"/>
            <w:vAlign w:val="center"/>
          </w:tcPr>
          <w:p>
            <w:pPr>
              <w:pStyle w:val="41"/>
              <w:spacing w:line="480" w:lineRule="exact"/>
            </w:pPr>
            <w:r>
              <w:rPr>
                <w:rFonts w:hint="eastAsia"/>
              </w:rPr>
              <w:t>电话</w:t>
            </w:r>
          </w:p>
        </w:tc>
        <w:tc>
          <w:tcPr>
            <w:tcW w:w="1262" w:type="dxa"/>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1"/>
              <w:spacing w:line="480" w:lineRule="exact"/>
            </w:pPr>
            <w:r>
              <w:rPr>
                <w:rFonts w:hint="eastAsia"/>
              </w:rPr>
              <w:t>技术负责人</w:t>
            </w:r>
          </w:p>
        </w:tc>
        <w:tc>
          <w:tcPr>
            <w:tcW w:w="1125" w:type="dxa"/>
            <w:vAlign w:val="center"/>
          </w:tcPr>
          <w:p>
            <w:pPr>
              <w:pStyle w:val="41"/>
              <w:spacing w:line="480" w:lineRule="exact"/>
            </w:pPr>
            <w:r>
              <w:rPr>
                <w:rFonts w:hint="eastAsia"/>
              </w:rPr>
              <w:t>姓名</w:t>
            </w:r>
          </w:p>
        </w:tc>
        <w:tc>
          <w:tcPr>
            <w:tcW w:w="1432" w:type="dxa"/>
            <w:vAlign w:val="center"/>
          </w:tcPr>
          <w:p>
            <w:pPr>
              <w:pStyle w:val="41"/>
              <w:spacing w:line="480" w:lineRule="exact"/>
            </w:pPr>
          </w:p>
        </w:tc>
        <w:tc>
          <w:tcPr>
            <w:tcW w:w="1455" w:type="dxa"/>
            <w:vAlign w:val="center"/>
          </w:tcPr>
          <w:p>
            <w:pPr>
              <w:pStyle w:val="41"/>
              <w:spacing w:line="480" w:lineRule="exact"/>
            </w:pPr>
            <w:r>
              <w:rPr>
                <w:rFonts w:hint="eastAsia"/>
              </w:rPr>
              <w:t>技术职称</w:t>
            </w:r>
          </w:p>
        </w:tc>
        <w:tc>
          <w:tcPr>
            <w:tcW w:w="1548" w:type="dxa"/>
            <w:vAlign w:val="center"/>
          </w:tcPr>
          <w:p>
            <w:pPr>
              <w:pStyle w:val="41"/>
              <w:spacing w:line="480" w:lineRule="exact"/>
            </w:pPr>
          </w:p>
        </w:tc>
        <w:tc>
          <w:tcPr>
            <w:tcW w:w="1364" w:type="dxa"/>
            <w:gridSpan w:val="2"/>
            <w:vAlign w:val="center"/>
          </w:tcPr>
          <w:p>
            <w:pPr>
              <w:pStyle w:val="41"/>
              <w:spacing w:line="480" w:lineRule="exact"/>
            </w:pPr>
            <w:r>
              <w:rPr>
                <w:rFonts w:hint="eastAsia"/>
              </w:rPr>
              <w:t>电话</w:t>
            </w:r>
          </w:p>
        </w:tc>
        <w:tc>
          <w:tcPr>
            <w:tcW w:w="1262" w:type="dxa"/>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pPr>
            <w:r>
              <w:rPr>
                <w:rFonts w:hint="eastAsia"/>
              </w:rPr>
              <w:t>成立时间</w:t>
            </w:r>
          </w:p>
        </w:tc>
        <w:tc>
          <w:tcPr>
            <w:tcW w:w="2557" w:type="dxa"/>
            <w:gridSpan w:val="2"/>
            <w:vAlign w:val="center"/>
          </w:tcPr>
          <w:p>
            <w:pPr>
              <w:pStyle w:val="41"/>
              <w:spacing w:line="480" w:lineRule="exact"/>
            </w:pPr>
          </w:p>
        </w:tc>
        <w:tc>
          <w:tcPr>
            <w:tcW w:w="5629" w:type="dxa"/>
            <w:gridSpan w:val="5"/>
            <w:vAlign w:val="center"/>
          </w:tcPr>
          <w:p>
            <w:pPr>
              <w:pStyle w:val="41"/>
              <w:spacing w:line="480" w:lineRule="exact"/>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pPr>
            <w:r>
              <w:rPr>
                <w:rFonts w:hint="eastAsia"/>
              </w:rPr>
              <w:t>企业资质等级</w:t>
            </w:r>
          </w:p>
        </w:tc>
        <w:tc>
          <w:tcPr>
            <w:tcW w:w="2557" w:type="dxa"/>
            <w:gridSpan w:val="2"/>
            <w:vAlign w:val="center"/>
          </w:tcPr>
          <w:p>
            <w:pPr>
              <w:pStyle w:val="41"/>
              <w:spacing w:line="480" w:lineRule="exact"/>
            </w:pPr>
          </w:p>
        </w:tc>
        <w:tc>
          <w:tcPr>
            <w:tcW w:w="1455" w:type="dxa"/>
            <w:vMerge w:val="restart"/>
            <w:vAlign w:val="center"/>
          </w:tcPr>
          <w:p>
            <w:pPr>
              <w:pStyle w:val="41"/>
              <w:spacing w:line="480" w:lineRule="exact"/>
            </w:pPr>
            <w:r>
              <w:rPr>
                <w:rFonts w:hint="eastAsia"/>
              </w:rPr>
              <w:t>其中</w:t>
            </w:r>
          </w:p>
        </w:tc>
        <w:tc>
          <w:tcPr>
            <w:tcW w:w="1734" w:type="dxa"/>
            <w:gridSpan w:val="2"/>
            <w:vAlign w:val="center"/>
          </w:tcPr>
          <w:p>
            <w:pPr>
              <w:pStyle w:val="41"/>
              <w:spacing w:line="480" w:lineRule="exact"/>
            </w:pPr>
            <w:r>
              <w:rPr>
                <w:rFonts w:hint="eastAsia"/>
              </w:rPr>
              <w:t>项目经理</w:t>
            </w:r>
          </w:p>
        </w:tc>
        <w:tc>
          <w:tcPr>
            <w:tcW w:w="2440" w:type="dxa"/>
            <w:gridSpan w:val="2"/>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pPr>
            <w:r>
              <w:rPr>
                <w:rFonts w:hint="eastAsia"/>
              </w:rPr>
              <w:t>营业执照号/统一社会信用代码</w:t>
            </w:r>
          </w:p>
        </w:tc>
        <w:tc>
          <w:tcPr>
            <w:tcW w:w="2557" w:type="dxa"/>
            <w:gridSpan w:val="2"/>
            <w:vAlign w:val="center"/>
          </w:tcPr>
          <w:p>
            <w:pPr>
              <w:pStyle w:val="41"/>
              <w:spacing w:line="480" w:lineRule="exact"/>
            </w:pPr>
          </w:p>
        </w:tc>
        <w:tc>
          <w:tcPr>
            <w:tcW w:w="1455" w:type="dxa"/>
            <w:vMerge w:val="continue"/>
            <w:vAlign w:val="center"/>
          </w:tcPr>
          <w:p>
            <w:pPr>
              <w:pStyle w:val="41"/>
              <w:spacing w:line="480" w:lineRule="exact"/>
            </w:pPr>
          </w:p>
        </w:tc>
        <w:tc>
          <w:tcPr>
            <w:tcW w:w="1734" w:type="dxa"/>
            <w:gridSpan w:val="2"/>
            <w:vAlign w:val="center"/>
          </w:tcPr>
          <w:p>
            <w:pPr>
              <w:pStyle w:val="41"/>
              <w:spacing w:line="480" w:lineRule="exact"/>
            </w:pPr>
            <w:r>
              <w:rPr>
                <w:rFonts w:hint="eastAsia"/>
              </w:rPr>
              <w:t>高级职称人员</w:t>
            </w:r>
          </w:p>
        </w:tc>
        <w:tc>
          <w:tcPr>
            <w:tcW w:w="2440" w:type="dxa"/>
            <w:gridSpan w:val="2"/>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pPr>
            <w:r>
              <w:rPr>
                <w:rFonts w:hint="eastAsia"/>
              </w:rPr>
              <w:t>注册资金</w:t>
            </w:r>
          </w:p>
        </w:tc>
        <w:tc>
          <w:tcPr>
            <w:tcW w:w="2557" w:type="dxa"/>
            <w:gridSpan w:val="2"/>
            <w:vAlign w:val="center"/>
          </w:tcPr>
          <w:p>
            <w:pPr>
              <w:pStyle w:val="41"/>
              <w:spacing w:line="480" w:lineRule="exact"/>
            </w:pPr>
          </w:p>
        </w:tc>
        <w:tc>
          <w:tcPr>
            <w:tcW w:w="1455" w:type="dxa"/>
            <w:vMerge w:val="continue"/>
            <w:vAlign w:val="center"/>
          </w:tcPr>
          <w:p>
            <w:pPr>
              <w:pStyle w:val="41"/>
              <w:spacing w:line="480" w:lineRule="exact"/>
            </w:pPr>
          </w:p>
        </w:tc>
        <w:tc>
          <w:tcPr>
            <w:tcW w:w="1734" w:type="dxa"/>
            <w:gridSpan w:val="2"/>
            <w:vAlign w:val="center"/>
          </w:tcPr>
          <w:p>
            <w:pPr>
              <w:pStyle w:val="41"/>
              <w:spacing w:line="480" w:lineRule="exact"/>
            </w:pPr>
            <w:r>
              <w:rPr>
                <w:rFonts w:hint="eastAsia"/>
              </w:rPr>
              <w:t>中级职称人员</w:t>
            </w:r>
          </w:p>
        </w:tc>
        <w:tc>
          <w:tcPr>
            <w:tcW w:w="2440" w:type="dxa"/>
            <w:gridSpan w:val="2"/>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pPr>
            <w:r>
              <w:rPr>
                <w:rFonts w:hint="eastAsia"/>
              </w:rPr>
              <w:t>开户银行</w:t>
            </w:r>
          </w:p>
        </w:tc>
        <w:tc>
          <w:tcPr>
            <w:tcW w:w="2557" w:type="dxa"/>
            <w:gridSpan w:val="2"/>
            <w:vAlign w:val="center"/>
          </w:tcPr>
          <w:p>
            <w:pPr>
              <w:pStyle w:val="41"/>
              <w:spacing w:line="480" w:lineRule="exact"/>
            </w:pPr>
          </w:p>
        </w:tc>
        <w:tc>
          <w:tcPr>
            <w:tcW w:w="1455" w:type="dxa"/>
            <w:vMerge w:val="continue"/>
            <w:vAlign w:val="center"/>
          </w:tcPr>
          <w:p>
            <w:pPr>
              <w:pStyle w:val="41"/>
              <w:spacing w:line="480" w:lineRule="exact"/>
            </w:pPr>
          </w:p>
        </w:tc>
        <w:tc>
          <w:tcPr>
            <w:tcW w:w="1734" w:type="dxa"/>
            <w:gridSpan w:val="2"/>
            <w:vAlign w:val="center"/>
          </w:tcPr>
          <w:p>
            <w:pPr>
              <w:pStyle w:val="41"/>
              <w:spacing w:line="480" w:lineRule="exact"/>
            </w:pPr>
            <w:r>
              <w:rPr>
                <w:rFonts w:hint="eastAsia"/>
              </w:rPr>
              <w:t>初级职称人员</w:t>
            </w:r>
          </w:p>
        </w:tc>
        <w:tc>
          <w:tcPr>
            <w:tcW w:w="2440" w:type="dxa"/>
            <w:gridSpan w:val="2"/>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pPr>
            <w:r>
              <w:rPr>
                <w:rFonts w:hint="eastAsia"/>
              </w:rPr>
              <w:t>账号</w:t>
            </w:r>
          </w:p>
        </w:tc>
        <w:tc>
          <w:tcPr>
            <w:tcW w:w="2557" w:type="dxa"/>
            <w:gridSpan w:val="2"/>
            <w:vAlign w:val="center"/>
          </w:tcPr>
          <w:p>
            <w:pPr>
              <w:pStyle w:val="41"/>
              <w:spacing w:line="480" w:lineRule="exact"/>
            </w:pPr>
          </w:p>
        </w:tc>
        <w:tc>
          <w:tcPr>
            <w:tcW w:w="1455" w:type="dxa"/>
            <w:vMerge w:val="continue"/>
            <w:vAlign w:val="center"/>
          </w:tcPr>
          <w:p>
            <w:pPr>
              <w:pStyle w:val="41"/>
              <w:spacing w:line="480" w:lineRule="exact"/>
            </w:pPr>
          </w:p>
        </w:tc>
        <w:tc>
          <w:tcPr>
            <w:tcW w:w="1734" w:type="dxa"/>
            <w:gridSpan w:val="2"/>
            <w:vAlign w:val="center"/>
          </w:tcPr>
          <w:p>
            <w:pPr>
              <w:pStyle w:val="41"/>
              <w:spacing w:line="480" w:lineRule="exact"/>
            </w:pPr>
            <w:r>
              <w:rPr>
                <w:rFonts w:hint="eastAsia"/>
              </w:rPr>
              <w:t>技工</w:t>
            </w:r>
          </w:p>
        </w:tc>
        <w:tc>
          <w:tcPr>
            <w:tcW w:w="2440" w:type="dxa"/>
            <w:gridSpan w:val="2"/>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1"/>
              <w:spacing w:line="480" w:lineRule="exact"/>
            </w:pPr>
            <w:r>
              <w:rPr>
                <w:rFonts w:hint="eastAsia"/>
              </w:rPr>
              <w:t>经营范围</w:t>
            </w:r>
          </w:p>
        </w:tc>
        <w:tc>
          <w:tcPr>
            <w:tcW w:w="8186" w:type="dxa"/>
            <w:gridSpan w:val="7"/>
            <w:vAlign w:val="center"/>
          </w:tcPr>
          <w:p>
            <w:pPr>
              <w:pStyle w:val="41"/>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1"/>
              <w:spacing w:line="480" w:lineRule="exact"/>
            </w:pPr>
            <w:r>
              <w:rPr>
                <w:rFonts w:hint="eastAsia"/>
              </w:rPr>
              <w:t>备注</w:t>
            </w:r>
          </w:p>
        </w:tc>
        <w:tc>
          <w:tcPr>
            <w:tcW w:w="8186" w:type="dxa"/>
            <w:gridSpan w:val="7"/>
          </w:tcPr>
          <w:p>
            <w:pPr>
              <w:pStyle w:val="41"/>
              <w:spacing w:line="480" w:lineRule="exact"/>
            </w:pPr>
          </w:p>
        </w:tc>
      </w:tr>
    </w:tbl>
    <w:p>
      <w:pPr>
        <w:pStyle w:val="43"/>
        <w:ind w:firstLine="482"/>
      </w:pPr>
      <w:r>
        <w:rPr>
          <w:rFonts w:hint="eastAsia"/>
        </w:rPr>
        <w:t>注：①</w:t>
      </w:r>
      <w:r>
        <w:rPr>
          <w:rFonts w:hint="eastAsia" w:asciiTheme="minorEastAsia" w:hAnsiTheme="minorEastAsia" w:eastAsiaTheme="minorEastAsia" w:cstheme="minorEastAsia"/>
          <w:bCs/>
          <w:color w:val="000000"/>
        </w:rPr>
        <w:t>事业单位、其他组织及自然人磋商根据实际情况据实填写此表，若未填报完善不影响磋商资质及效力；②空白项用“/”填写</w:t>
      </w:r>
      <w:r>
        <w:rPr>
          <w:rFonts w:hint="eastAsia"/>
        </w:rPr>
        <w:t>。</w:t>
      </w:r>
    </w:p>
    <w:p>
      <w:pPr>
        <w:pStyle w:val="39"/>
      </w:pPr>
    </w:p>
    <w:p>
      <w:pPr>
        <w:pStyle w:val="42"/>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2"/>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2"/>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39"/>
      </w:pPr>
    </w:p>
    <w:p>
      <w:pPr>
        <w:pStyle w:val="39"/>
      </w:pPr>
    </w:p>
    <w:p>
      <w:bookmarkStart w:id="252" w:name="_Toc307501130"/>
      <w:bookmarkStart w:id="253" w:name="_Toc25577"/>
      <w:bookmarkStart w:id="254" w:name="_Toc217446087"/>
      <w:bookmarkStart w:id="255" w:name="_Toc327196310"/>
      <w:bookmarkStart w:id="256" w:name="_Toc21006"/>
      <w:bookmarkStart w:id="257" w:name="_Toc7835"/>
      <w:bookmarkStart w:id="258" w:name="_Toc11461"/>
      <w:bookmarkStart w:id="259" w:name="_Toc307564875"/>
      <w:bookmarkStart w:id="260" w:name="_Toc319440166"/>
      <w:bookmarkStart w:id="261" w:name="_Toc26124"/>
      <w:bookmarkStart w:id="262" w:name="_Toc327196312"/>
      <w:bookmarkStart w:id="263" w:name="_Toc319440168"/>
      <w:bookmarkStart w:id="264" w:name="_Toc24507"/>
      <w:r>
        <w:rPr>
          <w:rFonts w:hint="eastAsia"/>
        </w:rPr>
        <w:br w:type="page"/>
      </w:r>
    </w:p>
    <w:p>
      <w:pPr>
        <w:pStyle w:val="40"/>
        <w:numPr>
          <w:ilvl w:val="0"/>
          <w:numId w:val="20"/>
        </w:numPr>
        <w:spacing w:before="120" w:after="120"/>
        <w:ind w:firstLine="0"/>
      </w:pPr>
      <w:bookmarkStart w:id="265" w:name="_Toc7452"/>
      <w:r>
        <w:rPr>
          <w:rFonts w:hint="eastAsia"/>
        </w:rPr>
        <w:t>商务应答表</w:t>
      </w:r>
      <w:bookmarkEnd w:id="252"/>
      <w:bookmarkEnd w:id="253"/>
      <w:bookmarkEnd w:id="254"/>
      <w:bookmarkEnd w:id="255"/>
      <w:bookmarkEnd w:id="256"/>
      <w:bookmarkEnd w:id="257"/>
      <w:bookmarkEnd w:id="258"/>
      <w:bookmarkEnd w:id="259"/>
      <w:bookmarkEnd w:id="260"/>
      <w:bookmarkEnd w:id="265"/>
    </w:p>
    <w:p>
      <w:pPr>
        <w:pStyle w:val="39"/>
        <w:rPr>
          <w:u w:val="single"/>
        </w:rPr>
      </w:pPr>
      <w:r>
        <w:rPr>
          <w:rFonts w:hint="eastAsia"/>
        </w:rPr>
        <w:t>项目名称：</w:t>
      </w:r>
      <w:r>
        <w:rPr>
          <w:rFonts w:hint="eastAsia"/>
          <w:u w:val="single"/>
        </w:rPr>
        <w:t xml:space="preserve">                             </w:t>
      </w:r>
      <w:r>
        <w:rPr>
          <w:rFonts w:hint="eastAsia"/>
        </w:rPr>
        <w:t xml:space="preserve"> </w:t>
      </w:r>
    </w:p>
    <w:p>
      <w:pPr>
        <w:pStyle w:val="39"/>
      </w:pPr>
      <w:r>
        <w:rPr>
          <w:rFonts w:hint="eastAsia"/>
        </w:rPr>
        <w:t>项目编号：</w:t>
      </w:r>
      <w:r>
        <w:rPr>
          <w:rFonts w:hint="eastAsia"/>
          <w:u w:val="single"/>
        </w:rPr>
        <w:t xml:space="preserve">                             </w:t>
      </w:r>
      <w:r>
        <w:rPr>
          <w:rFonts w:hint="eastAsia"/>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1"/>
              <w:rPr>
                <w:b/>
                <w:bCs/>
              </w:rPr>
            </w:pPr>
            <w:r>
              <w:rPr>
                <w:rFonts w:hint="eastAsia"/>
                <w:b/>
                <w:bCs/>
              </w:rPr>
              <w:t>序号</w:t>
            </w:r>
          </w:p>
        </w:tc>
        <w:tc>
          <w:tcPr>
            <w:tcW w:w="3880" w:type="dxa"/>
            <w:vAlign w:val="center"/>
          </w:tcPr>
          <w:p>
            <w:pPr>
              <w:ind w:firstLine="86" w:firstLineChars="41"/>
              <w:jc w:val="center"/>
              <w:rPr>
                <w:b/>
                <w:bCs/>
              </w:rPr>
            </w:pPr>
            <w:r>
              <w:rPr>
                <w:rFonts w:hint="eastAsia" w:asciiTheme="minorEastAsia" w:hAnsiTheme="minorEastAsia" w:eastAsiaTheme="minorEastAsia" w:cstheme="minorEastAsia"/>
                <w:b/>
                <w:bCs/>
                <w:color w:val="000000"/>
                <w:sz w:val="21"/>
                <w:szCs w:val="21"/>
              </w:rPr>
              <w:t>竞争性磋商文件商务条款</w:t>
            </w:r>
          </w:p>
        </w:tc>
        <w:tc>
          <w:tcPr>
            <w:tcW w:w="3673" w:type="dxa"/>
            <w:vAlign w:val="center"/>
          </w:tcPr>
          <w:p>
            <w:pPr>
              <w:jc w:val="center"/>
              <w:rPr>
                <w:rFonts w:eastAsiaTheme="minorEastAsia"/>
                <w:b/>
                <w:bCs/>
              </w:rPr>
            </w:pPr>
            <w:r>
              <w:rPr>
                <w:rFonts w:hint="eastAsia" w:asciiTheme="minorEastAsia" w:hAnsiTheme="minorEastAsia" w:eastAsiaTheme="minorEastAsia" w:cstheme="minorEastAsia"/>
                <w:b/>
                <w:bCs/>
                <w:color w:val="000000"/>
                <w:sz w:val="21"/>
                <w:szCs w:val="21"/>
              </w:rPr>
              <w:t>响应文件响应情况</w:t>
            </w:r>
          </w:p>
        </w:tc>
        <w:tc>
          <w:tcPr>
            <w:tcW w:w="1631" w:type="dxa"/>
            <w:vAlign w:val="center"/>
          </w:tcPr>
          <w:p>
            <w:pPr>
              <w:pStyle w:val="41"/>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rPr>
            </w:pPr>
          </w:p>
        </w:tc>
        <w:tc>
          <w:tcPr>
            <w:tcW w:w="3880" w:type="dxa"/>
          </w:tcPr>
          <w:p>
            <w:pPr>
              <w:pStyle w:val="41"/>
              <w:rPr>
                <w:b/>
                <w:bCs/>
              </w:rPr>
            </w:pPr>
          </w:p>
        </w:tc>
        <w:tc>
          <w:tcPr>
            <w:tcW w:w="3673" w:type="dxa"/>
          </w:tcPr>
          <w:p>
            <w:pPr>
              <w:pStyle w:val="41"/>
              <w:rPr>
                <w:b/>
                <w:bCs/>
              </w:rPr>
            </w:pPr>
          </w:p>
        </w:tc>
        <w:tc>
          <w:tcPr>
            <w:tcW w:w="1631" w:type="dxa"/>
          </w:tcPr>
          <w:p>
            <w:pPr>
              <w:pStyle w:val="4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rPr>
            </w:pPr>
          </w:p>
        </w:tc>
        <w:tc>
          <w:tcPr>
            <w:tcW w:w="3880" w:type="dxa"/>
          </w:tcPr>
          <w:p>
            <w:pPr>
              <w:pStyle w:val="41"/>
              <w:rPr>
                <w:b/>
                <w:bCs/>
              </w:rPr>
            </w:pPr>
          </w:p>
        </w:tc>
        <w:tc>
          <w:tcPr>
            <w:tcW w:w="3673" w:type="dxa"/>
          </w:tcPr>
          <w:p>
            <w:pPr>
              <w:pStyle w:val="41"/>
              <w:rPr>
                <w:b/>
                <w:bCs/>
              </w:rPr>
            </w:pPr>
          </w:p>
        </w:tc>
        <w:tc>
          <w:tcPr>
            <w:tcW w:w="1631" w:type="dxa"/>
          </w:tcPr>
          <w:p>
            <w:pPr>
              <w:pStyle w:val="4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rPr>
            </w:pPr>
          </w:p>
        </w:tc>
        <w:tc>
          <w:tcPr>
            <w:tcW w:w="3880" w:type="dxa"/>
          </w:tcPr>
          <w:p>
            <w:pPr>
              <w:pStyle w:val="41"/>
              <w:rPr>
                <w:b/>
                <w:bCs/>
              </w:rPr>
            </w:pPr>
          </w:p>
        </w:tc>
        <w:tc>
          <w:tcPr>
            <w:tcW w:w="3673" w:type="dxa"/>
          </w:tcPr>
          <w:p>
            <w:pPr>
              <w:pStyle w:val="41"/>
              <w:rPr>
                <w:b/>
                <w:bCs/>
              </w:rPr>
            </w:pPr>
          </w:p>
        </w:tc>
        <w:tc>
          <w:tcPr>
            <w:tcW w:w="1631" w:type="dxa"/>
          </w:tcPr>
          <w:p>
            <w:pPr>
              <w:pStyle w:val="4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rPr>
            </w:pPr>
          </w:p>
        </w:tc>
        <w:tc>
          <w:tcPr>
            <w:tcW w:w="3880" w:type="dxa"/>
          </w:tcPr>
          <w:p>
            <w:pPr>
              <w:pStyle w:val="41"/>
              <w:rPr>
                <w:b/>
                <w:bCs/>
              </w:rPr>
            </w:pPr>
          </w:p>
        </w:tc>
        <w:tc>
          <w:tcPr>
            <w:tcW w:w="3673" w:type="dxa"/>
          </w:tcPr>
          <w:p>
            <w:pPr>
              <w:pStyle w:val="41"/>
              <w:rPr>
                <w:b/>
                <w:bCs/>
              </w:rPr>
            </w:pPr>
          </w:p>
        </w:tc>
        <w:tc>
          <w:tcPr>
            <w:tcW w:w="1631" w:type="dxa"/>
          </w:tcPr>
          <w:p>
            <w:pPr>
              <w:pStyle w:val="41"/>
              <w:rPr>
                <w:b/>
                <w:bCs/>
              </w:rPr>
            </w:pPr>
          </w:p>
        </w:tc>
      </w:tr>
    </w:tbl>
    <w:p>
      <w:pPr>
        <w:pStyle w:val="43"/>
        <w:ind w:firstLine="482"/>
      </w:pPr>
      <w:r>
        <w:rPr>
          <w:rFonts w:hint="eastAsia"/>
        </w:rPr>
        <w:t>注：</w:t>
      </w:r>
      <w:r>
        <w:rPr>
          <w:rFonts w:hint="eastAsia"/>
          <w:color w:val="000000" w:themeColor="text1"/>
          <w14:textFill>
            <w14:solidFill>
              <w14:schemeClr w14:val="tx1"/>
            </w14:solidFill>
          </w14:textFill>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themeColor="text1"/>
          <w14:textFill>
            <w14:solidFill>
              <w14:schemeClr w14:val="tx1"/>
            </w14:solidFill>
          </w14:textFill>
        </w:rPr>
        <w:t>供应商必须据实填写，不得虚假应答，否则将取消其成交资格。</w:t>
      </w:r>
    </w:p>
    <w:p>
      <w:pPr>
        <w:pStyle w:val="39"/>
      </w:pPr>
    </w:p>
    <w:p>
      <w:pPr>
        <w:pStyle w:val="39"/>
      </w:pPr>
    </w:p>
    <w:p>
      <w:pPr>
        <w:pStyle w:val="42"/>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2"/>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2"/>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39"/>
      </w:pPr>
      <w:r>
        <w:rPr>
          <w:rFonts w:hint="eastAsia"/>
        </w:rPr>
        <w:br w:type="page"/>
      </w:r>
    </w:p>
    <w:p>
      <w:pPr>
        <w:pStyle w:val="40"/>
        <w:numPr>
          <w:ilvl w:val="0"/>
          <w:numId w:val="20"/>
        </w:numPr>
        <w:spacing w:before="120" w:after="120"/>
        <w:ind w:firstLine="0"/>
      </w:pPr>
      <w:bookmarkStart w:id="266" w:name="_Toc23376"/>
      <w:bookmarkStart w:id="267" w:name="_Toc3995"/>
      <w:bookmarkStart w:id="268" w:name="_Toc1116"/>
      <w:bookmarkStart w:id="269" w:name="_Toc25122"/>
      <w:r>
        <w:rPr>
          <w:rFonts w:hint="eastAsia"/>
        </w:rPr>
        <w:t>服务应答表</w:t>
      </w:r>
      <w:bookmarkEnd w:id="266"/>
      <w:bookmarkEnd w:id="267"/>
      <w:bookmarkEnd w:id="268"/>
      <w:bookmarkEnd w:id="269"/>
    </w:p>
    <w:p>
      <w:pPr>
        <w:pStyle w:val="39"/>
      </w:pPr>
      <w:r>
        <w:rPr>
          <w:rFonts w:hint="eastAsia"/>
        </w:rPr>
        <w:t>项目名称：</w:t>
      </w:r>
      <w:r>
        <w:rPr>
          <w:rFonts w:hint="eastAsia"/>
          <w:u w:val="single"/>
        </w:rPr>
        <w:t xml:space="preserve">                        </w:t>
      </w:r>
      <w:r>
        <w:rPr>
          <w:rFonts w:hint="eastAsia"/>
        </w:rPr>
        <w:t xml:space="preserve">      </w:t>
      </w:r>
    </w:p>
    <w:p>
      <w:pPr>
        <w:pStyle w:val="39"/>
        <w:rPr>
          <w:highlight w:val="yellow"/>
          <w:u w:val="single"/>
        </w:rPr>
      </w:pPr>
      <w:r>
        <w:rPr>
          <w:rFonts w:hint="eastAsia"/>
        </w:rPr>
        <w:t>项目编号：</w:t>
      </w:r>
      <w:r>
        <w:rPr>
          <w:rFonts w:hint="eastAsia"/>
          <w:u w:val="single"/>
        </w:rPr>
        <w:t xml:space="preserve">                        </w:t>
      </w:r>
      <w:r>
        <w:rPr>
          <w:rFonts w:hint="eastAsia"/>
        </w:rPr>
        <w:t xml:space="preserve">                                  </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1"/>
              <w:rPr>
                <w:b/>
                <w:bCs/>
              </w:rPr>
            </w:pPr>
            <w:r>
              <w:rPr>
                <w:rFonts w:hint="eastAsia"/>
                <w:b/>
                <w:bCs/>
              </w:rPr>
              <w:t>序号</w:t>
            </w:r>
          </w:p>
        </w:tc>
        <w:tc>
          <w:tcPr>
            <w:tcW w:w="4128" w:type="dxa"/>
            <w:vAlign w:val="center"/>
          </w:tcPr>
          <w:p>
            <w:pPr>
              <w:pStyle w:val="41"/>
              <w:rPr>
                <w:b/>
                <w:bCs/>
              </w:rPr>
            </w:pPr>
            <w:r>
              <w:rPr>
                <w:rFonts w:hint="eastAsia"/>
                <w:b/>
                <w:bCs/>
              </w:rPr>
              <w:t>竞争性磋商文件服务内容及要求</w:t>
            </w:r>
          </w:p>
        </w:tc>
        <w:tc>
          <w:tcPr>
            <w:tcW w:w="3690" w:type="dxa"/>
            <w:vAlign w:val="center"/>
          </w:tcPr>
          <w:p>
            <w:pPr>
              <w:pStyle w:val="41"/>
              <w:rPr>
                <w:b/>
                <w:bCs/>
              </w:rPr>
            </w:pPr>
            <w:r>
              <w:rPr>
                <w:rFonts w:hint="eastAsia"/>
                <w:b/>
                <w:bCs/>
              </w:rPr>
              <w:t>响应文件响应情况</w:t>
            </w:r>
          </w:p>
        </w:tc>
        <w:tc>
          <w:tcPr>
            <w:tcW w:w="1277" w:type="dxa"/>
            <w:vAlign w:val="center"/>
          </w:tcPr>
          <w:p>
            <w:pPr>
              <w:pStyle w:val="41"/>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rPr>
            </w:pPr>
          </w:p>
        </w:tc>
        <w:tc>
          <w:tcPr>
            <w:tcW w:w="4128" w:type="dxa"/>
          </w:tcPr>
          <w:p>
            <w:pPr>
              <w:pStyle w:val="41"/>
              <w:rPr>
                <w:b/>
                <w:bCs/>
              </w:rPr>
            </w:pPr>
          </w:p>
        </w:tc>
        <w:tc>
          <w:tcPr>
            <w:tcW w:w="3690" w:type="dxa"/>
          </w:tcPr>
          <w:p>
            <w:pPr>
              <w:pStyle w:val="41"/>
              <w:rPr>
                <w:b/>
                <w:bCs/>
              </w:rPr>
            </w:pPr>
          </w:p>
        </w:tc>
        <w:tc>
          <w:tcPr>
            <w:tcW w:w="1277" w:type="dxa"/>
          </w:tcPr>
          <w:p>
            <w:pPr>
              <w:pStyle w:val="4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rPr>
            </w:pPr>
          </w:p>
        </w:tc>
        <w:tc>
          <w:tcPr>
            <w:tcW w:w="4128" w:type="dxa"/>
          </w:tcPr>
          <w:p>
            <w:pPr>
              <w:pStyle w:val="41"/>
              <w:rPr>
                <w:b/>
                <w:bCs/>
              </w:rPr>
            </w:pPr>
          </w:p>
        </w:tc>
        <w:tc>
          <w:tcPr>
            <w:tcW w:w="3690" w:type="dxa"/>
          </w:tcPr>
          <w:p>
            <w:pPr>
              <w:pStyle w:val="41"/>
              <w:rPr>
                <w:b/>
                <w:bCs/>
              </w:rPr>
            </w:pPr>
          </w:p>
        </w:tc>
        <w:tc>
          <w:tcPr>
            <w:tcW w:w="1277" w:type="dxa"/>
          </w:tcPr>
          <w:p>
            <w:pPr>
              <w:pStyle w:val="4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rPr>
            </w:pPr>
          </w:p>
        </w:tc>
        <w:tc>
          <w:tcPr>
            <w:tcW w:w="4128" w:type="dxa"/>
          </w:tcPr>
          <w:p>
            <w:pPr>
              <w:pStyle w:val="41"/>
              <w:rPr>
                <w:b/>
                <w:bCs/>
              </w:rPr>
            </w:pPr>
          </w:p>
        </w:tc>
        <w:tc>
          <w:tcPr>
            <w:tcW w:w="3690" w:type="dxa"/>
          </w:tcPr>
          <w:p>
            <w:pPr>
              <w:pStyle w:val="41"/>
              <w:rPr>
                <w:b/>
                <w:bCs/>
              </w:rPr>
            </w:pPr>
          </w:p>
        </w:tc>
        <w:tc>
          <w:tcPr>
            <w:tcW w:w="1277" w:type="dxa"/>
          </w:tcPr>
          <w:p>
            <w:pPr>
              <w:pStyle w:val="4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rPr>
            </w:pPr>
          </w:p>
        </w:tc>
        <w:tc>
          <w:tcPr>
            <w:tcW w:w="4128" w:type="dxa"/>
          </w:tcPr>
          <w:p>
            <w:pPr>
              <w:pStyle w:val="41"/>
              <w:rPr>
                <w:b/>
                <w:bCs/>
              </w:rPr>
            </w:pPr>
          </w:p>
        </w:tc>
        <w:tc>
          <w:tcPr>
            <w:tcW w:w="3690" w:type="dxa"/>
          </w:tcPr>
          <w:p>
            <w:pPr>
              <w:pStyle w:val="41"/>
              <w:rPr>
                <w:b/>
                <w:bCs/>
              </w:rPr>
            </w:pPr>
          </w:p>
        </w:tc>
        <w:tc>
          <w:tcPr>
            <w:tcW w:w="1277" w:type="dxa"/>
          </w:tcPr>
          <w:p>
            <w:pPr>
              <w:pStyle w:val="41"/>
              <w:rPr>
                <w:b/>
                <w:bCs/>
              </w:rPr>
            </w:pPr>
          </w:p>
        </w:tc>
      </w:tr>
    </w:tbl>
    <w:p>
      <w:pPr>
        <w:pStyle w:val="43"/>
        <w:ind w:firstLine="482"/>
      </w:pPr>
      <w:r>
        <w:rPr>
          <w:rFonts w:hint="eastAsia"/>
        </w:rPr>
        <w:t>注：如与</w:t>
      </w:r>
      <w:r>
        <w:rPr>
          <w:rFonts w:hint="eastAsia" w:asciiTheme="minorEastAsia" w:hAnsiTheme="minorEastAsia" w:eastAsiaTheme="minorEastAsia" w:cstheme="minorEastAsia"/>
        </w:rPr>
        <w:t>竞争性磋商文件</w:t>
      </w:r>
      <w:r>
        <w:rPr>
          <w:rFonts w:hint="eastAsia"/>
        </w:rPr>
        <w:t>第五章</w:t>
      </w:r>
      <w:r>
        <w:rPr>
          <w:rFonts w:hint="eastAsia"/>
          <w:bCs/>
        </w:rPr>
        <w:t>服务内容及要求</w:t>
      </w:r>
      <w:r>
        <w:rPr>
          <w:rFonts w:hint="eastAsia"/>
        </w:rPr>
        <w:t>的内容有偏离(包括正偏离和负偏离)，请将偏离条款逐条应答。如与</w:t>
      </w:r>
      <w:r>
        <w:rPr>
          <w:rFonts w:hint="eastAsia" w:asciiTheme="minorEastAsia" w:hAnsiTheme="minorEastAsia" w:eastAsiaTheme="minorEastAsia" w:cstheme="minorEastAsia"/>
        </w:rPr>
        <w:t>竞争性磋商文件</w:t>
      </w:r>
      <w:r>
        <w:rPr>
          <w:rFonts w:hint="eastAsia"/>
        </w:rPr>
        <w:t>第五章</w:t>
      </w:r>
      <w:r>
        <w:rPr>
          <w:rFonts w:hint="eastAsia"/>
          <w:bCs/>
        </w:rPr>
        <w:t>服务内容及要求</w:t>
      </w:r>
      <w:r>
        <w:rPr>
          <w:rFonts w:hint="eastAsia"/>
        </w:rPr>
        <w:t>的所有条款无偏离，则无须在此表中应答，视为默认完全响应和接受</w:t>
      </w:r>
      <w:r>
        <w:rPr>
          <w:rFonts w:hint="eastAsia" w:asciiTheme="minorEastAsia" w:hAnsiTheme="minorEastAsia" w:eastAsiaTheme="minorEastAsia" w:cstheme="minorEastAsia"/>
        </w:rPr>
        <w:t>竞争性磋商文件</w:t>
      </w:r>
      <w:r>
        <w:rPr>
          <w:rFonts w:hint="eastAsia"/>
        </w:rPr>
        <w:t>第五章</w:t>
      </w:r>
      <w:r>
        <w:rPr>
          <w:rFonts w:hint="eastAsia"/>
          <w:bCs/>
        </w:rPr>
        <w:t>服务内容及要求</w:t>
      </w:r>
      <w:r>
        <w:rPr>
          <w:rFonts w:hint="eastAsia"/>
        </w:rPr>
        <w:t>所有的内容，供应商不得以未作应答而拒不接受。供应商必须据实填写，不得虚假应答，否则将取消其</w:t>
      </w:r>
      <w:r>
        <w:rPr>
          <w:rFonts w:hint="eastAsia" w:asciiTheme="minorEastAsia" w:hAnsiTheme="minorEastAsia" w:eastAsiaTheme="minorEastAsia" w:cstheme="minorEastAsia"/>
        </w:rPr>
        <w:t>成交</w:t>
      </w:r>
      <w:r>
        <w:rPr>
          <w:rFonts w:hint="eastAsia"/>
        </w:rPr>
        <w:t>资格。</w:t>
      </w:r>
    </w:p>
    <w:p>
      <w:pPr>
        <w:pStyle w:val="39"/>
      </w:pPr>
    </w:p>
    <w:p>
      <w:pPr>
        <w:pStyle w:val="39"/>
      </w:pPr>
    </w:p>
    <w:p>
      <w:pPr>
        <w:pStyle w:val="39"/>
      </w:pPr>
    </w:p>
    <w:p>
      <w:pPr>
        <w:pStyle w:val="42"/>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2"/>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2"/>
      </w:pPr>
      <w:r>
        <w:rPr>
          <w:rFonts w:hint="eastAsia"/>
        </w:rPr>
        <w:t>磋商日期：</w:t>
      </w:r>
      <w:r>
        <w:rPr>
          <w:rFonts w:hint="eastAsia" w:asciiTheme="minorEastAsia" w:hAnsiTheme="minorEastAsia" w:eastAsiaTheme="minorEastAsia" w:cstheme="minorEastAsia"/>
          <w:bCs/>
          <w:u w:val="single"/>
        </w:rPr>
        <w:t xml:space="preserve">                 </w:t>
      </w:r>
    </w:p>
    <w:p>
      <w:pPr>
        <w:pStyle w:val="39"/>
      </w:pPr>
      <w:r>
        <w:rPr>
          <w:rFonts w:hint="eastAsia"/>
        </w:rPr>
        <w:br w:type="page"/>
      </w:r>
    </w:p>
    <w:bookmarkEnd w:id="261"/>
    <w:bookmarkEnd w:id="262"/>
    <w:bookmarkEnd w:id="263"/>
    <w:p>
      <w:pPr>
        <w:pStyle w:val="40"/>
        <w:numPr>
          <w:ilvl w:val="0"/>
          <w:numId w:val="20"/>
        </w:numPr>
        <w:spacing w:before="120" w:after="120"/>
        <w:ind w:firstLine="0"/>
      </w:pPr>
      <w:bookmarkStart w:id="270" w:name="_Toc12674"/>
      <w:bookmarkStart w:id="271" w:name="_Toc26522"/>
      <w:bookmarkStart w:id="272" w:name="_Toc23430"/>
      <w:r>
        <w:rPr>
          <w:rFonts w:hint="eastAsia"/>
        </w:rPr>
        <w:t>供应商针对本项目人员配置情况表</w:t>
      </w:r>
      <w:bookmarkEnd w:id="270"/>
    </w:p>
    <w:p>
      <w:pPr>
        <w:pStyle w:val="39"/>
      </w:pPr>
      <w:r>
        <w:rPr>
          <w:rFonts w:hint="eastAsia"/>
        </w:rPr>
        <w:t>项目名称：</w:t>
      </w:r>
      <w:r>
        <w:rPr>
          <w:rFonts w:hint="eastAsia"/>
          <w:u w:val="single"/>
        </w:rPr>
        <w:t xml:space="preserve">                              </w:t>
      </w:r>
    </w:p>
    <w:p>
      <w:pPr>
        <w:pStyle w:val="39"/>
        <w:rPr>
          <w:highlight w:val="yellow"/>
          <w:u w:val="single"/>
        </w:rPr>
      </w:pPr>
      <w:r>
        <w:rPr>
          <w:rFonts w:hint="eastAsia"/>
        </w:rPr>
        <w:t>项目编号：</w:t>
      </w:r>
      <w:r>
        <w:rPr>
          <w:rFonts w:hint="eastAsia"/>
          <w:u w:val="single"/>
        </w:rPr>
        <w:t xml:space="preserve">                              </w:t>
      </w:r>
      <w:r>
        <w:rPr>
          <w:rFonts w:hint="eastAsia"/>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1"/>
              <w:rPr>
                <w:b/>
                <w:bCs/>
              </w:rPr>
            </w:pPr>
            <w:r>
              <w:rPr>
                <w:rFonts w:hint="eastAsia"/>
                <w:b/>
                <w:bCs/>
              </w:rPr>
              <w:t>类别</w:t>
            </w:r>
          </w:p>
        </w:tc>
        <w:tc>
          <w:tcPr>
            <w:tcW w:w="1018" w:type="dxa"/>
            <w:vMerge w:val="restart"/>
            <w:vAlign w:val="center"/>
          </w:tcPr>
          <w:p>
            <w:pPr>
              <w:pStyle w:val="41"/>
              <w:rPr>
                <w:b/>
                <w:bCs/>
              </w:rPr>
            </w:pPr>
            <w:r>
              <w:rPr>
                <w:rFonts w:hint="eastAsia"/>
                <w:b/>
                <w:bCs/>
              </w:rPr>
              <w:t>职务</w:t>
            </w:r>
          </w:p>
          <w:p>
            <w:pPr>
              <w:pStyle w:val="41"/>
              <w:rPr>
                <w:b/>
                <w:bCs/>
              </w:rPr>
            </w:pPr>
            <w:r>
              <w:rPr>
                <w:rFonts w:hint="eastAsia"/>
                <w:b/>
                <w:bCs/>
              </w:rPr>
              <w:t>(岗位)</w:t>
            </w:r>
          </w:p>
        </w:tc>
        <w:tc>
          <w:tcPr>
            <w:tcW w:w="921" w:type="dxa"/>
            <w:vMerge w:val="restart"/>
            <w:vAlign w:val="center"/>
          </w:tcPr>
          <w:p>
            <w:pPr>
              <w:pStyle w:val="41"/>
              <w:rPr>
                <w:b/>
                <w:bCs/>
              </w:rPr>
            </w:pPr>
            <w:r>
              <w:rPr>
                <w:rFonts w:hint="eastAsia"/>
                <w:b/>
                <w:bCs/>
              </w:rPr>
              <w:t>姓名</w:t>
            </w:r>
          </w:p>
        </w:tc>
        <w:tc>
          <w:tcPr>
            <w:tcW w:w="923" w:type="dxa"/>
            <w:vMerge w:val="restart"/>
            <w:vAlign w:val="center"/>
          </w:tcPr>
          <w:p>
            <w:pPr>
              <w:pStyle w:val="41"/>
              <w:rPr>
                <w:b/>
                <w:bCs/>
              </w:rPr>
            </w:pPr>
            <w:r>
              <w:rPr>
                <w:rFonts w:hint="eastAsia"/>
                <w:b/>
                <w:bCs/>
              </w:rPr>
              <w:t>职称</w:t>
            </w:r>
          </w:p>
        </w:tc>
        <w:tc>
          <w:tcPr>
            <w:tcW w:w="922" w:type="dxa"/>
            <w:vMerge w:val="restart"/>
            <w:vAlign w:val="center"/>
          </w:tcPr>
          <w:p>
            <w:pPr>
              <w:pStyle w:val="41"/>
              <w:rPr>
                <w:b/>
                <w:bCs/>
              </w:rPr>
            </w:pPr>
            <w:r>
              <w:rPr>
                <w:rFonts w:hint="eastAsia"/>
                <w:b/>
                <w:bCs/>
              </w:rPr>
              <w:t>常住地</w:t>
            </w:r>
          </w:p>
        </w:tc>
        <w:tc>
          <w:tcPr>
            <w:tcW w:w="4919" w:type="dxa"/>
            <w:gridSpan w:val="4"/>
            <w:vAlign w:val="center"/>
          </w:tcPr>
          <w:p>
            <w:pPr>
              <w:pStyle w:val="41"/>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1"/>
              <w:rPr>
                <w:b/>
                <w:bCs/>
              </w:rPr>
            </w:pPr>
          </w:p>
        </w:tc>
        <w:tc>
          <w:tcPr>
            <w:tcW w:w="1018" w:type="dxa"/>
            <w:vMerge w:val="continue"/>
            <w:vAlign w:val="center"/>
          </w:tcPr>
          <w:p>
            <w:pPr>
              <w:pStyle w:val="41"/>
              <w:rPr>
                <w:b/>
                <w:bCs/>
              </w:rPr>
            </w:pPr>
          </w:p>
        </w:tc>
        <w:tc>
          <w:tcPr>
            <w:tcW w:w="921" w:type="dxa"/>
            <w:vMerge w:val="continue"/>
            <w:vAlign w:val="center"/>
          </w:tcPr>
          <w:p>
            <w:pPr>
              <w:pStyle w:val="41"/>
              <w:rPr>
                <w:b/>
                <w:bCs/>
              </w:rPr>
            </w:pPr>
          </w:p>
        </w:tc>
        <w:tc>
          <w:tcPr>
            <w:tcW w:w="923" w:type="dxa"/>
            <w:vMerge w:val="continue"/>
            <w:vAlign w:val="center"/>
          </w:tcPr>
          <w:p>
            <w:pPr>
              <w:pStyle w:val="41"/>
              <w:rPr>
                <w:b/>
                <w:bCs/>
              </w:rPr>
            </w:pPr>
          </w:p>
        </w:tc>
        <w:tc>
          <w:tcPr>
            <w:tcW w:w="922" w:type="dxa"/>
            <w:vMerge w:val="continue"/>
            <w:vAlign w:val="center"/>
          </w:tcPr>
          <w:p>
            <w:pPr>
              <w:pStyle w:val="41"/>
              <w:rPr>
                <w:b/>
                <w:bCs/>
              </w:rPr>
            </w:pPr>
          </w:p>
        </w:tc>
        <w:tc>
          <w:tcPr>
            <w:tcW w:w="1436" w:type="dxa"/>
            <w:vAlign w:val="center"/>
          </w:tcPr>
          <w:p>
            <w:pPr>
              <w:pStyle w:val="41"/>
              <w:rPr>
                <w:b/>
                <w:bCs/>
              </w:rPr>
            </w:pPr>
            <w:r>
              <w:rPr>
                <w:rFonts w:hint="eastAsia"/>
                <w:b/>
                <w:bCs/>
              </w:rPr>
              <w:t>证书名称</w:t>
            </w:r>
          </w:p>
        </w:tc>
        <w:tc>
          <w:tcPr>
            <w:tcW w:w="1022" w:type="dxa"/>
            <w:vAlign w:val="center"/>
          </w:tcPr>
          <w:p>
            <w:pPr>
              <w:pStyle w:val="41"/>
              <w:rPr>
                <w:b/>
                <w:bCs/>
              </w:rPr>
            </w:pPr>
            <w:r>
              <w:rPr>
                <w:rFonts w:hint="eastAsia"/>
                <w:b/>
                <w:bCs/>
              </w:rPr>
              <w:t>级别</w:t>
            </w:r>
          </w:p>
        </w:tc>
        <w:tc>
          <w:tcPr>
            <w:tcW w:w="1232" w:type="dxa"/>
            <w:vAlign w:val="center"/>
          </w:tcPr>
          <w:p>
            <w:pPr>
              <w:pStyle w:val="41"/>
              <w:rPr>
                <w:b/>
                <w:bCs/>
              </w:rPr>
            </w:pPr>
            <w:r>
              <w:rPr>
                <w:rFonts w:hint="eastAsia"/>
                <w:b/>
                <w:bCs/>
              </w:rPr>
              <w:t>证号</w:t>
            </w:r>
          </w:p>
        </w:tc>
        <w:tc>
          <w:tcPr>
            <w:tcW w:w="1229" w:type="dxa"/>
            <w:vAlign w:val="center"/>
          </w:tcPr>
          <w:p>
            <w:pPr>
              <w:pStyle w:val="41"/>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rPr>
                <w:highlight w:val="yellow"/>
              </w:rPr>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1"/>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1"/>
            </w:pPr>
          </w:p>
        </w:tc>
        <w:tc>
          <w:tcPr>
            <w:tcW w:w="1018" w:type="dxa"/>
          </w:tcPr>
          <w:p>
            <w:pPr>
              <w:pStyle w:val="41"/>
            </w:pPr>
          </w:p>
        </w:tc>
        <w:tc>
          <w:tcPr>
            <w:tcW w:w="921" w:type="dxa"/>
          </w:tcPr>
          <w:p>
            <w:pPr>
              <w:pStyle w:val="41"/>
            </w:pPr>
          </w:p>
        </w:tc>
        <w:tc>
          <w:tcPr>
            <w:tcW w:w="923" w:type="dxa"/>
          </w:tcPr>
          <w:p>
            <w:pPr>
              <w:pStyle w:val="41"/>
            </w:pPr>
          </w:p>
        </w:tc>
        <w:tc>
          <w:tcPr>
            <w:tcW w:w="922" w:type="dxa"/>
          </w:tcPr>
          <w:p>
            <w:pPr>
              <w:pStyle w:val="41"/>
            </w:pPr>
          </w:p>
        </w:tc>
        <w:tc>
          <w:tcPr>
            <w:tcW w:w="1436" w:type="dxa"/>
          </w:tcPr>
          <w:p>
            <w:pPr>
              <w:pStyle w:val="41"/>
            </w:pPr>
          </w:p>
        </w:tc>
        <w:tc>
          <w:tcPr>
            <w:tcW w:w="1022" w:type="dxa"/>
          </w:tcPr>
          <w:p>
            <w:pPr>
              <w:pStyle w:val="41"/>
            </w:pPr>
          </w:p>
        </w:tc>
        <w:tc>
          <w:tcPr>
            <w:tcW w:w="1232" w:type="dxa"/>
          </w:tcPr>
          <w:p>
            <w:pPr>
              <w:pStyle w:val="41"/>
            </w:pPr>
          </w:p>
        </w:tc>
        <w:tc>
          <w:tcPr>
            <w:tcW w:w="1229" w:type="dxa"/>
          </w:tcPr>
          <w:p>
            <w:pPr>
              <w:pStyle w:val="41"/>
            </w:pPr>
          </w:p>
        </w:tc>
      </w:tr>
    </w:tbl>
    <w:p>
      <w:pPr>
        <w:pStyle w:val="43"/>
        <w:ind w:firstLine="482"/>
      </w:pPr>
      <w:r>
        <w:rPr>
          <w:rFonts w:hint="eastAsia"/>
        </w:rPr>
        <w:t>注：供应商根据自身实际情况填写，对不涉及的内容可填写“/”。</w:t>
      </w:r>
    </w:p>
    <w:p>
      <w:pPr>
        <w:pStyle w:val="39"/>
      </w:pPr>
    </w:p>
    <w:p>
      <w:pPr>
        <w:pStyle w:val="39"/>
      </w:pPr>
    </w:p>
    <w:p>
      <w:pPr>
        <w:pStyle w:val="42"/>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2"/>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2"/>
      </w:pPr>
      <w:r>
        <w:rPr>
          <w:rFonts w:hint="eastAsia"/>
        </w:rPr>
        <w:t>磋商日期：</w:t>
      </w:r>
      <w:r>
        <w:rPr>
          <w:rFonts w:hint="eastAsia" w:asciiTheme="minorEastAsia" w:hAnsiTheme="minorEastAsia" w:eastAsiaTheme="minorEastAsia" w:cstheme="minorEastAsia"/>
          <w:u w:val="single"/>
        </w:rPr>
        <w:t xml:space="preserve">            </w:t>
      </w:r>
    </w:p>
    <w:p>
      <w:pPr>
        <w:pStyle w:val="40"/>
        <w:numPr>
          <w:ilvl w:val="0"/>
          <w:numId w:val="20"/>
        </w:numPr>
        <w:spacing w:before="120" w:after="120"/>
        <w:ind w:firstLine="0"/>
        <w:rPr>
          <w:w w:val="95"/>
        </w:rPr>
      </w:pPr>
      <w:bookmarkStart w:id="273" w:name="_Toc18783"/>
      <w:bookmarkStart w:id="274" w:name="_Toc8466"/>
      <w:r>
        <w:rPr>
          <w:rFonts w:hint="eastAsia"/>
        </w:rPr>
        <w:t>中小企业</w:t>
      </w:r>
      <w:r>
        <w:rPr>
          <w:rFonts w:hint="eastAsia"/>
          <w:w w:val="95"/>
        </w:rPr>
        <w:t>声明函(服务)</w:t>
      </w:r>
      <w:bookmarkEnd w:id="273"/>
      <w:r>
        <w:rPr>
          <w:rFonts w:hint="eastAsia"/>
          <w:w w:val="95"/>
        </w:rPr>
        <w:t>（如</w:t>
      </w:r>
      <w:r>
        <w:rPr>
          <w:w w:val="95"/>
        </w:rPr>
        <w:t>涉及）</w:t>
      </w:r>
      <w:bookmarkEnd w:id="274"/>
    </w:p>
    <w:p>
      <w:pPr>
        <w:widowControl/>
        <w:spacing w:line="360" w:lineRule="auto"/>
        <w:ind w:firstLine="620" w:firstLineChars="200"/>
        <w:rPr>
          <w:rFonts w:ascii="仿宋" w:hAnsi="仿宋" w:eastAsia="仿宋" w:cs="仿宋"/>
          <w:kern w:val="0"/>
          <w:sz w:val="31"/>
          <w:szCs w:val="31"/>
          <w:lang w:bidi="ar"/>
        </w:rPr>
      </w:pPr>
      <w:r>
        <w:rPr>
          <w:rFonts w:hint="eastAsia" w:ascii="仿宋" w:hAnsi="仿宋" w:eastAsia="仿宋" w:cs="仿宋"/>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i/>
          <w:iCs/>
          <w:kern w:val="0"/>
          <w:sz w:val="32"/>
          <w:szCs w:val="32"/>
          <w:u w:val="single"/>
          <w:lang w:bidi="ar"/>
        </w:rPr>
        <w:t>(单位名称)</w:t>
      </w:r>
      <w:r>
        <w:rPr>
          <w:rFonts w:hint="eastAsia" w:ascii="仿宋" w:hAnsi="仿宋" w:eastAsia="仿宋" w:cs="仿宋"/>
          <w:kern w:val="0"/>
          <w:sz w:val="31"/>
          <w:szCs w:val="31"/>
          <w:lang w:bidi="ar"/>
        </w:rPr>
        <w:t>的</w:t>
      </w:r>
      <w:r>
        <w:rPr>
          <w:rFonts w:hint="eastAsia" w:ascii="仿宋" w:hAnsi="仿宋" w:eastAsia="仿宋" w:cs="仿宋"/>
          <w:i/>
          <w:iCs/>
          <w:kern w:val="0"/>
          <w:sz w:val="32"/>
          <w:szCs w:val="32"/>
          <w:u w:val="single"/>
          <w:lang w:bidi="ar"/>
        </w:rPr>
        <w:t>(项目名称)</w:t>
      </w:r>
      <w:r>
        <w:rPr>
          <w:rFonts w:hint="eastAsia" w:ascii="仿宋" w:hAnsi="仿宋" w:eastAsia="仿宋" w:cs="仿宋"/>
          <w:kern w:val="0"/>
          <w:sz w:val="31"/>
          <w:szCs w:val="31"/>
          <w:lang w:bidi="ar"/>
        </w:rPr>
        <w:t>采购活动，工程的施工单位全部为符合政策要求的中小企业(或者：服务全部由符合政策要求的中小企业承接)。相关企业(含联合 体中的中小企业、签订分包意向协议的中小企业)的具体情况如下：</w:t>
      </w:r>
    </w:p>
    <w:p>
      <w:pPr>
        <w:widowControl/>
        <w:spacing w:line="360" w:lineRule="auto"/>
        <w:ind w:firstLine="620" w:firstLineChars="200"/>
        <w:rPr>
          <w:rFonts w:ascii="仿宋" w:hAnsi="仿宋" w:eastAsia="仿宋" w:cs="仿宋"/>
          <w:kern w:val="0"/>
          <w:sz w:val="31"/>
          <w:szCs w:val="31"/>
          <w:lang w:bidi="ar"/>
        </w:rPr>
      </w:pPr>
      <w:r>
        <w:rPr>
          <w:rFonts w:hint="eastAsia" w:ascii="仿宋" w:hAnsi="仿宋" w:eastAsia="仿宋" w:cs="仿宋"/>
          <w:kern w:val="0"/>
          <w:sz w:val="31"/>
          <w:szCs w:val="31"/>
          <w:lang w:bidi="ar"/>
        </w:rPr>
        <w:t>1.</w:t>
      </w:r>
      <w:r>
        <w:rPr>
          <w:rFonts w:hint="eastAsia" w:ascii="仿宋" w:hAnsi="仿宋" w:eastAsia="仿宋" w:cs="仿宋"/>
          <w:i/>
          <w:iCs/>
          <w:kern w:val="0"/>
          <w:sz w:val="31"/>
          <w:szCs w:val="31"/>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(采购文件中明确的所属行业)</w:t>
      </w:r>
      <w:r>
        <w:rPr>
          <w:rFonts w:hint="eastAsia" w:ascii="仿宋" w:hAnsi="仿宋" w:eastAsia="仿宋" w:cs="仿宋"/>
          <w:kern w:val="0"/>
          <w:sz w:val="31"/>
          <w:szCs w:val="31"/>
          <w:lang w:bidi="ar"/>
        </w:rPr>
        <w:t>；承建(承接)企业为</w:t>
      </w:r>
      <w:r>
        <w:rPr>
          <w:rFonts w:hint="eastAsia" w:ascii="仿宋" w:hAnsi="仿宋" w:eastAsia="仿宋" w:cs="仿宋"/>
          <w:i/>
          <w:iCs/>
          <w:kern w:val="0"/>
          <w:sz w:val="31"/>
          <w:szCs w:val="31"/>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u w:val="single"/>
          <w:lang w:bidi="ar"/>
        </w:rPr>
        <w:tab/>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ab/>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ab/>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rPr>
          <w:rFonts w:ascii="仿宋" w:hAnsi="仿宋" w:eastAsia="仿宋" w:cs="仿宋"/>
          <w:kern w:val="0"/>
          <w:sz w:val="31"/>
          <w:szCs w:val="31"/>
          <w:lang w:bidi="ar"/>
        </w:rPr>
      </w:pPr>
      <w:r>
        <w:rPr>
          <w:rFonts w:hint="eastAsia" w:ascii="仿宋" w:hAnsi="仿宋" w:eastAsia="仿宋" w:cs="仿宋"/>
          <w:kern w:val="0"/>
          <w:sz w:val="31"/>
          <w:szCs w:val="31"/>
          <w:lang w:bidi="ar"/>
        </w:rPr>
        <w:t>2.</w:t>
      </w:r>
      <w:r>
        <w:rPr>
          <w:rFonts w:hint="eastAsia" w:ascii="仿宋" w:hAnsi="仿宋" w:eastAsia="仿宋" w:cs="仿宋"/>
          <w:i/>
          <w:iCs/>
          <w:kern w:val="0"/>
          <w:sz w:val="31"/>
          <w:szCs w:val="31"/>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(采购文件中明确的所属行业)</w:t>
      </w:r>
      <w:r>
        <w:rPr>
          <w:rFonts w:hint="eastAsia" w:ascii="仿宋" w:hAnsi="仿宋" w:eastAsia="仿宋" w:cs="仿宋"/>
          <w:kern w:val="0"/>
          <w:sz w:val="31"/>
          <w:szCs w:val="31"/>
          <w:lang w:bidi="ar"/>
        </w:rPr>
        <w:t>；承建(承接)企业为</w:t>
      </w:r>
      <w:r>
        <w:rPr>
          <w:rFonts w:hint="eastAsia" w:ascii="仿宋" w:hAnsi="仿宋" w:eastAsia="仿宋" w:cs="仿宋"/>
          <w:i/>
          <w:iCs/>
          <w:kern w:val="0"/>
          <w:sz w:val="31"/>
          <w:szCs w:val="31"/>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u w:val="single"/>
          <w:lang w:bidi="ar"/>
        </w:rPr>
        <w:tab/>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rPr>
          <w:rFonts w:ascii="仿宋" w:hAnsi="仿宋" w:eastAsia="仿宋" w:cs="仿宋"/>
          <w:kern w:val="0"/>
          <w:sz w:val="31"/>
          <w:szCs w:val="31"/>
          <w:lang w:bidi="ar"/>
        </w:rPr>
      </w:pPr>
      <w:r>
        <w:rPr>
          <w:rFonts w:hint="eastAsia" w:ascii="仿宋" w:hAnsi="仿宋" w:eastAsia="仿宋" w:cs="仿宋"/>
          <w:kern w:val="0"/>
          <w:sz w:val="31"/>
          <w:szCs w:val="31"/>
          <w:lang w:bidi="ar"/>
        </w:rPr>
        <w:t>……</w:t>
      </w:r>
    </w:p>
    <w:p>
      <w:pPr>
        <w:widowControl/>
        <w:spacing w:line="360" w:lineRule="auto"/>
        <w:ind w:firstLine="620" w:firstLineChars="200"/>
        <w:rPr>
          <w:rFonts w:ascii="仿宋" w:hAnsi="仿宋" w:eastAsia="仿宋" w:cs="仿宋"/>
          <w:kern w:val="0"/>
          <w:sz w:val="31"/>
          <w:szCs w:val="31"/>
          <w:lang w:bidi="ar"/>
        </w:rPr>
      </w:pPr>
      <w:r>
        <w:rPr>
          <w:rFonts w:hint="eastAsia" w:ascii="仿宋" w:hAnsi="仿宋" w:eastAsia="仿宋" w:cs="仿宋"/>
          <w:kern w:val="0"/>
          <w:sz w:val="31"/>
          <w:szCs w:val="31"/>
          <w:lang w:bidi="ar"/>
        </w:rPr>
        <w:t>以上企业，不属于大企业的分支机构，不存在控股股东为大企业的情形，也不存在与大企业的负责人为同一人的情形。</w:t>
      </w:r>
    </w:p>
    <w:p>
      <w:pPr>
        <w:widowControl/>
        <w:spacing w:line="360" w:lineRule="auto"/>
        <w:ind w:firstLine="620" w:firstLineChars="200"/>
        <w:rPr>
          <w:rFonts w:ascii="仿宋" w:hAnsi="仿宋" w:eastAsia="仿宋" w:cs="仿宋"/>
          <w:kern w:val="0"/>
          <w:sz w:val="31"/>
          <w:szCs w:val="31"/>
          <w:lang w:bidi="ar"/>
        </w:rPr>
      </w:pPr>
      <w:r>
        <w:rPr>
          <w:rFonts w:hint="eastAsia" w:ascii="仿宋" w:hAnsi="仿宋" w:eastAsia="仿宋" w:cs="仿宋"/>
          <w:kern w:val="0"/>
          <w:sz w:val="31"/>
          <w:szCs w:val="31"/>
          <w:lang w:bidi="ar"/>
        </w:rPr>
        <w:t xml:space="preserve">本企业对上述声明内容的真实性负责。如有虚假，将依法承担相应责任。           </w:t>
      </w:r>
    </w:p>
    <w:p>
      <w:pPr>
        <w:widowControl/>
        <w:spacing w:line="360" w:lineRule="auto"/>
        <w:ind w:firstLine="3720" w:firstLineChars="1200"/>
      </w:pPr>
      <w:r>
        <w:rPr>
          <w:rFonts w:hint="eastAsia" w:ascii="仿宋" w:hAnsi="仿宋" w:eastAsia="仿宋" w:cs="仿宋"/>
          <w:kern w:val="0"/>
          <w:sz w:val="31"/>
          <w:szCs w:val="31"/>
          <w:lang w:bidi="ar"/>
        </w:rPr>
        <w:t>企业名称(盖章)：</w:t>
      </w:r>
    </w:p>
    <w:p>
      <w:pPr>
        <w:widowControl/>
        <w:spacing w:line="360" w:lineRule="auto"/>
        <w:ind w:firstLine="3720" w:firstLineChars="1200"/>
        <w:rPr>
          <w:rFonts w:ascii="仿宋" w:hAnsi="仿宋" w:eastAsia="仿宋" w:cs="仿宋"/>
          <w:kern w:val="0"/>
          <w:sz w:val="31"/>
          <w:szCs w:val="31"/>
          <w:lang w:bidi="ar"/>
        </w:rPr>
      </w:pPr>
      <w:r>
        <w:rPr>
          <w:rFonts w:hint="eastAsia" w:ascii="仿宋" w:hAnsi="仿宋" w:eastAsia="仿宋" w:cs="仿宋"/>
          <w:kern w:val="0"/>
          <w:sz w:val="31"/>
          <w:szCs w:val="31"/>
          <w:lang w:bidi="ar"/>
        </w:rPr>
        <w:t>日期：         　</w:t>
      </w:r>
    </w:p>
    <w:p>
      <w:pPr>
        <w:wordWrap w:val="0"/>
        <w:topLinePunct/>
        <w:ind w:firstLine="400" w:firstLineChars="200"/>
        <w:rPr>
          <w:rFonts w:cs="宋体"/>
          <w:snapToGrid w:val="0"/>
          <w:kern w:val="0"/>
          <w:sz w:val="20"/>
          <w:szCs w:val="20"/>
          <w:u w:val="single"/>
        </w:rPr>
      </w:pPr>
    </w:p>
    <w:p>
      <w:pPr>
        <w:wordWrap w:val="0"/>
        <w:topLinePunct/>
        <w:ind w:firstLine="361" w:firstLineChars="200"/>
        <w:rPr>
          <w:rFonts w:cs="宋体"/>
          <w:b/>
          <w:bCs/>
          <w:snapToGrid w:val="0"/>
          <w:kern w:val="0"/>
          <w:sz w:val="18"/>
          <w:szCs w:val="18"/>
          <w:u w:val="single"/>
        </w:rPr>
      </w:pPr>
      <w:r>
        <w:rPr>
          <w:rFonts w:hint="eastAsia" w:cs="宋体"/>
          <w:b/>
          <w:bCs/>
          <w:snapToGrid w:val="0"/>
          <w:kern w:val="0"/>
          <w:sz w:val="18"/>
          <w:szCs w:val="18"/>
          <w:u w:val="single"/>
        </w:rPr>
        <w:t xml:space="preserve">                              </w:t>
      </w:r>
    </w:p>
    <w:p>
      <w:pPr>
        <w:pStyle w:val="43"/>
        <w:ind w:firstLine="221"/>
      </w:pPr>
      <w:r>
        <w:rPr>
          <w:rFonts w:ascii="Times New Roman" w:hAnsi="Times New Roman"/>
          <w:kern w:val="0"/>
          <w:sz w:val="11"/>
          <w:szCs w:val="11"/>
          <w:lang w:bidi="ar"/>
        </w:rPr>
        <w:t>1</w:t>
      </w:r>
      <w:r>
        <w:rPr>
          <w:rFonts w:hint="eastAsia" w:cs="宋体"/>
          <w:bCs/>
          <w:kern w:val="0"/>
          <w:sz w:val="18"/>
          <w:szCs w:val="18"/>
        </w:rPr>
        <w:t>从业人员、营业收入、资产总额填报上一年度数据，无上一年度数据的新成立企业可不填报</w:t>
      </w:r>
      <w:r>
        <w:rPr>
          <w:rFonts w:hint="eastAsia"/>
          <w:bCs/>
          <w:sz w:val="18"/>
          <w:szCs w:val="18"/>
        </w:rPr>
        <w:t>。</w:t>
      </w:r>
    </w:p>
    <w:p>
      <w:pPr>
        <w:pStyle w:val="39"/>
        <w:ind w:left="4800" w:leftChars="2000"/>
      </w:pPr>
      <w:r>
        <w:rPr>
          <w:rFonts w:hint="eastAsia"/>
        </w:rPr>
        <w:br w:type="page"/>
      </w:r>
    </w:p>
    <w:p>
      <w:pPr>
        <w:pStyle w:val="40"/>
        <w:numPr>
          <w:ilvl w:val="0"/>
          <w:numId w:val="20"/>
        </w:numPr>
        <w:spacing w:before="120" w:after="120"/>
        <w:ind w:firstLine="0"/>
      </w:pPr>
      <w:bookmarkStart w:id="275" w:name="_Toc20040"/>
      <w:r>
        <w:rPr>
          <w:rFonts w:hint="eastAsia"/>
        </w:rPr>
        <w:t>监狱企业相关证明材料(如涉及)</w:t>
      </w:r>
      <w:bookmarkEnd w:id="275"/>
    </w:p>
    <w:p>
      <w:pPr>
        <w:pStyle w:val="43"/>
        <w:ind w:firstLine="482"/>
      </w:pPr>
      <w:r>
        <w:rPr>
          <w:rFonts w:hint="eastAsia"/>
        </w:rPr>
        <w:t>说明：</w:t>
      </w:r>
    </w:p>
    <w:p>
      <w:pPr>
        <w:pStyle w:val="43"/>
        <w:ind w:firstLine="482"/>
      </w:pPr>
      <w:r>
        <w:rPr>
          <w:rFonts w:hint="eastAsia"/>
        </w:rPr>
        <w:t>①监狱企业参加政府采购活动时，应当提供由省级以上监狱管理局、戒毒管理局(含新疆生产建设兵团)出具的属于监狱企业的证明文件。</w:t>
      </w:r>
    </w:p>
    <w:p>
      <w:pPr>
        <w:pStyle w:val="43"/>
        <w:ind w:firstLine="482"/>
      </w:pPr>
      <w:r>
        <w:rPr>
          <w:rFonts w:hint="eastAsia"/>
          <w:color w:val="000000" w:themeColor="text1"/>
          <w14:textFill>
            <w14:solidFill>
              <w14:schemeClr w14:val="tx1"/>
            </w14:solidFill>
          </w14:textFill>
        </w:rPr>
        <w:t>②监狱企业参加本次采购活动未提供监狱企业相关证明材料的，则不能享受磋商文件规</w:t>
      </w:r>
      <w:r>
        <w:rPr>
          <w:rFonts w:hint="eastAsia"/>
        </w:rPr>
        <w:t>定的价格扣除，但不影响供应商响应文件的有效性。</w:t>
      </w:r>
    </w:p>
    <w:p>
      <w:pPr>
        <w:pStyle w:val="43"/>
        <w:ind w:firstLine="482"/>
      </w:pPr>
      <w:r>
        <w:rPr>
          <w:rFonts w:hint="eastAsia"/>
        </w:rPr>
        <w:t>③非监狱企业无需提供证明材料。</w:t>
      </w:r>
    </w:p>
    <w:p>
      <w:pPr>
        <w:pStyle w:val="39"/>
      </w:pPr>
      <w:r>
        <w:rPr>
          <w:rFonts w:hint="eastAsia"/>
        </w:rPr>
        <w:br w:type="page"/>
      </w:r>
    </w:p>
    <w:p>
      <w:pPr>
        <w:pStyle w:val="40"/>
        <w:numPr>
          <w:ilvl w:val="0"/>
          <w:numId w:val="20"/>
        </w:numPr>
        <w:spacing w:before="120" w:after="120"/>
        <w:ind w:firstLine="0"/>
      </w:pPr>
      <w:bookmarkStart w:id="276" w:name="_Toc28709"/>
      <w:r>
        <w:rPr>
          <w:rFonts w:hint="eastAsia"/>
        </w:rPr>
        <w:t>残疾人福利性单位声明函(如涉及)</w:t>
      </w:r>
      <w:bookmarkEnd w:id="276"/>
    </w:p>
    <w:p>
      <w:pPr>
        <w:pStyle w:val="42"/>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 xml:space="preserve">        </w:t>
      </w:r>
      <w:r>
        <w:rPr>
          <w:rFonts w:hint="eastAsia"/>
        </w:rPr>
        <w:t>单位的</w:t>
      </w:r>
      <w:r>
        <w:rPr>
          <w:rFonts w:hint="eastAsia" w:asciiTheme="minorEastAsia" w:hAnsiTheme="minorEastAsia" w:eastAsiaTheme="minorEastAsia" w:cstheme="minorEastAsia"/>
          <w:u w:val="single"/>
        </w:rPr>
        <w:t xml:space="preserve">        </w:t>
      </w:r>
      <w:r>
        <w:rPr>
          <w:rFonts w:hint="eastAsia"/>
        </w:rPr>
        <w:t>项目采购活动提供本单位提供的服务。</w:t>
      </w:r>
    </w:p>
    <w:p>
      <w:pPr>
        <w:pStyle w:val="42"/>
      </w:pPr>
      <w:r>
        <w:rPr>
          <w:rFonts w:hint="eastAsia"/>
        </w:rPr>
        <w:t>本单位对上述声明的真实性负责。如有虚假，将依法承担相应责任。</w:t>
      </w:r>
    </w:p>
    <w:p>
      <w:pPr>
        <w:pStyle w:val="39"/>
      </w:pPr>
    </w:p>
    <w:p>
      <w:pPr>
        <w:pStyle w:val="39"/>
      </w:pPr>
    </w:p>
    <w:p>
      <w:pPr>
        <w:pStyle w:val="39"/>
      </w:pPr>
    </w:p>
    <w:p>
      <w:pPr>
        <w:pStyle w:val="39"/>
        <w:ind w:left="4800" w:leftChars="2000"/>
      </w:pPr>
      <w:r>
        <w:rPr>
          <w:rFonts w:hint="eastAsia"/>
        </w:rPr>
        <w:t>单位名称：</w:t>
      </w:r>
      <w:r>
        <w:rPr>
          <w:rFonts w:hint="eastAsia"/>
          <w:u w:val="single"/>
        </w:rPr>
        <w:t xml:space="preserve">             </w:t>
      </w:r>
      <w:r>
        <w:rPr>
          <w:rFonts w:hint="eastAsia"/>
        </w:rPr>
        <w:t xml:space="preserve"> (盖章)</w:t>
      </w:r>
    </w:p>
    <w:p>
      <w:pPr>
        <w:pStyle w:val="39"/>
        <w:ind w:left="4800" w:leftChars="2000"/>
        <w:rPr>
          <w:u w:val="single"/>
        </w:rPr>
      </w:pPr>
      <w:r>
        <w:rPr>
          <w:rFonts w:hint="eastAsia"/>
        </w:rPr>
        <w:t>日    期：</w:t>
      </w:r>
      <w:r>
        <w:rPr>
          <w:rFonts w:hint="eastAsia"/>
          <w:u w:val="single"/>
        </w:rPr>
        <w:t xml:space="preserve">             </w:t>
      </w:r>
    </w:p>
    <w:p>
      <w:pPr>
        <w:pStyle w:val="43"/>
        <w:ind w:firstLine="482"/>
      </w:pPr>
    </w:p>
    <w:p>
      <w:pPr>
        <w:pStyle w:val="43"/>
        <w:ind w:firstLine="482"/>
      </w:pPr>
      <w:r>
        <w:rPr>
          <w:rFonts w:hint="eastAsia"/>
        </w:rPr>
        <w:t>说明：</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如未提供残疾人福利性单位声明函的，则其评审中的残疾人福利性单位不能享受磋商文件规定的价格扣除。非残疾人福利性单位，不需提供此声明函，不影响响应文件的有效性。</w:t>
      </w:r>
    </w:p>
    <w:p>
      <w:pPr>
        <w:pStyle w:val="43"/>
        <w:ind w:firstLine="482"/>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供应商参加政府采购活动时，提供虚假残疾人福利性单位声明函的，以提供虚假材料谋取成交处理。</w:t>
      </w:r>
    </w:p>
    <w:p>
      <w:pPr>
        <w:pStyle w:val="39"/>
        <w:ind w:left="4800" w:leftChars="2000"/>
        <w:rPr>
          <w:u w:val="single"/>
        </w:rPr>
      </w:pPr>
    </w:p>
    <w:bookmarkEnd w:id="271"/>
    <w:bookmarkEnd w:id="272"/>
    <w:p>
      <w:pPr>
        <w:pStyle w:val="40"/>
        <w:numPr>
          <w:ilvl w:val="0"/>
          <w:numId w:val="20"/>
        </w:numPr>
        <w:spacing w:before="120" w:after="120"/>
        <w:ind w:firstLine="0"/>
      </w:pPr>
      <w:bookmarkStart w:id="277" w:name="_Toc30337"/>
      <w:bookmarkStart w:id="278" w:name="_Toc28539"/>
      <w:r>
        <w:rPr>
          <w:rFonts w:hint="eastAsia"/>
        </w:rPr>
        <w:t>履约能力及相关证明</w:t>
      </w:r>
      <w:bookmarkEnd w:id="277"/>
      <w:bookmarkEnd w:id="278"/>
    </w:p>
    <w:p>
      <w:pPr>
        <w:pStyle w:val="43"/>
        <w:ind w:firstLine="482"/>
      </w:pPr>
      <w:r>
        <w:rPr>
          <w:rFonts w:hint="eastAsia"/>
        </w:rPr>
        <w:t>注：格式自拟。</w:t>
      </w:r>
    </w:p>
    <w:p>
      <w:pPr>
        <w:pStyle w:val="39"/>
      </w:pPr>
    </w:p>
    <w:p>
      <w:pPr>
        <w:pStyle w:val="39"/>
      </w:pPr>
    </w:p>
    <w:p>
      <w:pPr>
        <w:pStyle w:val="39"/>
      </w:pPr>
    </w:p>
    <w:p>
      <w:pPr>
        <w:pStyle w:val="39"/>
      </w:pPr>
    </w:p>
    <w:p>
      <w:pPr>
        <w:pStyle w:val="39"/>
      </w:pPr>
    </w:p>
    <w:bookmarkEnd w:id="264"/>
    <w:p>
      <w:pPr>
        <w:pStyle w:val="39"/>
      </w:pPr>
      <w:bookmarkStart w:id="279" w:name="_Toc19240"/>
      <w:r>
        <w:rPr>
          <w:rFonts w:hint="eastAsia"/>
        </w:rPr>
        <w:br w:type="page"/>
      </w:r>
      <w:bookmarkEnd w:id="279"/>
    </w:p>
    <w:p>
      <w:pPr>
        <w:pStyle w:val="40"/>
        <w:numPr>
          <w:ilvl w:val="0"/>
          <w:numId w:val="20"/>
        </w:numPr>
        <w:spacing w:before="120" w:after="120"/>
        <w:ind w:firstLine="0"/>
      </w:pPr>
      <w:bookmarkStart w:id="280" w:name="_Toc20002"/>
      <w:bookmarkStart w:id="281" w:name="_Toc9799"/>
      <w:bookmarkStart w:id="282" w:name="_Toc16092"/>
      <w:bookmarkStart w:id="283" w:name="_Toc881"/>
      <w:bookmarkStart w:id="284" w:name="_Toc18724"/>
      <w:r>
        <w:rPr>
          <w:rFonts w:hint="eastAsia" w:ascii="Times New Roman" w:hAnsi="Times New Roman" w:cs="Times New Roman"/>
          <w:szCs w:val="21"/>
        </w:rPr>
        <w:t>服务</w:t>
      </w:r>
      <w:r>
        <w:rPr>
          <w:rFonts w:ascii="Times New Roman" w:hAnsi="Times New Roman" w:cs="Times New Roman"/>
          <w:szCs w:val="21"/>
        </w:rPr>
        <w:t>方案</w:t>
      </w:r>
      <w:bookmarkEnd w:id="280"/>
      <w:bookmarkEnd w:id="281"/>
      <w:bookmarkEnd w:id="282"/>
    </w:p>
    <w:p>
      <w:pPr>
        <w:pStyle w:val="43"/>
        <w:ind w:firstLine="482"/>
      </w:pPr>
      <w:r>
        <w:rPr>
          <w:rFonts w:hint="eastAsia"/>
        </w:rPr>
        <w:t>注：格式自拟。</w:t>
      </w:r>
    </w:p>
    <w:p>
      <w:pPr>
        <w:pStyle w:val="39"/>
      </w:pPr>
      <w:r>
        <w:rPr>
          <w:rFonts w:hint="eastAsia"/>
        </w:rPr>
        <w:br w:type="page"/>
      </w:r>
    </w:p>
    <w:p>
      <w:pPr>
        <w:pStyle w:val="40"/>
        <w:numPr>
          <w:ilvl w:val="0"/>
          <w:numId w:val="20"/>
        </w:numPr>
        <w:spacing w:before="120" w:after="120"/>
        <w:ind w:firstLine="0"/>
      </w:pPr>
      <w:bookmarkStart w:id="285" w:name="_Toc32188"/>
      <w:bookmarkStart w:id="286" w:name="_Toc31318"/>
      <w:r>
        <w:rPr>
          <w:rFonts w:hint="eastAsia"/>
        </w:rPr>
        <w:t>招标代理服务费承诺函</w:t>
      </w:r>
      <w:bookmarkEnd w:id="285"/>
      <w:bookmarkEnd w:id="286"/>
    </w:p>
    <w:p>
      <w:pPr>
        <w:pStyle w:val="39"/>
      </w:pPr>
      <w:r>
        <w:rPr>
          <w:rFonts w:hint="eastAsia"/>
        </w:rPr>
        <w:t>四川乾新招投标代理有限公司：</w:t>
      </w:r>
    </w:p>
    <w:p>
      <w:pPr>
        <w:pStyle w:val="42"/>
        <w:rPr>
          <w:b/>
          <w:bCs/>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lang w:val="zh-CN"/>
        </w:rPr>
        <w:t>文件中招标代理</w:t>
      </w:r>
      <w:r>
        <w:rPr>
          <w:rFonts w:hint="eastAsia"/>
        </w:rPr>
        <w:t>服务费收取标准一次性支付合同全额的招标代理服务费。</w:t>
      </w:r>
      <w:r>
        <w:rPr>
          <w:rFonts w:hint="eastAsia"/>
          <w:b/>
          <w:bCs/>
        </w:rPr>
        <w:t>如因我公司自身原因造成取消成交资格或自愿放弃成交资格的，我司支付的招标代理服务费不予退还，由此造成的损失由我方自行承担。</w:t>
      </w:r>
    </w:p>
    <w:p>
      <w:pPr>
        <w:pStyle w:val="42"/>
      </w:pPr>
    </w:p>
    <w:p>
      <w:pPr>
        <w:pStyle w:val="42"/>
      </w:pPr>
    </w:p>
    <w:p>
      <w:pPr>
        <w:pStyle w:val="42"/>
      </w:pPr>
      <w:r>
        <w:rPr>
          <w:rFonts w:hint="eastAsia"/>
        </w:rPr>
        <w:t>特此承诺。</w:t>
      </w:r>
    </w:p>
    <w:p>
      <w:pPr>
        <w:pStyle w:val="39"/>
      </w:pPr>
    </w:p>
    <w:p>
      <w:pPr>
        <w:pStyle w:val="39"/>
      </w:pP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rPr>
        <w:t>(盖章)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bCs/>
          <w:u w:val="single"/>
        </w:rPr>
        <w:t xml:space="preserve">                </w:t>
      </w:r>
    </w:p>
    <w:p>
      <w:pPr>
        <w:ind w:firstLine="480" w:firstLineChars="200"/>
      </w:pPr>
      <w:r>
        <w:rPr>
          <w:rFonts w:hint="eastAsia"/>
        </w:rPr>
        <w:t>法定</w:t>
      </w:r>
      <w:r>
        <w:rPr>
          <w:rFonts w:hint="eastAsia" w:asciiTheme="minorEastAsia" w:hAnsiTheme="minorEastAsia" w:eastAsiaTheme="minorEastAsia" w:cstheme="minorEastAsia"/>
        </w:rPr>
        <w:t>代表人</w:t>
      </w:r>
      <w:r>
        <w:rPr>
          <w:rFonts w:hint="eastAsia"/>
        </w:rPr>
        <w:t>/单位负责人或授权代表：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ind w:firstLine="48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承诺日期：</w:t>
      </w:r>
      <w:r>
        <w:rPr>
          <w:rFonts w:hint="eastAsia" w:asciiTheme="minorEastAsia" w:hAnsiTheme="minorEastAsia" w:eastAsiaTheme="minorEastAsia" w:cstheme="minorEastAsia"/>
          <w:bCs/>
          <w:u w:val="single"/>
        </w:rPr>
        <w:t xml:space="preserve">                </w:t>
      </w:r>
    </w:p>
    <w:p>
      <w:pPr>
        <w:rPr>
          <w:rFonts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br w:type="page"/>
      </w:r>
    </w:p>
    <w:p>
      <w:pPr>
        <w:pStyle w:val="40"/>
        <w:numPr>
          <w:ilvl w:val="0"/>
          <w:numId w:val="20"/>
        </w:numPr>
        <w:spacing w:before="120" w:after="120"/>
        <w:ind w:firstLine="0"/>
      </w:pPr>
      <w:bookmarkStart w:id="287" w:name="_Toc10668"/>
      <w:bookmarkStart w:id="288" w:name="_Toc4148"/>
      <w:r>
        <w:rPr>
          <w:rFonts w:hint="eastAsia"/>
        </w:rPr>
        <w:t>报价表</w:t>
      </w:r>
      <w:bookmarkEnd w:id="287"/>
      <w:bookmarkEnd w:id="288"/>
    </w:p>
    <w:p>
      <w:pPr>
        <w:jc w:val="cente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28"/>
        </w:rPr>
        <w:t>第</w:t>
      </w:r>
      <w:r>
        <w:rPr>
          <w:rFonts w:hint="eastAsia" w:asciiTheme="minorEastAsia" w:hAnsiTheme="minorEastAsia" w:eastAsiaTheme="minorEastAsia" w:cstheme="minorEastAsia"/>
          <w:color w:val="000000"/>
          <w:sz w:val="32"/>
          <w:szCs w:val="28"/>
          <w:u w:val="single"/>
        </w:rPr>
        <w:t xml:space="preserve"> N </w:t>
      </w:r>
      <w:r>
        <w:rPr>
          <w:rFonts w:hint="eastAsia" w:asciiTheme="minorEastAsia" w:hAnsiTheme="minorEastAsia" w:eastAsiaTheme="minorEastAsia" w:cstheme="minorEastAsia"/>
          <w:color w:val="000000"/>
          <w:sz w:val="32"/>
          <w:szCs w:val="28"/>
        </w:rPr>
        <w:t>轮报价/最后报价(</w:t>
      </w:r>
      <w:r>
        <w:rPr>
          <w:rFonts w:hint="eastAsia" w:asciiTheme="minorEastAsia" w:hAnsiTheme="minorEastAsia" w:eastAsiaTheme="minorEastAsia" w:cstheme="minorEastAsia"/>
          <w:b/>
          <w:color w:val="000000"/>
          <w:sz w:val="32"/>
          <w:szCs w:val="28"/>
        </w:rPr>
        <w:t>根据磋商实际情况选择</w:t>
      </w:r>
      <w:r>
        <w:rPr>
          <w:rFonts w:hint="eastAsia" w:asciiTheme="minorEastAsia" w:hAnsiTheme="minorEastAsia" w:eastAsiaTheme="minorEastAsia" w:cstheme="minorEastAsia"/>
          <w:color w:val="000000"/>
          <w:sz w:val="32"/>
          <w:szCs w:val="28"/>
        </w:rPr>
        <w:t>)</w:t>
      </w:r>
    </w:p>
    <w:p>
      <w:pPr>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jc w:val="both"/>
        <w:rPr>
          <w:rFonts w:asciiTheme="minorEastAsia" w:hAnsiTheme="minorEastAsia" w:eastAsiaTheme="minorEastAsia" w:cstheme="minorEastAsia"/>
          <w:color w:val="000000"/>
          <w:highlight w:val="yellow"/>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序号</w:t>
            </w:r>
          </w:p>
        </w:tc>
        <w:tc>
          <w:tcPr>
            <w:tcW w:w="4287"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服务内容</w:t>
            </w:r>
          </w:p>
        </w:tc>
        <w:tc>
          <w:tcPr>
            <w:tcW w:w="4481"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1</w:t>
            </w:r>
          </w:p>
        </w:tc>
        <w:tc>
          <w:tcPr>
            <w:tcW w:w="4287" w:type="dxa"/>
            <w:vAlign w:val="center"/>
          </w:tcPr>
          <w:p>
            <w:pPr>
              <w:wordWrap w:val="0"/>
              <w:topLinePunct/>
              <w:spacing w:line="360" w:lineRule="auto"/>
              <w:jc w:val="center"/>
              <w:rPr>
                <w:rFonts w:cs="宋体"/>
                <w:bCs/>
                <w:color w:val="000000"/>
                <w:sz w:val="21"/>
                <w:szCs w:val="21"/>
              </w:rPr>
            </w:pPr>
          </w:p>
        </w:tc>
        <w:tc>
          <w:tcPr>
            <w:tcW w:w="4481" w:type="dxa"/>
            <w:vAlign w:val="center"/>
          </w:tcPr>
          <w:p>
            <w:pPr>
              <w:wordWrap w:val="0"/>
              <w:topLinePunct/>
              <w:spacing w:line="360" w:lineRule="auto"/>
              <w:jc w:val="center"/>
              <w:rPr>
                <w:rFonts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ordWrap w:val="0"/>
              <w:topLinePunct/>
              <w:spacing w:line="360" w:lineRule="exact"/>
              <w:jc w:val="center"/>
              <w:rPr>
                <w:rFonts w:cs="宋体"/>
                <w:color w:val="000000"/>
                <w:sz w:val="21"/>
                <w:szCs w:val="21"/>
              </w:rPr>
            </w:pPr>
            <w:r>
              <w:rPr>
                <w:rFonts w:hint="eastAsia" w:cs="宋体"/>
                <w:bCs/>
                <w:color w:val="000000"/>
                <w:sz w:val="21"/>
                <w:szCs w:val="21"/>
              </w:rPr>
              <w:t>报价(元)</w:t>
            </w:r>
          </w:p>
        </w:tc>
        <w:tc>
          <w:tcPr>
            <w:tcW w:w="8768" w:type="dxa"/>
            <w:gridSpan w:val="2"/>
            <w:vAlign w:val="center"/>
          </w:tcPr>
          <w:p>
            <w:pPr>
              <w:wordWrap w:val="0"/>
              <w:topLinePunct/>
              <w:spacing w:line="360" w:lineRule="exact"/>
              <w:rPr>
                <w:rFonts w:cs="宋体"/>
                <w:color w:val="000000"/>
                <w:sz w:val="21"/>
                <w:szCs w:val="21"/>
              </w:rPr>
            </w:pPr>
            <w:r>
              <w:rPr>
                <w:rFonts w:hint="eastAsia"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ordWrap w:val="0"/>
              <w:topLinePunct/>
              <w:spacing w:line="360" w:lineRule="auto"/>
            </w:pPr>
          </w:p>
        </w:tc>
        <w:tc>
          <w:tcPr>
            <w:tcW w:w="8768" w:type="dxa"/>
            <w:gridSpan w:val="2"/>
            <w:vAlign w:val="center"/>
          </w:tcPr>
          <w:p>
            <w:pPr>
              <w:wordWrap w:val="0"/>
              <w:topLinePunct/>
              <w:spacing w:line="360" w:lineRule="exact"/>
              <w:rPr>
                <w:rFonts w:cs="宋体"/>
                <w:color w:val="000000"/>
                <w:sz w:val="21"/>
                <w:szCs w:val="21"/>
              </w:rPr>
            </w:pPr>
            <w:r>
              <w:rPr>
                <w:rFonts w:hint="eastAsia" w:cs="宋体"/>
                <w:color w:val="000000"/>
                <w:sz w:val="21"/>
                <w:szCs w:val="21"/>
              </w:rPr>
              <w:t>人民币大写：</w:t>
            </w:r>
          </w:p>
        </w:tc>
      </w:tr>
    </w:tbl>
    <w:p>
      <w:pPr>
        <w:pStyle w:val="43"/>
        <w:ind w:firstLine="482"/>
      </w:pPr>
      <w:r>
        <w:rPr>
          <w:rFonts w:hint="eastAsia"/>
        </w:rPr>
        <w:t>注：</w:t>
      </w:r>
      <w:r>
        <w:rPr>
          <w:rFonts w:hint="eastAsia"/>
          <w:lang w:val="zh-CN"/>
        </w:rPr>
        <w:t>报价应为完成本竞争性磋商文件中所要求的</w:t>
      </w:r>
      <w:r>
        <w:rPr>
          <w:rFonts w:hint="eastAsia"/>
        </w:rPr>
        <w:t>服务</w:t>
      </w:r>
      <w:r>
        <w:rPr>
          <w:rFonts w:hint="eastAsia"/>
          <w:lang w:val="zh-CN"/>
        </w:rPr>
        <w:t>所应包括内容的</w:t>
      </w:r>
      <w:r>
        <w:rPr>
          <w:rFonts w:hint="eastAsia"/>
        </w:rPr>
        <w:t>全部</w:t>
      </w:r>
      <w:r>
        <w:rPr>
          <w:rFonts w:hint="eastAsia"/>
          <w:lang w:val="zh-CN"/>
        </w:rPr>
        <w:t>价格，</w:t>
      </w:r>
      <w:r>
        <w:rPr>
          <w:rFonts w:hint="eastAsia" w:cs="宋体"/>
          <w:bCs/>
        </w:rPr>
        <w:t>包含完成本项目所涉及人员劳务、调研、差旅、咨询、成果制作、设备投入、利润、保险、风险、税金、招标代理服务费以及</w:t>
      </w:r>
      <w:r>
        <w:rPr>
          <w:rFonts w:hint="eastAsia" w:cs="宋体"/>
          <w:bCs/>
          <w:lang w:val="en-US" w:eastAsia="zh-CN"/>
        </w:rPr>
        <w:t>磋商</w:t>
      </w:r>
      <w:r>
        <w:rPr>
          <w:rFonts w:hint="eastAsia" w:cs="宋体"/>
          <w:bCs/>
        </w:rPr>
        <w:t>文件规定的一切费用</w:t>
      </w:r>
      <w:r>
        <w:rPr>
          <w:rFonts w:hint="eastAsia"/>
          <w:lang w:val="zh-CN"/>
        </w:rPr>
        <w:t>。</w:t>
      </w:r>
    </w:p>
    <w:p>
      <w:pPr>
        <w:tabs>
          <w:tab w:val="left" w:pos="540"/>
          <w:tab w:val="left" w:pos="900"/>
          <w:tab w:val="clear" w:pos="0"/>
        </w:tabs>
        <w:rPr>
          <w:rFonts w:asciiTheme="minorEastAsia" w:hAnsiTheme="minorEastAsia" w:eastAsiaTheme="minorEastAsia" w:cstheme="minorEastAsia"/>
          <w:color w:val="000000"/>
        </w:rPr>
      </w:pPr>
    </w:p>
    <w:p>
      <w:pPr>
        <w:tabs>
          <w:tab w:val="left" w:pos="540"/>
          <w:tab w:val="left" w:pos="900"/>
          <w:tab w:val="clear" w:pos="0"/>
        </w:tabs>
        <w:rPr>
          <w:rFonts w:asciiTheme="minorEastAsia" w:hAnsiTheme="minorEastAsia" w:eastAsiaTheme="minorEastAsia" w:cstheme="minorEastAsia"/>
          <w:color w:val="000000"/>
        </w:rPr>
      </w:pPr>
    </w:p>
    <w:p>
      <w:pPr>
        <w:pStyle w:val="42"/>
        <w:rPr>
          <w:u w:val="single"/>
        </w:rPr>
      </w:pPr>
      <w:r>
        <w:rPr>
          <w:rFonts w:hint="eastAsia"/>
        </w:rPr>
        <w:t>供应商名称：</w:t>
      </w:r>
      <w:r>
        <w:rPr>
          <w:rFonts w:hint="eastAsia"/>
          <w:u w:val="single"/>
        </w:rPr>
        <w:t xml:space="preserve">                      </w:t>
      </w:r>
    </w:p>
    <w:p>
      <w:pPr>
        <w:pStyle w:val="42"/>
      </w:pPr>
      <w:r>
        <w:rPr>
          <w:rFonts w:hint="eastAsia"/>
        </w:rPr>
        <w:t>法定代表人/单位负责人或授权代表：</w:t>
      </w:r>
      <w:r>
        <w:rPr>
          <w:rFonts w:hint="eastAsia"/>
          <w:u w:val="single"/>
        </w:rPr>
        <w:t xml:space="preserve">                  </w:t>
      </w:r>
      <w:r>
        <w:rPr>
          <w:rFonts w:hint="eastAsia"/>
        </w:rPr>
        <w:t>(签名并捺印)</w:t>
      </w:r>
    </w:p>
    <w:p>
      <w:pPr>
        <w:pStyle w:val="42"/>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9"/>
      </w:pPr>
      <w:r>
        <w:rPr>
          <w:rFonts w:hint="eastAsia"/>
        </w:rPr>
        <w:t xml:space="preserve">                </w:t>
      </w:r>
    </w:p>
    <w:p>
      <w:pPr>
        <w:pStyle w:val="39"/>
      </w:pPr>
    </w:p>
    <w:bookmarkEnd w:id="283"/>
    <w:bookmarkEnd w:id="284"/>
    <w:p>
      <w:pPr>
        <w:pStyle w:val="44"/>
        <w:spacing w:before="120" w:after="120"/>
      </w:pPr>
      <w:bookmarkStart w:id="289" w:name="_Toc24888"/>
      <w:r>
        <w:rPr>
          <w:rFonts w:hint="eastAsia"/>
        </w:rPr>
        <w:br w:type="page"/>
      </w:r>
      <w:bookmarkEnd w:id="289"/>
      <w:bookmarkStart w:id="290" w:name="_Toc18196"/>
      <w:bookmarkStart w:id="291" w:name="_Toc22998"/>
      <w:bookmarkStart w:id="292" w:name="_Toc9191"/>
      <w:r>
        <w:rPr>
          <w:rFonts w:hint="eastAsia"/>
        </w:rPr>
        <w:t>资格性审查</w:t>
      </w:r>
      <w:bookmarkEnd w:id="290"/>
      <w:r>
        <w:rPr>
          <w:rFonts w:hint="eastAsia"/>
        </w:rPr>
        <w:t>内容</w:t>
      </w:r>
      <w:bookmarkEnd w:id="291"/>
      <w:bookmarkEnd w:id="292"/>
    </w:p>
    <w:p>
      <w:pPr>
        <w:pStyle w:val="46"/>
        <w:numPr>
          <w:ilvl w:val="1"/>
          <w:numId w:val="23"/>
        </w:numPr>
        <w:ind w:firstLine="482"/>
        <w:rPr>
          <w:b/>
          <w:bCs/>
        </w:rPr>
      </w:pPr>
      <w:bookmarkStart w:id="293" w:name="_Toc20678"/>
      <w:bookmarkStart w:id="294" w:name="_Toc141"/>
      <w:bookmarkStart w:id="295" w:name="_Toc10631"/>
      <w:bookmarkStart w:id="296" w:name="_Toc32482"/>
      <w:r>
        <w:rPr>
          <w:rFonts w:hint="eastAsia"/>
          <w:b/>
          <w:bCs/>
        </w:rPr>
        <w:t>供应商应当提供的资格证明材料及其他类似效力要求的相关证明材料</w:t>
      </w:r>
    </w:p>
    <w:bookmarkEnd w:id="293"/>
    <w:bookmarkEnd w:id="294"/>
    <w:bookmarkEnd w:id="295"/>
    <w:p>
      <w:pPr>
        <w:pStyle w:val="29"/>
        <w:numPr>
          <w:ilvl w:val="1"/>
          <w:numId w:val="24"/>
        </w:numPr>
        <w:ind w:firstLine="482"/>
        <w:rPr>
          <w:b/>
          <w:bCs/>
        </w:rPr>
      </w:pPr>
      <w:r>
        <w:rPr>
          <w:rFonts w:hint="eastAsia"/>
          <w:b/>
          <w:bCs/>
        </w:rPr>
        <w:t>供应商具有独立承担民事责任的能力的证明材料；</w:t>
      </w:r>
    </w:p>
    <w:p>
      <w:pPr>
        <w:pStyle w:val="42"/>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3"/>
        <w:ind w:firstLine="482"/>
      </w:pPr>
      <w:r>
        <w:rPr>
          <w:rFonts w:hint="eastAsia"/>
        </w:rPr>
        <w:t>注：1.以上证明材料应满足此条要求①发证机关有年检要求的，应按规定通过年检；②在有效期内；③复印件加盖供应商公章；</w:t>
      </w:r>
    </w:p>
    <w:p>
      <w:pPr>
        <w:pStyle w:val="43"/>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29"/>
        <w:numPr>
          <w:ilvl w:val="1"/>
          <w:numId w:val="24"/>
        </w:numPr>
        <w:ind w:firstLine="482"/>
        <w:rPr>
          <w:b/>
          <w:bCs/>
        </w:rPr>
      </w:pPr>
      <w:r>
        <w:rPr>
          <w:rFonts w:hint="eastAsia"/>
          <w:b/>
          <w:bCs/>
        </w:rPr>
        <w:t>供应商具有良好的商业信誉和健全的财务会计制度的证明材料；</w:t>
      </w:r>
    </w:p>
    <w:p>
      <w:pPr>
        <w:pStyle w:val="32"/>
        <w:numPr>
          <w:ilvl w:val="2"/>
          <w:numId w:val="24"/>
        </w:numPr>
        <w:ind w:firstLine="480"/>
      </w:pPr>
      <w:r>
        <w:rPr>
          <w:rFonts w:hint="eastAsia"/>
        </w:rPr>
        <w:t>供应商具有良好商业信誉的证明材料；</w:t>
      </w:r>
    </w:p>
    <w:p>
      <w:pPr>
        <w:pStyle w:val="42"/>
      </w:pPr>
      <w:r>
        <w:rPr>
          <w:rFonts w:hint="eastAsia"/>
        </w:rPr>
        <w:t>提供具有良好的商业信誉的承诺函。</w:t>
      </w:r>
    </w:p>
    <w:p>
      <w:pPr>
        <w:pStyle w:val="42"/>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2"/>
        <w:numPr>
          <w:ilvl w:val="2"/>
          <w:numId w:val="24"/>
        </w:numPr>
        <w:ind w:firstLine="480"/>
      </w:pPr>
      <w:r>
        <w:rPr>
          <w:rFonts w:hint="eastAsia"/>
        </w:rPr>
        <w:t>供应商具有健全的财务会计制度的证明材料；</w:t>
      </w:r>
    </w:p>
    <w:p>
      <w:pPr>
        <w:pStyle w:val="42"/>
      </w:pPr>
      <w:r>
        <w:rPr>
          <w:rFonts w:hint="eastAsia"/>
        </w:rPr>
        <w:t>(1)供应商提供2020年度经过会计师事务所审计的财务报告复印件(经审计的有效财务报告应包括报告及报告中所附的完整内容，并由注册会计师签名、盖章以及会计师事务所盖章)；</w:t>
      </w:r>
    </w:p>
    <w:p>
      <w:pPr>
        <w:pStyle w:val="42"/>
      </w:pPr>
      <w:r>
        <w:rPr>
          <w:rFonts w:hint="eastAsia"/>
        </w:rPr>
        <w:t>(2)供应商提供2020年度供应商内部的财务报表复印件(至少包含资产负债表)；</w:t>
      </w:r>
    </w:p>
    <w:p>
      <w:pPr>
        <w:pStyle w:val="42"/>
      </w:pPr>
      <w:r>
        <w:rPr>
          <w:rFonts w:hint="eastAsia"/>
        </w:rPr>
        <w:t>(3)供应商提供响应文件递交截止日前一年内银行为其出具的资信证明复印件；</w:t>
      </w:r>
    </w:p>
    <w:p>
      <w:pPr>
        <w:pStyle w:val="42"/>
      </w:pPr>
      <w:r>
        <w:rPr>
          <w:rFonts w:hint="eastAsia"/>
        </w:rPr>
        <w:t>(4)供应商注册时间截至响应文件递交截止日不足一年的，可提供公司章程复印件；</w:t>
      </w:r>
    </w:p>
    <w:p>
      <w:pPr>
        <w:pStyle w:val="42"/>
      </w:pPr>
      <w:r>
        <w:rPr>
          <w:rFonts w:hint="eastAsia"/>
        </w:rPr>
        <w:t>(5)供应商为事业单位、大型国有企业或其他组织(不具备法人条件的组织，如合伙组织、个体工商户、农村承包经营户等)或自然人时，可提供承诺函；</w:t>
      </w:r>
    </w:p>
    <w:p>
      <w:pPr>
        <w:pStyle w:val="43"/>
        <w:ind w:firstLine="482"/>
      </w:pPr>
      <w:r>
        <w:rPr>
          <w:rFonts w:hint="eastAsia"/>
          <w:bCs/>
        </w:rPr>
        <w:t>注：具有健全的财务会计制度的证明材料中第(1)-(5)项具有同等的效力，供应商可根据自身实际情况选择提供其中任意一项。</w:t>
      </w:r>
    </w:p>
    <w:p>
      <w:pPr>
        <w:pStyle w:val="29"/>
        <w:numPr>
          <w:ilvl w:val="1"/>
          <w:numId w:val="24"/>
        </w:numPr>
        <w:ind w:firstLine="482"/>
        <w:rPr>
          <w:b/>
          <w:bCs/>
        </w:rPr>
      </w:pPr>
      <w:r>
        <w:rPr>
          <w:rFonts w:hint="eastAsia"/>
          <w:b/>
          <w:bCs/>
        </w:rPr>
        <w:t>供应商具有履行合同所必需的设备和专业技术能力证明材料；</w:t>
      </w:r>
    </w:p>
    <w:p>
      <w:pPr>
        <w:pStyle w:val="32"/>
        <w:numPr>
          <w:ilvl w:val="2"/>
          <w:numId w:val="0"/>
        </w:numPr>
        <w:ind w:left="480" w:leftChars="200"/>
      </w:pPr>
      <w:r>
        <w:rPr>
          <w:rFonts w:hint="eastAsia"/>
        </w:rPr>
        <w:t>提供具有履行合同所必需的设备和专业技术能力的承诺函。</w:t>
      </w:r>
    </w:p>
    <w:p>
      <w:pPr>
        <w:pStyle w:val="43"/>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29"/>
        <w:numPr>
          <w:ilvl w:val="1"/>
          <w:numId w:val="24"/>
        </w:numPr>
        <w:ind w:firstLine="482"/>
        <w:rPr>
          <w:b/>
          <w:bCs/>
        </w:rPr>
      </w:pPr>
      <w:r>
        <w:rPr>
          <w:rFonts w:hint="eastAsia"/>
          <w:b/>
          <w:bCs/>
        </w:rPr>
        <w:t>供应商具有依法缴纳税收和社会保障资金的良好记录的证明材料；</w:t>
      </w:r>
    </w:p>
    <w:p>
      <w:pPr>
        <w:pStyle w:val="32"/>
        <w:numPr>
          <w:ilvl w:val="2"/>
          <w:numId w:val="0"/>
        </w:numPr>
        <w:ind w:left="480" w:leftChars="200"/>
      </w:pPr>
      <w:r>
        <w:rPr>
          <w:rFonts w:hint="eastAsia"/>
        </w:rPr>
        <w:t>提供具有</w:t>
      </w:r>
      <w:r>
        <w:rPr>
          <w:rFonts w:hint="eastAsia"/>
          <w:lang w:val="zh-CN"/>
        </w:rPr>
        <w:t>依法缴纳税收和社会保障资金的良好记录</w:t>
      </w:r>
      <w:r>
        <w:rPr>
          <w:rFonts w:hint="eastAsia"/>
        </w:rPr>
        <w:t>的承诺函。</w:t>
      </w:r>
    </w:p>
    <w:p>
      <w:pPr>
        <w:pStyle w:val="43"/>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29"/>
        <w:numPr>
          <w:ilvl w:val="1"/>
          <w:numId w:val="24"/>
        </w:numPr>
        <w:ind w:firstLine="482"/>
        <w:rPr>
          <w:b/>
          <w:bCs/>
        </w:rPr>
      </w:pPr>
      <w:r>
        <w:rPr>
          <w:rFonts w:hint="eastAsia"/>
          <w:b/>
          <w:bCs/>
        </w:rPr>
        <w:t>供应商参加政府采购活动前三年内，在经营活动中没有重大违法记录的证明材料；</w:t>
      </w:r>
    </w:p>
    <w:p>
      <w:pPr>
        <w:pStyle w:val="42"/>
      </w:pPr>
      <w:r>
        <w:rPr>
          <w:rFonts w:hint="eastAsia"/>
        </w:rPr>
        <w:t>提供参加本次政府采购活动前三年内，在经营活动中没有重大违法记录的书面声明(成立不足三年的，从成立之日起计算)。</w:t>
      </w:r>
    </w:p>
    <w:p>
      <w:pPr>
        <w:pStyle w:val="29"/>
        <w:adjustRightInd/>
        <w:snapToGrid/>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43"/>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3"/>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59"/>
        <w:numPr>
          <w:ilvl w:val="3"/>
          <w:numId w:val="0"/>
        </w:numPr>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29"/>
        <w:ind w:firstLine="482"/>
        <w:rPr>
          <w:b/>
          <w:bCs/>
        </w:rPr>
      </w:pPr>
      <w:r>
        <w:rPr>
          <w:rFonts w:hint="eastAsia"/>
          <w:b/>
          <w:bCs/>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2"/>
      </w:pPr>
      <w:r>
        <w:rPr>
          <w:rFonts w:hint="eastAsia"/>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43"/>
        <w:ind w:firstLine="482"/>
      </w:pPr>
      <w:r>
        <w:rPr>
          <w:rFonts w:hint="eastAsia"/>
        </w:rPr>
        <w:t>注：供应商参与磋商时无需对此条进行响应。</w:t>
      </w:r>
    </w:p>
    <w:p>
      <w:pPr>
        <w:pStyle w:val="29"/>
        <w:ind w:firstLine="482"/>
        <w:rPr>
          <w:b/>
          <w:bCs/>
        </w:rPr>
      </w:pPr>
      <w:r>
        <w:rPr>
          <w:rFonts w:hint="eastAsia"/>
          <w:b/>
          <w:bCs/>
        </w:rPr>
        <w:t>法定代表人/单位负责人授权书原件；</w:t>
      </w:r>
    </w:p>
    <w:p>
      <w:pPr>
        <w:pStyle w:val="43"/>
        <w:ind w:firstLine="482"/>
      </w:pPr>
      <w:r>
        <w:rPr>
          <w:rFonts w:hint="eastAsia"/>
        </w:rPr>
        <w:t>注：①附法定代表人/单位负责人和被授权人身份证正反面复印件；②法定代表人/单位负责人亲自参与磋商时不需要提供。</w:t>
      </w:r>
    </w:p>
    <w:p>
      <w:pPr>
        <w:pStyle w:val="29"/>
        <w:ind w:firstLine="482"/>
        <w:rPr>
          <w:b/>
          <w:bCs/>
        </w:rPr>
      </w:pPr>
      <w:r>
        <w:rPr>
          <w:rFonts w:hint="eastAsia"/>
          <w:b/>
          <w:bCs/>
        </w:rPr>
        <w:t>法定代表人/单位负责人证明书；</w:t>
      </w:r>
    </w:p>
    <w:p>
      <w:pPr>
        <w:pStyle w:val="43"/>
        <w:ind w:firstLine="482"/>
      </w:pPr>
      <w:r>
        <w:rPr>
          <w:rFonts w:hint="eastAsia"/>
        </w:rPr>
        <w:t>注：①附法定代表人/单位负责人身份证正反面复印件；②法定代表人/单位负责人亲自参加磋商时提供本证明书。</w:t>
      </w:r>
    </w:p>
    <w:p>
      <w:pPr>
        <w:pStyle w:val="29"/>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2"/>
        <w:rPr>
          <w:highlight w:val="red"/>
        </w:rPr>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43"/>
        <w:ind w:firstLine="482"/>
      </w:pPr>
    </w:p>
    <w:p>
      <w:pPr>
        <w:pStyle w:val="43"/>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3"/>
        <w:ind w:firstLine="482"/>
      </w:pPr>
      <w:r>
        <w:rPr>
          <w:rFonts w:hint="eastAsia"/>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3"/>
        <w:ind w:firstLine="482"/>
      </w:pPr>
      <w:r>
        <w:rPr>
          <w:rFonts w:hint="eastAsia"/>
        </w:rPr>
        <w:t>③供应商在前三年政府采购合同履约过程中及其他经营活动履约过程中未依法履约被有关部门处理的，不能认定为具有良好的商业信誉。若提供虚假承诺将被视为虚假响应，取消成交资格。</w:t>
      </w:r>
    </w:p>
    <w:p>
      <w:pPr>
        <w:pStyle w:val="43"/>
        <w:ind w:firstLine="482"/>
      </w:pPr>
      <w:r>
        <w:rPr>
          <w:rFonts w:hint="eastAsia"/>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3"/>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供应商应对其所提供的资格证明材料来源的合法性、真实性承担法律责任。</w:t>
      </w:r>
    </w:p>
    <w:p>
      <w:pPr>
        <w:pStyle w:val="43"/>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以上承诺及声明函可参照第三章响应文件格式“承诺及声明函”格式或自拟格式填写均有效。</w:t>
      </w:r>
    </w:p>
    <w:p>
      <w:pPr>
        <w:pStyle w:val="43"/>
        <w:ind w:firstLine="482"/>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r>
        <w:rPr>
          <w:rFonts w:hint="eastAsia"/>
        </w:rPr>
        <w:t>本章要求提供的相关证明材料应当结合采购项目具体情况和供应商的组织机构性质确定，不得一概而论。</w:t>
      </w:r>
    </w:p>
    <w:bookmarkEnd w:id="296"/>
    <w:p>
      <w:r>
        <w:rPr>
          <w:rFonts w:hint="eastAsia" w:asciiTheme="minorEastAsia" w:hAnsiTheme="minorEastAsia" w:eastAsiaTheme="minorEastAsia" w:cstheme="minorEastAsia"/>
          <w:color w:val="000000"/>
          <w:sz w:val="36"/>
          <w:szCs w:val="36"/>
        </w:rPr>
        <w:br w:type="page"/>
      </w:r>
    </w:p>
    <w:p>
      <w:pPr>
        <w:pStyle w:val="44"/>
        <w:numPr>
          <w:ilvl w:val="0"/>
          <w:numId w:val="23"/>
        </w:numPr>
        <w:spacing w:before="120" w:after="120"/>
      </w:pPr>
      <w:bookmarkStart w:id="297" w:name="_Toc1692"/>
      <w:r>
        <w:rPr>
          <w:rFonts w:hint="eastAsia" w:asciiTheme="minorEastAsia" w:hAnsiTheme="minorEastAsia" w:eastAsiaTheme="minorEastAsia" w:cstheme="minorEastAsia"/>
          <w:color w:val="000000"/>
          <w:szCs w:val="36"/>
        </w:rPr>
        <w:t>采购项目技术、服务、合同内容条款及商务要求</w:t>
      </w:r>
      <w:bookmarkEnd w:id="297"/>
    </w:p>
    <w:p>
      <w:pPr>
        <w:numPr>
          <w:ilvl w:val="0"/>
          <w:numId w:val="25"/>
        </w:numPr>
        <w:ind w:firstLine="482" w:firstLineChars="200"/>
        <w:outlineLvl w:val="1"/>
        <w:rPr>
          <w:rFonts w:cs="宋体"/>
          <w:b/>
          <w:bCs/>
        </w:rPr>
      </w:pPr>
      <w:bookmarkStart w:id="298" w:name="_Toc27654"/>
      <w:bookmarkStart w:id="299" w:name="_Toc9683"/>
      <w:bookmarkStart w:id="300" w:name="_Toc7101"/>
      <w:bookmarkStart w:id="301" w:name="_Toc6974"/>
      <w:bookmarkStart w:id="302" w:name="_Toc12739"/>
      <w:bookmarkStart w:id="303" w:name="_Toc8752_WPSOffice_Level2"/>
      <w:bookmarkStart w:id="304" w:name="_Toc27497"/>
      <w:bookmarkStart w:id="305" w:name="_Toc1684"/>
      <w:bookmarkStart w:id="306" w:name="_Toc27469"/>
      <w:bookmarkStart w:id="307" w:name="_Toc28932"/>
      <w:bookmarkStart w:id="308" w:name="_Toc217446099"/>
      <w:bookmarkStart w:id="309" w:name="_Toc309897566"/>
      <w:bookmarkStart w:id="310" w:name="_Toc32159"/>
      <w:bookmarkStart w:id="311" w:name="_Toc29864"/>
      <w:bookmarkStart w:id="312" w:name="_Toc23360"/>
      <w:bookmarkStart w:id="313" w:name="_Toc1541"/>
      <w:bookmarkStart w:id="314" w:name="_Toc1839"/>
      <w:bookmarkStart w:id="315" w:name="_Toc307564899"/>
      <w:bookmarkStart w:id="316" w:name="_Toc217446060"/>
      <w:bookmarkStart w:id="317" w:name="_Toc319439948"/>
      <w:bookmarkStart w:id="318" w:name="_Toc327196343"/>
      <w:bookmarkStart w:id="319" w:name="_Toc307501157"/>
      <w:bookmarkStart w:id="320" w:name="_Toc308084648"/>
      <w:bookmarkStart w:id="321" w:name="_Toc319440192"/>
      <w:bookmarkStart w:id="322" w:name="_Toc308188201"/>
      <w:bookmarkStart w:id="323" w:name="_Toc12025"/>
      <w:r>
        <w:rPr>
          <w:rFonts w:hint="eastAsia" w:cs="宋体"/>
          <w:b/>
          <w:bCs/>
        </w:rPr>
        <w:t>项目概况</w:t>
      </w:r>
      <w:bookmarkEnd w:id="298"/>
    </w:p>
    <w:p>
      <w:pPr>
        <w:wordWrap w:val="0"/>
        <w:topLinePunct/>
        <w:ind w:left="480" w:leftChars="200"/>
        <w:rPr>
          <w:rFonts w:cs="Times New Roman"/>
        </w:rPr>
      </w:pPr>
      <w:r>
        <w:rPr>
          <w:rFonts w:hint="eastAsia" w:cs="Times New Roman"/>
        </w:rPr>
        <w:t>本项目分为两个部分，具体情况如下：</w:t>
      </w:r>
    </w:p>
    <w:p>
      <w:pPr>
        <w:numPr>
          <w:ilvl w:val="3"/>
          <w:numId w:val="26"/>
        </w:numPr>
        <w:wordWrap w:val="0"/>
        <w:topLinePunct/>
        <w:ind w:firstLine="480" w:firstLineChars="200"/>
        <w:rPr>
          <w:rFonts w:cs="Times New Roman"/>
        </w:rPr>
      </w:pPr>
      <w:r>
        <w:rPr>
          <w:rFonts w:hint="eastAsia" w:cs="Times New Roman"/>
        </w:rPr>
        <w:t>《成都市公园城市城乡融合发展单元建设项目管理技术规定及导则》按照刚性和弹性相结合的要求，对镇村建设项目进行规范化管控和灵活化指引，塑造公园城市大美乡村形态，传承地方人居环境特征，彰显地域人文特色。</w:t>
      </w:r>
    </w:p>
    <w:p>
      <w:pPr>
        <w:ind w:firstLine="480" w:firstLineChars="200"/>
        <w:rPr>
          <w:rFonts w:cs="宋体"/>
        </w:rPr>
      </w:pPr>
      <w:bookmarkStart w:id="324" w:name="_Toc22860"/>
      <w:bookmarkStart w:id="325" w:name="_Toc4126"/>
      <w:r>
        <w:rPr>
          <w:rFonts w:hint="eastAsia" w:cs="宋体"/>
        </w:rPr>
        <w:t>2.《成都市城乡融合发展单元规划（镇国土空间总体规划）编制办法》《成都市多规合一实用性村规划编制办法》规范镇村</w:t>
      </w:r>
      <w:r>
        <w:rPr>
          <w:rFonts w:cs="宋体"/>
        </w:rPr>
        <w:t>各级规划</w:t>
      </w:r>
      <w:r>
        <w:rPr>
          <w:rFonts w:hint="eastAsia" w:cs="宋体"/>
        </w:rPr>
        <w:t>的</w:t>
      </w:r>
      <w:r>
        <w:rPr>
          <w:rFonts w:cs="宋体"/>
        </w:rPr>
        <w:t>编制要求</w:t>
      </w:r>
      <w:r>
        <w:rPr>
          <w:rFonts w:hint="eastAsia" w:cs="宋体"/>
        </w:rPr>
        <w:t>和</w:t>
      </w:r>
      <w:r>
        <w:rPr>
          <w:rFonts w:cs="宋体"/>
        </w:rPr>
        <w:t>成果形式，</w:t>
      </w:r>
      <w:r>
        <w:rPr>
          <w:rFonts w:hint="eastAsia" w:cs="宋体"/>
        </w:rPr>
        <w:t>以支撑成都乡村高质量发展。</w:t>
      </w:r>
    </w:p>
    <w:p>
      <w:pPr>
        <w:numPr>
          <w:ilvl w:val="0"/>
          <w:numId w:val="25"/>
        </w:numPr>
        <w:ind w:firstLine="482" w:firstLineChars="200"/>
        <w:outlineLvl w:val="1"/>
        <w:rPr>
          <w:rFonts w:cs="宋体"/>
          <w:b/>
          <w:bCs/>
        </w:rPr>
      </w:pPr>
      <w:bookmarkStart w:id="326" w:name="_Toc7771"/>
      <w:r>
        <w:rPr>
          <w:rFonts w:hint="eastAsia" w:cs="宋体"/>
          <w:b/>
          <w:bCs/>
        </w:rPr>
        <w:t>服务内容及要求</w:t>
      </w:r>
      <w:bookmarkEnd w:id="324"/>
      <w:bookmarkEnd w:id="325"/>
      <w:bookmarkEnd w:id="326"/>
    </w:p>
    <w:p>
      <w:pPr>
        <w:numPr>
          <w:ilvl w:val="1"/>
          <w:numId w:val="27"/>
        </w:numPr>
        <w:wordWrap w:val="0"/>
        <w:topLinePunct/>
        <w:ind w:firstLine="482" w:firstLineChars="200"/>
        <w:rPr>
          <w:rFonts w:cs="Times New Roman"/>
        </w:rPr>
      </w:pPr>
      <w:r>
        <w:rPr>
          <w:rFonts w:hint="eastAsia" w:cs="宋体"/>
          <w:b/>
        </w:rPr>
        <w:t>※</w:t>
      </w:r>
      <w:r>
        <w:rPr>
          <w:rFonts w:hint="eastAsia" w:cs="Times New Roman"/>
        </w:rPr>
        <w:t>文件依据</w:t>
      </w:r>
    </w:p>
    <w:p>
      <w:pPr>
        <w:wordWrap w:val="0"/>
        <w:topLinePunct/>
        <w:ind w:firstLine="480" w:firstLineChars="200"/>
        <w:rPr>
          <w:rFonts w:cs="Times New Roman"/>
        </w:rPr>
      </w:pPr>
      <w:r>
        <w:rPr>
          <w:rFonts w:hint="eastAsia" w:cs="Times New Roman"/>
        </w:rPr>
        <w:t>1</w:t>
      </w:r>
      <w:r>
        <w:rPr>
          <w:rFonts w:cs="Times New Roman"/>
        </w:rPr>
        <w:t>.</w:t>
      </w:r>
      <w:r>
        <w:rPr>
          <w:rFonts w:hint="eastAsia" w:cs="Times New Roman"/>
        </w:rPr>
        <w:t>《成都市公园城市城乡融合发展单元建设项目管理技术规定及导则》</w:t>
      </w:r>
    </w:p>
    <w:p>
      <w:pPr>
        <w:wordWrap w:val="0"/>
        <w:topLinePunct/>
        <w:ind w:firstLine="480" w:firstLineChars="200"/>
        <w:rPr>
          <w:rFonts w:cs="Times New Roman"/>
        </w:rPr>
      </w:pPr>
      <w:r>
        <w:rPr>
          <w:rFonts w:hint="eastAsia" w:cs="Times New Roman"/>
        </w:rPr>
        <w:t>文件</w:t>
      </w:r>
      <w:r>
        <w:rPr>
          <w:rFonts w:cs="Times New Roman"/>
        </w:rPr>
        <w:t>依据：</w:t>
      </w:r>
      <w:r>
        <w:rPr>
          <w:rFonts w:hint="eastAsia" w:cs="Times New Roman"/>
        </w:rPr>
        <w:t>《中华人民共和国土地管理法》《中华人民共和国城乡规划法》《成都市都江堰灌区保护条例》《成都市城镇及村庄规划管理技术规定</w:t>
      </w:r>
      <w:r>
        <w:rPr>
          <w:rFonts w:cs="Times New Roman"/>
        </w:rPr>
        <w:t>(2015)</w:t>
      </w:r>
      <w:r>
        <w:rPr>
          <w:rFonts w:hint="eastAsia" w:cs="Times New Roman"/>
        </w:rPr>
        <w:t>》《成都市镇（乡）及村庄规划技术导则</w:t>
      </w:r>
      <w:r>
        <w:rPr>
          <w:rFonts w:cs="Times New Roman"/>
        </w:rPr>
        <w:t>(2015)</w:t>
      </w:r>
      <w:r>
        <w:rPr>
          <w:rFonts w:hint="eastAsia" w:cs="Times New Roman"/>
        </w:rPr>
        <w:t>》。</w:t>
      </w:r>
    </w:p>
    <w:p>
      <w:pPr>
        <w:numPr>
          <w:ilvl w:val="3"/>
          <w:numId w:val="26"/>
        </w:numPr>
        <w:wordWrap w:val="0"/>
        <w:topLinePunct/>
        <w:ind w:firstLine="480" w:firstLineChars="200"/>
        <w:rPr>
          <w:rFonts w:cs="Times New Roman"/>
        </w:rPr>
      </w:pPr>
      <w:r>
        <w:rPr>
          <w:rFonts w:hint="eastAsia" w:cs="Times New Roman"/>
        </w:rPr>
        <w:t>《成都市城乡融合发展单元规划（镇国土空间总体规划）编制办法》《成都市多规合一实用性村规划编制办法》</w:t>
      </w:r>
    </w:p>
    <w:p>
      <w:pPr>
        <w:wordWrap w:val="0"/>
        <w:topLinePunct/>
        <w:ind w:firstLine="480" w:firstLineChars="200"/>
        <w:rPr>
          <w:rFonts w:cs="Times New Roman"/>
        </w:rPr>
      </w:pPr>
      <w:r>
        <w:rPr>
          <w:rFonts w:hint="eastAsia" w:cs="Times New Roman"/>
        </w:rPr>
        <w:t>文件</w:t>
      </w:r>
      <w:r>
        <w:rPr>
          <w:rFonts w:cs="Times New Roman"/>
        </w:rPr>
        <w:t>依据：</w:t>
      </w:r>
      <w:r>
        <w:rPr>
          <w:rFonts w:hint="eastAsia" w:cs="Times New Roman"/>
        </w:rPr>
        <w:t>《中共中央国务院关于建立国土空间规划体系并监督实施的若干意见》《成都市建立国土空间规划体系并监督实施的实施方案》《自然资源部办公厅关于加强村规划促进乡村振兴的通知》《自然资源部办公厅关于加强村规划促进乡村振兴的指导意见》《四川省村规划编制技术导则（试行）》《成都市村庄规划编制办法（</w:t>
      </w:r>
      <w:r>
        <w:rPr>
          <w:rFonts w:cs="Times New Roman"/>
        </w:rPr>
        <w:t>2015）》《成都市村土地利用规划编制技术细则》</w:t>
      </w:r>
      <w:r>
        <w:rPr>
          <w:rFonts w:hint="eastAsia" w:cs="Times New Roman"/>
        </w:rPr>
        <w:t>。</w:t>
      </w:r>
    </w:p>
    <w:p>
      <w:pPr>
        <w:numPr>
          <w:ilvl w:val="1"/>
          <w:numId w:val="1"/>
        </w:numPr>
        <w:wordWrap w:val="0"/>
        <w:topLinePunct/>
        <w:ind w:firstLine="480" w:firstLineChars="200"/>
        <w:rPr>
          <w:rFonts w:cs="Times New Roman"/>
        </w:rPr>
      </w:pPr>
      <w:r>
        <w:rPr>
          <w:rFonts w:hint="eastAsia" w:cs="Times New Roman"/>
        </w:rPr>
        <w:t xml:space="preserve"> 服务要求</w:t>
      </w:r>
    </w:p>
    <w:p>
      <w:pPr>
        <w:wordWrap w:val="0"/>
        <w:topLinePunct/>
        <w:ind w:firstLine="480" w:firstLineChars="200"/>
        <w:rPr>
          <w:rFonts w:cs="Times New Roman"/>
        </w:rPr>
      </w:pPr>
      <w:r>
        <w:rPr>
          <w:rFonts w:hint="eastAsia" w:cs="Times New Roman"/>
        </w:rPr>
        <w:t>1</w:t>
      </w:r>
      <w:r>
        <w:rPr>
          <w:rFonts w:cs="Times New Roman"/>
        </w:rPr>
        <w:t>.</w:t>
      </w:r>
      <w:r>
        <w:rPr>
          <w:rFonts w:hint="eastAsia" w:cs="宋体"/>
          <w:b/>
        </w:rPr>
        <w:t>※</w:t>
      </w:r>
      <w:r>
        <w:rPr>
          <w:rFonts w:hint="eastAsia" w:cs="Times New Roman"/>
        </w:rPr>
        <w:t>服务内容</w:t>
      </w:r>
    </w:p>
    <w:p>
      <w:pPr>
        <w:wordWrap w:val="0"/>
        <w:topLinePunct/>
        <w:ind w:firstLine="480" w:firstLineChars="200"/>
        <w:rPr>
          <w:rFonts w:cs="Times New Roman"/>
        </w:rPr>
      </w:pPr>
      <w:r>
        <w:rPr>
          <w:rFonts w:hint="eastAsia" w:cs="Times New Roman"/>
        </w:rPr>
        <w:t>（1）《成都市公园城市城乡融合发展单元建设项目管理技术规定及导则》</w:t>
      </w:r>
    </w:p>
    <w:p>
      <w:pPr>
        <w:wordWrap w:val="0"/>
        <w:topLinePunct/>
        <w:ind w:firstLine="480" w:firstLineChars="200"/>
        <w:rPr>
          <w:rFonts w:cs="Times New Roman"/>
        </w:rPr>
      </w:pPr>
      <w:r>
        <w:rPr>
          <w:rFonts w:hint="eastAsia" w:cs="Times New Roman"/>
        </w:rPr>
        <w:t>落实</w:t>
      </w:r>
      <w:r>
        <w:rPr>
          <w:rFonts w:cs="Times New Roman"/>
        </w:rPr>
        <w:t>“</w:t>
      </w:r>
      <w:r>
        <w:rPr>
          <w:rFonts w:hint="eastAsia" w:cs="Times New Roman"/>
        </w:rPr>
        <w:t>乡村</w:t>
      </w:r>
      <w:r>
        <w:rPr>
          <w:rFonts w:cs="Times New Roman"/>
        </w:rPr>
        <w:t>振兴战略”</w:t>
      </w:r>
      <w:r>
        <w:rPr>
          <w:rFonts w:hint="eastAsia" w:cs="Times New Roman"/>
        </w:rPr>
        <w:t>和</w:t>
      </w:r>
      <w:r>
        <w:rPr>
          <w:rFonts w:cs="Times New Roman"/>
        </w:rPr>
        <w:t>公园城市理念，</w:t>
      </w:r>
      <w:r>
        <w:rPr>
          <w:rFonts w:hint="eastAsia" w:cs="Times New Roman"/>
        </w:rPr>
        <w:t>结合成都镇村发展的现实情况，明确镇区（街道）和乡村地区的建设项目管控要求，以提升规划建设管理的可操作性。</w:t>
      </w:r>
    </w:p>
    <w:p>
      <w:pPr>
        <w:wordWrap w:val="0"/>
        <w:topLinePunct/>
        <w:ind w:firstLine="480" w:firstLineChars="200"/>
        <w:rPr>
          <w:rFonts w:cs="Times New Roman"/>
        </w:rPr>
      </w:pPr>
      <w:r>
        <w:rPr>
          <w:rFonts w:hint="eastAsia" w:cs="Times New Roman"/>
        </w:rPr>
        <w:t>（2）</w:t>
      </w:r>
      <w:r>
        <w:rPr>
          <w:rFonts w:cs="Times New Roman"/>
        </w:rPr>
        <w:t>《成都市城乡融合发展单元规划（镇国土空间总体规划）编制办法》</w:t>
      </w:r>
    </w:p>
    <w:p>
      <w:pPr>
        <w:wordWrap w:val="0"/>
        <w:topLinePunct/>
        <w:ind w:firstLine="480" w:firstLineChars="200"/>
        <w:rPr>
          <w:rFonts w:cs="Times New Roman"/>
        </w:rPr>
      </w:pPr>
      <w:r>
        <w:rPr>
          <w:rFonts w:hint="eastAsia" w:cs="Times New Roman"/>
        </w:rPr>
        <w:t>落实国家、省市建立国土空间规划体系的要求，融入成都城乡融合发展和公园城市理念，明确了以城乡融合发展单元为载体的镇国土空间规划编制原则、范围、对象、期限和范围。根据省对项目入库审查的标准和要求，规范了成果形式</w:t>
      </w:r>
      <w:r>
        <w:rPr>
          <w:rFonts w:cs="Times New Roman"/>
        </w:rPr>
        <w:t>,明确了编制要求及内容深度。</w:t>
      </w:r>
    </w:p>
    <w:p>
      <w:pPr>
        <w:wordWrap w:val="0"/>
        <w:topLinePunct/>
        <w:ind w:firstLine="480" w:firstLineChars="200"/>
        <w:rPr>
          <w:rFonts w:cs="Times New Roman"/>
        </w:rPr>
      </w:pPr>
      <w:r>
        <w:rPr>
          <w:rFonts w:hint="eastAsia" w:cs="Times New Roman"/>
        </w:rPr>
        <w:t>（3）</w:t>
      </w:r>
      <w:r>
        <w:rPr>
          <w:rFonts w:cs="Times New Roman"/>
        </w:rPr>
        <w:t>《成都市多规合一实用性村规划编制办法》</w:t>
      </w:r>
    </w:p>
    <w:p>
      <w:pPr>
        <w:wordWrap w:val="0"/>
        <w:topLinePunct/>
        <w:spacing w:line="360" w:lineRule="auto"/>
        <w:ind w:firstLine="480" w:firstLineChars="200"/>
        <w:rPr>
          <w:rFonts w:cs="Times New Roman"/>
        </w:rPr>
      </w:pPr>
      <w:r>
        <w:rPr>
          <w:rFonts w:hint="eastAsia" w:cs="Times New Roman"/>
        </w:rPr>
        <w:t xml:space="preserve">落实国家、中央省对村规划编制的相关要求，结合成都实际情况，明确了村规划的编制对象、主体、范围、期限及审批流程。构建了村规划的编制框架、并明确了编制要求及内容深度，规范成果形式，为全面提升编制水平，优化编审流程提供了有力的保障。  </w:t>
      </w:r>
    </w:p>
    <w:p>
      <w:pPr>
        <w:wordWrap w:val="0"/>
        <w:topLinePunct/>
        <w:ind w:left="480" w:leftChars="200"/>
        <w:rPr>
          <w:rFonts w:cs="Times New Roman"/>
        </w:rPr>
      </w:pPr>
      <w:r>
        <w:rPr>
          <w:rFonts w:hint="eastAsia" w:cs="Times New Roman"/>
        </w:rPr>
        <w:t>2.专业人员组成</w:t>
      </w:r>
    </w:p>
    <w:p>
      <w:pPr>
        <w:wordWrap w:val="0"/>
        <w:topLinePunct/>
        <w:ind w:firstLine="480" w:firstLineChars="200"/>
        <w:rPr>
          <w:rFonts w:cs="Times New Roman"/>
        </w:rPr>
      </w:pPr>
      <w:r>
        <w:rPr>
          <w:rFonts w:hint="eastAsia" w:cs="Times New Roman"/>
        </w:rPr>
        <w:t>（1）</w:t>
      </w:r>
      <w:r>
        <w:rPr>
          <w:rFonts w:cs="Times New Roman"/>
        </w:rPr>
        <w:t>《成都市公园城市城乡融合发展单元建设项目管理技术规定及导则》：</w:t>
      </w:r>
      <w:r>
        <w:rPr>
          <w:rFonts w:hint="eastAsia" w:cs="Times New Roman"/>
        </w:rPr>
        <w:t>项目负责人具有注册</w:t>
      </w:r>
      <w:r>
        <w:rPr>
          <w:rFonts w:cs="Times New Roman"/>
        </w:rPr>
        <w:t>城乡规划师</w:t>
      </w:r>
      <w:r>
        <w:rPr>
          <w:rFonts w:hint="eastAsia" w:cs="Times New Roman"/>
          <w:lang w:eastAsia="zh-CN"/>
        </w:rPr>
        <w:t>（</w:t>
      </w:r>
      <w:r>
        <w:rPr>
          <w:rFonts w:hint="eastAsia" w:cs="Times New Roman"/>
          <w:lang w:val="en-US" w:eastAsia="zh-CN"/>
        </w:rPr>
        <w:t>或国土空间规划师</w:t>
      </w:r>
      <w:r>
        <w:rPr>
          <w:rFonts w:hint="eastAsia" w:cs="Times New Roman"/>
          <w:lang w:eastAsia="zh-CN"/>
        </w:rPr>
        <w:t>）</w:t>
      </w:r>
      <w:r>
        <w:rPr>
          <w:rFonts w:hint="eastAsia" w:cs="Times New Roman"/>
        </w:rPr>
        <w:t>及高级专业技术职称。项目组成员至少3人具有中级或以上专业技术职称或具有注册</w:t>
      </w:r>
      <w:r>
        <w:rPr>
          <w:rFonts w:cs="Times New Roman"/>
        </w:rPr>
        <w:t>城乡规划师</w:t>
      </w:r>
      <w:r>
        <w:rPr>
          <w:rFonts w:hint="eastAsia" w:cs="Times New Roman"/>
        </w:rPr>
        <w:t>（或国土空间规划师）。</w:t>
      </w:r>
    </w:p>
    <w:p>
      <w:pPr>
        <w:wordWrap w:val="0"/>
        <w:topLinePunct/>
        <w:ind w:firstLine="480" w:firstLineChars="200"/>
        <w:rPr>
          <w:rFonts w:cs="Times New Roman"/>
        </w:rPr>
      </w:pPr>
      <w:r>
        <w:rPr>
          <w:rFonts w:hint="eastAsia" w:cs="Times New Roman"/>
        </w:rPr>
        <w:t>（2）</w:t>
      </w:r>
      <w:r>
        <w:rPr>
          <w:rFonts w:cs="Times New Roman"/>
        </w:rPr>
        <w:t>《成都市城乡融合发展单元规划（镇国土空间总体规划）编制办法》《成都市多规合一实用性村规划编制办法》</w:t>
      </w:r>
      <w:r>
        <w:rPr>
          <w:rFonts w:hint="eastAsia" w:cs="Times New Roman"/>
        </w:rPr>
        <w:t>：项目负责人应具有注册</w:t>
      </w:r>
      <w:r>
        <w:rPr>
          <w:rFonts w:cs="Times New Roman"/>
        </w:rPr>
        <w:t>城乡规划师</w:t>
      </w:r>
      <w:r>
        <w:rPr>
          <w:rFonts w:hint="eastAsia" w:cs="Times New Roman"/>
          <w:lang w:eastAsia="zh-CN"/>
        </w:rPr>
        <w:t>（</w:t>
      </w:r>
      <w:r>
        <w:rPr>
          <w:rFonts w:hint="eastAsia" w:cs="Times New Roman"/>
          <w:lang w:val="en-US" w:eastAsia="zh-CN"/>
        </w:rPr>
        <w:t>或国土空间规划师</w:t>
      </w:r>
      <w:r>
        <w:rPr>
          <w:rFonts w:hint="eastAsia" w:cs="Times New Roman"/>
          <w:lang w:eastAsia="zh-CN"/>
        </w:rPr>
        <w:t>）</w:t>
      </w:r>
      <w:r>
        <w:rPr>
          <w:rFonts w:hint="eastAsia" w:cs="Times New Roman"/>
        </w:rPr>
        <w:t>及高级专业技术职称。项目组成员至少3人具有中级或以上专业技术职称或具有注册</w:t>
      </w:r>
      <w:r>
        <w:rPr>
          <w:rFonts w:cs="Times New Roman"/>
        </w:rPr>
        <w:t>城乡规划师</w:t>
      </w:r>
      <w:r>
        <w:rPr>
          <w:rFonts w:hint="eastAsia" w:cs="Times New Roman"/>
          <w:lang w:eastAsia="zh-CN"/>
        </w:rPr>
        <w:t>（</w:t>
      </w:r>
      <w:r>
        <w:rPr>
          <w:rFonts w:hint="eastAsia" w:cs="Times New Roman"/>
          <w:lang w:val="en-US" w:eastAsia="zh-CN"/>
        </w:rPr>
        <w:t>或国土空间规划师</w:t>
      </w:r>
      <w:r>
        <w:rPr>
          <w:rFonts w:hint="eastAsia" w:cs="Times New Roman"/>
          <w:lang w:eastAsia="zh-CN"/>
        </w:rPr>
        <w:t>）</w:t>
      </w:r>
      <w:r>
        <w:rPr>
          <w:rFonts w:hint="eastAsia" w:cs="Times New Roman"/>
        </w:rPr>
        <w:t>。</w:t>
      </w:r>
    </w:p>
    <w:p>
      <w:pPr>
        <w:adjustRightInd/>
        <w:snapToGrid/>
        <w:ind w:left="420"/>
        <w:rPr>
          <w:rFonts w:asciiTheme="minorEastAsia" w:hAnsiTheme="minorEastAsia" w:eastAsiaTheme="minorEastAsia" w:cstheme="minorEastAsia"/>
          <w:b/>
          <w:bCs/>
        </w:rPr>
      </w:pPr>
      <w:r>
        <w:rPr>
          <w:rFonts w:hint="eastAsia" w:asciiTheme="minorEastAsia" w:hAnsiTheme="minorEastAsia" w:eastAsiaTheme="minorEastAsia" w:cstheme="minorEastAsia"/>
          <w:b/>
          <w:bCs/>
        </w:rPr>
        <w:t>（3）</w:t>
      </w:r>
      <w:r>
        <w:rPr>
          <w:rFonts w:hint="eastAsia" w:cs="宋体"/>
          <w:b/>
          <w:bCs/>
        </w:rPr>
        <w:t>※</w:t>
      </w:r>
      <w:r>
        <w:rPr>
          <w:rFonts w:hint="eastAsia" w:asciiTheme="minorEastAsia" w:hAnsiTheme="minorEastAsia" w:eastAsiaTheme="minorEastAsia" w:cstheme="minorEastAsia"/>
          <w:b/>
          <w:bCs/>
        </w:rPr>
        <w:t>上述两组人员不能重复，供应商在其他响应文件中提供各组人员名单及具体职责。</w:t>
      </w:r>
    </w:p>
    <w:p>
      <w:pPr>
        <w:numPr>
          <w:ilvl w:val="0"/>
          <w:numId w:val="25"/>
        </w:numPr>
        <w:ind w:firstLine="482" w:firstLineChars="200"/>
        <w:outlineLvl w:val="1"/>
        <w:rPr>
          <w:rFonts w:cs="宋体"/>
          <w:b/>
          <w:bCs/>
        </w:rPr>
      </w:pPr>
      <w:bookmarkStart w:id="327" w:name="_Toc3071"/>
      <w:bookmarkStart w:id="328" w:name="_Toc24315"/>
      <w:bookmarkStart w:id="329" w:name="_Toc32269"/>
      <w:r>
        <w:rPr>
          <w:rFonts w:hint="eastAsia" w:cs="宋体"/>
          <w:b/>
          <w:bCs/>
        </w:rPr>
        <w:t>※商务要求</w:t>
      </w:r>
      <w:bookmarkEnd w:id="327"/>
      <w:bookmarkEnd w:id="328"/>
      <w:bookmarkEnd w:id="329"/>
    </w:p>
    <w:p>
      <w:pPr>
        <w:numPr>
          <w:ilvl w:val="0"/>
          <w:numId w:val="28"/>
        </w:numPr>
        <w:tabs>
          <w:tab w:val="left" w:pos="312"/>
          <w:tab w:val="clear" w:pos="0"/>
        </w:tabs>
        <w:adjustRightInd/>
        <w:snapToGrid/>
        <w:rPr>
          <w:rFonts w:asciiTheme="minorEastAsia" w:hAnsiTheme="minorEastAsia" w:eastAsiaTheme="minorEastAsia" w:cstheme="minorEastAsia"/>
          <w:b/>
          <w:bCs/>
        </w:rPr>
      </w:pPr>
      <w:r>
        <w:rPr>
          <w:rFonts w:hint="eastAsia" w:asciiTheme="minorEastAsia" w:hAnsiTheme="minorEastAsia" w:eastAsiaTheme="minorEastAsia" w:cstheme="minorEastAsia"/>
          <w:b/>
          <w:bCs/>
        </w:rPr>
        <w:t>履约时间及履约地点</w:t>
      </w:r>
    </w:p>
    <w:p>
      <w:pPr>
        <w:pStyle w:val="24"/>
        <w:numPr>
          <w:ilvl w:val="4"/>
          <w:numId w:val="0"/>
        </w:numPr>
        <w:adjustRightInd/>
        <w:snapToGrid/>
        <w:spacing w:before="0" w:after="0" w:line="440" w:lineRule="exact"/>
        <w:ind w:firstLine="480" w:firstLineChars="200"/>
        <w:outlineLvl w:val="9"/>
        <w:rPr>
          <w:rFonts w:asciiTheme="minorEastAsia" w:hAnsiTheme="minorEastAsia" w:eastAsiaTheme="minorEastAsia" w:cstheme="minorEastAsia"/>
          <w:b w:val="0"/>
          <w:bCs/>
          <w:szCs w:val="24"/>
        </w:rPr>
      </w:pPr>
      <w:r>
        <w:rPr>
          <w:rFonts w:hint="eastAsia" w:asciiTheme="minorEastAsia" w:hAnsiTheme="minorEastAsia" w:eastAsiaTheme="minorEastAsia" w:cstheme="minorEastAsia"/>
          <w:b w:val="0"/>
          <w:bCs/>
          <w:szCs w:val="24"/>
        </w:rPr>
        <w:t>1.履约时间：</w:t>
      </w:r>
      <w:r>
        <w:rPr>
          <w:rFonts w:hint="eastAsia" w:asciiTheme="minorEastAsia" w:hAnsiTheme="minorEastAsia" w:eastAsiaTheme="minorEastAsia" w:cstheme="minorEastAsia"/>
          <w:b w:val="0"/>
          <w:bCs/>
          <w:szCs w:val="24"/>
          <w:lang w:val="en-US" w:eastAsia="zh-CN"/>
        </w:rPr>
        <w:t>采购合同签订生效之日起至2021年12月31日，按采购人要求</w:t>
      </w:r>
      <w:r>
        <w:rPr>
          <w:rFonts w:hint="eastAsia" w:asciiTheme="minorEastAsia" w:hAnsiTheme="minorEastAsia" w:eastAsiaTheme="minorEastAsia" w:cstheme="minorEastAsia"/>
          <w:b w:val="0"/>
          <w:bCs/>
          <w:szCs w:val="24"/>
        </w:rPr>
        <w:t>完成所有工作内容。</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2.履约地点：采购人指定地点。</w:t>
      </w:r>
    </w:p>
    <w:p>
      <w:pPr>
        <w:numPr>
          <w:ilvl w:val="0"/>
          <w:numId w:val="28"/>
        </w:numPr>
        <w:tabs>
          <w:tab w:val="left" w:pos="312"/>
          <w:tab w:val="clear" w:pos="0"/>
        </w:tabs>
        <w:adjustRightInd/>
        <w:snapToGrid/>
        <w:rPr>
          <w:rFonts w:asciiTheme="minorEastAsia" w:hAnsiTheme="minorEastAsia" w:eastAsiaTheme="minorEastAsia" w:cstheme="minorEastAsia"/>
          <w:b/>
          <w:bCs/>
        </w:rPr>
      </w:pPr>
      <w:r>
        <w:rPr>
          <w:rFonts w:hint="eastAsia" w:asciiTheme="minorEastAsia" w:hAnsiTheme="minorEastAsia" w:eastAsiaTheme="minorEastAsia" w:cstheme="minorEastAsia"/>
          <w:b/>
          <w:bCs/>
        </w:rPr>
        <w:t>付款方式</w:t>
      </w:r>
    </w:p>
    <w:p>
      <w:pPr>
        <w:adjustRightInd/>
        <w:snapToGrid/>
        <w:ind w:firstLine="480" w:firstLineChars="200"/>
        <w:rPr>
          <w:rFonts w:cs="宋体"/>
          <w:kern w:val="0"/>
        </w:rPr>
      </w:pPr>
      <w:r>
        <w:rPr>
          <w:rFonts w:hint="eastAsia" w:cs="宋体"/>
          <w:kern w:val="0"/>
        </w:rPr>
        <w:t>1.签订政府采购合同后5个工作日内，采购人支付合同金额的40%。供应商向采购人提交正式成果且通过验收后5个工作日内，采购人支付合同金额的60%；</w:t>
      </w:r>
    </w:p>
    <w:p>
      <w:pPr>
        <w:adjustRightInd/>
        <w:snapToGrid/>
        <w:ind w:firstLine="480" w:firstLineChars="200"/>
        <w:rPr>
          <w:rFonts w:asciiTheme="minorEastAsia" w:hAnsiTheme="minorEastAsia" w:eastAsiaTheme="minorEastAsia" w:cstheme="minorEastAsia"/>
        </w:rPr>
      </w:pPr>
      <w:r>
        <w:rPr>
          <w:rFonts w:hint="eastAsia" w:cs="宋体"/>
          <w:kern w:val="0"/>
        </w:rPr>
        <w:t>2.每次付款前，成交供应商须向采购人出具合法有效完整的完税发票及凭证资料后进行支付结算，付款方式均采用公对公的银行转账，供应商接受转账的开户信息以采购合同载明的为准。</w:t>
      </w:r>
    </w:p>
    <w:p>
      <w:pPr>
        <w:numPr>
          <w:ilvl w:val="0"/>
          <w:numId w:val="28"/>
        </w:numPr>
        <w:tabs>
          <w:tab w:val="left" w:pos="312"/>
          <w:tab w:val="clear" w:pos="0"/>
        </w:tabs>
        <w:adjustRightInd/>
        <w:snapToGrid/>
        <w:rPr>
          <w:rFonts w:asciiTheme="minorEastAsia" w:hAnsiTheme="minorEastAsia" w:eastAsiaTheme="minorEastAsia" w:cstheme="minorEastAsia"/>
          <w:b/>
          <w:bCs/>
        </w:rPr>
      </w:pPr>
      <w:r>
        <w:rPr>
          <w:rFonts w:hint="eastAsia" w:asciiTheme="minorEastAsia" w:hAnsiTheme="minorEastAsia" w:eastAsiaTheme="minorEastAsia" w:cstheme="minorEastAsia"/>
          <w:b/>
          <w:bCs/>
        </w:rPr>
        <w:t>合同价款</w:t>
      </w:r>
    </w:p>
    <w:p>
      <w:pPr>
        <w:pStyle w:val="24"/>
        <w:spacing w:before="0" w:after="0" w:line="440" w:lineRule="exact"/>
        <w:ind w:firstLine="480" w:firstLineChars="200"/>
        <w:outlineLvl w:val="9"/>
        <w:rPr>
          <w:rFonts w:ascii="宋体" w:hAnsi="宋体" w:eastAsia="宋体"/>
          <w:b w:val="0"/>
          <w:bCs/>
          <w:kern w:val="2"/>
          <w:szCs w:val="24"/>
        </w:rPr>
      </w:pPr>
      <w:r>
        <w:rPr>
          <w:rFonts w:hint="eastAsia" w:ascii="宋体" w:hAnsi="宋体" w:eastAsia="宋体"/>
          <w:b w:val="0"/>
          <w:bCs/>
          <w:kern w:val="2"/>
          <w:szCs w:val="24"/>
        </w:rPr>
        <w:t>合同价是供应商响应本项目要求的全部工作内容的价格体现，包含完成本项目所涉及人员劳务、调研、差旅、咨询、成果制作、设备投入、利润、保险、风险、税金、招标代理服务费以及磋商文件规定的一切费用。</w:t>
      </w:r>
    </w:p>
    <w:p>
      <w:pPr>
        <w:numPr>
          <w:ilvl w:val="0"/>
          <w:numId w:val="28"/>
        </w:numPr>
        <w:tabs>
          <w:tab w:val="left" w:pos="312"/>
          <w:tab w:val="clear" w:pos="0"/>
        </w:tabs>
        <w:adjustRightInd/>
        <w:snapToGrid/>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项目验收方法和标准</w:t>
      </w:r>
    </w:p>
    <w:p>
      <w:pPr>
        <w:adjustRightInd/>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1.供应商在完成所有工作内容后通知采购人，采购人在接到通知后组织履约验收，验收合格，双方签署《验收报告》；</w:t>
      </w:r>
    </w:p>
    <w:p>
      <w:pPr>
        <w:adjustRightInd/>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adjustRightInd/>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rPr>
        <w:t>验收结果合格的，中标人凭《验收报告》办理相关手续；验收结果不合格的，将不予支付采购资金，还可能会报本项目同级财政部门按照政府采购法律法规等有关规定给予行政处罚</w:t>
      </w:r>
      <w:r>
        <w:rPr>
          <w:rFonts w:hint="eastAsia" w:asciiTheme="minorEastAsia" w:hAnsiTheme="minorEastAsia" w:eastAsiaTheme="minorEastAsia" w:cstheme="minorEastAsia"/>
        </w:rPr>
        <w:t>；</w:t>
      </w:r>
    </w:p>
    <w:p>
      <w:pPr>
        <w:adjustRightInd/>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4.其他未尽事宜应严格按照《财政部关于进一步加强政府采购需求和履约验收管理的指导意见》(财库〔2016〕205号)的要求进行验收；</w:t>
      </w:r>
    </w:p>
    <w:p>
      <w:pPr>
        <w:numPr>
          <w:ilvl w:val="0"/>
          <w:numId w:val="28"/>
        </w:numPr>
        <w:tabs>
          <w:tab w:val="left" w:pos="312"/>
          <w:tab w:val="clear" w:pos="0"/>
        </w:tabs>
        <w:adjustRightInd/>
        <w:snapToGrid/>
        <w:rPr>
          <w:rFonts w:asciiTheme="minorEastAsia" w:hAnsiTheme="minorEastAsia" w:eastAsiaTheme="minorEastAsia" w:cstheme="minorEastAsia"/>
          <w:b/>
          <w:bCs/>
        </w:rPr>
      </w:pPr>
      <w:r>
        <w:rPr>
          <w:rFonts w:hint="eastAsia" w:asciiTheme="minorEastAsia" w:hAnsiTheme="minorEastAsia" w:eastAsiaTheme="minorEastAsia" w:cstheme="minorEastAsia"/>
          <w:b/>
          <w:bCs/>
        </w:rPr>
        <w:t>违约责任</w:t>
      </w:r>
    </w:p>
    <w:p>
      <w:pPr>
        <w:adjustRightInd/>
        <w:snapToGrid/>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1.供应商必须遵守采购合同并执行合同中的各项规定，保证采购合同的正常履行。</w:t>
      </w:r>
    </w:p>
    <w:p>
      <w:pPr>
        <w:adjustRightInd/>
        <w:snapToGrid/>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bCs/>
          <w:color w:val="000000" w:themeColor="text1"/>
          <w:szCs w:val="22"/>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供应商必须遵守采购合同按时完成合同相关工作，若由于供应商原因导致合同迟延履</w:t>
      </w:r>
      <w:r>
        <w:rPr>
          <w:rFonts w:hint="eastAsia" w:asciiTheme="minorEastAsia" w:hAnsiTheme="minorEastAsia" w:eastAsiaTheme="minorEastAsia" w:cstheme="minorEastAsia"/>
          <w:color w:val="000000" w:themeColor="text1"/>
          <w:spacing w:val="-6"/>
          <w14:textFill>
            <w14:solidFill>
              <w14:schemeClr w14:val="tx1"/>
            </w14:solidFill>
          </w14:textFill>
        </w:rPr>
        <w:t>行，供应商应承担采购合同中约定的罚金。</w:t>
      </w:r>
    </w:p>
    <w:p>
      <w:pPr>
        <w:adjustRightInd/>
        <w:snapToGrid/>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Theme="minorEastAsia" w:hAnsiTheme="minorEastAsia" w:eastAsiaTheme="minorEastAsia" w:cstheme="minorEastAsia"/>
          <w:bCs/>
          <w:color w:val="000000" w:themeColor="text1"/>
          <w:szCs w:val="22"/>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5.有下列情形之一的，当事人可以解除合同：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5.1因不可抗力致使不能实现合同目的(由于非供应商或采购人原因，致使合同实质性条款无法实现的)；</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5.2当事人一方迟延履行主要债务，经催告后在合理期限内仍未履行；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5.3当事人一方迟延履行债务或者有其他违约行为致使不能实现合同目的；</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5.4法律规定的其他情形。</w:t>
      </w:r>
    </w:p>
    <w:p>
      <w:pPr>
        <w:numPr>
          <w:ilvl w:val="0"/>
          <w:numId w:val="28"/>
        </w:numPr>
        <w:tabs>
          <w:tab w:val="left" w:pos="312"/>
          <w:tab w:val="clear" w:pos="0"/>
        </w:tabs>
        <w:adjustRightInd/>
        <w:snapToGrid/>
        <w:rPr>
          <w:rFonts w:asciiTheme="minorEastAsia" w:hAnsiTheme="minorEastAsia" w:eastAsiaTheme="minorEastAsia" w:cstheme="minorEastAsia"/>
          <w:b/>
          <w:bCs/>
        </w:rPr>
      </w:pPr>
      <w:r>
        <w:rPr>
          <w:rFonts w:hint="eastAsia" w:asciiTheme="minorEastAsia" w:hAnsiTheme="minorEastAsia" w:eastAsiaTheme="minorEastAsia" w:cstheme="minorEastAsia"/>
          <w:b/>
          <w:bCs/>
        </w:rPr>
        <w:t>解决争议的方法</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合同履行期间,若双方发生争议，可协商或由有关部门调解解决，协商或调解不成的， 向采购人所在地有管辖权的人民法院起诉。</w:t>
      </w:r>
    </w:p>
    <w:p>
      <w:pPr>
        <w:numPr>
          <w:ilvl w:val="0"/>
          <w:numId w:val="28"/>
        </w:numPr>
        <w:tabs>
          <w:tab w:val="left" w:pos="312"/>
          <w:tab w:val="clear" w:pos="0"/>
        </w:tabs>
        <w:adjustRightInd/>
        <w:snapToGrid/>
        <w:rPr>
          <w:rFonts w:asciiTheme="minorEastAsia" w:hAnsiTheme="minorEastAsia" w:eastAsiaTheme="minorEastAsia" w:cstheme="minorEastAsia"/>
          <w:b/>
          <w:bCs/>
        </w:rPr>
      </w:pPr>
      <w:bookmarkStart w:id="330" w:name="_Toc32286_WPSOffice_Level2"/>
      <w:bookmarkStart w:id="331" w:name="_Toc27313"/>
      <w:bookmarkStart w:id="332" w:name="_Toc20781"/>
      <w:r>
        <w:rPr>
          <w:rFonts w:hint="eastAsia" w:asciiTheme="minorEastAsia" w:hAnsiTheme="minorEastAsia" w:eastAsiaTheme="minorEastAsia" w:cstheme="minorEastAsia"/>
          <w:b/>
          <w:bCs/>
        </w:rPr>
        <w:t>其他要求</w:t>
      </w:r>
      <w:bookmarkEnd w:id="330"/>
      <w:bookmarkEnd w:id="331"/>
      <w:bookmarkEnd w:id="332"/>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1.政府采购合同签订时间：供应商自成交通知书发出之日起30日内与采购人签订政府采购合同。</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2.供应商应保证所提供的货物、服务或其任何一部分均不会侵犯任何第三方的专利权、商标权或著作权。</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3.供应商在项目执行过程中定期及时向采购人通告本项目供货的重大事项及其进度。</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4.接受项目行业管理部门及政府有关部门的指导，接受采购人的监督。</w:t>
      </w:r>
    </w:p>
    <w:bookmarkEnd w:id="299"/>
    <w:bookmarkEnd w:id="300"/>
    <w:bookmarkEnd w:id="301"/>
    <w:bookmarkEnd w:id="302"/>
    <w:bookmarkEnd w:id="303"/>
    <w:bookmarkEnd w:id="304"/>
    <w:p>
      <w:pPr>
        <w:pStyle w:val="43"/>
        <w:ind w:firstLine="482"/>
      </w:pPr>
      <w:r>
        <w:rPr>
          <w:rFonts w:hint="eastAsia"/>
        </w:rPr>
        <w:t>注意：本章带“※”号条款为实质性要求，供应商若未满足的，将被视为无效响应。</w:t>
      </w:r>
    </w:p>
    <w:p>
      <w:pPr>
        <w:pStyle w:val="39"/>
      </w:pPr>
      <w:r>
        <w:rPr>
          <w:rFonts w:hint="eastAsia"/>
        </w:rPr>
        <w:br w:type="page"/>
      </w:r>
    </w:p>
    <w:bookmarkEnd w:id="305"/>
    <w:bookmarkEnd w:id="306"/>
    <w:bookmarkEnd w:id="307"/>
    <w:p>
      <w:pPr>
        <w:pStyle w:val="44"/>
        <w:spacing w:before="120" w:after="120"/>
      </w:pPr>
      <w:bookmarkStart w:id="333" w:name="_Hlt101846155"/>
      <w:bookmarkEnd w:id="333"/>
      <w:bookmarkStart w:id="334" w:name="_Toc24468"/>
      <w:bookmarkStart w:id="335" w:name="_Toc12577"/>
      <w:bookmarkStart w:id="336" w:name="_Toc509579145"/>
      <w:bookmarkStart w:id="337" w:name="_Toc41037907"/>
      <w:bookmarkStart w:id="338" w:name="_Toc26923"/>
      <w:bookmarkStart w:id="339" w:name="_Toc183582280"/>
      <w:bookmarkStart w:id="340" w:name="_Toc319440188"/>
      <w:bookmarkStart w:id="341" w:name="_Toc208849007"/>
      <w:bookmarkStart w:id="342" w:name="_Toc1543"/>
      <w:bookmarkStart w:id="343" w:name="_Toc4553"/>
      <w:bookmarkStart w:id="344" w:name="_Toc21302"/>
      <w:bookmarkStart w:id="345" w:name="_Toc25959"/>
      <w:bookmarkStart w:id="346" w:name="_Toc11039"/>
      <w:bookmarkStart w:id="347" w:name="_Toc308188198"/>
      <w:bookmarkStart w:id="348" w:name="_Toc25435"/>
      <w:bookmarkStart w:id="349" w:name="_Toc308084645"/>
      <w:bookmarkStart w:id="350" w:name="_Toc307501154"/>
      <w:bookmarkStart w:id="351" w:name="_Toc319439946"/>
      <w:bookmarkStart w:id="352" w:name="_Toc327196339"/>
      <w:bookmarkStart w:id="353" w:name="_Toc217446097"/>
      <w:bookmarkStart w:id="354" w:name="_Toc183682415"/>
      <w:bookmarkStart w:id="355" w:name="_Toc483"/>
      <w:bookmarkStart w:id="356" w:name="_Toc3881"/>
      <w:bookmarkStart w:id="357" w:name="_Toc2232"/>
      <w:bookmarkStart w:id="358" w:name="_Toc307564896"/>
      <w:bookmarkStart w:id="359" w:name="_Toc309897563"/>
      <w:r>
        <w:rPr>
          <w:rFonts w:hint="eastAsia"/>
        </w:rPr>
        <w:t>磋商内容、磋商过程中可实质性变动的内容</w:t>
      </w:r>
      <w:bookmarkEnd w:id="334"/>
      <w:bookmarkEnd w:id="335"/>
      <w:bookmarkEnd w:id="336"/>
      <w:bookmarkEnd w:id="337"/>
    </w:p>
    <w:p>
      <w:pPr>
        <w:pStyle w:val="42"/>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
        <w:rPr>
          <w:rFonts w:hint="eastAsia"/>
        </w:rPr>
        <w:br w:type="page"/>
      </w:r>
    </w:p>
    <w:p>
      <w:pPr>
        <w:pStyle w:val="44"/>
        <w:numPr>
          <w:ilvl w:val="0"/>
          <w:numId w:val="23"/>
        </w:numPr>
        <w:spacing w:before="120" w:after="120"/>
      </w:pPr>
      <w:bookmarkStart w:id="360" w:name="_Toc19228"/>
      <w:r>
        <w:rPr>
          <w:rFonts w:hint="eastAsia"/>
        </w:rPr>
        <w:t>磋商程序</w:t>
      </w:r>
      <w:bookmarkEnd w:id="360"/>
    </w:p>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Pr>
        <w:pStyle w:val="42"/>
      </w:pPr>
      <w:bookmarkStart w:id="361" w:name="_Toc28956"/>
      <w:r>
        <w:rPr>
          <w:rFonts w:hint="eastAsia"/>
        </w:rPr>
        <w:t>根据《中华人民共和国政府采购法》、《中华人民共和国政府采购法实施条例》、《政府采购竞争性磋商采购方式管理暂行办法》等法律法规并结合本次采购项目的特点制定本评审程序、评审方法、评审标准。</w:t>
      </w:r>
    </w:p>
    <w:p>
      <w:pPr>
        <w:pStyle w:val="31"/>
        <w:ind w:firstLine="482"/>
      </w:pPr>
      <w:bookmarkStart w:id="362" w:name="_Toc7941"/>
      <w:bookmarkStart w:id="363" w:name="_Toc25181"/>
      <w:r>
        <w:rPr>
          <w:rFonts w:hint="eastAsia"/>
        </w:rPr>
        <w:t>磋商小组及专家组成</w:t>
      </w:r>
      <w:bookmarkEnd w:id="362"/>
      <w:bookmarkEnd w:id="363"/>
    </w:p>
    <w:p>
      <w:pPr>
        <w:pStyle w:val="42"/>
      </w:pPr>
      <w:r>
        <w:rPr>
          <w:rFonts w:hint="eastAsia"/>
        </w:rPr>
        <w:t>根据《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1"/>
        <w:ind w:firstLine="482"/>
      </w:pPr>
      <w:bookmarkStart w:id="364" w:name="_Toc10809"/>
      <w:bookmarkStart w:id="365" w:name="_Toc15700"/>
      <w:bookmarkStart w:id="366" w:name="_Toc2442"/>
      <w:bookmarkStart w:id="367" w:name="_Toc15935"/>
      <w:bookmarkStart w:id="368" w:name="_Toc12412"/>
      <w:r>
        <w:rPr>
          <w:rFonts w:hint="eastAsia"/>
        </w:rPr>
        <w:t>磋商组织</w:t>
      </w:r>
      <w:bookmarkEnd w:id="364"/>
      <w:bookmarkEnd w:id="365"/>
      <w:bookmarkEnd w:id="366"/>
      <w:bookmarkEnd w:id="367"/>
      <w:bookmarkEnd w:id="368"/>
    </w:p>
    <w:p>
      <w:pPr>
        <w:pStyle w:val="42"/>
        <w:rPr>
          <w:lang w:val="zh-CN"/>
        </w:rPr>
      </w:pPr>
      <w:r>
        <w:rPr>
          <w:rFonts w:hint="eastAsia"/>
        </w:rPr>
        <w:t>(一)</w:t>
      </w:r>
      <w:r>
        <w:rPr>
          <w:rFonts w:hint="eastAsia"/>
          <w:lang w:val="zh-CN"/>
        </w:rPr>
        <w:t>磋商工作由采购代理机构组织，具体磋商事务由依法组建的磋商小组负责。</w:t>
      </w:r>
    </w:p>
    <w:p>
      <w:pPr>
        <w:pStyle w:val="42"/>
      </w:pPr>
      <w:r>
        <w:rPr>
          <w:rFonts w:hint="eastAsia"/>
        </w:rPr>
        <w:t>(二)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2"/>
      </w:pPr>
      <w:r>
        <w:rPr>
          <w:rFonts w:hint="eastAsia"/>
        </w:rPr>
        <w:t>(三)磋商文件内容违反国家有关强制性规定的，磋商小组应当停止评审并向采购人或者采购代理机构说明情况(注明法律法规依据)。</w:t>
      </w:r>
    </w:p>
    <w:p>
      <w:pPr>
        <w:pStyle w:val="42"/>
      </w:pPr>
      <w:r>
        <w:rPr>
          <w:rFonts w:hint="eastAsia"/>
        </w:rPr>
        <w:t>(四)磋商小组按照磋商文件规定的评审程序、评审方法和评审标准进行独立评审，并履行下列职责：</w:t>
      </w:r>
    </w:p>
    <w:p>
      <w:pPr>
        <w:pStyle w:val="42"/>
      </w:pPr>
      <w:r>
        <w:rPr>
          <w:rFonts w:hint="eastAsia"/>
        </w:rPr>
        <w:t>1.熟悉和理解磋商文件，确定磋商文件内容是否违反国家有关强制性规定或者磋商文件存在歧义、重大缺陷，根据需要书面要求采购人、采购代理机构对磋商文件作出解释。采购代理机构的解释不得改变磋商文件的原义或者影响公平、公正，解释事项如果涉及供应商权益的以有利于供应商的原则进行解释。</w:t>
      </w:r>
    </w:p>
    <w:p>
      <w:pPr>
        <w:pStyle w:val="42"/>
      </w:pPr>
      <w:r>
        <w:rPr>
          <w:rFonts w:hint="eastAsia"/>
        </w:rPr>
        <w:t>2.审查供应商响应文件是否满足磋商文件要求，并作出公正评价；</w:t>
      </w:r>
    </w:p>
    <w:p>
      <w:pPr>
        <w:pStyle w:val="42"/>
      </w:pPr>
      <w:r>
        <w:rPr>
          <w:rFonts w:hint="eastAsia"/>
        </w:rPr>
        <w:t>3.根据需要书面要求供应商对响应文件中含义不明确、同类问题表述不一致或者有明显文字和计算错误的内容等作出必要的澄清、说明或者更正，并给予供应商必要的反馈时间；</w:t>
      </w:r>
    </w:p>
    <w:p>
      <w:pPr>
        <w:pStyle w:val="42"/>
      </w:pPr>
      <w:r>
        <w:rPr>
          <w:rFonts w:hint="eastAsia"/>
        </w:rPr>
        <w:t>4.推荐成交供应商，或者受采购人委托确定成交供应商；</w:t>
      </w:r>
    </w:p>
    <w:p>
      <w:pPr>
        <w:pStyle w:val="42"/>
      </w:pPr>
      <w:r>
        <w:rPr>
          <w:rFonts w:hint="eastAsia"/>
        </w:rPr>
        <w:t>5.起草评审报告并进行签署；</w:t>
      </w:r>
    </w:p>
    <w:p>
      <w:pPr>
        <w:pStyle w:val="42"/>
      </w:pPr>
      <w:r>
        <w:rPr>
          <w:rFonts w:hint="eastAsia"/>
        </w:rPr>
        <w:t>6.向采购人、采购代理机构、财政部门或者其他监督部门报告非法干预评审工作的行为；</w:t>
      </w:r>
    </w:p>
    <w:p>
      <w:pPr>
        <w:pStyle w:val="42"/>
      </w:pPr>
      <w:r>
        <w:rPr>
          <w:rFonts w:hint="eastAsia"/>
        </w:rPr>
        <w:t>7.法律、法规和规章规定的其他职责。</w:t>
      </w:r>
    </w:p>
    <w:p>
      <w:pPr>
        <w:pStyle w:val="31"/>
        <w:ind w:firstLine="482"/>
      </w:pPr>
      <w:bookmarkStart w:id="369" w:name="_Toc25873"/>
      <w:bookmarkStart w:id="370" w:name="_Toc10940"/>
      <w:bookmarkStart w:id="371" w:name="_Toc26150"/>
      <w:bookmarkStart w:id="372" w:name="_Toc30112"/>
      <w:bookmarkStart w:id="373" w:name="_Toc19418"/>
      <w:r>
        <w:rPr>
          <w:rFonts w:hint="eastAsia"/>
        </w:rPr>
        <w:t>评审程序</w:t>
      </w:r>
      <w:bookmarkEnd w:id="369"/>
      <w:bookmarkEnd w:id="370"/>
      <w:bookmarkEnd w:id="371"/>
      <w:bookmarkEnd w:id="372"/>
      <w:bookmarkEnd w:id="373"/>
    </w:p>
    <w:p>
      <w:pPr>
        <w:pStyle w:val="45"/>
        <w:ind w:firstLine="482"/>
      </w:pPr>
      <w:bookmarkStart w:id="374" w:name="_Toc4614"/>
      <w:bookmarkStart w:id="375" w:name="_Toc3958"/>
      <w:r>
        <w:rPr>
          <w:rFonts w:hint="eastAsia"/>
        </w:rPr>
        <w:t>供应商资格审查</w:t>
      </w:r>
      <w:bookmarkEnd w:id="374"/>
      <w:bookmarkEnd w:id="375"/>
    </w:p>
    <w:p>
      <w:pPr>
        <w:pStyle w:val="59"/>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59"/>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59"/>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59"/>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9"/>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45"/>
        <w:ind w:firstLine="482"/>
      </w:pPr>
      <w:bookmarkStart w:id="376" w:name="_Toc2214"/>
      <w:bookmarkStart w:id="377" w:name="_Toc24833"/>
      <w:r>
        <w:rPr>
          <w:rFonts w:hint="eastAsia"/>
        </w:rPr>
        <w:t>磋商</w:t>
      </w:r>
      <w:bookmarkEnd w:id="376"/>
      <w:bookmarkEnd w:id="377"/>
    </w:p>
    <w:p>
      <w:pPr>
        <w:pStyle w:val="59"/>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59"/>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0"/>
        <w:ind w:firstLine="480"/>
        <w:rPr>
          <w:lang w:val="zh-CN"/>
        </w:rPr>
      </w:pPr>
      <w:r>
        <w:rPr>
          <w:lang w:val="zh-CN"/>
        </w:rPr>
        <w:t>响应文件正副本数量不足的；</w:t>
      </w:r>
    </w:p>
    <w:p>
      <w:pPr>
        <w:pStyle w:val="60"/>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59"/>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0"/>
        <w:ind w:firstLine="480"/>
        <w:rPr>
          <w:lang w:val="zh-CN"/>
        </w:rPr>
      </w:pPr>
      <w:r>
        <w:rPr>
          <w:lang w:val="zh-CN"/>
        </w:rPr>
        <w:t>响应文件正副本数量齐全，只是未按照</w:t>
      </w:r>
      <w:r>
        <w:rPr>
          <w:rFonts w:hint="eastAsia"/>
          <w:lang w:val="zh-CN"/>
        </w:rPr>
        <w:t>磋商文件</w:t>
      </w:r>
      <w:r>
        <w:rPr>
          <w:lang w:val="zh-CN"/>
        </w:rPr>
        <w:t>要求进行分装或者统装的；</w:t>
      </w:r>
    </w:p>
    <w:p>
      <w:pPr>
        <w:pStyle w:val="60"/>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0"/>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0"/>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2"/>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59"/>
        <w:ind w:firstLine="480"/>
      </w:pPr>
      <w:r>
        <w:rPr>
          <w:rFonts w:hint="eastAsia"/>
        </w:rPr>
        <w:t>本项目可能实质性变动的内容：采购需求中的技术、服务要求以及合同草案条款。</w:t>
      </w:r>
    </w:p>
    <w:p>
      <w:pPr>
        <w:pStyle w:val="59"/>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59"/>
        <w:ind w:firstLine="480"/>
      </w:pPr>
      <w:r>
        <w:rPr>
          <w:rFonts w:hint="eastAsia"/>
        </w:rPr>
        <w:t>对磋商文件作出的实质性变动是磋商文件的有效组成部分，评审委员会应当将变动的内容书面通知所有参加磋商的供应商，做好书面记录。</w:t>
      </w:r>
    </w:p>
    <w:p>
      <w:pPr>
        <w:pStyle w:val="59"/>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59"/>
        <w:ind w:firstLine="480"/>
      </w:pPr>
      <w:r>
        <w:rPr>
          <w:rFonts w:hint="eastAsia"/>
        </w:rPr>
        <w:t>磋商过程中，磋商的任何一方不得透露与磋商有关的其他供应商的技术资料、价格和其他信息。</w:t>
      </w:r>
    </w:p>
    <w:p>
      <w:pPr>
        <w:pStyle w:val="59"/>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9"/>
        <w:ind w:firstLine="480"/>
      </w:pPr>
      <w:r>
        <w:rPr>
          <w:rFonts w:hint="eastAsia"/>
        </w:rPr>
        <w:t>供应商重新提交响应文件的，响应文件应当按照前款规定签字确认或者加盖公章，否则无效。</w:t>
      </w:r>
    </w:p>
    <w:p>
      <w:pPr>
        <w:pStyle w:val="59"/>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59"/>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5"/>
        <w:ind w:firstLine="482"/>
      </w:pPr>
      <w:bookmarkStart w:id="378" w:name="_Toc29996"/>
      <w:bookmarkStart w:id="379" w:name="_Toc4273"/>
      <w:r>
        <w:rPr>
          <w:rFonts w:hint="eastAsia"/>
        </w:rPr>
        <w:t>采购活动终止</w:t>
      </w:r>
      <w:bookmarkEnd w:id="378"/>
      <w:bookmarkEnd w:id="379"/>
    </w:p>
    <w:p>
      <w:pPr>
        <w:pStyle w:val="42"/>
      </w:pPr>
      <w:r>
        <w:rPr>
          <w:rFonts w:hint="eastAsia"/>
        </w:rPr>
        <w:t>出现下列情形之一的，采购人或者采购代理机构应当终止竞争性磋商采购活动，发布项目终止公告并说明原因，重新开展采购活动：</w:t>
      </w:r>
    </w:p>
    <w:p>
      <w:pPr>
        <w:pStyle w:val="59"/>
        <w:ind w:firstLine="480"/>
      </w:pPr>
      <w:r>
        <w:rPr>
          <w:rFonts w:hint="eastAsia"/>
        </w:rPr>
        <w:t>因情况变化，不再符合规定的竞争性磋商采购方式适用情形的；</w:t>
      </w:r>
    </w:p>
    <w:p>
      <w:pPr>
        <w:pStyle w:val="59"/>
        <w:ind w:firstLine="480"/>
      </w:pPr>
      <w:r>
        <w:rPr>
          <w:rFonts w:hint="eastAsia"/>
        </w:rPr>
        <w:t>在采购过程中符合要求的供应商或者最后报价未超过采购预算或采购最高限价的供应商不足三家的(</w:t>
      </w:r>
      <w:r>
        <w:rPr>
          <w:rFonts w:hint="eastAsia"/>
          <w:lang w:val="zh-CN"/>
        </w:rPr>
        <w:t>市场竞争不充分的科研项目、需要扶持的科技成果转化项目</w:t>
      </w:r>
      <w:r>
        <w:rPr>
          <w:rFonts w:hint="eastAsia"/>
        </w:rPr>
        <w:t>以及政府购买服务项目可以为2家)；</w:t>
      </w:r>
    </w:p>
    <w:p>
      <w:pPr>
        <w:pStyle w:val="59"/>
        <w:ind w:firstLine="480"/>
      </w:pPr>
      <w:r>
        <w:rPr>
          <w:rFonts w:hint="eastAsia"/>
        </w:rPr>
        <w:t>出现影响采购公正的违法、违规行为的；</w:t>
      </w:r>
    </w:p>
    <w:p>
      <w:pPr>
        <w:pStyle w:val="59"/>
        <w:ind w:firstLine="480"/>
      </w:pPr>
      <w:r>
        <w:rPr>
          <w:rFonts w:hint="eastAsia"/>
        </w:rPr>
        <w:t>其他无法继续开展磋商或者无法成交的情形。</w:t>
      </w:r>
    </w:p>
    <w:p>
      <w:pPr>
        <w:pStyle w:val="43"/>
        <w:ind w:firstLine="482"/>
      </w:pPr>
      <w:r>
        <w:rPr>
          <w:rFonts w:hint="eastAsia"/>
        </w:rPr>
        <w:t>注：终止后，采购代理机构应在“四川政府采购网”公告，并公告终止的情形。</w:t>
      </w:r>
    </w:p>
    <w:p>
      <w:pPr>
        <w:pStyle w:val="45"/>
        <w:ind w:firstLine="482"/>
      </w:pPr>
      <w:bookmarkStart w:id="380" w:name="_Toc11886"/>
      <w:bookmarkStart w:id="381" w:name="_Toc31944"/>
      <w:r>
        <w:rPr>
          <w:rFonts w:hint="eastAsia"/>
        </w:rPr>
        <w:t>报价</w:t>
      </w:r>
      <w:bookmarkEnd w:id="380"/>
      <w:bookmarkEnd w:id="381"/>
    </w:p>
    <w:p>
      <w:pPr>
        <w:pStyle w:val="59"/>
        <w:ind w:firstLine="480"/>
      </w:pPr>
      <w:r>
        <w:rPr>
          <w:rFonts w:hint="eastAsia"/>
        </w:rPr>
        <w:t>磋商结束后，磋商小组应当要求所有实质性响应的供应商在规定时间内提交最后报价，提交最后报价的供应商不得少于3家。已提交响应文件的供应商，在提交最后报价之前，可以根据磋商情况退出磋商。</w:t>
      </w:r>
    </w:p>
    <w:p>
      <w:pPr>
        <w:pStyle w:val="59"/>
        <w:ind w:firstLine="480"/>
      </w:pPr>
      <w:r>
        <w:rPr>
          <w:rFonts w:hint="eastAsia"/>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9"/>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9"/>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9"/>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9"/>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2"/>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2"/>
      </w:pPr>
      <w:r>
        <w:rPr>
          <w:rFonts w:hint="eastAsia"/>
        </w:rPr>
        <w:t>单价金额小数点或者百分比有明显错位的，以总价为准，修正单价。</w:t>
      </w:r>
    </w:p>
    <w:p>
      <w:pPr>
        <w:pStyle w:val="42"/>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5"/>
        <w:ind w:firstLine="482"/>
      </w:pPr>
      <w:bookmarkStart w:id="382" w:name="_Toc15902"/>
      <w:bookmarkStart w:id="383" w:name="_Toc1726"/>
      <w:r>
        <w:rPr>
          <w:rFonts w:hint="eastAsia"/>
        </w:rPr>
        <w:t>评审方法</w:t>
      </w:r>
      <w:bookmarkEnd w:id="382"/>
      <w:bookmarkEnd w:id="383"/>
    </w:p>
    <w:p>
      <w:pPr>
        <w:pStyle w:val="42"/>
      </w:pPr>
      <w:r>
        <w:rPr>
          <w:rFonts w:hint="eastAsia"/>
        </w:rPr>
        <w:t>本项目采用综合评分法</w:t>
      </w:r>
    </w:p>
    <w:p>
      <w:pPr>
        <w:pStyle w:val="59"/>
        <w:numPr>
          <w:ilvl w:val="3"/>
          <w:numId w:val="0"/>
        </w:numPr>
        <w:ind w:firstLine="480" w:firstLineChars="20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numPr>
          <w:ilvl w:val="2"/>
          <w:numId w:val="3"/>
        </w:numPr>
        <w:wordWrap w:val="0"/>
        <w:topLinePunct/>
        <w:ind w:firstLine="482" w:firstLineChars="200"/>
        <w:outlineLvl w:val="2"/>
        <w:rPr>
          <w:b/>
          <w:snapToGrid w:val="0"/>
        </w:rPr>
      </w:pPr>
      <w:bookmarkStart w:id="384" w:name="_Toc29323"/>
      <w:bookmarkStart w:id="385" w:name="_Toc356"/>
      <w:bookmarkStart w:id="386" w:name="_Toc21787"/>
      <w:bookmarkStart w:id="387" w:name="_Toc10537"/>
      <w:r>
        <w:rPr>
          <w:rFonts w:hint="eastAsia"/>
          <w:b/>
          <w:snapToGrid w:val="0"/>
        </w:rPr>
        <w:t>评审标准</w:t>
      </w:r>
      <w:bookmarkEnd w:id="384"/>
      <w:bookmarkEnd w:id="385"/>
      <w:bookmarkEnd w:id="386"/>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70"/>
        <w:gridCol w:w="1000"/>
        <w:gridCol w:w="547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wordWrap w:val="0"/>
              <w:topLinePunct/>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70" w:type="dxa"/>
            <w:vAlign w:val="center"/>
          </w:tcPr>
          <w:p>
            <w:pPr>
              <w:wordWrap w:val="0"/>
              <w:topLinePunct/>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p>
            <w:pPr>
              <w:wordWrap w:val="0"/>
              <w:topLinePunct/>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1000" w:type="dxa"/>
            <w:vAlign w:val="center"/>
          </w:tcPr>
          <w:p>
            <w:pPr>
              <w:wordWrap w:val="0"/>
              <w:topLinePunct/>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分　值</w:t>
            </w:r>
          </w:p>
        </w:tc>
        <w:tc>
          <w:tcPr>
            <w:tcW w:w="5470" w:type="dxa"/>
            <w:vAlign w:val="center"/>
          </w:tcPr>
          <w:p>
            <w:pPr>
              <w:wordWrap w:val="0"/>
              <w:topLinePunct/>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1223" w:type="dxa"/>
            <w:vAlign w:val="center"/>
          </w:tcPr>
          <w:p>
            <w:pPr>
              <w:wordWrap w:val="0"/>
              <w:topLinePunct/>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一</w:t>
            </w:r>
          </w:p>
        </w:tc>
        <w:tc>
          <w:tcPr>
            <w:tcW w:w="1470" w:type="dxa"/>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报价10%</w:t>
            </w:r>
          </w:p>
        </w:tc>
        <w:tc>
          <w:tcPr>
            <w:tcW w:w="1000" w:type="dxa"/>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10分</w:t>
            </w:r>
          </w:p>
        </w:tc>
        <w:tc>
          <w:tcPr>
            <w:tcW w:w="5470" w:type="dxa"/>
            <w:vAlign w:val="center"/>
          </w:tcPr>
          <w:p>
            <w:pPr>
              <w:topLinePunct/>
              <w:spacing w:line="360" w:lineRule="exact"/>
              <w:ind w:left="48" w:leftChars="20"/>
              <w:jc w:val="both"/>
              <w:rPr>
                <w:rFonts w:hint="eastAsia" w:ascii="宋体" w:hAnsi="宋体" w:eastAsia="宋体" w:cs="宋体"/>
                <w:snapToGrid w:val="0"/>
                <w:sz w:val="21"/>
                <w:szCs w:val="21"/>
              </w:rPr>
            </w:pPr>
            <w:r>
              <w:rPr>
                <w:rFonts w:hint="eastAsia" w:ascii="宋体" w:hAnsi="宋体" w:eastAsia="宋体" w:cs="宋体"/>
                <w:snapToGrid w:val="0"/>
                <w:sz w:val="21"/>
                <w:szCs w:val="21"/>
              </w:rPr>
              <w:t>满足磋商文件要求且最后报价最低的供应商的价格为磋商基准价，其价格分为满分。其他供应商的价格分统一按照下列公式计算：</w:t>
            </w:r>
          </w:p>
          <w:p>
            <w:pPr>
              <w:wordWrap w:val="0"/>
              <w:topLinePunct/>
              <w:spacing w:line="360" w:lineRule="exact"/>
              <w:ind w:left="48" w:leftChars="20"/>
              <w:jc w:val="both"/>
              <w:rPr>
                <w:rFonts w:hint="eastAsia" w:ascii="宋体" w:hAnsi="宋体" w:eastAsia="宋体" w:cs="宋体"/>
                <w:snapToGrid w:val="0"/>
                <w:sz w:val="21"/>
                <w:szCs w:val="21"/>
              </w:rPr>
            </w:pPr>
            <w:r>
              <w:rPr>
                <w:rFonts w:hint="eastAsia" w:ascii="宋体" w:hAnsi="宋体" w:eastAsia="宋体" w:cs="宋体"/>
                <w:snapToGrid w:val="0"/>
                <w:sz w:val="21"/>
                <w:szCs w:val="21"/>
              </w:rPr>
              <w:t>磋商报价得分=(磋商基准价/最后磋商报价)×10%×100；</w:t>
            </w:r>
          </w:p>
          <w:p>
            <w:pPr>
              <w:wordWrap w:val="0"/>
              <w:topLinePunct/>
              <w:spacing w:line="360" w:lineRule="exact"/>
              <w:ind w:left="48" w:leftChars="20"/>
              <w:jc w:val="both"/>
              <w:rPr>
                <w:rFonts w:hint="eastAsia" w:ascii="宋体" w:hAnsi="宋体" w:eastAsia="宋体" w:cs="宋体"/>
                <w:snapToGrid w:val="0"/>
                <w:sz w:val="21"/>
                <w:szCs w:val="21"/>
              </w:rPr>
            </w:pPr>
            <w:r>
              <w:rPr>
                <w:rFonts w:hint="eastAsia" w:ascii="宋体" w:hAnsi="宋体" w:eastAsia="宋体" w:cs="宋体"/>
                <w:snapToGrid w:val="0"/>
                <w:sz w:val="21"/>
                <w:szCs w:val="21"/>
              </w:rPr>
              <w:t>注：1.项目评审过程中，不得去掉最后报价中的最高报价和最低报价。</w:t>
            </w:r>
          </w:p>
          <w:p>
            <w:pPr>
              <w:wordWrap w:val="0"/>
              <w:topLinePunct/>
              <w:spacing w:line="360" w:lineRule="exact"/>
              <w:ind w:left="48" w:leftChars="20"/>
              <w:jc w:val="both"/>
              <w:rPr>
                <w:rFonts w:hint="eastAsia" w:ascii="宋体" w:hAnsi="宋体" w:eastAsia="宋体" w:cs="宋体"/>
                <w:snapToGrid w:val="0"/>
                <w:sz w:val="21"/>
                <w:szCs w:val="21"/>
              </w:rPr>
            </w:pPr>
            <w:r>
              <w:rPr>
                <w:rFonts w:hint="eastAsia" w:ascii="宋体" w:hAnsi="宋体" w:eastAsia="宋体" w:cs="宋体"/>
                <w:snapToGrid w:val="0"/>
                <w:sz w:val="21"/>
                <w:szCs w:val="21"/>
              </w:rPr>
              <w:t>2.因落实政府采购政策进行价格调整的，以调整后的价格计算磋商基准价和最后报价。</w:t>
            </w:r>
          </w:p>
          <w:p>
            <w:pPr>
              <w:wordWrap w:val="0"/>
              <w:topLinePunct/>
              <w:spacing w:line="360" w:lineRule="exact"/>
              <w:ind w:left="48" w:leftChars="20"/>
              <w:jc w:val="both"/>
              <w:rPr>
                <w:rFonts w:hint="eastAsia" w:ascii="宋体" w:hAnsi="宋体" w:eastAsia="宋体" w:cs="宋体"/>
                <w:snapToGrid w:val="0"/>
                <w:sz w:val="21"/>
                <w:szCs w:val="21"/>
              </w:rPr>
            </w:pPr>
            <w:r>
              <w:rPr>
                <w:rFonts w:hint="eastAsia" w:ascii="宋体" w:hAnsi="宋体" w:eastAsia="宋体" w:cs="宋体"/>
                <w:snapToGrid w:val="0"/>
                <w:sz w:val="21"/>
                <w:szCs w:val="21"/>
              </w:rPr>
              <w:t>3.小微企业(残疾人福利性单位、监狱企业视同小微企业)价格扣除按照磋商须知表</w:t>
            </w:r>
            <w:r>
              <w:rPr>
                <w:rFonts w:hint="eastAsia" w:ascii="宋体" w:hAnsi="宋体" w:eastAsia="宋体" w:cs="宋体"/>
                <w:snapToGrid w:val="0"/>
                <w:sz w:val="21"/>
                <w:szCs w:val="21"/>
                <w:lang w:val="en-US" w:eastAsia="zh-CN"/>
              </w:rPr>
              <w:t>第13项</w:t>
            </w:r>
            <w:r>
              <w:rPr>
                <w:rFonts w:hint="eastAsia" w:ascii="宋体" w:hAnsi="宋体" w:eastAsia="宋体" w:cs="宋体"/>
                <w:snapToGrid w:val="0"/>
                <w:sz w:val="21"/>
                <w:szCs w:val="21"/>
              </w:rPr>
              <w:t>的相关要求执行。</w:t>
            </w:r>
          </w:p>
        </w:tc>
        <w:tc>
          <w:tcPr>
            <w:tcW w:w="1223" w:type="dxa"/>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二</w:t>
            </w:r>
          </w:p>
        </w:tc>
        <w:tc>
          <w:tcPr>
            <w:tcW w:w="1470" w:type="dxa"/>
            <w:vMerge w:val="restart"/>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履约能力41%</w:t>
            </w:r>
          </w:p>
        </w:tc>
        <w:tc>
          <w:tcPr>
            <w:tcW w:w="1000" w:type="dxa"/>
            <w:vAlign w:val="center"/>
          </w:tcPr>
          <w:p>
            <w:pPr>
              <w:pStyle w:val="41"/>
              <w:rPr>
                <w:rFonts w:hint="eastAsia" w:ascii="宋体" w:hAnsi="宋体" w:eastAsia="宋体" w:cs="宋体"/>
                <w:sz w:val="21"/>
                <w:szCs w:val="21"/>
              </w:rPr>
            </w:pPr>
            <w:r>
              <w:rPr>
                <w:rFonts w:hint="eastAsia" w:ascii="宋体" w:hAnsi="宋体" w:eastAsia="宋体" w:cs="宋体"/>
                <w:sz w:val="21"/>
                <w:szCs w:val="21"/>
              </w:rPr>
              <w:t>人员</w:t>
            </w:r>
          </w:p>
          <w:p>
            <w:pPr>
              <w:pStyle w:val="41"/>
              <w:rPr>
                <w:rFonts w:hint="eastAsia" w:ascii="宋体" w:hAnsi="宋体" w:eastAsia="宋体" w:cs="宋体"/>
                <w:sz w:val="21"/>
                <w:szCs w:val="21"/>
              </w:rPr>
            </w:pPr>
            <w:r>
              <w:rPr>
                <w:rFonts w:hint="eastAsia" w:ascii="宋体" w:hAnsi="宋体" w:eastAsia="宋体" w:cs="宋体"/>
                <w:sz w:val="21"/>
                <w:szCs w:val="21"/>
              </w:rPr>
              <w:t>配备</w:t>
            </w:r>
          </w:p>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15分</w:t>
            </w:r>
          </w:p>
        </w:tc>
        <w:tc>
          <w:tcPr>
            <w:tcW w:w="5470" w:type="dxa"/>
            <w:vAlign w:val="center"/>
          </w:tcPr>
          <w:p>
            <w:pPr>
              <w:numPr>
                <w:ilvl w:val="0"/>
                <w:numId w:val="29"/>
              </w:numPr>
              <w:tabs>
                <w:tab w:val="clear" w:pos="312"/>
              </w:tabs>
              <w:wordWrap w:val="0"/>
              <w:topLinePunct/>
              <w:spacing w:line="360" w:lineRule="exact"/>
              <w:rPr>
                <w:rFonts w:hint="eastAsia" w:ascii="宋体" w:hAnsi="宋体" w:eastAsia="宋体" w:cs="宋体"/>
                <w:snapToGrid w:val="0"/>
                <w:sz w:val="21"/>
                <w:szCs w:val="21"/>
              </w:rPr>
            </w:pPr>
            <w:r>
              <w:rPr>
                <w:rFonts w:hint="eastAsia" w:ascii="宋体" w:hAnsi="宋体" w:eastAsia="宋体" w:cs="宋体"/>
                <w:snapToGrid w:val="0"/>
                <w:sz w:val="21"/>
                <w:szCs w:val="21"/>
              </w:rPr>
              <w:t>供应商拟派本项目的项目负责人：每有1名具有规划专业高级工程师(或同级别)职称并同时具有注册城市(或城乡)规划师（或国土空间规划师）证书的得3分，只具有其中之一的得1.5分，最多的6分。</w:t>
            </w:r>
          </w:p>
          <w:p>
            <w:pPr>
              <w:numPr>
                <w:ilvl w:val="0"/>
                <w:numId w:val="29"/>
              </w:numPr>
              <w:tabs>
                <w:tab w:val="clear" w:pos="312"/>
              </w:tabs>
              <w:wordWrap w:val="0"/>
              <w:topLinePunct/>
              <w:spacing w:line="360" w:lineRule="exact"/>
              <w:rPr>
                <w:rFonts w:hint="eastAsia" w:ascii="宋体" w:hAnsi="宋体" w:eastAsia="宋体" w:cs="宋体"/>
                <w:snapToGrid w:val="0"/>
                <w:sz w:val="21"/>
                <w:szCs w:val="21"/>
              </w:rPr>
            </w:pPr>
            <w:r>
              <w:rPr>
                <w:rFonts w:hint="eastAsia" w:ascii="宋体" w:hAnsi="宋体" w:eastAsia="宋体" w:cs="宋体"/>
                <w:snapToGrid w:val="0"/>
                <w:sz w:val="21"/>
                <w:szCs w:val="21"/>
              </w:rPr>
              <w:t>供应商拟派本项目的项目组：项目组(不含项目负责人)每有一名成员具备规划专业中级或以</w:t>
            </w:r>
            <w:r>
              <w:rPr>
                <w:rFonts w:hint="eastAsia" w:ascii="宋体" w:hAnsi="宋体" w:eastAsia="宋体" w:cs="宋体"/>
                <w:snapToGrid w:val="0"/>
                <w:sz w:val="21"/>
                <w:szCs w:val="21"/>
                <w:highlight w:val="none"/>
              </w:rPr>
              <w:t>上职称或具有注册城市（或城乡）规划师（或国土空间规划师）证书的得1.5分，</w:t>
            </w:r>
            <w:r>
              <w:rPr>
                <w:rFonts w:hint="eastAsia" w:cs="宋体"/>
                <w:snapToGrid w:val="0"/>
                <w:sz w:val="21"/>
                <w:szCs w:val="21"/>
                <w:highlight w:val="none"/>
                <w:lang w:val="en-US" w:eastAsia="zh-CN"/>
              </w:rPr>
              <w:t>同一项目组人员最多得4.5分，</w:t>
            </w:r>
            <w:r>
              <w:rPr>
                <w:rFonts w:hint="eastAsia" w:ascii="宋体" w:hAnsi="宋体" w:eastAsia="宋体" w:cs="宋体"/>
                <w:snapToGrid w:val="0"/>
                <w:sz w:val="21"/>
                <w:szCs w:val="21"/>
                <w:highlight w:val="none"/>
              </w:rPr>
              <w:t>本项</w:t>
            </w:r>
            <w:r>
              <w:rPr>
                <w:rFonts w:hint="eastAsia" w:ascii="宋体" w:hAnsi="宋体" w:eastAsia="宋体" w:cs="宋体"/>
                <w:snapToGrid w:val="0"/>
                <w:sz w:val="21"/>
                <w:szCs w:val="21"/>
              </w:rPr>
              <w:t>最多得9分。</w:t>
            </w:r>
          </w:p>
          <w:p>
            <w:pPr>
              <w:wordWrap w:val="0"/>
              <w:topLinePunct/>
              <w:spacing w:line="360" w:lineRule="exact"/>
              <w:ind w:left="48" w:leftChars="20"/>
              <w:rPr>
                <w:rFonts w:hint="eastAsia" w:ascii="宋体" w:hAnsi="宋体" w:eastAsia="宋体" w:cs="宋体"/>
                <w:snapToGrid w:val="0"/>
                <w:sz w:val="21"/>
                <w:szCs w:val="21"/>
              </w:rPr>
            </w:pPr>
            <w:r>
              <w:rPr>
                <w:rFonts w:hint="eastAsia" w:ascii="宋体" w:hAnsi="宋体" w:eastAsia="宋体" w:cs="宋体"/>
                <w:b/>
                <w:bCs/>
                <w:snapToGrid w:val="0"/>
                <w:sz w:val="21"/>
                <w:szCs w:val="21"/>
              </w:rPr>
              <w:t>注：提供人员相关证书复印件及在职证明复印件；同一人员多项证书可重复计分。</w:t>
            </w:r>
          </w:p>
        </w:tc>
        <w:tc>
          <w:tcPr>
            <w:tcW w:w="1223" w:type="dxa"/>
            <w:vMerge w:val="restart"/>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470"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000" w:type="dxa"/>
            <w:vAlign w:val="center"/>
          </w:tcPr>
          <w:p>
            <w:pPr>
              <w:pStyle w:val="41"/>
              <w:rPr>
                <w:rFonts w:hint="eastAsia" w:ascii="宋体" w:hAnsi="宋体" w:eastAsia="宋体" w:cs="宋体"/>
                <w:sz w:val="21"/>
                <w:szCs w:val="21"/>
                <w:highlight w:val="none"/>
              </w:rPr>
            </w:pPr>
            <w:r>
              <w:rPr>
                <w:rFonts w:hint="eastAsia" w:ascii="宋体" w:hAnsi="宋体" w:eastAsia="宋体" w:cs="宋体"/>
                <w:sz w:val="21"/>
                <w:szCs w:val="21"/>
                <w:highlight w:val="none"/>
              </w:rPr>
              <w:t>履约</w:t>
            </w:r>
          </w:p>
          <w:p>
            <w:pPr>
              <w:pStyle w:val="41"/>
              <w:rPr>
                <w:rFonts w:hint="eastAsia" w:ascii="宋体" w:hAnsi="宋体" w:eastAsia="宋体" w:cs="宋体"/>
                <w:sz w:val="21"/>
                <w:szCs w:val="21"/>
                <w:highlight w:val="none"/>
              </w:rPr>
            </w:pPr>
            <w:r>
              <w:rPr>
                <w:rFonts w:hint="eastAsia" w:ascii="宋体" w:hAnsi="宋体" w:eastAsia="宋体" w:cs="宋体"/>
                <w:sz w:val="21"/>
                <w:szCs w:val="21"/>
                <w:highlight w:val="none"/>
              </w:rPr>
              <w:t>经验</w:t>
            </w:r>
          </w:p>
          <w:p>
            <w:pPr>
              <w:pStyle w:val="41"/>
              <w:rPr>
                <w:rFonts w:hint="eastAsia" w:ascii="宋体" w:hAnsi="宋体" w:eastAsia="宋体" w:cs="宋体"/>
                <w:sz w:val="21"/>
                <w:szCs w:val="21"/>
                <w:highlight w:val="none"/>
              </w:rPr>
            </w:pPr>
            <w:r>
              <w:rPr>
                <w:rFonts w:hint="eastAsia" w:ascii="宋体" w:hAnsi="宋体" w:eastAsia="宋体" w:cs="宋体"/>
                <w:sz w:val="21"/>
                <w:szCs w:val="21"/>
                <w:highlight w:val="none"/>
              </w:rPr>
              <w:t>24分</w:t>
            </w:r>
          </w:p>
        </w:tc>
        <w:tc>
          <w:tcPr>
            <w:tcW w:w="5470" w:type="dxa"/>
            <w:vAlign w:val="center"/>
          </w:tcPr>
          <w:p>
            <w:pPr>
              <w:pStyle w:val="38"/>
              <w:numPr>
                <w:ilvl w:val="0"/>
                <w:numId w:val="30"/>
              </w:numPr>
              <w:tabs>
                <w:tab w:val="clear" w:pos="312"/>
              </w:tabs>
              <w:ind w:left="0" w:lef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供应商2017</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日至今，每</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zh-CN"/>
              </w:rPr>
              <w:t>一个类似</w:t>
            </w:r>
            <w:r>
              <w:rPr>
                <w:rFonts w:hint="eastAsia" w:ascii="宋体" w:hAnsi="宋体" w:eastAsia="宋体" w:cs="宋体"/>
                <w:sz w:val="21"/>
                <w:szCs w:val="21"/>
                <w:highlight w:val="none"/>
              </w:rPr>
              <w:t>项目履约经验</w:t>
            </w:r>
            <w:r>
              <w:rPr>
                <w:rFonts w:hint="eastAsia" w:ascii="宋体" w:hAnsi="宋体" w:eastAsia="宋体" w:cs="宋体"/>
                <w:sz w:val="21"/>
                <w:szCs w:val="21"/>
                <w:highlight w:val="none"/>
                <w:lang w:val="zh-CN"/>
              </w:rPr>
              <w:t>得</w:t>
            </w:r>
            <w:r>
              <w:rPr>
                <w:rFonts w:hint="eastAsia" w:ascii="宋体" w:hAnsi="宋体" w:eastAsia="宋体" w:cs="宋体"/>
                <w:sz w:val="21"/>
                <w:szCs w:val="21"/>
                <w:highlight w:val="none"/>
              </w:rPr>
              <w:t>1.5</w:t>
            </w:r>
            <w:r>
              <w:rPr>
                <w:rFonts w:hint="eastAsia" w:ascii="宋体" w:hAnsi="宋体" w:eastAsia="宋体" w:cs="宋体"/>
                <w:sz w:val="21"/>
                <w:szCs w:val="21"/>
                <w:highlight w:val="none"/>
                <w:lang w:val="zh-CN"/>
              </w:rPr>
              <w:t>分，最多得</w:t>
            </w:r>
            <w:r>
              <w:rPr>
                <w:rFonts w:hint="eastAsia" w:ascii="宋体" w:hAnsi="宋体" w:eastAsia="宋体" w:cs="宋体"/>
                <w:sz w:val="21"/>
                <w:szCs w:val="21"/>
                <w:highlight w:val="none"/>
              </w:rPr>
              <w:t>12</w:t>
            </w:r>
            <w:r>
              <w:rPr>
                <w:rFonts w:hint="eastAsia" w:ascii="宋体" w:hAnsi="宋体" w:eastAsia="宋体" w:cs="宋体"/>
                <w:sz w:val="21"/>
                <w:szCs w:val="21"/>
                <w:highlight w:val="none"/>
                <w:lang w:val="zh-CN"/>
              </w:rPr>
              <w:t>分。</w:t>
            </w:r>
          </w:p>
          <w:p>
            <w:pPr>
              <w:pStyle w:val="38"/>
              <w:ind w:left="0" w:leftChars="0"/>
              <w:jc w:val="both"/>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val="zh-CN"/>
              </w:rPr>
              <w:t>提供中标</w:t>
            </w:r>
            <w:r>
              <w:rPr>
                <w:rFonts w:hint="eastAsia" w:ascii="宋体" w:hAnsi="宋体" w:eastAsia="宋体" w:cs="宋体"/>
                <w:b/>
                <w:bCs/>
                <w:sz w:val="21"/>
                <w:szCs w:val="21"/>
                <w:highlight w:val="none"/>
              </w:rPr>
              <w:t>/成交通知书复印件或合同复印件。类似项目履约经验是指：规划导则类或规划研究类或专项规划类项目。</w:t>
            </w:r>
          </w:p>
          <w:p>
            <w:pPr>
              <w:pStyle w:val="38"/>
              <w:ind w:left="0" w:lef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2.供应商类似规划项目（规划导则类或规划研究类或专项规划类项目）在2017年1月1日（含）至今获得过规划相关奖项，每具有1个得2分，最多得12分。</w:t>
            </w:r>
          </w:p>
          <w:p>
            <w:pPr>
              <w:pStyle w:val="38"/>
              <w:ind w:left="0" w:left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注：提供证书复印件并加盖供应商鲜章，同一项目不能重复计分。</w:t>
            </w:r>
          </w:p>
        </w:tc>
        <w:tc>
          <w:tcPr>
            <w:tcW w:w="1223" w:type="dxa"/>
            <w:vMerge w:val="continue"/>
            <w:vAlign w:val="center"/>
          </w:tcPr>
          <w:p>
            <w:pPr>
              <w:wordWrap w:val="0"/>
              <w:topLinePunct/>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470"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000" w:type="dxa"/>
            <w:vAlign w:val="center"/>
          </w:tcPr>
          <w:p>
            <w:pPr>
              <w:pStyle w:val="41"/>
              <w:rPr>
                <w:rFonts w:hint="eastAsia" w:ascii="宋体" w:hAnsi="宋体" w:eastAsia="宋体" w:cs="宋体"/>
                <w:sz w:val="21"/>
                <w:szCs w:val="21"/>
              </w:rPr>
            </w:pPr>
            <w:r>
              <w:rPr>
                <w:rFonts w:hint="eastAsia" w:ascii="宋体" w:hAnsi="宋体" w:eastAsia="宋体" w:cs="宋体"/>
                <w:sz w:val="21"/>
                <w:szCs w:val="21"/>
              </w:rPr>
              <w:t>2分</w:t>
            </w:r>
          </w:p>
        </w:tc>
        <w:tc>
          <w:tcPr>
            <w:tcW w:w="5470"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供应商具有有效的质量管理体系认证证书得2分。</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注：提供证书复印件。</w:t>
            </w:r>
          </w:p>
        </w:tc>
        <w:tc>
          <w:tcPr>
            <w:tcW w:w="1223" w:type="dxa"/>
            <w:vMerge w:val="continue"/>
            <w:vAlign w:val="center"/>
          </w:tcPr>
          <w:p>
            <w:pPr>
              <w:wordWrap w:val="0"/>
              <w:topLinePunct/>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三</w:t>
            </w:r>
          </w:p>
        </w:tc>
        <w:tc>
          <w:tcPr>
            <w:tcW w:w="1470" w:type="dxa"/>
            <w:vMerge w:val="restart"/>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服务方案48%</w:t>
            </w:r>
          </w:p>
        </w:tc>
        <w:tc>
          <w:tcPr>
            <w:tcW w:w="1000" w:type="dxa"/>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项目</w:t>
            </w:r>
          </w:p>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理解</w:t>
            </w:r>
          </w:p>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12分</w:t>
            </w:r>
          </w:p>
        </w:tc>
        <w:tc>
          <w:tcPr>
            <w:tcW w:w="5470"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sz w:val="21"/>
                <w:szCs w:val="21"/>
              </w:rPr>
              <w:t>供应商</w:t>
            </w:r>
            <w:r>
              <w:rPr>
                <w:rFonts w:hint="eastAsia" w:ascii="宋体" w:hAnsi="宋体" w:eastAsia="宋体" w:cs="宋体"/>
                <w:sz w:val="21"/>
                <w:szCs w:val="21"/>
              </w:rPr>
              <w:t>能够对：①乡村振兴战略、国土空间规划等新背景新要求；②公园城市理念；③城乡融合发展单元的定义与内涵等内容进行分析，内容清晰解读且契合本项目要求的得6分，每有一项内容缺失扣2分，每有一处内容存在不足（存在不足指解读与项目实际情况不符或知识准备缺乏或分析无层次、逻辑混乱或直接套用其他项目方案的）扣1分，扣完为止。</w:t>
            </w:r>
          </w:p>
          <w:p>
            <w:pPr>
              <w:spacing w:line="360" w:lineRule="exact"/>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供应商</w:t>
            </w:r>
            <w:r>
              <w:rPr>
                <w:rFonts w:hint="eastAsia" w:ascii="宋体" w:hAnsi="宋体" w:eastAsia="宋体" w:cs="宋体"/>
                <w:sz w:val="21"/>
                <w:szCs w:val="21"/>
              </w:rPr>
              <w:t>能够对：成都镇村发展历程等内容进行分析，内容梳理清晰且契合本项目要求得4分，每有一处内容存在不足（存在不足指解读与项目实际情况不符或知识准备缺乏或分析无层次、逻辑混乱或直接套用其他项目方案的）扣1分，扣完为止。</w:t>
            </w:r>
          </w:p>
          <w:p>
            <w:pPr>
              <w:wordWrap w:val="0"/>
              <w:topLinePunct/>
              <w:spacing w:line="360" w:lineRule="exact"/>
              <w:ind w:left="24" w:leftChars="10"/>
              <w:jc w:val="both"/>
              <w:rPr>
                <w:rFonts w:hint="eastAsia" w:ascii="宋体" w:hAnsi="宋体" w:eastAsia="宋体" w:cs="宋体"/>
                <w:snapToGrid w:val="0"/>
                <w:sz w:val="21"/>
                <w:szCs w:val="21"/>
              </w:rPr>
            </w:pPr>
            <w:r>
              <w:rPr>
                <w:rFonts w:hint="eastAsia" w:ascii="宋体" w:hAnsi="宋体" w:eastAsia="宋体" w:cs="宋体"/>
                <w:sz w:val="21"/>
                <w:szCs w:val="21"/>
              </w:rPr>
              <w:t>3.</w:t>
            </w:r>
            <w:r>
              <w:rPr>
                <w:rFonts w:hint="eastAsia" w:ascii="宋体" w:hAnsi="宋体" w:eastAsia="宋体" w:cs="宋体"/>
                <w:snapToGrid w:val="0"/>
                <w:sz w:val="21"/>
                <w:szCs w:val="21"/>
              </w:rPr>
              <w:t>供应商</w:t>
            </w:r>
            <w:r>
              <w:rPr>
                <w:rFonts w:hint="eastAsia" w:ascii="宋体" w:hAnsi="宋体" w:eastAsia="宋体" w:cs="宋体"/>
                <w:sz w:val="21"/>
                <w:szCs w:val="21"/>
              </w:rPr>
              <w:t>能够对：成都现行镇村规划技术标准等内容进行分析总结，分析</w:t>
            </w:r>
            <w:r>
              <w:rPr>
                <w:rFonts w:hint="eastAsia" w:cs="宋体"/>
                <w:sz w:val="21"/>
                <w:szCs w:val="21"/>
                <w:lang w:val="en-US" w:eastAsia="zh-CN"/>
              </w:rPr>
              <w:t>符合项目实际情况</w:t>
            </w:r>
            <w:r>
              <w:rPr>
                <w:rFonts w:hint="eastAsia" w:ascii="宋体" w:hAnsi="宋体" w:eastAsia="宋体" w:cs="宋体"/>
                <w:sz w:val="21"/>
                <w:szCs w:val="21"/>
              </w:rPr>
              <w:t>的得2分，每有一处内容存在不足（存在不足指分析与项目实际情况不符或知识准备缺乏或内容无层次、逻辑混乱或直接套用其他项目方案的）扣0.5分，扣完为止</w:t>
            </w:r>
            <w:r>
              <w:rPr>
                <w:rFonts w:hint="eastAsia" w:ascii="宋体" w:hAnsi="宋体" w:eastAsia="宋体" w:cs="宋体"/>
                <w:snapToGrid w:val="0"/>
                <w:sz w:val="21"/>
                <w:szCs w:val="21"/>
              </w:rPr>
              <w:t>。</w:t>
            </w:r>
          </w:p>
        </w:tc>
        <w:tc>
          <w:tcPr>
            <w:tcW w:w="1223" w:type="dxa"/>
            <w:vMerge w:val="restart"/>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470"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00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初步规划方案30分</w:t>
            </w:r>
          </w:p>
        </w:tc>
        <w:tc>
          <w:tcPr>
            <w:tcW w:w="5470"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napToGrid w:val="0"/>
                <w:sz w:val="21"/>
                <w:szCs w:val="21"/>
              </w:rPr>
              <w:t>供应商</w:t>
            </w:r>
            <w:r>
              <w:rPr>
                <w:rFonts w:hint="eastAsia" w:ascii="宋体" w:hAnsi="宋体" w:eastAsia="宋体" w:cs="宋体"/>
                <w:sz w:val="21"/>
                <w:szCs w:val="21"/>
              </w:rPr>
              <w:t>针对本项目提供的初步规划方案包含：①落实“乡村振兴战略”和公园城市理念，结合成都镇村发展的现实情况，明确镇区（街道）和乡村地区的规划管控要求；②落实国家、省市建立国土空间规划体系的要求以及公园城市理念，明确以城乡融合发展单元为载体的镇国土空间规划的编制要求；③落实国家、中央省对村规划编制的相关要求，结合成都实际情况，明确村规划的编制要求等进行评审，内容符合实际情况、完善无漏项、阐述精准且完全满足采购要求的得30分，每有一项内容缺失扣10分，每有一处内容存在不足（存在不足指规划思路与项目需求不符或知识准备不足或分析解读内容不详实或内容混乱无逻辑层次或不符合项目实际情况或直接套用其他方案的）的扣2.5分，扣完为止。</w:t>
            </w:r>
          </w:p>
        </w:tc>
        <w:tc>
          <w:tcPr>
            <w:tcW w:w="1223" w:type="dxa"/>
            <w:vMerge w:val="continue"/>
            <w:vAlign w:val="center"/>
          </w:tcPr>
          <w:p>
            <w:pPr>
              <w:wordWrap w:val="0"/>
              <w:topLinePunct/>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470"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00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进度</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计划</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分</w:t>
            </w:r>
          </w:p>
        </w:tc>
        <w:tc>
          <w:tcPr>
            <w:tcW w:w="5470"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napToGrid w:val="0"/>
                <w:sz w:val="21"/>
                <w:szCs w:val="21"/>
              </w:rPr>
              <w:t>供应商</w:t>
            </w:r>
            <w:r>
              <w:rPr>
                <w:rFonts w:hint="eastAsia" w:ascii="宋体" w:hAnsi="宋体" w:eastAsia="宋体" w:cs="宋体"/>
                <w:sz w:val="21"/>
                <w:szCs w:val="21"/>
              </w:rPr>
              <w:t>针对本项目提供的</w:t>
            </w:r>
            <w:r>
              <w:rPr>
                <w:rFonts w:hint="eastAsia" w:ascii="宋体" w:hAnsi="宋体" w:eastAsia="宋体" w:cs="宋体"/>
                <w:sz w:val="21"/>
                <w:szCs w:val="21"/>
                <w:lang w:val="zh-CN"/>
              </w:rPr>
              <w:t>项目进度安排包含：</w:t>
            </w:r>
            <w:r>
              <w:rPr>
                <w:rFonts w:hint="eastAsia" w:ascii="宋体" w:hAnsi="宋体" w:eastAsia="宋体" w:cs="宋体"/>
                <w:sz w:val="21"/>
                <w:szCs w:val="21"/>
              </w:rPr>
              <w:t>①</w:t>
            </w:r>
            <w:r>
              <w:rPr>
                <w:rFonts w:hint="eastAsia" w:ascii="宋体" w:hAnsi="宋体" w:eastAsia="宋体" w:cs="宋体"/>
                <w:sz w:val="21"/>
                <w:szCs w:val="21"/>
                <w:lang w:val="zh-CN"/>
              </w:rPr>
              <w:t>工期安排；</w:t>
            </w:r>
            <w:r>
              <w:rPr>
                <w:rFonts w:hint="eastAsia" w:ascii="宋体" w:hAnsi="宋体" w:eastAsia="宋体" w:cs="宋体"/>
                <w:sz w:val="21"/>
                <w:szCs w:val="21"/>
              </w:rPr>
              <w:t>②</w:t>
            </w:r>
            <w:r>
              <w:rPr>
                <w:rFonts w:hint="eastAsia" w:ascii="宋体" w:hAnsi="宋体" w:eastAsia="宋体" w:cs="宋体"/>
                <w:sz w:val="21"/>
                <w:szCs w:val="21"/>
                <w:lang w:val="zh-CN"/>
              </w:rPr>
              <w:t>工作任务完成的时限</w:t>
            </w:r>
            <w:r>
              <w:rPr>
                <w:rFonts w:hint="eastAsia" w:ascii="宋体" w:hAnsi="宋体" w:eastAsia="宋体" w:cs="宋体"/>
                <w:sz w:val="21"/>
                <w:szCs w:val="21"/>
              </w:rPr>
              <w:t>等内容进行评审，内容齐全符合实际情况、图表量化清晰且完全响应采购要求的得4分</w:t>
            </w:r>
            <w:r>
              <w:rPr>
                <w:rFonts w:hint="eastAsia" w:ascii="宋体" w:hAnsi="宋体" w:eastAsia="宋体" w:cs="宋体"/>
                <w:sz w:val="21"/>
                <w:szCs w:val="21"/>
                <w:lang w:val="zh-CN"/>
              </w:rPr>
              <w:t>；每有一项内容缺失的扣</w:t>
            </w:r>
            <w:r>
              <w:rPr>
                <w:rFonts w:hint="eastAsia" w:ascii="宋体" w:hAnsi="宋体" w:eastAsia="宋体" w:cs="宋体"/>
                <w:sz w:val="21"/>
                <w:szCs w:val="21"/>
              </w:rPr>
              <w:t>2分，每有一处内容存在不足（存在不足指工期安排与项目进度不符或完成时限阐述不清</w:t>
            </w:r>
            <w:r>
              <w:rPr>
                <w:rFonts w:hint="eastAsia" w:ascii="宋体" w:hAnsi="宋体" w:eastAsia="宋体" w:cs="宋体"/>
                <w:sz w:val="21"/>
                <w:szCs w:val="21"/>
                <w:lang w:val="zh-CN"/>
              </w:rPr>
              <w:t>或</w:t>
            </w:r>
            <w:r>
              <w:rPr>
                <w:rFonts w:hint="eastAsia" w:ascii="宋体" w:hAnsi="宋体" w:eastAsia="宋体" w:cs="宋体"/>
                <w:sz w:val="21"/>
                <w:szCs w:val="21"/>
              </w:rPr>
              <w:t>任务节点不明或不满足项目需求的）扣1分，扣完为止。</w:t>
            </w:r>
          </w:p>
        </w:tc>
        <w:tc>
          <w:tcPr>
            <w:tcW w:w="1223" w:type="dxa"/>
            <w:vMerge w:val="continue"/>
            <w:vAlign w:val="center"/>
          </w:tcPr>
          <w:p>
            <w:pPr>
              <w:wordWrap w:val="0"/>
              <w:topLinePunct/>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470" w:type="dxa"/>
            <w:vMerge w:val="continue"/>
            <w:vAlign w:val="center"/>
          </w:tcPr>
          <w:p>
            <w:pPr>
              <w:wordWrap w:val="0"/>
              <w:topLinePunct/>
              <w:spacing w:line="360" w:lineRule="exact"/>
              <w:jc w:val="center"/>
              <w:rPr>
                <w:rFonts w:hint="eastAsia" w:ascii="宋体" w:hAnsi="宋体" w:eastAsia="宋体" w:cs="宋体"/>
                <w:sz w:val="21"/>
                <w:szCs w:val="21"/>
              </w:rPr>
            </w:pPr>
          </w:p>
        </w:tc>
        <w:tc>
          <w:tcPr>
            <w:tcW w:w="1000" w:type="dxa"/>
            <w:vAlign w:val="center"/>
          </w:tcPr>
          <w:p>
            <w:pPr>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跟踪服务承诺</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2分</w:t>
            </w:r>
          </w:p>
        </w:tc>
        <w:tc>
          <w:tcPr>
            <w:tcW w:w="5470" w:type="dxa"/>
          </w:tcPr>
          <w:p>
            <w:pPr>
              <w:spacing w:line="360" w:lineRule="exact"/>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napToGrid w:val="0"/>
                <w:sz w:val="21"/>
                <w:szCs w:val="21"/>
              </w:rPr>
              <w:t>供应商</w:t>
            </w:r>
            <w:r>
              <w:rPr>
                <w:rFonts w:hint="eastAsia" w:ascii="宋体" w:hAnsi="宋体" w:eastAsia="宋体" w:cs="宋体"/>
                <w:sz w:val="21"/>
                <w:szCs w:val="21"/>
              </w:rPr>
              <w:t>针对本项目提供的</w:t>
            </w:r>
            <w:r>
              <w:rPr>
                <w:rFonts w:hint="eastAsia" w:ascii="宋体" w:hAnsi="宋体" w:eastAsia="宋体" w:cs="宋体"/>
                <w:sz w:val="21"/>
                <w:szCs w:val="21"/>
                <w:lang w:val="zh-CN"/>
              </w:rPr>
              <w:t>项目跟踪服务承诺包含：</w:t>
            </w:r>
            <w:r>
              <w:rPr>
                <w:rFonts w:hint="eastAsia" w:ascii="宋体" w:hAnsi="宋体" w:eastAsia="宋体" w:cs="宋体"/>
                <w:sz w:val="21"/>
                <w:szCs w:val="21"/>
              </w:rPr>
              <w:t>①</w:t>
            </w:r>
            <w:r>
              <w:rPr>
                <w:rFonts w:hint="eastAsia" w:ascii="宋体" w:hAnsi="宋体" w:eastAsia="宋体" w:cs="宋体"/>
                <w:sz w:val="21"/>
                <w:szCs w:val="21"/>
                <w:lang w:val="zh-CN"/>
              </w:rPr>
              <w:t>保证</w:t>
            </w:r>
            <w:r>
              <w:rPr>
                <w:rFonts w:hint="eastAsia" w:cs="宋体"/>
                <w:sz w:val="21"/>
                <w:szCs w:val="21"/>
                <w:lang w:val="en-US" w:eastAsia="zh-CN"/>
              </w:rPr>
              <w:t>规划</w:t>
            </w:r>
            <w:r>
              <w:rPr>
                <w:rFonts w:hint="eastAsia" w:ascii="宋体" w:hAnsi="宋体" w:eastAsia="宋体" w:cs="宋体"/>
                <w:sz w:val="21"/>
                <w:szCs w:val="21"/>
                <w:lang w:val="zh-CN"/>
              </w:rPr>
              <w:t>设计质量和配合项目实施；</w:t>
            </w:r>
            <w:r>
              <w:rPr>
                <w:rFonts w:hint="eastAsia" w:ascii="宋体" w:hAnsi="宋体" w:eastAsia="宋体" w:cs="宋体"/>
                <w:sz w:val="21"/>
                <w:szCs w:val="21"/>
              </w:rPr>
              <w:t>②</w:t>
            </w:r>
            <w:r>
              <w:rPr>
                <w:rFonts w:hint="eastAsia" w:ascii="宋体" w:hAnsi="宋体" w:eastAsia="宋体" w:cs="宋体"/>
                <w:sz w:val="21"/>
                <w:szCs w:val="21"/>
                <w:lang w:val="zh-CN"/>
              </w:rPr>
              <w:t>提供优质服务</w:t>
            </w:r>
            <w:r>
              <w:rPr>
                <w:rFonts w:hint="eastAsia" w:ascii="宋体" w:hAnsi="宋体" w:eastAsia="宋体" w:cs="宋体"/>
                <w:sz w:val="21"/>
                <w:szCs w:val="21"/>
              </w:rPr>
              <w:t>等内容进行评审，</w:t>
            </w:r>
            <w:r>
              <w:rPr>
                <w:rFonts w:hint="eastAsia" w:ascii="宋体" w:hAnsi="宋体" w:eastAsia="宋体" w:cs="宋体"/>
                <w:sz w:val="21"/>
                <w:szCs w:val="21"/>
                <w:lang w:val="zh-CN"/>
              </w:rPr>
              <w:t>内容</w:t>
            </w:r>
            <w:r>
              <w:rPr>
                <w:rFonts w:hint="eastAsia" w:ascii="宋体" w:hAnsi="宋体" w:eastAsia="宋体" w:cs="宋体"/>
                <w:sz w:val="21"/>
                <w:szCs w:val="21"/>
              </w:rPr>
              <w:t>齐全</w:t>
            </w:r>
            <w:r>
              <w:rPr>
                <w:rFonts w:hint="eastAsia" w:ascii="宋体" w:hAnsi="宋体" w:eastAsia="宋体" w:cs="宋体"/>
                <w:sz w:val="21"/>
                <w:szCs w:val="21"/>
                <w:lang w:val="zh-CN"/>
              </w:rPr>
              <w:t>详实</w:t>
            </w:r>
            <w:r>
              <w:rPr>
                <w:rFonts w:hint="eastAsia" w:ascii="宋体" w:hAnsi="宋体" w:eastAsia="宋体" w:cs="宋体"/>
                <w:sz w:val="21"/>
                <w:szCs w:val="21"/>
              </w:rPr>
              <w:t>且满足需求</w:t>
            </w:r>
            <w:r>
              <w:rPr>
                <w:rFonts w:hint="eastAsia" w:ascii="宋体" w:hAnsi="宋体" w:eastAsia="宋体" w:cs="宋体"/>
                <w:sz w:val="21"/>
                <w:szCs w:val="21"/>
                <w:lang w:val="zh-CN"/>
              </w:rPr>
              <w:t>的得</w:t>
            </w:r>
            <w:r>
              <w:rPr>
                <w:rFonts w:hint="eastAsia" w:ascii="宋体" w:hAnsi="宋体" w:eastAsia="宋体" w:cs="宋体"/>
                <w:sz w:val="21"/>
                <w:szCs w:val="21"/>
              </w:rPr>
              <w:t>2分；</w:t>
            </w:r>
            <w:r>
              <w:rPr>
                <w:rFonts w:hint="eastAsia" w:ascii="宋体" w:hAnsi="宋体" w:eastAsia="宋体" w:cs="宋体"/>
                <w:sz w:val="21"/>
                <w:szCs w:val="21"/>
                <w:lang w:val="zh-CN"/>
              </w:rPr>
              <w:t>每有一项内容缺失的扣</w:t>
            </w:r>
            <w:r>
              <w:rPr>
                <w:rFonts w:hint="eastAsia" w:ascii="宋体" w:hAnsi="宋体" w:eastAsia="宋体" w:cs="宋体"/>
                <w:sz w:val="21"/>
                <w:szCs w:val="21"/>
              </w:rPr>
              <w:t>1分，每有一处内容存在不足（存在不足指措施准备缺乏或措施与项目不匹配或服务</w:t>
            </w:r>
            <w:r>
              <w:rPr>
                <w:rFonts w:hint="eastAsia" w:ascii="宋体" w:hAnsi="宋体" w:eastAsia="宋体" w:cs="宋体"/>
                <w:sz w:val="21"/>
                <w:szCs w:val="21"/>
                <w:lang w:val="zh-CN"/>
              </w:rPr>
              <w:t>内容不</w:t>
            </w:r>
            <w:r>
              <w:rPr>
                <w:rFonts w:hint="eastAsia" w:ascii="宋体" w:hAnsi="宋体" w:eastAsia="宋体" w:cs="宋体"/>
                <w:sz w:val="21"/>
                <w:szCs w:val="21"/>
              </w:rPr>
              <w:t>详实</w:t>
            </w:r>
            <w:r>
              <w:rPr>
                <w:rFonts w:hint="eastAsia" w:ascii="宋体" w:hAnsi="宋体" w:eastAsia="宋体" w:cs="宋体"/>
                <w:sz w:val="21"/>
                <w:szCs w:val="21"/>
                <w:lang w:val="zh-CN"/>
              </w:rPr>
              <w:t>或</w:t>
            </w:r>
            <w:r>
              <w:rPr>
                <w:rFonts w:hint="eastAsia" w:ascii="宋体" w:hAnsi="宋体" w:eastAsia="宋体" w:cs="宋体"/>
                <w:sz w:val="21"/>
                <w:szCs w:val="21"/>
              </w:rPr>
              <w:t>或不满足实际需求的）扣0.5分，扣完为止。</w:t>
            </w:r>
          </w:p>
        </w:tc>
        <w:tc>
          <w:tcPr>
            <w:tcW w:w="1223" w:type="dxa"/>
            <w:vMerge w:val="continue"/>
            <w:vAlign w:val="center"/>
          </w:tcPr>
          <w:p>
            <w:pPr>
              <w:wordWrap w:val="0"/>
              <w:topLinePunct/>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四</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扶持少数民族地区1%</w:t>
            </w:r>
          </w:p>
        </w:tc>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1分</w:t>
            </w:r>
          </w:p>
        </w:tc>
        <w:tc>
          <w:tcPr>
            <w:tcW w:w="54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供应商注册在少数民族地区的得1分。</w:t>
            </w:r>
          </w:p>
          <w:p>
            <w:pPr>
              <w:spacing w:line="360" w:lineRule="exact"/>
              <w:rPr>
                <w:rFonts w:hint="eastAsia" w:ascii="宋体" w:hAnsi="宋体" w:eastAsia="宋体" w:cs="宋体"/>
                <w:sz w:val="21"/>
                <w:szCs w:val="21"/>
              </w:rPr>
            </w:pPr>
            <w:r>
              <w:rPr>
                <w:rFonts w:hint="eastAsia" w:ascii="宋体" w:hAnsi="宋体" w:eastAsia="宋体" w:cs="宋体"/>
                <w:sz w:val="21"/>
                <w:szCs w:val="21"/>
              </w:rPr>
              <w:t>注：指供应商注册地在民族自治区、自治州、自治县(含享受少数民族待遇的区县)、民族乡的供应商，提供营业执照副本复印件。</w:t>
            </w:r>
          </w:p>
        </w:tc>
        <w:tc>
          <w:tcPr>
            <w:tcW w:w="1223" w:type="dxa"/>
            <w:tcBorders>
              <w:top w:val="single" w:color="auto" w:sz="4" w:space="0"/>
              <w:left w:val="single" w:color="auto" w:sz="4" w:space="0"/>
              <w:right w:val="single" w:color="auto" w:sz="4" w:space="0"/>
            </w:tcBorders>
            <w:vAlign w:val="center"/>
          </w:tcPr>
          <w:p>
            <w:pPr>
              <w:wordWrap w:val="0"/>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wordWrap w:val="0"/>
              <w:topLinePunct/>
              <w:spacing w:line="360" w:lineRule="exact"/>
              <w:jc w:val="both"/>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评分的取值按四舍五入法，小数点后保留两位。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本表中要求提供各类证明材料，均需加盖供应商单位公章，否则将不认可该项材料的有效性。</w:t>
            </w:r>
          </w:p>
        </w:tc>
      </w:tr>
    </w:tbl>
    <w:p>
      <w:pPr>
        <w:pStyle w:val="45"/>
        <w:ind w:firstLine="482"/>
      </w:pPr>
      <w:bookmarkStart w:id="388" w:name="_Toc32285"/>
      <w:r>
        <w:rPr>
          <w:rFonts w:hint="eastAsia"/>
        </w:rPr>
        <w:t>复核</w:t>
      </w:r>
      <w:bookmarkEnd w:id="387"/>
      <w:bookmarkEnd w:id="388"/>
    </w:p>
    <w:p>
      <w:pPr>
        <w:pStyle w:val="59"/>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0"/>
        <w:ind w:firstLine="480"/>
      </w:pPr>
      <w:r>
        <w:rPr>
          <w:rFonts w:hint="eastAsia"/>
        </w:rPr>
        <w:t>资格性审查认定错误的；</w:t>
      </w:r>
    </w:p>
    <w:p>
      <w:pPr>
        <w:pStyle w:val="60"/>
        <w:ind w:firstLine="480"/>
      </w:pPr>
      <w:r>
        <w:rPr>
          <w:rFonts w:hint="eastAsia"/>
        </w:rPr>
        <w:t>分值汇总计算错误的；</w:t>
      </w:r>
    </w:p>
    <w:p>
      <w:pPr>
        <w:pStyle w:val="60"/>
        <w:ind w:firstLine="480"/>
      </w:pPr>
      <w:r>
        <w:rPr>
          <w:rFonts w:hint="eastAsia"/>
        </w:rPr>
        <w:t>分项评分超出评分标准范围的；</w:t>
      </w:r>
    </w:p>
    <w:p>
      <w:pPr>
        <w:pStyle w:val="60"/>
        <w:ind w:firstLine="480"/>
      </w:pPr>
      <w:r>
        <w:rPr>
          <w:rFonts w:hint="eastAsia"/>
        </w:rPr>
        <w:t>客观评分不一致的；</w:t>
      </w:r>
    </w:p>
    <w:p>
      <w:pPr>
        <w:pStyle w:val="60"/>
        <w:ind w:firstLine="480"/>
      </w:pPr>
      <w:r>
        <w:rPr>
          <w:rFonts w:hint="eastAsia"/>
        </w:rPr>
        <w:t>经磋商小组一致认定评分畸高、畸低的。</w:t>
      </w:r>
    </w:p>
    <w:p>
      <w:pPr>
        <w:pStyle w:val="59"/>
        <w:ind w:firstLine="480"/>
      </w:pPr>
      <w:r>
        <w:rPr>
          <w:rFonts w:hint="eastAsia"/>
        </w:rPr>
        <w:t>采购代理机构复核过程中，磋商小组不得离开评审现场。</w:t>
      </w:r>
    </w:p>
    <w:p>
      <w:pPr>
        <w:pStyle w:val="59"/>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同级财政部门。</w:t>
      </w:r>
    </w:p>
    <w:p>
      <w:pPr>
        <w:pStyle w:val="59"/>
        <w:ind w:firstLine="480"/>
      </w:pPr>
      <w:r>
        <w:rPr>
          <w:rFonts w:hint="eastAsia"/>
        </w:rPr>
        <w:t>有下列情形之一的，不得修改磋商结果或者重新评审：</w:t>
      </w:r>
    </w:p>
    <w:p>
      <w:pPr>
        <w:pStyle w:val="60"/>
        <w:ind w:firstLine="480"/>
      </w:pPr>
      <w:r>
        <w:rPr>
          <w:rFonts w:hint="eastAsia"/>
        </w:rPr>
        <w:t>磋商小组已经出具评审报告并且离开评审现场的；</w:t>
      </w:r>
    </w:p>
    <w:p>
      <w:pPr>
        <w:pStyle w:val="60"/>
        <w:ind w:firstLine="480"/>
      </w:pPr>
      <w:r>
        <w:rPr>
          <w:rFonts w:hint="eastAsia"/>
        </w:rPr>
        <w:t>采购代理机构现场复核时，复核工作人员数量不足的；</w:t>
      </w:r>
    </w:p>
    <w:p>
      <w:pPr>
        <w:pStyle w:val="60"/>
        <w:ind w:firstLine="480"/>
      </w:pPr>
      <w:r>
        <w:rPr>
          <w:rFonts w:hint="eastAsia"/>
        </w:rPr>
        <w:t>采购代理机构现场复核时，没有采购监督人员现场监督的；</w:t>
      </w:r>
    </w:p>
    <w:p>
      <w:pPr>
        <w:pStyle w:val="60"/>
        <w:ind w:firstLine="480"/>
      </w:pPr>
      <w:r>
        <w:rPr>
          <w:rFonts w:hint="eastAsia"/>
        </w:rPr>
        <w:t>采购代理机构现场复核内容超出规定范围的；</w:t>
      </w:r>
    </w:p>
    <w:p>
      <w:pPr>
        <w:pStyle w:val="60"/>
        <w:ind w:firstLine="480"/>
      </w:pPr>
      <w:r>
        <w:rPr>
          <w:rFonts w:hint="eastAsia"/>
        </w:rPr>
        <w:t>采购代理机构未提供书面建议的。</w:t>
      </w:r>
    </w:p>
    <w:p>
      <w:pPr>
        <w:pStyle w:val="45"/>
        <w:ind w:firstLine="482"/>
      </w:pPr>
      <w:bookmarkStart w:id="389" w:name="_Toc7075"/>
      <w:bookmarkStart w:id="390" w:name="_Toc4617"/>
      <w:r>
        <w:rPr>
          <w:rFonts w:hint="eastAsia"/>
        </w:rPr>
        <w:t>评审报告</w:t>
      </w:r>
      <w:bookmarkEnd w:id="389"/>
      <w:bookmarkEnd w:id="390"/>
    </w:p>
    <w:p>
      <w:pPr>
        <w:pStyle w:val="59"/>
        <w:ind w:firstLine="480"/>
      </w:pPr>
      <w:r>
        <w:rPr>
          <w:rFonts w:hint="eastAsia"/>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59"/>
        <w:ind w:firstLine="480"/>
      </w:pPr>
      <w:r>
        <w:rPr>
          <w:rFonts w:hint="eastAsia"/>
        </w:rPr>
        <w:t>出具评审报告。评审委员会推荐成交候选供应商后，应当向采购组织单位出具评审报告。评审报告应当包括下列内容：</w:t>
      </w:r>
    </w:p>
    <w:p>
      <w:pPr>
        <w:pStyle w:val="60"/>
        <w:ind w:firstLine="480"/>
      </w:pPr>
      <w:r>
        <w:rPr>
          <w:rFonts w:hint="eastAsia"/>
        </w:rPr>
        <w:t>邀请供应商参加采购活动的具体方式和相关情况、以及参加采购活动的供应商名单；</w:t>
      </w:r>
    </w:p>
    <w:p>
      <w:pPr>
        <w:pStyle w:val="60"/>
        <w:ind w:firstLine="480"/>
      </w:pPr>
      <w:r>
        <w:rPr>
          <w:rFonts w:hint="eastAsia"/>
        </w:rPr>
        <w:t>响应文件开启日期和地点；</w:t>
      </w:r>
    </w:p>
    <w:p>
      <w:pPr>
        <w:pStyle w:val="60"/>
        <w:ind w:firstLine="480"/>
      </w:pPr>
      <w:r>
        <w:rPr>
          <w:rFonts w:hint="eastAsia"/>
        </w:rPr>
        <w:t>获取磋商文件的供应商名单和磋商小组成员名单；</w:t>
      </w:r>
    </w:p>
    <w:p>
      <w:pPr>
        <w:pStyle w:val="60"/>
        <w:ind w:firstLine="480"/>
      </w:pPr>
      <w:r>
        <w:rPr>
          <w:rFonts w:hint="eastAsia"/>
        </w:rPr>
        <w:t>参加报价的供应商名单及报价情况和未参加报价的供应商名单及原因；</w:t>
      </w:r>
    </w:p>
    <w:p>
      <w:pPr>
        <w:pStyle w:val="60"/>
        <w:ind w:firstLine="480"/>
      </w:pPr>
      <w:r>
        <w:rPr>
          <w:rFonts w:hint="eastAsia"/>
        </w:rPr>
        <w:t>磋商文件规定的采购项目实质性要求及变动磋商文件实质性内容的有关资料及记录；</w:t>
      </w:r>
    </w:p>
    <w:p>
      <w:pPr>
        <w:pStyle w:val="60"/>
        <w:ind w:firstLine="480"/>
      </w:pPr>
      <w:r>
        <w:rPr>
          <w:rFonts w:hint="eastAsia"/>
        </w:rPr>
        <w:t>供应商响应文件响应磋商文件实质性要求情况及供应商变动响应文件有关资料及记录；</w:t>
      </w:r>
    </w:p>
    <w:p>
      <w:pPr>
        <w:pStyle w:val="60"/>
        <w:ind w:firstLine="480"/>
      </w:pPr>
      <w:r>
        <w:rPr>
          <w:rFonts w:hint="eastAsia"/>
        </w:rPr>
        <w:t>评审情况记录和说明，包括对供应商的资格审查情况、供应商响应文件评审情况、磋商情况、报价情况等；</w:t>
      </w:r>
    </w:p>
    <w:p>
      <w:pPr>
        <w:pStyle w:val="60"/>
        <w:ind w:firstLine="480"/>
      </w:pPr>
      <w:r>
        <w:rPr>
          <w:rFonts w:hint="eastAsia"/>
        </w:rPr>
        <w:t>提出的成交候选供应商的排序名单及理由。</w:t>
      </w:r>
    </w:p>
    <w:p>
      <w:pPr>
        <w:pStyle w:val="59"/>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9"/>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5"/>
        <w:ind w:firstLine="482"/>
      </w:pPr>
      <w:bookmarkStart w:id="391" w:name="_Toc15090"/>
      <w:bookmarkStart w:id="392" w:name="_Toc22509"/>
      <w:r>
        <w:rPr>
          <w:rFonts w:hint="eastAsia"/>
        </w:rPr>
        <w:t>确定成交候选人</w:t>
      </w:r>
      <w:bookmarkEnd w:id="391"/>
      <w:bookmarkEnd w:id="392"/>
    </w:p>
    <w:p>
      <w:pPr>
        <w:pStyle w:val="59"/>
        <w:ind w:firstLine="480"/>
      </w:pPr>
      <w:r>
        <w:rPr>
          <w:rFonts w:hint="eastAsia"/>
        </w:rPr>
        <w:t>采购代理机构应当在评审结束后2个工作日内将评审报告送采购人确认。</w:t>
      </w:r>
    </w:p>
    <w:p>
      <w:pPr>
        <w:pStyle w:val="59"/>
        <w:ind w:firstLine="480"/>
      </w:pPr>
      <w:r>
        <w:rPr>
          <w:rFonts w:hint="eastAsia"/>
        </w:rPr>
        <w:t>本项目根据磋商小组推荐的成交候选人名单，按顺序确定成交供应商。</w:t>
      </w:r>
    </w:p>
    <w:p>
      <w:pPr>
        <w:pStyle w:val="59"/>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9"/>
        <w:ind w:firstLine="480"/>
      </w:pPr>
      <w:r>
        <w:rPr>
          <w:rFonts w:hint="eastAsia"/>
        </w:rPr>
        <w:t>采购人不确定排序前一位成交候选供应商为成交供应商的，应当将不确定的理由书面告知该成交候选供应商，并在“四川政府采购网”公告。</w:t>
      </w:r>
    </w:p>
    <w:p>
      <w:pPr>
        <w:pStyle w:val="59"/>
        <w:ind w:firstLine="480"/>
      </w:pPr>
      <w:r>
        <w:rPr>
          <w:rFonts w:hint="eastAsia"/>
        </w:rPr>
        <w:t>采购人依法确定不出成交供应商的，应当重新组织采购，书面告知成交候选供应商，说明理由，并在“四川政府采购网”公告。</w:t>
      </w:r>
    </w:p>
    <w:p>
      <w:pPr>
        <w:pStyle w:val="59"/>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5"/>
        <w:ind w:firstLine="482"/>
      </w:pPr>
      <w:bookmarkStart w:id="393" w:name="_Toc20650"/>
      <w:bookmarkStart w:id="394" w:name="_Toc7315"/>
      <w:r>
        <w:rPr>
          <w:rFonts w:hint="eastAsia"/>
        </w:rPr>
        <w:t>成交通知书</w:t>
      </w:r>
      <w:bookmarkEnd w:id="393"/>
      <w:bookmarkEnd w:id="394"/>
    </w:p>
    <w:p>
      <w:pPr>
        <w:pStyle w:val="59"/>
        <w:ind w:firstLine="480"/>
      </w:pPr>
      <w:r>
        <w:rPr>
          <w:rFonts w:hint="eastAsia"/>
        </w:rPr>
        <w:t>采购代理机构在成交供应商确定后2个工作日内，在“四川政府采购网”公告成交结果，同时向成交供应商发出成交通知书。</w:t>
      </w:r>
    </w:p>
    <w:p>
      <w:pPr>
        <w:pStyle w:val="59"/>
        <w:ind w:firstLine="480"/>
      </w:pPr>
      <w:r>
        <w:rPr>
          <w:rFonts w:hint="eastAsia"/>
        </w:rPr>
        <w:t>成交通知书为签订政府采购合同的依据之一，是合同的有效组成部分。</w:t>
      </w:r>
    </w:p>
    <w:p>
      <w:pPr>
        <w:pStyle w:val="59"/>
        <w:ind w:firstLine="480"/>
      </w:pPr>
      <w:r>
        <w:rPr>
          <w:rFonts w:hint="eastAsia"/>
        </w:rPr>
        <w:t>供应商成交后，拒绝领取成交通知书的，采购代理机构将于成交供应商确定之日起两个工作日内采取邮寄、快递方式按照供应商响应文件中的地址发出成交通知书。</w:t>
      </w:r>
    </w:p>
    <w:p>
      <w:pPr>
        <w:pStyle w:val="59"/>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59"/>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59"/>
        <w:ind w:firstLine="480"/>
      </w:pPr>
      <w:r>
        <w:rPr>
          <w:rFonts w:hint="eastAsia"/>
        </w:rPr>
        <w:t>供应商成交后应当及时领取成交通知书，不能及时领取或拒绝领取成交通知书的，采购代理机构将于成交供应商确定之日起两个工作日内采取邮寄、快递方式将成交通知书送达成交供应商。</w:t>
      </w:r>
    </w:p>
    <w:p>
      <w:pPr>
        <w:pStyle w:val="45"/>
        <w:ind w:firstLine="482"/>
      </w:pPr>
      <w:bookmarkStart w:id="395" w:name="_Toc880"/>
      <w:bookmarkStart w:id="396" w:name="_Toc29842"/>
      <w:bookmarkStart w:id="397" w:name="_Toc19477"/>
      <w:bookmarkStart w:id="398" w:name="_Toc18115"/>
      <w:bookmarkStart w:id="399" w:name="_Toc5227"/>
      <w:bookmarkStart w:id="400" w:name="_Toc25447"/>
      <w:bookmarkStart w:id="401" w:name="_Toc27829"/>
      <w:r>
        <w:rPr>
          <w:rFonts w:hint="eastAsia"/>
        </w:rPr>
        <w:t>评审专家在政府采购活动中承担以下义务</w:t>
      </w:r>
      <w:bookmarkEnd w:id="395"/>
      <w:bookmarkEnd w:id="396"/>
      <w:bookmarkEnd w:id="397"/>
      <w:bookmarkEnd w:id="398"/>
      <w:bookmarkEnd w:id="399"/>
      <w:bookmarkEnd w:id="400"/>
      <w:bookmarkEnd w:id="401"/>
    </w:p>
    <w:p>
      <w:pPr>
        <w:pStyle w:val="59"/>
        <w:ind w:firstLine="480"/>
      </w:pPr>
      <w:r>
        <w:rPr>
          <w:rFonts w:hint="eastAsia"/>
        </w:rPr>
        <w:t>遵纪守法，客观、公正、廉洁地履行职责。</w:t>
      </w:r>
    </w:p>
    <w:p>
      <w:pPr>
        <w:pStyle w:val="59"/>
        <w:ind w:firstLine="480"/>
      </w:pPr>
      <w:r>
        <w:rPr>
          <w:rFonts w:hint="eastAsia"/>
        </w:rPr>
        <w:t>按照政府采购法律法规和磋商文件的规定要求对供应商的资格条件和供应商提供的产品价格、技术、服务等方面严格进行评判，提供科学合理、公平公正的评审意见，参与起草评审报告，并予签字确认。</w:t>
      </w:r>
    </w:p>
    <w:p>
      <w:pPr>
        <w:pStyle w:val="59"/>
        <w:ind w:firstLine="480"/>
      </w:pPr>
      <w:r>
        <w:rPr>
          <w:rFonts w:hint="eastAsia"/>
        </w:rPr>
        <w:t>评审专家应当遵守评审工作纪律，不得泄露评审情况和评审中获悉的商业秘密。</w:t>
      </w:r>
    </w:p>
    <w:p>
      <w:pPr>
        <w:pStyle w:val="59"/>
        <w:ind w:firstLine="480"/>
      </w:pPr>
      <w:r>
        <w:rPr>
          <w:rFonts w:hint="eastAsia"/>
        </w:rPr>
        <w:t>发现供应商在政府采购活动中有不正当竞争或恶意串通等违规行为，及时向政府采购评审工作的组织者或财政部门报告并加以制止。</w:t>
      </w:r>
    </w:p>
    <w:p>
      <w:pPr>
        <w:pStyle w:val="59"/>
        <w:ind w:firstLine="480"/>
      </w:pPr>
      <w:r>
        <w:rPr>
          <w:rFonts w:hint="eastAsia"/>
        </w:rPr>
        <w:t>在评审过程中发现供应商有行贿、提供虚假材料或者串通等违法行为的，应当及时向财政部门报告。</w:t>
      </w:r>
    </w:p>
    <w:p>
      <w:pPr>
        <w:pStyle w:val="59"/>
        <w:ind w:firstLine="480"/>
      </w:pPr>
      <w:r>
        <w:rPr>
          <w:rFonts w:hint="eastAsia"/>
        </w:rPr>
        <w:t>评审专家在评审过程中受到非法干涉的，应当及时向财政、监察等部门汇报。</w:t>
      </w:r>
    </w:p>
    <w:p>
      <w:pPr>
        <w:pStyle w:val="59"/>
        <w:ind w:firstLine="480"/>
      </w:pPr>
      <w:r>
        <w:rPr>
          <w:rFonts w:hint="eastAsia"/>
        </w:rPr>
        <w:t>解答有关方面对政府采购评审工作中有关问题的询问，配合采购人或者政府采购代理机构答复供应商询问、质疑，配合财政部门的投诉处理工作等事宜。</w:t>
      </w:r>
    </w:p>
    <w:p>
      <w:pPr>
        <w:pStyle w:val="59"/>
        <w:ind w:firstLine="480"/>
      </w:pPr>
      <w:r>
        <w:rPr>
          <w:rFonts w:hint="eastAsia"/>
        </w:rPr>
        <w:t>法律、法规和规章规定的其他义务。</w:t>
      </w:r>
    </w:p>
    <w:p>
      <w:pPr>
        <w:pStyle w:val="45"/>
        <w:ind w:firstLine="482"/>
      </w:pPr>
      <w:bookmarkStart w:id="402" w:name="_Toc1306"/>
      <w:bookmarkStart w:id="403" w:name="_Toc327196346"/>
      <w:bookmarkStart w:id="404" w:name="_Toc22719"/>
      <w:bookmarkStart w:id="405" w:name="_Toc32588"/>
      <w:bookmarkStart w:id="406" w:name="_Toc8073"/>
      <w:bookmarkStart w:id="407" w:name="_Toc3145"/>
      <w:bookmarkStart w:id="408" w:name="_Toc7984"/>
      <w:bookmarkStart w:id="409" w:name="_Toc2641"/>
      <w:bookmarkStart w:id="410" w:name="_Toc319440195"/>
      <w:bookmarkStart w:id="411" w:name="_Toc24516"/>
      <w:bookmarkStart w:id="412" w:name="_Toc15363"/>
      <w:bookmarkStart w:id="413" w:name="_Toc22731"/>
      <w:r>
        <w:rPr>
          <w:rFonts w:hint="eastAsia"/>
        </w:rPr>
        <w:t>评审专家在政府采购活动中应当遵守以下工作纪律</w:t>
      </w:r>
      <w:bookmarkEnd w:id="402"/>
      <w:bookmarkEnd w:id="403"/>
      <w:bookmarkEnd w:id="404"/>
      <w:bookmarkEnd w:id="405"/>
      <w:bookmarkEnd w:id="406"/>
      <w:bookmarkEnd w:id="407"/>
      <w:bookmarkEnd w:id="408"/>
      <w:bookmarkEnd w:id="409"/>
      <w:bookmarkEnd w:id="410"/>
      <w:bookmarkEnd w:id="411"/>
      <w:bookmarkEnd w:id="412"/>
      <w:bookmarkEnd w:id="413"/>
    </w:p>
    <w:p>
      <w:pPr>
        <w:pStyle w:val="59"/>
        <w:ind w:firstLine="480"/>
      </w:pPr>
      <w:r>
        <w:rPr>
          <w:rFonts w:hint="eastAsia"/>
        </w:rPr>
        <w:t>遵行《中华人民共和国政府采购法》第十二条和《中华人民共和国政府采购法实施条例》第九条及财政部关于回避的规定。</w:t>
      </w:r>
    </w:p>
    <w:p>
      <w:pPr>
        <w:pStyle w:val="59"/>
        <w:ind w:firstLine="480"/>
      </w:pPr>
      <w:r>
        <w:rPr>
          <w:rFonts w:hint="eastAsia"/>
        </w:rPr>
        <w:t>评审前，应当将通讯工具或者相关电子设备交由采购代理机构统一保管。</w:t>
      </w:r>
    </w:p>
    <w:p>
      <w:pPr>
        <w:pStyle w:val="59"/>
        <w:ind w:firstLine="480"/>
      </w:pPr>
      <w:r>
        <w:rPr>
          <w:rFonts w:hint="eastAsia"/>
        </w:rPr>
        <w:t>评审过程中，不得与外界联系，因发生不可预见情况，确实需要与外界联系的，应当在监督人员监督之下办理。</w:t>
      </w:r>
    </w:p>
    <w:p>
      <w:pPr>
        <w:pStyle w:val="59"/>
        <w:ind w:firstLine="480"/>
      </w:pPr>
      <w:r>
        <w:rPr>
          <w:rFonts w:hint="eastAsia"/>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pPr>
        <w:pStyle w:val="59"/>
        <w:ind w:firstLine="480"/>
      </w:pPr>
      <w:r>
        <w:rPr>
          <w:rFonts w:hint="eastAsia"/>
        </w:rPr>
        <w:t>在评审过程中和评审结束后，不得记录、复制或带走任何评审资料，除因规定的义务外，不得向外界透露评审内容。</w:t>
      </w:r>
    </w:p>
    <w:p>
      <w:pPr>
        <w:pStyle w:val="59"/>
        <w:ind w:firstLine="480"/>
      </w:pPr>
      <w:r>
        <w:rPr>
          <w:rFonts w:hint="eastAsia"/>
        </w:rPr>
        <w:t>服从评审现场采购代理机构的现场秩序管理，接受评审现场监督人员的合法监督。</w:t>
      </w:r>
    </w:p>
    <w:p>
      <w:pPr>
        <w:pStyle w:val="59"/>
        <w:ind w:firstLine="480"/>
      </w:pPr>
      <w:r>
        <w:rPr>
          <w:rFonts w:hint="eastAsia"/>
        </w:rPr>
        <w:t>遵守有关廉洁自律规定，不得私下接触供应商，不得收受供应商及有关业务单位和个人的财物或好处，不得接受采购组织单位的请托。</w:t>
      </w:r>
    </w:p>
    <w:p>
      <w:pPr>
        <w:pStyle w:val="59"/>
        <w:ind w:firstLine="480"/>
      </w:pPr>
      <w:r>
        <w:rPr>
          <w:rFonts w:hint="eastAsia"/>
        </w:rPr>
        <w:t>有关部门(机构)制定的其他评审工作纪律。</w:t>
      </w:r>
    </w:p>
    <w:p>
      <w:pPr>
        <w:pStyle w:val="45"/>
        <w:ind w:firstLine="482"/>
      </w:pPr>
      <w:bookmarkStart w:id="414" w:name="_Toc2722"/>
      <w:bookmarkStart w:id="415" w:name="_Toc22371"/>
      <w:r>
        <w:rPr>
          <w:rFonts w:hint="eastAsia"/>
        </w:rPr>
        <w:t>评审委员会及其成员不得有下列违约情形</w:t>
      </w:r>
      <w:bookmarkEnd w:id="414"/>
      <w:bookmarkEnd w:id="415"/>
    </w:p>
    <w:p>
      <w:pPr>
        <w:pStyle w:val="59"/>
        <w:ind w:firstLine="480"/>
      </w:pPr>
      <w:r>
        <w:rPr>
          <w:rFonts w:hint="eastAsia"/>
        </w:rPr>
        <w:t>答应参加评审活动后，无正当理由不参加或者迟到，且不及时告知抽取终端工作人员，导致评审活动无法正常进行的；</w:t>
      </w:r>
    </w:p>
    <w:p>
      <w:pPr>
        <w:pStyle w:val="59"/>
        <w:ind w:firstLine="480"/>
      </w:pPr>
      <w:r>
        <w:rPr>
          <w:rFonts w:hint="eastAsia"/>
        </w:rPr>
        <w:t>不遵守评审现场工作纪律的；</w:t>
      </w:r>
    </w:p>
    <w:p>
      <w:pPr>
        <w:pStyle w:val="59"/>
        <w:ind w:firstLine="480"/>
      </w:pPr>
      <w:r>
        <w:rPr>
          <w:rFonts w:hint="eastAsia"/>
        </w:rPr>
        <w:t>明显故意拖延评审时间的；</w:t>
      </w:r>
    </w:p>
    <w:p>
      <w:pPr>
        <w:pStyle w:val="59"/>
        <w:ind w:firstLine="480"/>
      </w:pPr>
      <w:r>
        <w:rPr>
          <w:rFonts w:hint="eastAsia"/>
        </w:rPr>
        <w:t>抄袭其他评审委员会成员的评审意见的；</w:t>
      </w:r>
    </w:p>
    <w:p>
      <w:pPr>
        <w:pStyle w:val="59"/>
        <w:ind w:firstLine="480"/>
      </w:pPr>
      <w:r>
        <w:rPr>
          <w:rFonts w:hint="eastAsia"/>
        </w:rPr>
        <w:t>不按照政府采购法律制度和磋商文件的规定进行评审，导致评审过程、评审结果违法违规，情节轻微不构成行政处罚的；</w:t>
      </w:r>
    </w:p>
    <w:p>
      <w:pPr>
        <w:pStyle w:val="59"/>
        <w:ind w:firstLine="480"/>
      </w:pPr>
      <w:r>
        <w:rPr>
          <w:rFonts w:hint="eastAsia"/>
        </w:rPr>
        <w:t>索取高于规定的劳务报酬，或者要求先给付报酬再进行评审，或者因劳务报酬低而拒绝评审、拒绝签署评审报告的；</w:t>
      </w:r>
    </w:p>
    <w:p>
      <w:pPr>
        <w:pStyle w:val="59"/>
        <w:ind w:firstLine="480"/>
      </w:pPr>
      <w:r>
        <w:rPr>
          <w:rFonts w:hint="eastAsia"/>
        </w:rPr>
        <w:t>不按照《四川省政府采购评审专家管理实施办法》的规定记录或者反馈采购人或者采购代理机构的职责履行情况的；</w:t>
      </w:r>
    </w:p>
    <w:p>
      <w:pPr>
        <w:pStyle w:val="59"/>
        <w:ind w:firstLine="480"/>
      </w:pPr>
      <w:r>
        <w:rPr>
          <w:rFonts w:hint="eastAsia"/>
        </w:rPr>
        <w:t>存在其他违反政府采购法规制度，但不构成行政处罚行为的。</w:t>
      </w:r>
    </w:p>
    <w:p>
      <w:pPr>
        <w:pStyle w:val="39"/>
      </w:pPr>
    </w:p>
    <w:p>
      <w:pPr>
        <w:pStyle w:val="44"/>
        <w:numPr>
          <w:ilvl w:val="0"/>
          <w:numId w:val="23"/>
        </w:numPr>
        <w:spacing w:before="120" w:after="120"/>
      </w:pPr>
      <w:r>
        <w:rPr>
          <w:rFonts w:hint="eastAsia"/>
        </w:rPr>
        <w:br w:type="page"/>
      </w:r>
      <w:bookmarkEnd w:id="361"/>
      <w:bookmarkStart w:id="416" w:name="_Toc11097"/>
      <w:r>
        <w:rPr>
          <w:rFonts w:hint="eastAsia"/>
        </w:rPr>
        <w:t>合同草案条款(参考文本)</w:t>
      </w:r>
      <w:bookmarkEnd w:id="416"/>
    </w:p>
    <w:p>
      <w:pPr>
        <w:pStyle w:val="42"/>
        <w:ind w:firstLine="482"/>
      </w:pPr>
      <w:r>
        <w:rPr>
          <w:rFonts w:hint="eastAsia"/>
          <w:b/>
          <w:bCs/>
        </w:rPr>
        <w:t>说明：</w:t>
      </w:r>
      <w:r>
        <w:rPr>
          <w:rFonts w:hint="eastAsia" w:cs="宋体"/>
          <w:b/>
          <w:bCs/>
        </w:rPr>
        <w:t>此合同为格式模板合同，仅作为采购人与成交供应商签订合同之时的参考，采购人有权根据实际情况对合同进行调整。</w:t>
      </w:r>
    </w:p>
    <w:p>
      <w:pPr>
        <w:pStyle w:val="42"/>
      </w:pPr>
    </w:p>
    <w:p>
      <w:pPr>
        <w:pStyle w:val="42"/>
      </w:pPr>
      <w:r>
        <w:rPr>
          <w:rFonts w:hint="eastAsia"/>
        </w:rPr>
        <w:t>合同编号：与项目编号一致</w:t>
      </w:r>
    </w:p>
    <w:p>
      <w:pPr>
        <w:pStyle w:val="42"/>
        <w:rPr>
          <w:u w:val="single"/>
        </w:rPr>
      </w:pPr>
      <w:r>
        <w:rPr>
          <w:rFonts w:hint="eastAsia"/>
        </w:rPr>
        <w:t>计划号/备案号：</w:t>
      </w:r>
      <w:r>
        <w:rPr>
          <w:rFonts w:hint="eastAsia"/>
          <w:u w:val="single"/>
        </w:rPr>
        <w:t xml:space="preserve">                   </w:t>
      </w:r>
    </w:p>
    <w:p>
      <w:pPr>
        <w:pStyle w:val="42"/>
        <w:rPr>
          <w:u w:val="single"/>
        </w:rPr>
      </w:pPr>
      <w:r>
        <w:rPr>
          <w:rFonts w:hint="eastAsia"/>
        </w:rPr>
        <w:t>签订地点：</w:t>
      </w:r>
      <w:r>
        <w:rPr>
          <w:rFonts w:hint="eastAsia"/>
          <w:u w:val="single"/>
        </w:rPr>
        <w:t xml:space="preserve">                     </w:t>
      </w:r>
    </w:p>
    <w:p>
      <w:pPr>
        <w:pStyle w:val="42"/>
        <w:rPr>
          <w:u w:val="single"/>
        </w:rPr>
      </w:pPr>
      <w:r>
        <w:rPr>
          <w:rFonts w:hint="eastAsia"/>
        </w:rPr>
        <w:t>签订时间：</w:t>
      </w:r>
      <w:r>
        <w:rPr>
          <w:rFonts w:hint="eastAsia"/>
          <w:u w:val="single"/>
        </w:rPr>
        <w:t xml:space="preserve">                     </w:t>
      </w:r>
    </w:p>
    <w:p>
      <w:pPr>
        <w:pStyle w:val="42"/>
        <w:rPr>
          <w:u w:val="single"/>
        </w:rPr>
      </w:pPr>
      <w:r>
        <w:rPr>
          <w:rFonts w:hint="eastAsia"/>
        </w:rPr>
        <w:t>采购人名称(甲方)：</w:t>
      </w:r>
      <w:r>
        <w:rPr>
          <w:rFonts w:hint="eastAsia"/>
          <w:u w:val="single"/>
        </w:rPr>
        <w:t xml:space="preserve">                              </w:t>
      </w:r>
    </w:p>
    <w:p>
      <w:pPr>
        <w:pStyle w:val="42"/>
        <w:rPr>
          <w:u w:val="single"/>
        </w:rPr>
      </w:pPr>
      <w:r>
        <w:rPr>
          <w:rFonts w:hint="eastAsia"/>
        </w:rPr>
        <w:t>成交供应商名称(乙方)：</w:t>
      </w:r>
      <w:r>
        <w:rPr>
          <w:rFonts w:hint="eastAsia"/>
          <w:u w:val="single"/>
        </w:rPr>
        <w:t xml:space="preserve">                          </w:t>
      </w:r>
    </w:p>
    <w:p>
      <w:pPr>
        <w:pStyle w:val="39"/>
      </w:pPr>
    </w:p>
    <w:p>
      <w:pPr>
        <w:pStyle w:val="39"/>
        <w:ind w:firstLine="480" w:firstLineChars="200"/>
      </w:pPr>
      <w:r>
        <w:rPr>
          <w:rFonts w:hint="eastAsia"/>
        </w:rPr>
        <w:t>根据《中华人民共和国民法典》、《中华人民共和国政府采购法》、《中华人民共和国政府采购法实施条例》(国务院令第658号)、《政府采购竞争性磋商采购方式管理暂行办法》及成都市规划和自然资源局“乡村振兴”规划项目(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62"/>
        <w:ind w:firstLine="482"/>
      </w:pPr>
      <w:bookmarkStart w:id="417" w:name="_Toc2033"/>
      <w:bookmarkStart w:id="418" w:name="_Toc7447"/>
      <w:bookmarkStart w:id="419" w:name="_Toc282"/>
      <w:bookmarkStart w:id="420" w:name="_Toc28183"/>
      <w:r>
        <w:rPr>
          <w:rFonts w:hint="eastAsia"/>
        </w:rPr>
        <w:t>项目基本情况</w:t>
      </w:r>
      <w:bookmarkEnd w:id="417"/>
      <w:bookmarkEnd w:id="418"/>
      <w:bookmarkEnd w:id="419"/>
      <w:bookmarkEnd w:id="420"/>
    </w:p>
    <w:p/>
    <w:p>
      <w:pPr>
        <w:pStyle w:val="62"/>
        <w:ind w:firstLine="482"/>
      </w:pPr>
      <w:bookmarkStart w:id="421" w:name="_Toc18792"/>
      <w:bookmarkStart w:id="422" w:name="_Toc21689"/>
      <w:bookmarkStart w:id="423" w:name="_Toc5799"/>
      <w:bookmarkStart w:id="424" w:name="_Toc21490"/>
      <w:r>
        <w:rPr>
          <w:rFonts w:hint="eastAsia"/>
        </w:rPr>
        <w:t>合同履行</w:t>
      </w:r>
      <w:bookmarkEnd w:id="421"/>
      <w:bookmarkEnd w:id="422"/>
      <w:bookmarkEnd w:id="423"/>
      <w:bookmarkEnd w:id="424"/>
    </w:p>
    <w:p>
      <w:pPr>
        <w:pStyle w:val="29"/>
        <w:numPr>
          <w:ilvl w:val="1"/>
          <w:numId w:val="31"/>
        </w:numPr>
        <w:ind w:firstLine="480"/>
      </w:pPr>
      <w:r>
        <w:rPr>
          <w:rFonts w:hint="eastAsia"/>
        </w:rPr>
        <w:t>履约期限：</w:t>
      </w:r>
    </w:p>
    <w:p>
      <w:pPr>
        <w:pStyle w:val="29"/>
        <w:numPr>
          <w:ilvl w:val="1"/>
          <w:numId w:val="31"/>
        </w:numPr>
        <w:ind w:firstLine="480"/>
      </w:pPr>
      <w:r>
        <w:rPr>
          <w:rFonts w:hint="eastAsia"/>
        </w:rPr>
        <w:t>履行地点：</w:t>
      </w:r>
    </w:p>
    <w:p>
      <w:pPr>
        <w:pStyle w:val="29"/>
        <w:numPr>
          <w:ilvl w:val="1"/>
          <w:numId w:val="31"/>
        </w:numPr>
        <w:ind w:firstLine="480"/>
      </w:pPr>
      <w:r>
        <w:rPr>
          <w:rFonts w:hint="eastAsia"/>
        </w:rPr>
        <w:t>履约方式：</w:t>
      </w:r>
    </w:p>
    <w:p>
      <w:pPr>
        <w:pStyle w:val="62"/>
        <w:ind w:firstLine="482"/>
      </w:pPr>
      <w:bookmarkStart w:id="425" w:name="_Toc4401"/>
      <w:bookmarkStart w:id="426" w:name="_Toc96"/>
      <w:bookmarkStart w:id="427" w:name="_Toc13963"/>
      <w:bookmarkStart w:id="428" w:name="_Toc26581"/>
      <w:bookmarkStart w:id="429" w:name="_Toc225244852"/>
      <w:bookmarkStart w:id="430" w:name="_Toc286993786"/>
      <w:bookmarkStart w:id="431" w:name="_Toc212019594"/>
      <w:bookmarkStart w:id="432" w:name="_Toc211911348"/>
      <w:bookmarkStart w:id="433" w:name="_Toc185395249"/>
      <w:bookmarkStart w:id="434" w:name="_Toc239233914"/>
      <w:bookmarkStart w:id="435" w:name="_Toc282696226"/>
      <w:bookmarkStart w:id="436" w:name="_Toc238984975"/>
      <w:bookmarkStart w:id="437" w:name="_Toc211854449"/>
      <w:bookmarkStart w:id="438" w:name="_Toc247334841"/>
      <w:bookmarkStart w:id="439" w:name="_Toc232492928"/>
      <w:bookmarkStart w:id="440" w:name="_Toc239568418"/>
      <w:bookmarkStart w:id="441" w:name="_Toc225670751"/>
      <w:bookmarkStart w:id="442" w:name="_Toc225654644"/>
      <w:bookmarkStart w:id="443" w:name="_Toc241833903"/>
      <w:bookmarkStart w:id="444" w:name="_Toc283019214"/>
      <w:bookmarkStart w:id="445" w:name="_Toc237145406"/>
      <w:bookmarkStart w:id="446" w:name="_Toc251768862"/>
      <w:r>
        <w:rPr>
          <w:rFonts w:hint="eastAsia"/>
        </w:rPr>
        <w:t>合同标的</w:t>
      </w:r>
      <w:bookmarkEnd w:id="425"/>
      <w:bookmarkEnd w:id="426"/>
      <w:bookmarkEnd w:id="427"/>
      <w:bookmarkEnd w:id="428"/>
    </w:p>
    <w:p>
      <w:pPr>
        <w:pStyle w:val="29"/>
        <w:numPr>
          <w:ilvl w:val="1"/>
          <w:numId w:val="32"/>
        </w:numPr>
        <w:ind w:firstLine="480"/>
      </w:pPr>
      <w:r>
        <w:rPr>
          <w:rFonts w:hint="eastAsia"/>
        </w:rPr>
        <w:t>XXXX……；</w:t>
      </w:r>
    </w:p>
    <w:p>
      <w:pPr>
        <w:pStyle w:val="29"/>
        <w:numPr>
          <w:ilvl w:val="1"/>
          <w:numId w:val="32"/>
        </w:numPr>
        <w:ind w:firstLine="480"/>
      </w:pPr>
      <w:r>
        <w:rPr>
          <w:rFonts w:hint="eastAsia"/>
        </w:rPr>
        <w:t>数量(若涉及填写)；</w:t>
      </w:r>
    </w:p>
    <w:p>
      <w:pPr>
        <w:pStyle w:val="29"/>
        <w:numPr>
          <w:ilvl w:val="1"/>
          <w:numId w:val="32"/>
        </w:numPr>
        <w:ind w:firstLine="480"/>
      </w:pPr>
      <w:r>
        <w:rPr>
          <w:rFonts w:hint="eastAsia"/>
        </w:rPr>
        <w:t>质量(若涉及填写)；</w:t>
      </w:r>
    </w:p>
    <w:p>
      <w:pPr>
        <w:pStyle w:val="62"/>
        <w:ind w:firstLine="482"/>
      </w:pPr>
      <w:bookmarkStart w:id="447" w:name="_Toc30518"/>
      <w:bookmarkStart w:id="448" w:name="_Toc10919"/>
      <w:bookmarkStart w:id="449" w:name="_Toc1622"/>
      <w:bookmarkStart w:id="450" w:name="_Toc29671"/>
      <w:r>
        <w:rPr>
          <w:rFonts w:hint="eastAsia"/>
        </w:rPr>
        <w:t>质量标准</w:t>
      </w:r>
      <w:bookmarkEnd w:id="447"/>
      <w:bookmarkEnd w:id="448"/>
      <w:bookmarkEnd w:id="449"/>
      <w:bookmarkEnd w:id="450"/>
    </w:p>
    <w:p>
      <w:pPr>
        <w:pStyle w:val="29"/>
        <w:numPr>
          <w:ilvl w:val="1"/>
          <w:numId w:val="33"/>
        </w:numPr>
        <w:ind w:firstLine="480"/>
      </w:pPr>
      <w:r>
        <w:rPr>
          <w:rFonts w:hint="eastAsia"/>
        </w:rPr>
        <w:t>XXXX；</w:t>
      </w:r>
    </w:p>
    <w:p>
      <w:pPr>
        <w:pStyle w:val="29"/>
        <w:numPr>
          <w:ilvl w:val="1"/>
          <w:numId w:val="33"/>
        </w:numPr>
        <w:ind w:firstLine="480"/>
      </w:pPr>
      <w:r>
        <w:rPr>
          <w:rFonts w:hint="eastAsia"/>
        </w:rPr>
        <w:t>XXXX；</w:t>
      </w:r>
    </w:p>
    <w:p>
      <w:pPr>
        <w:pStyle w:val="29"/>
        <w:numPr>
          <w:ilvl w:val="1"/>
          <w:numId w:val="33"/>
        </w:numPr>
        <w:ind w:firstLine="480"/>
      </w:pPr>
      <w:r>
        <w:rPr>
          <w:rFonts w:hint="eastAsia"/>
        </w:rPr>
        <w:t>XXXX．</w:t>
      </w:r>
    </w:p>
    <w:p>
      <w:pPr>
        <w:pStyle w:val="62"/>
        <w:ind w:firstLine="482"/>
      </w:pPr>
      <w:bookmarkStart w:id="451" w:name="_Toc10038"/>
      <w:bookmarkStart w:id="452" w:name="_Toc461"/>
      <w:bookmarkStart w:id="453" w:name="_Toc28723"/>
      <w:bookmarkStart w:id="454" w:name="_Toc18691"/>
      <w:r>
        <w:rPr>
          <w:rFonts w:hint="eastAsia"/>
        </w:rPr>
        <w:t>验收要求</w:t>
      </w:r>
      <w:bookmarkEnd w:id="451"/>
      <w:bookmarkEnd w:id="452"/>
      <w:bookmarkEnd w:id="453"/>
      <w:bookmarkEnd w:id="454"/>
    </w:p>
    <w:p>
      <w:pPr>
        <w:pStyle w:val="29"/>
        <w:numPr>
          <w:ilvl w:val="1"/>
          <w:numId w:val="34"/>
        </w:numPr>
        <w:ind w:firstLine="480"/>
      </w:pPr>
      <w:r>
        <w:rPr>
          <w:rFonts w:hint="eastAsia"/>
        </w:rPr>
        <w:t>严格按照《财政部关于进一步加强政府采购需求和履约验收管理的指导意见》(财库〔2016〕205号)要求进行验收。须符合国家有关规定、磋商文件的质量要求和技术指标、供应商的响应文件及承诺以及合同条款。</w:t>
      </w:r>
    </w:p>
    <w:p>
      <w:pPr>
        <w:pStyle w:val="29"/>
        <w:numPr>
          <w:ilvl w:val="1"/>
          <w:numId w:val="34"/>
        </w:numPr>
        <w:ind w:firstLine="480"/>
      </w:pPr>
      <w:r>
        <w:rPr>
          <w:rFonts w:hint="eastAsia"/>
        </w:rPr>
        <w:t>甲乙双方如对质量要求和技术指标的约定标准有相互抵触或异议的事项，由甲方在响应文件中按质量要求和技术指标比较优胜的原则确定该项的约定标准进行验收；</w:t>
      </w:r>
    </w:p>
    <w:p>
      <w:pPr>
        <w:pStyle w:val="29"/>
        <w:numPr>
          <w:ilvl w:val="1"/>
          <w:numId w:val="34"/>
        </w:numPr>
        <w:ind w:firstLine="480"/>
      </w:pPr>
      <w:r>
        <w:rPr>
          <w:rFonts w:hint="eastAsia"/>
        </w:rPr>
        <w:t>如质量验收合格，双方签署质量验收报告。</w:t>
      </w:r>
    </w:p>
    <w:p>
      <w:pPr>
        <w:pStyle w:val="62"/>
        <w:ind w:firstLine="482"/>
      </w:pPr>
      <w:bookmarkStart w:id="455" w:name="_Toc25213"/>
      <w:bookmarkStart w:id="456" w:name="_Toc27004"/>
      <w:bookmarkStart w:id="457" w:name="_Toc4641"/>
      <w:bookmarkStart w:id="458" w:name="_Toc3161"/>
      <w:r>
        <w:rPr>
          <w:rFonts w:hint="eastAsia"/>
        </w:rPr>
        <w:t>合同价款及支付方式</w:t>
      </w:r>
      <w:bookmarkEnd w:id="455"/>
      <w:bookmarkEnd w:id="456"/>
      <w:bookmarkEnd w:id="457"/>
      <w:bookmarkEnd w:id="458"/>
    </w:p>
    <w:p>
      <w:pPr>
        <w:pStyle w:val="29"/>
        <w:numPr>
          <w:ilvl w:val="1"/>
          <w:numId w:val="35"/>
        </w:numPr>
        <w:ind w:firstLine="480"/>
      </w:pPr>
      <w:r>
        <w:rPr>
          <w:rFonts w:hint="eastAsia"/>
        </w:rPr>
        <w:t>本项目合同价款由以下组成：</w:t>
      </w:r>
    </w:p>
    <w:p>
      <w:pPr>
        <w:pStyle w:val="29"/>
        <w:numPr>
          <w:ilvl w:val="1"/>
          <w:numId w:val="35"/>
        </w:numPr>
        <w:ind w:firstLine="480"/>
      </w:pPr>
      <w:r>
        <w:rPr>
          <w:rFonts w:hint="eastAsia"/>
        </w:rPr>
        <w:t>XX万元；</w:t>
      </w:r>
    </w:p>
    <w:p>
      <w:pPr>
        <w:pStyle w:val="29"/>
        <w:numPr>
          <w:ilvl w:val="1"/>
          <w:numId w:val="35"/>
        </w:numPr>
        <w:ind w:firstLine="480"/>
      </w:pPr>
      <w:r>
        <w:rPr>
          <w:rFonts w:hint="eastAsia"/>
        </w:rPr>
        <w:t>XX万元；</w:t>
      </w:r>
    </w:p>
    <w:p>
      <w:pPr>
        <w:pStyle w:val="29"/>
        <w:numPr>
          <w:ilvl w:val="1"/>
          <w:numId w:val="35"/>
        </w:numPr>
        <w:ind w:firstLine="480"/>
      </w:pPr>
      <w:r>
        <w:rPr>
          <w:rFonts w:hint="eastAsia"/>
        </w:rPr>
        <w:t>XX万元。</w:t>
      </w:r>
    </w:p>
    <w:p>
      <w:pPr>
        <w:pStyle w:val="29"/>
        <w:numPr>
          <w:ilvl w:val="1"/>
          <w:numId w:val="35"/>
        </w:numPr>
        <w:ind w:firstLine="480"/>
      </w:pPr>
      <w:r>
        <w:rPr>
          <w:rFonts w:hint="eastAsia"/>
        </w:rPr>
        <w:t>……</w:t>
      </w:r>
    </w:p>
    <w:p>
      <w:pPr>
        <w:pStyle w:val="29"/>
        <w:numPr>
          <w:ilvl w:val="1"/>
          <w:numId w:val="35"/>
        </w:numPr>
        <w:ind w:firstLine="480"/>
      </w:pPr>
      <w:r>
        <w:rPr>
          <w:rFonts w:hint="eastAsia"/>
        </w:rPr>
        <w:t xml:space="preserve">支付方式： </w:t>
      </w:r>
    </w:p>
    <w:p>
      <w:pPr>
        <w:pStyle w:val="62"/>
        <w:ind w:firstLine="482"/>
      </w:pPr>
      <w:bookmarkStart w:id="459" w:name="_Toc23917"/>
      <w:bookmarkStart w:id="460" w:name="_Toc14978"/>
      <w:bookmarkStart w:id="461" w:name="_Toc4738"/>
      <w:bookmarkStart w:id="462" w:name="_Toc18157"/>
      <w:r>
        <w:rPr>
          <w:rFonts w:hint="eastAsia"/>
        </w:rPr>
        <w:t>知识产权</w:t>
      </w:r>
      <w:bookmarkEnd w:id="459"/>
      <w:bookmarkEnd w:id="460"/>
      <w:bookmarkEnd w:id="461"/>
      <w:bookmarkEnd w:id="462"/>
    </w:p>
    <w:p>
      <w:pPr>
        <w:pStyle w:val="42"/>
      </w:pPr>
      <w:r>
        <w:rPr>
          <w:rFonts w:hint="eastAsia"/>
        </w:rPr>
        <w:t>乙方应保证所提供的服务或其任何一部分均不会侵犯任何第三方的专利权、商标权或著作权。</w:t>
      </w:r>
    </w:p>
    <w:p>
      <w:pPr>
        <w:pStyle w:val="62"/>
        <w:ind w:firstLine="482"/>
      </w:pPr>
      <w:bookmarkStart w:id="463" w:name="_Toc4565"/>
      <w:bookmarkStart w:id="464" w:name="_Toc27729"/>
      <w:bookmarkStart w:id="465" w:name="_Toc25510"/>
      <w:bookmarkStart w:id="466" w:name="_Toc10741"/>
      <w:r>
        <w:rPr>
          <w:rFonts w:hint="eastAsia"/>
        </w:rPr>
        <w:t>无产权瑕疵条款</w:t>
      </w:r>
      <w:bookmarkEnd w:id="463"/>
      <w:bookmarkEnd w:id="464"/>
      <w:bookmarkEnd w:id="465"/>
      <w:bookmarkEnd w:id="466"/>
    </w:p>
    <w:p>
      <w:pPr>
        <w:pStyle w:val="42"/>
      </w:pPr>
      <w:r>
        <w:rPr>
          <w:rFonts w:hint="eastAsia"/>
        </w:rPr>
        <w:t>乙方保证所提供的服务的所有权完全属于乙方且无任何抵押、查封等产权瑕疵。如有产权瑕疵的，视为乙方违约。乙方应负担由此而产生的一切损失。</w:t>
      </w:r>
    </w:p>
    <w:p>
      <w:pPr>
        <w:pStyle w:val="62"/>
        <w:ind w:firstLine="482"/>
      </w:pPr>
      <w:bookmarkStart w:id="467" w:name="_Toc14057"/>
      <w:bookmarkStart w:id="468" w:name="_Toc17325"/>
      <w:bookmarkStart w:id="469" w:name="_Toc6968"/>
      <w:bookmarkStart w:id="470" w:name="_Toc9283"/>
      <w:r>
        <w:rPr>
          <w:rFonts w:hint="eastAsia"/>
        </w:rPr>
        <w:t>甲方的权利和义务</w:t>
      </w:r>
      <w:bookmarkEnd w:id="467"/>
      <w:bookmarkEnd w:id="468"/>
      <w:bookmarkEnd w:id="469"/>
      <w:bookmarkEnd w:id="470"/>
    </w:p>
    <w:p>
      <w:pPr>
        <w:pStyle w:val="29"/>
        <w:numPr>
          <w:ilvl w:val="1"/>
          <w:numId w:val="36"/>
        </w:numPr>
        <w:ind w:firstLine="480"/>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36"/>
        </w:numPr>
        <w:ind w:firstLine="480"/>
      </w:pPr>
      <w:r>
        <w:rPr>
          <w:rFonts w:hint="eastAsia"/>
        </w:rPr>
        <w:t>甲方有权依据双方签订的考评办法对乙方提供的服务进行定期考评。当考评结果未达到标准时，有权依据考评办法约定的数额扣除合同款。</w:t>
      </w:r>
    </w:p>
    <w:p>
      <w:pPr>
        <w:pStyle w:val="29"/>
        <w:numPr>
          <w:ilvl w:val="1"/>
          <w:numId w:val="36"/>
        </w:numPr>
        <w:ind w:firstLine="480"/>
      </w:pPr>
      <w:r>
        <w:rPr>
          <w:rFonts w:hint="eastAsia"/>
        </w:rPr>
        <w:t>负责检查监督乙方管理工作的实施及制度的执行情况。</w:t>
      </w:r>
    </w:p>
    <w:p>
      <w:pPr>
        <w:pStyle w:val="29"/>
        <w:numPr>
          <w:ilvl w:val="1"/>
          <w:numId w:val="36"/>
        </w:numPr>
        <w:ind w:firstLine="480"/>
      </w:pPr>
      <w:r>
        <w:rPr>
          <w:rFonts w:hint="eastAsia"/>
        </w:rPr>
        <w:t>根据本合同规定，按时向乙方支付应付服务费用。</w:t>
      </w:r>
    </w:p>
    <w:p>
      <w:pPr>
        <w:pStyle w:val="29"/>
        <w:numPr>
          <w:ilvl w:val="1"/>
          <w:numId w:val="36"/>
        </w:numPr>
        <w:ind w:firstLine="480"/>
      </w:pPr>
      <w:r>
        <w:rPr>
          <w:rFonts w:hint="eastAsia"/>
        </w:rPr>
        <w:t>国家法律、法规所规定由甲方承担的其它责任。</w:t>
      </w:r>
    </w:p>
    <w:p>
      <w:pPr>
        <w:pStyle w:val="62"/>
        <w:ind w:firstLine="482"/>
      </w:pPr>
      <w:bookmarkStart w:id="471" w:name="_Toc25721"/>
      <w:bookmarkStart w:id="472" w:name="_Toc9454"/>
      <w:bookmarkStart w:id="473" w:name="_Toc10993"/>
      <w:bookmarkStart w:id="474" w:name="_Toc30743"/>
      <w:r>
        <w:rPr>
          <w:rFonts w:hint="eastAsia"/>
        </w:rPr>
        <w:t>乙方的权利和义务</w:t>
      </w:r>
      <w:bookmarkEnd w:id="471"/>
      <w:bookmarkEnd w:id="472"/>
      <w:bookmarkEnd w:id="473"/>
      <w:bookmarkEnd w:id="474"/>
    </w:p>
    <w:p>
      <w:pPr>
        <w:pStyle w:val="29"/>
        <w:numPr>
          <w:ilvl w:val="1"/>
          <w:numId w:val="37"/>
        </w:numPr>
        <w:ind w:firstLine="480"/>
      </w:pPr>
      <w:r>
        <w:rPr>
          <w:rFonts w:hint="eastAsia"/>
        </w:rPr>
        <w:t>对本合同规定的委托服务范围内的项目享有管理权及服务义务。</w:t>
      </w:r>
    </w:p>
    <w:p>
      <w:pPr>
        <w:pStyle w:val="29"/>
        <w:numPr>
          <w:ilvl w:val="1"/>
          <w:numId w:val="37"/>
        </w:numPr>
        <w:ind w:firstLine="480"/>
      </w:pPr>
      <w:r>
        <w:rPr>
          <w:rFonts w:hint="eastAsia"/>
        </w:rPr>
        <w:t>根据本合同的规定向甲方收取相关服务费用，并有权在本项目管理范围内管理及合理使用。</w:t>
      </w:r>
    </w:p>
    <w:p>
      <w:pPr>
        <w:pStyle w:val="29"/>
        <w:numPr>
          <w:ilvl w:val="1"/>
          <w:numId w:val="37"/>
        </w:numPr>
        <w:ind w:firstLine="480"/>
      </w:pPr>
      <w:r>
        <w:rPr>
          <w:rFonts w:hint="eastAsia"/>
        </w:rPr>
        <w:t>及时向甲方通告本项目服务范围内有关服务的重大事项，及时配合处理投诉。</w:t>
      </w:r>
    </w:p>
    <w:p>
      <w:pPr>
        <w:pStyle w:val="29"/>
        <w:numPr>
          <w:ilvl w:val="1"/>
          <w:numId w:val="37"/>
        </w:numPr>
        <w:ind w:firstLine="480"/>
      </w:pPr>
      <w:r>
        <w:rPr>
          <w:rFonts w:hint="eastAsia"/>
        </w:rPr>
        <w:t>接受项目行业管理部门及政府有关部门的指导，接受甲方的监督。</w:t>
      </w:r>
    </w:p>
    <w:p>
      <w:pPr>
        <w:pStyle w:val="29"/>
        <w:numPr>
          <w:ilvl w:val="1"/>
          <w:numId w:val="37"/>
        </w:numPr>
        <w:ind w:firstLine="480"/>
      </w:pPr>
      <w:r>
        <w:rPr>
          <w:rFonts w:hint="eastAsia"/>
        </w:rPr>
        <w:t>国家法律、法规所规定由乙方承担的其它责任。</w:t>
      </w:r>
    </w:p>
    <w:p>
      <w:pPr>
        <w:pStyle w:val="62"/>
        <w:ind w:firstLine="482"/>
      </w:pPr>
      <w:bookmarkStart w:id="475" w:name="_Toc14267"/>
      <w:bookmarkStart w:id="476" w:name="_Toc18978"/>
      <w:bookmarkStart w:id="477" w:name="_Toc28053"/>
      <w:bookmarkStart w:id="478" w:name="_Toc13514"/>
      <w:r>
        <w:rPr>
          <w:rFonts w:hint="eastAsia"/>
        </w:rPr>
        <w:t>违约责任</w:t>
      </w:r>
      <w:bookmarkEnd w:id="475"/>
      <w:bookmarkEnd w:id="476"/>
      <w:bookmarkEnd w:id="477"/>
      <w:bookmarkEnd w:id="478"/>
    </w:p>
    <w:p>
      <w:pPr>
        <w:pStyle w:val="29"/>
        <w:numPr>
          <w:ilvl w:val="1"/>
          <w:numId w:val="38"/>
        </w:numPr>
        <w:ind w:firstLine="480"/>
      </w:pPr>
      <w:r>
        <w:rPr>
          <w:rFonts w:hint="eastAsia"/>
        </w:rPr>
        <w:t>甲乙双方必须遵守本合同并执行合同中的各项规定，保证本合同的正常履行。</w:t>
      </w:r>
    </w:p>
    <w:p>
      <w:pPr>
        <w:pStyle w:val="29"/>
        <w:numPr>
          <w:ilvl w:val="1"/>
          <w:numId w:val="38"/>
        </w:numPr>
        <w:ind w:firstLine="48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2"/>
        <w:ind w:firstLine="482"/>
      </w:pPr>
      <w:bookmarkStart w:id="479" w:name="_Toc21387"/>
      <w:bookmarkStart w:id="480" w:name="_Toc17104"/>
      <w:bookmarkStart w:id="481" w:name="_Toc20122"/>
      <w:bookmarkStart w:id="482" w:name="_Toc24235"/>
      <w:r>
        <w:rPr>
          <w:rFonts w:hint="eastAsia"/>
        </w:rPr>
        <w:t>不可抗力事件处理</w:t>
      </w:r>
      <w:bookmarkEnd w:id="479"/>
      <w:bookmarkEnd w:id="480"/>
      <w:bookmarkEnd w:id="481"/>
      <w:bookmarkEnd w:id="482"/>
    </w:p>
    <w:p>
      <w:pPr>
        <w:pStyle w:val="29"/>
        <w:numPr>
          <w:ilvl w:val="1"/>
          <w:numId w:val="39"/>
        </w:numPr>
        <w:ind w:firstLine="480"/>
      </w:pPr>
      <w:r>
        <w:rPr>
          <w:rFonts w:hint="eastAsia"/>
        </w:rPr>
        <w:t>在合同有效期内，任何一方因不可抗力事件导致不能履行合同，则合同履行期可延长，其延长期与不可抗力影响期相同。</w:t>
      </w:r>
    </w:p>
    <w:p>
      <w:pPr>
        <w:pStyle w:val="29"/>
        <w:numPr>
          <w:ilvl w:val="1"/>
          <w:numId w:val="39"/>
        </w:numPr>
        <w:ind w:firstLine="480"/>
      </w:pPr>
      <w:r>
        <w:rPr>
          <w:rFonts w:hint="eastAsia"/>
        </w:rPr>
        <w:t>不可抗力事件发生后，应立即通知对方，并寄送有关权威机构出具的证明。</w:t>
      </w:r>
    </w:p>
    <w:p>
      <w:pPr>
        <w:pStyle w:val="29"/>
        <w:numPr>
          <w:ilvl w:val="1"/>
          <w:numId w:val="39"/>
        </w:numPr>
        <w:ind w:firstLine="480"/>
      </w:pPr>
      <w:r>
        <w:rPr>
          <w:rFonts w:hint="eastAsia"/>
        </w:rPr>
        <w:t>不可抗力事件延续XX天以上，双方应通过友好协商，确定是否继续履行合同。</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pStyle w:val="62"/>
        <w:ind w:firstLine="482"/>
      </w:pPr>
      <w:bookmarkStart w:id="483" w:name="_Toc185395254"/>
      <w:bookmarkStart w:id="484" w:name="_Toc211911353"/>
      <w:bookmarkStart w:id="485" w:name="_Toc239568423"/>
      <w:bookmarkStart w:id="486" w:name="_Toc225654649"/>
      <w:bookmarkStart w:id="487" w:name="_Toc225244857"/>
      <w:bookmarkStart w:id="488" w:name="_Toc211854454"/>
      <w:bookmarkStart w:id="489" w:name="_Toc225670756"/>
      <w:bookmarkStart w:id="490" w:name="_Toc232492933"/>
      <w:bookmarkStart w:id="491" w:name="_Toc251768867"/>
      <w:bookmarkStart w:id="492" w:name="_Toc247334846"/>
      <w:bookmarkStart w:id="493" w:name="_Toc237145411"/>
      <w:bookmarkStart w:id="494" w:name="_Toc241833908"/>
      <w:bookmarkStart w:id="495" w:name="_Toc238984980"/>
      <w:bookmarkStart w:id="496" w:name="_Toc239233919"/>
      <w:bookmarkStart w:id="497" w:name="_Toc212019599"/>
      <w:bookmarkStart w:id="498" w:name="_Toc286993792"/>
      <w:bookmarkStart w:id="499" w:name="_Toc27065"/>
      <w:bookmarkStart w:id="500" w:name="_Toc19551"/>
      <w:bookmarkStart w:id="501" w:name="_Toc5719"/>
      <w:bookmarkStart w:id="502" w:name="_Toc10790"/>
      <w:r>
        <w:rPr>
          <w:rFonts w:hint="eastAsia"/>
        </w:rPr>
        <w:t>解决</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hint="eastAsia"/>
        </w:rPr>
        <w:t>争议的方法</w:t>
      </w:r>
      <w:bookmarkEnd w:id="499"/>
      <w:bookmarkEnd w:id="500"/>
      <w:bookmarkEnd w:id="501"/>
      <w:bookmarkEnd w:id="502"/>
    </w:p>
    <w:p>
      <w:pPr>
        <w:pStyle w:val="29"/>
        <w:numPr>
          <w:ilvl w:val="1"/>
          <w:numId w:val="40"/>
        </w:numPr>
        <w:ind w:firstLine="480"/>
      </w:pPr>
      <w:r>
        <w:rPr>
          <w:rStyle w:val="54"/>
          <w:rFonts w:hint="eastAsia"/>
        </w:rPr>
        <w:t>因服务的质量问题发生争议，由甲方或其指定的第三方机构进行质量鉴定。服务符合标准的，</w:t>
      </w:r>
      <w:r>
        <w:rPr>
          <w:rFonts w:hint="eastAsia"/>
        </w:rPr>
        <w:t>鉴定费由甲方承担；服务不符合质量标准的，鉴定费由乙方承担。</w:t>
      </w:r>
    </w:p>
    <w:p>
      <w:pPr>
        <w:pStyle w:val="29"/>
        <w:numPr>
          <w:ilvl w:val="1"/>
          <w:numId w:val="40"/>
        </w:numPr>
        <w:ind w:firstLine="480"/>
      </w:pPr>
      <w:r>
        <w:rPr>
          <w:rFonts w:hint="eastAsia"/>
        </w:rPr>
        <w:t>合同履行期间,若双方发生争议，可协商或由有关部门调解解决，协商或调解不成的，按照下列方式解决(任选一项，且只能选择一项，在选定的一项前的方框内打“√”)：</w:t>
      </w:r>
    </w:p>
    <w:p>
      <w:pPr>
        <w:pStyle w:val="42"/>
      </w:pPr>
      <w:r>
        <w:rPr>
          <w:rFonts w:hint="eastAsia"/>
        </w:rPr>
        <w:t>□ 向</w:t>
      </w:r>
      <w:r>
        <w:rPr>
          <w:rFonts w:hint="eastAsia"/>
          <w:u w:val="single"/>
        </w:rPr>
        <w:t xml:space="preserve">     </w:t>
      </w:r>
      <w:r>
        <w:rPr>
          <w:rFonts w:hint="eastAsia"/>
        </w:rPr>
        <w:t>仲裁委员会申请仲裁；□ 向</w:t>
      </w:r>
      <w:r>
        <w:rPr>
          <w:rFonts w:hint="eastAsia"/>
          <w:u w:val="single"/>
        </w:rPr>
        <w:t xml:space="preserve">    </w:t>
      </w:r>
      <w:r>
        <w:rPr>
          <w:rFonts w:hint="eastAsia"/>
        </w:rPr>
        <w:t>所在地人民法院起诉。</w:t>
      </w:r>
    </w:p>
    <w:p>
      <w:pPr>
        <w:pStyle w:val="29"/>
        <w:numPr>
          <w:ilvl w:val="1"/>
          <w:numId w:val="40"/>
        </w:numPr>
        <w:ind w:firstLine="480"/>
      </w:pPr>
      <w:r>
        <w:rPr>
          <w:rFonts w:hint="eastAsia"/>
        </w:rPr>
        <w:t>仲裁裁决应为最终决定，并对双方具有约束力。</w:t>
      </w:r>
    </w:p>
    <w:p>
      <w:pPr>
        <w:pStyle w:val="29"/>
        <w:numPr>
          <w:ilvl w:val="1"/>
          <w:numId w:val="40"/>
        </w:numPr>
        <w:ind w:firstLine="480"/>
      </w:pPr>
      <w:r>
        <w:rPr>
          <w:rFonts w:hint="eastAsia"/>
        </w:rPr>
        <w:t xml:space="preserve">除另有裁决外，仲裁费应由败诉方负担。 </w:t>
      </w:r>
    </w:p>
    <w:p>
      <w:pPr>
        <w:pStyle w:val="29"/>
        <w:numPr>
          <w:ilvl w:val="1"/>
          <w:numId w:val="40"/>
        </w:numPr>
        <w:ind w:firstLine="480"/>
      </w:pPr>
      <w:r>
        <w:rPr>
          <w:rFonts w:hint="eastAsia"/>
        </w:rPr>
        <w:t xml:space="preserve">在仲裁期间，除正在进行仲裁部分外，合同其他部分继续执行。  </w:t>
      </w:r>
    </w:p>
    <w:p>
      <w:pPr>
        <w:pStyle w:val="62"/>
        <w:ind w:firstLine="482"/>
      </w:pPr>
      <w:bookmarkStart w:id="503" w:name="_Toc225654650"/>
      <w:bookmarkStart w:id="504" w:name="_Toc225670757"/>
      <w:bookmarkStart w:id="505" w:name="_Toc211911354"/>
      <w:bookmarkStart w:id="506" w:name="_Toc239233920"/>
      <w:bookmarkStart w:id="507" w:name="_Toc237145412"/>
      <w:bookmarkStart w:id="508" w:name="_Toc282696231"/>
      <w:bookmarkStart w:id="509" w:name="_Toc283019219"/>
      <w:bookmarkStart w:id="510" w:name="_Toc247334847"/>
      <w:bookmarkStart w:id="511" w:name="_Toc238984981"/>
      <w:bookmarkStart w:id="512" w:name="_Toc241833909"/>
      <w:bookmarkStart w:id="513" w:name="_Toc185395255"/>
      <w:bookmarkStart w:id="514" w:name="_Toc232492934"/>
      <w:bookmarkStart w:id="515" w:name="_Toc225244858"/>
      <w:bookmarkStart w:id="516" w:name="_Toc212019600"/>
      <w:bookmarkStart w:id="517" w:name="_Toc251768868"/>
      <w:bookmarkStart w:id="518" w:name="_Toc239568424"/>
      <w:bookmarkStart w:id="519" w:name="_Toc211854455"/>
      <w:bookmarkStart w:id="520" w:name="_Toc286993793"/>
      <w:bookmarkStart w:id="521" w:name="_Toc16323"/>
      <w:bookmarkStart w:id="522" w:name="_Toc5573"/>
      <w:bookmarkStart w:id="523" w:name="_Toc5648"/>
      <w:bookmarkStart w:id="524" w:name="_Toc20035"/>
      <w:r>
        <w:rPr>
          <w:rFonts w:hint="eastAsia"/>
        </w:rPr>
        <w:t>合同</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rPr>
        <w:t>生效及其他</w:t>
      </w:r>
      <w:bookmarkEnd w:id="521"/>
      <w:bookmarkEnd w:id="522"/>
      <w:bookmarkEnd w:id="523"/>
      <w:bookmarkEnd w:id="524"/>
    </w:p>
    <w:p>
      <w:pPr>
        <w:pStyle w:val="29"/>
        <w:numPr>
          <w:ilvl w:val="1"/>
          <w:numId w:val="41"/>
        </w:numPr>
        <w:ind w:firstLine="480"/>
      </w:pPr>
      <w:r>
        <w:rPr>
          <w:rFonts w:hint="eastAsia"/>
        </w:rPr>
        <w:t>合同经双方法定代表人或授权委托代理人签字并加盖单位公章后生效。</w:t>
      </w:r>
    </w:p>
    <w:p>
      <w:pPr>
        <w:pStyle w:val="29"/>
        <w:numPr>
          <w:ilvl w:val="1"/>
          <w:numId w:val="41"/>
        </w:numPr>
        <w:ind w:firstLine="480"/>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41"/>
        </w:numPr>
        <w:ind w:firstLine="480"/>
      </w:pPr>
      <w:r>
        <w:rPr>
          <w:rFonts w:hint="eastAsia"/>
        </w:rPr>
        <w:t>本合同一式XX份，自双方签章之日起起效。甲方XX份，乙方XX份，政府采购代理机构XX份，同级财政部门备案XX份，具有同等法律效力。</w:t>
      </w:r>
    </w:p>
    <w:p>
      <w:pPr>
        <w:pStyle w:val="62"/>
        <w:ind w:firstLine="482"/>
      </w:pPr>
      <w:bookmarkStart w:id="525" w:name="_Toc16930"/>
      <w:bookmarkStart w:id="526" w:name="_Toc362"/>
      <w:bookmarkStart w:id="527" w:name="_Toc12696"/>
      <w:bookmarkStart w:id="528" w:name="_Toc14319"/>
      <w:r>
        <w:rPr>
          <w:rFonts w:hint="eastAsia"/>
        </w:rPr>
        <w:t>附件</w:t>
      </w:r>
      <w:bookmarkEnd w:id="525"/>
      <w:bookmarkEnd w:id="526"/>
      <w:bookmarkEnd w:id="527"/>
      <w:bookmarkEnd w:id="528"/>
    </w:p>
    <w:p>
      <w:pPr>
        <w:pStyle w:val="29"/>
        <w:numPr>
          <w:ilvl w:val="1"/>
          <w:numId w:val="42"/>
        </w:numPr>
        <w:ind w:firstLine="480"/>
      </w:pPr>
      <w:r>
        <w:rPr>
          <w:rFonts w:hint="eastAsia"/>
        </w:rPr>
        <w:t>项目竞争性磋商文件。</w:t>
      </w:r>
    </w:p>
    <w:p>
      <w:pPr>
        <w:pStyle w:val="29"/>
        <w:numPr>
          <w:ilvl w:val="1"/>
          <w:numId w:val="42"/>
        </w:numPr>
        <w:ind w:firstLine="480"/>
      </w:pPr>
      <w:r>
        <w:rPr>
          <w:rFonts w:hint="eastAsia"/>
        </w:rPr>
        <w:t>项目修改澄清文件。</w:t>
      </w:r>
    </w:p>
    <w:p>
      <w:pPr>
        <w:pStyle w:val="29"/>
        <w:numPr>
          <w:ilvl w:val="1"/>
          <w:numId w:val="42"/>
        </w:numPr>
        <w:ind w:firstLine="480"/>
      </w:pPr>
      <w:r>
        <w:rPr>
          <w:rFonts w:hint="eastAsia"/>
        </w:rPr>
        <w:t>项目响应文件。</w:t>
      </w:r>
    </w:p>
    <w:p>
      <w:pPr>
        <w:pStyle w:val="29"/>
        <w:numPr>
          <w:ilvl w:val="1"/>
          <w:numId w:val="42"/>
        </w:numPr>
        <w:ind w:firstLine="480"/>
      </w:pPr>
      <w:r>
        <w:rPr>
          <w:rFonts w:hint="eastAsia"/>
        </w:rPr>
        <w:t>成交通知书。</w:t>
      </w:r>
    </w:p>
    <w:p>
      <w:pPr>
        <w:pStyle w:val="29"/>
        <w:numPr>
          <w:ilvl w:val="1"/>
          <w:numId w:val="42"/>
        </w:numPr>
        <w:ind w:firstLine="480"/>
      </w:pPr>
      <w:r>
        <w:rPr>
          <w:rFonts w:hint="eastAsia"/>
        </w:rPr>
        <w:t>其他。</w:t>
      </w:r>
    </w:p>
    <w:p>
      <w:pPr>
        <w:pStyle w:val="30"/>
        <w:pageBreakBefore/>
        <w:spacing w:before="240" w:beforeLines="100" w:after="240" w:afterLines="100"/>
        <w:jc w:val="center"/>
        <w:rPr>
          <w:b/>
          <w:bCs/>
        </w:rPr>
      </w:pPr>
      <w:r>
        <w:rPr>
          <w:rFonts w:hint="eastAsia"/>
          <w:b/>
          <w:bCs/>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pPr>
            <w:r>
              <w:rPr>
                <w:rFonts w:hint="eastAsia"/>
              </w:rPr>
              <w:t>甲方：   (盖章)</w:t>
            </w:r>
          </w:p>
        </w:tc>
        <w:tc>
          <w:tcPr>
            <w:tcW w:w="4981" w:type="dxa"/>
            <w:vAlign w:val="center"/>
          </w:tcPr>
          <w:p>
            <w:pPr>
              <w:pStyle w:val="39"/>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pPr>
            <w:r>
              <w:rPr>
                <w:rFonts w:hint="eastAsia"/>
              </w:rPr>
              <w:t>法定代表人(被授权人)：</w:t>
            </w:r>
          </w:p>
        </w:tc>
        <w:tc>
          <w:tcPr>
            <w:tcW w:w="4981" w:type="dxa"/>
            <w:vAlign w:val="center"/>
          </w:tcPr>
          <w:p>
            <w:pPr>
              <w:pStyle w:val="39"/>
            </w:pPr>
            <w:r>
              <w:rPr>
                <w:rFonts w:hint="eastAsia"/>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pPr>
            <w:r>
              <w:rPr>
                <w:rFonts w:hint="eastAsia"/>
              </w:rPr>
              <w:t>地址(住所)：</w:t>
            </w:r>
          </w:p>
        </w:tc>
        <w:tc>
          <w:tcPr>
            <w:tcW w:w="4981" w:type="dxa"/>
            <w:vAlign w:val="center"/>
          </w:tcPr>
          <w:p>
            <w:pPr>
              <w:pStyle w:val="39"/>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pPr>
            <w:r>
              <w:rPr>
                <w:rFonts w:hint="eastAsia"/>
              </w:rPr>
              <w:t>开户银行：</w:t>
            </w:r>
          </w:p>
        </w:tc>
        <w:tc>
          <w:tcPr>
            <w:tcW w:w="4981" w:type="dxa"/>
            <w:vAlign w:val="center"/>
          </w:tcPr>
          <w:p>
            <w:pPr>
              <w:pStyle w:val="39"/>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pPr>
            <w:r>
              <w:rPr>
                <w:rFonts w:hint="eastAsia"/>
              </w:rPr>
              <w:t>账号：</w:t>
            </w:r>
          </w:p>
        </w:tc>
        <w:tc>
          <w:tcPr>
            <w:tcW w:w="4981" w:type="dxa"/>
            <w:vAlign w:val="center"/>
          </w:tcPr>
          <w:p>
            <w:pPr>
              <w:pStyle w:val="39"/>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pPr>
            <w:r>
              <w:rPr>
                <w:rFonts w:hint="eastAsia"/>
              </w:rPr>
              <w:t xml:space="preserve">电话： </w:t>
            </w:r>
          </w:p>
        </w:tc>
        <w:tc>
          <w:tcPr>
            <w:tcW w:w="4981" w:type="dxa"/>
            <w:vAlign w:val="center"/>
          </w:tcPr>
          <w:p>
            <w:pPr>
              <w:pStyle w:val="39"/>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pPr>
            <w:r>
              <w:rPr>
                <w:rFonts w:hint="eastAsia"/>
              </w:rPr>
              <w:t>传真：</w:t>
            </w:r>
          </w:p>
        </w:tc>
        <w:tc>
          <w:tcPr>
            <w:tcW w:w="4981" w:type="dxa"/>
            <w:vAlign w:val="center"/>
          </w:tcPr>
          <w:p>
            <w:pPr>
              <w:pStyle w:val="39"/>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pPr>
            <w:r>
              <w:rPr>
                <w:rFonts w:hint="eastAsia"/>
              </w:rPr>
              <w:t>签约日期：XX年XX月XX日</w:t>
            </w:r>
          </w:p>
        </w:tc>
        <w:tc>
          <w:tcPr>
            <w:tcW w:w="4981" w:type="dxa"/>
            <w:vAlign w:val="center"/>
          </w:tcPr>
          <w:p>
            <w:pPr>
              <w:pStyle w:val="39"/>
            </w:pPr>
            <w:r>
              <w:rPr>
                <w:rFonts w:hint="eastAsia"/>
              </w:rPr>
              <w:t>签约日期：XX年XX月XX日</w:t>
            </w:r>
          </w:p>
        </w:tc>
      </w:tr>
    </w:tbl>
    <w:p>
      <w:pPr>
        <w:pStyle w:val="39"/>
      </w:pPr>
      <w:r>
        <w:rPr>
          <w:rFonts w:hint="eastAsia"/>
        </w:rPr>
        <w:br w:type="page"/>
      </w:r>
    </w:p>
    <w:p>
      <w:pPr>
        <w:pStyle w:val="44"/>
        <w:numPr>
          <w:ilvl w:val="0"/>
          <w:numId w:val="23"/>
        </w:numPr>
        <w:spacing w:before="120" w:after="120"/>
      </w:pPr>
      <w:bookmarkStart w:id="529" w:name="_Toc28848"/>
      <w:bookmarkStart w:id="530" w:name="_Toc17637"/>
      <w:r>
        <w:rPr>
          <w:rFonts w:hint="eastAsia"/>
        </w:rPr>
        <w:t>附件</w:t>
      </w:r>
      <w:bookmarkEnd w:id="529"/>
      <w:bookmarkEnd w:id="530"/>
    </w:p>
    <w:p>
      <w:pPr>
        <w:pStyle w:val="31"/>
        <w:numPr>
          <w:ilvl w:val="1"/>
          <w:numId w:val="0"/>
        </w:numPr>
        <w:ind w:left="480" w:leftChars="200"/>
      </w:pPr>
      <w:bookmarkStart w:id="531" w:name="_Toc23188"/>
      <w:bookmarkStart w:id="532" w:name="_Toc18539"/>
      <w:r>
        <w:rPr>
          <w:rFonts w:hint="eastAsia"/>
        </w:rPr>
        <w:t>附件一：问题的澄清、说明、更正通知</w:t>
      </w:r>
      <w:bookmarkEnd w:id="531"/>
      <w:bookmarkEnd w:id="532"/>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问题的澄清、说明、更正通知</w:t>
      </w:r>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(由磋商小组发出)</w:t>
      </w:r>
    </w:p>
    <w:p>
      <w:pPr>
        <w:spacing w:line="360" w:lineRule="auto"/>
        <w:ind w:firstLine="480"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编号：</w:t>
      </w:r>
    </w:p>
    <w:p>
      <w:pPr>
        <w:spacing w:line="360" w:lineRule="auto"/>
        <w:ind w:firstLine="480" w:firstLineChars="200"/>
        <w:rPr>
          <w:rFonts w:asciiTheme="minorEastAsia" w:hAnsiTheme="minorEastAsia" w:eastAsiaTheme="minorEastAsia" w:cstheme="minorEastAsia"/>
          <w:color w:val="000000"/>
          <w:u w:val="single"/>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(供应商名称)： </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(项目名称)竞争性磋商小组，对你方的响应文件进行了仔细的审查，现需你方对下列问题以书面形式予以</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请将上述问题的</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于</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(详细地址)或传真至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(传真号码)。采用传真方式的，应在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时前将原件递交至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w:t>
      </w:r>
    </w:p>
    <w:p>
      <w:pPr>
        <w:ind w:firstLine="5880" w:firstLineChars="2450"/>
        <w:rPr>
          <w:rFonts w:asciiTheme="minorEastAsia" w:hAnsiTheme="minorEastAsia" w:eastAsiaTheme="minorEastAsia" w:cstheme="minorEastAsia"/>
          <w:color w:val="000000"/>
        </w:rPr>
      </w:pPr>
    </w:p>
    <w:p>
      <w:pPr>
        <w:ind w:firstLine="5880" w:firstLineChars="2450"/>
        <w:rPr>
          <w:rFonts w:asciiTheme="minorEastAsia" w:hAnsiTheme="minorEastAsia" w:eastAsiaTheme="minorEastAsia" w:cstheme="minorEastAsia"/>
          <w:color w:val="000000"/>
        </w:rPr>
      </w:pPr>
    </w:p>
    <w:p>
      <w:pPr>
        <w:ind w:firstLine="2160" w:firstLineChars="900"/>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ind w:firstLine="616" w:firstLineChars="257"/>
        <w:rPr>
          <w:rFonts w:asciiTheme="minorEastAsia" w:hAnsiTheme="minorEastAsia" w:eastAsiaTheme="minorEastAsia" w:cstheme="minorEastAsia"/>
          <w:color w:val="000000"/>
        </w:rPr>
      </w:pPr>
    </w:p>
    <w:p>
      <w:pPr>
        <w:ind w:firstLine="616" w:firstLineChars="25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注：(1)“问题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通知”由磋商小组拟定书面形式作出，由采购人或采购代理机构代为发出。</w:t>
      </w:r>
    </w:p>
    <w:p>
      <w:pPr>
        <w:ind w:firstLine="616" w:firstLineChars="257"/>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(2)发给供应商的“问题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通知”，应删除“磋商小组：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(签字)”一栏，以“采购人或采购代理机构：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(盖单位章或负责人签字)”代替。磋商小组签字的“问题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通知”，应编入评审报告并存档备查。</w:t>
      </w:r>
    </w:p>
    <w:p>
      <w:pPr>
        <w:pStyle w:val="31"/>
        <w:numPr>
          <w:ilvl w:val="1"/>
          <w:numId w:val="0"/>
        </w:numPr>
        <w:ind w:left="480" w:left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u w:val="single"/>
        </w:rPr>
        <w:br w:type="page"/>
      </w:r>
      <w:bookmarkStart w:id="533" w:name="_Toc31095"/>
      <w:bookmarkStart w:id="534" w:name="_Toc19667"/>
      <w:r>
        <w:rPr>
          <w:rFonts w:hint="eastAsia" w:asciiTheme="minorEastAsia" w:hAnsiTheme="minorEastAsia" w:eastAsiaTheme="minorEastAsia" w:cstheme="minorEastAsia"/>
          <w:color w:val="000000"/>
        </w:rPr>
        <w:t>附件二：问题的澄清、说明、更正</w:t>
      </w:r>
      <w:bookmarkEnd w:id="533"/>
      <w:bookmarkEnd w:id="534"/>
    </w:p>
    <w:p>
      <w:pPr>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编号：</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(项目名称)竞争性磋商小组：</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问题澄清</w:t>
      </w:r>
      <w:r>
        <w:rPr>
          <w:rFonts w:hint="eastAsia" w:asciiTheme="minorEastAsia" w:hAnsiTheme="minorEastAsia" w:eastAsiaTheme="minorEastAsia" w:cstheme="minorEastAsia"/>
          <w:b/>
          <w:color w:val="000000"/>
        </w:rPr>
        <w:t>、说明、更正</w:t>
      </w:r>
      <w:r>
        <w:rPr>
          <w:rFonts w:hint="eastAsia" w:asciiTheme="minorEastAsia" w:hAnsiTheme="minorEastAsia" w:eastAsiaTheme="minorEastAsia" w:cstheme="minorEastAsia"/>
          <w:color w:val="000000"/>
        </w:rPr>
        <w:t>通知(编号：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)已收悉，现</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如下：</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200" w:firstLineChars="17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法定代表人或其授权代表：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ind w:firstLine="5880" w:firstLineChars="2450"/>
        <w:rPr>
          <w:rFonts w:asciiTheme="minorEastAsia" w:hAnsiTheme="minorEastAsia" w:eastAsiaTheme="minorEastAsia" w:cstheme="minorEastAsia"/>
          <w:color w:val="000000"/>
          <w:u w:val="single"/>
        </w:rPr>
      </w:pPr>
    </w:p>
    <w:p>
      <w:pPr>
        <w:ind w:firstLine="5400" w:firstLineChars="22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注：供应商应按本“</w:t>
      </w:r>
      <w:r>
        <w:rPr>
          <w:rFonts w:hint="eastAsia" w:asciiTheme="minorEastAsia" w:hAnsiTheme="minorEastAsia" w:eastAsiaTheme="minorEastAsia" w:cstheme="minorEastAsia"/>
          <w:b/>
          <w:color w:val="000000"/>
        </w:rPr>
        <w:t>问题的澄清、说明、更正</w:t>
      </w:r>
      <w:r>
        <w:rPr>
          <w:rFonts w:hint="eastAsia" w:asciiTheme="minorEastAsia" w:hAnsiTheme="minorEastAsia" w:eastAsiaTheme="minorEastAsia" w:cstheme="minorEastAsia"/>
          <w:color w:val="000000"/>
        </w:rPr>
        <w:t>”格式回复。</w:t>
      </w:r>
    </w:p>
    <w:p>
      <w:r>
        <w:rPr>
          <w:rFonts w:hint="eastAsia"/>
        </w:rPr>
        <w:br w:type="page"/>
      </w:r>
    </w:p>
    <w:p>
      <w:pPr>
        <w:pStyle w:val="31"/>
        <w:numPr>
          <w:ilvl w:val="1"/>
          <w:numId w:val="0"/>
        </w:numPr>
        <w:ind w:left="480" w:leftChars="200"/>
      </w:pPr>
      <w:bookmarkStart w:id="535" w:name="_Toc8480"/>
      <w:r>
        <w:rPr>
          <w:rFonts w:hint="eastAsia"/>
        </w:rPr>
        <w:t>附件三：2021年度信用评价服务效果调查表</w:t>
      </w:r>
      <w:bookmarkEnd w:id="535"/>
    </w:p>
    <w:p>
      <w:pPr>
        <w:pStyle w:val="39"/>
        <w:spacing w:before="240" w:beforeLines="100" w:after="240" w:afterLines="100"/>
        <w:jc w:val="center"/>
        <w:rPr>
          <w:b/>
          <w:bCs/>
          <w:sz w:val="36"/>
          <w:szCs w:val="36"/>
        </w:rPr>
      </w:pPr>
      <w:r>
        <w:rPr>
          <w:rFonts w:hint="eastAsia"/>
          <w:b/>
          <w:bCs/>
          <w:sz w:val="36"/>
          <w:szCs w:val="36"/>
        </w:rPr>
        <w:t>2021年度信用评价服务效果调查表(供应商)</w:t>
      </w:r>
    </w:p>
    <w:p>
      <w:pPr>
        <w:pStyle w:val="39"/>
        <w:rPr>
          <w:u w:val="single"/>
        </w:rPr>
      </w:pPr>
      <w:r>
        <w:rPr>
          <w:rFonts w:hint="eastAsia"/>
        </w:rPr>
        <w:t>项目名称：</w:t>
      </w:r>
      <w:r>
        <w:rPr>
          <w:rFonts w:hint="eastAsia"/>
          <w:u w:val="single"/>
        </w:rPr>
        <w:t xml:space="preserve">                               </w:t>
      </w:r>
    </w:p>
    <w:p>
      <w:pPr>
        <w:pStyle w:val="39"/>
        <w:rPr>
          <w:u w:val="single"/>
        </w:rPr>
      </w:pPr>
      <w:r>
        <w:rPr>
          <w:rFonts w:hint="eastAsia"/>
        </w:rPr>
        <w:t>项目编号：</w:t>
      </w:r>
      <w:r>
        <w:rPr>
          <w:rFonts w:hint="eastAsia"/>
          <w:u w:val="single"/>
        </w:rPr>
        <w:t xml:space="preserve">                               </w:t>
      </w:r>
    </w:p>
    <w:p>
      <w:pPr>
        <w:pStyle w:val="39"/>
      </w:pPr>
      <w:r>
        <w:rPr>
          <w:rFonts w:hint="eastAsia"/>
        </w:rPr>
        <w:t>被评价代理机构名称：四川乾新招投标代理有限公司</w:t>
      </w:r>
    </w:p>
    <w:tbl>
      <w:tblPr>
        <w:tblStyle w:val="20"/>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满意</w:t>
            </w:r>
          </w:p>
          <w:p>
            <w:pPr>
              <w:pStyle w:val="41"/>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 xml:space="preserve">基本满意 </w:t>
            </w:r>
          </w:p>
          <w:p>
            <w:pPr>
              <w:pStyle w:val="41"/>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 xml:space="preserve">一般 </w:t>
            </w:r>
          </w:p>
          <w:p>
            <w:pPr>
              <w:pStyle w:val="41"/>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不满意</w:t>
            </w:r>
          </w:p>
          <w:p>
            <w:pPr>
              <w:pStyle w:val="41"/>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rPr>
                <w:b/>
                <w:bCs/>
              </w:rPr>
            </w:pPr>
            <w:r>
              <w:rPr>
                <w:rFonts w:hint="eastAsia"/>
                <w:b/>
                <w:bCs/>
              </w:rPr>
              <w:t>供应商名称：</w:t>
            </w:r>
            <w:r>
              <w:rPr>
                <w:rFonts w:hint="eastAsia"/>
                <w:b/>
                <w:bCs/>
                <w:u w:val="single"/>
              </w:rPr>
              <w:t xml:space="preserve">                     </w:t>
            </w:r>
            <w:r>
              <w:rPr>
                <w:rFonts w:hint="eastAsia"/>
                <w:b/>
                <w:bCs/>
              </w:rPr>
              <w:t>(加盖鲜章)</w:t>
            </w:r>
          </w:p>
        </w:tc>
      </w:tr>
    </w:tbl>
    <w:p>
      <w:pPr>
        <w:pStyle w:val="43"/>
        <w:ind w:firstLine="482"/>
      </w:pPr>
      <w:r>
        <w:rPr>
          <w:rFonts w:hint="eastAsia"/>
        </w:rPr>
        <w:t>说明：请贵公司根据政府采购代理机构2021年度政府采购项目的实际情况，在“满意”、“基本满意”、“一般”、“不满意”四个评价档次栏中选取一栏打“√”，并加盖鲜章。</w:t>
      </w:r>
    </w:p>
    <w:p>
      <w:r>
        <w:rPr>
          <w:rFonts w:hint="eastAsia"/>
        </w:rPr>
        <w:br w:type="page"/>
      </w:r>
    </w:p>
    <w:p>
      <w:pPr>
        <w:pStyle w:val="31"/>
        <w:numPr>
          <w:ilvl w:val="1"/>
          <w:numId w:val="0"/>
        </w:numPr>
        <w:ind w:firstLine="482" w:firstLineChars="200"/>
        <w:rPr>
          <w:rFonts w:asciiTheme="minorEastAsia" w:hAnsiTheme="minorEastAsia" w:eastAsiaTheme="minorEastAsia" w:cstheme="minorEastAsia"/>
          <w:color w:val="000000"/>
        </w:rPr>
      </w:pPr>
      <w:bookmarkStart w:id="536" w:name="_Toc5194"/>
      <w:r>
        <w:rPr>
          <w:rFonts w:hint="eastAsia" w:asciiTheme="minorEastAsia" w:hAnsiTheme="minorEastAsia" w:eastAsiaTheme="minorEastAsia" w:cstheme="minorEastAsia"/>
          <w:color w:val="000000"/>
        </w:rPr>
        <w:t>附件四：统计上大中小微型企业划分标准</w:t>
      </w:r>
      <w:bookmarkEnd w:id="536"/>
    </w:p>
    <w:tbl>
      <w:tblPr>
        <w:tblStyle w:val="2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232" w:type="dxa"/>
            <w:vAlign w:val="center"/>
          </w:tcPr>
          <w:p>
            <w:pPr>
              <w:widowControl/>
              <w:spacing w:line="360" w:lineRule="exact"/>
              <w:jc w:val="center"/>
              <w:rPr>
                <w:rFonts w:cs="宋体"/>
                <w:b/>
                <w:bCs/>
                <w:color w:val="000000"/>
                <w:kern w:val="0"/>
                <w:sz w:val="15"/>
                <w:szCs w:val="15"/>
              </w:rPr>
            </w:pPr>
            <w:r>
              <w:rPr>
                <w:rFonts w:hint="eastAsia" w:cs="宋体"/>
                <w:b/>
                <w:bCs/>
                <w:color w:val="000000"/>
                <w:kern w:val="0"/>
                <w:sz w:val="15"/>
                <w:szCs w:val="15"/>
              </w:rPr>
              <w:t>行业名称</w:t>
            </w:r>
          </w:p>
        </w:tc>
        <w:tc>
          <w:tcPr>
            <w:tcW w:w="1445" w:type="dxa"/>
            <w:vAlign w:val="center"/>
          </w:tcPr>
          <w:p>
            <w:pPr>
              <w:widowControl/>
              <w:spacing w:line="360" w:lineRule="exact"/>
              <w:jc w:val="center"/>
              <w:rPr>
                <w:rFonts w:cs="宋体"/>
                <w:b/>
                <w:bCs/>
                <w:color w:val="000000"/>
                <w:kern w:val="0"/>
                <w:sz w:val="15"/>
                <w:szCs w:val="15"/>
              </w:rPr>
            </w:pPr>
            <w:r>
              <w:rPr>
                <w:rFonts w:hint="eastAsia" w:cs="宋体"/>
                <w:b/>
                <w:bCs/>
                <w:color w:val="000000"/>
                <w:kern w:val="0"/>
                <w:sz w:val="15"/>
                <w:szCs w:val="15"/>
              </w:rPr>
              <w:t>指标名称</w:t>
            </w:r>
          </w:p>
        </w:tc>
        <w:tc>
          <w:tcPr>
            <w:tcW w:w="747" w:type="dxa"/>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计量</w:t>
            </w:r>
          </w:p>
          <w:p>
            <w:pPr>
              <w:widowControl/>
              <w:spacing w:line="320" w:lineRule="exact"/>
              <w:jc w:val="center"/>
              <w:rPr>
                <w:rFonts w:cs="宋体"/>
                <w:b/>
                <w:bCs/>
                <w:color w:val="000000"/>
                <w:kern w:val="0"/>
                <w:sz w:val="15"/>
                <w:szCs w:val="15"/>
              </w:rPr>
            </w:pPr>
            <w:r>
              <w:rPr>
                <w:rFonts w:hint="eastAsia" w:cs="宋体"/>
                <w:b/>
                <w:bCs/>
                <w:color w:val="000000"/>
                <w:kern w:val="0"/>
                <w:sz w:val="15"/>
                <w:szCs w:val="15"/>
              </w:rPr>
              <w:t>单位</w:t>
            </w:r>
          </w:p>
        </w:tc>
        <w:tc>
          <w:tcPr>
            <w:tcW w:w="1186" w:type="dxa"/>
            <w:vAlign w:val="center"/>
          </w:tcPr>
          <w:p>
            <w:pPr>
              <w:widowControl/>
              <w:spacing w:line="360" w:lineRule="exact"/>
              <w:jc w:val="center"/>
              <w:rPr>
                <w:rFonts w:cs="宋体"/>
                <w:b/>
                <w:bCs/>
                <w:color w:val="000000"/>
                <w:kern w:val="0"/>
                <w:sz w:val="15"/>
                <w:szCs w:val="15"/>
              </w:rPr>
            </w:pPr>
            <w:r>
              <w:rPr>
                <w:rFonts w:hint="eastAsia" w:cs="宋体"/>
                <w:b/>
                <w:bCs/>
                <w:color w:val="000000"/>
                <w:kern w:val="0"/>
                <w:sz w:val="15"/>
                <w:szCs w:val="15"/>
              </w:rPr>
              <w:t>大型</w:t>
            </w:r>
          </w:p>
        </w:tc>
        <w:tc>
          <w:tcPr>
            <w:tcW w:w="1796" w:type="dxa"/>
            <w:vAlign w:val="center"/>
          </w:tcPr>
          <w:p>
            <w:pPr>
              <w:widowControl/>
              <w:spacing w:line="360" w:lineRule="exact"/>
              <w:jc w:val="center"/>
              <w:rPr>
                <w:rFonts w:cs="宋体"/>
                <w:b/>
                <w:bCs/>
                <w:color w:val="000000"/>
                <w:kern w:val="0"/>
                <w:sz w:val="15"/>
                <w:szCs w:val="15"/>
              </w:rPr>
            </w:pPr>
            <w:r>
              <w:rPr>
                <w:rFonts w:hint="eastAsia" w:cs="宋体"/>
                <w:b/>
                <w:bCs/>
                <w:color w:val="000000"/>
                <w:kern w:val="0"/>
                <w:sz w:val="15"/>
                <w:szCs w:val="15"/>
              </w:rPr>
              <w:t>中型</w:t>
            </w:r>
          </w:p>
        </w:tc>
        <w:tc>
          <w:tcPr>
            <w:tcW w:w="1505" w:type="dxa"/>
            <w:vAlign w:val="center"/>
          </w:tcPr>
          <w:p>
            <w:pPr>
              <w:widowControl/>
              <w:spacing w:line="360" w:lineRule="exact"/>
              <w:jc w:val="center"/>
              <w:rPr>
                <w:rFonts w:cs="宋体"/>
                <w:b/>
                <w:bCs/>
                <w:color w:val="000000"/>
                <w:kern w:val="0"/>
                <w:sz w:val="15"/>
                <w:szCs w:val="15"/>
              </w:rPr>
            </w:pPr>
            <w:r>
              <w:rPr>
                <w:rFonts w:hint="eastAsia" w:cs="宋体"/>
                <w:b/>
                <w:bCs/>
                <w:color w:val="000000"/>
                <w:kern w:val="0"/>
                <w:sz w:val="15"/>
                <w:szCs w:val="15"/>
              </w:rPr>
              <w:t>小型</w:t>
            </w:r>
          </w:p>
        </w:tc>
        <w:tc>
          <w:tcPr>
            <w:tcW w:w="1047" w:type="dxa"/>
            <w:vAlign w:val="center"/>
          </w:tcPr>
          <w:p>
            <w:pPr>
              <w:widowControl/>
              <w:spacing w:line="360" w:lineRule="exact"/>
              <w:jc w:val="center"/>
              <w:rPr>
                <w:rFonts w:cs="宋体"/>
                <w:b/>
                <w:bCs/>
                <w:color w:val="000000"/>
                <w:kern w:val="0"/>
                <w:sz w:val="15"/>
                <w:szCs w:val="15"/>
              </w:rPr>
            </w:pPr>
            <w:r>
              <w:rPr>
                <w:rFonts w:hint="eastAsia"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Align w:val="center"/>
          </w:tcPr>
          <w:p>
            <w:pPr>
              <w:widowControl/>
              <w:spacing w:line="360" w:lineRule="exact"/>
              <w:rPr>
                <w:rFonts w:cs="宋体"/>
                <w:color w:val="000000"/>
                <w:kern w:val="0"/>
                <w:sz w:val="15"/>
                <w:szCs w:val="15"/>
              </w:rPr>
            </w:pPr>
            <w:r>
              <w:rPr>
                <w:rFonts w:hint="eastAsia" w:cs="宋体"/>
                <w:color w:val="000000"/>
                <w:kern w:val="0"/>
                <w:sz w:val="15"/>
                <w:szCs w:val="15"/>
              </w:rPr>
              <w:t>农、林、牧、渔业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Y≥20000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500≤Y＜20000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50≤Y＜500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工业 *</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300≤X＜1000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20≤X＜300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Y≥40000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2000≤Y＜40000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300≤Y＜2000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建筑业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Y≥80000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6000≤Y＜80000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300≤Y＜6000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资产总额(Z)</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Z≥80000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5000≤Z＜80000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300≤Z＜5000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批发业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20≤X＜200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5≤X＜20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Y≥40000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5000≤Y＜40000</w:t>
            </w:r>
          </w:p>
        </w:tc>
        <w:tc>
          <w:tcPr>
            <w:tcW w:w="1505" w:type="dxa"/>
            <w:vAlign w:val="center"/>
          </w:tcPr>
          <w:p>
            <w:pPr>
              <w:widowControl/>
              <w:spacing w:line="360" w:lineRule="exact"/>
              <w:ind w:left="-1" w:leftChars="-1" w:hanging="1"/>
              <w:jc w:val="center"/>
              <w:rPr>
                <w:rFonts w:cs="宋体"/>
                <w:color w:val="000000"/>
                <w:kern w:val="0"/>
                <w:sz w:val="15"/>
                <w:szCs w:val="15"/>
              </w:rPr>
            </w:pPr>
            <w:r>
              <w:rPr>
                <w:rFonts w:hint="eastAsia" w:cs="宋体"/>
                <w:color w:val="000000"/>
                <w:kern w:val="0"/>
                <w:sz w:val="15"/>
                <w:szCs w:val="15"/>
              </w:rPr>
              <w:t>1000≤Y＜5000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零售业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X≥300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50≤X＜300</w:t>
            </w:r>
          </w:p>
        </w:tc>
        <w:tc>
          <w:tcPr>
            <w:tcW w:w="1505" w:type="dxa"/>
            <w:vAlign w:val="center"/>
          </w:tcPr>
          <w:p>
            <w:pPr>
              <w:widowControl/>
              <w:spacing w:line="360" w:lineRule="exact"/>
              <w:ind w:left="-1" w:leftChars="-1" w:hanging="1"/>
              <w:jc w:val="center"/>
              <w:rPr>
                <w:rFonts w:cs="宋体"/>
                <w:color w:val="000000"/>
                <w:kern w:val="0"/>
                <w:sz w:val="15"/>
                <w:szCs w:val="15"/>
              </w:rPr>
            </w:pPr>
            <w:r>
              <w:rPr>
                <w:rFonts w:hint="eastAsia" w:cs="宋体"/>
                <w:color w:val="000000"/>
                <w:kern w:val="0"/>
                <w:sz w:val="15"/>
                <w:szCs w:val="15"/>
              </w:rPr>
              <w:t xml:space="preserve">10≤X＜50 </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Y≥20000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500≤Y＜20000</w:t>
            </w:r>
          </w:p>
        </w:tc>
        <w:tc>
          <w:tcPr>
            <w:tcW w:w="1505" w:type="dxa"/>
            <w:vAlign w:val="center"/>
          </w:tcPr>
          <w:p>
            <w:pPr>
              <w:widowControl/>
              <w:spacing w:line="360" w:lineRule="exact"/>
              <w:ind w:left="-1" w:leftChars="-1" w:hanging="1"/>
              <w:jc w:val="center"/>
              <w:rPr>
                <w:rFonts w:cs="宋体"/>
                <w:color w:val="000000"/>
                <w:kern w:val="0"/>
                <w:sz w:val="15"/>
                <w:szCs w:val="15"/>
              </w:rPr>
            </w:pPr>
            <w:r>
              <w:rPr>
                <w:rFonts w:hint="eastAsia" w:cs="宋体"/>
                <w:color w:val="000000"/>
                <w:kern w:val="0"/>
                <w:sz w:val="15"/>
                <w:szCs w:val="15"/>
              </w:rPr>
              <w:t xml:space="preserve">100≤Y＜500 </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交通运输业 *</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300≤X＜1000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20≤X＜300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Y≥30000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3000≤Y＜30000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200≤Y＜3000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仓储业*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100≤X＜200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20≤X＜100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Y≥30000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1000≤Y＜30000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100≤Y＜1000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邮政业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300≤X＜1000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20≤X＜300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Y≥30000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2000≤Y＜30000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100≤Y＜2000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住宿业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X≥300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2000≤Y＜10000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100≤Y＜2000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餐饮业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X≥300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2000≤Y＜10000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100≤Y＜2000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信息传输业 *</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X≥2000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100≤X＜2000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1000≤Y＜100000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100≤Y＜1000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232" w:type="dxa"/>
            <w:vMerge w:val="restart"/>
            <w:vAlign w:val="center"/>
          </w:tcPr>
          <w:p>
            <w:pPr>
              <w:widowControl/>
              <w:spacing w:line="360" w:lineRule="exact"/>
              <w:rPr>
                <w:rFonts w:cs="宋体"/>
                <w:color w:val="000000"/>
                <w:spacing w:val="-12"/>
                <w:kern w:val="0"/>
                <w:sz w:val="15"/>
                <w:szCs w:val="15"/>
              </w:rPr>
            </w:pPr>
            <w:r>
              <w:rPr>
                <w:rFonts w:hint="eastAsia" w:cs="宋体"/>
                <w:color w:val="000000"/>
                <w:spacing w:val="-12"/>
                <w:kern w:val="0"/>
                <w:sz w:val="15"/>
                <w:szCs w:val="15"/>
              </w:rPr>
              <w:t>软件和信息技术服</w:t>
            </w:r>
            <w:r>
              <w:rPr>
                <w:rFonts w:hint="eastAsia" w:cs="宋体"/>
                <w:color w:val="000000"/>
                <w:kern w:val="0"/>
                <w:sz w:val="15"/>
                <w:szCs w:val="15"/>
              </w:rPr>
              <w:t>务业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X≥300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2" w:type="dxa"/>
            <w:vMerge w:val="continue"/>
            <w:vAlign w:val="center"/>
          </w:tcPr>
          <w:p>
            <w:pPr>
              <w:widowControl/>
              <w:spacing w:line="360" w:lineRule="exact"/>
              <w:rPr>
                <w:rFonts w:cs="宋体"/>
                <w:color w:val="000000"/>
                <w:spacing w:val="-12"/>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1000≤Y＜10000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50≤Y＜1000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房地产开发经营</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Y≥200000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1000≤Y＜200000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100≤Y＜1000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资产总额(Z)</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Z≥10000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5000≤Z＜10000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2000≤Z＜5000   </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物业管理</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300≤X＜1000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100≤X＜300 </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Y≥5000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1000≤Y＜5000 </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500≤Y＜1000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232" w:type="dxa"/>
            <w:vMerge w:val="restart"/>
            <w:vAlign w:val="center"/>
          </w:tcPr>
          <w:p>
            <w:pPr>
              <w:widowControl/>
              <w:spacing w:line="360" w:lineRule="exact"/>
              <w:rPr>
                <w:rFonts w:cs="宋体"/>
                <w:color w:val="000000"/>
                <w:kern w:val="0"/>
                <w:sz w:val="15"/>
                <w:szCs w:val="15"/>
              </w:rPr>
            </w:pPr>
            <w:r>
              <w:rPr>
                <w:rFonts w:hint="eastAsia" w:cs="宋体"/>
                <w:color w:val="000000"/>
                <w:kern w:val="0"/>
                <w:sz w:val="15"/>
                <w:szCs w:val="15"/>
              </w:rPr>
              <w:t>租赁和商务服务业</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X≥300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000000"/>
                <w:kern w:val="0"/>
                <w:sz w:val="15"/>
                <w:szCs w:val="15"/>
              </w:rPr>
            </w:pP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资产总额(Z)</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万元</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Z≥120000</w:t>
            </w:r>
          </w:p>
        </w:tc>
        <w:tc>
          <w:tcPr>
            <w:tcW w:w="179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8000≤Z＜120000</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100≤Z＜8000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232" w:type="dxa"/>
            <w:vAlign w:val="center"/>
          </w:tcPr>
          <w:p>
            <w:pPr>
              <w:widowControl/>
              <w:spacing w:line="360" w:lineRule="exact"/>
              <w:rPr>
                <w:rFonts w:cs="宋体"/>
                <w:color w:val="000000"/>
                <w:kern w:val="0"/>
                <w:sz w:val="15"/>
                <w:szCs w:val="15"/>
              </w:rPr>
            </w:pPr>
            <w:r>
              <w:rPr>
                <w:rFonts w:hint="eastAsia" w:cs="宋体"/>
                <w:color w:val="000000"/>
                <w:kern w:val="0"/>
                <w:sz w:val="15"/>
                <w:szCs w:val="15"/>
              </w:rPr>
              <w:t>其他未列明行业 *</w:t>
            </w:r>
          </w:p>
        </w:tc>
        <w:tc>
          <w:tcPr>
            <w:tcW w:w="144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7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人</w:t>
            </w:r>
          </w:p>
        </w:tc>
        <w:tc>
          <w:tcPr>
            <w:tcW w:w="1186"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X≥300</w:t>
            </w:r>
          </w:p>
        </w:tc>
        <w:tc>
          <w:tcPr>
            <w:tcW w:w="1796" w:type="dxa"/>
            <w:vAlign w:val="center"/>
          </w:tcPr>
          <w:p>
            <w:pPr>
              <w:widowControl/>
              <w:spacing w:line="36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1505"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1047" w:type="dxa"/>
            <w:vAlign w:val="center"/>
          </w:tcPr>
          <w:p>
            <w:pPr>
              <w:widowControl/>
              <w:spacing w:line="360" w:lineRule="exact"/>
              <w:jc w:val="center"/>
              <w:rPr>
                <w:rFonts w:cs="宋体"/>
                <w:color w:val="000000"/>
                <w:kern w:val="0"/>
                <w:sz w:val="15"/>
                <w:szCs w:val="15"/>
              </w:rPr>
            </w:pPr>
            <w:r>
              <w:rPr>
                <w:rFonts w:hint="eastAsia" w:cs="宋体"/>
                <w:color w:val="000000"/>
                <w:kern w:val="0"/>
                <w:sz w:val="15"/>
                <w:szCs w:val="15"/>
              </w:rPr>
              <w:t>X＜10</w:t>
            </w:r>
          </w:p>
        </w:tc>
      </w:tr>
    </w:tbl>
    <w:p>
      <w:pPr>
        <w:widowControl/>
        <w:adjustRightInd/>
        <w:snapToGrid/>
        <w:ind w:firstLine="512" w:firstLineChars="200"/>
        <w:rPr>
          <w:rFonts w:cs="宋体"/>
          <w:color w:val="000000"/>
          <w:spacing w:val="8"/>
          <w:kern w:val="0"/>
        </w:rPr>
      </w:pPr>
      <w:r>
        <w:rPr>
          <w:rFonts w:hint="eastAsia" w:cs="宋体"/>
          <w:color w:val="000000"/>
          <w:spacing w:val="8"/>
          <w:kern w:val="0"/>
        </w:rPr>
        <w:t>说明：</w:t>
      </w:r>
    </w:p>
    <w:p>
      <w:pPr>
        <w:adjustRightInd/>
        <w:snapToGrid/>
        <w:ind w:firstLine="512" w:firstLineChars="200"/>
        <w:rPr>
          <w:rFonts w:cs="宋体"/>
          <w:color w:val="000000"/>
          <w:spacing w:val="8"/>
          <w:kern w:val="0"/>
        </w:rPr>
      </w:pPr>
      <w:r>
        <w:rPr>
          <w:rFonts w:hint="eastAsia" w:cs="宋体"/>
          <w:color w:val="000000"/>
          <w:spacing w:val="8"/>
          <w:kern w:val="0"/>
        </w:rPr>
        <w:t>1.大型、中型和小型企业须同时满足所列指标的下限，否则下划一档；微型企业只须满足所列指标中的一项即可。</w:t>
      </w:r>
    </w:p>
    <w:p>
      <w:pPr>
        <w:adjustRightInd/>
        <w:snapToGrid/>
        <w:ind w:firstLine="512" w:firstLineChars="200"/>
        <w:rPr>
          <w:rFonts w:cs="宋体"/>
          <w:color w:val="000000"/>
          <w:spacing w:val="8"/>
          <w:kern w:val="0"/>
        </w:rPr>
      </w:pPr>
      <w:r>
        <w:rPr>
          <w:rFonts w:hint="eastAsia" w:cs="宋体"/>
          <w:color w:val="000000"/>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rPr>
      </w:pPr>
      <w:r>
        <w:rPr>
          <w:rFonts w:hint="eastAsia" w:cs="宋体"/>
          <w:color w:val="000000"/>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rPr>
        <w:br w:type="page"/>
      </w:r>
    </w:p>
    <w:p>
      <w:pPr>
        <w:pStyle w:val="31"/>
        <w:numPr>
          <w:ilvl w:val="1"/>
          <w:numId w:val="0"/>
        </w:numPr>
        <w:ind w:firstLine="482" w:firstLineChars="200"/>
        <w:rPr>
          <w:rFonts w:asciiTheme="minorEastAsia" w:hAnsiTheme="minorEastAsia" w:eastAsiaTheme="minorEastAsia" w:cstheme="minorEastAsia"/>
          <w:color w:val="000000"/>
        </w:rPr>
      </w:pPr>
      <w:bookmarkStart w:id="537" w:name="_Toc26920"/>
      <w:bookmarkStart w:id="538" w:name="_Toc21966"/>
      <w:bookmarkStart w:id="539" w:name="_Toc22282"/>
      <w:r>
        <w:rPr>
          <w:rFonts w:hint="eastAsia" w:asciiTheme="minorEastAsia" w:hAnsiTheme="minorEastAsia" w:eastAsiaTheme="minorEastAsia" w:cstheme="minorEastAsia"/>
          <w:color w:val="000000"/>
        </w:rPr>
        <w:t>附件五：《四川省财政厅关于推进四川省政府采购供应商信用融资工作的通知》(川财采〔2018〕123号文)</w:t>
      </w:r>
      <w:bookmarkEnd w:id="537"/>
      <w:bookmarkEnd w:id="538"/>
      <w:bookmarkEnd w:id="539"/>
    </w:p>
    <w:p>
      <w:pPr>
        <w:pStyle w:val="19"/>
        <w:widowControl/>
        <w:wordWrap w:val="0"/>
        <w:adjustRightInd/>
        <w:snapToGrid/>
        <w:spacing w:beforeAutospacing="0" w:afterAutospacing="0"/>
        <w:rPr>
          <w:rFonts w:cs="宋体"/>
          <w:b/>
          <w:bCs/>
        </w:rPr>
      </w:pPr>
      <w:r>
        <w:rPr>
          <w:rFonts w:hint="eastAsia"/>
          <w:b/>
          <w:bCs/>
        </w:rPr>
        <w:t>查询链接：</w:t>
      </w:r>
      <w:r>
        <w:rPr>
          <w:rFonts w:hint="eastAsia" w:cs="宋体"/>
          <w:b/>
          <w:bCs/>
        </w:rPr>
        <w:t>http：//www.ccgp-sichuan.gov.cn/view/staticpags/sjzcfg/40288687657ff75501672fd954532414.html</w:t>
      </w:r>
    </w:p>
    <w:p>
      <w:pPr>
        <w:widowControl/>
        <w:adjustRightInd/>
        <w:snapToGrid/>
      </w:pPr>
    </w:p>
    <w:p>
      <w:pPr>
        <w:widowControl/>
        <w:adjustRightInd/>
        <w:snapToGrid/>
        <w:spacing w:line="240" w:lineRule="auto"/>
        <w:jc w:val="center"/>
        <w:rPr>
          <w:rFonts w:cs="宋体"/>
        </w:rPr>
      </w:pPr>
      <w:r>
        <w:rPr>
          <w:rFonts w:hint="eastAsia" w:cs="宋体"/>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7"/>
                    <a:stretch>
                      <a:fillRect/>
                    </a:stretch>
                  </pic:blipFill>
                  <pic:spPr>
                    <a:xfrm>
                      <a:off x="0" y="0"/>
                      <a:ext cx="5302250" cy="1859915"/>
                    </a:xfrm>
                    <a:prstGeom prst="rect">
                      <a:avLst/>
                    </a:prstGeom>
                    <a:noFill/>
                    <a:ln w="9525">
                      <a:noFill/>
                    </a:ln>
                  </pic:spPr>
                </pic:pic>
              </a:graphicData>
            </a:graphic>
          </wp:inline>
        </w:drawing>
      </w:r>
    </w:p>
    <w:p>
      <w:pPr>
        <w:pStyle w:val="19"/>
        <w:widowControl/>
        <w:adjustRightInd/>
        <w:snapToGrid/>
        <w:spacing w:beforeAutospacing="0" w:afterAutospacing="0"/>
        <w:rPr>
          <w:rFonts w:cs="宋体"/>
        </w:rPr>
      </w:pPr>
      <w:r>
        <w:rPr>
          <w:rFonts w:hint="eastAsia" w:cs="宋体"/>
        </w:rPr>
        <w:t>各市(州)、扩权县(市)财政局，各省直机关、事业单位、团体组织，各金融机构，各采购代理机构，各政府采购供应商：</w:t>
      </w:r>
    </w:p>
    <w:p>
      <w:pPr>
        <w:pStyle w:val="19"/>
        <w:widowControl/>
        <w:adjustRightInd/>
        <w:snapToGrid/>
        <w:spacing w:beforeAutospacing="0" w:afterAutospacing="0"/>
        <w:ind w:firstLine="480" w:firstLineChars="200"/>
        <w:rPr>
          <w:rFonts w:cs="宋体"/>
        </w:rPr>
      </w:pPr>
      <w:r>
        <w:rPr>
          <w:rFonts w:hint="eastAsia" w:cs="宋体"/>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9"/>
        <w:widowControl/>
        <w:adjustRightInd/>
        <w:snapToGrid/>
        <w:spacing w:beforeAutospacing="0" w:afterAutospacing="0"/>
        <w:ind w:firstLine="480" w:firstLineChars="200"/>
        <w:rPr>
          <w:rFonts w:cs="宋体"/>
        </w:rPr>
      </w:pPr>
      <w:r>
        <w:rPr>
          <w:rFonts w:hint="eastAsia" w:cs="宋体"/>
        </w:rPr>
        <w:t>一、融资概念</w:t>
      </w:r>
    </w:p>
    <w:p>
      <w:pPr>
        <w:pStyle w:val="19"/>
        <w:widowControl/>
        <w:adjustRightInd/>
        <w:snapToGrid/>
        <w:spacing w:beforeAutospacing="0" w:afterAutospacing="0"/>
        <w:ind w:firstLine="480" w:firstLineChars="200"/>
        <w:rPr>
          <w:rFonts w:cs="宋体"/>
        </w:rPr>
      </w:pPr>
      <w:r>
        <w:rPr>
          <w:rFonts w:hint="eastAsia" w:cs="宋体"/>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9"/>
        <w:widowControl/>
        <w:adjustRightInd/>
        <w:snapToGrid/>
        <w:spacing w:beforeAutospacing="0" w:afterAutospacing="0"/>
        <w:ind w:firstLine="480" w:firstLineChars="200"/>
        <w:rPr>
          <w:rFonts w:cs="宋体"/>
        </w:rPr>
      </w:pPr>
      <w:r>
        <w:rPr>
          <w:rFonts w:hint="eastAsia" w:cs="宋体"/>
        </w:rPr>
        <w:t>二、基本原则</w:t>
      </w:r>
    </w:p>
    <w:p>
      <w:pPr>
        <w:pStyle w:val="19"/>
        <w:widowControl/>
        <w:adjustRightInd/>
        <w:snapToGrid/>
        <w:spacing w:beforeAutospacing="0" w:afterAutospacing="0"/>
        <w:ind w:firstLine="482" w:firstLineChars="200"/>
        <w:rPr>
          <w:rFonts w:cs="宋体"/>
        </w:rPr>
      </w:pPr>
      <w:r>
        <w:rPr>
          <w:rFonts w:hint="eastAsia" w:cs="宋体"/>
          <w:b/>
        </w:rPr>
        <w:t>(一)财政引导，市场运行</w:t>
      </w:r>
    </w:p>
    <w:p>
      <w:pPr>
        <w:pStyle w:val="19"/>
        <w:widowControl/>
        <w:adjustRightInd/>
        <w:snapToGrid/>
        <w:spacing w:beforeAutospacing="0" w:afterAutospacing="0"/>
        <w:ind w:firstLine="480" w:firstLineChars="200"/>
        <w:rPr>
          <w:rFonts w:cs="宋体"/>
        </w:rPr>
      </w:pPr>
      <w:r>
        <w:rPr>
          <w:rFonts w:hint="eastAsia" w:cs="宋体"/>
        </w:rPr>
        <w:t>财政部门推进“政采贷”，银行和供应商按照自愿原则参与。供应商自愿选择是否申请“政采贷”，银行依据其内部审查制度和决策程序决定是否为供应商提供融资，自担风险。</w:t>
      </w:r>
    </w:p>
    <w:p>
      <w:pPr>
        <w:pStyle w:val="19"/>
        <w:widowControl/>
        <w:adjustRightInd/>
        <w:snapToGrid/>
        <w:spacing w:beforeAutospacing="0" w:afterAutospacing="0"/>
        <w:ind w:firstLine="482" w:firstLineChars="200"/>
        <w:rPr>
          <w:rFonts w:cs="宋体"/>
        </w:rPr>
      </w:pPr>
      <w:r>
        <w:rPr>
          <w:rFonts w:hint="eastAsia" w:cs="宋体"/>
          <w:b/>
        </w:rPr>
        <w:t>(二)建立机制，服务银企</w:t>
      </w:r>
    </w:p>
    <w:p>
      <w:pPr>
        <w:pStyle w:val="19"/>
        <w:widowControl/>
        <w:adjustRightInd/>
        <w:snapToGrid/>
        <w:spacing w:beforeAutospacing="0" w:afterAutospacing="0"/>
        <w:ind w:firstLine="480" w:firstLineChars="200"/>
        <w:rPr>
          <w:rFonts w:cs="宋体"/>
        </w:rPr>
      </w:pPr>
      <w:r>
        <w:rPr>
          <w:rFonts w:hint="eastAsia" w:cs="宋体"/>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9"/>
        <w:widowControl/>
        <w:adjustRightInd/>
        <w:snapToGrid/>
        <w:spacing w:beforeAutospacing="0" w:afterAutospacing="0"/>
        <w:ind w:firstLine="482" w:firstLineChars="200"/>
        <w:rPr>
          <w:rFonts w:cs="宋体"/>
        </w:rPr>
      </w:pPr>
      <w:r>
        <w:rPr>
          <w:rFonts w:hint="eastAsia" w:cs="宋体"/>
          <w:b/>
        </w:rPr>
        <w:t>(三)优质优惠，加强扶持</w:t>
      </w:r>
    </w:p>
    <w:p>
      <w:pPr>
        <w:pStyle w:val="19"/>
        <w:widowControl/>
        <w:adjustRightInd/>
        <w:snapToGrid/>
        <w:spacing w:beforeAutospacing="0" w:afterAutospacing="0"/>
        <w:ind w:firstLine="480" w:firstLineChars="200"/>
        <w:rPr>
          <w:rFonts w:cs="宋体"/>
        </w:rPr>
      </w:pPr>
      <w:r>
        <w:rPr>
          <w:rFonts w:hint="eastAsia" w:cs="宋体"/>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widowControl/>
        <w:adjustRightInd/>
        <w:snapToGrid/>
        <w:spacing w:beforeAutospacing="0" w:afterAutospacing="0"/>
        <w:ind w:firstLine="480" w:firstLineChars="200"/>
        <w:rPr>
          <w:rFonts w:cs="宋体"/>
        </w:rPr>
      </w:pPr>
      <w:r>
        <w:rPr>
          <w:rFonts w:hint="eastAsia" w:cs="宋体"/>
        </w:rPr>
        <w:t>三、基本条件</w:t>
      </w:r>
    </w:p>
    <w:p>
      <w:pPr>
        <w:pStyle w:val="19"/>
        <w:widowControl/>
        <w:adjustRightInd/>
        <w:snapToGrid/>
        <w:spacing w:beforeAutospacing="0" w:afterAutospacing="0"/>
        <w:ind w:firstLine="482" w:firstLineChars="200"/>
        <w:rPr>
          <w:rFonts w:cs="宋体"/>
        </w:rPr>
      </w:pPr>
      <w:r>
        <w:rPr>
          <w:rFonts w:hint="eastAsia" w:cs="宋体"/>
          <w:b/>
        </w:rPr>
        <w:t>(一)银行暨“政采贷”金融产品</w:t>
      </w:r>
    </w:p>
    <w:p>
      <w:pPr>
        <w:pStyle w:val="19"/>
        <w:widowControl/>
        <w:adjustRightInd/>
        <w:snapToGrid/>
        <w:spacing w:beforeAutospacing="0" w:afterAutospacing="0"/>
        <w:ind w:firstLine="482" w:firstLineChars="200"/>
        <w:rPr>
          <w:rFonts w:cs="宋体"/>
        </w:rPr>
      </w:pPr>
      <w:r>
        <w:rPr>
          <w:rFonts w:hint="eastAsia" w:cs="宋体"/>
          <w:b/>
        </w:rPr>
        <w:t>1、征集。</w:t>
      </w:r>
      <w:r>
        <w:rPr>
          <w:rFonts w:hint="eastAsia" w:cs="宋体"/>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9"/>
        <w:widowControl/>
        <w:adjustRightInd/>
        <w:snapToGrid/>
        <w:spacing w:beforeAutospacing="0" w:afterAutospacing="0"/>
        <w:ind w:firstLine="480" w:firstLineChars="200"/>
        <w:rPr>
          <w:rFonts w:cs="宋体"/>
        </w:rPr>
      </w:pPr>
      <w:r>
        <w:rPr>
          <w:rFonts w:hint="eastAsia" w:cs="宋体"/>
        </w:rPr>
        <w:t>申请材料应当包括银行基本情况、“政采贷”产品名称、申请贷款条件、申请贷款方式、申请贷款程序、贷款审查流程、贷款额度、发放贷款时间、收款方式及其他优质服务和优惠承诺等。</w:t>
      </w:r>
    </w:p>
    <w:p>
      <w:pPr>
        <w:pStyle w:val="19"/>
        <w:widowControl/>
        <w:adjustRightInd/>
        <w:snapToGrid/>
        <w:spacing w:beforeAutospacing="0" w:afterAutospacing="0"/>
        <w:ind w:firstLine="480" w:firstLineChars="200"/>
        <w:rPr>
          <w:rFonts w:cs="宋体"/>
        </w:rPr>
      </w:pPr>
      <w:r>
        <w:rPr>
          <w:rFonts w:hint="eastAsia" w:cs="宋体"/>
        </w:rPr>
        <w:t>银行提供的“政采贷”产品应当满足“无抵押担保、程序简便、利率优惠、放款及时”的基本条件以及本通知其他相关规定。</w:t>
      </w:r>
    </w:p>
    <w:p>
      <w:pPr>
        <w:pStyle w:val="19"/>
        <w:widowControl/>
        <w:adjustRightInd/>
        <w:snapToGrid/>
        <w:spacing w:beforeAutospacing="0" w:afterAutospacing="0"/>
        <w:ind w:firstLine="480" w:firstLineChars="200"/>
        <w:rPr>
          <w:rFonts w:cs="宋体"/>
        </w:rPr>
      </w:pPr>
      <w:r>
        <w:rPr>
          <w:rFonts w:hint="eastAsia" w:cs="宋体"/>
        </w:rPr>
        <w:t>银行申请材料中应当载明其自愿提供“政采贷”产品，自担风险，不得要求或者变相要求财政部门和采购人为其提供风险担保、承诺。</w:t>
      </w:r>
    </w:p>
    <w:p>
      <w:pPr>
        <w:pStyle w:val="19"/>
        <w:widowControl/>
        <w:adjustRightInd/>
        <w:snapToGrid/>
        <w:spacing w:beforeAutospacing="0" w:afterAutospacing="0"/>
        <w:ind w:firstLine="482" w:firstLineChars="200"/>
        <w:rPr>
          <w:rFonts w:cs="宋体"/>
        </w:rPr>
      </w:pPr>
      <w:r>
        <w:rPr>
          <w:rFonts w:hint="eastAsia" w:cs="宋体"/>
          <w:b/>
        </w:rPr>
        <w:t>2、公示。</w:t>
      </w:r>
      <w:r>
        <w:rPr>
          <w:rFonts w:hint="eastAsia" w:cs="宋体"/>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9"/>
        <w:widowControl/>
        <w:adjustRightInd/>
        <w:snapToGrid/>
        <w:spacing w:beforeAutospacing="0" w:afterAutospacing="0"/>
        <w:ind w:firstLine="482" w:firstLineChars="200"/>
        <w:rPr>
          <w:rFonts w:cs="宋体"/>
        </w:rPr>
      </w:pPr>
      <w:r>
        <w:rPr>
          <w:rFonts w:hint="eastAsia" w:cs="宋体"/>
          <w:b/>
        </w:rPr>
        <w:t>(二)供应商</w:t>
      </w:r>
    </w:p>
    <w:p>
      <w:pPr>
        <w:pStyle w:val="19"/>
        <w:widowControl/>
        <w:adjustRightInd/>
        <w:snapToGrid/>
        <w:spacing w:beforeAutospacing="0" w:afterAutospacing="0"/>
        <w:ind w:firstLine="480" w:firstLineChars="200"/>
        <w:rPr>
          <w:rFonts w:cs="宋体"/>
        </w:rPr>
      </w:pPr>
      <w:r>
        <w:rPr>
          <w:rFonts w:hint="eastAsia" w:cs="宋体"/>
        </w:rPr>
        <w:t>政府采购供应商向银行申请“政采贷”，应当满足下列基本条件：</w:t>
      </w:r>
    </w:p>
    <w:p>
      <w:pPr>
        <w:pStyle w:val="19"/>
        <w:widowControl/>
        <w:adjustRightInd/>
        <w:snapToGrid/>
        <w:spacing w:beforeAutospacing="0" w:afterAutospacing="0"/>
        <w:ind w:firstLine="482" w:firstLineChars="200"/>
        <w:rPr>
          <w:rFonts w:cs="宋体"/>
        </w:rPr>
      </w:pPr>
      <w:r>
        <w:rPr>
          <w:rFonts w:hint="eastAsia" w:cs="宋体"/>
          <w:b/>
        </w:rPr>
        <w:t>1、</w:t>
      </w:r>
      <w:r>
        <w:rPr>
          <w:rFonts w:hint="eastAsia" w:cs="宋体"/>
        </w:rPr>
        <w:t>具有依法承担民事责任的能力；</w:t>
      </w:r>
    </w:p>
    <w:p>
      <w:pPr>
        <w:pStyle w:val="19"/>
        <w:widowControl/>
        <w:adjustRightInd/>
        <w:snapToGrid/>
        <w:spacing w:beforeAutospacing="0" w:afterAutospacing="0"/>
        <w:ind w:firstLine="482" w:firstLineChars="200"/>
        <w:rPr>
          <w:rFonts w:cs="宋体"/>
        </w:rPr>
      </w:pPr>
      <w:r>
        <w:rPr>
          <w:rFonts w:hint="eastAsia" w:cs="宋体"/>
          <w:b/>
        </w:rPr>
        <w:t>2、</w:t>
      </w:r>
      <w:r>
        <w:rPr>
          <w:rFonts w:hint="eastAsia" w:cs="宋体"/>
        </w:rPr>
        <w:t>具有依法履行政府采购合同的能力；</w:t>
      </w:r>
    </w:p>
    <w:p>
      <w:pPr>
        <w:pStyle w:val="19"/>
        <w:widowControl/>
        <w:adjustRightInd/>
        <w:snapToGrid/>
        <w:spacing w:beforeAutospacing="0" w:afterAutospacing="0"/>
        <w:ind w:firstLine="482" w:firstLineChars="200"/>
        <w:rPr>
          <w:rFonts w:cs="宋体"/>
        </w:rPr>
      </w:pPr>
      <w:r>
        <w:rPr>
          <w:rFonts w:hint="eastAsia" w:cs="宋体"/>
          <w:b/>
        </w:rPr>
        <w:t>3、</w:t>
      </w:r>
      <w:r>
        <w:rPr>
          <w:rFonts w:hint="eastAsia" w:cs="宋体"/>
        </w:rPr>
        <w:t>参加的政府采购活动未被财政部门依法暂停、责令重新开展或者认定中标、成交无效；</w:t>
      </w:r>
    </w:p>
    <w:p>
      <w:pPr>
        <w:pStyle w:val="19"/>
        <w:widowControl/>
        <w:adjustRightInd/>
        <w:snapToGrid/>
        <w:spacing w:beforeAutospacing="0" w:afterAutospacing="0"/>
        <w:ind w:firstLine="482" w:firstLineChars="200"/>
        <w:rPr>
          <w:rFonts w:cs="宋体"/>
        </w:rPr>
      </w:pPr>
      <w:r>
        <w:rPr>
          <w:rFonts w:hint="eastAsia" w:cs="宋体"/>
          <w:b/>
        </w:rPr>
        <w:t>4、</w:t>
      </w:r>
      <w:r>
        <w:rPr>
          <w:rFonts w:hint="eastAsia" w:cs="宋体"/>
        </w:rPr>
        <w:t>无《政府采购法》第二十二条第一款第(五)项所称的重大违法记录；</w:t>
      </w:r>
    </w:p>
    <w:p>
      <w:pPr>
        <w:pStyle w:val="19"/>
        <w:widowControl/>
        <w:adjustRightInd/>
        <w:snapToGrid/>
        <w:spacing w:beforeAutospacing="0" w:afterAutospacing="0"/>
        <w:ind w:firstLine="482" w:firstLineChars="200"/>
        <w:rPr>
          <w:rFonts w:cs="宋体"/>
        </w:rPr>
      </w:pPr>
      <w:r>
        <w:rPr>
          <w:rFonts w:hint="eastAsia" w:cs="宋体"/>
          <w:b/>
        </w:rPr>
        <w:t>5、</w:t>
      </w:r>
      <w:r>
        <w:rPr>
          <w:rFonts w:hint="eastAsia" w:cs="宋体"/>
        </w:rPr>
        <w:t>未被法院、市场监管、税务、银行等部门单位纳入失信名单且在有效期内；</w:t>
      </w:r>
    </w:p>
    <w:p>
      <w:pPr>
        <w:pStyle w:val="19"/>
        <w:widowControl/>
        <w:adjustRightInd/>
        <w:snapToGrid/>
        <w:spacing w:beforeAutospacing="0" w:afterAutospacing="0"/>
        <w:ind w:firstLine="482" w:firstLineChars="200"/>
        <w:rPr>
          <w:rFonts w:cs="宋体"/>
        </w:rPr>
      </w:pPr>
      <w:r>
        <w:rPr>
          <w:rFonts w:hint="eastAsia" w:cs="宋体"/>
          <w:b/>
        </w:rPr>
        <w:t>6、</w:t>
      </w:r>
      <w:r>
        <w:rPr>
          <w:rFonts w:hint="eastAsia" w:cs="宋体"/>
        </w:rPr>
        <w:t>在一定期限内的(银行可以具体确定)政府采购合同履约过程中或者其他经营活动履约过程中，无不依法履约被有关行政部门行政处罚的或者产生法律纠纷被法院、仲裁机构判决、裁决败诉的；</w:t>
      </w:r>
    </w:p>
    <w:p>
      <w:pPr>
        <w:pStyle w:val="19"/>
        <w:widowControl/>
        <w:adjustRightInd/>
        <w:snapToGrid/>
        <w:spacing w:beforeAutospacing="0" w:afterAutospacing="0"/>
        <w:ind w:firstLine="482" w:firstLineChars="200"/>
        <w:rPr>
          <w:rFonts w:cs="宋体"/>
        </w:rPr>
      </w:pPr>
      <w:r>
        <w:rPr>
          <w:rFonts w:hint="eastAsia" w:cs="宋体"/>
          <w:b/>
        </w:rPr>
        <w:t>7、</w:t>
      </w:r>
      <w:r>
        <w:rPr>
          <w:rFonts w:hint="eastAsia" w:cs="宋体"/>
        </w:rPr>
        <w:t>其他银行要求的不属于提供财产抵押或第三方担保的条件。</w:t>
      </w:r>
    </w:p>
    <w:p>
      <w:pPr>
        <w:pStyle w:val="19"/>
        <w:widowControl/>
        <w:adjustRightInd/>
        <w:snapToGrid/>
        <w:spacing w:beforeAutospacing="0" w:afterAutospacing="0"/>
        <w:ind w:firstLine="480" w:firstLineChars="200"/>
        <w:rPr>
          <w:rFonts w:cs="宋体"/>
        </w:rPr>
      </w:pPr>
      <w:r>
        <w:rPr>
          <w:rFonts w:hint="eastAsia" w:cs="宋体"/>
        </w:rPr>
        <w:t>四、构建平台</w:t>
      </w:r>
    </w:p>
    <w:p>
      <w:pPr>
        <w:pStyle w:val="19"/>
        <w:widowControl/>
        <w:adjustRightInd/>
        <w:snapToGrid/>
        <w:spacing w:beforeAutospacing="0" w:afterAutospacing="0"/>
        <w:ind w:firstLine="480" w:firstLineChars="200"/>
        <w:rPr>
          <w:rFonts w:cs="宋体"/>
        </w:rPr>
      </w:pPr>
      <w:r>
        <w:rPr>
          <w:rFonts w:hint="eastAsia" w:cs="宋体"/>
        </w:rPr>
        <w:t>四川省财政厅将在“四川政府采购网”统一构建四川省“政采贷”信息化服务平台，推进四川省“政采贷”工作信息化建设。</w:t>
      </w:r>
    </w:p>
    <w:p>
      <w:pPr>
        <w:pStyle w:val="19"/>
        <w:widowControl/>
        <w:adjustRightInd/>
        <w:snapToGrid/>
        <w:spacing w:beforeAutospacing="0" w:afterAutospacing="0"/>
        <w:ind w:firstLine="480" w:firstLineChars="200"/>
        <w:rPr>
          <w:rFonts w:cs="宋体"/>
        </w:rPr>
      </w:pPr>
      <w:r>
        <w:rPr>
          <w:rFonts w:hint="eastAsia" w:cs="宋体"/>
        </w:rPr>
        <w:t>五、财金互动</w:t>
      </w:r>
    </w:p>
    <w:p>
      <w:pPr>
        <w:pStyle w:val="19"/>
        <w:widowControl/>
        <w:adjustRightInd/>
        <w:snapToGrid/>
        <w:spacing w:beforeAutospacing="0" w:afterAutospacing="0"/>
        <w:ind w:firstLine="480" w:firstLineChars="200"/>
        <w:rPr>
          <w:rFonts w:cs="宋体"/>
        </w:rPr>
      </w:pPr>
      <w:r>
        <w:rPr>
          <w:rFonts w:hint="eastAsia" w:cs="宋体"/>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9"/>
        <w:widowControl/>
        <w:adjustRightInd/>
        <w:snapToGrid/>
        <w:spacing w:beforeAutospacing="0" w:afterAutospacing="0"/>
        <w:ind w:firstLine="480" w:firstLineChars="200"/>
        <w:rPr>
          <w:rFonts w:cs="宋体"/>
        </w:rPr>
      </w:pPr>
      <w:r>
        <w:rPr>
          <w:rFonts w:hint="eastAsia" w:cs="宋体"/>
        </w:rPr>
        <w:t>六、基本流程</w:t>
      </w:r>
    </w:p>
    <w:p>
      <w:pPr>
        <w:pStyle w:val="19"/>
        <w:widowControl/>
        <w:adjustRightInd/>
        <w:snapToGrid/>
        <w:spacing w:beforeAutospacing="0" w:afterAutospacing="0"/>
        <w:ind w:firstLine="482" w:firstLineChars="200"/>
        <w:rPr>
          <w:rFonts w:cs="宋体"/>
        </w:rPr>
      </w:pPr>
      <w:r>
        <w:rPr>
          <w:rFonts w:hint="eastAsia" w:cs="宋体"/>
          <w:b/>
        </w:rPr>
        <w:t>(一)意向申请</w:t>
      </w:r>
    </w:p>
    <w:p>
      <w:pPr>
        <w:pStyle w:val="19"/>
        <w:widowControl/>
        <w:adjustRightInd/>
        <w:snapToGrid/>
        <w:spacing w:beforeAutospacing="0" w:afterAutospacing="0"/>
        <w:ind w:firstLine="480" w:firstLineChars="200"/>
        <w:rPr>
          <w:rFonts w:cs="宋体"/>
        </w:rPr>
      </w:pPr>
      <w:r>
        <w:rPr>
          <w:rFonts w:hint="eastAsia" w:cs="宋体"/>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9"/>
        <w:widowControl/>
        <w:adjustRightInd/>
        <w:snapToGrid/>
        <w:spacing w:beforeAutospacing="0" w:afterAutospacing="0"/>
        <w:ind w:firstLine="482" w:firstLineChars="200"/>
        <w:rPr>
          <w:rFonts w:cs="宋体"/>
          <w:b/>
        </w:rPr>
      </w:pPr>
      <w:r>
        <w:rPr>
          <w:rFonts w:hint="eastAsia" w:cs="宋体"/>
          <w:b/>
        </w:rPr>
        <w:t>(二)正式申请</w:t>
      </w:r>
    </w:p>
    <w:p>
      <w:pPr>
        <w:pStyle w:val="19"/>
        <w:widowControl/>
        <w:adjustRightInd/>
        <w:snapToGrid/>
        <w:spacing w:beforeAutospacing="0" w:afterAutospacing="0"/>
        <w:ind w:firstLine="480" w:firstLineChars="200"/>
        <w:rPr>
          <w:rFonts w:cs="宋体"/>
        </w:rPr>
      </w:pPr>
      <w:r>
        <w:rPr>
          <w:rFonts w:hint="eastAsia" w:cs="宋体"/>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9"/>
        <w:widowControl/>
        <w:adjustRightInd/>
        <w:snapToGrid/>
        <w:spacing w:beforeAutospacing="0" w:afterAutospacing="0"/>
        <w:ind w:firstLine="480" w:firstLineChars="200"/>
        <w:rPr>
          <w:rFonts w:cs="宋体"/>
        </w:rPr>
      </w:pPr>
      <w:r>
        <w:rPr>
          <w:rFonts w:hint="eastAsia" w:cs="宋体"/>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9"/>
        <w:widowControl/>
        <w:adjustRightInd/>
        <w:snapToGrid/>
        <w:spacing w:beforeAutospacing="0" w:afterAutospacing="0"/>
        <w:ind w:firstLine="482" w:firstLineChars="200"/>
        <w:rPr>
          <w:rFonts w:cs="宋体"/>
        </w:rPr>
      </w:pPr>
      <w:r>
        <w:rPr>
          <w:rFonts w:hint="eastAsia" w:cs="宋体"/>
          <w:b/>
        </w:rPr>
        <w:t>(三)贷款审查</w:t>
      </w:r>
    </w:p>
    <w:p>
      <w:pPr>
        <w:pStyle w:val="19"/>
        <w:widowControl/>
        <w:adjustRightInd/>
        <w:snapToGrid/>
        <w:spacing w:beforeAutospacing="0" w:afterAutospacing="0"/>
        <w:ind w:firstLine="480" w:firstLineChars="200"/>
        <w:rPr>
          <w:rFonts w:cs="宋体"/>
        </w:rPr>
      </w:pPr>
      <w:r>
        <w:rPr>
          <w:rFonts w:hint="eastAsia" w:cs="宋体"/>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9"/>
        <w:widowControl/>
        <w:adjustRightInd/>
        <w:snapToGrid/>
        <w:spacing w:beforeAutospacing="0" w:afterAutospacing="0"/>
        <w:ind w:firstLine="482" w:firstLineChars="200"/>
        <w:rPr>
          <w:rFonts w:cs="宋体"/>
        </w:rPr>
      </w:pPr>
      <w:r>
        <w:rPr>
          <w:rFonts w:hint="eastAsia" w:cs="宋体"/>
          <w:b/>
        </w:rPr>
        <w:t>(四)信息报送</w:t>
      </w:r>
    </w:p>
    <w:p>
      <w:pPr>
        <w:pStyle w:val="19"/>
        <w:widowControl/>
        <w:adjustRightInd/>
        <w:snapToGrid/>
        <w:spacing w:beforeAutospacing="0" w:afterAutospacing="0"/>
        <w:ind w:firstLine="480" w:firstLineChars="200"/>
        <w:rPr>
          <w:rFonts w:cs="宋体"/>
        </w:rPr>
      </w:pPr>
      <w:r>
        <w:rPr>
          <w:rFonts w:hint="eastAsia" w:cs="宋体"/>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9"/>
        <w:widowControl/>
        <w:adjustRightInd/>
        <w:snapToGrid/>
        <w:spacing w:beforeAutospacing="0" w:afterAutospacing="0"/>
        <w:ind w:firstLine="482" w:firstLineChars="200"/>
        <w:rPr>
          <w:rFonts w:cs="宋体"/>
        </w:rPr>
      </w:pPr>
      <w:r>
        <w:rPr>
          <w:rFonts w:hint="eastAsia" w:cs="宋体"/>
          <w:b/>
        </w:rPr>
        <w:t>(五)资金支付</w:t>
      </w:r>
    </w:p>
    <w:p>
      <w:pPr>
        <w:pStyle w:val="19"/>
        <w:widowControl/>
        <w:adjustRightInd/>
        <w:snapToGrid/>
        <w:spacing w:beforeAutospacing="0" w:afterAutospacing="0"/>
        <w:ind w:firstLine="480" w:firstLineChars="200"/>
        <w:rPr>
          <w:rFonts w:cs="宋体"/>
        </w:rPr>
      </w:pPr>
      <w:r>
        <w:rPr>
          <w:rFonts w:hint="eastAsia" w:cs="宋体"/>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widowControl/>
        <w:adjustRightInd/>
        <w:snapToGrid/>
        <w:spacing w:beforeAutospacing="0" w:afterAutospacing="0"/>
        <w:ind w:firstLine="480" w:firstLineChars="200"/>
        <w:rPr>
          <w:rFonts w:cs="宋体"/>
        </w:rPr>
      </w:pPr>
      <w:r>
        <w:rPr>
          <w:rFonts w:hint="eastAsia" w:cs="宋体"/>
        </w:rPr>
        <w:t>政府采购资金支付过程中，银行需要查询采购资金支付进程有关信息的，财政部门和采购人应当支持。</w:t>
      </w:r>
    </w:p>
    <w:p>
      <w:pPr>
        <w:pStyle w:val="19"/>
        <w:widowControl/>
        <w:adjustRightInd/>
        <w:snapToGrid/>
        <w:spacing w:beforeAutospacing="0" w:afterAutospacing="0"/>
        <w:ind w:firstLine="480" w:firstLineChars="200"/>
        <w:rPr>
          <w:rFonts w:cs="宋体"/>
        </w:rPr>
      </w:pPr>
      <w:r>
        <w:rPr>
          <w:rFonts w:hint="eastAsia" w:cs="宋体"/>
        </w:rPr>
        <w:t>七、职责要求</w:t>
      </w:r>
    </w:p>
    <w:p>
      <w:pPr>
        <w:pStyle w:val="19"/>
        <w:widowControl/>
        <w:adjustRightInd/>
        <w:snapToGrid/>
        <w:spacing w:beforeAutospacing="0" w:afterAutospacing="0"/>
        <w:ind w:firstLine="482" w:firstLineChars="200"/>
        <w:rPr>
          <w:rFonts w:cs="宋体"/>
        </w:rPr>
      </w:pPr>
      <w:r>
        <w:rPr>
          <w:rFonts w:hint="eastAsia" w:cs="宋体"/>
          <w:b/>
        </w:rPr>
        <w:t>(一)</w:t>
      </w:r>
      <w:r>
        <w:rPr>
          <w:rFonts w:hint="eastAsia" w:cs="宋体"/>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widowControl/>
        <w:adjustRightInd/>
        <w:snapToGrid/>
        <w:spacing w:beforeAutospacing="0" w:afterAutospacing="0"/>
        <w:ind w:firstLine="482" w:firstLineChars="200"/>
        <w:rPr>
          <w:rFonts w:cs="宋体"/>
        </w:rPr>
      </w:pPr>
      <w:r>
        <w:rPr>
          <w:rFonts w:hint="eastAsia" w:cs="宋体"/>
          <w:b/>
        </w:rPr>
        <w:t>(二)</w:t>
      </w:r>
      <w:r>
        <w:rPr>
          <w:rFonts w:hint="eastAsia" w:cs="宋体"/>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widowControl/>
        <w:adjustRightInd/>
        <w:snapToGrid/>
        <w:spacing w:beforeAutospacing="0" w:afterAutospacing="0"/>
        <w:ind w:firstLine="482" w:firstLineChars="200"/>
        <w:rPr>
          <w:rFonts w:cs="宋体"/>
        </w:rPr>
      </w:pPr>
      <w:r>
        <w:rPr>
          <w:rFonts w:hint="eastAsia" w:cs="宋体"/>
          <w:b/>
        </w:rPr>
        <w:t>(三)</w:t>
      </w:r>
      <w:r>
        <w:rPr>
          <w:rFonts w:hint="eastAsia" w:cs="宋体"/>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widowControl/>
        <w:adjustRightInd/>
        <w:snapToGrid/>
        <w:spacing w:beforeAutospacing="0" w:afterAutospacing="0"/>
        <w:ind w:firstLine="482" w:firstLineChars="200"/>
        <w:rPr>
          <w:rFonts w:cs="宋体"/>
        </w:rPr>
      </w:pPr>
      <w:r>
        <w:rPr>
          <w:rFonts w:hint="eastAsia" w:cs="宋体"/>
          <w:b/>
        </w:rPr>
        <w:t>(四)</w:t>
      </w:r>
      <w:r>
        <w:rPr>
          <w:rFonts w:hint="eastAsia" w:cs="宋体"/>
        </w:rPr>
        <w:t>采购代理机构在组织实施政府采购活动中，应当采取有效方式，向供应商宣传“政采贷”政策。银行需要借用采购代理机构的场所直接向供应商介绍其“政采贷”产品的，采购代理机构应当支持。</w:t>
      </w:r>
    </w:p>
    <w:p>
      <w:pPr>
        <w:pStyle w:val="19"/>
        <w:widowControl/>
        <w:adjustRightInd/>
        <w:snapToGrid/>
        <w:spacing w:beforeAutospacing="0" w:afterAutospacing="0"/>
        <w:ind w:firstLine="482" w:firstLineChars="200"/>
        <w:rPr>
          <w:rFonts w:cs="宋体"/>
        </w:rPr>
      </w:pPr>
      <w:r>
        <w:rPr>
          <w:rFonts w:hint="eastAsia" w:cs="宋体"/>
          <w:b/>
        </w:rPr>
        <w:t>(五)</w:t>
      </w:r>
      <w:r>
        <w:rPr>
          <w:rFonts w:hint="eastAsia" w:cs="宋体"/>
        </w:rPr>
        <w:t>供应商应当依法参加政府采购活动，公平竞争，诚实守信，严格按照政府采购合同履约，严格按照借款合同偿还债务。</w:t>
      </w:r>
    </w:p>
    <w:p>
      <w:pPr>
        <w:pStyle w:val="19"/>
        <w:widowControl/>
        <w:adjustRightInd/>
        <w:snapToGrid/>
        <w:spacing w:beforeAutospacing="0" w:afterAutospacing="0"/>
        <w:ind w:firstLine="482" w:firstLineChars="200"/>
        <w:rPr>
          <w:rFonts w:cs="宋体"/>
        </w:rPr>
      </w:pPr>
      <w:r>
        <w:rPr>
          <w:rFonts w:hint="eastAsia" w:cs="宋体"/>
          <w:b/>
        </w:rPr>
        <w:t>(六)</w:t>
      </w:r>
      <w:r>
        <w:rPr>
          <w:rFonts w:hint="eastAsia" w:cs="宋体"/>
        </w:rPr>
        <w:t>财政部门、采购人、采购代理机构及其他有关单位和个人不得违规干预供应商选择“政采贷”银行及其产品，也不得违规干预银行向供应商进行贷款。</w:t>
      </w:r>
    </w:p>
    <w:p>
      <w:pPr>
        <w:pStyle w:val="19"/>
        <w:widowControl/>
        <w:adjustRightInd/>
        <w:snapToGrid/>
        <w:spacing w:beforeAutospacing="0" w:afterAutospacing="0"/>
        <w:ind w:firstLine="482" w:firstLineChars="200"/>
        <w:rPr>
          <w:rFonts w:cs="宋体"/>
        </w:rPr>
      </w:pPr>
      <w:r>
        <w:rPr>
          <w:rFonts w:hint="eastAsia" w:cs="宋体"/>
          <w:b/>
        </w:rPr>
        <w:t>(七)</w:t>
      </w:r>
      <w:r>
        <w:rPr>
          <w:rFonts w:hint="eastAsia" w:cs="宋体"/>
        </w:rPr>
        <w:t>相关单位和个人在开展“政采贷”工作过程中，发现新问题、新情况或者有意见建议的，请及时向四川省财政厅反馈。</w:t>
      </w:r>
    </w:p>
    <w:p>
      <w:pPr>
        <w:pStyle w:val="19"/>
        <w:widowControl/>
        <w:adjustRightInd/>
        <w:snapToGrid/>
        <w:spacing w:beforeAutospacing="0" w:afterAutospacing="0"/>
        <w:ind w:firstLine="480" w:firstLineChars="200"/>
        <w:rPr>
          <w:rFonts w:cs="宋体"/>
        </w:rPr>
      </w:pPr>
      <w:r>
        <w:rPr>
          <w:rFonts w:hint="eastAsia" w:cs="宋体"/>
        </w:rPr>
        <w:t>八、违规处理</w:t>
      </w:r>
    </w:p>
    <w:p>
      <w:pPr>
        <w:pStyle w:val="19"/>
        <w:widowControl/>
        <w:adjustRightInd/>
        <w:snapToGrid/>
        <w:spacing w:beforeAutospacing="0" w:afterAutospacing="0"/>
        <w:ind w:firstLine="482" w:firstLineChars="200"/>
        <w:rPr>
          <w:rFonts w:cs="宋体"/>
        </w:rPr>
      </w:pPr>
      <w:r>
        <w:rPr>
          <w:rFonts w:hint="eastAsia" w:cs="宋体"/>
          <w:b/>
        </w:rPr>
        <w:t>(一)银行违规处理</w:t>
      </w:r>
    </w:p>
    <w:p>
      <w:pPr>
        <w:pStyle w:val="19"/>
        <w:widowControl/>
        <w:adjustRightInd/>
        <w:snapToGrid/>
        <w:spacing w:beforeAutospacing="0" w:afterAutospacing="0"/>
        <w:ind w:firstLine="480" w:firstLineChars="200"/>
        <w:rPr>
          <w:rFonts w:cs="宋体"/>
        </w:rPr>
      </w:pPr>
      <w:r>
        <w:rPr>
          <w:rFonts w:hint="eastAsia" w:cs="宋体"/>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9"/>
        <w:widowControl/>
        <w:adjustRightInd/>
        <w:snapToGrid/>
        <w:spacing w:beforeAutospacing="0" w:afterAutospacing="0"/>
        <w:ind w:firstLine="482" w:firstLineChars="200"/>
        <w:rPr>
          <w:rFonts w:cs="宋体"/>
        </w:rPr>
      </w:pPr>
      <w:r>
        <w:rPr>
          <w:rFonts w:hint="eastAsia" w:cs="宋体"/>
          <w:b/>
        </w:rPr>
        <w:t>(二)供应商违规处理</w:t>
      </w:r>
    </w:p>
    <w:p>
      <w:pPr>
        <w:pStyle w:val="19"/>
        <w:widowControl/>
        <w:adjustRightInd/>
        <w:snapToGrid/>
        <w:spacing w:beforeAutospacing="0" w:afterAutospacing="0"/>
        <w:ind w:firstLine="480" w:firstLineChars="200"/>
        <w:rPr>
          <w:rFonts w:cs="宋体"/>
        </w:rPr>
      </w:pPr>
      <w:r>
        <w:rPr>
          <w:rFonts w:hint="eastAsia" w:cs="宋体"/>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9"/>
        <w:widowControl/>
        <w:adjustRightInd/>
        <w:snapToGrid/>
        <w:spacing w:beforeAutospacing="0" w:afterAutospacing="0"/>
        <w:ind w:firstLine="482" w:firstLineChars="200"/>
        <w:rPr>
          <w:rFonts w:cs="宋体"/>
        </w:rPr>
      </w:pPr>
      <w:r>
        <w:rPr>
          <w:rFonts w:hint="eastAsia" w:cs="宋体"/>
          <w:b/>
        </w:rPr>
        <w:t>(三)其他违规处理</w:t>
      </w:r>
    </w:p>
    <w:p>
      <w:pPr>
        <w:pStyle w:val="19"/>
        <w:widowControl/>
        <w:adjustRightInd/>
        <w:snapToGrid/>
        <w:spacing w:beforeAutospacing="0" w:afterAutospacing="0"/>
        <w:ind w:firstLine="480" w:firstLineChars="200"/>
        <w:rPr>
          <w:rFonts w:cs="宋体"/>
        </w:rPr>
      </w:pPr>
      <w:r>
        <w:rPr>
          <w:rFonts w:hint="eastAsia" w:cs="宋体"/>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widowControl/>
        <w:adjustRightInd/>
        <w:snapToGrid/>
        <w:spacing w:beforeAutospacing="0" w:afterAutospacing="0"/>
        <w:ind w:firstLine="480" w:firstLineChars="200"/>
        <w:rPr>
          <w:rFonts w:cs="宋体"/>
        </w:rPr>
      </w:pPr>
      <w:r>
        <w:rPr>
          <w:rFonts w:hint="eastAsia" w:cs="宋体"/>
        </w:rPr>
        <w:t> </w:t>
      </w:r>
    </w:p>
    <w:p>
      <w:pPr>
        <w:rPr>
          <w:rFonts w:cs="宋体"/>
        </w:rPr>
      </w:pPr>
      <w:r>
        <w:rPr>
          <w:rFonts w:hint="eastAsia" w:cs="宋体"/>
          <w:kern w:val="0"/>
        </w:rPr>
        <w:drawing>
          <wp:anchor distT="0" distB="0" distL="114300" distR="114300" simplePos="0" relativeHeight="251660288"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8"/>
                    <a:stretch>
                      <a:fillRect/>
                    </a:stretch>
                  </pic:blipFill>
                  <pic:spPr>
                    <a:xfrm>
                      <a:off x="0" y="0"/>
                      <a:ext cx="1771650" cy="1781175"/>
                    </a:xfrm>
                    <a:prstGeom prst="rect">
                      <a:avLst/>
                    </a:prstGeom>
                    <a:noFill/>
                    <a:ln w="9525">
                      <a:noFill/>
                    </a:ln>
                  </pic:spPr>
                </pic:pic>
              </a:graphicData>
            </a:graphic>
          </wp:anchor>
        </w:drawing>
      </w:r>
      <w:r>
        <w:rPr>
          <w:rFonts w:hint="eastAsia" w:cs="宋体"/>
        </w:rPr>
        <w:br w:type="page"/>
      </w:r>
    </w:p>
    <w:p>
      <w:pPr>
        <w:pStyle w:val="31"/>
        <w:numPr>
          <w:ilvl w:val="1"/>
          <w:numId w:val="0"/>
        </w:numPr>
        <w:ind w:firstLine="482" w:firstLineChars="200"/>
      </w:pPr>
      <w:bookmarkStart w:id="540" w:name="_Toc31255"/>
      <w:bookmarkStart w:id="541" w:name="_Toc18025"/>
      <w:bookmarkStart w:id="542" w:name="_Toc13501"/>
      <w:r>
        <w:rPr>
          <w:rFonts w:hint="eastAsia" w:asciiTheme="minorEastAsia" w:hAnsiTheme="minorEastAsia" w:eastAsiaTheme="minorEastAsia" w:cstheme="minorEastAsia"/>
          <w:color w:val="000000"/>
        </w:rPr>
        <w:t>附件六：成都市财政局  中国人民银行成都分行营业管理部关于印发《成都市中小企业政府采购信用融资暂行办法》和《成都市级支持中小企业政府采购信用融资实施方案》的通</w:t>
      </w:r>
      <w:r>
        <w:rPr>
          <w:rFonts w:hint="eastAsia"/>
        </w:rPr>
        <w:t>知(成财采〔2019〕17号)</w:t>
      </w:r>
      <w:bookmarkEnd w:id="540"/>
      <w:bookmarkEnd w:id="541"/>
      <w:bookmarkEnd w:id="542"/>
    </w:p>
    <w:p>
      <w:pPr>
        <w:widowControl/>
        <w:wordWrap w:val="0"/>
        <w:adjustRightInd/>
        <w:snapToGrid/>
        <w:rPr>
          <w:rFonts w:cs="宋体"/>
          <w:b/>
          <w:bCs/>
        </w:rPr>
      </w:pPr>
      <w:r>
        <w:rPr>
          <w:rFonts w:hint="eastAsia" w:cs="宋体"/>
          <w:b/>
          <w:bCs/>
        </w:rPr>
        <w:t>查询链接：</w:t>
      </w:r>
      <w:r>
        <w:fldChar w:fldCharType="begin"/>
      </w:r>
      <w:r>
        <w:instrText xml:space="preserve"> HYPERLINK "http://cdcz.chengdu.gov.cn/cdsczj/c116726/2019-03/13/content_7d81ae9c2a1e48968c7839a9c5b88ccd.shtml" </w:instrText>
      </w:r>
      <w:r>
        <w:fldChar w:fldCharType="separate"/>
      </w:r>
      <w:r>
        <w:rPr>
          <w:rStyle w:val="23"/>
          <w:rFonts w:hint="eastAsia" w:cs="宋体"/>
          <w:b/>
          <w:bCs/>
        </w:rPr>
        <w:t>http：//cdcz.chengdu.gov.cn/cdsczj/c116726/2019-03/13/content_7d81ae9c2a1e48968c7839a9c5b88ccd.shtml</w:t>
      </w:r>
      <w:r>
        <w:rPr>
          <w:rStyle w:val="23"/>
          <w:rFonts w:hint="eastAsia" w:cs="宋体"/>
          <w:b/>
          <w:bCs/>
        </w:rPr>
        <w:fldChar w:fldCharType="end"/>
      </w:r>
    </w:p>
    <w:p>
      <w:pPr>
        <w:widowControl/>
        <w:wordWrap w:val="0"/>
        <w:adjustRightInd/>
        <w:snapToGrid/>
        <w:rPr>
          <w:rFonts w:cs="宋体"/>
          <w:b/>
          <w:bCs/>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eastAsia="方正小标宋简体"/>
                <w:color w:val="FF0000"/>
                <w:sz w:val="66"/>
                <w:szCs w:val="66"/>
              </w:rPr>
            </w:pPr>
            <w:r>
              <w:rPr>
                <w:rFonts w:hint="eastAsia" w:eastAsia="方正小标宋简体"/>
                <w:color w:val="FF0000"/>
                <w:sz w:val="66"/>
                <w:szCs w:val="66"/>
              </w:rPr>
              <w:t>成都市财政局</w:t>
            </w:r>
          </w:p>
        </w:tc>
        <w:tc>
          <w:tcPr>
            <w:tcW w:w="1580" w:type="dxa"/>
            <w:vMerge w:val="restart"/>
            <w:vAlign w:val="center"/>
          </w:tcPr>
          <w:p>
            <w:pPr>
              <w:spacing w:line="240" w:lineRule="auto"/>
              <w:jc w:val="center"/>
              <w:rPr>
                <w:rFonts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vAlign w:val="center"/>
          </w:tcPr>
          <w:p>
            <w:pPr>
              <w:spacing w:line="240" w:lineRule="auto"/>
              <w:jc w:val="center"/>
              <w:rPr>
                <w:rFonts w:eastAsia="方正小标宋简体"/>
                <w:color w:val="FF0000"/>
                <w:sz w:val="66"/>
                <w:szCs w:val="66"/>
              </w:rPr>
            </w:pPr>
          </w:p>
        </w:tc>
      </w:tr>
    </w:tbl>
    <w:p>
      <w:pPr>
        <w:jc w:val="center"/>
        <w:rPr>
          <w:rFonts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1312;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ascii="方正小标宋_GBK" w:hAnsi="方正小标宋_GBK" w:eastAsia="方正小标宋_GBK"/>
        </w:rPr>
      </w:pPr>
    </w:p>
    <w:p>
      <w:pPr>
        <w:topLinePunct/>
        <w:jc w:val="center"/>
        <w:rPr>
          <w:rFonts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eastAsia="方正仿宋_GBK"/>
        </w:rPr>
      </w:pPr>
    </w:p>
    <w:p>
      <w:pPr>
        <w:widowControl/>
        <w:adjustRightInd/>
        <w:snapToGrid/>
        <w:rPr>
          <w:rFonts w:cs="宋体"/>
        </w:rPr>
      </w:pPr>
      <w:r>
        <w:rPr>
          <w:rFonts w:hint="eastAsia" w:cs="宋体"/>
        </w:rPr>
        <w:t>成都天府新区、高新区财政金融局，各区(市)县财政局，市级各部门、单位，各银行业金融机构：</w:t>
      </w:r>
    </w:p>
    <w:p>
      <w:pPr>
        <w:widowControl/>
        <w:adjustRightInd/>
        <w:snapToGrid/>
        <w:ind w:firstLine="480" w:firstLineChars="200"/>
        <w:rPr>
          <w:rFonts w:cs="宋体"/>
        </w:rPr>
      </w:pPr>
      <w:r>
        <w:rPr>
          <w:rFonts w:hint="eastAsia" w:cs="宋体"/>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rPr>
      </w:pPr>
      <w:r>
        <w:rPr>
          <w:rFonts w:hint="eastAsia" w:cs="宋体"/>
        </w:rPr>
        <w:t>一、高度重视、迅速行动</w:t>
      </w:r>
    </w:p>
    <w:p>
      <w:pPr>
        <w:widowControl/>
        <w:adjustRightInd/>
        <w:snapToGrid/>
        <w:ind w:firstLine="480" w:firstLineChars="200"/>
        <w:rPr>
          <w:rFonts w:cs="宋体"/>
        </w:rPr>
      </w:pPr>
      <w:r>
        <w:rPr>
          <w:rFonts w:hint="eastAsia" w:cs="宋体"/>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rPr>
      </w:pPr>
      <w:r>
        <w:rPr>
          <w:rFonts w:hint="eastAsia" w:cs="宋体"/>
        </w:rPr>
        <w:t>二、明确责任、压茬推进</w:t>
      </w:r>
    </w:p>
    <w:p>
      <w:pPr>
        <w:widowControl/>
        <w:adjustRightInd/>
        <w:snapToGrid/>
        <w:ind w:firstLine="480" w:firstLineChars="200"/>
        <w:rPr>
          <w:rFonts w:cs="宋体"/>
        </w:rPr>
      </w:pPr>
      <w:r>
        <w:rPr>
          <w:rFonts w:hint="eastAsia" w:cs="宋体"/>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rPr>
      </w:pPr>
      <w:r>
        <w:rPr>
          <w:rFonts w:hint="eastAsia" w:cs="宋体"/>
        </w:rPr>
        <w:t>三、优化服务、营造氛围</w:t>
      </w:r>
    </w:p>
    <w:p>
      <w:pPr>
        <w:widowControl/>
        <w:adjustRightInd/>
        <w:snapToGrid/>
        <w:ind w:firstLine="480" w:firstLineChars="200"/>
        <w:rPr>
          <w:rFonts w:cs="宋体"/>
        </w:rPr>
      </w:pPr>
      <w:r>
        <w:rPr>
          <w:rFonts w:hint="eastAsia" w:cs="宋体"/>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rPr>
      </w:pPr>
    </w:p>
    <w:p>
      <w:pPr>
        <w:widowControl/>
        <w:adjustRightInd/>
        <w:snapToGrid/>
        <w:ind w:firstLine="480" w:firstLineChars="200"/>
        <w:rPr>
          <w:rFonts w:cs="宋体"/>
        </w:rPr>
      </w:pPr>
      <w:r>
        <w:rPr>
          <w:rFonts w:hint="eastAsia" w:cs="宋体"/>
        </w:rPr>
        <w:t xml:space="preserve">附件：1．成都市中小企业政府采购信用融资暂行办法 </w:t>
      </w:r>
    </w:p>
    <w:p>
      <w:pPr>
        <w:widowControl/>
        <w:adjustRightInd/>
        <w:snapToGrid/>
        <w:ind w:firstLine="480" w:firstLineChars="200"/>
        <w:rPr>
          <w:rFonts w:cs="宋体"/>
        </w:rPr>
      </w:pPr>
      <w:r>
        <w:rPr>
          <w:rFonts w:hint="eastAsia" w:cs="宋体"/>
        </w:rPr>
        <w:t>2．成都市级支持中小企业政府采购信用融资实施方案</w:t>
      </w:r>
    </w:p>
    <w:p>
      <w:pPr>
        <w:pStyle w:val="12"/>
        <w:widowControl/>
        <w:topLinePunct/>
        <w:adjustRightInd/>
        <w:snapToGrid/>
        <w:ind w:firstLine="480" w:firstLineChars="200"/>
        <w:rPr>
          <w:rFonts w:ascii="宋体" w:eastAsia="宋体" w:cs="宋体"/>
          <w:sz w:val="24"/>
        </w:rPr>
      </w:pPr>
    </w:p>
    <w:p>
      <w:pPr>
        <w:pStyle w:val="12"/>
        <w:widowControl/>
        <w:topLinePunct/>
        <w:adjustRightInd/>
        <w:snapToGrid/>
        <w:ind w:firstLine="480" w:firstLineChars="200"/>
        <w:rPr>
          <w:rFonts w:ascii="宋体" w:eastAsia="宋体" w:cs="宋体"/>
          <w:sz w:val="24"/>
        </w:rPr>
      </w:pPr>
    </w:p>
    <w:p>
      <w:pPr>
        <w:pStyle w:val="12"/>
        <w:widowControl/>
        <w:topLinePunct/>
        <w:adjustRightInd/>
        <w:snapToGrid/>
        <w:ind w:firstLine="480" w:firstLineChars="200"/>
        <w:rPr>
          <w:rFonts w:ascii="宋体" w:eastAsia="宋体" w:cs="宋体"/>
          <w:sz w:val="24"/>
        </w:rPr>
      </w:pPr>
    </w:p>
    <w:p>
      <w:pPr>
        <w:widowControl/>
        <w:tabs>
          <w:tab w:val="left" w:pos="7584"/>
          <w:tab w:val="clear" w:pos="0"/>
        </w:tabs>
        <w:topLinePunct/>
        <w:adjustRightInd/>
        <w:snapToGrid/>
        <w:ind w:firstLine="480" w:firstLineChars="200"/>
        <w:jc w:val="right"/>
        <w:rPr>
          <w:rFonts w:cs="宋体"/>
        </w:rPr>
      </w:pPr>
      <w:r>
        <w:rPr>
          <w:rFonts w:hint="eastAsia" w:cs="宋体"/>
        </w:rPr>
        <w:t>成都市财政局         中国人民银行成都分行营业管理部</w:t>
      </w:r>
    </w:p>
    <w:p>
      <w:pPr>
        <w:widowControl/>
        <w:tabs>
          <w:tab w:val="left" w:pos="7584"/>
          <w:tab w:val="clear" w:pos="0"/>
        </w:tabs>
        <w:topLinePunct/>
        <w:adjustRightInd/>
        <w:snapToGrid/>
        <w:ind w:firstLine="480" w:firstLineChars="200"/>
        <w:jc w:val="right"/>
        <w:rPr>
          <w:rFonts w:cs="宋体"/>
        </w:rPr>
      </w:pPr>
      <w:r>
        <w:rPr>
          <w:rFonts w:hint="eastAsia" w:cs="宋体"/>
        </w:rPr>
        <w:t>2019年2月26日</w:t>
      </w:r>
    </w:p>
    <w:p>
      <w:pPr>
        <w:rPr>
          <w:rFonts w:cs="宋体"/>
        </w:rPr>
      </w:pPr>
      <w:r>
        <w:rPr>
          <w:rFonts w:hint="eastAsia" w:cs="宋体"/>
        </w:rPr>
        <w:br w:type="page"/>
      </w:r>
    </w:p>
    <w:p>
      <w:pPr>
        <w:topLinePunct/>
        <w:adjustRightInd/>
        <w:rPr>
          <w:rFonts w:cs="宋体"/>
        </w:rPr>
      </w:pPr>
      <w:r>
        <w:rPr>
          <w:rFonts w:hint="eastAsia" w:cs="宋体"/>
        </w:rPr>
        <w:t>附件1</w:t>
      </w:r>
    </w:p>
    <w:p>
      <w:pPr>
        <w:topLinePunct/>
        <w:adjustRightInd/>
        <w:rPr>
          <w:rFonts w:cs="宋体"/>
        </w:rPr>
      </w:pPr>
    </w:p>
    <w:p>
      <w:pPr>
        <w:topLinePunct/>
        <w:adjustRightInd/>
        <w:jc w:val="center"/>
        <w:rPr>
          <w:rFonts w:cs="宋体"/>
        </w:rPr>
      </w:pPr>
      <w:r>
        <w:rPr>
          <w:rFonts w:hint="eastAsia" w:cs="宋体"/>
        </w:rPr>
        <w:t>成都市中小企业</w:t>
      </w:r>
      <w:r>
        <w:rPr>
          <w:rFonts w:hint="eastAsia" w:cs="宋体"/>
          <w:color w:val="000000"/>
        </w:rPr>
        <w:t>政府采购信用融资暂行</w:t>
      </w:r>
      <w:r>
        <w:rPr>
          <w:rFonts w:hint="eastAsia" w:cs="宋体"/>
        </w:rPr>
        <w:t>办法</w:t>
      </w:r>
    </w:p>
    <w:p>
      <w:pPr>
        <w:topLinePunct/>
        <w:adjustRightInd/>
        <w:jc w:val="center"/>
        <w:rPr>
          <w:rFonts w:cs="宋体"/>
        </w:rPr>
      </w:pPr>
      <w:r>
        <w:rPr>
          <w:rFonts w:hint="eastAsia" w:cs="宋体"/>
        </w:rPr>
        <w:t>第一章  总  则</w:t>
      </w:r>
    </w:p>
    <w:p>
      <w:pPr>
        <w:topLinePunct/>
        <w:adjustRightInd/>
        <w:ind w:firstLine="480" w:firstLineChars="200"/>
        <w:rPr>
          <w:rFonts w:cs="宋体"/>
        </w:rPr>
      </w:pPr>
      <w:r>
        <w:rPr>
          <w:rFonts w:hint="eastAsia" w:cs="宋体"/>
        </w:rPr>
        <w:t>第一条(政策依据)</w:t>
      </w:r>
    </w:p>
    <w:p>
      <w:pPr>
        <w:topLinePunct/>
        <w:adjustRightInd/>
        <w:ind w:firstLine="480" w:firstLineChars="200"/>
        <w:rPr>
          <w:rFonts w:cs="宋体"/>
        </w:rPr>
      </w:pPr>
      <w:r>
        <w:rPr>
          <w:rFonts w:hint="eastAsia" w:cs="宋体"/>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rPr>
      </w:pPr>
      <w:r>
        <w:rPr>
          <w:rFonts w:hint="eastAsia" w:cs="宋体"/>
        </w:rPr>
        <w:t>第二条(适用范围)</w:t>
      </w:r>
    </w:p>
    <w:p>
      <w:pPr>
        <w:topLinePunct/>
        <w:adjustRightInd/>
        <w:ind w:firstLine="480" w:firstLineChars="200"/>
        <w:rPr>
          <w:rFonts w:cs="宋体"/>
        </w:rPr>
      </w:pPr>
      <w:r>
        <w:rPr>
          <w:rFonts w:hint="eastAsia" w:cs="宋体"/>
        </w:rPr>
        <w:t>成都市行政区域内政府采购信用融资适用本办法。</w:t>
      </w:r>
    </w:p>
    <w:p>
      <w:pPr>
        <w:topLinePunct/>
        <w:adjustRightInd/>
        <w:ind w:firstLine="480" w:firstLineChars="200"/>
        <w:rPr>
          <w:rFonts w:cs="宋体"/>
        </w:rPr>
      </w:pPr>
      <w:r>
        <w:rPr>
          <w:rFonts w:hint="eastAsia" w:cs="宋体"/>
        </w:rPr>
        <w:t>第三条(术语定义)</w:t>
      </w:r>
    </w:p>
    <w:p>
      <w:pPr>
        <w:topLinePunct/>
        <w:adjustRightInd/>
        <w:ind w:firstLine="480" w:firstLineChars="200"/>
        <w:rPr>
          <w:rFonts w:cs="宋体"/>
        </w:rPr>
      </w:pPr>
      <w:r>
        <w:rPr>
          <w:rFonts w:hint="eastAsia" w:cs="宋体"/>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rPr>
      </w:pPr>
      <w:r>
        <w:rPr>
          <w:rFonts w:hint="eastAsia" w:cs="宋体"/>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rPr>
      </w:pPr>
      <w:r>
        <w:rPr>
          <w:rFonts w:hint="eastAsia" w:cs="宋体"/>
        </w:rPr>
        <w:t>本办法所称中小企业，包括中型、小型及微型企业，其划型标准按照国家相关规定执行。</w:t>
      </w:r>
    </w:p>
    <w:p>
      <w:pPr>
        <w:topLinePunct/>
        <w:adjustRightInd/>
        <w:ind w:firstLine="480" w:firstLineChars="200"/>
        <w:rPr>
          <w:rFonts w:cs="宋体"/>
        </w:rPr>
      </w:pPr>
      <w:r>
        <w:rPr>
          <w:rFonts w:hint="eastAsia" w:cs="宋体"/>
        </w:rPr>
        <w:t>第四条(基本原则)</w:t>
      </w:r>
    </w:p>
    <w:p>
      <w:pPr>
        <w:topLinePunct/>
        <w:adjustRightInd/>
        <w:ind w:firstLine="480" w:firstLineChars="200"/>
        <w:rPr>
          <w:rFonts w:cs="宋体"/>
        </w:rPr>
      </w:pPr>
      <w:r>
        <w:rPr>
          <w:rFonts w:hint="eastAsia" w:cs="宋体"/>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rPr>
      </w:pPr>
      <w:r>
        <w:rPr>
          <w:rFonts w:hint="eastAsia" w:cs="宋体"/>
        </w:rPr>
        <w:t>第二章  融资优惠</w:t>
      </w:r>
    </w:p>
    <w:p>
      <w:pPr>
        <w:topLinePunct/>
        <w:adjustRightInd/>
        <w:ind w:firstLine="480" w:firstLineChars="200"/>
        <w:rPr>
          <w:rFonts w:cs="宋体"/>
        </w:rPr>
      </w:pPr>
      <w:r>
        <w:rPr>
          <w:rFonts w:hint="eastAsia" w:cs="宋体"/>
        </w:rPr>
        <w:t>第五条(融资方式)</w:t>
      </w:r>
    </w:p>
    <w:p>
      <w:pPr>
        <w:topLinePunct/>
        <w:adjustRightInd/>
        <w:ind w:firstLine="480" w:firstLineChars="200"/>
        <w:rPr>
          <w:rFonts w:cs="宋体"/>
        </w:rPr>
      </w:pPr>
      <w:r>
        <w:rPr>
          <w:rFonts w:hint="eastAsia" w:cs="宋体"/>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rPr>
      </w:pPr>
      <w:r>
        <w:rPr>
          <w:rFonts w:hint="eastAsia" w:cs="宋体"/>
        </w:rPr>
        <w:t>第六条(融资额度)</w:t>
      </w:r>
    </w:p>
    <w:p>
      <w:pPr>
        <w:topLinePunct/>
        <w:adjustRightInd/>
        <w:ind w:firstLine="480" w:firstLineChars="200"/>
        <w:rPr>
          <w:rFonts w:cs="宋体"/>
        </w:rPr>
      </w:pPr>
      <w:r>
        <w:rPr>
          <w:rFonts w:hint="eastAsia" w:cs="宋体"/>
        </w:rPr>
        <w:t>融资额度原则上不超过政府采购合同金额。</w:t>
      </w:r>
    </w:p>
    <w:p>
      <w:pPr>
        <w:topLinePunct/>
        <w:adjustRightInd/>
        <w:ind w:firstLine="480" w:firstLineChars="200"/>
        <w:rPr>
          <w:rFonts w:cs="宋体"/>
        </w:rPr>
      </w:pPr>
      <w:r>
        <w:rPr>
          <w:rFonts w:hint="eastAsia" w:cs="宋体"/>
        </w:rPr>
        <w:t>第七条(融资利率)</w:t>
      </w:r>
    </w:p>
    <w:p>
      <w:pPr>
        <w:topLinePunct/>
        <w:adjustRightInd/>
        <w:ind w:firstLine="480" w:firstLineChars="200"/>
        <w:rPr>
          <w:rFonts w:cs="宋体"/>
        </w:rPr>
      </w:pPr>
      <w:r>
        <w:rPr>
          <w:rFonts w:hint="eastAsia" w:cs="宋体"/>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rPr>
      </w:pPr>
      <w:r>
        <w:rPr>
          <w:rFonts w:hint="eastAsia" w:cs="宋体"/>
        </w:rPr>
        <w:t>第八条(融资期限)</w:t>
      </w:r>
    </w:p>
    <w:p>
      <w:pPr>
        <w:topLinePunct/>
        <w:adjustRightInd/>
        <w:ind w:firstLine="480" w:firstLineChars="200"/>
        <w:rPr>
          <w:rFonts w:cs="宋体"/>
        </w:rPr>
      </w:pPr>
      <w:r>
        <w:rPr>
          <w:rFonts w:hint="eastAsia" w:cs="宋体"/>
        </w:rPr>
        <w:t>融资期限原则上与政府采购合同履行期限一致。</w:t>
      </w:r>
    </w:p>
    <w:p>
      <w:pPr>
        <w:topLinePunct/>
        <w:adjustRightInd/>
        <w:ind w:firstLine="480" w:firstLineChars="200"/>
        <w:rPr>
          <w:rFonts w:cs="宋体"/>
        </w:rPr>
      </w:pPr>
      <w:r>
        <w:rPr>
          <w:rFonts w:hint="eastAsia" w:cs="宋体"/>
        </w:rPr>
        <w:t>第九条(融资效率)</w:t>
      </w:r>
    </w:p>
    <w:p>
      <w:pPr>
        <w:topLinePunct/>
        <w:adjustRightInd/>
        <w:ind w:firstLine="480" w:firstLineChars="200"/>
        <w:rPr>
          <w:rFonts w:cs="宋体"/>
        </w:rPr>
      </w:pPr>
      <w:r>
        <w:rPr>
          <w:rFonts w:hint="eastAsia" w:cs="宋体"/>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rPr>
      </w:pPr>
      <w:r>
        <w:rPr>
          <w:rFonts w:hint="eastAsia" w:cs="宋体"/>
        </w:rPr>
        <w:t>第十条(融资业务升级)</w:t>
      </w:r>
    </w:p>
    <w:p>
      <w:pPr>
        <w:topLinePunct/>
        <w:adjustRightInd/>
        <w:ind w:firstLine="480" w:firstLineChars="200"/>
        <w:rPr>
          <w:rFonts w:cs="宋体"/>
        </w:rPr>
      </w:pPr>
      <w:r>
        <w:rPr>
          <w:rFonts w:hint="eastAsia" w:cs="宋体"/>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rPr>
      </w:pPr>
      <w:r>
        <w:rPr>
          <w:rFonts w:hint="eastAsia" w:cs="宋体"/>
        </w:rPr>
        <w:t>第十一条(贷款风险补贴)</w:t>
      </w:r>
    </w:p>
    <w:p>
      <w:pPr>
        <w:topLinePunct/>
        <w:adjustRightInd/>
        <w:ind w:firstLine="480" w:firstLineChars="200"/>
        <w:rPr>
          <w:rFonts w:cs="宋体"/>
        </w:rPr>
      </w:pPr>
      <w:r>
        <w:rPr>
          <w:rFonts w:hint="eastAsia" w:cs="宋体"/>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rPr>
      </w:pPr>
      <w:r>
        <w:rPr>
          <w:rFonts w:hint="eastAsia" w:cs="宋体"/>
        </w:rPr>
        <w:t>第三章  融资流程</w:t>
      </w:r>
    </w:p>
    <w:p>
      <w:pPr>
        <w:topLinePunct/>
        <w:adjustRightInd/>
        <w:ind w:firstLine="480" w:firstLineChars="200"/>
        <w:rPr>
          <w:rFonts w:cs="宋体"/>
        </w:rPr>
      </w:pPr>
      <w:r>
        <w:rPr>
          <w:rFonts w:hint="eastAsia" w:cs="宋体"/>
        </w:rPr>
        <w:t>第十二条(融资流程)</w:t>
      </w:r>
    </w:p>
    <w:p>
      <w:pPr>
        <w:topLinePunct/>
        <w:adjustRightInd/>
        <w:ind w:firstLine="480" w:firstLineChars="200"/>
        <w:rPr>
          <w:rFonts w:cs="宋体"/>
        </w:rPr>
      </w:pPr>
      <w:r>
        <w:rPr>
          <w:rFonts w:hint="eastAsia" w:cs="宋体"/>
        </w:rPr>
        <w:t>(一)信息发布。采购人应当在发布的采购公告和采购文件中载明采购项目可提供信用融资的信息。</w:t>
      </w:r>
    </w:p>
    <w:p>
      <w:pPr>
        <w:topLinePunct/>
        <w:adjustRightInd/>
        <w:ind w:firstLine="480" w:firstLineChars="200"/>
        <w:rPr>
          <w:rFonts w:cs="宋体"/>
        </w:rPr>
      </w:pPr>
      <w:r>
        <w:rPr>
          <w:rFonts w:hint="eastAsia" w:cs="宋体"/>
        </w:rPr>
        <w:t>(二)融资申请。有融资需求的供应商自主选择提供政府采购信用融资服务的融资机构及产品，并按要求提供申请资料。</w:t>
      </w:r>
    </w:p>
    <w:p>
      <w:pPr>
        <w:topLinePunct/>
        <w:adjustRightInd/>
        <w:ind w:firstLine="480" w:firstLineChars="200"/>
        <w:rPr>
          <w:rFonts w:cs="宋体"/>
        </w:rPr>
      </w:pPr>
      <w:r>
        <w:rPr>
          <w:rFonts w:hint="eastAsia" w:cs="宋体"/>
        </w:rPr>
        <w:t>(三)融资审查。融资机构对供应商的融资申请进行审查，并向供应商反馈审查及融资额度等情况。</w:t>
      </w:r>
    </w:p>
    <w:p>
      <w:pPr>
        <w:topLinePunct/>
        <w:adjustRightInd/>
        <w:ind w:firstLine="480" w:firstLineChars="200"/>
        <w:rPr>
          <w:rFonts w:cs="宋体"/>
        </w:rPr>
      </w:pPr>
      <w:r>
        <w:rPr>
          <w:rFonts w:hint="eastAsia" w:cs="宋体"/>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rPr>
      </w:pPr>
      <w:r>
        <w:rPr>
          <w:rFonts w:hint="eastAsia" w:cs="宋体"/>
        </w:rPr>
        <w:t>(五)放款。融资机构对政府采购合同及融资相关信息进行确认，并向供应商提供相应的融资产品。</w:t>
      </w:r>
    </w:p>
    <w:p>
      <w:pPr>
        <w:topLinePunct/>
        <w:adjustRightInd/>
        <w:ind w:firstLine="480" w:firstLineChars="200"/>
        <w:rPr>
          <w:rFonts w:cs="宋体"/>
        </w:rPr>
      </w:pPr>
      <w:r>
        <w:rPr>
          <w:rFonts w:hint="eastAsia" w:cs="宋体"/>
        </w:rPr>
        <w:t>(六)贷款归还。采购人按相关规定和合同约定将合同资金支付至约定的唯一收款账户。</w:t>
      </w:r>
    </w:p>
    <w:p>
      <w:pPr>
        <w:topLinePunct/>
        <w:adjustRightInd/>
        <w:ind w:firstLine="480" w:firstLineChars="200"/>
        <w:jc w:val="center"/>
        <w:rPr>
          <w:rFonts w:cs="宋体"/>
        </w:rPr>
      </w:pPr>
      <w:r>
        <w:rPr>
          <w:rFonts w:hint="eastAsia" w:cs="宋体"/>
        </w:rPr>
        <w:t>第四章  职责分工</w:t>
      </w:r>
    </w:p>
    <w:p>
      <w:pPr>
        <w:topLinePunct/>
        <w:adjustRightInd/>
        <w:ind w:firstLine="480" w:firstLineChars="200"/>
        <w:rPr>
          <w:rFonts w:cs="宋体"/>
        </w:rPr>
      </w:pPr>
      <w:r>
        <w:rPr>
          <w:rFonts w:hint="eastAsia" w:cs="宋体"/>
        </w:rPr>
        <w:t>第十三条(财政部门职责)</w:t>
      </w:r>
    </w:p>
    <w:p>
      <w:pPr>
        <w:topLinePunct/>
        <w:adjustRightInd/>
        <w:ind w:firstLine="480" w:firstLineChars="200"/>
        <w:rPr>
          <w:rFonts w:cs="宋体"/>
        </w:rPr>
      </w:pPr>
      <w:r>
        <w:rPr>
          <w:rFonts w:hint="eastAsia" w:cs="宋体"/>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rPr>
      </w:pPr>
      <w:r>
        <w:rPr>
          <w:rFonts w:hint="eastAsia" w:cs="宋体"/>
        </w:rPr>
        <w:t>第十四条(融资机构主管部门职责)</w:t>
      </w:r>
    </w:p>
    <w:p>
      <w:pPr>
        <w:topLinePunct/>
        <w:adjustRightInd/>
        <w:ind w:firstLine="480" w:firstLineChars="200"/>
        <w:rPr>
          <w:rFonts w:cs="宋体"/>
        </w:rPr>
      </w:pPr>
      <w:r>
        <w:rPr>
          <w:rFonts w:hint="eastAsia" w:cs="宋体"/>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rPr>
      </w:pPr>
      <w:r>
        <w:rPr>
          <w:rFonts w:hint="eastAsia" w:cs="宋体"/>
        </w:rPr>
        <w:t>第十五条(采购人职责)</w:t>
      </w:r>
    </w:p>
    <w:p>
      <w:pPr>
        <w:topLinePunct/>
        <w:adjustRightInd/>
        <w:ind w:firstLine="480" w:firstLineChars="200"/>
        <w:rPr>
          <w:rFonts w:cs="宋体"/>
        </w:rPr>
      </w:pPr>
      <w:r>
        <w:rPr>
          <w:rFonts w:hint="eastAsia" w:cs="宋体"/>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rPr>
      </w:pPr>
      <w:r>
        <w:rPr>
          <w:rFonts w:hint="eastAsia" w:cs="宋体"/>
        </w:rPr>
        <w:t>第十六条(融资机构职责)</w:t>
      </w:r>
    </w:p>
    <w:p>
      <w:pPr>
        <w:topLinePunct/>
        <w:adjustRightInd/>
        <w:ind w:firstLine="480" w:firstLineChars="200"/>
        <w:rPr>
          <w:rFonts w:cs="宋体"/>
        </w:rPr>
      </w:pPr>
      <w:r>
        <w:rPr>
          <w:rFonts w:hint="eastAsia" w:cs="宋体"/>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rPr>
      </w:pPr>
      <w:r>
        <w:rPr>
          <w:rFonts w:hint="eastAsia" w:cs="宋体"/>
        </w:rPr>
        <w:t>第十七条(供应商职责)</w:t>
      </w:r>
    </w:p>
    <w:p>
      <w:pPr>
        <w:topLinePunct/>
        <w:adjustRightInd/>
        <w:ind w:firstLine="480" w:firstLineChars="200"/>
        <w:rPr>
          <w:rFonts w:cs="宋体"/>
        </w:rPr>
      </w:pPr>
      <w:r>
        <w:rPr>
          <w:rFonts w:hint="eastAsia" w:cs="宋体"/>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rPr>
      </w:pPr>
      <w:r>
        <w:rPr>
          <w:rFonts w:hint="eastAsia" w:cs="宋体"/>
        </w:rPr>
        <w:t>第五章 监督管理</w:t>
      </w:r>
    </w:p>
    <w:p>
      <w:pPr>
        <w:topLinePunct/>
        <w:adjustRightInd/>
        <w:ind w:firstLine="480" w:firstLineChars="200"/>
        <w:rPr>
          <w:rFonts w:cs="宋体"/>
        </w:rPr>
      </w:pPr>
      <w:r>
        <w:rPr>
          <w:rFonts w:hint="eastAsia" w:cs="宋体"/>
        </w:rPr>
        <w:t>第十八条(采购人监管)</w:t>
      </w:r>
    </w:p>
    <w:p>
      <w:pPr>
        <w:topLinePunct/>
        <w:adjustRightInd/>
        <w:ind w:firstLine="480" w:firstLineChars="200"/>
        <w:rPr>
          <w:rFonts w:cs="宋体"/>
        </w:rPr>
      </w:pPr>
      <w:r>
        <w:rPr>
          <w:rFonts w:hint="eastAsia" w:cs="宋体"/>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rPr>
      </w:pPr>
      <w:r>
        <w:rPr>
          <w:rFonts w:hint="eastAsia" w:cs="宋体"/>
        </w:rPr>
        <w:t>第十九条(融资机构监管)</w:t>
      </w:r>
    </w:p>
    <w:p>
      <w:pPr>
        <w:topLinePunct/>
        <w:adjustRightInd/>
        <w:ind w:firstLine="480" w:firstLineChars="200"/>
        <w:rPr>
          <w:rFonts w:cs="宋体"/>
        </w:rPr>
      </w:pPr>
      <w:r>
        <w:rPr>
          <w:rFonts w:hint="eastAsia" w:cs="宋体"/>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rPr>
      </w:pPr>
      <w:r>
        <w:rPr>
          <w:rFonts w:hint="eastAsia" w:cs="宋体"/>
        </w:rPr>
        <w:t>第二十条(供应商监管)</w:t>
      </w:r>
    </w:p>
    <w:p>
      <w:pPr>
        <w:topLinePunct/>
        <w:adjustRightInd/>
        <w:ind w:firstLine="480" w:firstLineChars="200"/>
        <w:rPr>
          <w:rFonts w:cs="宋体"/>
        </w:rPr>
      </w:pPr>
      <w:r>
        <w:rPr>
          <w:rFonts w:hint="eastAsia" w:cs="宋体"/>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rPr>
      </w:pPr>
      <w:r>
        <w:rPr>
          <w:rFonts w:hint="eastAsia" w:cs="宋体"/>
        </w:rPr>
        <w:t>第二十一条</w:t>
      </w:r>
      <w:bookmarkStart w:id="543" w:name="BM24558847_25425864_3"/>
      <w:bookmarkEnd w:id="543"/>
      <w:r>
        <w:rPr>
          <w:rFonts w:hint="eastAsia" w:cs="宋体"/>
        </w:rPr>
        <w:t>(相关单位及工作人员监管)</w:t>
      </w:r>
    </w:p>
    <w:p>
      <w:pPr>
        <w:topLinePunct/>
        <w:adjustRightInd/>
        <w:ind w:firstLine="480" w:firstLineChars="200"/>
        <w:rPr>
          <w:rFonts w:cs="宋体"/>
        </w:rPr>
      </w:pPr>
      <w:r>
        <w:rPr>
          <w:rFonts w:hint="eastAsia" w:cs="宋体"/>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rPr>
      </w:pPr>
      <w:r>
        <w:rPr>
          <w:rFonts w:hint="eastAsia" w:cs="宋体"/>
        </w:rPr>
        <w:t>第六章  附  则</w:t>
      </w:r>
    </w:p>
    <w:p>
      <w:pPr>
        <w:topLinePunct/>
        <w:adjustRightInd/>
        <w:ind w:firstLine="480" w:firstLineChars="200"/>
        <w:rPr>
          <w:rFonts w:cs="宋体"/>
        </w:rPr>
      </w:pPr>
      <w:r>
        <w:rPr>
          <w:rFonts w:hint="eastAsia" w:cs="宋体"/>
        </w:rPr>
        <w:t>第二十二条(解释相关)</w:t>
      </w:r>
    </w:p>
    <w:p>
      <w:pPr>
        <w:topLinePunct/>
        <w:adjustRightInd/>
        <w:ind w:firstLine="480" w:firstLineChars="200"/>
        <w:rPr>
          <w:rFonts w:cs="宋体"/>
        </w:rPr>
      </w:pPr>
      <w:r>
        <w:rPr>
          <w:rFonts w:hint="eastAsia" w:cs="宋体"/>
        </w:rPr>
        <w:t>本办法由市财政局会同中国人民银行成都分行营业管理部负责解释。</w:t>
      </w:r>
    </w:p>
    <w:p>
      <w:pPr>
        <w:topLinePunct/>
        <w:adjustRightInd/>
        <w:ind w:firstLine="480" w:firstLineChars="200"/>
        <w:rPr>
          <w:rFonts w:cs="宋体"/>
        </w:rPr>
      </w:pPr>
      <w:r>
        <w:rPr>
          <w:rFonts w:hint="eastAsia" w:cs="宋体"/>
        </w:rPr>
        <w:t>第二十三条(施行相关)</w:t>
      </w:r>
    </w:p>
    <w:p>
      <w:pPr>
        <w:topLinePunct/>
        <w:adjustRightInd/>
        <w:ind w:firstLine="480" w:firstLineChars="200"/>
        <w:rPr>
          <w:rFonts w:cs="宋体"/>
        </w:rPr>
      </w:pPr>
      <w:r>
        <w:rPr>
          <w:rFonts w:hint="eastAsia" w:cs="宋体"/>
        </w:rPr>
        <w:t>本办法自印发之日起施行。市财政局、市金融办2013年12月9日印发的《关于开展中小企业政府采购信用担保及融资试点工作的通知》(成财采〔2013〕200号)同时废止。</w:t>
      </w:r>
    </w:p>
    <w:p>
      <w:pPr>
        <w:rPr>
          <w:rFonts w:cs="宋体"/>
        </w:rPr>
      </w:pPr>
      <w:r>
        <w:rPr>
          <w:rFonts w:hint="eastAsia" w:cs="宋体"/>
        </w:rPr>
        <w:br w:type="page"/>
      </w:r>
    </w:p>
    <w:p>
      <w:pPr>
        <w:topLinePunct/>
        <w:adjustRightInd/>
        <w:rPr>
          <w:rFonts w:cs="宋体"/>
        </w:rPr>
      </w:pPr>
      <w:r>
        <w:rPr>
          <w:rFonts w:hint="eastAsia" w:cs="宋体"/>
        </w:rPr>
        <w:t>附件2</w:t>
      </w:r>
    </w:p>
    <w:p>
      <w:pPr>
        <w:topLinePunct/>
        <w:adjustRightInd/>
        <w:ind w:firstLine="480" w:firstLineChars="200"/>
        <w:rPr>
          <w:rFonts w:cs="宋体"/>
        </w:rPr>
      </w:pPr>
    </w:p>
    <w:p>
      <w:pPr>
        <w:topLinePunct/>
        <w:adjustRightInd/>
        <w:jc w:val="center"/>
        <w:rPr>
          <w:rFonts w:cs="宋体"/>
        </w:rPr>
      </w:pPr>
      <w:r>
        <w:rPr>
          <w:rFonts w:hint="eastAsia" w:cs="宋体"/>
        </w:rPr>
        <w:t>成都市级支持中小企业政府采购</w:t>
      </w:r>
    </w:p>
    <w:p>
      <w:pPr>
        <w:topLinePunct/>
        <w:adjustRightInd/>
        <w:jc w:val="center"/>
        <w:rPr>
          <w:rFonts w:cs="宋体"/>
        </w:rPr>
      </w:pPr>
      <w:r>
        <w:rPr>
          <w:rFonts w:hint="eastAsia" w:cs="宋体"/>
        </w:rPr>
        <w:t>信用融资实施方案</w:t>
      </w:r>
    </w:p>
    <w:p>
      <w:pPr>
        <w:topLinePunct/>
        <w:adjustRightInd/>
        <w:ind w:firstLine="480" w:firstLineChars="200"/>
        <w:rPr>
          <w:rFonts w:cs="宋体"/>
        </w:rPr>
      </w:pPr>
    </w:p>
    <w:p>
      <w:pPr>
        <w:topLinePunct/>
        <w:adjustRightInd/>
        <w:ind w:firstLine="480" w:firstLineChars="200"/>
        <w:rPr>
          <w:rFonts w:cs="宋体"/>
        </w:rPr>
      </w:pPr>
      <w:r>
        <w:rPr>
          <w:rFonts w:hint="eastAsia" w:cs="宋体"/>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rPr>
      </w:pPr>
      <w:r>
        <w:rPr>
          <w:rFonts w:hint="eastAsia" w:cs="宋体"/>
        </w:rPr>
        <w:t>一、目标任务</w:t>
      </w:r>
    </w:p>
    <w:p>
      <w:pPr>
        <w:topLinePunct/>
        <w:adjustRightInd/>
        <w:ind w:firstLine="480" w:firstLineChars="200"/>
        <w:rPr>
          <w:rFonts w:cs="宋体"/>
        </w:rPr>
      </w:pPr>
      <w:r>
        <w:rPr>
          <w:rFonts w:hint="eastAsia" w:cs="宋体"/>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rPr>
      </w:pPr>
      <w:r>
        <w:rPr>
          <w:rFonts w:hint="eastAsia" w:cs="宋体"/>
        </w:rPr>
        <w:t>二、适用范围</w:t>
      </w:r>
    </w:p>
    <w:p>
      <w:pPr>
        <w:topLinePunct/>
        <w:adjustRightInd/>
        <w:ind w:firstLine="480" w:firstLineChars="200"/>
        <w:rPr>
          <w:rFonts w:cs="宋体"/>
        </w:rPr>
      </w:pPr>
      <w:r>
        <w:rPr>
          <w:rFonts w:hint="eastAsia" w:cs="宋体"/>
        </w:rPr>
        <w:t>本《实施方案》适用于成都市本级政府采购信用融资工作。</w:t>
      </w:r>
    </w:p>
    <w:p>
      <w:pPr>
        <w:topLinePunct/>
        <w:adjustRightInd/>
        <w:ind w:firstLine="480" w:firstLineChars="200"/>
        <w:rPr>
          <w:rFonts w:cs="宋体"/>
        </w:rPr>
      </w:pPr>
      <w:r>
        <w:rPr>
          <w:rFonts w:hint="eastAsia" w:cs="宋体"/>
        </w:rPr>
        <w:t xml:space="preserve">三、基本原则 </w:t>
      </w:r>
    </w:p>
    <w:p>
      <w:pPr>
        <w:topLinePunct/>
        <w:adjustRightInd/>
        <w:ind w:firstLine="480" w:firstLineChars="200"/>
        <w:rPr>
          <w:rFonts w:cs="宋体"/>
        </w:rPr>
      </w:pPr>
      <w:r>
        <w:rPr>
          <w:rFonts w:hint="eastAsia" w:cs="宋体"/>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rPr>
      </w:pPr>
      <w:r>
        <w:rPr>
          <w:rFonts w:hint="eastAsia" w:cs="宋体"/>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rPr>
      </w:pPr>
      <w:r>
        <w:rPr>
          <w:rFonts w:hint="eastAsia" w:cs="宋体"/>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rPr>
      </w:pPr>
      <w:r>
        <w:rPr>
          <w:rFonts w:hint="eastAsia" w:cs="宋体"/>
        </w:rPr>
        <w:t>四、组织实施</w:t>
      </w:r>
    </w:p>
    <w:p>
      <w:pPr>
        <w:topLinePunct/>
        <w:adjustRightInd/>
        <w:ind w:firstLine="480" w:firstLineChars="200"/>
        <w:rPr>
          <w:rFonts w:cs="宋体"/>
        </w:rPr>
      </w:pPr>
      <w:r>
        <w:rPr>
          <w:rFonts w:hint="eastAsia" w:cs="宋体"/>
        </w:rPr>
        <w:t>(一)宣传动员</w:t>
      </w:r>
    </w:p>
    <w:p>
      <w:pPr>
        <w:topLinePunct/>
        <w:adjustRightInd/>
        <w:ind w:firstLine="480" w:firstLineChars="200"/>
        <w:rPr>
          <w:rFonts w:cs="宋体"/>
          <w:color w:val="000000"/>
        </w:rPr>
      </w:pPr>
      <w:r>
        <w:rPr>
          <w:rFonts w:hint="eastAsia" w:cs="宋体"/>
        </w:rPr>
        <w:t>相关部门和单位采取多种方式积极宣传《暂行办法》和《实</w:t>
      </w:r>
      <w:r>
        <w:rPr>
          <w:rFonts w:hint="eastAsia" w:cs="宋体"/>
          <w:color w:val="000000"/>
        </w:rPr>
        <w:t>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rPr>
      </w:pPr>
      <w:r>
        <w:rPr>
          <w:rFonts w:hint="eastAsia" w:cs="宋体"/>
        </w:rPr>
        <w:t>(二)融资机构选择</w:t>
      </w:r>
    </w:p>
    <w:p>
      <w:pPr>
        <w:topLinePunct/>
        <w:adjustRightInd/>
        <w:ind w:firstLine="480" w:firstLineChars="200"/>
        <w:rPr>
          <w:rFonts w:cs="宋体"/>
          <w:color w:val="000000"/>
        </w:rPr>
      </w:pPr>
      <w:r>
        <w:rPr>
          <w:rFonts w:hint="eastAsia" w:cs="宋体"/>
          <w:color w:val="000000"/>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color w:val="000000"/>
        </w:rPr>
      </w:pPr>
      <w:r>
        <w:rPr>
          <w:rFonts w:hint="eastAsia" w:cs="宋体"/>
          <w:color w:val="000000"/>
        </w:rPr>
        <w:t>(1)融资机构基本情况；</w:t>
      </w:r>
    </w:p>
    <w:p>
      <w:pPr>
        <w:topLinePunct/>
        <w:adjustRightInd/>
        <w:ind w:firstLine="480" w:firstLineChars="200"/>
        <w:rPr>
          <w:rFonts w:cs="宋体"/>
          <w:color w:val="000000"/>
        </w:rPr>
      </w:pPr>
      <w:r>
        <w:rPr>
          <w:rFonts w:hint="eastAsia" w:cs="宋体"/>
          <w:color w:val="000000"/>
        </w:rPr>
        <w:t>(2)政府采购信用融资实施方案(包括授信政策、融资产品、贷款利率及其它优惠措施、业务流程及各环节办结时间、联系方式等)；</w:t>
      </w:r>
    </w:p>
    <w:p>
      <w:pPr>
        <w:topLinePunct/>
        <w:adjustRightInd/>
        <w:ind w:firstLine="480" w:firstLineChars="200"/>
        <w:rPr>
          <w:rFonts w:cs="宋体"/>
          <w:color w:val="000000"/>
        </w:rPr>
      </w:pPr>
      <w:r>
        <w:rPr>
          <w:rFonts w:hint="eastAsia" w:cs="宋体"/>
          <w:color w:val="000000"/>
        </w:rPr>
        <w:t>(3)关于遵照《暂行办法》和《实施方案》开展政府采购信用融资业务的承诺；</w:t>
      </w:r>
    </w:p>
    <w:p>
      <w:pPr>
        <w:topLinePunct/>
        <w:adjustRightInd/>
        <w:ind w:firstLine="480" w:firstLineChars="200"/>
        <w:rPr>
          <w:rFonts w:cs="宋体"/>
          <w:color w:val="000000"/>
        </w:rPr>
      </w:pPr>
      <w:r>
        <w:rPr>
          <w:rFonts w:hint="eastAsia" w:cs="宋体"/>
          <w:color w:val="000000"/>
        </w:rPr>
        <w:t>(4)关于政府采购信用融资业务风险及系统对接研发费用自行承担的承诺。</w:t>
      </w:r>
    </w:p>
    <w:p>
      <w:pPr>
        <w:topLinePunct/>
        <w:adjustRightInd/>
        <w:ind w:firstLine="480" w:firstLineChars="200"/>
        <w:rPr>
          <w:rFonts w:cs="宋体"/>
          <w:color w:val="000000"/>
        </w:rPr>
      </w:pPr>
      <w:r>
        <w:rPr>
          <w:rFonts w:hint="eastAsia" w:cs="宋体"/>
          <w:color w:val="000000"/>
        </w:rPr>
        <w:t>2．系统对接。融资机构成功报名后，须按要求完成政府采购信用融资业务与成都市政府采购监督管理系统的技术对接。</w:t>
      </w:r>
    </w:p>
    <w:p>
      <w:pPr>
        <w:topLinePunct/>
        <w:adjustRightInd/>
        <w:ind w:firstLine="480" w:firstLineChars="200"/>
        <w:rPr>
          <w:rFonts w:cs="宋体"/>
          <w:color w:val="000000"/>
        </w:rPr>
      </w:pPr>
      <w:r>
        <w:rPr>
          <w:rFonts w:hint="eastAsia" w:cs="宋体"/>
          <w:color w:val="000000"/>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rPr>
      </w:pPr>
      <w:r>
        <w:rPr>
          <w:rFonts w:hint="eastAsia" w:cs="宋体"/>
        </w:rPr>
        <w:t>(三)其他事项</w:t>
      </w:r>
    </w:p>
    <w:p>
      <w:pPr>
        <w:topLinePunct/>
        <w:adjustRightInd/>
        <w:ind w:firstLine="480" w:firstLineChars="200"/>
        <w:rPr>
          <w:rFonts w:cs="宋体"/>
          <w:color w:val="000000"/>
        </w:rPr>
      </w:pPr>
      <w:r>
        <w:rPr>
          <w:rFonts w:hint="eastAsia" w:cs="宋体"/>
          <w:color w:val="000000"/>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rPr>
      </w:pPr>
      <w:r>
        <w:rPr>
          <w:rFonts w:hint="eastAsia" w:cs="宋体"/>
        </w:rPr>
        <w:t>五、相关要求</w:t>
      </w:r>
    </w:p>
    <w:p>
      <w:pPr>
        <w:topLinePunct/>
        <w:adjustRightInd/>
        <w:ind w:firstLine="480" w:firstLineChars="200"/>
        <w:rPr>
          <w:rFonts w:cs="宋体"/>
        </w:rPr>
      </w:pPr>
      <w:r>
        <w:rPr>
          <w:rFonts w:hint="eastAsia" w:cs="宋体"/>
        </w:rPr>
        <w:t>(一)加强组织领导。</w:t>
      </w:r>
      <w:r>
        <w:rPr>
          <w:rFonts w:hint="eastAsia" w:cs="宋体"/>
          <w:color w:val="000000"/>
          <w:kern w:val="0"/>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rPr>
        <w:t>全面、有序、科学推进政府采购信用融资工作。</w:t>
      </w:r>
    </w:p>
    <w:p>
      <w:pPr>
        <w:topLinePunct/>
        <w:adjustRightInd/>
        <w:ind w:firstLine="480" w:firstLineChars="200"/>
        <w:rPr>
          <w:rFonts w:cs="宋体"/>
        </w:rPr>
      </w:pPr>
      <w:r>
        <w:rPr>
          <w:rFonts w:hint="eastAsia" w:cs="宋体"/>
        </w:rPr>
        <w:t>(二)注重协调配合。</w:t>
      </w:r>
      <w:r>
        <w:rPr>
          <w:rFonts w:hint="eastAsia" w:cs="宋体"/>
          <w:color w:val="000000"/>
          <w:kern w:val="0"/>
        </w:rPr>
        <w:t>市财政局、中国人民银行成都分行营业管理部及采购人</w:t>
      </w:r>
      <w:r>
        <w:rPr>
          <w:rFonts w:hint="eastAsia" w:cs="宋体"/>
        </w:rPr>
        <w:t>等有关单位要根据职责任务，及时协调解决工作中遇到的困难和问题，积极</w:t>
      </w:r>
      <w:r>
        <w:rPr>
          <w:rFonts w:hint="eastAsia" w:cs="宋体"/>
          <w:color w:val="000000"/>
          <w:kern w:val="0"/>
        </w:rPr>
        <w:t>创造条件主动服务，帮助有融资需求、符合条件的供应商实现政府采购信用融资，促进中小企业又好又快发展</w:t>
      </w:r>
      <w:r>
        <w:rPr>
          <w:rFonts w:hint="eastAsia" w:cs="宋体"/>
        </w:rPr>
        <w:t>。</w:t>
      </w:r>
    </w:p>
    <w:p>
      <w:pPr>
        <w:topLinePunct/>
        <w:adjustRightInd/>
        <w:ind w:firstLine="480" w:firstLineChars="200"/>
        <w:rPr>
          <w:rFonts w:cs="宋体"/>
        </w:rPr>
      </w:pPr>
      <w:r>
        <w:rPr>
          <w:rFonts w:hint="eastAsia" w:cs="宋体"/>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ind w:firstLine="482"/>
        <w:outlineLvl w:val="1"/>
        <w:rPr>
          <w:highlight w:val="red"/>
        </w:rPr>
      </w:pPr>
    </w:p>
    <w:p>
      <w:pPr>
        <w:pStyle w:val="43"/>
        <w:ind w:firstLine="482"/>
      </w:pPr>
    </w:p>
    <w:sectPr>
      <w:footerReference r:id="rId15" w:type="first"/>
      <w:footerReference r:id="rId14"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5"/>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62336" behindDoc="0" locked="0" layoutInCell="1" allowOverlap="1">
          <wp:simplePos x="0" y="0"/>
          <wp:positionH relativeFrom="column">
            <wp:posOffset>102235</wp:posOffset>
          </wp:positionH>
          <wp:positionV relativeFrom="paragraph">
            <wp:posOffset>-29210</wp:posOffset>
          </wp:positionV>
          <wp:extent cx="317500" cy="336550"/>
          <wp:effectExtent l="0" t="0" r="6350" b="635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2"/>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2DE0908"/>
    <w:multiLevelType w:val="singleLevel"/>
    <w:tmpl w:val="C2DE0908"/>
    <w:lvl w:ilvl="0" w:tentative="0">
      <w:start w:val="1"/>
      <w:numFmt w:val="decimal"/>
      <w:lvlText w:val="%1."/>
      <w:lvlJc w:val="left"/>
      <w:pPr>
        <w:tabs>
          <w:tab w:val="left" w:pos="312"/>
        </w:tabs>
      </w:pPr>
    </w:lvl>
  </w:abstractNum>
  <w:abstractNum w:abstractNumId="5">
    <w:nsid w:val="C7F53590"/>
    <w:multiLevelType w:val="multilevel"/>
    <w:tmpl w:val="C7F53590"/>
    <w:lvl w:ilvl="0" w:tentative="0">
      <w:start w:val="1"/>
      <w:numFmt w:val="decimal"/>
      <w:pStyle w:val="35"/>
      <w:suff w:val="nothing"/>
      <w:lvlText w:val="%1."/>
      <w:lvlJc w:val="left"/>
      <w:pPr>
        <w:tabs>
          <w:tab w:val="left" w:pos="420"/>
        </w:tabs>
        <w:ind w:left="0" w:firstLine="0"/>
      </w:pPr>
      <w:rPr>
        <w:rFonts w:hint="default" w:ascii="宋体" w:hAnsi="宋体" w:eastAsia="宋体" w:cs="宋体"/>
      </w:rPr>
    </w:lvl>
    <w:lvl w:ilvl="1" w:tentative="0">
      <w:start w:val="1"/>
      <w:numFmt w:val="decimal"/>
      <w:pStyle w:val="36"/>
      <w:suff w:val="nothing"/>
      <w:lvlText w:val="%1.%2"/>
      <w:lvlJc w:val="left"/>
      <w:pPr>
        <w:tabs>
          <w:tab w:val="left" w:pos="420"/>
        </w:tabs>
        <w:ind w:left="0" w:firstLine="0"/>
      </w:pPr>
      <w:rPr>
        <w:rFonts w:hint="default" w:ascii="宋体" w:hAnsi="宋体" w:eastAsia="宋体" w:cs="宋体"/>
      </w:rPr>
    </w:lvl>
    <w:lvl w:ilvl="2" w:tentative="0">
      <w:start w:val="1"/>
      <w:numFmt w:val="decimal"/>
      <w:pStyle w:val="37"/>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6"/>
      <w:suff w:val="nothing"/>
      <w:lvlText w:val="(%1)"/>
      <w:lvlJc w:val="left"/>
      <w:pPr>
        <w:ind w:left="0" w:firstLine="0"/>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185FAEE9"/>
    <w:multiLevelType w:val="singleLevel"/>
    <w:tmpl w:val="185FAEE9"/>
    <w:lvl w:ilvl="0" w:tentative="0">
      <w:start w:val="1"/>
      <w:numFmt w:val="chineseCounting"/>
      <w:suff w:val="nothing"/>
      <w:lvlText w:val="（%1）"/>
      <w:lvlJc w:val="left"/>
      <w:pPr>
        <w:ind w:left="0" w:firstLine="420"/>
      </w:pPr>
      <w:rPr>
        <w:rFonts w:hint="eastAsia"/>
      </w:rPr>
    </w:lvl>
  </w:abstractNum>
  <w:abstractNum w:abstractNumId="13">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4">
    <w:nsid w:val="3C10C3C5"/>
    <w:multiLevelType w:val="singleLevel"/>
    <w:tmpl w:val="3C10C3C5"/>
    <w:lvl w:ilvl="0" w:tentative="0">
      <w:start w:val="1"/>
      <w:numFmt w:val="decimal"/>
      <w:lvlText w:val="%1."/>
      <w:lvlJc w:val="left"/>
      <w:pPr>
        <w:tabs>
          <w:tab w:val="left" w:pos="312"/>
        </w:tabs>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3EBF1EF1"/>
    <w:multiLevelType w:val="singleLevel"/>
    <w:tmpl w:val="3EBF1EF1"/>
    <w:lvl w:ilvl="0" w:tentative="0">
      <w:start w:val="1"/>
      <w:numFmt w:val="decimal"/>
      <w:lvlText w:val="%1."/>
      <w:lvlJc w:val="left"/>
      <w:pPr>
        <w:tabs>
          <w:tab w:val="left" w:pos="312"/>
        </w:tabs>
      </w:pPr>
    </w:lvl>
  </w:abstractNum>
  <w:abstractNum w:abstractNumId="17">
    <w:nsid w:val="5912557E"/>
    <w:multiLevelType w:val="singleLevel"/>
    <w:tmpl w:val="5912557E"/>
    <w:lvl w:ilvl="0" w:tentative="0">
      <w:start w:val="1"/>
      <w:numFmt w:val="chineseCounting"/>
      <w:suff w:val="nothing"/>
      <w:lvlText w:val="%1、"/>
      <w:lvlJc w:val="left"/>
      <w:rPr>
        <w:rFonts w:hint="eastAsia"/>
      </w:rPr>
    </w:lvl>
  </w:abstractNum>
  <w:abstractNum w:abstractNumId="18">
    <w:nsid w:val="5E0AF3CE"/>
    <w:multiLevelType w:val="singleLevel"/>
    <w:tmpl w:val="5E0AF3CE"/>
    <w:lvl w:ilvl="0" w:tentative="0">
      <w:start w:val="1"/>
      <w:numFmt w:val="decimal"/>
      <w:lvlText w:val="%1."/>
      <w:lvlJc w:val="left"/>
      <w:pPr>
        <w:tabs>
          <w:tab w:val="left" w:pos="312"/>
        </w:tabs>
      </w:pPr>
    </w:lvl>
  </w:abstractNum>
  <w:abstractNum w:abstractNumId="19">
    <w:nsid w:val="60C06280"/>
    <w:multiLevelType w:val="singleLevel"/>
    <w:tmpl w:val="60C06280"/>
    <w:lvl w:ilvl="0" w:tentative="0">
      <w:start w:val="1"/>
      <w:numFmt w:val="chineseCounting"/>
      <w:suff w:val="nothing"/>
      <w:lvlText w:val="%1、"/>
      <w:lvlJc w:val="left"/>
    </w:lvl>
  </w:abstractNum>
  <w:abstractNum w:abstractNumId="20">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9"/>
  </w:num>
  <w:num w:numId="2">
    <w:abstractNumId w:val="15"/>
  </w:num>
  <w:num w:numId="3">
    <w:abstractNumId w:val="3"/>
  </w:num>
  <w:num w:numId="4">
    <w:abstractNumId w:val="5"/>
  </w:num>
  <w:num w:numId="5">
    <w:abstractNumId w:val="2"/>
  </w:num>
  <w:num w:numId="6">
    <w:abstractNumId w:val="6"/>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17"/>
  </w:num>
  <w:num w:numId="12">
    <w:abstractNumId w:val="11"/>
  </w:num>
  <w:num w:numId="13">
    <w:abstractNumId w:val="8"/>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KYOHaP8vIoD0Q4uGaOBLZ0lCrIc=" w:salt="ejpjgtG8zk8W5LV/VChxGA=="/>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00A"/>
    <w:rsid w:val="000168D4"/>
    <w:rsid w:val="000504D4"/>
    <w:rsid w:val="00050929"/>
    <w:rsid w:val="00071F90"/>
    <w:rsid w:val="00080967"/>
    <w:rsid w:val="0008128E"/>
    <w:rsid w:val="00083410"/>
    <w:rsid w:val="00083A85"/>
    <w:rsid w:val="000A22EE"/>
    <w:rsid w:val="000D7DD0"/>
    <w:rsid w:val="000E2B1C"/>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C0CA7"/>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D088E"/>
    <w:rsid w:val="006E53FE"/>
    <w:rsid w:val="006F6EF3"/>
    <w:rsid w:val="00722E70"/>
    <w:rsid w:val="00735F80"/>
    <w:rsid w:val="0074524D"/>
    <w:rsid w:val="00784579"/>
    <w:rsid w:val="007A012F"/>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0AE4"/>
    <w:rsid w:val="00A837A5"/>
    <w:rsid w:val="00A95C07"/>
    <w:rsid w:val="00AA4C47"/>
    <w:rsid w:val="00AA51C1"/>
    <w:rsid w:val="00AA7BAD"/>
    <w:rsid w:val="00AB65CA"/>
    <w:rsid w:val="00AB67D8"/>
    <w:rsid w:val="00AC2F78"/>
    <w:rsid w:val="00AC5E59"/>
    <w:rsid w:val="00AF3998"/>
    <w:rsid w:val="00B07B2E"/>
    <w:rsid w:val="00B213A3"/>
    <w:rsid w:val="00B27596"/>
    <w:rsid w:val="00B31CC3"/>
    <w:rsid w:val="00B42428"/>
    <w:rsid w:val="00B44B56"/>
    <w:rsid w:val="00BA69F4"/>
    <w:rsid w:val="00BA6D13"/>
    <w:rsid w:val="00BB299F"/>
    <w:rsid w:val="00BE1766"/>
    <w:rsid w:val="00BF4E9E"/>
    <w:rsid w:val="00BF5BD7"/>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2D2FEA"/>
    <w:rsid w:val="013D1C8A"/>
    <w:rsid w:val="013F0F7C"/>
    <w:rsid w:val="01464694"/>
    <w:rsid w:val="014861F8"/>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2132164"/>
    <w:rsid w:val="02195753"/>
    <w:rsid w:val="022117A3"/>
    <w:rsid w:val="022D7471"/>
    <w:rsid w:val="023372E3"/>
    <w:rsid w:val="02362CC5"/>
    <w:rsid w:val="024669DA"/>
    <w:rsid w:val="02676F4A"/>
    <w:rsid w:val="026D704D"/>
    <w:rsid w:val="02735026"/>
    <w:rsid w:val="027655B6"/>
    <w:rsid w:val="02792F82"/>
    <w:rsid w:val="02825F13"/>
    <w:rsid w:val="028430AA"/>
    <w:rsid w:val="028879D9"/>
    <w:rsid w:val="028B165D"/>
    <w:rsid w:val="02A14D74"/>
    <w:rsid w:val="02B43DAD"/>
    <w:rsid w:val="02BC4E5F"/>
    <w:rsid w:val="02DC1FED"/>
    <w:rsid w:val="02DD3DF1"/>
    <w:rsid w:val="02DE4088"/>
    <w:rsid w:val="02E247AD"/>
    <w:rsid w:val="02E3266E"/>
    <w:rsid w:val="02E81C12"/>
    <w:rsid w:val="02F71628"/>
    <w:rsid w:val="0306250D"/>
    <w:rsid w:val="031218D5"/>
    <w:rsid w:val="031C70D4"/>
    <w:rsid w:val="0321449C"/>
    <w:rsid w:val="033436B4"/>
    <w:rsid w:val="034175A9"/>
    <w:rsid w:val="034561FE"/>
    <w:rsid w:val="03486A36"/>
    <w:rsid w:val="0350391F"/>
    <w:rsid w:val="03644B36"/>
    <w:rsid w:val="036E7CB0"/>
    <w:rsid w:val="03770FAA"/>
    <w:rsid w:val="0388610D"/>
    <w:rsid w:val="03916200"/>
    <w:rsid w:val="039261BA"/>
    <w:rsid w:val="03B32D25"/>
    <w:rsid w:val="03C23BAF"/>
    <w:rsid w:val="03C40ABE"/>
    <w:rsid w:val="03D60077"/>
    <w:rsid w:val="03DC7E66"/>
    <w:rsid w:val="03E3449B"/>
    <w:rsid w:val="03F050BD"/>
    <w:rsid w:val="03F7077E"/>
    <w:rsid w:val="03F87AB8"/>
    <w:rsid w:val="03F90DB1"/>
    <w:rsid w:val="03FB00F1"/>
    <w:rsid w:val="040172D5"/>
    <w:rsid w:val="04053316"/>
    <w:rsid w:val="041E23EC"/>
    <w:rsid w:val="04256CBB"/>
    <w:rsid w:val="042711D5"/>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F10481"/>
    <w:rsid w:val="04F51041"/>
    <w:rsid w:val="04F72D3C"/>
    <w:rsid w:val="04FB6CA5"/>
    <w:rsid w:val="04FF4175"/>
    <w:rsid w:val="05204AF2"/>
    <w:rsid w:val="05232BB3"/>
    <w:rsid w:val="053C2598"/>
    <w:rsid w:val="05533444"/>
    <w:rsid w:val="056D77F4"/>
    <w:rsid w:val="057543BE"/>
    <w:rsid w:val="057C1154"/>
    <w:rsid w:val="0586026D"/>
    <w:rsid w:val="059052A1"/>
    <w:rsid w:val="059377C2"/>
    <w:rsid w:val="05981791"/>
    <w:rsid w:val="05AA6ECF"/>
    <w:rsid w:val="05B55267"/>
    <w:rsid w:val="05BD44C2"/>
    <w:rsid w:val="05C14E93"/>
    <w:rsid w:val="05EE7A21"/>
    <w:rsid w:val="05F74FD6"/>
    <w:rsid w:val="06015BFD"/>
    <w:rsid w:val="06042A70"/>
    <w:rsid w:val="06140DA2"/>
    <w:rsid w:val="06157620"/>
    <w:rsid w:val="062F0344"/>
    <w:rsid w:val="06322365"/>
    <w:rsid w:val="0644691C"/>
    <w:rsid w:val="06473E71"/>
    <w:rsid w:val="064C13DA"/>
    <w:rsid w:val="065904CC"/>
    <w:rsid w:val="06607022"/>
    <w:rsid w:val="06640B64"/>
    <w:rsid w:val="06657762"/>
    <w:rsid w:val="066D09E8"/>
    <w:rsid w:val="066D20E0"/>
    <w:rsid w:val="06791870"/>
    <w:rsid w:val="06AB30A9"/>
    <w:rsid w:val="06AB7088"/>
    <w:rsid w:val="06AC39F1"/>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07C62"/>
    <w:rsid w:val="08874B60"/>
    <w:rsid w:val="08885FE3"/>
    <w:rsid w:val="08903BD8"/>
    <w:rsid w:val="08936B57"/>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87ED2"/>
    <w:rsid w:val="091D71CF"/>
    <w:rsid w:val="093B5F9E"/>
    <w:rsid w:val="09474FBC"/>
    <w:rsid w:val="094D4667"/>
    <w:rsid w:val="095520D8"/>
    <w:rsid w:val="096B20A4"/>
    <w:rsid w:val="0980411B"/>
    <w:rsid w:val="098E57E7"/>
    <w:rsid w:val="09946A19"/>
    <w:rsid w:val="09B024F6"/>
    <w:rsid w:val="09CC3BAD"/>
    <w:rsid w:val="09E244D3"/>
    <w:rsid w:val="09E40044"/>
    <w:rsid w:val="09E44204"/>
    <w:rsid w:val="09F410FD"/>
    <w:rsid w:val="0A141092"/>
    <w:rsid w:val="0A18215B"/>
    <w:rsid w:val="0A1C206E"/>
    <w:rsid w:val="0A1F3AFB"/>
    <w:rsid w:val="0A214D17"/>
    <w:rsid w:val="0A2316C1"/>
    <w:rsid w:val="0A3B1828"/>
    <w:rsid w:val="0A3D4730"/>
    <w:rsid w:val="0A406793"/>
    <w:rsid w:val="0A4F2112"/>
    <w:rsid w:val="0A562EAD"/>
    <w:rsid w:val="0A6A4DCF"/>
    <w:rsid w:val="0A88671B"/>
    <w:rsid w:val="0A941E7B"/>
    <w:rsid w:val="0A9A0D24"/>
    <w:rsid w:val="0ABF45E0"/>
    <w:rsid w:val="0AC253B8"/>
    <w:rsid w:val="0AD029E3"/>
    <w:rsid w:val="0AD20D78"/>
    <w:rsid w:val="0AD319F0"/>
    <w:rsid w:val="0AD95FEE"/>
    <w:rsid w:val="0AEB1D55"/>
    <w:rsid w:val="0AEF28BE"/>
    <w:rsid w:val="0AFC7C23"/>
    <w:rsid w:val="0B030A0E"/>
    <w:rsid w:val="0B165FCB"/>
    <w:rsid w:val="0B283403"/>
    <w:rsid w:val="0B373A25"/>
    <w:rsid w:val="0B490628"/>
    <w:rsid w:val="0B4D084E"/>
    <w:rsid w:val="0B5001FD"/>
    <w:rsid w:val="0B5D62E7"/>
    <w:rsid w:val="0B5E6C1B"/>
    <w:rsid w:val="0B7C78A1"/>
    <w:rsid w:val="0B94665C"/>
    <w:rsid w:val="0B964EC9"/>
    <w:rsid w:val="0B9B3CCE"/>
    <w:rsid w:val="0B9D5FFB"/>
    <w:rsid w:val="0BA62356"/>
    <w:rsid w:val="0BB91FA4"/>
    <w:rsid w:val="0BCF0D6E"/>
    <w:rsid w:val="0BDD0790"/>
    <w:rsid w:val="0BDD4638"/>
    <w:rsid w:val="0BF5093F"/>
    <w:rsid w:val="0C095932"/>
    <w:rsid w:val="0C0D7E74"/>
    <w:rsid w:val="0C154760"/>
    <w:rsid w:val="0C166DCE"/>
    <w:rsid w:val="0C371FE2"/>
    <w:rsid w:val="0C426E10"/>
    <w:rsid w:val="0C4358FB"/>
    <w:rsid w:val="0C593A85"/>
    <w:rsid w:val="0C5C24F7"/>
    <w:rsid w:val="0C6658D4"/>
    <w:rsid w:val="0C6F3B75"/>
    <w:rsid w:val="0C87727B"/>
    <w:rsid w:val="0C8C56BB"/>
    <w:rsid w:val="0CA53F3A"/>
    <w:rsid w:val="0CA87886"/>
    <w:rsid w:val="0CAF57CC"/>
    <w:rsid w:val="0CB41A43"/>
    <w:rsid w:val="0CBD53F9"/>
    <w:rsid w:val="0CC06DC6"/>
    <w:rsid w:val="0CC12374"/>
    <w:rsid w:val="0CCC52F8"/>
    <w:rsid w:val="0CD023D1"/>
    <w:rsid w:val="0CDC30C8"/>
    <w:rsid w:val="0CE94F94"/>
    <w:rsid w:val="0CED067B"/>
    <w:rsid w:val="0CFC6488"/>
    <w:rsid w:val="0D1158BC"/>
    <w:rsid w:val="0D1D5BF4"/>
    <w:rsid w:val="0D290E15"/>
    <w:rsid w:val="0D2E7CDA"/>
    <w:rsid w:val="0D3161DB"/>
    <w:rsid w:val="0D38710E"/>
    <w:rsid w:val="0D3A5B22"/>
    <w:rsid w:val="0D4A61F6"/>
    <w:rsid w:val="0D5A4C9D"/>
    <w:rsid w:val="0D5E127F"/>
    <w:rsid w:val="0D636535"/>
    <w:rsid w:val="0D652404"/>
    <w:rsid w:val="0D7824BD"/>
    <w:rsid w:val="0D790005"/>
    <w:rsid w:val="0D793F75"/>
    <w:rsid w:val="0D8323B8"/>
    <w:rsid w:val="0D8D3FD0"/>
    <w:rsid w:val="0D941DD9"/>
    <w:rsid w:val="0D947DEF"/>
    <w:rsid w:val="0D9960F6"/>
    <w:rsid w:val="0D9B3836"/>
    <w:rsid w:val="0D9D017D"/>
    <w:rsid w:val="0DAF57C7"/>
    <w:rsid w:val="0DB1600D"/>
    <w:rsid w:val="0DB87064"/>
    <w:rsid w:val="0DC23414"/>
    <w:rsid w:val="0DD37D4F"/>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D45063"/>
    <w:rsid w:val="0EE00334"/>
    <w:rsid w:val="0EE70F03"/>
    <w:rsid w:val="0F090320"/>
    <w:rsid w:val="0F2D4847"/>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0FF91388"/>
    <w:rsid w:val="0FFFAFA2"/>
    <w:rsid w:val="10002E78"/>
    <w:rsid w:val="10051186"/>
    <w:rsid w:val="10082322"/>
    <w:rsid w:val="100A088B"/>
    <w:rsid w:val="101E557F"/>
    <w:rsid w:val="10206168"/>
    <w:rsid w:val="10220902"/>
    <w:rsid w:val="102832C0"/>
    <w:rsid w:val="1030329B"/>
    <w:rsid w:val="103627B4"/>
    <w:rsid w:val="10476538"/>
    <w:rsid w:val="107921C2"/>
    <w:rsid w:val="107E07FE"/>
    <w:rsid w:val="10805044"/>
    <w:rsid w:val="108A45AA"/>
    <w:rsid w:val="108B5C75"/>
    <w:rsid w:val="10927871"/>
    <w:rsid w:val="109B2457"/>
    <w:rsid w:val="10A80202"/>
    <w:rsid w:val="10A86948"/>
    <w:rsid w:val="10A91F3A"/>
    <w:rsid w:val="10BD4B6E"/>
    <w:rsid w:val="10C05016"/>
    <w:rsid w:val="10DC5341"/>
    <w:rsid w:val="10DC5DE2"/>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A3453B"/>
    <w:rsid w:val="11B13A44"/>
    <w:rsid w:val="11B64B9D"/>
    <w:rsid w:val="11C34C5A"/>
    <w:rsid w:val="11D7281B"/>
    <w:rsid w:val="11D93657"/>
    <w:rsid w:val="11E62926"/>
    <w:rsid w:val="11E7019B"/>
    <w:rsid w:val="12041F1C"/>
    <w:rsid w:val="120C30E2"/>
    <w:rsid w:val="125C1D36"/>
    <w:rsid w:val="125D03B5"/>
    <w:rsid w:val="126F4111"/>
    <w:rsid w:val="126F5ED9"/>
    <w:rsid w:val="128A25F6"/>
    <w:rsid w:val="1299328B"/>
    <w:rsid w:val="12A04B9A"/>
    <w:rsid w:val="12A30DA6"/>
    <w:rsid w:val="12C23A7C"/>
    <w:rsid w:val="12C6156A"/>
    <w:rsid w:val="12D37006"/>
    <w:rsid w:val="12D919C1"/>
    <w:rsid w:val="12E94BA8"/>
    <w:rsid w:val="12F55F70"/>
    <w:rsid w:val="1304111F"/>
    <w:rsid w:val="130A3353"/>
    <w:rsid w:val="130B7334"/>
    <w:rsid w:val="131B0C66"/>
    <w:rsid w:val="13380869"/>
    <w:rsid w:val="135C15A5"/>
    <w:rsid w:val="136B30DD"/>
    <w:rsid w:val="13755EB2"/>
    <w:rsid w:val="13800B97"/>
    <w:rsid w:val="13877DCB"/>
    <w:rsid w:val="13881341"/>
    <w:rsid w:val="13887B1A"/>
    <w:rsid w:val="139F2E5E"/>
    <w:rsid w:val="13A23B9A"/>
    <w:rsid w:val="13A35911"/>
    <w:rsid w:val="13A47BFE"/>
    <w:rsid w:val="13AD2096"/>
    <w:rsid w:val="13AE0DA1"/>
    <w:rsid w:val="13B773EB"/>
    <w:rsid w:val="13C4002F"/>
    <w:rsid w:val="13C63319"/>
    <w:rsid w:val="13E67824"/>
    <w:rsid w:val="13ED6898"/>
    <w:rsid w:val="14063E97"/>
    <w:rsid w:val="14166484"/>
    <w:rsid w:val="14197E9B"/>
    <w:rsid w:val="14242A9B"/>
    <w:rsid w:val="14293FDD"/>
    <w:rsid w:val="14335E33"/>
    <w:rsid w:val="144F3B92"/>
    <w:rsid w:val="145D7218"/>
    <w:rsid w:val="145E21A7"/>
    <w:rsid w:val="14663754"/>
    <w:rsid w:val="1470604A"/>
    <w:rsid w:val="1479294C"/>
    <w:rsid w:val="148037BC"/>
    <w:rsid w:val="14857BC8"/>
    <w:rsid w:val="148A09EC"/>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D44F6"/>
    <w:rsid w:val="15663CCA"/>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5FB611C"/>
    <w:rsid w:val="16071DD9"/>
    <w:rsid w:val="160C5D02"/>
    <w:rsid w:val="16184098"/>
    <w:rsid w:val="161D413C"/>
    <w:rsid w:val="161F7166"/>
    <w:rsid w:val="162426FB"/>
    <w:rsid w:val="16290D5F"/>
    <w:rsid w:val="162C4C37"/>
    <w:rsid w:val="163409FD"/>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40853"/>
    <w:rsid w:val="177F62FA"/>
    <w:rsid w:val="178E0BAF"/>
    <w:rsid w:val="17987B34"/>
    <w:rsid w:val="17990FA9"/>
    <w:rsid w:val="17C271C7"/>
    <w:rsid w:val="17DE3FD2"/>
    <w:rsid w:val="17E25684"/>
    <w:rsid w:val="17FA253A"/>
    <w:rsid w:val="18071145"/>
    <w:rsid w:val="180D1861"/>
    <w:rsid w:val="1824021D"/>
    <w:rsid w:val="182727AA"/>
    <w:rsid w:val="182C3C1D"/>
    <w:rsid w:val="183737F8"/>
    <w:rsid w:val="18527BEC"/>
    <w:rsid w:val="185D48BA"/>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3D5EB3"/>
    <w:rsid w:val="194B6D06"/>
    <w:rsid w:val="194F0096"/>
    <w:rsid w:val="19580F07"/>
    <w:rsid w:val="19605FFF"/>
    <w:rsid w:val="196C060A"/>
    <w:rsid w:val="197226D6"/>
    <w:rsid w:val="197B045A"/>
    <w:rsid w:val="19911370"/>
    <w:rsid w:val="19981B0B"/>
    <w:rsid w:val="19A57A33"/>
    <w:rsid w:val="19A60597"/>
    <w:rsid w:val="19A748CE"/>
    <w:rsid w:val="19B53F29"/>
    <w:rsid w:val="19BB4AC7"/>
    <w:rsid w:val="19DC00EB"/>
    <w:rsid w:val="19ED1019"/>
    <w:rsid w:val="19F30FD0"/>
    <w:rsid w:val="19FC580C"/>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93B11"/>
    <w:rsid w:val="1A8A4647"/>
    <w:rsid w:val="1A9723B6"/>
    <w:rsid w:val="1A984C5D"/>
    <w:rsid w:val="1AA34AA6"/>
    <w:rsid w:val="1AA93183"/>
    <w:rsid w:val="1AAC781B"/>
    <w:rsid w:val="1AB44A07"/>
    <w:rsid w:val="1AB927E6"/>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BFA4214"/>
    <w:rsid w:val="1C146D3D"/>
    <w:rsid w:val="1C19483C"/>
    <w:rsid w:val="1C213008"/>
    <w:rsid w:val="1C347AE7"/>
    <w:rsid w:val="1C3709C2"/>
    <w:rsid w:val="1C3F5A29"/>
    <w:rsid w:val="1C6D2061"/>
    <w:rsid w:val="1C73352D"/>
    <w:rsid w:val="1C7F0A0D"/>
    <w:rsid w:val="1C883EE2"/>
    <w:rsid w:val="1C8A5704"/>
    <w:rsid w:val="1C993644"/>
    <w:rsid w:val="1CA30814"/>
    <w:rsid w:val="1CA411B8"/>
    <w:rsid w:val="1CA91C58"/>
    <w:rsid w:val="1CAE730B"/>
    <w:rsid w:val="1CD11261"/>
    <w:rsid w:val="1CE211FC"/>
    <w:rsid w:val="1CF333E6"/>
    <w:rsid w:val="1D0565E2"/>
    <w:rsid w:val="1D1C5DA2"/>
    <w:rsid w:val="1D2122A1"/>
    <w:rsid w:val="1D2357FD"/>
    <w:rsid w:val="1D2D51F1"/>
    <w:rsid w:val="1D37486F"/>
    <w:rsid w:val="1D42071E"/>
    <w:rsid w:val="1D4856D1"/>
    <w:rsid w:val="1D4C2B5B"/>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620D3"/>
    <w:rsid w:val="1DDE1182"/>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FF"/>
    <w:rsid w:val="1EA53511"/>
    <w:rsid w:val="1EA672D8"/>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574A3"/>
    <w:rsid w:val="1F7C2691"/>
    <w:rsid w:val="1F9A340A"/>
    <w:rsid w:val="1FA24F7F"/>
    <w:rsid w:val="1FB31A5F"/>
    <w:rsid w:val="1FC97C87"/>
    <w:rsid w:val="1FCC023A"/>
    <w:rsid w:val="1FDE3F49"/>
    <w:rsid w:val="1FE933AA"/>
    <w:rsid w:val="1FF468DA"/>
    <w:rsid w:val="1FF94A2D"/>
    <w:rsid w:val="200B0D0C"/>
    <w:rsid w:val="201051B9"/>
    <w:rsid w:val="20191A25"/>
    <w:rsid w:val="2040794E"/>
    <w:rsid w:val="20460DDC"/>
    <w:rsid w:val="204D6F6C"/>
    <w:rsid w:val="20506C8E"/>
    <w:rsid w:val="2064368A"/>
    <w:rsid w:val="207F43D9"/>
    <w:rsid w:val="20906E82"/>
    <w:rsid w:val="209128E5"/>
    <w:rsid w:val="209A7F24"/>
    <w:rsid w:val="209F1645"/>
    <w:rsid w:val="20A84AFD"/>
    <w:rsid w:val="20B336D0"/>
    <w:rsid w:val="20B41FC9"/>
    <w:rsid w:val="20B707BB"/>
    <w:rsid w:val="20C106E3"/>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92178"/>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07E1C"/>
    <w:rsid w:val="225F71CC"/>
    <w:rsid w:val="226E0F46"/>
    <w:rsid w:val="22894FBA"/>
    <w:rsid w:val="228B7D1B"/>
    <w:rsid w:val="22993411"/>
    <w:rsid w:val="22A3753B"/>
    <w:rsid w:val="22A627B6"/>
    <w:rsid w:val="22BB1853"/>
    <w:rsid w:val="22C41C6A"/>
    <w:rsid w:val="22EE7034"/>
    <w:rsid w:val="22F20146"/>
    <w:rsid w:val="22FD46BD"/>
    <w:rsid w:val="23153857"/>
    <w:rsid w:val="231B17F9"/>
    <w:rsid w:val="23216DFA"/>
    <w:rsid w:val="233A304E"/>
    <w:rsid w:val="23443D7D"/>
    <w:rsid w:val="235511EA"/>
    <w:rsid w:val="23614F48"/>
    <w:rsid w:val="23690609"/>
    <w:rsid w:val="237A3E4E"/>
    <w:rsid w:val="237E1230"/>
    <w:rsid w:val="238A29AB"/>
    <w:rsid w:val="238F40D9"/>
    <w:rsid w:val="23933508"/>
    <w:rsid w:val="239504D4"/>
    <w:rsid w:val="23950A3C"/>
    <w:rsid w:val="239B5FC0"/>
    <w:rsid w:val="23A92C60"/>
    <w:rsid w:val="23AA0F3C"/>
    <w:rsid w:val="23B03FD9"/>
    <w:rsid w:val="23B714CC"/>
    <w:rsid w:val="23BA7F5A"/>
    <w:rsid w:val="23C13739"/>
    <w:rsid w:val="23E11DA2"/>
    <w:rsid w:val="23E235B0"/>
    <w:rsid w:val="23FB18B8"/>
    <w:rsid w:val="24044813"/>
    <w:rsid w:val="24101BCC"/>
    <w:rsid w:val="242474A7"/>
    <w:rsid w:val="2428389C"/>
    <w:rsid w:val="2439617A"/>
    <w:rsid w:val="244448DA"/>
    <w:rsid w:val="244520C9"/>
    <w:rsid w:val="245005B3"/>
    <w:rsid w:val="24661A7D"/>
    <w:rsid w:val="246C280E"/>
    <w:rsid w:val="24734E74"/>
    <w:rsid w:val="24940315"/>
    <w:rsid w:val="249511E4"/>
    <w:rsid w:val="249604BE"/>
    <w:rsid w:val="24A31E88"/>
    <w:rsid w:val="24C504EE"/>
    <w:rsid w:val="24C76B9D"/>
    <w:rsid w:val="24D14521"/>
    <w:rsid w:val="24E164A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C7281"/>
    <w:rsid w:val="25484EAF"/>
    <w:rsid w:val="25564658"/>
    <w:rsid w:val="255A4BBE"/>
    <w:rsid w:val="255D101D"/>
    <w:rsid w:val="25603917"/>
    <w:rsid w:val="25627611"/>
    <w:rsid w:val="25636FED"/>
    <w:rsid w:val="25645A54"/>
    <w:rsid w:val="25772EBB"/>
    <w:rsid w:val="25832019"/>
    <w:rsid w:val="259331FE"/>
    <w:rsid w:val="25957FF8"/>
    <w:rsid w:val="259D545F"/>
    <w:rsid w:val="25A149AC"/>
    <w:rsid w:val="25AF3F32"/>
    <w:rsid w:val="25B22A3B"/>
    <w:rsid w:val="25BA2D11"/>
    <w:rsid w:val="25C206E3"/>
    <w:rsid w:val="25C654B7"/>
    <w:rsid w:val="25D26FA5"/>
    <w:rsid w:val="25D97596"/>
    <w:rsid w:val="25E37902"/>
    <w:rsid w:val="25F044F9"/>
    <w:rsid w:val="25F74971"/>
    <w:rsid w:val="26040109"/>
    <w:rsid w:val="26061962"/>
    <w:rsid w:val="260F672F"/>
    <w:rsid w:val="26175540"/>
    <w:rsid w:val="262C56B0"/>
    <w:rsid w:val="262F1527"/>
    <w:rsid w:val="2642755C"/>
    <w:rsid w:val="264436A6"/>
    <w:rsid w:val="26507D69"/>
    <w:rsid w:val="26590788"/>
    <w:rsid w:val="265D1B10"/>
    <w:rsid w:val="26640280"/>
    <w:rsid w:val="266D04E0"/>
    <w:rsid w:val="267D0DD4"/>
    <w:rsid w:val="268A18BB"/>
    <w:rsid w:val="26900E65"/>
    <w:rsid w:val="269308F5"/>
    <w:rsid w:val="269B5762"/>
    <w:rsid w:val="26A0140A"/>
    <w:rsid w:val="26A4480F"/>
    <w:rsid w:val="26AB027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03467"/>
    <w:rsid w:val="278373DB"/>
    <w:rsid w:val="278B23EE"/>
    <w:rsid w:val="279C7ABE"/>
    <w:rsid w:val="27A46AC2"/>
    <w:rsid w:val="27A70952"/>
    <w:rsid w:val="27B52D32"/>
    <w:rsid w:val="27BD0EA7"/>
    <w:rsid w:val="27C22234"/>
    <w:rsid w:val="27D30046"/>
    <w:rsid w:val="27D4336A"/>
    <w:rsid w:val="27E96CD0"/>
    <w:rsid w:val="27F60128"/>
    <w:rsid w:val="27FC4245"/>
    <w:rsid w:val="28052561"/>
    <w:rsid w:val="28100970"/>
    <w:rsid w:val="28130FC3"/>
    <w:rsid w:val="281A2308"/>
    <w:rsid w:val="28242AFE"/>
    <w:rsid w:val="282D4DA2"/>
    <w:rsid w:val="28383DE0"/>
    <w:rsid w:val="284763CA"/>
    <w:rsid w:val="284C1CF1"/>
    <w:rsid w:val="285259C3"/>
    <w:rsid w:val="286F0F65"/>
    <w:rsid w:val="28810C2F"/>
    <w:rsid w:val="28832153"/>
    <w:rsid w:val="288C402F"/>
    <w:rsid w:val="28A86D3D"/>
    <w:rsid w:val="28AB6575"/>
    <w:rsid w:val="28AF56E0"/>
    <w:rsid w:val="28BF2E88"/>
    <w:rsid w:val="28C50D1F"/>
    <w:rsid w:val="28CA5CB4"/>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EE550B"/>
    <w:rsid w:val="29F43C64"/>
    <w:rsid w:val="29FA25C8"/>
    <w:rsid w:val="29FC032F"/>
    <w:rsid w:val="29FD19B7"/>
    <w:rsid w:val="2A03307B"/>
    <w:rsid w:val="2A0D142F"/>
    <w:rsid w:val="2A0E5BA5"/>
    <w:rsid w:val="2A112438"/>
    <w:rsid w:val="2A121ADD"/>
    <w:rsid w:val="2A1808B1"/>
    <w:rsid w:val="2A1C72FC"/>
    <w:rsid w:val="2A363D92"/>
    <w:rsid w:val="2A3B23D3"/>
    <w:rsid w:val="2A463A27"/>
    <w:rsid w:val="2A6021EF"/>
    <w:rsid w:val="2A6A0AB6"/>
    <w:rsid w:val="2A7A22B0"/>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2B1F58"/>
    <w:rsid w:val="2B461FAE"/>
    <w:rsid w:val="2B4D31F0"/>
    <w:rsid w:val="2B4F0637"/>
    <w:rsid w:val="2B4F71D5"/>
    <w:rsid w:val="2B527EE3"/>
    <w:rsid w:val="2B580D2F"/>
    <w:rsid w:val="2B5E1A74"/>
    <w:rsid w:val="2B6428E9"/>
    <w:rsid w:val="2B667187"/>
    <w:rsid w:val="2B736F2B"/>
    <w:rsid w:val="2B7D4228"/>
    <w:rsid w:val="2B8B70C4"/>
    <w:rsid w:val="2B9576E2"/>
    <w:rsid w:val="2B9A4D5A"/>
    <w:rsid w:val="2B9F55DB"/>
    <w:rsid w:val="2BA41CAA"/>
    <w:rsid w:val="2BBB53AD"/>
    <w:rsid w:val="2BBB639B"/>
    <w:rsid w:val="2BC2082C"/>
    <w:rsid w:val="2BC36628"/>
    <w:rsid w:val="2BCB2584"/>
    <w:rsid w:val="2BD25B6F"/>
    <w:rsid w:val="2BDA574F"/>
    <w:rsid w:val="2BEC51D8"/>
    <w:rsid w:val="2BEC7EFA"/>
    <w:rsid w:val="2BEF1A87"/>
    <w:rsid w:val="2BF66BA9"/>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905A9"/>
    <w:rsid w:val="2CCA5598"/>
    <w:rsid w:val="2CCF5DDE"/>
    <w:rsid w:val="2CD56F32"/>
    <w:rsid w:val="2CDB0944"/>
    <w:rsid w:val="2CE27267"/>
    <w:rsid w:val="2CE74D39"/>
    <w:rsid w:val="2CE8150A"/>
    <w:rsid w:val="2D016444"/>
    <w:rsid w:val="2D0B00A7"/>
    <w:rsid w:val="2D12077C"/>
    <w:rsid w:val="2D1A1408"/>
    <w:rsid w:val="2D21385E"/>
    <w:rsid w:val="2D270FD0"/>
    <w:rsid w:val="2D277EFB"/>
    <w:rsid w:val="2D31047C"/>
    <w:rsid w:val="2D3178DC"/>
    <w:rsid w:val="2D324DB9"/>
    <w:rsid w:val="2D4E3F0C"/>
    <w:rsid w:val="2D646B9E"/>
    <w:rsid w:val="2D6D1127"/>
    <w:rsid w:val="2D700E9E"/>
    <w:rsid w:val="2D976683"/>
    <w:rsid w:val="2DB27C81"/>
    <w:rsid w:val="2DB74C8F"/>
    <w:rsid w:val="2DCB05F1"/>
    <w:rsid w:val="2DE35338"/>
    <w:rsid w:val="2E11076A"/>
    <w:rsid w:val="2E132BF2"/>
    <w:rsid w:val="2E161683"/>
    <w:rsid w:val="2E194F3D"/>
    <w:rsid w:val="2E3E0198"/>
    <w:rsid w:val="2E3F0BEE"/>
    <w:rsid w:val="2E4F0821"/>
    <w:rsid w:val="2E5015EC"/>
    <w:rsid w:val="2E521413"/>
    <w:rsid w:val="2E560939"/>
    <w:rsid w:val="2E5A7CD6"/>
    <w:rsid w:val="2E5E648E"/>
    <w:rsid w:val="2E6A61A2"/>
    <w:rsid w:val="2E743409"/>
    <w:rsid w:val="2E790DE1"/>
    <w:rsid w:val="2E7B7EC9"/>
    <w:rsid w:val="2E9136EE"/>
    <w:rsid w:val="2EC56BE5"/>
    <w:rsid w:val="2EC73785"/>
    <w:rsid w:val="2EF00893"/>
    <w:rsid w:val="2EFF3E52"/>
    <w:rsid w:val="2F08433B"/>
    <w:rsid w:val="2F136646"/>
    <w:rsid w:val="2F1F371B"/>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035C4"/>
    <w:rsid w:val="30225849"/>
    <w:rsid w:val="302B0077"/>
    <w:rsid w:val="30322E5C"/>
    <w:rsid w:val="30396D27"/>
    <w:rsid w:val="3044003E"/>
    <w:rsid w:val="30505F70"/>
    <w:rsid w:val="305703F6"/>
    <w:rsid w:val="30645CFC"/>
    <w:rsid w:val="30665E9F"/>
    <w:rsid w:val="306C7EFE"/>
    <w:rsid w:val="3092535C"/>
    <w:rsid w:val="30A57B99"/>
    <w:rsid w:val="30B97331"/>
    <w:rsid w:val="30BA6D63"/>
    <w:rsid w:val="30C23A3B"/>
    <w:rsid w:val="30C62E41"/>
    <w:rsid w:val="30CB263C"/>
    <w:rsid w:val="30CC18B7"/>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F0842"/>
    <w:rsid w:val="32B04854"/>
    <w:rsid w:val="32B736BD"/>
    <w:rsid w:val="32B865A2"/>
    <w:rsid w:val="32D817FB"/>
    <w:rsid w:val="32E75208"/>
    <w:rsid w:val="32FE6CC1"/>
    <w:rsid w:val="330E2F53"/>
    <w:rsid w:val="330F4321"/>
    <w:rsid w:val="33173120"/>
    <w:rsid w:val="3317426F"/>
    <w:rsid w:val="331F2416"/>
    <w:rsid w:val="33291ECF"/>
    <w:rsid w:val="33435FD9"/>
    <w:rsid w:val="3345063A"/>
    <w:rsid w:val="335121B9"/>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66EBD"/>
    <w:rsid w:val="34E75F12"/>
    <w:rsid w:val="34F32500"/>
    <w:rsid w:val="34F338FE"/>
    <w:rsid w:val="350A5CF4"/>
    <w:rsid w:val="351F2F82"/>
    <w:rsid w:val="3535293E"/>
    <w:rsid w:val="3536502B"/>
    <w:rsid w:val="353665BD"/>
    <w:rsid w:val="35371562"/>
    <w:rsid w:val="354C4C22"/>
    <w:rsid w:val="355B65B2"/>
    <w:rsid w:val="355D4F81"/>
    <w:rsid w:val="35705AE4"/>
    <w:rsid w:val="35824905"/>
    <w:rsid w:val="35843F72"/>
    <w:rsid w:val="35862A9A"/>
    <w:rsid w:val="35970273"/>
    <w:rsid w:val="35C74E47"/>
    <w:rsid w:val="35E24DF5"/>
    <w:rsid w:val="35FC0320"/>
    <w:rsid w:val="35FC78A0"/>
    <w:rsid w:val="35FF3C90"/>
    <w:rsid w:val="35FF463C"/>
    <w:rsid w:val="3606454A"/>
    <w:rsid w:val="360C6E10"/>
    <w:rsid w:val="360D4DD7"/>
    <w:rsid w:val="361124A4"/>
    <w:rsid w:val="36132896"/>
    <w:rsid w:val="36251E52"/>
    <w:rsid w:val="3633222C"/>
    <w:rsid w:val="363407F7"/>
    <w:rsid w:val="36365D1F"/>
    <w:rsid w:val="3638445C"/>
    <w:rsid w:val="36434D26"/>
    <w:rsid w:val="36470DE8"/>
    <w:rsid w:val="364D39D1"/>
    <w:rsid w:val="365612E8"/>
    <w:rsid w:val="366513C8"/>
    <w:rsid w:val="36752D10"/>
    <w:rsid w:val="3686608C"/>
    <w:rsid w:val="368E7A3C"/>
    <w:rsid w:val="36AD62EF"/>
    <w:rsid w:val="36B4674F"/>
    <w:rsid w:val="36C04CF9"/>
    <w:rsid w:val="36CA1F25"/>
    <w:rsid w:val="36DE0951"/>
    <w:rsid w:val="36F210B1"/>
    <w:rsid w:val="36F901E6"/>
    <w:rsid w:val="37007AC7"/>
    <w:rsid w:val="37133063"/>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32997"/>
    <w:rsid w:val="382932C1"/>
    <w:rsid w:val="382A51FA"/>
    <w:rsid w:val="382F4B08"/>
    <w:rsid w:val="38312A30"/>
    <w:rsid w:val="38500709"/>
    <w:rsid w:val="385A5301"/>
    <w:rsid w:val="385E6AEF"/>
    <w:rsid w:val="38A00A0E"/>
    <w:rsid w:val="38A172FA"/>
    <w:rsid w:val="38A23923"/>
    <w:rsid w:val="38B10FD3"/>
    <w:rsid w:val="38B12660"/>
    <w:rsid w:val="38DC7DB9"/>
    <w:rsid w:val="38DE2E10"/>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E95FBF"/>
    <w:rsid w:val="3BF736C7"/>
    <w:rsid w:val="3C0134AE"/>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3130F3"/>
    <w:rsid w:val="3D422B64"/>
    <w:rsid w:val="3D4568AD"/>
    <w:rsid w:val="3D500385"/>
    <w:rsid w:val="3D5A44CB"/>
    <w:rsid w:val="3D5A54B8"/>
    <w:rsid w:val="3D6025AF"/>
    <w:rsid w:val="3D647CD4"/>
    <w:rsid w:val="3D7B49B3"/>
    <w:rsid w:val="3D84454D"/>
    <w:rsid w:val="3D8620EC"/>
    <w:rsid w:val="3D8D259B"/>
    <w:rsid w:val="3D8D2E74"/>
    <w:rsid w:val="3D940183"/>
    <w:rsid w:val="3D94569F"/>
    <w:rsid w:val="3DAD4BED"/>
    <w:rsid w:val="3DB328C2"/>
    <w:rsid w:val="3DCC12F0"/>
    <w:rsid w:val="3DD46CC7"/>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E132F"/>
    <w:rsid w:val="3ED66E05"/>
    <w:rsid w:val="3EE5288B"/>
    <w:rsid w:val="3EFD1DF1"/>
    <w:rsid w:val="3F027DD0"/>
    <w:rsid w:val="3F232D0D"/>
    <w:rsid w:val="3F257025"/>
    <w:rsid w:val="3F2763A2"/>
    <w:rsid w:val="3F293129"/>
    <w:rsid w:val="3F2E1337"/>
    <w:rsid w:val="3F2E2497"/>
    <w:rsid w:val="3F3303B1"/>
    <w:rsid w:val="3F4152FA"/>
    <w:rsid w:val="3F440641"/>
    <w:rsid w:val="3F4A339D"/>
    <w:rsid w:val="3F553F1E"/>
    <w:rsid w:val="3F66563F"/>
    <w:rsid w:val="3F6E7773"/>
    <w:rsid w:val="3F7F1757"/>
    <w:rsid w:val="3F8E7BF9"/>
    <w:rsid w:val="3F9F1936"/>
    <w:rsid w:val="3FBF2FE8"/>
    <w:rsid w:val="3FDE02D2"/>
    <w:rsid w:val="3FFB6A4F"/>
    <w:rsid w:val="3FFFAC86"/>
    <w:rsid w:val="40016981"/>
    <w:rsid w:val="4002562A"/>
    <w:rsid w:val="40043696"/>
    <w:rsid w:val="400D69C0"/>
    <w:rsid w:val="401E0B4D"/>
    <w:rsid w:val="401E1F88"/>
    <w:rsid w:val="40266EE6"/>
    <w:rsid w:val="402D166A"/>
    <w:rsid w:val="403A2EC7"/>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95B34"/>
    <w:rsid w:val="40DD7A15"/>
    <w:rsid w:val="41080CDA"/>
    <w:rsid w:val="411266A1"/>
    <w:rsid w:val="413362A7"/>
    <w:rsid w:val="414311A9"/>
    <w:rsid w:val="4149186F"/>
    <w:rsid w:val="415E7F1E"/>
    <w:rsid w:val="416136C1"/>
    <w:rsid w:val="4163168B"/>
    <w:rsid w:val="41645CF3"/>
    <w:rsid w:val="41684FED"/>
    <w:rsid w:val="416F5596"/>
    <w:rsid w:val="41705CAC"/>
    <w:rsid w:val="41751899"/>
    <w:rsid w:val="417852FE"/>
    <w:rsid w:val="41792489"/>
    <w:rsid w:val="41833E46"/>
    <w:rsid w:val="418718DD"/>
    <w:rsid w:val="418E755B"/>
    <w:rsid w:val="41975AE6"/>
    <w:rsid w:val="419A0534"/>
    <w:rsid w:val="419B5637"/>
    <w:rsid w:val="41A50C0C"/>
    <w:rsid w:val="41A7672E"/>
    <w:rsid w:val="41AB30BD"/>
    <w:rsid w:val="41C16449"/>
    <w:rsid w:val="41CB028C"/>
    <w:rsid w:val="41EC4267"/>
    <w:rsid w:val="42101E16"/>
    <w:rsid w:val="4212294F"/>
    <w:rsid w:val="42125022"/>
    <w:rsid w:val="421337A1"/>
    <w:rsid w:val="422C1E62"/>
    <w:rsid w:val="422C3873"/>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2F45221"/>
    <w:rsid w:val="43011432"/>
    <w:rsid w:val="43127A8C"/>
    <w:rsid w:val="431567DE"/>
    <w:rsid w:val="431B24E0"/>
    <w:rsid w:val="431F46B8"/>
    <w:rsid w:val="432129E2"/>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23A9"/>
    <w:rsid w:val="43BE6232"/>
    <w:rsid w:val="43C96417"/>
    <w:rsid w:val="43D349E2"/>
    <w:rsid w:val="43D951C6"/>
    <w:rsid w:val="43D95633"/>
    <w:rsid w:val="43DA1716"/>
    <w:rsid w:val="43DE7AD5"/>
    <w:rsid w:val="44011F00"/>
    <w:rsid w:val="44057C4B"/>
    <w:rsid w:val="44062C0D"/>
    <w:rsid w:val="44174544"/>
    <w:rsid w:val="441C152A"/>
    <w:rsid w:val="44320154"/>
    <w:rsid w:val="44385C50"/>
    <w:rsid w:val="44415838"/>
    <w:rsid w:val="4449591C"/>
    <w:rsid w:val="444F6752"/>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E543A"/>
    <w:rsid w:val="456526DC"/>
    <w:rsid w:val="456B6252"/>
    <w:rsid w:val="456B6B68"/>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4916"/>
    <w:rsid w:val="47656905"/>
    <w:rsid w:val="47722A18"/>
    <w:rsid w:val="47737A6D"/>
    <w:rsid w:val="47741D0C"/>
    <w:rsid w:val="47876B9F"/>
    <w:rsid w:val="479236A7"/>
    <w:rsid w:val="47953EA1"/>
    <w:rsid w:val="47985C20"/>
    <w:rsid w:val="479869DC"/>
    <w:rsid w:val="47A213C0"/>
    <w:rsid w:val="47B76453"/>
    <w:rsid w:val="47C2640D"/>
    <w:rsid w:val="47CA5946"/>
    <w:rsid w:val="47DC4284"/>
    <w:rsid w:val="47DF7B1C"/>
    <w:rsid w:val="47E60C41"/>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C5552"/>
    <w:rsid w:val="489D3C05"/>
    <w:rsid w:val="48AB0568"/>
    <w:rsid w:val="48AF7082"/>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109D3"/>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C10BD"/>
    <w:rsid w:val="4B33627A"/>
    <w:rsid w:val="4B356505"/>
    <w:rsid w:val="4B3A331C"/>
    <w:rsid w:val="4B3D32A5"/>
    <w:rsid w:val="4B425199"/>
    <w:rsid w:val="4B503E7D"/>
    <w:rsid w:val="4B5526A6"/>
    <w:rsid w:val="4B6140D7"/>
    <w:rsid w:val="4B6A739A"/>
    <w:rsid w:val="4B6B2FC4"/>
    <w:rsid w:val="4B720A2E"/>
    <w:rsid w:val="4B816AF3"/>
    <w:rsid w:val="4B84080B"/>
    <w:rsid w:val="4BBA5C6F"/>
    <w:rsid w:val="4BC3761F"/>
    <w:rsid w:val="4BE83C66"/>
    <w:rsid w:val="4BEE2702"/>
    <w:rsid w:val="4BF03667"/>
    <w:rsid w:val="4BF1539E"/>
    <w:rsid w:val="4C0C5B59"/>
    <w:rsid w:val="4C0D69A5"/>
    <w:rsid w:val="4C114E73"/>
    <w:rsid w:val="4C1D41C6"/>
    <w:rsid w:val="4C232733"/>
    <w:rsid w:val="4C276414"/>
    <w:rsid w:val="4C30348B"/>
    <w:rsid w:val="4C457E06"/>
    <w:rsid w:val="4C486022"/>
    <w:rsid w:val="4C533964"/>
    <w:rsid w:val="4C561AA4"/>
    <w:rsid w:val="4C564748"/>
    <w:rsid w:val="4C5653EF"/>
    <w:rsid w:val="4C58759F"/>
    <w:rsid w:val="4C6E490F"/>
    <w:rsid w:val="4C7A3E0A"/>
    <w:rsid w:val="4C992C68"/>
    <w:rsid w:val="4C9A24A5"/>
    <w:rsid w:val="4CB4751A"/>
    <w:rsid w:val="4CC80B32"/>
    <w:rsid w:val="4CD36081"/>
    <w:rsid w:val="4CD715B6"/>
    <w:rsid w:val="4CE34671"/>
    <w:rsid w:val="4CFE58B7"/>
    <w:rsid w:val="4D0D5045"/>
    <w:rsid w:val="4D0F534D"/>
    <w:rsid w:val="4D241DA1"/>
    <w:rsid w:val="4D2874FB"/>
    <w:rsid w:val="4D694853"/>
    <w:rsid w:val="4D6E3730"/>
    <w:rsid w:val="4D7D0B22"/>
    <w:rsid w:val="4D803811"/>
    <w:rsid w:val="4D964BDE"/>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6DD6"/>
    <w:rsid w:val="4E7D41EF"/>
    <w:rsid w:val="4E8743CF"/>
    <w:rsid w:val="4E8A19A2"/>
    <w:rsid w:val="4EA73499"/>
    <w:rsid w:val="4EAF6660"/>
    <w:rsid w:val="4EB3274A"/>
    <w:rsid w:val="4EC112A5"/>
    <w:rsid w:val="4EC27DC2"/>
    <w:rsid w:val="4EC55A56"/>
    <w:rsid w:val="4ECD7A91"/>
    <w:rsid w:val="4EE33A64"/>
    <w:rsid w:val="4EE520BF"/>
    <w:rsid w:val="4EEC2511"/>
    <w:rsid w:val="4F05494C"/>
    <w:rsid w:val="4F0D50A9"/>
    <w:rsid w:val="4F11126D"/>
    <w:rsid w:val="4F1A62E3"/>
    <w:rsid w:val="4F1E19C9"/>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DF78E9"/>
    <w:rsid w:val="4FF22676"/>
    <w:rsid w:val="4FFE1B06"/>
    <w:rsid w:val="50047F66"/>
    <w:rsid w:val="500A40D7"/>
    <w:rsid w:val="501A122A"/>
    <w:rsid w:val="502138A5"/>
    <w:rsid w:val="50396C2A"/>
    <w:rsid w:val="505A67EB"/>
    <w:rsid w:val="50654940"/>
    <w:rsid w:val="50750658"/>
    <w:rsid w:val="50765757"/>
    <w:rsid w:val="508C15FC"/>
    <w:rsid w:val="509C3829"/>
    <w:rsid w:val="50B63FD8"/>
    <w:rsid w:val="50BB47E0"/>
    <w:rsid w:val="50BD18A9"/>
    <w:rsid w:val="50C46BEE"/>
    <w:rsid w:val="50D94705"/>
    <w:rsid w:val="50DF2385"/>
    <w:rsid w:val="50E33CEC"/>
    <w:rsid w:val="50F24380"/>
    <w:rsid w:val="50FC73BD"/>
    <w:rsid w:val="5104794E"/>
    <w:rsid w:val="510F1A3E"/>
    <w:rsid w:val="511C56B7"/>
    <w:rsid w:val="511D153D"/>
    <w:rsid w:val="51205FD8"/>
    <w:rsid w:val="513C4376"/>
    <w:rsid w:val="51435D0C"/>
    <w:rsid w:val="51446169"/>
    <w:rsid w:val="516B3CBC"/>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62B86"/>
    <w:rsid w:val="526E0E00"/>
    <w:rsid w:val="5270414C"/>
    <w:rsid w:val="52B224F0"/>
    <w:rsid w:val="52B41F04"/>
    <w:rsid w:val="52B6366E"/>
    <w:rsid w:val="52BE4189"/>
    <w:rsid w:val="52C660C9"/>
    <w:rsid w:val="52CF29D7"/>
    <w:rsid w:val="52D94139"/>
    <w:rsid w:val="52E3567F"/>
    <w:rsid w:val="52E63F13"/>
    <w:rsid w:val="52ED06D4"/>
    <w:rsid w:val="52F331C3"/>
    <w:rsid w:val="52F93FBF"/>
    <w:rsid w:val="53001BB3"/>
    <w:rsid w:val="53024A4D"/>
    <w:rsid w:val="530265E4"/>
    <w:rsid w:val="530A0C1B"/>
    <w:rsid w:val="53143779"/>
    <w:rsid w:val="531B3817"/>
    <w:rsid w:val="53264D65"/>
    <w:rsid w:val="532931AC"/>
    <w:rsid w:val="532F0995"/>
    <w:rsid w:val="53431E6B"/>
    <w:rsid w:val="534555A6"/>
    <w:rsid w:val="53501B3A"/>
    <w:rsid w:val="5367646B"/>
    <w:rsid w:val="537514ED"/>
    <w:rsid w:val="53815461"/>
    <w:rsid w:val="53987838"/>
    <w:rsid w:val="539B3544"/>
    <w:rsid w:val="539D40ED"/>
    <w:rsid w:val="539E2F53"/>
    <w:rsid w:val="53AB168D"/>
    <w:rsid w:val="53AD1FC2"/>
    <w:rsid w:val="53B07B30"/>
    <w:rsid w:val="53CD3590"/>
    <w:rsid w:val="53D23837"/>
    <w:rsid w:val="53D32C63"/>
    <w:rsid w:val="53DE6F83"/>
    <w:rsid w:val="53E17EA9"/>
    <w:rsid w:val="53ED247F"/>
    <w:rsid w:val="53EF3446"/>
    <w:rsid w:val="53F01264"/>
    <w:rsid w:val="53F82DF0"/>
    <w:rsid w:val="53FC0EC4"/>
    <w:rsid w:val="5400395F"/>
    <w:rsid w:val="54062707"/>
    <w:rsid w:val="540E194F"/>
    <w:rsid w:val="541233D7"/>
    <w:rsid w:val="5414737F"/>
    <w:rsid w:val="541C389D"/>
    <w:rsid w:val="541F29DD"/>
    <w:rsid w:val="5422041B"/>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C60B3"/>
    <w:rsid w:val="5574174F"/>
    <w:rsid w:val="55754E2B"/>
    <w:rsid w:val="55945D37"/>
    <w:rsid w:val="55AA0F8C"/>
    <w:rsid w:val="55B77BA9"/>
    <w:rsid w:val="55C87E5B"/>
    <w:rsid w:val="55CD5E8D"/>
    <w:rsid w:val="55DB4561"/>
    <w:rsid w:val="55DC0F43"/>
    <w:rsid w:val="55EB1F25"/>
    <w:rsid w:val="55EE0C26"/>
    <w:rsid w:val="56035B9D"/>
    <w:rsid w:val="56177866"/>
    <w:rsid w:val="561A04E3"/>
    <w:rsid w:val="562F774B"/>
    <w:rsid w:val="563E5AB2"/>
    <w:rsid w:val="563F540E"/>
    <w:rsid w:val="564C522B"/>
    <w:rsid w:val="56974290"/>
    <w:rsid w:val="56986987"/>
    <w:rsid w:val="56A501F8"/>
    <w:rsid w:val="56B67C5D"/>
    <w:rsid w:val="56C055FC"/>
    <w:rsid w:val="56CC638C"/>
    <w:rsid w:val="56D3410E"/>
    <w:rsid w:val="56D51BC3"/>
    <w:rsid w:val="56DB67A7"/>
    <w:rsid w:val="56E556D3"/>
    <w:rsid w:val="56EF34E3"/>
    <w:rsid w:val="56F33E8F"/>
    <w:rsid w:val="56FB37AA"/>
    <w:rsid w:val="56FC6F89"/>
    <w:rsid w:val="570D273C"/>
    <w:rsid w:val="571E1E61"/>
    <w:rsid w:val="57302766"/>
    <w:rsid w:val="573518D3"/>
    <w:rsid w:val="57501DED"/>
    <w:rsid w:val="575A1028"/>
    <w:rsid w:val="57634140"/>
    <w:rsid w:val="576524BB"/>
    <w:rsid w:val="576D6D93"/>
    <w:rsid w:val="57783683"/>
    <w:rsid w:val="577F5FA9"/>
    <w:rsid w:val="577F68C1"/>
    <w:rsid w:val="57812F5F"/>
    <w:rsid w:val="57A1557A"/>
    <w:rsid w:val="57C24C91"/>
    <w:rsid w:val="57CF2668"/>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2304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2400DF"/>
    <w:rsid w:val="5A285981"/>
    <w:rsid w:val="5A38069B"/>
    <w:rsid w:val="5A501A6D"/>
    <w:rsid w:val="5A552EDD"/>
    <w:rsid w:val="5A64740A"/>
    <w:rsid w:val="5A664CCE"/>
    <w:rsid w:val="5A746011"/>
    <w:rsid w:val="5A764626"/>
    <w:rsid w:val="5A8A5E83"/>
    <w:rsid w:val="5AA20ED6"/>
    <w:rsid w:val="5AA423B5"/>
    <w:rsid w:val="5AA708CA"/>
    <w:rsid w:val="5AA775FF"/>
    <w:rsid w:val="5AAC551A"/>
    <w:rsid w:val="5AB37F0E"/>
    <w:rsid w:val="5ADA3FE6"/>
    <w:rsid w:val="5AED2B97"/>
    <w:rsid w:val="5AF17F45"/>
    <w:rsid w:val="5AF26392"/>
    <w:rsid w:val="5AF37DCE"/>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65947"/>
    <w:rsid w:val="5C1739FF"/>
    <w:rsid w:val="5C182B40"/>
    <w:rsid w:val="5C3405B2"/>
    <w:rsid w:val="5C4863C1"/>
    <w:rsid w:val="5C61437B"/>
    <w:rsid w:val="5C683DBC"/>
    <w:rsid w:val="5C6C3BD8"/>
    <w:rsid w:val="5C7A6CC5"/>
    <w:rsid w:val="5C8C06C1"/>
    <w:rsid w:val="5C992D62"/>
    <w:rsid w:val="5CB02287"/>
    <w:rsid w:val="5CB4328D"/>
    <w:rsid w:val="5CC24B59"/>
    <w:rsid w:val="5CCC5196"/>
    <w:rsid w:val="5CDF5473"/>
    <w:rsid w:val="5CEF6584"/>
    <w:rsid w:val="5CF71428"/>
    <w:rsid w:val="5D1773C9"/>
    <w:rsid w:val="5D254024"/>
    <w:rsid w:val="5D34149D"/>
    <w:rsid w:val="5D3B5726"/>
    <w:rsid w:val="5D4601B1"/>
    <w:rsid w:val="5D494DBC"/>
    <w:rsid w:val="5D55588E"/>
    <w:rsid w:val="5D5A0839"/>
    <w:rsid w:val="5D67174C"/>
    <w:rsid w:val="5D703A41"/>
    <w:rsid w:val="5D7A5CAC"/>
    <w:rsid w:val="5D7B0085"/>
    <w:rsid w:val="5D7B50D7"/>
    <w:rsid w:val="5D811B5C"/>
    <w:rsid w:val="5DAB27C9"/>
    <w:rsid w:val="5DAF7B60"/>
    <w:rsid w:val="5DB46EC8"/>
    <w:rsid w:val="5DC22429"/>
    <w:rsid w:val="5DCB6A18"/>
    <w:rsid w:val="5DD371C8"/>
    <w:rsid w:val="5DDB0AAD"/>
    <w:rsid w:val="5DF84E51"/>
    <w:rsid w:val="5E156A90"/>
    <w:rsid w:val="5E211BF7"/>
    <w:rsid w:val="5E294CFC"/>
    <w:rsid w:val="5E3564A3"/>
    <w:rsid w:val="5E39617D"/>
    <w:rsid w:val="5E3E7C6D"/>
    <w:rsid w:val="5E400076"/>
    <w:rsid w:val="5E5A73BB"/>
    <w:rsid w:val="5E6572A9"/>
    <w:rsid w:val="5E6F4588"/>
    <w:rsid w:val="5E766ABA"/>
    <w:rsid w:val="5E790CA0"/>
    <w:rsid w:val="5E7945FC"/>
    <w:rsid w:val="5E930082"/>
    <w:rsid w:val="5E93121F"/>
    <w:rsid w:val="5EB351E3"/>
    <w:rsid w:val="5EB6009E"/>
    <w:rsid w:val="5EC43375"/>
    <w:rsid w:val="5ECB5E0F"/>
    <w:rsid w:val="5ED32946"/>
    <w:rsid w:val="5EE278D0"/>
    <w:rsid w:val="5F070F10"/>
    <w:rsid w:val="5F0E22EC"/>
    <w:rsid w:val="5F4C162A"/>
    <w:rsid w:val="5F4F10AF"/>
    <w:rsid w:val="5F5C4825"/>
    <w:rsid w:val="5F701D7B"/>
    <w:rsid w:val="5F727FC6"/>
    <w:rsid w:val="5F8874C5"/>
    <w:rsid w:val="5F8E65E6"/>
    <w:rsid w:val="5FA562EE"/>
    <w:rsid w:val="5FB67C3B"/>
    <w:rsid w:val="5FBA715C"/>
    <w:rsid w:val="5FBE789B"/>
    <w:rsid w:val="5FC469D3"/>
    <w:rsid w:val="5FD862BD"/>
    <w:rsid w:val="5FDD0F28"/>
    <w:rsid w:val="5FDE4C57"/>
    <w:rsid w:val="60085D90"/>
    <w:rsid w:val="60265BCA"/>
    <w:rsid w:val="603A2B07"/>
    <w:rsid w:val="6040415C"/>
    <w:rsid w:val="605333E0"/>
    <w:rsid w:val="6054527B"/>
    <w:rsid w:val="60613951"/>
    <w:rsid w:val="607F45F5"/>
    <w:rsid w:val="607F6BA2"/>
    <w:rsid w:val="608E4E60"/>
    <w:rsid w:val="609A3A92"/>
    <w:rsid w:val="60A35595"/>
    <w:rsid w:val="60A652C9"/>
    <w:rsid w:val="60A81050"/>
    <w:rsid w:val="60A94626"/>
    <w:rsid w:val="60B3575F"/>
    <w:rsid w:val="60BE3971"/>
    <w:rsid w:val="60C36BAA"/>
    <w:rsid w:val="60DA02C2"/>
    <w:rsid w:val="60E471F1"/>
    <w:rsid w:val="60F600EF"/>
    <w:rsid w:val="60F864F0"/>
    <w:rsid w:val="610244AA"/>
    <w:rsid w:val="61093E19"/>
    <w:rsid w:val="611304E9"/>
    <w:rsid w:val="61186287"/>
    <w:rsid w:val="613045F7"/>
    <w:rsid w:val="613C19CF"/>
    <w:rsid w:val="6145645F"/>
    <w:rsid w:val="614B50C1"/>
    <w:rsid w:val="61517443"/>
    <w:rsid w:val="61593AF6"/>
    <w:rsid w:val="615E036B"/>
    <w:rsid w:val="6161797C"/>
    <w:rsid w:val="616D653E"/>
    <w:rsid w:val="61705093"/>
    <w:rsid w:val="61791AAE"/>
    <w:rsid w:val="618F5E5F"/>
    <w:rsid w:val="61B00A1E"/>
    <w:rsid w:val="61C44FB6"/>
    <w:rsid w:val="61CA606C"/>
    <w:rsid w:val="61D12494"/>
    <w:rsid w:val="61D3123E"/>
    <w:rsid w:val="61D4596C"/>
    <w:rsid w:val="61DE243F"/>
    <w:rsid w:val="61ED2A14"/>
    <w:rsid w:val="62006316"/>
    <w:rsid w:val="621A51B1"/>
    <w:rsid w:val="621B7911"/>
    <w:rsid w:val="62244482"/>
    <w:rsid w:val="622446F8"/>
    <w:rsid w:val="622C2A0D"/>
    <w:rsid w:val="62364403"/>
    <w:rsid w:val="62387CD2"/>
    <w:rsid w:val="62436960"/>
    <w:rsid w:val="62521D8C"/>
    <w:rsid w:val="625C6B16"/>
    <w:rsid w:val="625F53CD"/>
    <w:rsid w:val="62604FDE"/>
    <w:rsid w:val="62642997"/>
    <w:rsid w:val="62686E91"/>
    <w:rsid w:val="627B5880"/>
    <w:rsid w:val="6294124F"/>
    <w:rsid w:val="629C00D6"/>
    <w:rsid w:val="629C583C"/>
    <w:rsid w:val="629F5000"/>
    <w:rsid w:val="62CA2E80"/>
    <w:rsid w:val="62CB57FE"/>
    <w:rsid w:val="62D17676"/>
    <w:rsid w:val="62D32BA1"/>
    <w:rsid w:val="62E37288"/>
    <w:rsid w:val="63027145"/>
    <w:rsid w:val="63075750"/>
    <w:rsid w:val="630E1549"/>
    <w:rsid w:val="631040EF"/>
    <w:rsid w:val="63147EC5"/>
    <w:rsid w:val="63162979"/>
    <w:rsid w:val="631D7C98"/>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0276B"/>
    <w:rsid w:val="63F43CF5"/>
    <w:rsid w:val="63FF4C2E"/>
    <w:rsid w:val="640A7A27"/>
    <w:rsid w:val="64104E63"/>
    <w:rsid w:val="6419743D"/>
    <w:rsid w:val="641F310C"/>
    <w:rsid w:val="642D197F"/>
    <w:rsid w:val="64351649"/>
    <w:rsid w:val="64505561"/>
    <w:rsid w:val="6451172E"/>
    <w:rsid w:val="645B218B"/>
    <w:rsid w:val="64615543"/>
    <w:rsid w:val="646949A2"/>
    <w:rsid w:val="646A5923"/>
    <w:rsid w:val="646F28D9"/>
    <w:rsid w:val="64752152"/>
    <w:rsid w:val="64802D6E"/>
    <w:rsid w:val="6481537F"/>
    <w:rsid w:val="649B5D57"/>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65BD7"/>
    <w:rsid w:val="653D34A1"/>
    <w:rsid w:val="654C0A01"/>
    <w:rsid w:val="654C400E"/>
    <w:rsid w:val="655C6B59"/>
    <w:rsid w:val="65686596"/>
    <w:rsid w:val="65931D3A"/>
    <w:rsid w:val="659822DD"/>
    <w:rsid w:val="65A3380C"/>
    <w:rsid w:val="65AF3DC5"/>
    <w:rsid w:val="65B44DD6"/>
    <w:rsid w:val="65D21F83"/>
    <w:rsid w:val="65D60201"/>
    <w:rsid w:val="65D95B4E"/>
    <w:rsid w:val="65E174B2"/>
    <w:rsid w:val="65F01AB4"/>
    <w:rsid w:val="65FE7F42"/>
    <w:rsid w:val="66007C45"/>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D440E3"/>
    <w:rsid w:val="67D514C6"/>
    <w:rsid w:val="67EA233A"/>
    <w:rsid w:val="67EF30B3"/>
    <w:rsid w:val="68061993"/>
    <w:rsid w:val="680D0939"/>
    <w:rsid w:val="68237FD2"/>
    <w:rsid w:val="68252054"/>
    <w:rsid w:val="68331294"/>
    <w:rsid w:val="68394CF3"/>
    <w:rsid w:val="684224C0"/>
    <w:rsid w:val="684557CE"/>
    <w:rsid w:val="68466D27"/>
    <w:rsid w:val="685F5D48"/>
    <w:rsid w:val="686A00C3"/>
    <w:rsid w:val="686D127F"/>
    <w:rsid w:val="687067F6"/>
    <w:rsid w:val="68741E62"/>
    <w:rsid w:val="6874371C"/>
    <w:rsid w:val="68747A3A"/>
    <w:rsid w:val="68802A41"/>
    <w:rsid w:val="6885133E"/>
    <w:rsid w:val="689078F6"/>
    <w:rsid w:val="689304A0"/>
    <w:rsid w:val="68B65617"/>
    <w:rsid w:val="68B729D2"/>
    <w:rsid w:val="68B93D81"/>
    <w:rsid w:val="68BC7885"/>
    <w:rsid w:val="68D1337E"/>
    <w:rsid w:val="68E3352F"/>
    <w:rsid w:val="68E65278"/>
    <w:rsid w:val="68EC04DE"/>
    <w:rsid w:val="68FC7FC0"/>
    <w:rsid w:val="69022832"/>
    <w:rsid w:val="69093CAF"/>
    <w:rsid w:val="69097784"/>
    <w:rsid w:val="690B7520"/>
    <w:rsid w:val="691200AE"/>
    <w:rsid w:val="69152147"/>
    <w:rsid w:val="69285AA8"/>
    <w:rsid w:val="6931256A"/>
    <w:rsid w:val="69317031"/>
    <w:rsid w:val="69647D29"/>
    <w:rsid w:val="697E74B0"/>
    <w:rsid w:val="6992357A"/>
    <w:rsid w:val="69AB1271"/>
    <w:rsid w:val="69AF21EC"/>
    <w:rsid w:val="69B96038"/>
    <w:rsid w:val="69C76718"/>
    <w:rsid w:val="69C81164"/>
    <w:rsid w:val="69CF00C0"/>
    <w:rsid w:val="69D85016"/>
    <w:rsid w:val="69DA61FE"/>
    <w:rsid w:val="69DC02CC"/>
    <w:rsid w:val="69E67C99"/>
    <w:rsid w:val="69FD5302"/>
    <w:rsid w:val="6A0456C2"/>
    <w:rsid w:val="6A0A518E"/>
    <w:rsid w:val="6A0B165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97F5A"/>
    <w:rsid w:val="6AF42FD3"/>
    <w:rsid w:val="6B05038A"/>
    <w:rsid w:val="6B176BC8"/>
    <w:rsid w:val="6B2B66DF"/>
    <w:rsid w:val="6B716202"/>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00289"/>
    <w:rsid w:val="6C973107"/>
    <w:rsid w:val="6C9D26A9"/>
    <w:rsid w:val="6CB561E6"/>
    <w:rsid w:val="6CC02E2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D7F2F"/>
    <w:rsid w:val="6D594AFC"/>
    <w:rsid w:val="6D64766A"/>
    <w:rsid w:val="6D696D90"/>
    <w:rsid w:val="6D986AF3"/>
    <w:rsid w:val="6DAB236E"/>
    <w:rsid w:val="6DB60733"/>
    <w:rsid w:val="6DBB120B"/>
    <w:rsid w:val="6DBE1A43"/>
    <w:rsid w:val="6DCB287A"/>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0E7773"/>
    <w:rsid w:val="6F1A0BE2"/>
    <w:rsid w:val="6F1A2251"/>
    <w:rsid w:val="6F1A6D0C"/>
    <w:rsid w:val="6F231DFF"/>
    <w:rsid w:val="6F2A675D"/>
    <w:rsid w:val="6F5C3578"/>
    <w:rsid w:val="6F6F9F3D"/>
    <w:rsid w:val="6F7F78D9"/>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82C39"/>
    <w:rsid w:val="703D65DA"/>
    <w:rsid w:val="703F08EA"/>
    <w:rsid w:val="703F5BF3"/>
    <w:rsid w:val="704369C9"/>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9F49F9"/>
    <w:rsid w:val="71A64B9C"/>
    <w:rsid w:val="71B95573"/>
    <w:rsid w:val="71BB5741"/>
    <w:rsid w:val="71C30E32"/>
    <w:rsid w:val="71CE7B26"/>
    <w:rsid w:val="71E0131C"/>
    <w:rsid w:val="71E02D3A"/>
    <w:rsid w:val="71EB7849"/>
    <w:rsid w:val="71EC1C07"/>
    <w:rsid w:val="71F24FB3"/>
    <w:rsid w:val="71F52906"/>
    <w:rsid w:val="71FA77DB"/>
    <w:rsid w:val="720D1F2F"/>
    <w:rsid w:val="72217E8B"/>
    <w:rsid w:val="72256327"/>
    <w:rsid w:val="726D6FD7"/>
    <w:rsid w:val="727D4077"/>
    <w:rsid w:val="727E121A"/>
    <w:rsid w:val="72863AA7"/>
    <w:rsid w:val="728F7ACD"/>
    <w:rsid w:val="72943159"/>
    <w:rsid w:val="72953AF1"/>
    <w:rsid w:val="729B6C0B"/>
    <w:rsid w:val="72AC0607"/>
    <w:rsid w:val="72AD7075"/>
    <w:rsid w:val="72B20521"/>
    <w:rsid w:val="72B80B69"/>
    <w:rsid w:val="72C4162D"/>
    <w:rsid w:val="72D6281A"/>
    <w:rsid w:val="72DC7380"/>
    <w:rsid w:val="72DE30C9"/>
    <w:rsid w:val="72E328D4"/>
    <w:rsid w:val="72E43F2E"/>
    <w:rsid w:val="73150018"/>
    <w:rsid w:val="731755DE"/>
    <w:rsid w:val="731F472C"/>
    <w:rsid w:val="73225980"/>
    <w:rsid w:val="734C1455"/>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3039A"/>
    <w:rsid w:val="74273790"/>
    <w:rsid w:val="74432E49"/>
    <w:rsid w:val="744732F4"/>
    <w:rsid w:val="744D309E"/>
    <w:rsid w:val="744D6CEA"/>
    <w:rsid w:val="745C1017"/>
    <w:rsid w:val="745C2583"/>
    <w:rsid w:val="746022ED"/>
    <w:rsid w:val="747B47C1"/>
    <w:rsid w:val="747B6FB9"/>
    <w:rsid w:val="748969B2"/>
    <w:rsid w:val="749D5FFC"/>
    <w:rsid w:val="74A76C06"/>
    <w:rsid w:val="74B55A7D"/>
    <w:rsid w:val="74C11875"/>
    <w:rsid w:val="74C177D1"/>
    <w:rsid w:val="74CD1DBC"/>
    <w:rsid w:val="74D329FB"/>
    <w:rsid w:val="74D57736"/>
    <w:rsid w:val="74D76582"/>
    <w:rsid w:val="74E30911"/>
    <w:rsid w:val="74E41769"/>
    <w:rsid w:val="74FD6AF9"/>
    <w:rsid w:val="7505436A"/>
    <w:rsid w:val="750C6A6D"/>
    <w:rsid w:val="7514582F"/>
    <w:rsid w:val="75207767"/>
    <w:rsid w:val="754B359F"/>
    <w:rsid w:val="75514745"/>
    <w:rsid w:val="755334CE"/>
    <w:rsid w:val="755976A1"/>
    <w:rsid w:val="756C77A6"/>
    <w:rsid w:val="758B7BC5"/>
    <w:rsid w:val="75971833"/>
    <w:rsid w:val="759B4D4E"/>
    <w:rsid w:val="759E36E7"/>
    <w:rsid w:val="75A90395"/>
    <w:rsid w:val="75C24F30"/>
    <w:rsid w:val="75C42A34"/>
    <w:rsid w:val="75C97A4F"/>
    <w:rsid w:val="75CA29A8"/>
    <w:rsid w:val="75CA6FC2"/>
    <w:rsid w:val="75D0102D"/>
    <w:rsid w:val="75D72FE8"/>
    <w:rsid w:val="75D9071B"/>
    <w:rsid w:val="75DA0B91"/>
    <w:rsid w:val="75DD11C7"/>
    <w:rsid w:val="75E64749"/>
    <w:rsid w:val="75F062A3"/>
    <w:rsid w:val="75F158D8"/>
    <w:rsid w:val="75FE1C7F"/>
    <w:rsid w:val="760043B5"/>
    <w:rsid w:val="76044DBC"/>
    <w:rsid w:val="7608238C"/>
    <w:rsid w:val="76094850"/>
    <w:rsid w:val="76095B3C"/>
    <w:rsid w:val="762142B8"/>
    <w:rsid w:val="762A6911"/>
    <w:rsid w:val="762A6F77"/>
    <w:rsid w:val="762B7BC5"/>
    <w:rsid w:val="762E7C4C"/>
    <w:rsid w:val="763F24D2"/>
    <w:rsid w:val="764A13AC"/>
    <w:rsid w:val="76504B2A"/>
    <w:rsid w:val="76515480"/>
    <w:rsid w:val="76584731"/>
    <w:rsid w:val="76601709"/>
    <w:rsid w:val="76742690"/>
    <w:rsid w:val="767D65DB"/>
    <w:rsid w:val="76830CCE"/>
    <w:rsid w:val="768D6682"/>
    <w:rsid w:val="7698178A"/>
    <w:rsid w:val="769F2DD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E55B8"/>
    <w:rsid w:val="77FF444C"/>
    <w:rsid w:val="78102276"/>
    <w:rsid w:val="78164B46"/>
    <w:rsid w:val="784D556E"/>
    <w:rsid w:val="784E76DC"/>
    <w:rsid w:val="786A010A"/>
    <w:rsid w:val="787C42DD"/>
    <w:rsid w:val="788A5451"/>
    <w:rsid w:val="789418F0"/>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9EC428F"/>
    <w:rsid w:val="7A2013FC"/>
    <w:rsid w:val="7A215327"/>
    <w:rsid w:val="7A24075A"/>
    <w:rsid w:val="7A293534"/>
    <w:rsid w:val="7A3643BA"/>
    <w:rsid w:val="7A380C3F"/>
    <w:rsid w:val="7A4C0DA0"/>
    <w:rsid w:val="7A501741"/>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98535A"/>
    <w:rsid w:val="7BA83698"/>
    <w:rsid w:val="7BAE48FC"/>
    <w:rsid w:val="7BB83DF8"/>
    <w:rsid w:val="7BBA2E35"/>
    <w:rsid w:val="7BC45DE2"/>
    <w:rsid w:val="7BC476A1"/>
    <w:rsid w:val="7BC76B4E"/>
    <w:rsid w:val="7BCC163B"/>
    <w:rsid w:val="7BD965EC"/>
    <w:rsid w:val="7BDF360D"/>
    <w:rsid w:val="7BE66796"/>
    <w:rsid w:val="7BFF4559"/>
    <w:rsid w:val="7C0827FE"/>
    <w:rsid w:val="7C1A756B"/>
    <w:rsid w:val="7C1B1028"/>
    <w:rsid w:val="7C226546"/>
    <w:rsid w:val="7C27745C"/>
    <w:rsid w:val="7C2B2034"/>
    <w:rsid w:val="7C3043FE"/>
    <w:rsid w:val="7C455132"/>
    <w:rsid w:val="7C4E1254"/>
    <w:rsid w:val="7C4F607B"/>
    <w:rsid w:val="7C54745D"/>
    <w:rsid w:val="7C556A53"/>
    <w:rsid w:val="7C583982"/>
    <w:rsid w:val="7C7D0B32"/>
    <w:rsid w:val="7C804B0D"/>
    <w:rsid w:val="7C8C5EFB"/>
    <w:rsid w:val="7CA31AB6"/>
    <w:rsid w:val="7CA4518D"/>
    <w:rsid w:val="7CBE5D37"/>
    <w:rsid w:val="7CCB376D"/>
    <w:rsid w:val="7CD17149"/>
    <w:rsid w:val="7CD730F8"/>
    <w:rsid w:val="7CEF7B71"/>
    <w:rsid w:val="7CF659DD"/>
    <w:rsid w:val="7D027F2A"/>
    <w:rsid w:val="7D061726"/>
    <w:rsid w:val="7D0A1A32"/>
    <w:rsid w:val="7D0C1069"/>
    <w:rsid w:val="7D0E4B5B"/>
    <w:rsid w:val="7D1B6EB8"/>
    <w:rsid w:val="7D245339"/>
    <w:rsid w:val="7D33504E"/>
    <w:rsid w:val="7D362C54"/>
    <w:rsid w:val="7D363C81"/>
    <w:rsid w:val="7D3C08AA"/>
    <w:rsid w:val="7D3D410B"/>
    <w:rsid w:val="7D4928DE"/>
    <w:rsid w:val="7D4C641E"/>
    <w:rsid w:val="7D5C493C"/>
    <w:rsid w:val="7D8605C7"/>
    <w:rsid w:val="7D8F6B8C"/>
    <w:rsid w:val="7DAE540F"/>
    <w:rsid w:val="7DB07FBB"/>
    <w:rsid w:val="7DB520AD"/>
    <w:rsid w:val="7DD535C7"/>
    <w:rsid w:val="7DD80B95"/>
    <w:rsid w:val="7DDC0344"/>
    <w:rsid w:val="7DE75F71"/>
    <w:rsid w:val="7DEA41A0"/>
    <w:rsid w:val="7DF1781A"/>
    <w:rsid w:val="7DF5241B"/>
    <w:rsid w:val="7DF64FBE"/>
    <w:rsid w:val="7DF7247F"/>
    <w:rsid w:val="7E0C5874"/>
    <w:rsid w:val="7E0D5730"/>
    <w:rsid w:val="7E1C1F79"/>
    <w:rsid w:val="7E1F2DD5"/>
    <w:rsid w:val="7E2A39F6"/>
    <w:rsid w:val="7E3C6DB1"/>
    <w:rsid w:val="7E4313B6"/>
    <w:rsid w:val="7E480690"/>
    <w:rsid w:val="7E513527"/>
    <w:rsid w:val="7E6071B0"/>
    <w:rsid w:val="7E792CC3"/>
    <w:rsid w:val="7E804FCB"/>
    <w:rsid w:val="7E8E42BF"/>
    <w:rsid w:val="7E90670A"/>
    <w:rsid w:val="7E9212CE"/>
    <w:rsid w:val="7E9552F4"/>
    <w:rsid w:val="7E971EEC"/>
    <w:rsid w:val="7EA6705B"/>
    <w:rsid w:val="7ED44F77"/>
    <w:rsid w:val="7ED544B5"/>
    <w:rsid w:val="7EDB49B6"/>
    <w:rsid w:val="7EEF0F32"/>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 w:val="AFFF844A"/>
    <w:rsid w:val="BFD5B753"/>
    <w:rsid w:val="D5FF5398"/>
    <w:rsid w:val="EE9FF5D2"/>
    <w:rsid w:val="F3F8420F"/>
    <w:rsid w:val="FF9EE033"/>
    <w:rsid w:val="FFF61E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10">
    <w:name w:val="Normal Indent"/>
    <w:basedOn w:val="1"/>
    <w:qFormat/>
    <w:uiPriority w:val="0"/>
    <w:pPr>
      <w:ind w:firstLine="420" w:firstLineChars="200"/>
    </w:pPr>
  </w:style>
  <w:style w:type="paragraph" w:styleId="11">
    <w:name w:val="annotation text"/>
    <w:basedOn w:val="1"/>
    <w:qFormat/>
    <w:uiPriority w:val="0"/>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sz w:val="21"/>
    </w:rPr>
  </w:style>
  <w:style w:type="paragraph" w:styleId="14">
    <w:name w:val="Balloon Text"/>
    <w:basedOn w:val="1"/>
    <w:link w:val="69"/>
    <w:qFormat/>
    <w:uiPriority w:val="0"/>
    <w:pPr>
      <w:spacing w:line="240" w:lineRule="auto"/>
    </w:pPr>
    <w:rPr>
      <w:sz w:val="18"/>
      <w:szCs w:val="18"/>
    </w:rPr>
  </w:style>
  <w:style w:type="paragraph" w:styleId="15">
    <w:name w:val="footer"/>
    <w:basedOn w:val="1"/>
    <w:link w:val="27"/>
    <w:qFormat/>
    <w:uiPriority w:val="0"/>
    <w:pPr>
      <w:spacing w:line="240" w:lineRule="auto"/>
    </w:pPr>
    <w:rPr>
      <w:sz w:val="18"/>
      <w:szCs w:val="18"/>
    </w:rPr>
  </w:style>
  <w:style w:type="paragraph" w:styleId="16">
    <w:name w:val="header"/>
    <w:basedOn w:val="1"/>
    <w:link w:val="26"/>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oc 2"/>
    <w:basedOn w:val="1"/>
    <w:next w:val="1"/>
    <w:qFormat/>
    <w:uiPriority w:val="0"/>
    <w:pPr>
      <w:wordWrap w:val="0"/>
      <w:topLinePunct/>
      <w:spacing w:line="400" w:lineRule="exact"/>
      <w:ind w:left="420" w:leftChars="200"/>
    </w:pPr>
    <w:rPr>
      <w:sz w:val="21"/>
    </w:rPr>
  </w:style>
  <w:style w:type="paragraph" w:styleId="19">
    <w:name w:val="Normal (Web)"/>
    <w:basedOn w:val="1"/>
    <w:qFormat/>
    <w:uiPriority w:val="0"/>
    <w:pPr>
      <w:spacing w:beforeAutospacing="1" w:afterAutospacing="1"/>
    </w:pPr>
    <w:rPr>
      <w:rFonts w:cs="Times New Roman"/>
      <w:kern w:val="0"/>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paragraph" w:customStyle="1" w:styleId="24">
    <w:name w:val="标题 5（有编号）（绿盟科技）"/>
    <w:basedOn w:val="1"/>
    <w:next w:val="25"/>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字符"/>
    <w:basedOn w:val="22"/>
    <w:link w:val="16"/>
    <w:qFormat/>
    <w:uiPriority w:val="0"/>
    <w:rPr>
      <w:rFonts w:ascii="宋体" w:hAnsi="宋体" w:eastAsia="宋体" w:cstheme="minorBidi"/>
      <w:kern w:val="2"/>
      <w:sz w:val="18"/>
      <w:szCs w:val="18"/>
    </w:rPr>
  </w:style>
  <w:style w:type="character" w:customStyle="1" w:styleId="27">
    <w:name w:val="页脚 字符"/>
    <w:basedOn w:val="22"/>
    <w:link w:val="15"/>
    <w:qFormat/>
    <w:uiPriority w:val="0"/>
    <w:rPr>
      <w:rFonts w:ascii="宋体" w:hAnsi="宋体" w:eastAsia="宋体" w:cstheme="minorBidi"/>
      <w:kern w:val="2"/>
      <w:sz w:val="18"/>
      <w:szCs w:val="18"/>
    </w:rPr>
  </w:style>
  <w:style w:type="character" w:customStyle="1" w:styleId="28">
    <w:name w:val="标题 2 字符"/>
    <w:basedOn w:val="22"/>
    <w:link w:val="4"/>
    <w:qFormat/>
    <w:uiPriority w:val="0"/>
    <w:rPr>
      <w:rFonts w:ascii="Arial" w:hAnsi="Arial" w:eastAsia="黑体"/>
      <w:b/>
      <w:sz w:val="28"/>
    </w:rPr>
  </w:style>
  <w:style w:type="paragraph" w:customStyle="1" w:styleId="29">
    <w:name w:val="05、“(一)”正文三级标题"/>
    <w:basedOn w:val="1"/>
    <w:link w:val="54"/>
    <w:qFormat/>
    <w:uiPriority w:val="0"/>
    <w:pPr>
      <w:numPr>
        <w:ilvl w:val="1"/>
        <w:numId w:val="1"/>
      </w:numPr>
      <w:wordWrap w:val="0"/>
      <w:topLinePunct/>
      <w:ind w:firstLine="803" w:firstLineChars="200"/>
    </w:pPr>
  </w:style>
  <w:style w:type="paragraph" w:customStyle="1" w:styleId="30">
    <w:name w:val="00、封面正文(与其他内容无关的格式)"/>
    <w:basedOn w:val="1"/>
    <w:qFormat/>
    <w:uiPriority w:val="0"/>
  </w:style>
  <w:style w:type="paragraph" w:customStyle="1" w:styleId="31">
    <w:name w:val="15、“一、”二级标题"/>
    <w:basedOn w:val="1"/>
    <w:qFormat/>
    <w:uiPriority w:val="0"/>
    <w:pPr>
      <w:numPr>
        <w:ilvl w:val="1"/>
        <w:numId w:val="3"/>
      </w:numPr>
      <w:wordWrap w:val="0"/>
      <w:topLinePunct/>
      <w:ind w:firstLine="803" w:firstLineChars="200"/>
      <w:outlineLvl w:val="1"/>
    </w:pPr>
    <w:rPr>
      <w:b/>
    </w:rPr>
  </w:style>
  <w:style w:type="paragraph" w:customStyle="1" w:styleId="32">
    <w:name w:val="06、“1.”正文四级标题"/>
    <w:basedOn w:val="1"/>
    <w:link w:val="56"/>
    <w:qFormat/>
    <w:uiPriority w:val="0"/>
    <w:pPr>
      <w:numPr>
        <w:ilvl w:val="2"/>
        <w:numId w:val="1"/>
      </w:numPr>
      <w:wordWrap w:val="0"/>
      <w:topLinePunct/>
      <w:ind w:firstLine="803" w:firstLineChars="200"/>
    </w:pPr>
    <w:rPr>
      <w:snapToGrid w:val="0"/>
    </w:rPr>
  </w:style>
  <w:style w:type="paragraph" w:customStyle="1" w:styleId="33">
    <w:name w:val="07、“1.1”正文五级标题"/>
    <w:basedOn w:val="1"/>
    <w:link w:val="48"/>
    <w:qFormat/>
    <w:uiPriority w:val="0"/>
    <w:pPr>
      <w:numPr>
        <w:ilvl w:val="3"/>
        <w:numId w:val="1"/>
      </w:numPr>
      <w:ind w:firstLine="803" w:firstLineChars="200"/>
    </w:pPr>
  </w:style>
  <w:style w:type="paragraph" w:customStyle="1" w:styleId="34">
    <w:name w:val="08、“(1)”正文六级标题"/>
    <w:basedOn w:val="1"/>
    <w:link w:val="57"/>
    <w:qFormat/>
    <w:uiPriority w:val="0"/>
    <w:pPr>
      <w:numPr>
        <w:ilvl w:val="4"/>
        <w:numId w:val="1"/>
      </w:numPr>
      <w:ind w:firstLine="803" w:firstLineChars="200"/>
    </w:pPr>
    <w:rPr>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36">
    <w:name w:val="10、“1.1”表格内二级标题"/>
    <w:basedOn w:val="1"/>
    <w:link w:val="47"/>
    <w:qFormat/>
    <w:uiPriority w:val="0"/>
    <w:pPr>
      <w:numPr>
        <w:ilvl w:val="1"/>
        <w:numId w:val="4"/>
      </w:numPr>
      <w:wordWrap w:val="0"/>
      <w:topLinePunct/>
      <w:spacing w:line="360" w:lineRule="exact"/>
      <w:ind w:left="48" w:leftChars="20"/>
    </w:pPr>
    <w:rPr>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38">
    <w:name w:val="12、表格内左对齐正文"/>
    <w:basedOn w:val="1"/>
    <w:link w:val="58"/>
    <w:qFormat/>
    <w:uiPriority w:val="0"/>
    <w:pPr>
      <w:wordWrap w:val="0"/>
      <w:topLinePunct/>
      <w:spacing w:line="360" w:lineRule="exact"/>
      <w:ind w:left="48" w:leftChars="20"/>
    </w:pPr>
    <w:rPr>
      <w:snapToGrid w:val="0"/>
      <w:sz w:val="21"/>
    </w:rPr>
  </w:style>
  <w:style w:type="paragraph" w:customStyle="1" w:styleId="39">
    <w:name w:val="01、普通正文"/>
    <w:basedOn w:val="1"/>
    <w:link w:val="52"/>
    <w:qFormat/>
    <w:uiPriority w:val="0"/>
    <w:pPr>
      <w:wordWrap w:val="0"/>
      <w:topLinePunct/>
    </w:pPr>
    <w:rPr>
      <w:snapToGrid w:val="0"/>
    </w:rPr>
  </w:style>
  <w:style w:type="paragraph" w:customStyle="1" w:styleId="40">
    <w:name w:val="20、第五章“(一)”三级标题"/>
    <w:basedOn w:val="39"/>
    <w:link w:val="49"/>
    <w:qFormat/>
    <w:uiPriority w:val="0"/>
    <w:pPr>
      <w:pageBreakBefore/>
      <w:spacing w:before="50" w:beforeLines="50" w:after="50" w:afterLines="50"/>
      <w:jc w:val="center"/>
      <w:outlineLvl w:val="2"/>
    </w:pPr>
    <w:rPr>
      <w:b/>
      <w:sz w:val="28"/>
    </w:rPr>
  </w:style>
  <w:style w:type="paragraph" w:customStyle="1" w:styleId="41">
    <w:name w:val="13、表格内居中正文"/>
    <w:basedOn w:val="1"/>
    <w:qFormat/>
    <w:uiPriority w:val="0"/>
    <w:pPr>
      <w:wordWrap w:val="0"/>
      <w:topLinePunct/>
      <w:spacing w:line="360" w:lineRule="exact"/>
      <w:jc w:val="center"/>
    </w:pPr>
    <w:rPr>
      <w:sz w:val="21"/>
    </w:rPr>
  </w:style>
  <w:style w:type="paragraph" w:customStyle="1" w:styleId="42">
    <w:name w:val="02、首行缩进2字符正文"/>
    <w:basedOn w:val="1"/>
    <w:link w:val="51"/>
    <w:qFormat/>
    <w:uiPriority w:val="0"/>
    <w:pPr>
      <w:wordWrap w:val="0"/>
      <w:topLinePunct/>
      <w:ind w:firstLine="480" w:firstLineChars="200"/>
    </w:pPr>
  </w:style>
  <w:style w:type="paragraph" w:customStyle="1" w:styleId="43">
    <w:name w:val="03、“注：”正文(加粗，首行缩进2字符)"/>
    <w:basedOn w:val="39"/>
    <w:link w:val="53"/>
    <w:qFormat/>
    <w:uiPriority w:val="0"/>
    <w:pPr>
      <w:ind w:firstLine="480" w:firstLineChars="200"/>
    </w:pPr>
    <w:rPr>
      <w:b/>
    </w:rPr>
  </w:style>
  <w:style w:type="paragraph" w:customStyle="1" w:styleId="44">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5">
    <w:name w:val="16、“(一)”三级标题"/>
    <w:basedOn w:val="39"/>
    <w:link w:val="50"/>
    <w:qFormat/>
    <w:uiPriority w:val="0"/>
    <w:pPr>
      <w:numPr>
        <w:ilvl w:val="2"/>
        <w:numId w:val="3"/>
      </w:numPr>
      <w:ind w:firstLine="803" w:firstLineChars="200"/>
      <w:outlineLvl w:val="2"/>
    </w:pPr>
    <w:rPr>
      <w:b/>
    </w:rPr>
  </w:style>
  <w:style w:type="paragraph" w:customStyle="1" w:styleId="46">
    <w:name w:val="04“一、”正文二级标题"/>
    <w:basedOn w:val="39"/>
    <w:link w:val="55"/>
    <w:qFormat/>
    <w:uiPriority w:val="0"/>
    <w:pPr>
      <w:ind w:firstLine="803" w:firstLineChars="200"/>
    </w:pPr>
  </w:style>
  <w:style w:type="character" w:customStyle="1" w:styleId="47">
    <w:name w:val="10、“1.1”表格内二级标题 Char"/>
    <w:link w:val="36"/>
    <w:qFormat/>
    <w:uiPriority w:val="0"/>
    <w:rPr>
      <w:rFonts w:ascii="宋体" w:hAnsi="宋体" w:eastAsia="宋体"/>
      <w:snapToGrid w:val="0"/>
      <w:sz w:val="21"/>
    </w:rPr>
  </w:style>
  <w:style w:type="character" w:customStyle="1" w:styleId="48">
    <w:name w:val="07、“1.1”正文五级标题 Char"/>
    <w:link w:val="33"/>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napToGrid w:val="0"/>
      <w:kern w:val="2"/>
      <w:sz w:val="28"/>
      <w:szCs w:val="24"/>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9"/>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9"/>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2"/>
    <w:qFormat/>
    <w:uiPriority w:val="0"/>
    <w:rPr>
      <w:rFonts w:ascii="宋体" w:hAnsi="宋体" w:eastAsia="宋体"/>
      <w:snapToGrid w:val="0"/>
    </w:rPr>
  </w:style>
  <w:style w:type="character" w:customStyle="1" w:styleId="57">
    <w:name w:val="08、“(1)”正文六级标题 Char"/>
    <w:link w:val="34"/>
    <w:qFormat/>
    <w:uiPriority w:val="0"/>
    <w:rPr>
      <w:rFonts w:ascii="宋体" w:hAnsi="宋体" w:eastAsia="宋体"/>
      <w:snapToGrid w:val="0"/>
    </w:rPr>
  </w:style>
  <w:style w:type="character" w:customStyle="1" w:styleId="58">
    <w:name w:val="12、表格内左对齐正文 Char"/>
    <w:link w:val="38"/>
    <w:qFormat/>
    <w:uiPriority w:val="0"/>
    <w:rPr>
      <w:rFonts w:ascii="宋体" w:hAnsi="宋体" w:eastAsia="宋体"/>
      <w:snapToGrid w:val="0"/>
      <w:sz w:val="21"/>
    </w:rPr>
  </w:style>
  <w:style w:type="paragraph" w:customStyle="1" w:styleId="59">
    <w:name w:val="17“1.”四级标题"/>
    <w:basedOn w:val="42"/>
    <w:link w:val="63"/>
    <w:qFormat/>
    <w:uiPriority w:val="0"/>
    <w:pPr>
      <w:numPr>
        <w:ilvl w:val="3"/>
        <w:numId w:val="3"/>
      </w:numPr>
      <w:ind w:firstLine="803"/>
    </w:pPr>
  </w:style>
  <w:style w:type="paragraph" w:customStyle="1" w:styleId="60">
    <w:name w:val="18、“1.1”五级标题"/>
    <w:basedOn w:val="59"/>
    <w:qFormat/>
    <w:uiPriority w:val="0"/>
    <w:pPr>
      <w:numPr>
        <w:ilvl w:val="4"/>
      </w:numPr>
      <w:ind w:firstLine="803"/>
    </w:pPr>
  </w:style>
  <w:style w:type="paragraph" w:customStyle="1" w:styleId="61">
    <w:name w:val="19、“(1)”六级标题"/>
    <w:basedOn w:val="59"/>
    <w:qFormat/>
    <w:uiPriority w:val="0"/>
    <w:pPr>
      <w:numPr>
        <w:ilvl w:val="5"/>
      </w:numPr>
      <w:ind w:firstLine="803"/>
    </w:pPr>
  </w:style>
  <w:style w:type="paragraph" w:customStyle="1" w:styleId="62">
    <w:name w:val="21、合同二级标题序号"/>
    <w:basedOn w:val="39"/>
    <w:qFormat/>
    <w:uiPriority w:val="0"/>
    <w:pPr>
      <w:numPr>
        <w:ilvl w:val="0"/>
        <w:numId w:val="5"/>
      </w:numPr>
      <w:ind w:firstLine="803" w:firstLineChars="200"/>
      <w:outlineLvl w:val="1"/>
    </w:pPr>
    <w:rPr>
      <w:b/>
    </w:rPr>
  </w:style>
  <w:style w:type="character" w:customStyle="1" w:styleId="63">
    <w:name w:val="17“1.”四级标题 Char"/>
    <w:link w:val="59"/>
    <w:qFormat/>
    <w:uiPriority w:val="0"/>
    <w:rPr>
      <w:rFonts w:ascii="宋体" w:hAnsi="宋体" w:eastAsia="宋体"/>
    </w:rPr>
  </w:style>
  <w:style w:type="paragraph" w:customStyle="1" w:styleId="64">
    <w:name w:val="正文首行缩进两字符"/>
    <w:basedOn w:val="1"/>
    <w:qFormat/>
    <w:uiPriority w:val="0"/>
    <w:pPr>
      <w:spacing w:line="360" w:lineRule="auto"/>
      <w:ind w:firstLine="200" w:firstLineChars="200"/>
      <w:jc w:val="both"/>
    </w:pPr>
    <w:rPr>
      <w:sz w:val="21"/>
      <w:szCs w:val="20"/>
    </w:rPr>
  </w:style>
  <w:style w:type="paragraph" w:customStyle="1" w:styleId="65">
    <w:name w:val="样式 首行缩进:  2 字符"/>
    <w:basedOn w:val="1"/>
    <w:qFormat/>
    <w:uiPriority w:val="0"/>
    <w:pPr>
      <w:ind w:firstLine="420" w:firstLineChars="200"/>
      <w:jc w:val="both"/>
    </w:pPr>
    <w:rPr>
      <w:rFonts w:cs="宋体"/>
      <w:sz w:val="21"/>
      <w:szCs w:val="20"/>
    </w:rPr>
  </w:style>
  <w:style w:type="paragraph" w:customStyle="1" w:styleId="66">
    <w:name w:val="21、第三章“(一)”三级标题"/>
    <w:basedOn w:val="39"/>
    <w:qFormat/>
    <w:uiPriority w:val="0"/>
    <w:pPr>
      <w:pageBreakBefore/>
      <w:numPr>
        <w:ilvl w:val="0"/>
        <w:numId w:val="6"/>
      </w:numPr>
      <w:spacing w:before="50" w:beforeLines="50" w:after="50" w:afterLines="50"/>
      <w:jc w:val="center"/>
      <w:outlineLvl w:val="2"/>
    </w:pPr>
    <w:rPr>
      <w:b/>
      <w:sz w:val="28"/>
    </w:rPr>
  </w:style>
  <w:style w:type="paragraph" w:customStyle="1" w:styleId="6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8">
    <w:name w:val="列出段落1"/>
    <w:basedOn w:val="1"/>
    <w:qFormat/>
    <w:uiPriority w:val="34"/>
    <w:pPr>
      <w:ind w:firstLine="420" w:firstLineChars="200"/>
    </w:pPr>
    <w:rPr>
      <w:rFonts w:ascii="Calibri" w:hAnsi="Calibri" w:cs="Times New Roman"/>
    </w:rPr>
  </w:style>
  <w:style w:type="character" w:customStyle="1" w:styleId="69">
    <w:name w:val="批注框文本 字符"/>
    <w:basedOn w:val="22"/>
    <w:link w:val="14"/>
    <w:qFormat/>
    <w:uiPriority w:val="0"/>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GIF"/><Relationship Id="rId17" Type="http://schemas.openxmlformats.org/officeDocument/2006/relationships/image" Target="media/image2.GI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99</Pages>
  <Words>54691</Words>
  <Characters>56641</Characters>
  <Lines>484</Lines>
  <Paragraphs>136</Paragraphs>
  <TotalTime>31</TotalTime>
  <ScaleCrop>false</ScaleCrop>
  <LinksUpToDate>false</LinksUpToDate>
  <CharactersWithSpaces>60053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2021-08-10T09:42:00Z</dcterms:created>
  <dc:creator>qxzb</dc:creator>
  <cp:lastModifiedBy>gqy</cp:lastModifiedBy>
  <cp:lastPrinted>2018-12-22T06:52:00Z</cp:lastPrinted>
  <dcterms:modified xsi:type="dcterms:W3CDTF">2021-08-12T08:30:40Z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D74D86C0E04241579E71F726F2334A69</vt:lpwstr>
  </property>
</Properties>
</file>