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31"/>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b/>
          <w:bCs/>
          <w:sz w:val="40"/>
          <w:szCs w:val="40"/>
        </w:rPr>
      </w:pPr>
      <w:bookmarkStart w:id="0" w:name="_Toc578"/>
      <w:bookmarkStart w:id="1" w:name="_Toc5725"/>
      <w:bookmarkStart w:id="2" w:name="_Toc6478"/>
      <w:r>
        <w:rPr>
          <w:rFonts w:hint="eastAsia"/>
          <w:b/>
          <w:bCs/>
          <w:sz w:val="40"/>
          <w:szCs w:val="40"/>
        </w:rPr>
        <w:t xml:space="preserve">项目编号：510101202100908 </w:t>
      </w:r>
    </w:p>
    <w:p>
      <w:pPr>
        <w:pStyle w:val="31"/>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b/>
          <w:bCs/>
          <w:sz w:val="40"/>
          <w:szCs w:val="40"/>
          <w:lang w:val="en-US" w:eastAsia="zh-CN"/>
        </w:rPr>
      </w:pPr>
      <w:r>
        <w:rPr>
          <w:rFonts w:hint="eastAsia"/>
          <w:b/>
          <w:bCs/>
          <w:sz w:val="40"/>
          <w:szCs w:val="40"/>
          <w:lang w:val="en-US" w:eastAsia="zh-CN"/>
        </w:rPr>
        <w:t>内部编号：ZCQXZB-2021-0356S</w:t>
      </w:r>
    </w:p>
    <w:p>
      <w:pPr>
        <w:pStyle w:val="31"/>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b/>
          <w:bCs/>
          <w:sz w:val="40"/>
          <w:szCs w:val="40"/>
        </w:rPr>
      </w:pPr>
      <w:r>
        <w:rPr>
          <w:rFonts w:hint="eastAsia"/>
          <w:b/>
          <w:bCs/>
          <w:sz w:val="40"/>
          <w:szCs w:val="40"/>
        </w:rPr>
        <w:t>项目名称：成都市交通运输综合行政执法总队2021年度成都市农村公路路况PQI检测服务</w:t>
      </w:r>
      <w:r>
        <w:rPr>
          <w:rFonts w:hint="eastAsia"/>
          <w:b/>
          <w:bCs/>
          <w:sz w:val="40"/>
          <w:szCs w:val="40"/>
          <w:lang w:val="en-US" w:eastAsia="zh-CN"/>
        </w:rPr>
        <w:t>采购项目</w:t>
      </w:r>
    </w:p>
    <w:p>
      <w:pPr>
        <w:pStyle w:val="31"/>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b/>
          <w:bCs/>
          <w:sz w:val="40"/>
          <w:szCs w:val="40"/>
        </w:rPr>
      </w:pPr>
      <w:r>
        <w:rPr>
          <w:rFonts w:hint="eastAsia"/>
          <w:b/>
          <w:bCs/>
          <w:sz w:val="40"/>
          <w:szCs w:val="40"/>
        </w:rPr>
        <w:t xml:space="preserve"> </w:t>
      </w:r>
    </w:p>
    <w:p>
      <w:pPr>
        <w:pStyle w:val="31"/>
        <w:keepNext w:val="0"/>
        <w:keepLines w:val="0"/>
        <w:pageBreakBefore w:val="0"/>
        <w:widowControl w:val="0"/>
        <w:kinsoku/>
        <w:wordWrap w:val="0"/>
        <w:overflowPunct/>
        <w:topLinePunct/>
        <w:autoSpaceDE/>
        <w:autoSpaceDN/>
        <w:bidi w:val="0"/>
        <w:adjustRightInd w:val="0"/>
        <w:snapToGrid w:val="0"/>
        <w:spacing w:before="3433" w:beforeLines="1100" w:after="3433" w:afterLines="1100" w:line="240" w:lineRule="auto"/>
        <w:jc w:val="center"/>
        <w:textAlignment w:val="auto"/>
        <w:rPr>
          <w:rFonts w:hint="eastAsia"/>
          <w:b/>
          <w:bCs/>
          <w:sz w:val="96"/>
          <w:szCs w:val="96"/>
        </w:rPr>
      </w:pPr>
      <w:r>
        <w:rPr>
          <w:rFonts w:hint="eastAsia"/>
          <w:b/>
          <w:bCs/>
          <w:sz w:val="96"/>
          <w:szCs w:val="96"/>
        </w:rPr>
        <w:t>招标文件</w:t>
      </w:r>
    </w:p>
    <w:p>
      <w:pPr>
        <w:pStyle w:val="31"/>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sz w:val="28"/>
          <w:szCs w:val="28"/>
        </w:rPr>
      </w:pPr>
      <w:r>
        <w:rPr>
          <w:rFonts w:hint="eastAsia"/>
          <w:b/>
          <w:bCs/>
          <w:sz w:val="28"/>
          <w:szCs w:val="28"/>
        </w:rPr>
        <w:t>中国·四川</w:t>
      </w:r>
    </w:p>
    <w:p>
      <w:pPr>
        <w:pStyle w:val="31"/>
        <w:keepNext w:val="0"/>
        <w:keepLines w:val="0"/>
        <w:pageBreakBefore w:val="0"/>
        <w:widowControl w:val="0"/>
        <w:kinsoku/>
        <w:wordWrap/>
        <w:overflowPunct/>
        <w:topLinePunct w:val="0"/>
        <w:autoSpaceDE/>
        <w:autoSpaceDN/>
        <w:bidi w:val="0"/>
        <w:adjustRightInd w:val="0"/>
        <w:snapToGrid w:val="0"/>
        <w:spacing w:line="360" w:lineRule="auto"/>
        <w:ind w:left="2400" w:leftChars="1000"/>
        <w:textAlignment w:val="auto"/>
        <w:rPr>
          <w:rFonts w:hint="eastAsia"/>
          <w:b/>
          <w:bCs/>
          <w:sz w:val="28"/>
          <w:szCs w:val="28"/>
        </w:rPr>
      </w:pPr>
      <w:r>
        <w:rPr>
          <w:rFonts w:hint="eastAsia"/>
          <w:b/>
          <w:bCs/>
          <w:sz w:val="28"/>
          <w:szCs w:val="28"/>
        </w:rPr>
        <w:t xml:space="preserve">采   购   人：成都市交通运输综合行政执法总队         </w:t>
      </w:r>
    </w:p>
    <w:p>
      <w:pPr>
        <w:pStyle w:val="31"/>
        <w:keepNext w:val="0"/>
        <w:keepLines w:val="0"/>
        <w:pageBreakBefore w:val="0"/>
        <w:widowControl w:val="0"/>
        <w:kinsoku/>
        <w:wordWrap/>
        <w:overflowPunct/>
        <w:topLinePunct w:val="0"/>
        <w:autoSpaceDE/>
        <w:autoSpaceDN/>
        <w:bidi w:val="0"/>
        <w:adjustRightInd w:val="0"/>
        <w:snapToGrid w:val="0"/>
        <w:spacing w:line="360" w:lineRule="auto"/>
        <w:ind w:left="2400" w:leftChars="1000"/>
        <w:textAlignment w:val="auto"/>
        <w:rPr>
          <w:rFonts w:hint="eastAsia"/>
          <w:b/>
          <w:bCs/>
          <w:sz w:val="28"/>
          <w:szCs w:val="28"/>
        </w:rPr>
      </w:pPr>
      <w:r>
        <w:rPr>
          <w:rFonts w:hint="eastAsia"/>
          <w:b/>
          <w:bCs/>
          <w:sz w:val="28"/>
          <w:szCs w:val="28"/>
        </w:rPr>
        <w:t>采购代理机构：四川乾新招投标代理有限公司</w:t>
      </w:r>
    </w:p>
    <w:p>
      <w:pPr>
        <w:pStyle w:val="31"/>
        <w:keepNext w:val="0"/>
        <w:keepLines w:val="0"/>
        <w:pageBreakBefore w:val="0"/>
        <w:widowControl w:val="0"/>
        <w:kinsoku/>
        <w:wordWrap/>
        <w:overflowPunct/>
        <w:topLinePunct w:val="0"/>
        <w:autoSpaceDE/>
        <w:autoSpaceDN/>
        <w:bidi w:val="0"/>
        <w:adjustRightInd w:val="0"/>
        <w:snapToGrid w:val="0"/>
        <w:spacing w:line="360" w:lineRule="auto"/>
        <w:ind w:left="2400" w:leftChars="1000"/>
        <w:textAlignment w:val="auto"/>
        <w:rPr>
          <w:rFonts w:hint="eastAsia"/>
          <w:b/>
          <w:bCs/>
          <w:sz w:val="28"/>
          <w:szCs w:val="28"/>
        </w:rPr>
      </w:pPr>
      <w:r>
        <w:rPr>
          <w:rFonts w:hint="eastAsia"/>
          <w:b/>
          <w:bCs/>
          <w:sz w:val="28"/>
          <w:szCs w:val="28"/>
          <w:lang w:val="en-US" w:eastAsia="zh-CN"/>
        </w:rPr>
        <w:t>文  件 编 制：由采购人和</w:t>
      </w:r>
      <w:r>
        <w:rPr>
          <w:rFonts w:hint="eastAsia"/>
          <w:b/>
          <w:bCs/>
          <w:sz w:val="28"/>
          <w:szCs w:val="28"/>
        </w:rPr>
        <w:t>采购代理机构</w:t>
      </w:r>
      <w:r>
        <w:rPr>
          <w:rFonts w:hint="eastAsia"/>
          <w:b/>
          <w:bCs/>
          <w:sz w:val="28"/>
          <w:szCs w:val="28"/>
          <w:lang w:val="en-US" w:eastAsia="zh-CN"/>
        </w:rPr>
        <w:t>共同编制</w:t>
      </w:r>
    </w:p>
    <w:p>
      <w:pPr>
        <w:pStyle w:val="31"/>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eastAsia="宋体"/>
          <w:b/>
          <w:bCs/>
          <w:sz w:val="28"/>
          <w:szCs w:val="28"/>
          <w:lang w:eastAsia="zh-CN"/>
        </w:rPr>
        <w:sectPr>
          <w:headerReference r:id="rId7" w:type="first"/>
          <w:footerReference r:id="rId9" w:type="first"/>
          <w:headerReference r:id="rId5" w:type="default"/>
          <w:headerReference r:id="rId6" w:type="even"/>
          <w:footerReference r:id="rId8" w:type="even"/>
          <w:pgSz w:w="11906" w:h="16838"/>
          <w:pgMar w:top="1440" w:right="1083" w:bottom="1440" w:left="1083" w:header="851" w:footer="992" w:gutter="0"/>
          <w:pgBorders>
            <w:top w:val="none" w:sz="0" w:space="0"/>
            <w:left w:val="none" w:sz="0" w:space="0"/>
            <w:bottom w:val="none" w:sz="0" w:space="0"/>
            <w:right w:val="none" w:sz="0" w:space="0"/>
          </w:pgBorders>
          <w:pgNumType w:fmt="decimal" w:start="0"/>
          <w:cols w:space="720" w:num="1"/>
          <w:titlePg/>
          <w:docGrid w:linePitch="312" w:charSpace="0"/>
        </w:sectPr>
      </w:pPr>
      <w:r>
        <w:rPr>
          <w:rFonts w:hint="eastAsia"/>
          <w:b/>
          <w:bCs/>
          <w:sz w:val="28"/>
          <w:szCs w:val="28"/>
          <w:lang w:eastAsia="zh-CN"/>
        </w:rPr>
        <w:t>二○二</w:t>
      </w:r>
      <w:r>
        <w:rPr>
          <w:rFonts w:hint="eastAsia"/>
          <w:b/>
          <w:bCs/>
          <w:sz w:val="28"/>
          <w:szCs w:val="28"/>
          <w:lang w:val="en-US" w:eastAsia="zh-CN"/>
        </w:rPr>
        <w:t>一</w:t>
      </w:r>
      <w:r>
        <w:rPr>
          <w:rFonts w:hint="eastAsia"/>
          <w:b/>
          <w:bCs/>
          <w:sz w:val="28"/>
          <w:szCs w:val="28"/>
          <w:lang w:eastAsia="zh-CN"/>
        </w:rPr>
        <w:t>年</w:t>
      </w:r>
      <w:r>
        <w:rPr>
          <w:rFonts w:hint="eastAsia"/>
          <w:b/>
          <w:bCs/>
          <w:sz w:val="28"/>
          <w:szCs w:val="28"/>
          <w:lang w:val="en-US" w:eastAsia="zh-CN"/>
        </w:rPr>
        <w:t>七</w:t>
      </w:r>
      <w:r>
        <w:rPr>
          <w:rFonts w:hint="eastAsia"/>
          <w:b/>
          <w:bCs/>
          <w:sz w:val="28"/>
          <w:szCs w:val="28"/>
          <w:lang w:eastAsia="zh-CN"/>
        </w:rPr>
        <w:t>月</w:t>
      </w:r>
    </w:p>
    <w:p>
      <w:pPr>
        <w:pStyle w:val="3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sz w:val="40"/>
          <w:szCs w:val="40"/>
        </w:rPr>
      </w:pPr>
      <w:bookmarkStart w:id="3" w:name="_Toc502651262"/>
      <w:bookmarkStart w:id="4" w:name="_Toc452473646"/>
      <w:bookmarkStart w:id="5" w:name="_Toc373139265"/>
      <w:bookmarkStart w:id="6" w:name="_Toc371958974"/>
      <w:bookmarkStart w:id="7" w:name="_Toc372620750"/>
      <w:bookmarkStart w:id="8" w:name="_Toc336690878"/>
      <w:r>
        <w:rPr>
          <w:rFonts w:hint="eastAsia"/>
          <w:b/>
          <w:bCs/>
          <w:sz w:val="40"/>
          <w:szCs w:val="40"/>
          <w:lang w:val="en-US" w:eastAsia="zh-CN"/>
        </w:rPr>
        <w:t>政府采购</w:t>
      </w:r>
      <w:r>
        <w:rPr>
          <w:rFonts w:hint="eastAsia"/>
          <w:b/>
          <w:bCs/>
          <w:sz w:val="40"/>
          <w:szCs w:val="40"/>
        </w:rPr>
        <w:t>阳光宣言</w:t>
      </w:r>
      <w:bookmarkEnd w:id="3"/>
      <w:bookmarkEnd w:id="4"/>
    </w:p>
    <w:p>
      <w:pPr>
        <w:pStyle w:val="31"/>
        <w:keepNext w:val="0"/>
        <w:keepLines w:val="0"/>
        <w:pageBreakBefore w:val="0"/>
        <w:widowControl w:val="0"/>
        <w:kinsoku/>
        <w:wordWrap/>
        <w:overflowPunct/>
        <w:topLinePunct w:val="0"/>
        <w:autoSpaceDE/>
        <w:autoSpaceDN/>
        <w:bidi w:val="0"/>
        <w:adjustRightInd w:val="0"/>
        <w:snapToGrid w:val="0"/>
        <w:ind w:firstLine="480" w:firstLineChars="200"/>
        <w:textAlignment w:val="auto"/>
      </w:pPr>
      <w:r>
        <w:rPr>
          <w:rFonts w:hint="eastAsia"/>
          <w:lang w:val="en-US" w:eastAsia="zh-CN"/>
        </w:rPr>
        <w:t>四川乾新</w:t>
      </w:r>
      <w:r>
        <w:rPr>
          <w:rFonts w:hint="eastAsia"/>
        </w:rPr>
        <w:t>践行</w:t>
      </w:r>
      <w:r>
        <w:rPr>
          <w:rFonts w:hint="eastAsia"/>
          <w:lang w:val="en-US" w:eastAsia="zh-CN"/>
        </w:rPr>
        <w:t>公平竞争、</w:t>
      </w:r>
      <w:r>
        <w:rPr>
          <w:rFonts w:hint="eastAsia"/>
        </w:rPr>
        <w:t>诚信</w:t>
      </w:r>
      <w:r>
        <w:rPr>
          <w:rFonts w:hint="eastAsia"/>
          <w:lang w:val="en-US" w:eastAsia="zh-CN"/>
        </w:rPr>
        <w:t>的</w:t>
      </w:r>
      <w:r>
        <w:rPr>
          <w:rFonts w:hint="eastAsia"/>
        </w:rPr>
        <w:t>核心价值观，诚信于股东、诚信于</w:t>
      </w:r>
      <w:r>
        <w:rPr>
          <w:rFonts w:hint="eastAsia"/>
          <w:lang w:val="en-US" w:eastAsia="zh-CN"/>
        </w:rPr>
        <w:t>服务对象</w:t>
      </w:r>
      <w:r>
        <w:rPr>
          <w:rFonts w:hint="eastAsia"/>
        </w:rPr>
        <w:t>、诚信于员工、诚信于社会。</w:t>
      </w:r>
    </w:p>
    <w:p>
      <w:pPr>
        <w:pStyle w:val="31"/>
        <w:keepNext w:val="0"/>
        <w:keepLines w:val="0"/>
        <w:pageBreakBefore w:val="0"/>
        <w:widowControl w:val="0"/>
        <w:kinsoku/>
        <w:wordWrap/>
        <w:overflowPunct/>
        <w:topLinePunct w:val="0"/>
        <w:autoSpaceDE/>
        <w:autoSpaceDN/>
        <w:bidi w:val="0"/>
        <w:adjustRightInd w:val="0"/>
        <w:snapToGrid w:val="0"/>
        <w:ind w:firstLine="480" w:firstLineChars="200"/>
        <w:textAlignment w:val="auto"/>
      </w:pPr>
      <w:r>
        <w:rPr>
          <w:rFonts w:hint="eastAsia"/>
          <w:lang w:val="en-US" w:eastAsia="zh-CN"/>
        </w:rPr>
        <w:t>四川乾新全体</w:t>
      </w:r>
      <w:r>
        <w:rPr>
          <w:rFonts w:hint="eastAsia"/>
        </w:rPr>
        <w:t>员工严格遵守《</w:t>
      </w:r>
      <w:r>
        <w:rPr>
          <w:rFonts w:hint="eastAsia"/>
          <w:lang w:val="en-US" w:eastAsia="zh-CN"/>
        </w:rPr>
        <w:t>乾新</w:t>
      </w:r>
      <w:r>
        <w:rPr>
          <w:rFonts w:hint="eastAsia"/>
        </w:rPr>
        <w:t>十戒》和《员工廉洁从业规定》，遵纪守法，强化自律，廉洁从业，规范经营。</w:t>
      </w:r>
    </w:p>
    <w:p>
      <w:pPr>
        <w:pStyle w:val="31"/>
        <w:keepNext w:val="0"/>
        <w:keepLines w:val="0"/>
        <w:pageBreakBefore w:val="0"/>
        <w:widowControl w:val="0"/>
        <w:kinsoku/>
        <w:wordWrap/>
        <w:overflowPunct/>
        <w:topLinePunct w:val="0"/>
        <w:autoSpaceDE/>
        <w:autoSpaceDN/>
        <w:bidi w:val="0"/>
        <w:adjustRightInd w:val="0"/>
        <w:snapToGrid w:val="0"/>
        <w:ind w:firstLine="480" w:firstLineChars="200"/>
        <w:textAlignment w:val="auto"/>
      </w:pPr>
      <w:r>
        <w:rPr>
          <w:rFonts w:hint="eastAsia"/>
          <w:lang w:val="en-US" w:eastAsia="zh-CN"/>
        </w:rPr>
        <w:t>坚决维护国家利益和社会公共利益，</w:t>
      </w:r>
      <w:r>
        <w:rPr>
          <w:rFonts w:hint="eastAsia"/>
        </w:rPr>
        <w:t>严守商业道德，悉心维护</w:t>
      </w:r>
      <w:r>
        <w:rPr>
          <w:rFonts w:hint="eastAsia"/>
          <w:lang w:val="en-US" w:eastAsia="zh-CN"/>
        </w:rPr>
        <w:t>采购人</w:t>
      </w:r>
      <w:r>
        <w:rPr>
          <w:rFonts w:hint="eastAsia"/>
        </w:rPr>
        <w:t>和</w:t>
      </w:r>
      <w:r>
        <w:rPr>
          <w:rFonts w:hint="eastAsia"/>
          <w:lang w:val="en-US" w:eastAsia="zh-CN"/>
        </w:rPr>
        <w:t>供应商</w:t>
      </w:r>
      <w:r>
        <w:rPr>
          <w:rFonts w:hint="eastAsia"/>
        </w:rPr>
        <w:t>权益，开展公平竞争，努力提供优质、</w:t>
      </w:r>
      <w:r>
        <w:rPr>
          <w:rFonts w:hint="eastAsia"/>
          <w:lang w:val="en-US" w:eastAsia="zh-CN"/>
        </w:rPr>
        <w:t>细心</w:t>
      </w:r>
      <w:r>
        <w:rPr>
          <w:rFonts w:hint="eastAsia"/>
        </w:rPr>
        <w:t>、</w:t>
      </w:r>
      <w:r>
        <w:rPr>
          <w:rFonts w:hint="eastAsia"/>
          <w:lang w:val="en-US" w:eastAsia="zh-CN"/>
        </w:rPr>
        <w:t>专业的</w:t>
      </w:r>
      <w:r>
        <w:rPr>
          <w:rFonts w:hint="eastAsia"/>
        </w:rPr>
        <w:t>服务，为</w:t>
      </w:r>
      <w:r>
        <w:rPr>
          <w:rFonts w:hint="eastAsia"/>
          <w:lang w:val="en-US" w:eastAsia="zh-CN"/>
        </w:rPr>
        <w:t>采购人</w:t>
      </w:r>
      <w:r>
        <w:rPr>
          <w:rFonts w:hint="eastAsia"/>
        </w:rPr>
        <w:t>创造价值，与</w:t>
      </w:r>
      <w:r>
        <w:rPr>
          <w:rFonts w:hint="eastAsia"/>
          <w:lang w:val="en-US" w:eastAsia="zh-CN"/>
        </w:rPr>
        <w:t>采购人</w:t>
      </w:r>
      <w:r>
        <w:rPr>
          <w:rFonts w:hint="eastAsia"/>
        </w:rPr>
        <w:t>共同成长。坚持不懈反对“四风”，厉行节约，反对浪费，求真务实，克己奉公，精益求精，追求卓越，以出色的</w:t>
      </w:r>
      <w:r>
        <w:rPr>
          <w:rFonts w:hint="eastAsia"/>
          <w:lang w:val="en-US" w:eastAsia="zh-CN"/>
        </w:rPr>
        <w:t>效益</w:t>
      </w:r>
      <w:r>
        <w:rPr>
          <w:rFonts w:hint="eastAsia"/>
        </w:rPr>
        <w:t>回报股东，回报社会。</w:t>
      </w:r>
    </w:p>
    <w:p>
      <w:pPr>
        <w:pStyle w:val="31"/>
        <w:keepNext w:val="0"/>
        <w:keepLines w:val="0"/>
        <w:pageBreakBefore w:val="0"/>
        <w:widowControl w:val="0"/>
        <w:kinsoku/>
        <w:wordWrap/>
        <w:overflowPunct/>
        <w:topLinePunct w:val="0"/>
        <w:autoSpaceDE/>
        <w:autoSpaceDN/>
        <w:bidi w:val="0"/>
        <w:adjustRightInd w:val="0"/>
        <w:snapToGrid w:val="0"/>
        <w:ind w:firstLine="480" w:firstLineChars="200"/>
        <w:textAlignment w:val="auto"/>
      </w:pPr>
      <w:r>
        <w:rPr>
          <w:rFonts w:hint="eastAsia"/>
          <w:lang w:val="en-US" w:eastAsia="zh-CN"/>
        </w:rPr>
        <w:t>四川乾新</w:t>
      </w:r>
      <w:r>
        <w:rPr>
          <w:rFonts w:hint="eastAsia"/>
        </w:rPr>
        <w:t>与</w:t>
      </w:r>
      <w:r>
        <w:rPr>
          <w:rFonts w:hint="eastAsia"/>
          <w:lang w:val="en-US" w:eastAsia="zh-CN"/>
        </w:rPr>
        <w:t>服务对象</w:t>
      </w:r>
      <w:r>
        <w:rPr>
          <w:rFonts w:hint="eastAsia"/>
        </w:rPr>
        <w:t>之间是简单的</w:t>
      </w:r>
      <w:r>
        <w:rPr>
          <w:rFonts w:hint="eastAsia"/>
          <w:lang w:val="en-US" w:eastAsia="zh-CN"/>
        </w:rPr>
        <w:t>政企、企事业、</w:t>
      </w:r>
      <w:r>
        <w:rPr>
          <w:rFonts w:hint="eastAsia"/>
        </w:rPr>
        <w:t>企业</w:t>
      </w:r>
      <w:r>
        <w:rPr>
          <w:rFonts w:hint="eastAsia"/>
          <w:lang w:val="en-US" w:eastAsia="zh-CN"/>
        </w:rPr>
        <w:t>与企业</w:t>
      </w:r>
      <w:r>
        <w:rPr>
          <w:rFonts w:hint="eastAsia"/>
        </w:rPr>
        <w:t>之间的</w:t>
      </w:r>
      <w:r>
        <w:rPr>
          <w:rFonts w:hint="eastAsia"/>
          <w:lang w:val="en-US" w:eastAsia="zh-CN"/>
        </w:rPr>
        <w:t>关系</w:t>
      </w:r>
      <w:r>
        <w:rPr>
          <w:rFonts w:hint="eastAsia"/>
        </w:rPr>
        <w:t>，不存在个人利益动机。</w:t>
      </w:r>
      <w:r>
        <w:rPr>
          <w:rFonts w:hint="eastAsia"/>
          <w:lang w:val="en-US" w:eastAsia="zh-CN"/>
        </w:rPr>
        <w:t>四川乾新</w:t>
      </w:r>
      <w:r>
        <w:rPr>
          <w:rFonts w:hint="eastAsia"/>
        </w:rPr>
        <w:t>员工追逐阳光下的公司利润和个人价值，以廉为荣、以贪为耻，忠于职责，恪守《员工廉洁从业规定》。倡导遵守以下行为准则：</w:t>
      </w:r>
    </w:p>
    <w:p>
      <w:pPr>
        <w:pStyle w:val="33"/>
        <w:bidi w:val="0"/>
        <w:rPr>
          <w:rFonts w:hint="eastAsia"/>
          <w:lang w:eastAsia="zh-CN"/>
        </w:rPr>
      </w:pPr>
      <w:r>
        <w:rPr>
          <w:rFonts w:hint="eastAsia"/>
          <w:lang w:val="en-US" w:eastAsia="zh-CN"/>
        </w:rPr>
        <w:t>四川乾新</w:t>
      </w:r>
      <w:r>
        <w:rPr>
          <w:rFonts w:hint="eastAsia"/>
        </w:rPr>
        <w:t>不以向</w:t>
      </w:r>
      <w:r>
        <w:rPr>
          <w:rFonts w:hint="eastAsia"/>
          <w:lang w:val="en-US" w:eastAsia="zh-CN"/>
        </w:rPr>
        <w:t>采购人</w:t>
      </w:r>
      <w:r>
        <w:rPr>
          <w:rFonts w:hint="eastAsia"/>
        </w:rPr>
        <w:t>及其亲属提供任何个人利益的方式谋求合作关系；</w:t>
      </w:r>
    </w:p>
    <w:p>
      <w:pPr>
        <w:pStyle w:val="33"/>
        <w:bidi w:val="0"/>
        <w:rPr>
          <w:rFonts w:hint="eastAsia"/>
        </w:rPr>
      </w:pPr>
      <w:r>
        <w:rPr>
          <w:rFonts w:hint="eastAsia"/>
          <w:lang w:val="en-US" w:eastAsia="zh-CN"/>
        </w:rPr>
        <w:t>四川乾新</w:t>
      </w:r>
      <w:r>
        <w:rPr>
          <w:rFonts w:hint="eastAsia"/>
        </w:rPr>
        <w:t xml:space="preserve">不迷信任何实际存在的或虚构的所谓关系； </w:t>
      </w:r>
    </w:p>
    <w:p>
      <w:pPr>
        <w:pStyle w:val="33"/>
        <w:bidi w:val="0"/>
        <w:rPr>
          <w:rFonts w:hint="eastAsia"/>
          <w:lang w:eastAsia="zh-CN"/>
        </w:rPr>
      </w:pPr>
      <w:r>
        <w:rPr>
          <w:rFonts w:hint="eastAsia"/>
          <w:lang w:val="en-US" w:eastAsia="zh-CN"/>
        </w:rPr>
        <w:t>四川乾新</w:t>
      </w:r>
      <w:r>
        <w:rPr>
          <w:rFonts w:hint="eastAsia"/>
        </w:rPr>
        <w:t>不采取恶性竞争等不正当手段竞争业务</w:t>
      </w:r>
      <w:r>
        <w:rPr>
          <w:rFonts w:hint="eastAsia"/>
          <w:lang w:eastAsia="zh-CN"/>
        </w:rPr>
        <w:t>；</w:t>
      </w:r>
    </w:p>
    <w:p>
      <w:pPr>
        <w:pStyle w:val="33"/>
        <w:bidi w:val="0"/>
      </w:pPr>
      <w:r>
        <w:rPr>
          <w:rFonts w:hint="eastAsia"/>
          <w:lang w:val="en-US" w:eastAsia="zh-CN"/>
        </w:rPr>
        <w:t>四川乾新</w:t>
      </w:r>
      <w:r>
        <w:rPr>
          <w:rFonts w:hint="eastAsia"/>
        </w:rPr>
        <w:t>不向</w:t>
      </w:r>
      <w:r>
        <w:rPr>
          <w:rFonts w:hint="eastAsia"/>
          <w:lang w:val="en-US" w:eastAsia="zh-CN"/>
        </w:rPr>
        <w:t>采购人</w:t>
      </w:r>
      <w:r>
        <w:rPr>
          <w:rFonts w:hint="eastAsia"/>
        </w:rPr>
        <w:t>提供好处费、回扣、现金及有价证券、支付凭证、贵重礼物；</w:t>
      </w:r>
    </w:p>
    <w:p>
      <w:pPr>
        <w:pStyle w:val="33"/>
        <w:bidi w:val="0"/>
        <w:rPr>
          <w:rFonts w:hint="eastAsia"/>
        </w:rPr>
      </w:pPr>
      <w:r>
        <w:rPr>
          <w:rFonts w:hint="eastAsia"/>
          <w:lang w:val="en-US" w:eastAsia="zh-CN"/>
        </w:rPr>
        <w:t>四川乾新</w:t>
      </w:r>
      <w:r>
        <w:rPr>
          <w:rFonts w:hint="eastAsia"/>
        </w:rPr>
        <w:t>不给</w:t>
      </w:r>
      <w:r>
        <w:rPr>
          <w:rFonts w:hint="eastAsia"/>
          <w:lang w:val="en-US" w:eastAsia="zh-CN"/>
        </w:rPr>
        <w:t>采购人</w:t>
      </w:r>
      <w:r>
        <w:rPr>
          <w:rFonts w:hint="eastAsia"/>
        </w:rPr>
        <w:t>及其亲属报销任何费用；不向</w:t>
      </w:r>
      <w:r>
        <w:rPr>
          <w:rFonts w:hint="eastAsia"/>
          <w:lang w:val="en-US" w:eastAsia="zh-CN"/>
        </w:rPr>
        <w:t>采购人</w:t>
      </w:r>
      <w:r>
        <w:rPr>
          <w:rFonts w:hint="eastAsia"/>
        </w:rPr>
        <w:t>及其亲属提供住房、交通工具、通讯工具、家电、高档办公用品等物品；不向</w:t>
      </w:r>
      <w:r>
        <w:rPr>
          <w:rFonts w:hint="eastAsia"/>
          <w:lang w:val="en-US" w:eastAsia="zh-CN"/>
        </w:rPr>
        <w:t>采购人</w:t>
      </w:r>
      <w:r>
        <w:rPr>
          <w:rFonts w:hint="eastAsia"/>
        </w:rPr>
        <w:t>及其亲属的家庭装修、婚丧嫁娶、工作安排、出国、留学等提供资金及物资的资助；</w:t>
      </w:r>
    </w:p>
    <w:p>
      <w:pPr>
        <w:pStyle w:val="33"/>
        <w:bidi w:val="0"/>
        <w:rPr>
          <w:rFonts w:hint="eastAsia"/>
          <w:lang w:val="en-US" w:eastAsia="zh-CN"/>
        </w:rPr>
      </w:pPr>
      <w:r>
        <w:rPr>
          <w:rFonts w:hint="eastAsia"/>
          <w:lang w:val="en-US" w:eastAsia="zh-CN"/>
        </w:rPr>
        <w:t>供应商在参与项目时公平竞争，充分发挥市场主体作用，降低采购成本，节约采购资金；</w:t>
      </w:r>
    </w:p>
    <w:p>
      <w:pPr>
        <w:pStyle w:val="33"/>
        <w:bidi w:val="0"/>
      </w:pPr>
      <w:r>
        <w:rPr>
          <w:rFonts w:hint="eastAsia"/>
          <w:lang w:val="en-US" w:eastAsia="zh-CN"/>
        </w:rPr>
        <w:t>四川乾新</w:t>
      </w:r>
      <w:r>
        <w:rPr>
          <w:rFonts w:hint="eastAsia"/>
        </w:rPr>
        <w:t>不与</w:t>
      </w:r>
      <w:r>
        <w:rPr>
          <w:rFonts w:hint="eastAsia"/>
          <w:lang w:val="en-US" w:eastAsia="zh-CN"/>
        </w:rPr>
        <w:t>采购人、供应商</w:t>
      </w:r>
      <w:r>
        <w:rPr>
          <w:rFonts w:hint="eastAsia"/>
        </w:rPr>
        <w:t>串通投标；</w:t>
      </w:r>
    </w:p>
    <w:p>
      <w:pPr>
        <w:pStyle w:val="33"/>
        <w:bidi w:val="0"/>
      </w:pPr>
      <w:r>
        <w:rPr>
          <w:rFonts w:hint="eastAsia"/>
          <w:lang w:val="en-US" w:eastAsia="zh-CN"/>
        </w:rPr>
        <w:t>四川乾新、采购人</w:t>
      </w:r>
      <w:r>
        <w:rPr>
          <w:rFonts w:hint="eastAsia"/>
        </w:rPr>
        <w:t>不与</w:t>
      </w:r>
      <w:r>
        <w:rPr>
          <w:rFonts w:hint="eastAsia"/>
          <w:lang w:val="en-US" w:eastAsia="zh-CN"/>
        </w:rPr>
        <w:t>供应商</w:t>
      </w:r>
      <w:r>
        <w:rPr>
          <w:rFonts w:hint="eastAsia"/>
        </w:rPr>
        <w:t>就标底、其他单位的投标书等商业秘密及合同中的质量、价格、验收等条款进行私下商谈或者达成默契；</w:t>
      </w:r>
    </w:p>
    <w:p>
      <w:pPr>
        <w:pStyle w:val="33"/>
        <w:bidi w:val="0"/>
      </w:pPr>
      <w:r>
        <w:rPr>
          <w:rFonts w:hint="eastAsia"/>
          <w:lang w:val="en-US" w:eastAsia="zh-CN"/>
        </w:rPr>
        <w:t>四川乾新坚决杜绝以下行为：①乾新员工</w:t>
      </w:r>
      <w:r>
        <w:rPr>
          <w:rFonts w:hint="eastAsia"/>
        </w:rPr>
        <w:t>有行贿倾向、建议</w:t>
      </w:r>
      <w:r>
        <w:rPr>
          <w:rFonts w:hint="eastAsia"/>
          <w:lang w:val="en-US" w:eastAsia="zh-CN"/>
        </w:rPr>
        <w:t>等行为</w:t>
      </w:r>
      <w:r>
        <w:rPr>
          <w:rFonts w:hint="eastAsia"/>
          <w:lang w:eastAsia="zh-CN"/>
        </w:rPr>
        <w:t>；</w:t>
      </w:r>
      <w:r>
        <w:rPr>
          <w:rFonts w:hint="eastAsia"/>
          <w:lang w:val="en-US" w:eastAsia="zh-CN"/>
        </w:rPr>
        <w:t>②乾新</w:t>
      </w:r>
      <w:r>
        <w:rPr>
          <w:rFonts w:hint="eastAsia"/>
        </w:rPr>
        <w:t>员工有索贿、受贿</w:t>
      </w:r>
      <w:r>
        <w:rPr>
          <w:rFonts w:hint="eastAsia"/>
          <w:lang w:val="en-US" w:eastAsia="zh-CN"/>
        </w:rPr>
        <w:t>等行为</w:t>
      </w:r>
      <w:r>
        <w:rPr>
          <w:rFonts w:hint="eastAsia"/>
        </w:rPr>
        <w:t>。</w:t>
      </w:r>
    </w:p>
    <w:p>
      <w:pPr>
        <w:pStyle w:val="31"/>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lang w:val="en-US" w:eastAsia="zh-CN"/>
        </w:rPr>
      </w:pPr>
      <w:r>
        <w:rPr>
          <w:rFonts w:hint="eastAsia"/>
        </w:rPr>
        <w:t>如出现违反宣言的行为，</w:t>
      </w:r>
      <w:r>
        <w:rPr>
          <w:rFonts w:hint="eastAsia"/>
          <w:lang w:val="en-US" w:eastAsia="zh-CN"/>
        </w:rPr>
        <w:t>请及时向四川乾新</w:t>
      </w:r>
      <w:r>
        <w:rPr>
          <w:rFonts w:hint="eastAsia"/>
        </w:rPr>
        <w:t>监察部投诉</w:t>
      </w:r>
      <w:r>
        <w:rPr>
          <w:rFonts w:hint="eastAsia"/>
          <w:lang w:val="en-US" w:eastAsia="zh-CN"/>
        </w:rPr>
        <w:t>或</w:t>
      </w:r>
      <w:r>
        <w:rPr>
          <w:rFonts w:hint="eastAsia"/>
        </w:rPr>
        <w:t>举报</w:t>
      </w:r>
      <w:r>
        <w:rPr>
          <w:rFonts w:hint="eastAsia"/>
          <w:lang w:eastAsia="zh-CN"/>
        </w:rPr>
        <w:t>，</w:t>
      </w:r>
      <w:r>
        <w:rPr>
          <w:rFonts w:hint="eastAsia"/>
        </w:rPr>
        <w:t>经核查属实的，</w:t>
      </w:r>
      <w:r>
        <w:rPr>
          <w:rFonts w:hint="eastAsia"/>
          <w:lang w:val="en-US" w:eastAsia="zh-CN"/>
        </w:rPr>
        <w:t>严格按照公司规定处理，涉及违法违纪的将追究相关法律责任</w:t>
      </w:r>
      <w:r>
        <w:rPr>
          <w:rFonts w:hint="eastAsia"/>
        </w:rPr>
        <w:t>。</w:t>
      </w:r>
      <w:r>
        <w:rPr>
          <w:rFonts w:hint="eastAsia"/>
          <w:lang w:val="en-US" w:eastAsia="zh-CN"/>
        </w:rPr>
        <w:t>请各采购人及供应商积极</w:t>
      </w:r>
      <w:r>
        <w:rPr>
          <w:rFonts w:hint="eastAsia"/>
        </w:rPr>
        <w:t>宣传本宣言，了解并自觉践行宣言，共同营造</w:t>
      </w:r>
      <w:r>
        <w:rPr>
          <w:rFonts w:hint="eastAsia"/>
          <w:lang w:val="en-US" w:eastAsia="zh-CN"/>
        </w:rPr>
        <w:t>廉洁</w:t>
      </w:r>
      <w:r>
        <w:rPr>
          <w:rFonts w:hint="eastAsia"/>
          <w:lang w:eastAsia="zh-CN"/>
        </w:rPr>
        <w:t>、</w:t>
      </w:r>
      <w:r>
        <w:rPr>
          <w:rFonts w:hint="eastAsia"/>
          <w:lang w:val="en-US" w:eastAsia="zh-CN"/>
        </w:rPr>
        <w:t>公正、诚实信用</w:t>
      </w:r>
      <w:r>
        <w:rPr>
          <w:rFonts w:hint="eastAsia"/>
        </w:rPr>
        <w:t>的</w:t>
      </w:r>
      <w:r>
        <w:rPr>
          <w:rFonts w:hint="eastAsia"/>
          <w:lang w:val="en-US" w:eastAsia="zh-CN"/>
        </w:rPr>
        <w:t>政采环境</w:t>
      </w:r>
      <w:r>
        <w:rPr>
          <w:rFonts w:hint="eastAsia"/>
          <w:lang w:eastAsia="zh-CN"/>
        </w:rPr>
        <w:t>，</w:t>
      </w:r>
      <w:r>
        <w:rPr>
          <w:rFonts w:hint="eastAsia"/>
          <w:lang w:val="en-US" w:eastAsia="zh-CN"/>
        </w:rPr>
        <w:t>共同推动政府采购阳光公开</w:t>
      </w:r>
      <w:r>
        <w:rPr>
          <w:rFonts w:hint="eastAsia"/>
        </w:rPr>
        <w:t>。</w:t>
      </w:r>
      <w:r>
        <w:rPr>
          <w:rFonts w:hint="eastAsia"/>
          <w:lang w:val="en-US" w:eastAsia="zh-CN"/>
        </w:rPr>
        <w:t xml:space="preserve"> </w:t>
      </w:r>
    </w:p>
    <w:p>
      <w:pPr>
        <w:pStyle w:val="31"/>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lang w:val="en-US" w:eastAsia="zh-CN"/>
        </w:rPr>
      </w:pPr>
      <w:r>
        <w:rPr>
          <w:rFonts w:hint="eastAsia"/>
        </w:rPr>
        <w:t>监察部投诉及举报邮箱：</w:t>
      </w:r>
      <w:r>
        <w:rPr>
          <w:rFonts w:hint="eastAsia"/>
          <w:lang w:val="en-US" w:eastAsia="zh-CN"/>
        </w:rPr>
        <w:t>scqxzb_shl@163.com</w:t>
      </w:r>
    </w:p>
    <w:p>
      <w:pPr>
        <w:pStyle w:val="31"/>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lang w:val="en-US" w:eastAsia="zh-CN"/>
        </w:rPr>
        <w:sectPr>
          <w:headerReference r:id="rId11" w:type="first"/>
          <w:footerReference r:id="rId13" w:type="first"/>
          <w:headerReference r:id="rId10" w:type="default"/>
          <w:footerReference r:id="rId12" w:type="default"/>
          <w:pgSz w:w="11906" w:h="16838"/>
          <w:pgMar w:top="1440" w:right="1083" w:bottom="1440" w:left="1083" w:header="851" w:footer="992" w:gutter="0"/>
          <w:pgBorders>
            <w:top w:val="none" w:sz="0" w:space="0"/>
            <w:left w:val="none" w:sz="0" w:space="0"/>
            <w:bottom w:val="none" w:sz="0" w:space="0"/>
            <w:right w:val="none" w:sz="0" w:space="0"/>
          </w:pgBorders>
          <w:pgNumType w:fmt="decimal"/>
          <w:cols w:space="720" w:num="1"/>
          <w:titlePg/>
          <w:docGrid w:linePitch="312" w:charSpace="0"/>
        </w:sectPr>
      </w:pPr>
      <w:r>
        <w:rPr>
          <w:rFonts w:hint="eastAsia"/>
          <w:lang w:val="en-US" w:eastAsia="zh-CN"/>
        </w:rPr>
        <w:t>监察部投诉及举报电话：028-62630990</w:t>
      </w:r>
      <w:bookmarkEnd w:id="5"/>
      <w:bookmarkEnd w:id="6"/>
      <w:bookmarkEnd w:id="7"/>
      <w:bookmarkEnd w:id="8"/>
    </w:p>
    <w:p>
      <w:pPr>
        <w:pStyle w:val="31"/>
        <w:bidi w:val="0"/>
        <w:jc w:val="center"/>
        <w:rPr>
          <w:rFonts w:hint="eastAsia"/>
        </w:rPr>
      </w:pPr>
      <w:r>
        <w:rPr>
          <w:rFonts w:hint="eastAsia"/>
        </w:rPr>
        <w:t>目  录</w:t>
      </w:r>
      <w:bookmarkEnd w:id="0"/>
      <w:bookmarkEnd w:id="1"/>
    </w:p>
    <w:p>
      <w:pPr>
        <w:pStyle w:val="16"/>
        <w:tabs>
          <w:tab w:val="clear" w:pos="0"/>
        </w:tabs>
      </w:pPr>
      <w:bookmarkStart w:id="9" w:name="_Toc15794"/>
      <w:bookmarkStart w:id="10" w:name="_Toc26242"/>
      <w:bookmarkStart w:id="11" w:name="_Toc28748"/>
      <w:r>
        <w:fldChar w:fldCharType="begin"/>
      </w:r>
      <w:r>
        <w:instrText xml:space="preserve">TOC \o "1-3" \h \u </w:instrText>
      </w:r>
      <w:r>
        <w:fldChar w:fldCharType="separate"/>
      </w:r>
      <w:r>
        <w:fldChar w:fldCharType="begin"/>
      </w:r>
      <w:r>
        <w:instrText xml:space="preserve"> HYPERLINK \l _Toc21276 </w:instrText>
      </w:r>
      <w:r>
        <w:fldChar w:fldCharType="separate"/>
      </w:r>
      <w:r>
        <w:rPr>
          <w:rFonts w:hint="eastAsia" w:ascii="宋体" w:hAnsi="宋体" w:eastAsia="宋体" w:cs="宋体"/>
        </w:rPr>
        <w:t xml:space="preserve">第一章 </w:t>
      </w:r>
      <w:r>
        <w:rPr>
          <w:rFonts w:hint="eastAsia"/>
        </w:rPr>
        <w:t>投标邀请</w:t>
      </w:r>
      <w:r>
        <w:tab/>
      </w:r>
      <w:r>
        <w:fldChar w:fldCharType="begin"/>
      </w:r>
      <w:r>
        <w:instrText xml:space="preserve"> PAGEREF _Toc21276 \h </w:instrText>
      </w:r>
      <w:r>
        <w:fldChar w:fldCharType="separate"/>
      </w:r>
      <w:r>
        <w:t>6</w:t>
      </w:r>
      <w:r>
        <w:fldChar w:fldCharType="end"/>
      </w:r>
      <w:r>
        <w:fldChar w:fldCharType="end"/>
      </w:r>
    </w:p>
    <w:p>
      <w:pPr>
        <w:pStyle w:val="16"/>
        <w:tabs>
          <w:tab w:val="clear" w:pos="0"/>
        </w:tabs>
      </w:pPr>
      <w:r>
        <w:fldChar w:fldCharType="begin"/>
      </w:r>
      <w:r>
        <w:instrText xml:space="preserve"> HYPERLINK \l _Toc30721 </w:instrText>
      </w:r>
      <w:r>
        <w:fldChar w:fldCharType="separate"/>
      </w:r>
      <w:r>
        <w:rPr>
          <w:rFonts w:hint="eastAsia" w:ascii="宋体" w:hAnsi="宋体" w:eastAsia="宋体" w:cs="宋体"/>
          <w:lang w:val="en-US" w:eastAsia="zh-CN"/>
        </w:rPr>
        <w:t xml:space="preserve">第二章 </w:t>
      </w:r>
      <w:r>
        <w:rPr>
          <w:rFonts w:hint="eastAsia"/>
          <w:lang w:val="en-US" w:eastAsia="zh-CN"/>
        </w:rPr>
        <w:t>投标人须知</w:t>
      </w:r>
      <w:r>
        <w:tab/>
      </w:r>
      <w:r>
        <w:fldChar w:fldCharType="begin"/>
      </w:r>
      <w:r>
        <w:instrText xml:space="preserve"> PAGEREF _Toc30721 \h </w:instrText>
      </w:r>
      <w:r>
        <w:fldChar w:fldCharType="separate"/>
      </w:r>
      <w:r>
        <w:t>9</w:t>
      </w:r>
      <w:r>
        <w:fldChar w:fldCharType="end"/>
      </w:r>
      <w:r>
        <w:fldChar w:fldCharType="end"/>
      </w:r>
    </w:p>
    <w:p>
      <w:pPr>
        <w:pStyle w:val="17"/>
        <w:tabs>
          <w:tab w:val="right" w:leader="dot" w:pos="9746"/>
          <w:tab w:val="clear" w:pos="0"/>
        </w:tabs>
      </w:pPr>
      <w:r>
        <w:fldChar w:fldCharType="begin"/>
      </w:r>
      <w:r>
        <w:instrText xml:space="preserve"> HYPERLINK \l _Toc27056 </w:instrText>
      </w:r>
      <w:r>
        <w:fldChar w:fldCharType="separate"/>
      </w:r>
      <w:r>
        <w:rPr>
          <w:rFonts w:hint="eastAsia"/>
        </w:rPr>
        <w:t>一、 投标人须知</w:t>
      </w:r>
      <w:r>
        <w:rPr>
          <w:rFonts w:hint="eastAsia"/>
          <w:lang w:val="en-US" w:eastAsia="zh-CN"/>
        </w:rPr>
        <w:t>前</w:t>
      </w:r>
      <w:r>
        <w:rPr>
          <w:rFonts w:hint="eastAsia"/>
        </w:rPr>
        <w:t>附表</w:t>
      </w:r>
      <w:r>
        <w:tab/>
      </w:r>
      <w:r>
        <w:fldChar w:fldCharType="begin"/>
      </w:r>
      <w:r>
        <w:instrText xml:space="preserve"> PAGEREF _Toc27056 \h </w:instrText>
      </w:r>
      <w:r>
        <w:fldChar w:fldCharType="separate"/>
      </w:r>
      <w:r>
        <w:t>9</w:t>
      </w:r>
      <w:r>
        <w:fldChar w:fldCharType="end"/>
      </w:r>
      <w:r>
        <w:fldChar w:fldCharType="end"/>
      </w:r>
    </w:p>
    <w:p>
      <w:pPr>
        <w:pStyle w:val="17"/>
        <w:tabs>
          <w:tab w:val="right" w:leader="dot" w:pos="9746"/>
          <w:tab w:val="clear" w:pos="0"/>
        </w:tabs>
      </w:pPr>
      <w:r>
        <w:fldChar w:fldCharType="begin"/>
      </w:r>
      <w:r>
        <w:instrText xml:space="preserve"> HYPERLINK \l _Toc765 </w:instrText>
      </w:r>
      <w:r>
        <w:fldChar w:fldCharType="separate"/>
      </w:r>
      <w:r>
        <w:rPr>
          <w:rFonts w:hint="eastAsia"/>
        </w:rPr>
        <w:t>二、 总 则</w:t>
      </w:r>
      <w:r>
        <w:tab/>
      </w:r>
      <w:r>
        <w:fldChar w:fldCharType="begin"/>
      </w:r>
      <w:r>
        <w:instrText xml:space="preserve"> PAGEREF _Toc765 \h </w:instrText>
      </w:r>
      <w:r>
        <w:fldChar w:fldCharType="separate"/>
      </w:r>
      <w:r>
        <w:t>16</w:t>
      </w:r>
      <w:r>
        <w:fldChar w:fldCharType="end"/>
      </w:r>
      <w:r>
        <w:fldChar w:fldCharType="end"/>
      </w:r>
    </w:p>
    <w:p>
      <w:pPr>
        <w:pStyle w:val="13"/>
        <w:tabs>
          <w:tab w:val="right" w:leader="dot" w:pos="9746"/>
          <w:tab w:val="clear" w:pos="0"/>
        </w:tabs>
      </w:pPr>
      <w:r>
        <w:fldChar w:fldCharType="begin"/>
      </w:r>
      <w:r>
        <w:instrText xml:space="preserve"> HYPERLINK \l _Toc17534 </w:instrText>
      </w:r>
      <w:r>
        <w:fldChar w:fldCharType="separate"/>
      </w:r>
      <w:r>
        <w:rPr>
          <w:rFonts w:hint="eastAsia" w:ascii="宋体" w:hAnsi="宋体" w:eastAsia="宋体" w:cs="宋体"/>
        </w:rPr>
        <w:t xml:space="preserve">(一) </w:t>
      </w:r>
      <w:r>
        <w:rPr>
          <w:rFonts w:hint="eastAsia"/>
        </w:rPr>
        <w:t>适用范围</w:t>
      </w:r>
      <w:r>
        <w:tab/>
      </w:r>
      <w:r>
        <w:fldChar w:fldCharType="begin"/>
      </w:r>
      <w:r>
        <w:instrText xml:space="preserve"> PAGEREF _Toc17534 \h </w:instrText>
      </w:r>
      <w:r>
        <w:fldChar w:fldCharType="separate"/>
      </w:r>
      <w:r>
        <w:t>16</w:t>
      </w:r>
      <w:r>
        <w:fldChar w:fldCharType="end"/>
      </w:r>
      <w:r>
        <w:fldChar w:fldCharType="end"/>
      </w:r>
    </w:p>
    <w:p>
      <w:pPr>
        <w:pStyle w:val="13"/>
        <w:tabs>
          <w:tab w:val="right" w:leader="dot" w:pos="9746"/>
          <w:tab w:val="clear" w:pos="0"/>
        </w:tabs>
      </w:pPr>
      <w:r>
        <w:fldChar w:fldCharType="begin"/>
      </w:r>
      <w:r>
        <w:instrText xml:space="preserve"> HYPERLINK \l _Toc27245 </w:instrText>
      </w:r>
      <w:r>
        <w:fldChar w:fldCharType="separate"/>
      </w:r>
      <w:r>
        <w:rPr>
          <w:rFonts w:hint="eastAsia" w:ascii="宋体" w:hAnsi="宋体" w:eastAsia="宋体" w:cs="宋体"/>
        </w:rPr>
        <w:t xml:space="preserve">(二) </w:t>
      </w:r>
      <w:r>
        <w:rPr>
          <w:rFonts w:hint="eastAsia"/>
        </w:rPr>
        <w:t>有关定义</w:t>
      </w:r>
      <w:r>
        <w:tab/>
      </w:r>
      <w:r>
        <w:fldChar w:fldCharType="begin"/>
      </w:r>
      <w:r>
        <w:instrText xml:space="preserve"> PAGEREF _Toc27245 \h </w:instrText>
      </w:r>
      <w:r>
        <w:fldChar w:fldCharType="separate"/>
      </w:r>
      <w:r>
        <w:t>16</w:t>
      </w:r>
      <w:r>
        <w:fldChar w:fldCharType="end"/>
      </w:r>
      <w:r>
        <w:fldChar w:fldCharType="end"/>
      </w:r>
    </w:p>
    <w:p>
      <w:pPr>
        <w:pStyle w:val="13"/>
        <w:tabs>
          <w:tab w:val="right" w:leader="dot" w:pos="9746"/>
          <w:tab w:val="clear" w:pos="0"/>
        </w:tabs>
      </w:pPr>
      <w:r>
        <w:fldChar w:fldCharType="begin"/>
      </w:r>
      <w:r>
        <w:instrText xml:space="preserve"> HYPERLINK \l _Toc27756 </w:instrText>
      </w:r>
      <w:r>
        <w:fldChar w:fldCharType="separate"/>
      </w:r>
      <w:r>
        <w:rPr>
          <w:rFonts w:hint="eastAsia" w:ascii="宋体" w:hAnsi="宋体" w:eastAsia="宋体" w:cs="宋体"/>
        </w:rPr>
        <w:t xml:space="preserve">(三) </w:t>
      </w:r>
      <w:r>
        <w:rPr>
          <w:rFonts w:hint="eastAsia"/>
        </w:rPr>
        <w:t>合格的投标人</w:t>
      </w:r>
      <w:r>
        <w:rPr>
          <w:rFonts w:hint="eastAsia"/>
          <w:lang w:val="en-US" w:eastAsia="zh-CN"/>
        </w:rPr>
        <w:t>(实质性要求)</w:t>
      </w:r>
      <w:r>
        <w:tab/>
      </w:r>
      <w:r>
        <w:fldChar w:fldCharType="begin"/>
      </w:r>
      <w:r>
        <w:instrText xml:space="preserve"> PAGEREF _Toc27756 \h </w:instrText>
      </w:r>
      <w:r>
        <w:fldChar w:fldCharType="separate"/>
      </w:r>
      <w:r>
        <w:t>16</w:t>
      </w:r>
      <w:r>
        <w:fldChar w:fldCharType="end"/>
      </w:r>
      <w:r>
        <w:fldChar w:fldCharType="end"/>
      </w:r>
    </w:p>
    <w:p>
      <w:pPr>
        <w:pStyle w:val="13"/>
        <w:tabs>
          <w:tab w:val="right" w:leader="dot" w:pos="9746"/>
          <w:tab w:val="clear" w:pos="0"/>
        </w:tabs>
      </w:pPr>
      <w:r>
        <w:fldChar w:fldCharType="begin"/>
      </w:r>
      <w:r>
        <w:instrText xml:space="preserve"> HYPERLINK \l _Toc9141 </w:instrText>
      </w:r>
      <w:r>
        <w:fldChar w:fldCharType="separate"/>
      </w:r>
      <w:r>
        <w:rPr>
          <w:rFonts w:hint="eastAsia" w:ascii="宋体" w:hAnsi="宋体" w:eastAsia="宋体" w:cs="宋体"/>
        </w:rPr>
        <w:t xml:space="preserve">(四) </w:t>
      </w:r>
      <w:r>
        <w:rPr>
          <w:rFonts w:hint="eastAsia"/>
        </w:rPr>
        <w:t>投标费用</w:t>
      </w:r>
      <w:r>
        <w:rPr>
          <w:rFonts w:hint="eastAsia"/>
          <w:lang w:val="en-US" w:eastAsia="zh-CN"/>
        </w:rPr>
        <w:t>(实质性要求)</w:t>
      </w:r>
      <w:r>
        <w:tab/>
      </w:r>
      <w:r>
        <w:fldChar w:fldCharType="begin"/>
      </w:r>
      <w:r>
        <w:instrText xml:space="preserve"> PAGEREF _Toc9141 \h </w:instrText>
      </w:r>
      <w:r>
        <w:fldChar w:fldCharType="separate"/>
      </w:r>
      <w:r>
        <w:t>16</w:t>
      </w:r>
      <w:r>
        <w:fldChar w:fldCharType="end"/>
      </w:r>
      <w:r>
        <w:fldChar w:fldCharType="end"/>
      </w:r>
    </w:p>
    <w:p>
      <w:pPr>
        <w:pStyle w:val="13"/>
        <w:tabs>
          <w:tab w:val="right" w:leader="dot" w:pos="9746"/>
          <w:tab w:val="clear" w:pos="0"/>
        </w:tabs>
      </w:pPr>
      <w:r>
        <w:fldChar w:fldCharType="begin"/>
      </w:r>
      <w:r>
        <w:instrText xml:space="preserve"> HYPERLINK \l _Toc15357 </w:instrText>
      </w:r>
      <w:r>
        <w:fldChar w:fldCharType="separate"/>
      </w:r>
      <w:r>
        <w:rPr>
          <w:rFonts w:hint="eastAsia" w:ascii="宋体" w:hAnsi="宋体" w:eastAsia="宋体" w:cs="宋体"/>
        </w:rPr>
        <w:t xml:space="preserve">(五) </w:t>
      </w:r>
      <w:r>
        <w:rPr>
          <w:rFonts w:hint="eastAsia"/>
        </w:rPr>
        <w:t>充分、公平竞争保障措施</w:t>
      </w:r>
      <w:r>
        <w:rPr>
          <w:rFonts w:hint="eastAsia"/>
          <w:lang w:val="en-US" w:eastAsia="zh-CN"/>
        </w:rPr>
        <w:t>(实质性要求)</w:t>
      </w:r>
      <w:r>
        <w:tab/>
      </w:r>
      <w:r>
        <w:fldChar w:fldCharType="begin"/>
      </w:r>
      <w:r>
        <w:instrText xml:space="preserve"> PAGEREF _Toc15357 \h </w:instrText>
      </w:r>
      <w:r>
        <w:fldChar w:fldCharType="separate"/>
      </w:r>
      <w:r>
        <w:t>16</w:t>
      </w:r>
      <w:r>
        <w:fldChar w:fldCharType="end"/>
      </w:r>
      <w:r>
        <w:fldChar w:fldCharType="end"/>
      </w:r>
    </w:p>
    <w:p>
      <w:pPr>
        <w:pStyle w:val="17"/>
        <w:tabs>
          <w:tab w:val="right" w:leader="dot" w:pos="9746"/>
          <w:tab w:val="clear" w:pos="0"/>
        </w:tabs>
      </w:pPr>
      <w:r>
        <w:fldChar w:fldCharType="begin"/>
      </w:r>
      <w:r>
        <w:instrText xml:space="preserve"> HYPERLINK \l _Toc5872 </w:instrText>
      </w:r>
      <w:r>
        <w:fldChar w:fldCharType="separate"/>
      </w:r>
      <w:r>
        <w:rPr>
          <w:rFonts w:hint="eastAsia"/>
        </w:rPr>
        <w:t>三、 招标文件</w:t>
      </w:r>
      <w:r>
        <w:tab/>
      </w:r>
      <w:r>
        <w:fldChar w:fldCharType="begin"/>
      </w:r>
      <w:r>
        <w:instrText xml:space="preserve"> PAGEREF _Toc5872 \h </w:instrText>
      </w:r>
      <w:r>
        <w:fldChar w:fldCharType="separate"/>
      </w:r>
      <w:r>
        <w:t>17</w:t>
      </w:r>
      <w:r>
        <w:fldChar w:fldCharType="end"/>
      </w:r>
      <w:r>
        <w:fldChar w:fldCharType="end"/>
      </w:r>
    </w:p>
    <w:p>
      <w:pPr>
        <w:pStyle w:val="13"/>
        <w:tabs>
          <w:tab w:val="right" w:leader="dot" w:pos="9746"/>
          <w:tab w:val="clear" w:pos="0"/>
        </w:tabs>
      </w:pPr>
      <w:r>
        <w:fldChar w:fldCharType="begin"/>
      </w:r>
      <w:r>
        <w:instrText xml:space="preserve"> HYPERLINK \l _Toc16423 </w:instrText>
      </w:r>
      <w:r>
        <w:fldChar w:fldCharType="separate"/>
      </w:r>
      <w:r>
        <w:rPr>
          <w:rFonts w:hint="eastAsia" w:ascii="宋体" w:hAnsi="宋体" w:eastAsia="宋体" w:cs="宋体"/>
        </w:rPr>
        <w:t xml:space="preserve">(一) </w:t>
      </w:r>
      <w:r>
        <w:rPr>
          <w:rFonts w:hint="eastAsia"/>
        </w:rPr>
        <w:t>招标文件的构成</w:t>
      </w:r>
      <w:r>
        <w:tab/>
      </w:r>
      <w:r>
        <w:fldChar w:fldCharType="begin"/>
      </w:r>
      <w:r>
        <w:instrText xml:space="preserve"> PAGEREF _Toc16423 \h </w:instrText>
      </w:r>
      <w:r>
        <w:fldChar w:fldCharType="separate"/>
      </w:r>
      <w:r>
        <w:t>17</w:t>
      </w:r>
      <w:r>
        <w:fldChar w:fldCharType="end"/>
      </w:r>
      <w:r>
        <w:fldChar w:fldCharType="end"/>
      </w:r>
    </w:p>
    <w:p>
      <w:pPr>
        <w:pStyle w:val="13"/>
        <w:tabs>
          <w:tab w:val="right" w:leader="dot" w:pos="9746"/>
          <w:tab w:val="clear" w:pos="0"/>
        </w:tabs>
      </w:pPr>
      <w:r>
        <w:fldChar w:fldCharType="begin"/>
      </w:r>
      <w:r>
        <w:instrText xml:space="preserve"> HYPERLINK \l _Toc26113 </w:instrText>
      </w:r>
      <w:r>
        <w:fldChar w:fldCharType="separate"/>
      </w:r>
      <w:r>
        <w:rPr>
          <w:rFonts w:hint="eastAsia" w:ascii="宋体" w:hAnsi="宋体" w:eastAsia="宋体" w:cs="宋体"/>
        </w:rPr>
        <w:t xml:space="preserve">(二) </w:t>
      </w:r>
      <w:r>
        <w:rPr>
          <w:rFonts w:hint="eastAsia"/>
        </w:rPr>
        <w:t>招标文件的澄清和修改</w:t>
      </w:r>
      <w:r>
        <w:tab/>
      </w:r>
      <w:r>
        <w:fldChar w:fldCharType="begin"/>
      </w:r>
      <w:r>
        <w:instrText xml:space="preserve"> PAGEREF _Toc26113 \h </w:instrText>
      </w:r>
      <w:r>
        <w:fldChar w:fldCharType="separate"/>
      </w:r>
      <w:r>
        <w:t>18</w:t>
      </w:r>
      <w:r>
        <w:fldChar w:fldCharType="end"/>
      </w:r>
      <w:r>
        <w:fldChar w:fldCharType="end"/>
      </w:r>
    </w:p>
    <w:p>
      <w:pPr>
        <w:pStyle w:val="13"/>
        <w:tabs>
          <w:tab w:val="right" w:leader="dot" w:pos="9746"/>
          <w:tab w:val="clear" w:pos="0"/>
        </w:tabs>
      </w:pPr>
      <w:r>
        <w:fldChar w:fldCharType="begin"/>
      </w:r>
      <w:r>
        <w:instrText xml:space="preserve"> HYPERLINK \l _Toc24803 </w:instrText>
      </w:r>
      <w:r>
        <w:fldChar w:fldCharType="separate"/>
      </w:r>
      <w:r>
        <w:rPr>
          <w:rFonts w:hint="eastAsia" w:ascii="宋体" w:hAnsi="宋体" w:eastAsia="宋体" w:cs="宋体"/>
        </w:rPr>
        <w:t xml:space="preserve">(三) </w:t>
      </w:r>
      <w:r>
        <w:rPr>
          <w:rFonts w:hint="eastAsia"/>
        </w:rPr>
        <w:t>答疑会和现场考察</w:t>
      </w:r>
      <w:r>
        <w:tab/>
      </w:r>
      <w:r>
        <w:fldChar w:fldCharType="begin"/>
      </w:r>
      <w:r>
        <w:instrText xml:space="preserve"> PAGEREF _Toc24803 \h </w:instrText>
      </w:r>
      <w:r>
        <w:fldChar w:fldCharType="separate"/>
      </w:r>
      <w:r>
        <w:t>18</w:t>
      </w:r>
      <w:r>
        <w:fldChar w:fldCharType="end"/>
      </w:r>
      <w:r>
        <w:fldChar w:fldCharType="end"/>
      </w:r>
    </w:p>
    <w:p>
      <w:pPr>
        <w:pStyle w:val="17"/>
        <w:tabs>
          <w:tab w:val="right" w:leader="dot" w:pos="9746"/>
          <w:tab w:val="clear" w:pos="0"/>
        </w:tabs>
      </w:pPr>
      <w:r>
        <w:fldChar w:fldCharType="begin"/>
      </w:r>
      <w:r>
        <w:instrText xml:space="preserve"> HYPERLINK \l _Toc30744 </w:instrText>
      </w:r>
      <w:r>
        <w:fldChar w:fldCharType="separate"/>
      </w:r>
      <w:r>
        <w:rPr>
          <w:rFonts w:hint="eastAsia"/>
        </w:rPr>
        <w:t>四、 投标文件</w:t>
      </w:r>
      <w:r>
        <w:tab/>
      </w:r>
      <w:r>
        <w:fldChar w:fldCharType="begin"/>
      </w:r>
      <w:r>
        <w:instrText xml:space="preserve"> PAGEREF _Toc30744 \h </w:instrText>
      </w:r>
      <w:r>
        <w:fldChar w:fldCharType="separate"/>
      </w:r>
      <w:r>
        <w:t>18</w:t>
      </w:r>
      <w:r>
        <w:fldChar w:fldCharType="end"/>
      </w:r>
      <w:r>
        <w:fldChar w:fldCharType="end"/>
      </w:r>
    </w:p>
    <w:p>
      <w:pPr>
        <w:pStyle w:val="13"/>
        <w:tabs>
          <w:tab w:val="right" w:leader="dot" w:pos="9746"/>
          <w:tab w:val="clear" w:pos="0"/>
        </w:tabs>
      </w:pPr>
      <w:r>
        <w:fldChar w:fldCharType="begin"/>
      </w:r>
      <w:r>
        <w:instrText xml:space="preserve"> HYPERLINK \l _Toc29527 </w:instrText>
      </w:r>
      <w:r>
        <w:fldChar w:fldCharType="separate"/>
      </w:r>
      <w:r>
        <w:rPr>
          <w:rFonts w:hint="eastAsia" w:ascii="宋体" w:hAnsi="宋体" w:eastAsia="宋体" w:cs="宋体"/>
        </w:rPr>
        <w:t xml:space="preserve">(一) </w:t>
      </w:r>
      <w:r>
        <w:rPr>
          <w:rFonts w:hint="eastAsia"/>
        </w:rPr>
        <w:t>投标文件的语言</w:t>
      </w:r>
      <w:r>
        <w:rPr>
          <w:rFonts w:hint="eastAsia"/>
          <w:lang w:val="en-US" w:eastAsia="zh-CN"/>
        </w:rPr>
        <w:t>(实质性要求)</w:t>
      </w:r>
      <w:r>
        <w:tab/>
      </w:r>
      <w:r>
        <w:fldChar w:fldCharType="begin"/>
      </w:r>
      <w:r>
        <w:instrText xml:space="preserve"> PAGEREF _Toc29527 \h </w:instrText>
      </w:r>
      <w:r>
        <w:fldChar w:fldCharType="separate"/>
      </w:r>
      <w:r>
        <w:t>18</w:t>
      </w:r>
      <w:r>
        <w:fldChar w:fldCharType="end"/>
      </w:r>
      <w:r>
        <w:fldChar w:fldCharType="end"/>
      </w:r>
    </w:p>
    <w:p>
      <w:pPr>
        <w:pStyle w:val="13"/>
        <w:tabs>
          <w:tab w:val="right" w:leader="dot" w:pos="9746"/>
          <w:tab w:val="clear" w:pos="0"/>
        </w:tabs>
      </w:pPr>
      <w:r>
        <w:fldChar w:fldCharType="begin"/>
      </w:r>
      <w:r>
        <w:instrText xml:space="preserve"> HYPERLINK \l _Toc30128 </w:instrText>
      </w:r>
      <w:r>
        <w:fldChar w:fldCharType="separate"/>
      </w:r>
      <w:r>
        <w:rPr>
          <w:rFonts w:hint="eastAsia" w:ascii="宋体" w:hAnsi="宋体" w:eastAsia="宋体" w:cs="宋体"/>
        </w:rPr>
        <w:t xml:space="preserve">(二) </w:t>
      </w:r>
      <w:r>
        <w:rPr>
          <w:rFonts w:hint="eastAsia"/>
        </w:rPr>
        <w:t>计量单位</w:t>
      </w:r>
      <w:r>
        <w:rPr>
          <w:rFonts w:hint="eastAsia"/>
          <w:lang w:val="en-US" w:eastAsia="zh-CN"/>
        </w:rPr>
        <w:t>(实质性要求)</w:t>
      </w:r>
      <w:r>
        <w:tab/>
      </w:r>
      <w:r>
        <w:fldChar w:fldCharType="begin"/>
      </w:r>
      <w:r>
        <w:instrText xml:space="preserve"> PAGEREF _Toc30128 \h </w:instrText>
      </w:r>
      <w:r>
        <w:fldChar w:fldCharType="separate"/>
      </w:r>
      <w:r>
        <w:t>19</w:t>
      </w:r>
      <w:r>
        <w:fldChar w:fldCharType="end"/>
      </w:r>
      <w:r>
        <w:fldChar w:fldCharType="end"/>
      </w:r>
    </w:p>
    <w:p>
      <w:pPr>
        <w:pStyle w:val="13"/>
        <w:tabs>
          <w:tab w:val="right" w:leader="dot" w:pos="9746"/>
          <w:tab w:val="clear" w:pos="0"/>
        </w:tabs>
      </w:pPr>
      <w:r>
        <w:fldChar w:fldCharType="begin"/>
      </w:r>
      <w:r>
        <w:instrText xml:space="preserve"> HYPERLINK \l _Toc11860 </w:instrText>
      </w:r>
      <w:r>
        <w:fldChar w:fldCharType="separate"/>
      </w:r>
      <w:r>
        <w:rPr>
          <w:rFonts w:hint="eastAsia" w:ascii="宋体" w:hAnsi="宋体" w:eastAsia="宋体" w:cs="宋体"/>
        </w:rPr>
        <w:t xml:space="preserve">(三) </w:t>
      </w:r>
      <w:r>
        <w:rPr>
          <w:rFonts w:hint="eastAsia"/>
        </w:rPr>
        <w:t>投标货币</w:t>
      </w:r>
      <w:r>
        <w:rPr>
          <w:rFonts w:hint="eastAsia"/>
          <w:lang w:val="en-US" w:eastAsia="zh-CN"/>
        </w:rPr>
        <w:t>(实质性要求)</w:t>
      </w:r>
      <w:r>
        <w:tab/>
      </w:r>
      <w:r>
        <w:fldChar w:fldCharType="begin"/>
      </w:r>
      <w:r>
        <w:instrText xml:space="preserve"> PAGEREF _Toc11860 \h </w:instrText>
      </w:r>
      <w:r>
        <w:fldChar w:fldCharType="separate"/>
      </w:r>
      <w:r>
        <w:t>19</w:t>
      </w:r>
      <w:r>
        <w:fldChar w:fldCharType="end"/>
      </w:r>
      <w:r>
        <w:fldChar w:fldCharType="end"/>
      </w:r>
    </w:p>
    <w:p>
      <w:pPr>
        <w:pStyle w:val="13"/>
        <w:tabs>
          <w:tab w:val="right" w:leader="dot" w:pos="9746"/>
          <w:tab w:val="clear" w:pos="0"/>
        </w:tabs>
      </w:pPr>
      <w:r>
        <w:fldChar w:fldCharType="begin"/>
      </w:r>
      <w:r>
        <w:instrText xml:space="preserve"> HYPERLINK \l _Toc20187 </w:instrText>
      </w:r>
      <w:r>
        <w:fldChar w:fldCharType="separate"/>
      </w:r>
      <w:r>
        <w:rPr>
          <w:rFonts w:hint="eastAsia" w:ascii="宋体" w:hAnsi="宋体" w:eastAsia="宋体" w:cs="宋体"/>
          <w:lang w:eastAsia="zh-CN"/>
        </w:rPr>
        <w:t xml:space="preserve">(四) </w:t>
      </w:r>
      <w:r>
        <w:rPr>
          <w:rFonts w:hint="eastAsia"/>
        </w:rPr>
        <w:t>联合体投标</w:t>
      </w:r>
      <w:r>
        <w:rPr>
          <w:rFonts w:hint="eastAsia"/>
          <w:lang w:val="en-US" w:eastAsia="zh-CN"/>
        </w:rPr>
        <w:t>(实质性要求)</w:t>
      </w:r>
      <w:r>
        <w:tab/>
      </w:r>
      <w:r>
        <w:fldChar w:fldCharType="begin"/>
      </w:r>
      <w:r>
        <w:instrText xml:space="preserve"> PAGEREF _Toc20187 \h </w:instrText>
      </w:r>
      <w:r>
        <w:fldChar w:fldCharType="separate"/>
      </w:r>
      <w:r>
        <w:t>19</w:t>
      </w:r>
      <w:r>
        <w:fldChar w:fldCharType="end"/>
      </w:r>
      <w:r>
        <w:fldChar w:fldCharType="end"/>
      </w:r>
    </w:p>
    <w:p>
      <w:pPr>
        <w:pStyle w:val="13"/>
        <w:tabs>
          <w:tab w:val="right" w:leader="dot" w:pos="9746"/>
          <w:tab w:val="clear" w:pos="0"/>
        </w:tabs>
      </w:pPr>
      <w:r>
        <w:fldChar w:fldCharType="begin"/>
      </w:r>
      <w:r>
        <w:instrText xml:space="preserve"> HYPERLINK \l _Toc14161 </w:instrText>
      </w:r>
      <w:r>
        <w:fldChar w:fldCharType="separate"/>
      </w:r>
      <w:r>
        <w:rPr>
          <w:rFonts w:hint="eastAsia" w:ascii="宋体" w:hAnsi="宋体" w:eastAsia="宋体" w:cs="宋体"/>
        </w:rPr>
        <w:t xml:space="preserve">(五) </w:t>
      </w:r>
      <w:r>
        <w:rPr>
          <w:rFonts w:hint="eastAsia"/>
        </w:rPr>
        <w:t>知识产权</w:t>
      </w:r>
      <w:r>
        <w:rPr>
          <w:rFonts w:hint="eastAsia"/>
          <w:lang w:val="en-US" w:eastAsia="zh-CN"/>
        </w:rPr>
        <w:t>(实质性要求)</w:t>
      </w:r>
      <w:r>
        <w:tab/>
      </w:r>
      <w:r>
        <w:fldChar w:fldCharType="begin"/>
      </w:r>
      <w:r>
        <w:instrText xml:space="preserve"> PAGEREF _Toc14161 \h </w:instrText>
      </w:r>
      <w:r>
        <w:fldChar w:fldCharType="separate"/>
      </w:r>
      <w:r>
        <w:t>19</w:t>
      </w:r>
      <w:r>
        <w:fldChar w:fldCharType="end"/>
      </w:r>
      <w:r>
        <w:fldChar w:fldCharType="end"/>
      </w:r>
    </w:p>
    <w:p>
      <w:pPr>
        <w:pStyle w:val="13"/>
        <w:tabs>
          <w:tab w:val="right" w:leader="dot" w:pos="9746"/>
          <w:tab w:val="clear" w:pos="0"/>
        </w:tabs>
      </w:pPr>
      <w:r>
        <w:fldChar w:fldCharType="begin"/>
      </w:r>
      <w:r>
        <w:instrText xml:space="preserve"> HYPERLINK \l _Toc13408 </w:instrText>
      </w:r>
      <w:r>
        <w:fldChar w:fldCharType="separate"/>
      </w:r>
      <w:r>
        <w:rPr>
          <w:rFonts w:hint="eastAsia" w:ascii="宋体" w:hAnsi="宋体" w:eastAsia="宋体" w:cs="宋体"/>
        </w:rPr>
        <w:t xml:space="preserve">(六) </w:t>
      </w:r>
      <w:r>
        <w:rPr>
          <w:rFonts w:hint="eastAsia"/>
        </w:rPr>
        <w:t>投标文件的组成</w:t>
      </w:r>
      <w:r>
        <w:tab/>
      </w:r>
      <w:r>
        <w:fldChar w:fldCharType="begin"/>
      </w:r>
      <w:r>
        <w:instrText xml:space="preserve"> PAGEREF _Toc13408 \h </w:instrText>
      </w:r>
      <w:r>
        <w:fldChar w:fldCharType="separate"/>
      </w:r>
      <w:r>
        <w:t>19</w:t>
      </w:r>
      <w:r>
        <w:fldChar w:fldCharType="end"/>
      </w:r>
      <w:r>
        <w:fldChar w:fldCharType="end"/>
      </w:r>
    </w:p>
    <w:p>
      <w:pPr>
        <w:pStyle w:val="13"/>
        <w:tabs>
          <w:tab w:val="right" w:leader="dot" w:pos="9746"/>
          <w:tab w:val="clear" w:pos="0"/>
        </w:tabs>
      </w:pPr>
      <w:r>
        <w:fldChar w:fldCharType="begin"/>
      </w:r>
      <w:r>
        <w:instrText xml:space="preserve"> HYPERLINK \l _Toc10319 </w:instrText>
      </w:r>
      <w:r>
        <w:fldChar w:fldCharType="separate"/>
      </w:r>
      <w:r>
        <w:rPr>
          <w:rFonts w:hint="eastAsia" w:ascii="宋体" w:hAnsi="宋体" w:eastAsia="宋体" w:cs="宋体"/>
        </w:rPr>
        <w:t xml:space="preserve">(七) </w:t>
      </w:r>
      <w:r>
        <w:rPr>
          <w:rFonts w:hint="eastAsia"/>
        </w:rPr>
        <w:t>投标文件格式</w:t>
      </w:r>
      <w:r>
        <w:tab/>
      </w:r>
      <w:r>
        <w:fldChar w:fldCharType="begin"/>
      </w:r>
      <w:r>
        <w:instrText xml:space="preserve"> PAGEREF _Toc10319 \h </w:instrText>
      </w:r>
      <w:r>
        <w:fldChar w:fldCharType="separate"/>
      </w:r>
      <w:r>
        <w:t>21</w:t>
      </w:r>
      <w:r>
        <w:fldChar w:fldCharType="end"/>
      </w:r>
      <w:r>
        <w:fldChar w:fldCharType="end"/>
      </w:r>
    </w:p>
    <w:p>
      <w:pPr>
        <w:pStyle w:val="13"/>
        <w:tabs>
          <w:tab w:val="right" w:leader="dot" w:pos="9746"/>
          <w:tab w:val="clear" w:pos="0"/>
        </w:tabs>
      </w:pPr>
      <w:r>
        <w:fldChar w:fldCharType="begin"/>
      </w:r>
      <w:r>
        <w:instrText xml:space="preserve"> HYPERLINK \l _Toc8154 </w:instrText>
      </w:r>
      <w:r>
        <w:fldChar w:fldCharType="separate"/>
      </w:r>
      <w:r>
        <w:rPr>
          <w:rFonts w:hint="eastAsia" w:ascii="宋体" w:hAnsi="宋体" w:eastAsia="宋体" w:cs="宋体"/>
        </w:rPr>
        <w:t xml:space="preserve">(八) </w:t>
      </w:r>
      <w:r>
        <w:rPr>
          <w:rFonts w:hint="eastAsia"/>
        </w:rPr>
        <w:t>投标保证金</w:t>
      </w:r>
      <w:r>
        <w:tab/>
      </w:r>
      <w:r>
        <w:fldChar w:fldCharType="begin"/>
      </w:r>
      <w:r>
        <w:instrText xml:space="preserve"> PAGEREF _Toc8154 \h </w:instrText>
      </w:r>
      <w:r>
        <w:fldChar w:fldCharType="separate"/>
      </w:r>
      <w:r>
        <w:t>21</w:t>
      </w:r>
      <w:r>
        <w:fldChar w:fldCharType="end"/>
      </w:r>
      <w:r>
        <w:fldChar w:fldCharType="end"/>
      </w:r>
    </w:p>
    <w:p>
      <w:pPr>
        <w:pStyle w:val="13"/>
        <w:tabs>
          <w:tab w:val="right" w:leader="dot" w:pos="9746"/>
          <w:tab w:val="clear" w:pos="0"/>
        </w:tabs>
      </w:pPr>
      <w:r>
        <w:fldChar w:fldCharType="begin"/>
      </w:r>
      <w:r>
        <w:instrText xml:space="preserve"> HYPERLINK \l _Toc16675 </w:instrText>
      </w:r>
      <w:r>
        <w:fldChar w:fldCharType="separate"/>
      </w:r>
      <w:r>
        <w:rPr>
          <w:rFonts w:hint="eastAsia" w:ascii="宋体" w:hAnsi="宋体" w:eastAsia="宋体" w:cs="宋体"/>
        </w:rPr>
        <w:t xml:space="preserve">(九) </w:t>
      </w:r>
      <w:r>
        <w:rPr>
          <w:rFonts w:hint="eastAsia"/>
        </w:rPr>
        <w:t>投标有效期</w:t>
      </w:r>
      <w:r>
        <w:rPr>
          <w:rFonts w:hint="eastAsia"/>
          <w:lang w:eastAsia="zh-CN"/>
        </w:rPr>
        <w:t>(</w:t>
      </w:r>
      <w:r>
        <w:rPr>
          <w:rFonts w:hint="eastAsia"/>
        </w:rPr>
        <w:t>实质性要求</w:t>
      </w:r>
      <w:r>
        <w:rPr>
          <w:rFonts w:hint="eastAsia"/>
          <w:lang w:eastAsia="zh-CN"/>
        </w:rPr>
        <w:t>)</w:t>
      </w:r>
      <w:r>
        <w:tab/>
      </w:r>
      <w:r>
        <w:fldChar w:fldCharType="begin"/>
      </w:r>
      <w:r>
        <w:instrText xml:space="preserve"> PAGEREF _Toc16675 \h </w:instrText>
      </w:r>
      <w:r>
        <w:fldChar w:fldCharType="separate"/>
      </w:r>
      <w:r>
        <w:t>21</w:t>
      </w:r>
      <w:r>
        <w:fldChar w:fldCharType="end"/>
      </w:r>
      <w:r>
        <w:fldChar w:fldCharType="end"/>
      </w:r>
    </w:p>
    <w:p>
      <w:pPr>
        <w:pStyle w:val="13"/>
        <w:tabs>
          <w:tab w:val="right" w:leader="dot" w:pos="9746"/>
          <w:tab w:val="clear" w:pos="0"/>
        </w:tabs>
      </w:pPr>
      <w:r>
        <w:fldChar w:fldCharType="begin"/>
      </w:r>
      <w:r>
        <w:instrText xml:space="preserve"> HYPERLINK \l _Toc32700 </w:instrText>
      </w:r>
      <w:r>
        <w:fldChar w:fldCharType="separate"/>
      </w:r>
      <w:r>
        <w:rPr>
          <w:rFonts w:hint="eastAsia" w:ascii="宋体" w:hAnsi="宋体" w:eastAsia="宋体" w:cs="宋体"/>
        </w:rPr>
        <w:t>(十) 投标文件的制作和签章、加密</w:t>
      </w:r>
      <w:r>
        <w:tab/>
      </w:r>
      <w:r>
        <w:fldChar w:fldCharType="begin"/>
      </w:r>
      <w:r>
        <w:instrText xml:space="preserve"> PAGEREF _Toc32700 \h </w:instrText>
      </w:r>
      <w:r>
        <w:fldChar w:fldCharType="separate"/>
      </w:r>
      <w:r>
        <w:t>21</w:t>
      </w:r>
      <w:r>
        <w:fldChar w:fldCharType="end"/>
      </w:r>
      <w:r>
        <w:fldChar w:fldCharType="end"/>
      </w:r>
    </w:p>
    <w:p>
      <w:pPr>
        <w:pStyle w:val="13"/>
        <w:tabs>
          <w:tab w:val="right" w:leader="dot" w:pos="9746"/>
          <w:tab w:val="clear" w:pos="0"/>
        </w:tabs>
      </w:pPr>
      <w:r>
        <w:fldChar w:fldCharType="begin"/>
      </w:r>
      <w:r>
        <w:instrText xml:space="preserve"> HYPERLINK \l _Toc28160 </w:instrText>
      </w:r>
      <w:r>
        <w:fldChar w:fldCharType="separate"/>
      </w:r>
      <w:r>
        <w:rPr>
          <w:rFonts w:hint="eastAsia" w:ascii="宋体" w:hAnsi="宋体" w:eastAsia="宋体" w:cs="宋体"/>
        </w:rPr>
        <w:t xml:space="preserve">(十一) </w:t>
      </w:r>
      <w:r>
        <w:rPr>
          <w:rFonts w:hint="eastAsia"/>
        </w:rPr>
        <w:t>投标文件的递交</w:t>
      </w:r>
      <w:r>
        <w:tab/>
      </w:r>
      <w:r>
        <w:fldChar w:fldCharType="begin"/>
      </w:r>
      <w:r>
        <w:instrText xml:space="preserve"> PAGEREF _Toc28160 \h </w:instrText>
      </w:r>
      <w:r>
        <w:fldChar w:fldCharType="separate"/>
      </w:r>
      <w:r>
        <w:t>22</w:t>
      </w:r>
      <w:r>
        <w:fldChar w:fldCharType="end"/>
      </w:r>
      <w:r>
        <w:fldChar w:fldCharType="end"/>
      </w:r>
    </w:p>
    <w:p>
      <w:pPr>
        <w:pStyle w:val="13"/>
        <w:tabs>
          <w:tab w:val="right" w:leader="dot" w:pos="9746"/>
          <w:tab w:val="clear" w:pos="0"/>
        </w:tabs>
      </w:pPr>
      <w:r>
        <w:fldChar w:fldCharType="begin"/>
      </w:r>
      <w:r>
        <w:instrText xml:space="preserve"> HYPERLINK \l _Toc12470 </w:instrText>
      </w:r>
      <w:r>
        <w:fldChar w:fldCharType="separate"/>
      </w:r>
      <w:r>
        <w:rPr>
          <w:rFonts w:hint="eastAsia" w:ascii="宋体" w:hAnsi="宋体" w:eastAsia="宋体" w:cs="宋体"/>
        </w:rPr>
        <w:t xml:space="preserve">(十二) </w:t>
      </w:r>
      <w:r>
        <w:rPr>
          <w:rFonts w:hint="eastAsia"/>
        </w:rPr>
        <w:t>投标文件的修改和撤回</w:t>
      </w:r>
      <w:r>
        <w:tab/>
      </w:r>
      <w:r>
        <w:fldChar w:fldCharType="begin"/>
      </w:r>
      <w:r>
        <w:instrText xml:space="preserve"> PAGEREF _Toc12470 \h </w:instrText>
      </w:r>
      <w:r>
        <w:fldChar w:fldCharType="separate"/>
      </w:r>
      <w:r>
        <w:t>22</w:t>
      </w:r>
      <w:r>
        <w:fldChar w:fldCharType="end"/>
      </w:r>
      <w:r>
        <w:fldChar w:fldCharType="end"/>
      </w:r>
    </w:p>
    <w:p>
      <w:pPr>
        <w:pStyle w:val="13"/>
        <w:tabs>
          <w:tab w:val="right" w:leader="dot" w:pos="9746"/>
          <w:tab w:val="clear" w:pos="0"/>
        </w:tabs>
      </w:pPr>
      <w:r>
        <w:fldChar w:fldCharType="begin"/>
      </w:r>
      <w:r>
        <w:instrText xml:space="preserve"> HYPERLINK \l _Toc23805 </w:instrText>
      </w:r>
      <w:r>
        <w:fldChar w:fldCharType="separate"/>
      </w:r>
      <w:r>
        <w:rPr>
          <w:rFonts w:hint="eastAsia" w:ascii="宋体" w:hAnsi="宋体" w:eastAsia="宋体" w:cs="宋体"/>
        </w:rPr>
        <w:t>(十三) 投标文件的解密</w:t>
      </w:r>
      <w:r>
        <w:tab/>
      </w:r>
      <w:r>
        <w:fldChar w:fldCharType="begin"/>
      </w:r>
      <w:r>
        <w:instrText xml:space="preserve"> PAGEREF _Toc23805 \h </w:instrText>
      </w:r>
      <w:r>
        <w:fldChar w:fldCharType="separate"/>
      </w:r>
      <w:r>
        <w:t>22</w:t>
      </w:r>
      <w:r>
        <w:fldChar w:fldCharType="end"/>
      </w:r>
      <w:r>
        <w:fldChar w:fldCharType="end"/>
      </w:r>
    </w:p>
    <w:p>
      <w:pPr>
        <w:pStyle w:val="17"/>
        <w:tabs>
          <w:tab w:val="right" w:leader="dot" w:pos="9746"/>
          <w:tab w:val="clear" w:pos="0"/>
        </w:tabs>
      </w:pPr>
      <w:r>
        <w:fldChar w:fldCharType="begin"/>
      </w:r>
      <w:r>
        <w:instrText xml:space="preserve"> HYPERLINK \l _Toc25632 </w:instrText>
      </w:r>
      <w:r>
        <w:fldChar w:fldCharType="separate"/>
      </w:r>
      <w:r>
        <w:rPr>
          <w:rFonts w:hint="eastAsia"/>
        </w:rPr>
        <w:t>五、 开标和中标</w:t>
      </w:r>
      <w:r>
        <w:tab/>
      </w:r>
      <w:r>
        <w:fldChar w:fldCharType="begin"/>
      </w:r>
      <w:r>
        <w:instrText xml:space="preserve"> PAGEREF _Toc25632 \h </w:instrText>
      </w:r>
      <w:r>
        <w:fldChar w:fldCharType="separate"/>
      </w:r>
      <w:r>
        <w:t>22</w:t>
      </w:r>
      <w:r>
        <w:fldChar w:fldCharType="end"/>
      </w:r>
      <w:r>
        <w:fldChar w:fldCharType="end"/>
      </w:r>
    </w:p>
    <w:p>
      <w:pPr>
        <w:pStyle w:val="13"/>
        <w:tabs>
          <w:tab w:val="right" w:leader="dot" w:pos="9746"/>
          <w:tab w:val="clear" w:pos="0"/>
        </w:tabs>
      </w:pPr>
      <w:r>
        <w:fldChar w:fldCharType="begin"/>
      </w:r>
      <w:r>
        <w:instrText xml:space="preserve"> HYPERLINK \l _Toc12100 </w:instrText>
      </w:r>
      <w:r>
        <w:fldChar w:fldCharType="separate"/>
      </w:r>
      <w:r>
        <w:rPr>
          <w:rFonts w:hint="eastAsia" w:ascii="宋体" w:hAnsi="宋体" w:eastAsia="宋体" w:cs="宋体"/>
          <w:bCs w:val="0"/>
        </w:rPr>
        <w:t xml:space="preserve">(一) </w:t>
      </w:r>
      <w:r>
        <w:rPr>
          <w:rFonts w:hint="eastAsia"/>
          <w:bCs w:val="0"/>
        </w:rPr>
        <w:t>开标</w:t>
      </w:r>
      <w:r>
        <w:rPr>
          <w:rFonts w:hint="eastAsia"/>
          <w:bCs w:val="0"/>
          <w:lang w:val="en-US" w:eastAsia="zh-CN"/>
        </w:rPr>
        <w:t>及开标程序</w:t>
      </w:r>
      <w:r>
        <w:tab/>
      </w:r>
      <w:r>
        <w:fldChar w:fldCharType="begin"/>
      </w:r>
      <w:r>
        <w:instrText xml:space="preserve"> PAGEREF _Toc12100 \h </w:instrText>
      </w:r>
      <w:r>
        <w:fldChar w:fldCharType="separate"/>
      </w:r>
      <w:r>
        <w:t>22</w:t>
      </w:r>
      <w:r>
        <w:fldChar w:fldCharType="end"/>
      </w:r>
      <w:r>
        <w:fldChar w:fldCharType="end"/>
      </w:r>
    </w:p>
    <w:p>
      <w:pPr>
        <w:pStyle w:val="13"/>
        <w:tabs>
          <w:tab w:val="right" w:leader="dot" w:pos="9746"/>
          <w:tab w:val="clear" w:pos="0"/>
        </w:tabs>
      </w:pPr>
      <w:r>
        <w:fldChar w:fldCharType="begin"/>
      </w:r>
      <w:r>
        <w:instrText xml:space="preserve"> HYPERLINK \l _Toc24289 </w:instrText>
      </w:r>
      <w:r>
        <w:fldChar w:fldCharType="separate"/>
      </w:r>
      <w:r>
        <w:rPr>
          <w:rFonts w:hint="eastAsia" w:ascii="宋体" w:hAnsi="宋体" w:eastAsia="宋体" w:cs="宋体"/>
          <w:lang w:val="en-US" w:eastAsia="zh-CN"/>
        </w:rPr>
        <w:t xml:space="preserve">(二) </w:t>
      </w:r>
      <w:r>
        <w:rPr>
          <w:rFonts w:hint="eastAsia"/>
          <w:lang w:val="en-US" w:eastAsia="zh-CN"/>
        </w:rPr>
        <w:t>开评标过程存档</w:t>
      </w:r>
      <w:r>
        <w:tab/>
      </w:r>
      <w:r>
        <w:fldChar w:fldCharType="begin"/>
      </w:r>
      <w:r>
        <w:instrText xml:space="preserve"> PAGEREF _Toc24289 \h </w:instrText>
      </w:r>
      <w:r>
        <w:fldChar w:fldCharType="separate"/>
      </w:r>
      <w:r>
        <w:t>23</w:t>
      </w:r>
      <w:r>
        <w:fldChar w:fldCharType="end"/>
      </w:r>
      <w:r>
        <w:fldChar w:fldCharType="end"/>
      </w:r>
    </w:p>
    <w:p>
      <w:pPr>
        <w:pStyle w:val="13"/>
        <w:tabs>
          <w:tab w:val="right" w:leader="dot" w:pos="9746"/>
          <w:tab w:val="clear" w:pos="0"/>
        </w:tabs>
      </w:pPr>
      <w:r>
        <w:fldChar w:fldCharType="begin"/>
      </w:r>
      <w:r>
        <w:instrText xml:space="preserve"> HYPERLINK \l _Toc17629 </w:instrText>
      </w:r>
      <w:r>
        <w:fldChar w:fldCharType="separate"/>
      </w:r>
      <w:r>
        <w:rPr>
          <w:rFonts w:hint="eastAsia" w:ascii="宋体" w:hAnsi="宋体" w:eastAsia="宋体" w:cs="宋体"/>
        </w:rPr>
        <w:t xml:space="preserve">(三) </w:t>
      </w:r>
      <w:r>
        <w:rPr>
          <w:rFonts w:hint="eastAsia"/>
        </w:rPr>
        <w:t>中标通知书</w:t>
      </w:r>
      <w:r>
        <w:tab/>
      </w:r>
      <w:r>
        <w:fldChar w:fldCharType="begin"/>
      </w:r>
      <w:r>
        <w:instrText xml:space="preserve"> PAGEREF _Toc17629 \h </w:instrText>
      </w:r>
      <w:r>
        <w:fldChar w:fldCharType="separate"/>
      </w:r>
      <w:r>
        <w:t>23</w:t>
      </w:r>
      <w:r>
        <w:fldChar w:fldCharType="end"/>
      </w:r>
      <w:r>
        <w:fldChar w:fldCharType="end"/>
      </w:r>
    </w:p>
    <w:p>
      <w:pPr>
        <w:pStyle w:val="17"/>
        <w:tabs>
          <w:tab w:val="right" w:leader="dot" w:pos="9746"/>
          <w:tab w:val="clear" w:pos="0"/>
        </w:tabs>
      </w:pPr>
      <w:r>
        <w:fldChar w:fldCharType="begin"/>
      </w:r>
      <w:r>
        <w:instrText xml:space="preserve"> HYPERLINK \l _Toc31902 </w:instrText>
      </w:r>
      <w:r>
        <w:fldChar w:fldCharType="separate"/>
      </w:r>
      <w:r>
        <w:rPr>
          <w:rFonts w:hint="eastAsia"/>
        </w:rPr>
        <w:t>六、 签订及履行合同和验收</w:t>
      </w:r>
      <w:r>
        <w:tab/>
      </w:r>
      <w:r>
        <w:fldChar w:fldCharType="begin"/>
      </w:r>
      <w:r>
        <w:instrText xml:space="preserve"> PAGEREF _Toc31902 \h </w:instrText>
      </w:r>
      <w:r>
        <w:fldChar w:fldCharType="separate"/>
      </w:r>
      <w:r>
        <w:t>23</w:t>
      </w:r>
      <w:r>
        <w:fldChar w:fldCharType="end"/>
      </w:r>
      <w:r>
        <w:fldChar w:fldCharType="end"/>
      </w:r>
    </w:p>
    <w:p>
      <w:pPr>
        <w:pStyle w:val="13"/>
        <w:tabs>
          <w:tab w:val="right" w:leader="dot" w:pos="9746"/>
          <w:tab w:val="clear" w:pos="0"/>
        </w:tabs>
      </w:pPr>
      <w:r>
        <w:fldChar w:fldCharType="begin"/>
      </w:r>
      <w:r>
        <w:instrText xml:space="preserve"> HYPERLINK \l _Toc32688 </w:instrText>
      </w:r>
      <w:r>
        <w:fldChar w:fldCharType="separate"/>
      </w:r>
      <w:r>
        <w:rPr>
          <w:rFonts w:hint="eastAsia" w:ascii="宋体" w:hAnsi="宋体" w:eastAsia="宋体" w:cs="宋体"/>
        </w:rPr>
        <w:t xml:space="preserve">(一) </w:t>
      </w:r>
      <w:r>
        <w:rPr>
          <w:rFonts w:hint="eastAsia"/>
        </w:rPr>
        <w:t>签订合同</w:t>
      </w:r>
      <w:r>
        <w:tab/>
      </w:r>
      <w:r>
        <w:fldChar w:fldCharType="begin"/>
      </w:r>
      <w:r>
        <w:instrText xml:space="preserve"> PAGEREF _Toc32688 \h </w:instrText>
      </w:r>
      <w:r>
        <w:fldChar w:fldCharType="separate"/>
      </w:r>
      <w:r>
        <w:t>23</w:t>
      </w:r>
      <w:r>
        <w:fldChar w:fldCharType="end"/>
      </w:r>
      <w:r>
        <w:fldChar w:fldCharType="end"/>
      </w:r>
    </w:p>
    <w:p>
      <w:pPr>
        <w:pStyle w:val="13"/>
        <w:tabs>
          <w:tab w:val="right" w:leader="dot" w:pos="9746"/>
          <w:tab w:val="clear" w:pos="0"/>
        </w:tabs>
      </w:pPr>
      <w:r>
        <w:fldChar w:fldCharType="begin"/>
      </w:r>
      <w:r>
        <w:instrText xml:space="preserve"> HYPERLINK \l _Toc293 </w:instrText>
      </w:r>
      <w:r>
        <w:fldChar w:fldCharType="separate"/>
      </w:r>
      <w:r>
        <w:rPr>
          <w:rFonts w:hint="eastAsia" w:ascii="宋体" w:hAnsi="宋体" w:eastAsia="宋体" w:cs="宋体"/>
          <w:lang w:val="en-US"/>
        </w:rPr>
        <w:t xml:space="preserve">(二) </w:t>
      </w:r>
      <w:r>
        <w:rPr>
          <w:rFonts w:hint="eastAsia"/>
        </w:rPr>
        <w:t>合同分包</w:t>
      </w:r>
      <w:r>
        <w:rPr>
          <w:rFonts w:hint="eastAsia"/>
          <w:lang w:val="en-US" w:eastAsia="zh-CN"/>
        </w:rPr>
        <w:t>(实质性要求)</w:t>
      </w:r>
      <w:r>
        <w:tab/>
      </w:r>
      <w:r>
        <w:fldChar w:fldCharType="begin"/>
      </w:r>
      <w:r>
        <w:instrText xml:space="preserve"> PAGEREF _Toc293 \h </w:instrText>
      </w:r>
      <w:r>
        <w:fldChar w:fldCharType="separate"/>
      </w:r>
      <w:r>
        <w:t>24</w:t>
      </w:r>
      <w:r>
        <w:fldChar w:fldCharType="end"/>
      </w:r>
      <w:r>
        <w:fldChar w:fldCharType="end"/>
      </w:r>
    </w:p>
    <w:p>
      <w:pPr>
        <w:pStyle w:val="13"/>
        <w:tabs>
          <w:tab w:val="right" w:leader="dot" w:pos="9746"/>
          <w:tab w:val="clear" w:pos="0"/>
        </w:tabs>
      </w:pPr>
      <w:r>
        <w:fldChar w:fldCharType="begin"/>
      </w:r>
      <w:r>
        <w:instrText xml:space="preserve"> HYPERLINK \l _Toc32691 </w:instrText>
      </w:r>
      <w:r>
        <w:fldChar w:fldCharType="separate"/>
      </w:r>
      <w:r>
        <w:rPr>
          <w:rFonts w:hint="eastAsia" w:ascii="宋体" w:hAnsi="宋体" w:eastAsia="宋体" w:cs="宋体"/>
        </w:rPr>
        <w:t xml:space="preserve">(三) </w:t>
      </w:r>
      <w:r>
        <w:rPr>
          <w:rFonts w:hint="eastAsia"/>
        </w:rPr>
        <w:t>合同转包</w:t>
      </w:r>
      <w:r>
        <w:rPr>
          <w:rFonts w:hint="eastAsia"/>
          <w:lang w:val="en-US" w:eastAsia="zh-CN"/>
        </w:rPr>
        <w:t>(实质性要求)</w:t>
      </w:r>
      <w:r>
        <w:tab/>
      </w:r>
      <w:r>
        <w:fldChar w:fldCharType="begin"/>
      </w:r>
      <w:r>
        <w:instrText xml:space="preserve"> PAGEREF _Toc32691 \h </w:instrText>
      </w:r>
      <w:r>
        <w:fldChar w:fldCharType="separate"/>
      </w:r>
      <w:r>
        <w:t>24</w:t>
      </w:r>
      <w:r>
        <w:fldChar w:fldCharType="end"/>
      </w:r>
      <w:r>
        <w:fldChar w:fldCharType="end"/>
      </w:r>
    </w:p>
    <w:p>
      <w:pPr>
        <w:pStyle w:val="13"/>
        <w:tabs>
          <w:tab w:val="right" w:leader="dot" w:pos="9746"/>
          <w:tab w:val="clear" w:pos="0"/>
        </w:tabs>
      </w:pPr>
      <w:r>
        <w:fldChar w:fldCharType="begin"/>
      </w:r>
      <w:r>
        <w:instrText xml:space="preserve"> HYPERLINK \l _Toc21110 </w:instrText>
      </w:r>
      <w:r>
        <w:fldChar w:fldCharType="separate"/>
      </w:r>
      <w:r>
        <w:rPr>
          <w:rFonts w:hint="eastAsia" w:ascii="宋体" w:hAnsi="宋体" w:eastAsia="宋体" w:cs="宋体"/>
        </w:rPr>
        <w:t xml:space="preserve">(四) </w:t>
      </w:r>
      <w:r>
        <w:rPr>
          <w:rFonts w:hint="eastAsia"/>
        </w:rPr>
        <w:t>补充合同</w:t>
      </w:r>
      <w:r>
        <w:tab/>
      </w:r>
      <w:r>
        <w:fldChar w:fldCharType="begin"/>
      </w:r>
      <w:r>
        <w:instrText xml:space="preserve"> PAGEREF _Toc21110 \h </w:instrText>
      </w:r>
      <w:r>
        <w:fldChar w:fldCharType="separate"/>
      </w:r>
      <w:r>
        <w:t>24</w:t>
      </w:r>
      <w:r>
        <w:fldChar w:fldCharType="end"/>
      </w:r>
      <w:r>
        <w:fldChar w:fldCharType="end"/>
      </w:r>
    </w:p>
    <w:p>
      <w:pPr>
        <w:pStyle w:val="13"/>
        <w:tabs>
          <w:tab w:val="right" w:leader="dot" w:pos="9746"/>
          <w:tab w:val="clear" w:pos="0"/>
        </w:tabs>
      </w:pPr>
      <w:r>
        <w:fldChar w:fldCharType="begin"/>
      </w:r>
      <w:r>
        <w:instrText xml:space="preserve"> HYPERLINK \l _Toc10585 </w:instrText>
      </w:r>
      <w:r>
        <w:fldChar w:fldCharType="separate"/>
      </w:r>
      <w:r>
        <w:rPr>
          <w:rFonts w:hint="eastAsia" w:ascii="宋体" w:hAnsi="宋体" w:eastAsia="宋体" w:cs="宋体"/>
        </w:rPr>
        <w:t xml:space="preserve">(五) </w:t>
      </w:r>
      <w:r>
        <w:rPr>
          <w:rFonts w:hint="eastAsia"/>
        </w:rPr>
        <w:t>合同公告</w:t>
      </w:r>
      <w:r>
        <w:tab/>
      </w:r>
      <w:r>
        <w:fldChar w:fldCharType="begin"/>
      </w:r>
      <w:r>
        <w:instrText xml:space="preserve"> PAGEREF _Toc10585 \h </w:instrText>
      </w:r>
      <w:r>
        <w:fldChar w:fldCharType="separate"/>
      </w:r>
      <w:r>
        <w:t>24</w:t>
      </w:r>
      <w:r>
        <w:fldChar w:fldCharType="end"/>
      </w:r>
      <w:r>
        <w:fldChar w:fldCharType="end"/>
      </w:r>
    </w:p>
    <w:p>
      <w:pPr>
        <w:pStyle w:val="13"/>
        <w:tabs>
          <w:tab w:val="right" w:leader="dot" w:pos="9746"/>
          <w:tab w:val="clear" w:pos="0"/>
        </w:tabs>
      </w:pPr>
      <w:r>
        <w:fldChar w:fldCharType="begin"/>
      </w:r>
      <w:r>
        <w:instrText xml:space="preserve"> HYPERLINK \l _Toc18395 </w:instrText>
      </w:r>
      <w:r>
        <w:fldChar w:fldCharType="separate"/>
      </w:r>
      <w:r>
        <w:rPr>
          <w:rFonts w:hint="eastAsia" w:ascii="宋体" w:hAnsi="宋体" w:eastAsia="宋体" w:cs="宋体"/>
          <w:lang w:val="en-US" w:eastAsia="zh-CN"/>
        </w:rPr>
        <w:t xml:space="preserve">(六) </w:t>
      </w:r>
      <w:r>
        <w:rPr>
          <w:rFonts w:hint="eastAsia"/>
          <w:lang w:val="en-US" w:eastAsia="zh-CN"/>
        </w:rPr>
        <w:t>合同备案</w:t>
      </w:r>
      <w:r>
        <w:tab/>
      </w:r>
      <w:r>
        <w:fldChar w:fldCharType="begin"/>
      </w:r>
      <w:r>
        <w:instrText xml:space="preserve"> PAGEREF _Toc18395 \h </w:instrText>
      </w:r>
      <w:r>
        <w:fldChar w:fldCharType="separate"/>
      </w:r>
      <w:r>
        <w:t>24</w:t>
      </w:r>
      <w:r>
        <w:fldChar w:fldCharType="end"/>
      </w:r>
      <w:r>
        <w:fldChar w:fldCharType="end"/>
      </w:r>
    </w:p>
    <w:p>
      <w:pPr>
        <w:pStyle w:val="13"/>
        <w:tabs>
          <w:tab w:val="right" w:leader="dot" w:pos="9746"/>
          <w:tab w:val="clear" w:pos="0"/>
        </w:tabs>
      </w:pPr>
      <w:r>
        <w:fldChar w:fldCharType="begin"/>
      </w:r>
      <w:r>
        <w:instrText xml:space="preserve"> HYPERLINK \l _Toc4293 </w:instrText>
      </w:r>
      <w:r>
        <w:fldChar w:fldCharType="separate"/>
      </w:r>
      <w:r>
        <w:rPr>
          <w:rFonts w:hint="eastAsia" w:ascii="宋体" w:hAnsi="宋体" w:eastAsia="宋体" w:cs="宋体"/>
        </w:rPr>
        <w:t xml:space="preserve">(七) </w:t>
      </w:r>
      <w:r>
        <w:rPr>
          <w:rFonts w:hint="eastAsia"/>
          <w:highlight w:val="none"/>
        </w:rPr>
        <w:t>履约保证金</w:t>
      </w:r>
      <w:r>
        <w:tab/>
      </w:r>
      <w:r>
        <w:fldChar w:fldCharType="begin"/>
      </w:r>
      <w:r>
        <w:instrText xml:space="preserve"> PAGEREF _Toc4293 \h </w:instrText>
      </w:r>
      <w:r>
        <w:fldChar w:fldCharType="separate"/>
      </w:r>
      <w:r>
        <w:t>24</w:t>
      </w:r>
      <w:r>
        <w:fldChar w:fldCharType="end"/>
      </w:r>
      <w:r>
        <w:fldChar w:fldCharType="end"/>
      </w:r>
    </w:p>
    <w:p>
      <w:pPr>
        <w:pStyle w:val="13"/>
        <w:tabs>
          <w:tab w:val="right" w:leader="dot" w:pos="9746"/>
          <w:tab w:val="clear" w:pos="0"/>
        </w:tabs>
      </w:pPr>
      <w:r>
        <w:fldChar w:fldCharType="begin"/>
      </w:r>
      <w:r>
        <w:instrText xml:space="preserve"> HYPERLINK \l _Toc24295 </w:instrText>
      </w:r>
      <w:r>
        <w:fldChar w:fldCharType="separate"/>
      </w:r>
      <w:r>
        <w:rPr>
          <w:rFonts w:hint="eastAsia" w:ascii="宋体" w:hAnsi="宋体" w:eastAsia="宋体" w:cs="宋体"/>
        </w:rPr>
        <w:t xml:space="preserve">(八) </w:t>
      </w:r>
      <w:r>
        <w:rPr>
          <w:rFonts w:hint="eastAsia"/>
        </w:rPr>
        <w:t>履行合同</w:t>
      </w:r>
      <w:r>
        <w:tab/>
      </w:r>
      <w:r>
        <w:fldChar w:fldCharType="begin"/>
      </w:r>
      <w:r>
        <w:instrText xml:space="preserve"> PAGEREF _Toc24295 \h </w:instrText>
      </w:r>
      <w:r>
        <w:fldChar w:fldCharType="separate"/>
      </w:r>
      <w:r>
        <w:t>25</w:t>
      </w:r>
      <w:r>
        <w:fldChar w:fldCharType="end"/>
      </w:r>
      <w:r>
        <w:fldChar w:fldCharType="end"/>
      </w:r>
    </w:p>
    <w:p>
      <w:pPr>
        <w:pStyle w:val="13"/>
        <w:tabs>
          <w:tab w:val="right" w:leader="dot" w:pos="9746"/>
          <w:tab w:val="clear" w:pos="0"/>
        </w:tabs>
      </w:pPr>
      <w:r>
        <w:fldChar w:fldCharType="begin"/>
      </w:r>
      <w:r>
        <w:instrText xml:space="preserve"> HYPERLINK \l _Toc30543 </w:instrText>
      </w:r>
      <w:r>
        <w:fldChar w:fldCharType="separate"/>
      </w:r>
      <w:r>
        <w:rPr>
          <w:rFonts w:hint="eastAsia" w:ascii="宋体" w:hAnsi="宋体" w:eastAsia="宋体" w:cs="宋体"/>
        </w:rPr>
        <w:t xml:space="preserve">(九) </w:t>
      </w:r>
      <w:r>
        <w:rPr>
          <w:rFonts w:hint="eastAsia"/>
        </w:rPr>
        <w:t>验收</w:t>
      </w:r>
      <w:r>
        <w:tab/>
      </w:r>
      <w:r>
        <w:fldChar w:fldCharType="begin"/>
      </w:r>
      <w:r>
        <w:instrText xml:space="preserve"> PAGEREF _Toc30543 \h </w:instrText>
      </w:r>
      <w:r>
        <w:fldChar w:fldCharType="separate"/>
      </w:r>
      <w:r>
        <w:t>25</w:t>
      </w:r>
      <w:r>
        <w:fldChar w:fldCharType="end"/>
      </w:r>
      <w:r>
        <w:fldChar w:fldCharType="end"/>
      </w:r>
    </w:p>
    <w:p>
      <w:pPr>
        <w:pStyle w:val="13"/>
        <w:tabs>
          <w:tab w:val="right" w:leader="dot" w:pos="9746"/>
          <w:tab w:val="clear" w:pos="0"/>
        </w:tabs>
      </w:pPr>
      <w:r>
        <w:fldChar w:fldCharType="begin"/>
      </w:r>
      <w:r>
        <w:instrText xml:space="preserve"> HYPERLINK \l _Toc27997 </w:instrText>
      </w:r>
      <w:r>
        <w:fldChar w:fldCharType="separate"/>
      </w:r>
      <w:r>
        <w:rPr>
          <w:rFonts w:hint="eastAsia" w:ascii="宋体" w:hAnsi="宋体" w:eastAsia="宋体" w:cs="宋体"/>
        </w:rPr>
        <w:t xml:space="preserve">(十) </w:t>
      </w:r>
      <w:r>
        <w:rPr>
          <w:rFonts w:hint="eastAsia"/>
        </w:rPr>
        <w:t>资金支付</w:t>
      </w:r>
      <w:r>
        <w:rPr>
          <w:rFonts w:hint="eastAsia"/>
          <w:lang w:val="en-US" w:eastAsia="zh-CN"/>
        </w:rPr>
        <w:t>方式、时间、条件</w:t>
      </w:r>
      <w:r>
        <w:tab/>
      </w:r>
      <w:r>
        <w:fldChar w:fldCharType="begin"/>
      </w:r>
      <w:r>
        <w:instrText xml:space="preserve"> PAGEREF _Toc27997 \h </w:instrText>
      </w:r>
      <w:r>
        <w:fldChar w:fldCharType="separate"/>
      </w:r>
      <w:r>
        <w:t>25</w:t>
      </w:r>
      <w:r>
        <w:fldChar w:fldCharType="end"/>
      </w:r>
      <w:r>
        <w:fldChar w:fldCharType="end"/>
      </w:r>
    </w:p>
    <w:p>
      <w:pPr>
        <w:pStyle w:val="17"/>
        <w:tabs>
          <w:tab w:val="right" w:leader="dot" w:pos="9746"/>
          <w:tab w:val="clear" w:pos="0"/>
        </w:tabs>
      </w:pPr>
      <w:r>
        <w:fldChar w:fldCharType="begin"/>
      </w:r>
      <w:r>
        <w:instrText xml:space="preserve"> HYPERLINK \l _Toc13906 </w:instrText>
      </w:r>
      <w:r>
        <w:fldChar w:fldCharType="separate"/>
      </w:r>
      <w:r>
        <w:rPr>
          <w:rFonts w:hint="eastAsia"/>
        </w:rPr>
        <w:t>七、 投标纪律要求</w:t>
      </w:r>
      <w:r>
        <w:tab/>
      </w:r>
      <w:r>
        <w:fldChar w:fldCharType="begin"/>
      </w:r>
      <w:r>
        <w:instrText xml:space="preserve"> PAGEREF _Toc13906 \h </w:instrText>
      </w:r>
      <w:r>
        <w:fldChar w:fldCharType="separate"/>
      </w:r>
      <w:r>
        <w:t>25</w:t>
      </w:r>
      <w:r>
        <w:fldChar w:fldCharType="end"/>
      </w:r>
      <w:r>
        <w:fldChar w:fldCharType="end"/>
      </w:r>
    </w:p>
    <w:p>
      <w:pPr>
        <w:pStyle w:val="17"/>
        <w:tabs>
          <w:tab w:val="right" w:leader="dot" w:pos="9746"/>
          <w:tab w:val="clear" w:pos="0"/>
        </w:tabs>
      </w:pPr>
      <w:r>
        <w:fldChar w:fldCharType="begin"/>
      </w:r>
      <w:r>
        <w:instrText xml:space="preserve"> HYPERLINK \l _Toc24389 </w:instrText>
      </w:r>
      <w:r>
        <w:fldChar w:fldCharType="separate"/>
      </w:r>
      <w:r>
        <w:rPr>
          <w:rFonts w:hint="eastAsia"/>
        </w:rPr>
        <w:t xml:space="preserve">八、 </w:t>
      </w:r>
      <w:r>
        <w:rPr>
          <w:rFonts w:hint="eastAsia"/>
          <w:lang w:val="en-US" w:eastAsia="zh-CN"/>
        </w:rPr>
        <w:t>其他</w:t>
      </w:r>
      <w:r>
        <w:tab/>
      </w:r>
      <w:r>
        <w:fldChar w:fldCharType="begin"/>
      </w:r>
      <w:r>
        <w:instrText xml:space="preserve"> PAGEREF _Toc24389 \h </w:instrText>
      </w:r>
      <w:r>
        <w:fldChar w:fldCharType="separate"/>
      </w:r>
      <w:r>
        <w:t>26</w:t>
      </w:r>
      <w:r>
        <w:fldChar w:fldCharType="end"/>
      </w:r>
      <w:r>
        <w:fldChar w:fldCharType="end"/>
      </w:r>
    </w:p>
    <w:p>
      <w:pPr>
        <w:pStyle w:val="13"/>
        <w:tabs>
          <w:tab w:val="right" w:leader="dot" w:pos="9746"/>
          <w:tab w:val="clear" w:pos="0"/>
        </w:tabs>
      </w:pPr>
      <w:r>
        <w:fldChar w:fldCharType="begin"/>
      </w:r>
      <w:r>
        <w:instrText xml:space="preserve"> HYPERLINK \l _Toc2407 </w:instrText>
      </w:r>
      <w:r>
        <w:fldChar w:fldCharType="separate"/>
      </w:r>
      <w:r>
        <w:rPr>
          <w:rFonts w:hint="eastAsia" w:ascii="宋体" w:hAnsi="宋体" w:eastAsia="宋体" w:cs="宋体"/>
        </w:rPr>
        <w:t xml:space="preserve">(一) </w:t>
      </w:r>
      <w:r>
        <w:rPr>
          <w:rFonts w:hint="eastAsia"/>
        </w:rPr>
        <w:t>询问</w:t>
      </w:r>
      <w:r>
        <w:rPr>
          <w:rFonts w:hint="eastAsia"/>
          <w:lang w:eastAsia="zh-CN"/>
        </w:rPr>
        <w:t>、</w:t>
      </w:r>
      <w:r>
        <w:rPr>
          <w:rFonts w:hint="eastAsia"/>
          <w:lang w:val="en-US" w:eastAsia="zh-CN"/>
        </w:rPr>
        <w:t>质疑和投诉</w:t>
      </w:r>
      <w:r>
        <w:tab/>
      </w:r>
      <w:r>
        <w:fldChar w:fldCharType="begin"/>
      </w:r>
      <w:r>
        <w:instrText xml:space="preserve"> PAGEREF _Toc2407 \h </w:instrText>
      </w:r>
      <w:r>
        <w:fldChar w:fldCharType="separate"/>
      </w:r>
      <w:r>
        <w:t>26</w:t>
      </w:r>
      <w:r>
        <w:fldChar w:fldCharType="end"/>
      </w:r>
      <w:r>
        <w:fldChar w:fldCharType="end"/>
      </w:r>
    </w:p>
    <w:p>
      <w:pPr>
        <w:pStyle w:val="13"/>
        <w:tabs>
          <w:tab w:val="right" w:leader="dot" w:pos="9746"/>
          <w:tab w:val="clear" w:pos="0"/>
        </w:tabs>
      </w:pPr>
      <w:r>
        <w:fldChar w:fldCharType="begin"/>
      </w:r>
      <w:r>
        <w:instrText xml:space="preserve"> HYPERLINK \l _Toc19134 </w:instrText>
      </w:r>
      <w:r>
        <w:fldChar w:fldCharType="separate"/>
      </w:r>
      <w:r>
        <w:rPr>
          <w:rFonts w:hint="eastAsia" w:ascii="宋体" w:hAnsi="宋体" w:eastAsia="宋体" w:cs="宋体"/>
        </w:rPr>
        <w:t xml:space="preserve">(二) </w:t>
      </w:r>
      <w:r>
        <w:rPr>
          <w:rFonts w:hint="eastAsia"/>
        </w:rPr>
        <w:t>关于行贿犯罪档案查询工作的规定</w:t>
      </w:r>
      <w:r>
        <w:tab/>
      </w:r>
      <w:r>
        <w:fldChar w:fldCharType="begin"/>
      </w:r>
      <w:r>
        <w:instrText xml:space="preserve"> PAGEREF _Toc19134 \h </w:instrText>
      </w:r>
      <w:r>
        <w:fldChar w:fldCharType="separate"/>
      </w:r>
      <w:r>
        <w:t>26</w:t>
      </w:r>
      <w:r>
        <w:fldChar w:fldCharType="end"/>
      </w:r>
      <w:r>
        <w:fldChar w:fldCharType="end"/>
      </w:r>
    </w:p>
    <w:p>
      <w:pPr>
        <w:pStyle w:val="13"/>
        <w:tabs>
          <w:tab w:val="right" w:leader="dot" w:pos="9746"/>
          <w:tab w:val="clear" w:pos="0"/>
        </w:tabs>
      </w:pPr>
      <w:r>
        <w:fldChar w:fldCharType="begin"/>
      </w:r>
      <w:r>
        <w:instrText xml:space="preserve"> HYPERLINK \l _Toc31605 </w:instrText>
      </w:r>
      <w:r>
        <w:fldChar w:fldCharType="separate"/>
      </w:r>
      <w:r>
        <w:rPr>
          <w:rFonts w:hint="eastAsia" w:ascii="宋体" w:hAnsi="宋体" w:eastAsia="宋体" w:cs="宋体"/>
          <w:lang w:val="en-US" w:eastAsia="zh-CN"/>
        </w:rPr>
        <w:t xml:space="preserve">(三) </w:t>
      </w:r>
      <w:r>
        <w:rPr>
          <w:rFonts w:hint="eastAsia"/>
          <w:lang w:val="en-US" w:eastAsia="zh-CN"/>
        </w:rPr>
        <w:t>串通投标的情形</w:t>
      </w:r>
      <w:r>
        <w:tab/>
      </w:r>
      <w:r>
        <w:fldChar w:fldCharType="begin"/>
      </w:r>
      <w:r>
        <w:instrText xml:space="preserve"> PAGEREF _Toc31605 \h </w:instrText>
      </w:r>
      <w:r>
        <w:fldChar w:fldCharType="separate"/>
      </w:r>
      <w:r>
        <w:t>26</w:t>
      </w:r>
      <w:r>
        <w:fldChar w:fldCharType="end"/>
      </w:r>
      <w:r>
        <w:fldChar w:fldCharType="end"/>
      </w:r>
    </w:p>
    <w:p>
      <w:pPr>
        <w:pStyle w:val="13"/>
        <w:tabs>
          <w:tab w:val="right" w:leader="dot" w:pos="9746"/>
          <w:tab w:val="clear" w:pos="0"/>
        </w:tabs>
      </w:pPr>
      <w:r>
        <w:fldChar w:fldCharType="begin"/>
      </w:r>
      <w:r>
        <w:instrText xml:space="preserve"> HYPERLINK \l _Toc12108 </w:instrText>
      </w:r>
      <w:r>
        <w:fldChar w:fldCharType="separate"/>
      </w:r>
      <w:r>
        <w:rPr>
          <w:rFonts w:hint="eastAsia" w:ascii="宋体" w:hAnsi="宋体" w:eastAsia="宋体" w:cs="宋体"/>
          <w:lang w:val="en-US" w:eastAsia="zh-CN"/>
        </w:rPr>
        <w:t xml:space="preserve">(四) </w:t>
      </w:r>
      <w:r>
        <w:rPr>
          <w:rFonts w:hint="eastAsia"/>
          <w:lang w:val="en-US" w:eastAsia="zh-CN"/>
        </w:rPr>
        <w:t>投标人信用信息查询</w:t>
      </w:r>
      <w:r>
        <w:tab/>
      </w:r>
      <w:r>
        <w:fldChar w:fldCharType="begin"/>
      </w:r>
      <w:r>
        <w:instrText xml:space="preserve"> PAGEREF _Toc12108 \h </w:instrText>
      </w:r>
      <w:r>
        <w:fldChar w:fldCharType="separate"/>
      </w:r>
      <w:r>
        <w:t>26</w:t>
      </w:r>
      <w:r>
        <w:fldChar w:fldCharType="end"/>
      </w:r>
      <w:r>
        <w:fldChar w:fldCharType="end"/>
      </w:r>
    </w:p>
    <w:p>
      <w:pPr>
        <w:pStyle w:val="13"/>
        <w:tabs>
          <w:tab w:val="right" w:leader="dot" w:pos="9746"/>
          <w:tab w:val="clear" w:pos="0"/>
        </w:tabs>
      </w:pPr>
      <w:r>
        <w:fldChar w:fldCharType="begin"/>
      </w:r>
      <w:r>
        <w:instrText xml:space="preserve"> HYPERLINK \l _Toc5438 </w:instrText>
      </w:r>
      <w:r>
        <w:fldChar w:fldCharType="separate"/>
      </w:r>
      <w:r>
        <w:rPr>
          <w:rFonts w:hint="eastAsia" w:ascii="宋体" w:hAnsi="宋体" w:eastAsia="宋体" w:cs="宋体"/>
          <w:lang w:val="en-US" w:eastAsia="zh-CN"/>
        </w:rPr>
        <w:t xml:space="preserve">(五) </w:t>
      </w:r>
      <w:r>
        <w:rPr>
          <w:rFonts w:hint="eastAsia"/>
          <w:lang w:val="en-US" w:eastAsia="zh-CN"/>
        </w:rPr>
        <w:t>保密</w:t>
      </w:r>
      <w:r>
        <w:tab/>
      </w:r>
      <w:r>
        <w:fldChar w:fldCharType="begin"/>
      </w:r>
      <w:r>
        <w:instrText xml:space="preserve"> PAGEREF _Toc5438 \h </w:instrText>
      </w:r>
      <w:r>
        <w:fldChar w:fldCharType="separate"/>
      </w:r>
      <w:r>
        <w:t>26</w:t>
      </w:r>
      <w:r>
        <w:fldChar w:fldCharType="end"/>
      </w:r>
      <w:r>
        <w:fldChar w:fldCharType="end"/>
      </w:r>
    </w:p>
    <w:p>
      <w:pPr>
        <w:pStyle w:val="13"/>
        <w:tabs>
          <w:tab w:val="right" w:leader="dot" w:pos="9746"/>
          <w:tab w:val="clear" w:pos="0"/>
        </w:tabs>
      </w:pPr>
      <w:r>
        <w:fldChar w:fldCharType="begin"/>
      </w:r>
      <w:r>
        <w:instrText xml:space="preserve"> HYPERLINK \l _Toc9400 </w:instrText>
      </w:r>
      <w:r>
        <w:fldChar w:fldCharType="separate"/>
      </w:r>
      <w:r>
        <w:rPr>
          <w:rFonts w:hint="eastAsia" w:ascii="宋体" w:hAnsi="宋体" w:eastAsia="宋体" w:cs="宋体"/>
          <w:lang w:val="en-US" w:eastAsia="zh-CN"/>
        </w:rPr>
        <w:t xml:space="preserve">(六) </w:t>
      </w:r>
      <w:r>
        <w:rPr>
          <w:rFonts w:hint="eastAsia"/>
          <w:lang w:val="en-US" w:eastAsia="zh-CN"/>
        </w:rPr>
        <w:t>回避</w:t>
      </w:r>
      <w:r>
        <w:tab/>
      </w:r>
      <w:r>
        <w:fldChar w:fldCharType="begin"/>
      </w:r>
      <w:r>
        <w:instrText xml:space="preserve"> PAGEREF _Toc9400 \h </w:instrText>
      </w:r>
      <w:r>
        <w:fldChar w:fldCharType="separate"/>
      </w:r>
      <w:r>
        <w:t>27</w:t>
      </w:r>
      <w:r>
        <w:fldChar w:fldCharType="end"/>
      </w:r>
      <w:r>
        <w:fldChar w:fldCharType="end"/>
      </w:r>
    </w:p>
    <w:p>
      <w:pPr>
        <w:pStyle w:val="13"/>
        <w:tabs>
          <w:tab w:val="right" w:leader="dot" w:pos="9746"/>
          <w:tab w:val="clear" w:pos="0"/>
        </w:tabs>
      </w:pPr>
      <w:r>
        <w:fldChar w:fldCharType="begin"/>
      </w:r>
      <w:r>
        <w:instrText xml:space="preserve"> HYPERLINK \l _Toc8525 </w:instrText>
      </w:r>
      <w:r>
        <w:fldChar w:fldCharType="separate"/>
      </w:r>
      <w:r>
        <w:rPr>
          <w:rFonts w:hint="eastAsia" w:ascii="宋体" w:hAnsi="宋体" w:eastAsia="宋体" w:cs="宋体"/>
          <w:lang w:val="en-US" w:eastAsia="zh-CN"/>
        </w:rPr>
        <w:t xml:space="preserve">(七) </w:t>
      </w:r>
      <w:r>
        <w:rPr>
          <w:rFonts w:hint="eastAsia"/>
          <w:lang w:val="en-US" w:eastAsia="zh-CN"/>
        </w:rPr>
        <w:t>解释说明</w:t>
      </w:r>
      <w:r>
        <w:tab/>
      </w:r>
      <w:r>
        <w:fldChar w:fldCharType="begin"/>
      </w:r>
      <w:r>
        <w:instrText xml:space="preserve"> PAGEREF _Toc8525 \h </w:instrText>
      </w:r>
      <w:r>
        <w:fldChar w:fldCharType="separate"/>
      </w:r>
      <w:r>
        <w:t>27</w:t>
      </w:r>
      <w:r>
        <w:fldChar w:fldCharType="end"/>
      </w:r>
      <w:r>
        <w:fldChar w:fldCharType="end"/>
      </w:r>
    </w:p>
    <w:p>
      <w:pPr>
        <w:pStyle w:val="16"/>
        <w:tabs>
          <w:tab w:val="clear" w:pos="0"/>
        </w:tabs>
      </w:pPr>
      <w:r>
        <w:fldChar w:fldCharType="begin"/>
      </w:r>
      <w:r>
        <w:instrText xml:space="preserve"> HYPERLINK \l _Toc7604 </w:instrText>
      </w:r>
      <w:r>
        <w:fldChar w:fldCharType="separate"/>
      </w:r>
      <w:r>
        <w:rPr>
          <w:rFonts w:hint="eastAsia" w:ascii="宋体" w:hAnsi="宋体" w:eastAsia="宋体" w:cs="宋体"/>
        </w:rPr>
        <w:t xml:space="preserve">第三章 </w:t>
      </w:r>
      <w:r>
        <w:rPr>
          <w:rFonts w:hint="eastAsia"/>
        </w:rPr>
        <w:t>投标文件格式</w:t>
      </w:r>
      <w:r>
        <w:tab/>
      </w:r>
      <w:r>
        <w:fldChar w:fldCharType="begin"/>
      </w:r>
      <w:r>
        <w:instrText xml:space="preserve"> PAGEREF _Toc7604 \h </w:instrText>
      </w:r>
      <w:r>
        <w:fldChar w:fldCharType="separate"/>
      </w:r>
      <w:r>
        <w:t>28</w:t>
      </w:r>
      <w:r>
        <w:fldChar w:fldCharType="end"/>
      </w:r>
      <w:r>
        <w:fldChar w:fldCharType="end"/>
      </w:r>
    </w:p>
    <w:p>
      <w:pPr>
        <w:pStyle w:val="17"/>
        <w:tabs>
          <w:tab w:val="right" w:leader="dot" w:pos="9746"/>
          <w:tab w:val="clear" w:pos="0"/>
        </w:tabs>
      </w:pPr>
      <w:r>
        <w:fldChar w:fldCharType="begin"/>
      </w:r>
      <w:r>
        <w:instrText xml:space="preserve"> HYPERLINK \l _Toc14458 </w:instrText>
      </w:r>
      <w:r>
        <w:fldChar w:fldCharType="separate"/>
      </w:r>
      <w:r>
        <w:rPr>
          <w:rFonts w:hint="eastAsia"/>
          <w:szCs w:val="32"/>
          <w:lang w:val="en-US" w:eastAsia="zh-CN"/>
        </w:rPr>
        <w:t>第一部</w:t>
      </w:r>
      <w:r>
        <w:rPr>
          <w:rFonts w:hint="eastAsia"/>
          <w:szCs w:val="32"/>
        </w:rPr>
        <w:t>分 资格、资质性及其他类似效力</w:t>
      </w:r>
      <w:r>
        <w:rPr>
          <w:rFonts w:hint="eastAsia"/>
          <w:szCs w:val="32"/>
          <w:lang w:val="en-US" w:eastAsia="zh-CN"/>
        </w:rPr>
        <w:t>投标</w:t>
      </w:r>
      <w:r>
        <w:rPr>
          <w:rFonts w:hint="eastAsia"/>
          <w:szCs w:val="32"/>
        </w:rPr>
        <w:t>文件(格式)</w:t>
      </w:r>
      <w:r>
        <w:tab/>
      </w:r>
      <w:r>
        <w:fldChar w:fldCharType="begin"/>
      </w:r>
      <w:r>
        <w:instrText xml:space="preserve"> PAGEREF _Toc14458 \h </w:instrText>
      </w:r>
      <w:r>
        <w:fldChar w:fldCharType="separate"/>
      </w:r>
      <w:r>
        <w:t>31</w:t>
      </w:r>
      <w:r>
        <w:fldChar w:fldCharType="end"/>
      </w:r>
      <w:r>
        <w:fldChar w:fldCharType="end"/>
      </w:r>
    </w:p>
    <w:p>
      <w:pPr>
        <w:pStyle w:val="13"/>
        <w:tabs>
          <w:tab w:val="right" w:leader="dot" w:pos="9746"/>
          <w:tab w:val="clear" w:pos="0"/>
        </w:tabs>
      </w:pPr>
      <w:r>
        <w:fldChar w:fldCharType="begin"/>
      </w:r>
      <w:r>
        <w:instrText xml:space="preserve"> HYPERLINK \l _Toc17637 </w:instrText>
      </w:r>
      <w:r>
        <w:fldChar w:fldCharType="separate"/>
      </w:r>
      <w:r>
        <w:rPr>
          <w:rFonts w:hint="eastAsia"/>
          <w:lang w:val="en-US" w:eastAsia="zh-CN"/>
        </w:rPr>
        <w:t>一、 法定代表人/单位负责人身份证明书</w:t>
      </w:r>
      <w:r>
        <w:tab/>
      </w:r>
      <w:r>
        <w:fldChar w:fldCharType="begin"/>
      </w:r>
      <w:r>
        <w:instrText xml:space="preserve"> PAGEREF _Toc17637 \h </w:instrText>
      </w:r>
      <w:r>
        <w:fldChar w:fldCharType="separate"/>
      </w:r>
      <w:r>
        <w:t>32</w:t>
      </w:r>
      <w:r>
        <w:fldChar w:fldCharType="end"/>
      </w:r>
      <w:r>
        <w:fldChar w:fldCharType="end"/>
      </w:r>
    </w:p>
    <w:p>
      <w:pPr>
        <w:pStyle w:val="13"/>
        <w:tabs>
          <w:tab w:val="right" w:leader="dot" w:pos="9746"/>
          <w:tab w:val="clear" w:pos="0"/>
        </w:tabs>
      </w:pPr>
      <w:r>
        <w:fldChar w:fldCharType="begin"/>
      </w:r>
      <w:r>
        <w:instrText xml:space="preserve"> HYPERLINK \l _Toc9051 </w:instrText>
      </w:r>
      <w:r>
        <w:fldChar w:fldCharType="separate"/>
      </w:r>
      <w:r>
        <w:rPr>
          <w:rFonts w:hint="eastAsia"/>
          <w:lang w:val="en-US" w:eastAsia="zh-CN"/>
        </w:rPr>
        <w:t>二、 具有独立承担民事责任的能力的证明材料</w:t>
      </w:r>
      <w:r>
        <w:tab/>
      </w:r>
      <w:r>
        <w:fldChar w:fldCharType="begin"/>
      </w:r>
      <w:r>
        <w:instrText xml:space="preserve"> PAGEREF _Toc9051 \h </w:instrText>
      </w:r>
      <w:r>
        <w:fldChar w:fldCharType="separate"/>
      </w:r>
      <w:r>
        <w:t>33</w:t>
      </w:r>
      <w:r>
        <w:fldChar w:fldCharType="end"/>
      </w:r>
      <w:r>
        <w:fldChar w:fldCharType="end"/>
      </w:r>
    </w:p>
    <w:p>
      <w:pPr>
        <w:pStyle w:val="13"/>
        <w:tabs>
          <w:tab w:val="right" w:leader="dot" w:pos="9746"/>
          <w:tab w:val="clear" w:pos="0"/>
        </w:tabs>
      </w:pPr>
      <w:r>
        <w:fldChar w:fldCharType="begin"/>
      </w:r>
      <w:r>
        <w:instrText xml:space="preserve"> HYPERLINK \l _Toc28421 </w:instrText>
      </w:r>
      <w:r>
        <w:fldChar w:fldCharType="separate"/>
      </w:r>
      <w:r>
        <w:rPr>
          <w:rFonts w:hint="eastAsia"/>
          <w:lang w:val="en-US" w:eastAsia="zh-CN"/>
        </w:rPr>
        <w:t>三、 投标人具有良好的商业信誉和健全的财务会计制度的证明材料</w:t>
      </w:r>
      <w:r>
        <w:tab/>
      </w:r>
      <w:r>
        <w:fldChar w:fldCharType="begin"/>
      </w:r>
      <w:r>
        <w:instrText xml:space="preserve"> PAGEREF _Toc28421 \h </w:instrText>
      </w:r>
      <w:r>
        <w:fldChar w:fldCharType="separate"/>
      </w:r>
      <w:r>
        <w:t>34</w:t>
      </w:r>
      <w:r>
        <w:fldChar w:fldCharType="end"/>
      </w:r>
      <w:r>
        <w:fldChar w:fldCharType="end"/>
      </w:r>
    </w:p>
    <w:p>
      <w:pPr>
        <w:pStyle w:val="13"/>
        <w:tabs>
          <w:tab w:val="right" w:leader="dot" w:pos="9746"/>
          <w:tab w:val="clear" w:pos="0"/>
        </w:tabs>
      </w:pPr>
      <w:r>
        <w:fldChar w:fldCharType="begin"/>
      </w:r>
      <w:r>
        <w:instrText xml:space="preserve"> HYPERLINK \l _Toc16467 </w:instrText>
      </w:r>
      <w:r>
        <w:fldChar w:fldCharType="separate"/>
      </w:r>
      <w:r>
        <w:rPr>
          <w:rFonts w:hint="eastAsia"/>
          <w:lang w:val="en-US" w:eastAsia="zh-CN"/>
        </w:rPr>
        <w:t>四、 投标人具有依法缴纳税收和社会保障资金的良好记录的证明材料</w:t>
      </w:r>
      <w:r>
        <w:tab/>
      </w:r>
      <w:r>
        <w:fldChar w:fldCharType="begin"/>
      </w:r>
      <w:r>
        <w:instrText xml:space="preserve"> PAGEREF _Toc16467 \h </w:instrText>
      </w:r>
      <w:r>
        <w:fldChar w:fldCharType="separate"/>
      </w:r>
      <w:r>
        <w:t>35</w:t>
      </w:r>
      <w:r>
        <w:fldChar w:fldCharType="end"/>
      </w:r>
      <w:r>
        <w:fldChar w:fldCharType="end"/>
      </w:r>
    </w:p>
    <w:p>
      <w:pPr>
        <w:pStyle w:val="13"/>
        <w:tabs>
          <w:tab w:val="right" w:leader="dot" w:pos="9746"/>
          <w:tab w:val="clear" w:pos="0"/>
        </w:tabs>
      </w:pPr>
      <w:r>
        <w:fldChar w:fldCharType="begin"/>
      </w:r>
      <w:r>
        <w:instrText xml:space="preserve"> HYPERLINK \l _Toc13106 </w:instrText>
      </w:r>
      <w:r>
        <w:fldChar w:fldCharType="separate"/>
      </w:r>
      <w:r>
        <w:rPr>
          <w:rFonts w:hint="eastAsia"/>
          <w:lang w:val="en-US" w:eastAsia="zh-CN"/>
        </w:rPr>
        <w:t>五、 投标人具有履行合同所必需的设备和专业技术能力证明材料</w:t>
      </w:r>
      <w:r>
        <w:tab/>
      </w:r>
      <w:r>
        <w:fldChar w:fldCharType="begin"/>
      </w:r>
      <w:r>
        <w:instrText xml:space="preserve"> PAGEREF _Toc13106 \h </w:instrText>
      </w:r>
      <w:r>
        <w:fldChar w:fldCharType="separate"/>
      </w:r>
      <w:r>
        <w:t>36</w:t>
      </w:r>
      <w:r>
        <w:fldChar w:fldCharType="end"/>
      </w:r>
      <w:r>
        <w:fldChar w:fldCharType="end"/>
      </w:r>
    </w:p>
    <w:p>
      <w:pPr>
        <w:pStyle w:val="13"/>
        <w:tabs>
          <w:tab w:val="right" w:leader="dot" w:pos="9746"/>
          <w:tab w:val="clear" w:pos="0"/>
        </w:tabs>
      </w:pPr>
      <w:r>
        <w:fldChar w:fldCharType="begin"/>
      </w:r>
      <w:r>
        <w:instrText xml:space="preserve"> HYPERLINK \l _Toc23339 </w:instrText>
      </w:r>
      <w:r>
        <w:fldChar w:fldCharType="separate"/>
      </w:r>
      <w:r>
        <w:rPr>
          <w:rFonts w:hint="eastAsia"/>
          <w:lang w:val="en-US" w:eastAsia="zh-CN"/>
        </w:rPr>
        <w:t>六、 投标人参加政府采购活动前三年内，在经营活动中没有重大违法记录的证明材料</w:t>
      </w:r>
      <w:r>
        <w:tab/>
      </w:r>
      <w:r>
        <w:fldChar w:fldCharType="begin"/>
      </w:r>
      <w:r>
        <w:instrText xml:space="preserve"> PAGEREF _Toc23339 \h </w:instrText>
      </w:r>
      <w:r>
        <w:fldChar w:fldCharType="separate"/>
      </w:r>
      <w:r>
        <w:t>37</w:t>
      </w:r>
      <w:r>
        <w:fldChar w:fldCharType="end"/>
      </w:r>
      <w:r>
        <w:fldChar w:fldCharType="end"/>
      </w:r>
    </w:p>
    <w:p>
      <w:pPr>
        <w:pStyle w:val="13"/>
        <w:tabs>
          <w:tab w:val="right" w:leader="dot" w:pos="9746"/>
          <w:tab w:val="clear" w:pos="0"/>
        </w:tabs>
      </w:pPr>
      <w:r>
        <w:fldChar w:fldCharType="begin"/>
      </w:r>
      <w:r>
        <w:instrText xml:space="preserve"> HYPERLINK \l _Toc685 </w:instrText>
      </w:r>
      <w:r>
        <w:fldChar w:fldCharType="separate"/>
      </w:r>
      <w:r>
        <w:rPr>
          <w:rFonts w:hint="eastAsia"/>
          <w:lang w:val="zh-CN" w:eastAsia="zh-CN"/>
        </w:rPr>
        <w:t xml:space="preserve">七、 </w:t>
      </w:r>
      <w:r>
        <w:rPr>
          <w:rFonts w:hint="eastAsia"/>
          <w:lang w:val="en-US" w:eastAsia="zh-CN"/>
        </w:rPr>
        <w:t>投标人</w:t>
      </w:r>
      <w:r>
        <w:rPr>
          <w:rFonts w:hint="eastAsia"/>
          <w:lang w:val="zh-CN" w:eastAsia="zh-CN"/>
        </w:rPr>
        <w:t>及其现任法定代表人、主要负责人不得具有行贿犯罪记录</w:t>
      </w:r>
      <w:r>
        <w:rPr>
          <w:rFonts w:hint="eastAsia"/>
          <w:lang w:val="en-US" w:eastAsia="zh-CN"/>
        </w:rPr>
        <w:t>的承诺函</w:t>
      </w:r>
      <w:r>
        <w:tab/>
      </w:r>
      <w:r>
        <w:fldChar w:fldCharType="begin"/>
      </w:r>
      <w:r>
        <w:instrText xml:space="preserve"> PAGEREF _Toc685 \h </w:instrText>
      </w:r>
      <w:r>
        <w:fldChar w:fldCharType="separate"/>
      </w:r>
      <w:r>
        <w:t>38</w:t>
      </w:r>
      <w:r>
        <w:fldChar w:fldCharType="end"/>
      </w:r>
      <w:r>
        <w:fldChar w:fldCharType="end"/>
      </w:r>
    </w:p>
    <w:p>
      <w:pPr>
        <w:pStyle w:val="13"/>
        <w:tabs>
          <w:tab w:val="right" w:leader="dot" w:pos="9746"/>
          <w:tab w:val="clear" w:pos="0"/>
        </w:tabs>
      </w:pPr>
      <w:r>
        <w:fldChar w:fldCharType="begin"/>
      </w:r>
      <w:r>
        <w:instrText xml:space="preserve"> HYPERLINK \l _Toc2643 </w:instrText>
      </w:r>
      <w:r>
        <w:fldChar w:fldCharType="separate"/>
      </w:r>
      <w:r>
        <w:rPr>
          <w:rFonts w:hint="eastAsia"/>
          <w:lang w:val="en-US" w:eastAsia="zh-CN"/>
        </w:rPr>
        <w:t>八、 根据采购项目的特殊要求，供应商提供具有特定条件的证明材料</w:t>
      </w:r>
      <w:r>
        <w:tab/>
      </w:r>
      <w:r>
        <w:fldChar w:fldCharType="begin"/>
      </w:r>
      <w:r>
        <w:instrText xml:space="preserve"> PAGEREF _Toc2643 \h </w:instrText>
      </w:r>
      <w:r>
        <w:fldChar w:fldCharType="separate"/>
      </w:r>
      <w:r>
        <w:t>39</w:t>
      </w:r>
      <w:r>
        <w:fldChar w:fldCharType="end"/>
      </w:r>
      <w:r>
        <w:fldChar w:fldCharType="end"/>
      </w:r>
    </w:p>
    <w:p>
      <w:pPr>
        <w:pStyle w:val="13"/>
        <w:tabs>
          <w:tab w:val="right" w:leader="dot" w:pos="9746"/>
          <w:tab w:val="clear" w:pos="0"/>
        </w:tabs>
      </w:pPr>
      <w:r>
        <w:fldChar w:fldCharType="begin"/>
      </w:r>
      <w:r>
        <w:instrText xml:space="preserve"> HYPERLINK \l _Toc9106 </w:instrText>
      </w:r>
      <w:r>
        <w:fldChar w:fldCharType="separate"/>
      </w:r>
      <w:r>
        <w:rPr>
          <w:rFonts w:hint="eastAsia"/>
          <w:lang w:val="en-US" w:eastAsia="zh-CN"/>
        </w:rPr>
        <w:t>九、 符合《中华人民共和国政府采购法》第二十二条规定的条件的承诺及声明函</w:t>
      </w:r>
      <w:r>
        <w:tab/>
      </w:r>
      <w:r>
        <w:fldChar w:fldCharType="begin"/>
      </w:r>
      <w:r>
        <w:instrText xml:space="preserve"> PAGEREF _Toc9106 \h </w:instrText>
      </w:r>
      <w:r>
        <w:fldChar w:fldCharType="separate"/>
      </w:r>
      <w:r>
        <w:t>40</w:t>
      </w:r>
      <w:r>
        <w:fldChar w:fldCharType="end"/>
      </w:r>
      <w:r>
        <w:fldChar w:fldCharType="end"/>
      </w:r>
    </w:p>
    <w:p>
      <w:pPr>
        <w:pStyle w:val="13"/>
        <w:tabs>
          <w:tab w:val="right" w:leader="dot" w:pos="9746"/>
          <w:tab w:val="clear" w:pos="0"/>
        </w:tabs>
      </w:pPr>
      <w:r>
        <w:fldChar w:fldCharType="begin"/>
      </w:r>
      <w:r>
        <w:instrText xml:space="preserve"> HYPERLINK \l _Toc1847 </w:instrText>
      </w:r>
      <w:r>
        <w:fldChar w:fldCharType="separate"/>
      </w:r>
      <w:r>
        <w:rPr>
          <w:rFonts w:hint="eastAsia" w:ascii="宋体" w:hAnsi="宋体" w:eastAsia="宋体" w:cstheme="minorBidi"/>
          <w:snapToGrid w:val="0"/>
          <w:kern w:val="2"/>
          <w:szCs w:val="24"/>
          <w:lang w:val="zh-CN" w:eastAsia="zh-CN" w:bidi="ar-SA"/>
        </w:rPr>
        <w:t>十、 落实政府采购政策需满足的资格要求</w:t>
      </w:r>
      <w:r>
        <w:tab/>
      </w:r>
      <w:r>
        <w:fldChar w:fldCharType="begin"/>
      </w:r>
      <w:r>
        <w:instrText xml:space="preserve"> PAGEREF _Toc1847 \h </w:instrText>
      </w:r>
      <w:r>
        <w:fldChar w:fldCharType="separate"/>
      </w:r>
      <w:r>
        <w:t>41</w:t>
      </w:r>
      <w:r>
        <w:fldChar w:fldCharType="end"/>
      </w:r>
      <w:r>
        <w:fldChar w:fldCharType="end"/>
      </w:r>
    </w:p>
    <w:p>
      <w:pPr>
        <w:pStyle w:val="13"/>
        <w:tabs>
          <w:tab w:val="right" w:leader="dot" w:pos="9746"/>
          <w:tab w:val="clear" w:pos="0"/>
        </w:tabs>
      </w:pPr>
      <w:r>
        <w:fldChar w:fldCharType="begin"/>
      </w:r>
      <w:r>
        <w:instrText xml:space="preserve"> HYPERLINK \l _Toc20048 </w:instrText>
      </w:r>
      <w:r>
        <w:fldChar w:fldCharType="separate"/>
      </w:r>
      <w:r>
        <w:rPr>
          <w:rFonts w:hint="eastAsia" w:cs="宋体" w:asciiTheme="minorEastAsia" w:hAnsiTheme="minorEastAsia" w:eastAsiaTheme="minorEastAsia"/>
          <w:highlight w:val="none"/>
          <w:lang w:val="en-US" w:eastAsia="zh-CN"/>
        </w:rPr>
        <w:t>(二)监狱企业相关证明材料</w:t>
      </w:r>
      <w:r>
        <w:tab/>
      </w:r>
      <w:r>
        <w:fldChar w:fldCharType="begin"/>
      </w:r>
      <w:r>
        <w:instrText xml:space="preserve"> PAGEREF _Toc20048 \h </w:instrText>
      </w:r>
      <w:r>
        <w:fldChar w:fldCharType="separate"/>
      </w:r>
      <w:r>
        <w:t>42</w:t>
      </w:r>
      <w:r>
        <w:fldChar w:fldCharType="end"/>
      </w:r>
      <w:r>
        <w:fldChar w:fldCharType="end"/>
      </w:r>
    </w:p>
    <w:p>
      <w:pPr>
        <w:pStyle w:val="13"/>
        <w:tabs>
          <w:tab w:val="right" w:leader="dot" w:pos="9746"/>
          <w:tab w:val="clear" w:pos="0"/>
        </w:tabs>
      </w:pPr>
      <w:r>
        <w:fldChar w:fldCharType="begin"/>
      </w:r>
      <w:r>
        <w:instrText xml:space="preserve"> HYPERLINK \l _Toc25177 </w:instrText>
      </w:r>
      <w:r>
        <w:fldChar w:fldCharType="separate"/>
      </w:r>
      <w:r>
        <w:rPr>
          <w:rFonts w:hint="eastAsia" w:cs="宋体" w:asciiTheme="minorEastAsia" w:hAnsiTheme="minorEastAsia" w:eastAsiaTheme="minorEastAsia"/>
          <w:highlight w:val="none"/>
          <w:lang w:val="en-US" w:eastAsia="zh-CN"/>
        </w:rPr>
        <w:t>(三)残疾人福利性单位声明函</w:t>
      </w:r>
      <w:r>
        <w:tab/>
      </w:r>
      <w:r>
        <w:fldChar w:fldCharType="begin"/>
      </w:r>
      <w:r>
        <w:instrText xml:space="preserve"> PAGEREF _Toc25177 \h </w:instrText>
      </w:r>
      <w:r>
        <w:fldChar w:fldCharType="separate"/>
      </w:r>
      <w:r>
        <w:t>43</w:t>
      </w:r>
      <w:r>
        <w:fldChar w:fldCharType="end"/>
      </w:r>
      <w:r>
        <w:fldChar w:fldCharType="end"/>
      </w:r>
    </w:p>
    <w:p>
      <w:pPr>
        <w:pStyle w:val="17"/>
        <w:tabs>
          <w:tab w:val="right" w:leader="dot" w:pos="9746"/>
          <w:tab w:val="clear" w:pos="0"/>
        </w:tabs>
      </w:pPr>
      <w:r>
        <w:fldChar w:fldCharType="begin"/>
      </w:r>
      <w:r>
        <w:instrText xml:space="preserve"> HYPERLINK \l _Toc27631 </w:instrText>
      </w:r>
      <w:r>
        <w:fldChar w:fldCharType="separate"/>
      </w:r>
      <w:r>
        <w:rPr>
          <w:rFonts w:hint="eastAsia"/>
          <w:szCs w:val="32"/>
        </w:rPr>
        <w:t>第</w:t>
      </w:r>
      <w:r>
        <w:rPr>
          <w:rFonts w:hint="eastAsia"/>
          <w:szCs w:val="32"/>
          <w:lang w:val="en-US" w:eastAsia="zh-CN"/>
        </w:rPr>
        <w:t>二</w:t>
      </w:r>
      <w:r>
        <w:rPr>
          <w:rFonts w:hint="eastAsia"/>
          <w:szCs w:val="32"/>
        </w:rPr>
        <w:t>部分 其他</w:t>
      </w:r>
      <w:r>
        <w:rPr>
          <w:rFonts w:hint="eastAsia"/>
          <w:szCs w:val="32"/>
          <w:lang w:val="en-US" w:eastAsia="zh-CN"/>
        </w:rPr>
        <w:t>投标</w:t>
      </w:r>
      <w:r>
        <w:rPr>
          <w:rFonts w:hint="eastAsia"/>
          <w:szCs w:val="32"/>
        </w:rPr>
        <w:t>文件(格式)</w:t>
      </w:r>
      <w:r>
        <w:tab/>
      </w:r>
      <w:r>
        <w:fldChar w:fldCharType="begin"/>
      </w:r>
      <w:r>
        <w:instrText xml:space="preserve"> PAGEREF _Toc27631 \h </w:instrText>
      </w:r>
      <w:r>
        <w:fldChar w:fldCharType="separate"/>
      </w:r>
      <w:r>
        <w:t>44</w:t>
      </w:r>
      <w:r>
        <w:fldChar w:fldCharType="end"/>
      </w:r>
      <w:r>
        <w:fldChar w:fldCharType="end"/>
      </w:r>
    </w:p>
    <w:p>
      <w:pPr>
        <w:pStyle w:val="13"/>
        <w:tabs>
          <w:tab w:val="right" w:leader="dot" w:pos="9746"/>
          <w:tab w:val="clear" w:pos="0"/>
        </w:tabs>
      </w:pPr>
      <w:r>
        <w:fldChar w:fldCharType="begin"/>
      </w:r>
      <w:r>
        <w:instrText xml:space="preserve"> HYPERLINK \l _Toc14600 </w:instrText>
      </w:r>
      <w:r>
        <w:fldChar w:fldCharType="separate"/>
      </w:r>
      <w:r>
        <w:rPr>
          <w:rFonts w:hint="eastAsia"/>
          <w:lang w:val="en-US" w:eastAsia="zh-CN"/>
        </w:rPr>
        <w:t>一、 投标函</w:t>
      </w:r>
      <w:r>
        <w:tab/>
      </w:r>
      <w:r>
        <w:fldChar w:fldCharType="begin"/>
      </w:r>
      <w:r>
        <w:instrText xml:space="preserve"> PAGEREF _Toc14600 \h </w:instrText>
      </w:r>
      <w:r>
        <w:fldChar w:fldCharType="separate"/>
      </w:r>
      <w:r>
        <w:t>45</w:t>
      </w:r>
      <w:r>
        <w:fldChar w:fldCharType="end"/>
      </w:r>
      <w:r>
        <w:fldChar w:fldCharType="end"/>
      </w:r>
    </w:p>
    <w:p>
      <w:pPr>
        <w:pStyle w:val="13"/>
        <w:tabs>
          <w:tab w:val="right" w:leader="dot" w:pos="9746"/>
          <w:tab w:val="clear" w:pos="0"/>
        </w:tabs>
      </w:pPr>
      <w:r>
        <w:fldChar w:fldCharType="begin"/>
      </w:r>
      <w:r>
        <w:instrText xml:space="preserve"> HYPERLINK \l _Toc9055 </w:instrText>
      </w:r>
      <w:r>
        <w:fldChar w:fldCharType="separate"/>
      </w:r>
      <w:r>
        <w:rPr>
          <w:rFonts w:hint="eastAsia"/>
          <w:lang w:val="en-US" w:eastAsia="zh-CN"/>
        </w:rPr>
        <w:t>二、 实质性要求承诺</w:t>
      </w:r>
      <w:r>
        <w:tab/>
      </w:r>
      <w:r>
        <w:fldChar w:fldCharType="begin"/>
      </w:r>
      <w:r>
        <w:instrText xml:space="preserve"> PAGEREF _Toc9055 \h </w:instrText>
      </w:r>
      <w:r>
        <w:fldChar w:fldCharType="separate"/>
      </w:r>
      <w:r>
        <w:t>47</w:t>
      </w:r>
      <w:r>
        <w:fldChar w:fldCharType="end"/>
      </w:r>
      <w:r>
        <w:fldChar w:fldCharType="end"/>
      </w:r>
    </w:p>
    <w:p>
      <w:pPr>
        <w:pStyle w:val="13"/>
        <w:tabs>
          <w:tab w:val="right" w:leader="dot" w:pos="9746"/>
          <w:tab w:val="clear" w:pos="0"/>
        </w:tabs>
      </w:pPr>
      <w:r>
        <w:fldChar w:fldCharType="begin"/>
      </w:r>
      <w:r>
        <w:instrText xml:space="preserve"> HYPERLINK \l _Toc484 </w:instrText>
      </w:r>
      <w:r>
        <w:fldChar w:fldCharType="separate"/>
      </w:r>
      <w:r>
        <w:rPr>
          <w:rFonts w:hint="eastAsia"/>
          <w:lang w:val="en-US" w:eastAsia="zh-CN"/>
        </w:rPr>
        <w:t>三、 投标人基本情况表</w:t>
      </w:r>
      <w:r>
        <w:tab/>
      </w:r>
      <w:r>
        <w:fldChar w:fldCharType="begin"/>
      </w:r>
      <w:r>
        <w:instrText xml:space="preserve"> PAGEREF _Toc484 \h </w:instrText>
      </w:r>
      <w:r>
        <w:fldChar w:fldCharType="separate"/>
      </w:r>
      <w:r>
        <w:t>49</w:t>
      </w:r>
      <w:r>
        <w:fldChar w:fldCharType="end"/>
      </w:r>
      <w:r>
        <w:fldChar w:fldCharType="end"/>
      </w:r>
    </w:p>
    <w:p>
      <w:pPr>
        <w:pStyle w:val="13"/>
        <w:tabs>
          <w:tab w:val="right" w:leader="dot" w:pos="9746"/>
          <w:tab w:val="clear" w:pos="0"/>
        </w:tabs>
      </w:pPr>
      <w:r>
        <w:fldChar w:fldCharType="begin"/>
      </w:r>
      <w:r>
        <w:instrText xml:space="preserve"> HYPERLINK \l _Toc5734 </w:instrText>
      </w:r>
      <w:r>
        <w:fldChar w:fldCharType="separate"/>
      </w:r>
      <w:r>
        <w:rPr>
          <w:rFonts w:hint="eastAsia"/>
          <w:lang w:val="en-US" w:eastAsia="zh-CN"/>
        </w:rPr>
        <w:t>四、 开标一览表</w:t>
      </w:r>
      <w:r>
        <w:tab/>
      </w:r>
      <w:r>
        <w:fldChar w:fldCharType="begin"/>
      </w:r>
      <w:r>
        <w:instrText xml:space="preserve"> PAGEREF _Toc5734 \h </w:instrText>
      </w:r>
      <w:r>
        <w:fldChar w:fldCharType="separate"/>
      </w:r>
      <w:r>
        <w:t>50</w:t>
      </w:r>
      <w:r>
        <w:fldChar w:fldCharType="end"/>
      </w:r>
      <w:r>
        <w:fldChar w:fldCharType="end"/>
      </w:r>
    </w:p>
    <w:p>
      <w:pPr>
        <w:pStyle w:val="13"/>
        <w:tabs>
          <w:tab w:val="right" w:leader="dot" w:pos="9746"/>
          <w:tab w:val="clear" w:pos="0"/>
        </w:tabs>
      </w:pPr>
      <w:r>
        <w:fldChar w:fldCharType="begin"/>
      </w:r>
      <w:r>
        <w:instrText xml:space="preserve"> HYPERLINK \l _Toc28318 </w:instrText>
      </w:r>
      <w:r>
        <w:fldChar w:fldCharType="separate"/>
      </w:r>
      <w:r>
        <w:rPr>
          <w:rFonts w:hint="eastAsia"/>
          <w:lang w:val="en-US" w:eastAsia="zh-CN"/>
        </w:rPr>
        <w:t>五、 商务应答表</w:t>
      </w:r>
      <w:r>
        <w:tab/>
      </w:r>
      <w:r>
        <w:fldChar w:fldCharType="begin"/>
      </w:r>
      <w:r>
        <w:instrText xml:space="preserve"> PAGEREF _Toc28318 \h </w:instrText>
      </w:r>
      <w:r>
        <w:fldChar w:fldCharType="separate"/>
      </w:r>
      <w:r>
        <w:t>51</w:t>
      </w:r>
      <w:r>
        <w:fldChar w:fldCharType="end"/>
      </w:r>
      <w:r>
        <w:fldChar w:fldCharType="end"/>
      </w:r>
    </w:p>
    <w:p>
      <w:pPr>
        <w:pStyle w:val="13"/>
        <w:tabs>
          <w:tab w:val="right" w:leader="dot" w:pos="9746"/>
          <w:tab w:val="clear" w:pos="0"/>
        </w:tabs>
      </w:pPr>
      <w:r>
        <w:fldChar w:fldCharType="begin"/>
      </w:r>
      <w:r>
        <w:instrText xml:space="preserve"> HYPERLINK \l _Toc29420 </w:instrText>
      </w:r>
      <w:r>
        <w:fldChar w:fldCharType="separate"/>
      </w:r>
      <w:r>
        <w:rPr>
          <w:rFonts w:hint="eastAsia"/>
          <w:lang w:val="en-US" w:eastAsia="zh-CN"/>
        </w:rPr>
        <w:t>六、 服务应答表</w:t>
      </w:r>
      <w:r>
        <w:tab/>
      </w:r>
      <w:r>
        <w:fldChar w:fldCharType="begin"/>
      </w:r>
      <w:r>
        <w:instrText xml:space="preserve"> PAGEREF _Toc29420 \h </w:instrText>
      </w:r>
      <w:r>
        <w:fldChar w:fldCharType="separate"/>
      </w:r>
      <w:r>
        <w:t>52</w:t>
      </w:r>
      <w:r>
        <w:fldChar w:fldCharType="end"/>
      </w:r>
      <w:r>
        <w:fldChar w:fldCharType="end"/>
      </w:r>
    </w:p>
    <w:p>
      <w:pPr>
        <w:pStyle w:val="13"/>
        <w:tabs>
          <w:tab w:val="right" w:leader="dot" w:pos="9746"/>
          <w:tab w:val="clear" w:pos="0"/>
        </w:tabs>
      </w:pPr>
      <w:r>
        <w:fldChar w:fldCharType="begin"/>
      </w:r>
      <w:r>
        <w:instrText xml:space="preserve"> HYPERLINK \l _Toc5262 </w:instrText>
      </w:r>
      <w:r>
        <w:fldChar w:fldCharType="separate"/>
      </w:r>
      <w:r>
        <w:rPr>
          <w:rFonts w:hint="eastAsia"/>
          <w:lang w:val="en-US" w:eastAsia="zh-CN"/>
        </w:rPr>
        <w:t>七、 履约能力及相关证明</w:t>
      </w:r>
      <w:r>
        <w:tab/>
      </w:r>
      <w:r>
        <w:fldChar w:fldCharType="begin"/>
      </w:r>
      <w:r>
        <w:instrText xml:space="preserve"> PAGEREF _Toc5262 \h </w:instrText>
      </w:r>
      <w:r>
        <w:fldChar w:fldCharType="separate"/>
      </w:r>
      <w:r>
        <w:t>53</w:t>
      </w:r>
      <w:r>
        <w:fldChar w:fldCharType="end"/>
      </w:r>
      <w:r>
        <w:fldChar w:fldCharType="end"/>
      </w:r>
    </w:p>
    <w:p>
      <w:pPr>
        <w:pStyle w:val="13"/>
        <w:tabs>
          <w:tab w:val="right" w:leader="dot" w:pos="9746"/>
          <w:tab w:val="clear" w:pos="0"/>
        </w:tabs>
      </w:pPr>
      <w:r>
        <w:fldChar w:fldCharType="begin"/>
      </w:r>
      <w:r>
        <w:instrText xml:space="preserve"> HYPERLINK \l _Toc25523 </w:instrText>
      </w:r>
      <w:r>
        <w:fldChar w:fldCharType="separate"/>
      </w:r>
      <w:r>
        <w:rPr>
          <w:rFonts w:hint="eastAsia"/>
          <w:lang w:val="en-US" w:eastAsia="zh-CN"/>
        </w:rPr>
        <w:t>八、 投标人针对本项目人员配置情况表</w:t>
      </w:r>
      <w:r>
        <w:tab/>
      </w:r>
      <w:r>
        <w:fldChar w:fldCharType="begin"/>
      </w:r>
      <w:r>
        <w:instrText xml:space="preserve"> PAGEREF _Toc25523 \h </w:instrText>
      </w:r>
      <w:r>
        <w:fldChar w:fldCharType="separate"/>
      </w:r>
      <w:r>
        <w:t>54</w:t>
      </w:r>
      <w:r>
        <w:fldChar w:fldCharType="end"/>
      </w:r>
      <w:r>
        <w:fldChar w:fldCharType="end"/>
      </w:r>
    </w:p>
    <w:p>
      <w:pPr>
        <w:pStyle w:val="13"/>
        <w:tabs>
          <w:tab w:val="right" w:leader="dot" w:pos="9746"/>
          <w:tab w:val="clear" w:pos="0"/>
        </w:tabs>
      </w:pPr>
      <w:r>
        <w:fldChar w:fldCharType="begin"/>
      </w:r>
      <w:r>
        <w:instrText xml:space="preserve"> HYPERLINK \l _Toc23314 </w:instrText>
      </w:r>
      <w:r>
        <w:fldChar w:fldCharType="separate"/>
      </w:r>
      <w:r>
        <w:rPr>
          <w:rFonts w:hint="eastAsia"/>
          <w:lang w:val="en-US" w:eastAsia="zh-CN"/>
        </w:rPr>
        <w:t>九、 服务方案</w:t>
      </w:r>
      <w:r>
        <w:tab/>
      </w:r>
      <w:r>
        <w:fldChar w:fldCharType="begin"/>
      </w:r>
      <w:r>
        <w:instrText xml:space="preserve"> PAGEREF _Toc23314 \h </w:instrText>
      </w:r>
      <w:r>
        <w:fldChar w:fldCharType="separate"/>
      </w:r>
      <w:r>
        <w:t>55</w:t>
      </w:r>
      <w:r>
        <w:fldChar w:fldCharType="end"/>
      </w:r>
      <w:r>
        <w:fldChar w:fldCharType="end"/>
      </w:r>
    </w:p>
    <w:p>
      <w:pPr>
        <w:pStyle w:val="13"/>
        <w:tabs>
          <w:tab w:val="right" w:leader="dot" w:pos="9746"/>
          <w:tab w:val="clear" w:pos="0"/>
        </w:tabs>
      </w:pPr>
      <w:r>
        <w:fldChar w:fldCharType="begin"/>
      </w:r>
      <w:r>
        <w:instrText xml:space="preserve"> HYPERLINK \l _Toc957 </w:instrText>
      </w:r>
      <w:r>
        <w:fldChar w:fldCharType="separate"/>
      </w:r>
      <w:r>
        <w:rPr>
          <w:rFonts w:hint="eastAsia"/>
          <w:lang w:val="en-US" w:eastAsia="zh-CN"/>
        </w:rPr>
        <w:t>十、 招标代理服务费承诺函</w:t>
      </w:r>
      <w:r>
        <w:tab/>
      </w:r>
      <w:r>
        <w:fldChar w:fldCharType="begin"/>
      </w:r>
      <w:r>
        <w:instrText xml:space="preserve"> PAGEREF _Toc957 \h </w:instrText>
      </w:r>
      <w:r>
        <w:fldChar w:fldCharType="separate"/>
      </w:r>
      <w:r>
        <w:t>56</w:t>
      </w:r>
      <w:r>
        <w:fldChar w:fldCharType="end"/>
      </w:r>
      <w:r>
        <w:fldChar w:fldCharType="end"/>
      </w:r>
    </w:p>
    <w:p>
      <w:pPr>
        <w:pStyle w:val="16"/>
        <w:tabs>
          <w:tab w:val="clear" w:pos="0"/>
        </w:tabs>
      </w:pPr>
      <w:r>
        <w:fldChar w:fldCharType="begin"/>
      </w:r>
      <w:r>
        <w:instrText xml:space="preserve"> HYPERLINK \l _Toc26071 </w:instrText>
      </w:r>
      <w:r>
        <w:fldChar w:fldCharType="separate"/>
      </w:r>
      <w:r>
        <w:rPr>
          <w:rFonts w:hint="eastAsia" w:ascii="宋体" w:hAnsi="宋体" w:eastAsia="宋体" w:cs="宋体"/>
          <w:lang w:val="en-US" w:eastAsia="zh-CN"/>
        </w:rPr>
        <w:t xml:space="preserve">第四章 </w:t>
      </w:r>
      <w:r>
        <w:rPr>
          <w:rFonts w:hint="eastAsia"/>
          <w:lang w:val="en-US" w:eastAsia="zh-CN"/>
        </w:rPr>
        <w:t>投标人和投标产品的资格、资质性及其他类似效力要求</w:t>
      </w:r>
      <w:r>
        <w:tab/>
      </w:r>
      <w:r>
        <w:fldChar w:fldCharType="begin"/>
      </w:r>
      <w:r>
        <w:instrText xml:space="preserve"> PAGEREF _Toc26071 \h </w:instrText>
      </w:r>
      <w:r>
        <w:fldChar w:fldCharType="separate"/>
      </w:r>
      <w:r>
        <w:t>57</w:t>
      </w:r>
      <w:r>
        <w:fldChar w:fldCharType="end"/>
      </w:r>
      <w:r>
        <w:fldChar w:fldCharType="end"/>
      </w:r>
    </w:p>
    <w:p>
      <w:pPr>
        <w:pStyle w:val="17"/>
        <w:tabs>
          <w:tab w:val="right" w:leader="dot" w:pos="9746"/>
          <w:tab w:val="clear" w:pos="0"/>
        </w:tabs>
      </w:pPr>
      <w:r>
        <w:fldChar w:fldCharType="begin"/>
      </w:r>
      <w:r>
        <w:instrText xml:space="preserve"> HYPERLINK \l _Toc20970 </w:instrText>
      </w:r>
      <w:r>
        <w:fldChar w:fldCharType="separate"/>
      </w:r>
      <w:r>
        <w:rPr>
          <w:rFonts w:hint="eastAsia" w:ascii="宋体" w:hAnsi="宋体" w:eastAsia="宋体" w:cs="宋体"/>
          <w:lang w:val="zh-CN"/>
        </w:rPr>
        <w:t xml:space="preserve">一、 </w:t>
      </w:r>
      <w:r>
        <w:rPr>
          <w:rFonts w:hint="eastAsia"/>
        </w:rPr>
        <w:t>投标人资格、资质性及其他类似效力要求</w:t>
      </w:r>
      <w:r>
        <w:tab/>
      </w:r>
      <w:r>
        <w:fldChar w:fldCharType="begin"/>
      </w:r>
      <w:r>
        <w:instrText xml:space="preserve"> PAGEREF _Toc20970 \h </w:instrText>
      </w:r>
      <w:r>
        <w:fldChar w:fldCharType="separate"/>
      </w:r>
      <w:r>
        <w:t>57</w:t>
      </w:r>
      <w:r>
        <w:fldChar w:fldCharType="end"/>
      </w:r>
      <w:r>
        <w:fldChar w:fldCharType="end"/>
      </w:r>
    </w:p>
    <w:p>
      <w:pPr>
        <w:pStyle w:val="17"/>
        <w:tabs>
          <w:tab w:val="right" w:leader="dot" w:pos="9746"/>
          <w:tab w:val="clear" w:pos="0"/>
        </w:tabs>
      </w:pPr>
      <w:r>
        <w:fldChar w:fldCharType="begin"/>
      </w:r>
      <w:r>
        <w:instrText xml:space="preserve"> HYPERLINK \l _Toc8826 </w:instrText>
      </w:r>
      <w:r>
        <w:fldChar w:fldCharType="separate"/>
      </w:r>
      <w:r>
        <w:rPr>
          <w:rFonts w:hint="eastAsia" w:ascii="宋体" w:hAnsi="宋体" w:eastAsia="宋体" w:cs="宋体"/>
        </w:rPr>
        <w:t xml:space="preserve">二、 </w:t>
      </w:r>
      <w:r>
        <w:rPr>
          <w:rFonts w:hint="eastAsia"/>
          <w:highlight w:val="none"/>
        </w:rPr>
        <w:t>投标产品的资格、资质性及其他类似效力要求</w:t>
      </w:r>
      <w:r>
        <w:tab/>
      </w:r>
      <w:r>
        <w:fldChar w:fldCharType="begin"/>
      </w:r>
      <w:r>
        <w:instrText xml:space="preserve"> PAGEREF _Toc8826 \h </w:instrText>
      </w:r>
      <w:r>
        <w:fldChar w:fldCharType="separate"/>
      </w:r>
      <w:r>
        <w:t>57</w:t>
      </w:r>
      <w:r>
        <w:fldChar w:fldCharType="end"/>
      </w:r>
      <w:r>
        <w:fldChar w:fldCharType="end"/>
      </w:r>
    </w:p>
    <w:p>
      <w:pPr>
        <w:pStyle w:val="17"/>
        <w:tabs>
          <w:tab w:val="right" w:leader="dot" w:pos="9746"/>
          <w:tab w:val="clear" w:pos="0"/>
        </w:tabs>
      </w:pPr>
      <w:r>
        <w:fldChar w:fldCharType="begin"/>
      </w:r>
      <w:r>
        <w:instrText xml:space="preserve"> HYPERLINK \l _Toc20127 </w:instrText>
      </w:r>
      <w:r>
        <w:fldChar w:fldCharType="separate"/>
      </w:r>
      <w:r>
        <w:rPr>
          <w:rFonts w:hint="eastAsia" w:ascii="宋体" w:hAnsi="宋体" w:eastAsia="宋体" w:cs="宋体"/>
          <w:lang w:val="en-US" w:eastAsia="zh-CN"/>
        </w:rPr>
        <w:t xml:space="preserve">三、 </w:t>
      </w:r>
      <w:r>
        <w:rPr>
          <w:rFonts w:hint="eastAsia"/>
          <w:lang w:val="en-US" w:eastAsia="zh-CN"/>
        </w:rPr>
        <w:t>其他类似效力要求</w:t>
      </w:r>
      <w:r>
        <w:tab/>
      </w:r>
      <w:r>
        <w:fldChar w:fldCharType="begin"/>
      </w:r>
      <w:r>
        <w:instrText xml:space="preserve"> PAGEREF _Toc20127 \h </w:instrText>
      </w:r>
      <w:r>
        <w:fldChar w:fldCharType="separate"/>
      </w:r>
      <w:r>
        <w:t>57</w:t>
      </w:r>
      <w:r>
        <w:fldChar w:fldCharType="end"/>
      </w:r>
      <w:r>
        <w:fldChar w:fldCharType="end"/>
      </w:r>
    </w:p>
    <w:p>
      <w:pPr>
        <w:pStyle w:val="16"/>
        <w:tabs>
          <w:tab w:val="clear" w:pos="0"/>
        </w:tabs>
      </w:pPr>
      <w:r>
        <w:fldChar w:fldCharType="begin"/>
      </w:r>
      <w:r>
        <w:instrText xml:space="preserve"> HYPERLINK \l _Toc7204 </w:instrText>
      </w:r>
      <w:r>
        <w:fldChar w:fldCharType="separate"/>
      </w:r>
      <w:r>
        <w:rPr>
          <w:rFonts w:hint="eastAsia" w:ascii="宋体" w:hAnsi="宋体" w:eastAsia="宋体" w:cs="宋体"/>
          <w:lang w:val="en-US" w:eastAsia="zh-CN"/>
        </w:rPr>
        <w:t xml:space="preserve">第五章 </w:t>
      </w:r>
      <w:r>
        <w:rPr>
          <w:rFonts w:hint="eastAsia"/>
          <w:lang w:val="en-US" w:eastAsia="zh-CN"/>
        </w:rPr>
        <w:t>资格性审查内容</w:t>
      </w:r>
      <w:r>
        <w:tab/>
      </w:r>
      <w:r>
        <w:fldChar w:fldCharType="begin"/>
      </w:r>
      <w:r>
        <w:instrText xml:space="preserve"> PAGEREF _Toc7204 \h </w:instrText>
      </w:r>
      <w:r>
        <w:fldChar w:fldCharType="separate"/>
      </w:r>
      <w:r>
        <w:t>59</w:t>
      </w:r>
      <w:r>
        <w:fldChar w:fldCharType="end"/>
      </w:r>
      <w:r>
        <w:fldChar w:fldCharType="end"/>
      </w:r>
    </w:p>
    <w:p>
      <w:pPr>
        <w:pStyle w:val="17"/>
        <w:tabs>
          <w:tab w:val="right" w:leader="dot" w:pos="9746"/>
          <w:tab w:val="clear" w:pos="0"/>
        </w:tabs>
      </w:pPr>
      <w:r>
        <w:fldChar w:fldCharType="begin"/>
      </w:r>
      <w:r>
        <w:instrText xml:space="preserve"> HYPERLINK \l _Toc31593 </w:instrText>
      </w:r>
      <w:r>
        <w:fldChar w:fldCharType="separate"/>
      </w:r>
      <w:r>
        <w:rPr>
          <w:rFonts w:hint="eastAsia" w:ascii="宋体" w:hAnsi="宋体" w:eastAsia="宋体" w:cs="宋体"/>
        </w:rPr>
        <w:t xml:space="preserve">一、 </w:t>
      </w:r>
      <w:r>
        <w:rPr>
          <w:rFonts w:hint="eastAsia"/>
        </w:rPr>
        <w:t>应当提供的投标人</w:t>
      </w:r>
      <w:r>
        <w:rPr>
          <w:rFonts w:hint="eastAsia"/>
          <w:lang w:eastAsia="zh-CN"/>
        </w:rPr>
        <w:t>及投标产品</w:t>
      </w:r>
      <w:r>
        <w:rPr>
          <w:rFonts w:hint="eastAsia"/>
        </w:rPr>
        <w:t>资格、资质性及其他类似效力要求的相关证明材料</w:t>
      </w:r>
      <w:r>
        <w:tab/>
      </w:r>
      <w:r>
        <w:fldChar w:fldCharType="begin"/>
      </w:r>
      <w:r>
        <w:instrText xml:space="preserve"> PAGEREF _Toc31593 \h </w:instrText>
      </w:r>
      <w:r>
        <w:fldChar w:fldCharType="separate"/>
      </w:r>
      <w:r>
        <w:t>59</w:t>
      </w:r>
      <w:r>
        <w:fldChar w:fldCharType="end"/>
      </w:r>
      <w:r>
        <w:fldChar w:fldCharType="end"/>
      </w:r>
    </w:p>
    <w:p>
      <w:pPr>
        <w:pStyle w:val="17"/>
        <w:tabs>
          <w:tab w:val="right" w:leader="dot" w:pos="9746"/>
          <w:tab w:val="clear" w:pos="0"/>
        </w:tabs>
      </w:pPr>
      <w:r>
        <w:fldChar w:fldCharType="begin"/>
      </w:r>
      <w:r>
        <w:instrText xml:space="preserve"> HYPERLINK \l _Toc3341 </w:instrText>
      </w:r>
      <w:r>
        <w:fldChar w:fldCharType="separate"/>
      </w:r>
      <w:r>
        <w:rPr>
          <w:rFonts w:hint="eastAsia" w:ascii="宋体" w:hAnsi="宋体" w:eastAsia="宋体" w:cs="宋体"/>
          <w:lang w:eastAsia="zh-CN"/>
        </w:rPr>
        <w:t xml:space="preserve">二、 </w:t>
      </w:r>
      <w:r>
        <w:rPr>
          <w:rFonts w:hint="eastAsia"/>
          <w:lang w:eastAsia="zh-CN"/>
        </w:rPr>
        <w:t>审查程序</w:t>
      </w:r>
      <w:r>
        <w:tab/>
      </w:r>
      <w:r>
        <w:fldChar w:fldCharType="begin"/>
      </w:r>
      <w:r>
        <w:instrText xml:space="preserve"> PAGEREF _Toc3341 \h </w:instrText>
      </w:r>
      <w:r>
        <w:fldChar w:fldCharType="separate"/>
      </w:r>
      <w:r>
        <w:t>61</w:t>
      </w:r>
      <w:r>
        <w:fldChar w:fldCharType="end"/>
      </w:r>
      <w:r>
        <w:fldChar w:fldCharType="end"/>
      </w:r>
    </w:p>
    <w:p>
      <w:pPr>
        <w:pStyle w:val="16"/>
        <w:tabs>
          <w:tab w:val="clear" w:pos="0"/>
        </w:tabs>
      </w:pPr>
      <w:r>
        <w:fldChar w:fldCharType="begin"/>
      </w:r>
      <w:r>
        <w:instrText xml:space="preserve"> HYPERLINK \l _Toc29948 </w:instrText>
      </w:r>
      <w:r>
        <w:fldChar w:fldCharType="separate"/>
      </w:r>
      <w:r>
        <w:rPr>
          <w:rFonts w:hint="eastAsia" w:ascii="宋体" w:hAnsi="宋体" w:eastAsia="宋体" w:cs="宋体"/>
        </w:rPr>
        <w:t xml:space="preserve">第六章 </w:t>
      </w:r>
      <w:r>
        <w:rPr>
          <w:rFonts w:hint="eastAsia"/>
        </w:rPr>
        <w:t>招标项目技术、服务、政府采购合同内容条款及其他商务要求</w:t>
      </w:r>
      <w:r>
        <w:tab/>
      </w:r>
      <w:r>
        <w:fldChar w:fldCharType="begin"/>
      </w:r>
      <w:r>
        <w:instrText xml:space="preserve"> PAGEREF _Toc29948 \h </w:instrText>
      </w:r>
      <w:r>
        <w:fldChar w:fldCharType="separate"/>
      </w:r>
      <w:r>
        <w:t>63</w:t>
      </w:r>
      <w:r>
        <w:fldChar w:fldCharType="end"/>
      </w:r>
      <w:r>
        <w:fldChar w:fldCharType="end"/>
      </w:r>
    </w:p>
    <w:p>
      <w:pPr>
        <w:pStyle w:val="17"/>
        <w:tabs>
          <w:tab w:val="right" w:leader="dot" w:pos="9746"/>
          <w:tab w:val="clear" w:pos="0"/>
        </w:tabs>
      </w:pPr>
      <w:r>
        <w:fldChar w:fldCharType="begin"/>
      </w:r>
      <w:r>
        <w:instrText xml:space="preserve"> HYPERLINK \l _Toc9480 </w:instrText>
      </w:r>
      <w:r>
        <w:fldChar w:fldCharType="separate"/>
      </w:r>
      <w:r>
        <w:rPr>
          <w:rFonts w:hint="eastAsia" w:ascii="宋体" w:hAnsi="宋体" w:eastAsia="宋体" w:cs="宋体"/>
          <w:bCs/>
          <w:szCs w:val="24"/>
          <w:lang w:val="en-US" w:eastAsia="zh-CN"/>
        </w:rPr>
        <w:t>一、 项目背景</w:t>
      </w:r>
      <w:r>
        <w:tab/>
      </w:r>
      <w:r>
        <w:fldChar w:fldCharType="begin"/>
      </w:r>
      <w:r>
        <w:instrText xml:space="preserve"> PAGEREF _Toc9480 \h </w:instrText>
      </w:r>
      <w:r>
        <w:fldChar w:fldCharType="separate"/>
      </w:r>
      <w:r>
        <w:t>63</w:t>
      </w:r>
      <w:r>
        <w:fldChar w:fldCharType="end"/>
      </w:r>
      <w:r>
        <w:fldChar w:fldCharType="end"/>
      </w:r>
    </w:p>
    <w:p>
      <w:pPr>
        <w:pStyle w:val="17"/>
        <w:tabs>
          <w:tab w:val="right" w:leader="dot" w:pos="9746"/>
          <w:tab w:val="clear" w:pos="0"/>
        </w:tabs>
      </w:pPr>
      <w:r>
        <w:fldChar w:fldCharType="begin"/>
      </w:r>
      <w:r>
        <w:instrText xml:space="preserve"> HYPERLINK \l _Toc25098 </w:instrText>
      </w:r>
      <w:r>
        <w:fldChar w:fldCharType="separate"/>
      </w:r>
      <w:r>
        <w:rPr>
          <w:rFonts w:hint="eastAsia" w:ascii="宋体" w:hAnsi="宋体" w:eastAsia="宋体" w:cs="宋体"/>
          <w:bCs/>
          <w:szCs w:val="24"/>
          <w:lang w:val="en-US" w:eastAsia="zh-CN"/>
        </w:rPr>
        <w:t>二、 项目基本情况</w:t>
      </w:r>
      <w:r>
        <w:tab/>
      </w:r>
      <w:r>
        <w:fldChar w:fldCharType="begin"/>
      </w:r>
      <w:r>
        <w:instrText xml:space="preserve"> PAGEREF _Toc25098 \h </w:instrText>
      </w:r>
      <w:r>
        <w:fldChar w:fldCharType="separate"/>
      </w:r>
      <w:r>
        <w:t>63</w:t>
      </w:r>
      <w:r>
        <w:fldChar w:fldCharType="end"/>
      </w:r>
      <w:r>
        <w:fldChar w:fldCharType="end"/>
      </w:r>
    </w:p>
    <w:p>
      <w:pPr>
        <w:pStyle w:val="17"/>
        <w:tabs>
          <w:tab w:val="right" w:leader="dot" w:pos="9746"/>
          <w:tab w:val="clear" w:pos="0"/>
        </w:tabs>
      </w:pPr>
      <w:r>
        <w:fldChar w:fldCharType="begin"/>
      </w:r>
      <w:r>
        <w:instrText xml:space="preserve"> HYPERLINK \l _Toc30088 </w:instrText>
      </w:r>
      <w:r>
        <w:fldChar w:fldCharType="separate"/>
      </w:r>
      <w:r>
        <w:rPr>
          <w:rFonts w:hint="eastAsia" w:ascii="宋体" w:hAnsi="宋体" w:eastAsia="宋体" w:cs="宋体"/>
          <w:bCs/>
          <w:szCs w:val="24"/>
          <w:lang w:val="en-US" w:eastAsia="zh-CN"/>
        </w:rPr>
        <w:t>三、 ※服务内容</w:t>
      </w:r>
      <w:r>
        <w:tab/>
      </w:r>
      <w:r>
        <w:fldChar w:fldCharType="begin"/>
      </w:r>
      <w:r>
        <w:instrText xml:space="preserve"> PAGEREF _Toc30088 \h </w:instrText>
      </w:r>
      <w:r>
        <w:fldChar w:fldCharType="separate"/>
      </w:r>
      <w:r>
        <w:t>63</w:t>
      </w:r>
      <w:r>
        <w:fldChar w:fldCharType="end"/>
      </w:r>
      <w:r>
        <w:fldChar w:fldCharType="end"/>
      </w:r>
    </w:p>
    <w:p>
      <w:pPr>
        <w:pStyle w:val="17"/>
        <w:tabs>
          <w:tab w:val="right" w:leader="dot" w:pos="9746"/>
          <w:tab w:val="clear" w:pos="0"/>
        </w:tabs>
      </w:pPr>
      <w:r>
        <w:fldChar w:fldCharType="begin"/>
      </w:r>
      <w:r>
        <w:instrText xml:space="preserve"> HYPERLINK \l _Toc1456 </w:instrText>
      </w:r>
      <w:r>
        <w:fldChar w:fldCharType="separate"/>
      </w:r>
      <w:r>
        <w:rPr>
          <w:rFonts w:hint="eastAsia" w:ascii="宋体" w:hAnsi="宋体" w:eastAsia="宋体" w:cs="宋体"/>
          <w:bCs/>
          <w:szCs w:val="24"/>
          <w:lang w:val="en-US" w:eastAsia="zh-CN"/>
        </w:rPr>
        <w:t>四、 服务要求</w:t>
      </w:r>
      <w:r>
        <w:tab/>
      </w:r>
      <w:r>
        <w:fldChar w:fldCharType="begin"/>
      </w:r>
      <w:r>
        <w:instrText xml:space="preserve"> PAGEREF _Toc1456 \h </w:instrText>
      </w:r>
      <w:r>
        <w:fldChar w:fldCharType="separate"/>
      </w:r>
      <w:r>
        <w:t>63</w:t>
      </w:r>
      <w:r>
        <w:fldChar w:fldCharType="end"/>
      </w:r>
      <w:r>
        <w:fldChar w:fldCharType="end"/>
      </w:r>
    </w:p>
    <w:p>
      <w:pPr>
        <w:pStyle w:val="17"/>
        <w:tabs>
          <w:tab w:val="right" w:leader="dot" w:pos="9746"/>
          <w:tab w:val="clear" w:pos="0"/>
        </w:tabs>
      </w:pPr>
      <w:r>
        <w:fldChar w:fldCharType="begin"/>
      </w:r>
      <w:r>
        <w:instrText xml:space="preserve"> HYPERLINK \l _Toc14017 </w:instrText>
      </w:r>
      <w:r>
        <w:fldChar w:fldCharType="separate"/>
      </w:r>
      <w:r>
        <w:rPr>
          <w:rFonts w:hint="eastAsia" w:ascii="宋体" w:hAnsi="宋体" w:eastAsia="宋体" w:cs="宋体"/>
          <w:bCs/>
          <w:szCs w:val="24"/>
          <w:lang w:val="en-US" w:eastAsia="zh-CN"/>
        </w:rPr>
        <w:t>五、 ※验收标准</w:t>
      </w:r>
      <w:r>
        <w:tab/>
      </w:r>
      <w:r>
        <w:fldChar w:fldCharType="begin"/>
      </w:r>
      <w:r>
        <w:instrText xml:space="preserve"> PAGEREF _Toc14017 \h </w:instrText>
      </w:r>
      <w:r>
        <w:fldChar w:fldCharType="separate"/>
      </w:r>
      <w:r>
        <w:t>64</w:t>
      </w:r>
      <w:r>
        <w:fldChar w:fldCharType="end"/>
      </w:r>
      <w:r>
        <w:fldChar w:fldCharType="end"/>
      </w:r>
    </w:p>
    <w:p>
      <w:pPr>
        <w:pStyle w:val="17"/>
        <w:tabs>
          <w:tab w:val="right" w:leader="dot" w:pos="9746"/>
          <w:tab w:val="clear" w:pos="0"/>
        </w:tabs>
      </w:pPr>
      <w:r>
        <w:fldChar w:fldCharType="begin"/>
      </w:r>
      <w:r>
        <w:instrText xml:space="preserve"> HYPERLINK \l _Toc31389 </w:instrText>
      </w:r>
      <w:r>
        <w:fldChar w:fldCharType="separate"/>
      </w:r>
      <w:r>
        <w:rPr>
          <w:rFonts w:hint="eastAsia" w:ascii="宋体" w:hAnsi="宋体" w:eastAsia="宋体" w:cs="宋体"/>
          <w:bCs/>
          <w:szCs w:val="24"/>
          <w:lang w:val="en-US" w:eastAsia="zh-CN"/>
        </w:rPr>
        <w:t>六、 服务期限</w:t>
      </w:r>
      <w:r>
        <w:tab/>
      </w:r>
      <w:r>
        <w:fldChar w:fldCharType="begin"/>
      </w:r>
      <w:r>
        <w:instrText xml:space="preserve"> PAGEREF _Toc31389 \h </w:instrText>
      </w:r>
      <w:r>
        <w:fldChar w:fldCharType="separate"/>
      </w:r>
      <w:r>
        <w:t>64</w:t>
      </w:r>
      <w:r>
        <w:fldChar w:fldCharType="end"/>
      </w:r>
      <w:r>
        <w:fldChar w:fldCharType="end"/>
      </w:r>
    </w:p>
    <w:p>
      <w:pPr>
        <w:pStyle w:val="17"/>
        <w:tabs>
          <w:tab w:val="right" w:leader="dot" w:pos="9746"/>
          <w:tab w:val="clear" w:pos="0"/>
        </w:tabs>
      </w:pPr>
      <w:r>
        <w:fldChar w:fldCharType="begin"/>
      </w:r>
      <w:r>
        <w:instrText xml:space="preserve"> HYPERLINK \l _Toc30416 </w:instrText>
      </w:r>
      <w:r>
        <w:fldChar w:fldCharType="separate"/>
      </w:r>
      <w:r>
        <w:rPr>
          <w:rFonts w:hint="eastAsia" w:ascii="宋体" w:hAnsi="宋体" w:eastAsia="宋体" w:cs="宋体"/>
          <w:bCs/>
          <w:szCs w:val="24"/>
          <w:lang w:val="en-US" w:eastAsia="zh-CN"/>
        </w:rPr>
        <w:t>七、 ※商务要求</w:t>
      </w:r>
      <w:r>
        <w:tab/>
      </w:r>
      <w:r>
        <w:fldChar w:fldCharType="begin"/>
      </w:r>
      <w:r>
        <w:instrText xml:space="preserve"> PAGEREF _Toc30416 \h </w:instrText>
      </w:r>
      <w:r>
        <w:fldChar w:fldCharType="separate"/>
      </w:r>
      <w:r>
        <w:t>64</w:t>
      </w:r>
      <w:r>
        <w:fldChar w:fldCharType="end"/>
      </w:r>
      <w:r>
        <w:fldChar w:fldCharType="end"/>
      </w:r>
    </w:p>
    <w:p>
      <w:pPr>
        <w:pStyle w:val="17"/>
        <w:tabs>
          <w:tab w:val="right" w:leader="dot" w:pos="9746"/>
          <w:tab w:val="clear" w:pos="0"/>
        </w:tabs>
      </w:pPr>
      <w:r>
        <w:fldChar w:fldCharType="begin"/>
      </w:r>
      <w:r>
        <w:instrText xml:space="preserve"> HYPERLINK \l _Toc1049 </w:instrText>
      </w:r>
      <w:r>
        <w:fldChar w:fldCharType="separate"/>
      </w:r>
      <w:r>
        <w:rPr>
          <w:rFonts w:hint="eastAsia" w:ascii="宋体" w:hAnsi="宋体" w:eastAsia="宋体" w:cs="宋体"/>
          <w:bCs/>
          <w:szCs w:val="24"/>
          <w:lang w:val="en-US" w:eastAsia="zh-CN"/>
        </w:rPr>
        <w:t>八、 其他要求</w:t>
      </w:r>
      <w:r>
        <w:tab/>
      </w:r>
      <w:r>
        <w:fldChar w:fldCharType="begin"/>
      </w:r>
      <w:r>
        <w:instrText xml:space="preserve"> PAGEREF _Toc1049 \h </w:instrText>
      </w:r>
      <w:r>
        <w:fldChar w:fldCharType="separate"/>
      </w:r>
      <w:r>
        <w:t>66</w:t>
      </w:r>
      <w:r>
        <w:fldChar w:fldCharType="end"/>
      </w:r>
      <w:r>
        <w:fldChar w:fldCharType="end"/>
      </w:r>
    </w:p>
    <w:p>
      <w:pPr>
        <w:pStyle w:val="16"/>
        <w:tabs>
          <w:tab w:val="clear" w:pos="0"/>
        </w:tabs>
      </w:pPr>
      <w:r>
        <w:fldChar w:fldCharType="begin"/>
      </w:r>
      <w:r>
        <w:instrText xml:space="preserve"> HYPERLINK \l _Toc2822 </w:instrText>
      </w:r>
      <w:r>
        <w:fldChar w:fldCharType="separate"/>
      </w:r>
      <w:r>
        <w:rPr>
          <w:rFonts w:hint="eastAsia" w:ascii="宋体" w:hAnsi="宋体" w:eastAsia="宋体" w:cs="宋体"/>
        </w:rPr>
        <w:t xml:space="preserve">第七章 </w:t>
      </w:r>
      <w:r>
        <w:rPr>
          <w:rFonts w:hint="eastAsia"/>
        </w:rPr>
        <w:t>评标办法</w:t>
      </w:r>
      <w:r>
        <w:tab/>
      </w:r>
      <w:r>
        <w:fldChar w:fldCharType="begin"/>
      </w:r>
      <w:r>
        <w:instrText xml:space="preserve"> PAGEREF _Toc2822 \h </w:instrText>
      </w:r>
      <w:r>
        <w:fldChar w:fldCharType="separate"/>
      </w:r>
      <w:r>
        <w:t>69</w:t>
      </w:r>
      <w:r>
        <w:fldChar w:fldCharType="end"/>
      </w:r>
      <w:r>
        <w:fldChar w:fldCharType="end"/>
      </w:r>
    </w:p>
    <w:p>
      <w:pPr>
        <w:pStyle w:val="17"/>
        <w:tabs>
          <w:tab w:val="right" w:leader="dot" w:pos="9746"/>
          <w:tab w:val="clear" w:pos="0"/>
        </w:tabs>
      </w:pPr>
      <w:r>
        <w:fldChar w:fldCharType="begin"/>
      </w:r>
      <w:r>
        <w:instrText xml:space="preserve"> HYPERLINK \l _Toc3221 </w:instrText>
      </w:r>
      <w:r>
        <w:fldChar w:fldCharType="separate"/>
      </w:r>
      <w:r>
        <w:rPr>
          <w:rFonts w:hint="eastAsia" w:ascii="宋体" w:hAnsi="宋体" w:eastAsia="宋体" w:cs="宋体"/>
        </w:rPr>
        <w:t xml:space="preserve">一、 </w:t>
      </w:r>
      <w:r>
        <w:rPr>
          <w:rFonts w:hint="eastAsia"/>
        </w:rPr>
        <w:t>总则</w:t>
      </w:r>
      <w:r>
        <w:tab/>
      </w:r>
      <w:r>
        <w:fldChar w:fldCharType="begin"/>
      </w:r>
      <w:r>
        <w:instrText xml:space="preserve"> PAGEREF _Toc3221 \h </w:instrText>
      </w:r>
      <w:r>
        <w:fldChar w:fldCharType="separate"/>
      </w:r>
      <w:r>
        <w:t>69</w:t>
      </w:r>
      <w:r>
        <w:fldChar w:fldCharType="end"/>
      </w:r>
      <w:r>
        <w:fldChar w:fldCharType="end"/>
      </w:r>
    </w:p>
    <w:p>
      <w:pPr>
        <w:pStyle w:val="17"/>
        <w:tabs>
          <w:tab w:val="right" w:leader="dot" w:pos="9746"/>
          <w:tab w:val="clear" w:pos="0"/>
        </w:tabs>
      </w:pPr>
      <w:r>
        <w:fldChar w:fldCharType="begin"/>
      </w:r>
      <w:r>
        <w:instrText xml:space="preserve"> HYPERLINK \l _Toc7384 </w:instrText>
      </w:r>
      <w:r>
        <w:fldChar w:fldCharType="separate"/>
      </w:r>
      <w:r>
        <w:rPr>
          <w:rFonts w:hint="eastAsia" w:ascii="宋体" w:hAnsi="宋体" w:eastAsia="宋体" w:cs="宋体"/>
        </w:rPr>
        <w:t xml:space="preserve">二、 </w:t>
      </w:r>
      <w:r>
        <w:rPr>
          <w:rFonts w:hint="eastAsia"/>
        </w:rPr>
        <w:t>评标方法</w:t>
      </w:r>
      <w:r>
        <w:tab/>
      </w:r>
      <w:r>
        <w:fldChar w:fldCharType="begin"/>
      </w:r>
      <w:r>
        <w:instrText xml:space="preserve"> PAGEREF _Toc7384 \h </w:instrText>
      </w:r>
      <w:r>
        <w:fldChar w:fldCharType="separate"/>
      </w:r>
      <w:r>
        <w:t>69</w:t>
      </w:r>
      <w:r>
        <w:fldChar w:fldCharType="end"/>
      </w:r>
      <w:r>
        <w:fldChar w:fldCharType="end"/>
      </w:r>
    </w:p>
    <w:p>
      <w:pPr>
        <w:pStyle w:val="17"/>
        <w:tabs>
          <w:tab w:val="right" w:leader="dot" w:pos="9746"/>
          <w:tab w:val="clear" w:pos="0"/>
        </w:tabs>
      </w:pPr>
      <w:r>
        <w:fldChar w:fldCharType="begin"/>
      </w:r>
      <w:r>
        <w:instrText xml:space="preserve"> HYPERLINK \l _Toc25965 </w:instrText>
      </w:r>
      <w:r>
        <w:fldChar w:fldCharType="separate"/>
      </w:r>
      <w:r>
        <w:rPr>
          <w:rFonts w:hint="eastAsia" w:ascii="宋体" w:hAnsi="宋体" w:eastAsia="宋体" w:cs="宋体"/>
        </w:rPr>
        <w:t xml:space="preserve">三、 </w:t>
      </w:r>
      <w:r>
        <w:rPr>
          <w:rFonts w:hint="eastAsia"/>
        </w:rPr>
        <w:t>评标程序</w:t>
      </w:r>
      <w:r>
        <w:tab/>
      </w:r>
      <w:r>
        <w:fldChar w:fldCharType="begin"/>
      </w:r>
      <w:r>
        <w:instrText xml:space="preserve"> PAGEREF _Toc25965 \h </w:instrText>
      </w:r>
      <w:r>
        <w:fldChar w:fldCharType="separate"/>
      </w:r>
      <w:r>
        <w:t>69</w:t>
      </w:r>
      <w:r>
        <w:fldChar w:fldCharType="end"/>
      </w:r>
      <w:r>
        <w:fldChar w:fldCharType="end"/>
      </w:r>
    </w:p>
    <w:p>
      <w:pPr>
        <w:pStyle w:val="17"/>
        <w:tabs>
          <w:tab w:val="right" w:leader="dot" w:pos="9746"/>
          <w:tab w:val="clear" w:pos="0"/>
        </w:tabs>
      </w:pPr>
      <w:r>
        <w:fldChar w:fldCharType="begin"/>
      </w:r>
      <w:r>
        <w:instrText xml:space="preserve"> HYPERLINK \l _Toc14080 </w:instrText>
      </w:r>
      <w:r>
        <w:fldChar w:fldCharType="separate"/>
      </w:r>
      <w:r>
        <w:rPr>
          <w:rFonts w:hint="eastAsia" w:ascii="宋体" w:hAnsi="宋体" w:eastAsia="宋体" w:cs="宋体"/>
        </w:rPr>
        <w:t xml:space="preserve">四、 </w:t>
      </w:r>
      <w:r>
        <w:rPr>
          <w:rFonts w:hint="eastAsia"/>
        </w:rPr>
        <w:t>评标细则及标准</w:t>
      </w:r>
      <w:r>
        <w:tab/>
      </w:r>
      <w:r>
        <w:fldChar w:fldCharType="begin"/>
      </w:r>
      <w:r>
        <w:instrText xml:space="preserve"> PAGEREF _Toc14080 \h </w:instrText>
      </w:r>
      <w:r>
        <w:fldChar w:fldCharType="separate"/>
      </w:r>
      <w:r>
        <w:t>72</w:t>
      </w:r>
      <w:r>
        <w:fldChar w:fldCharType="end"/>
      </w:r>
      <w:r>
        <w:fldChar w:fldCharType="end"/>
      </w:r>
    </w:p>
    <w:p>
      <w:pPr>
        <w:pStyle w:val="17"/>
        <w:tabs>
          <w:tab w:val="right" w:leader="dot" w:pos="9746"/>
          <w:tab w:val="clear" w:pos="0"/>
        </w:tabs>
      </w:pPr>
      <w:r>
        <w:fldChar w:fldCharType="begin"/>
      </w:r>
      <w:r>
        <w:instrText xml:space="preserve"> HYPERLINK \l _Toc14849 </w:instrText>
      </w:r>
      <w:r>
        <w:fldChar w:fldCharType="separate"/>
      </w:r>
      <w:r>
        <w:rPr>
          <w:rFonts w:hint="eastAsia" w:ascii="宋体" w:hAnsi="宋体" w:eastAsia="宋体" w:cs="宋体"/>
          <w:lang w:val="en-US" w:eastAsia="zh-CN"/>
        </w:rPr>
        <w:t xml:space="preserve">五、 </w:t>
      </w:r>
      <w:r>
        <w:rPr>
          <w:rFonts w:hint="eastAsia"/>
          <w:lang w:val="en-US" w:eastAsia="zh-CN"/>
        </w:rPr>
        <w:t>复核</w:t>
      </w:r>
      <w:r>
        <w:tab/>
      </w:r>
      <w:r>
        <w:fldChar w:fldCharType="begin"/>
      </w:r>
      <w:r>
        <w:instrText xml:space="preserve"> PAGEREF _Toc14849 \h </w:instrText>
      </w:r>
      <w:r>
        <w:fldChar w:fldCharType="separate"/>
      </w:r>
      <w:r>
        <w:t>75</w:t>
      </w:r>
      <w:r>
        <w:fldChar w:fldCharType="end"/>
      </w:r>
      <w:r>
        <w:fldChar w:fldCharType="end"/>
      </w:r>
    </w:p>
    <w:p>
      <w:pPr>
        <w:pStyle w:val="17"/>
        <w:tabs>
          <w:tab w:val="right" w:leader="dot" w:pos="9746"/>
          <w:tab w:val="clear" w:pos="0"/>
        </w:tabs>
      </w:pPr>
      <w:r>
        <w:fldChar w:fldCharType="begin"/>
      </w:r>
      <w:r>
        <w:instrText xml:space="preserve"> HYPERLINK \l _Toc7365 </w:instrText>
      </w:r>
      <w:r>
        <w:fldChar w:fldCharType="separate"/>
      </w:r>
      <w:r>
        <w:rPr>
          <w:rFonts w:hint="eastAsia" w:ascii="宋体" w:hAnsi="宋体" w:eastAsia="宋体" w:cs="宋体"/>
          <w:lang w:val="en-US" w:eastAsia="zh-CN"/>
        </w:rPr>
        <w:t xml:space="preserve">六、 </w:t>
      </w:r>
      <w:r>
        <w:rPr>
          <w:rFonts w:hint="eastAsia"/>
          <w:lang w:val="en-US" w:eastAsia="zh-CN"/>
        </w:rPr>
        <w:t>推荐中标候选供应商</w:t>
      </w:r>
      <w:r>
        <w:tab/>
      </w:r>
      <w:r>
        <w:fldChar w:fldCharType="begin"/>
      </w:r>
      <w:r>
        <w:instrText xml:space="preserve"> PAGEREF _Toc7365 \h </w:instrText>
      </w:r>
      <w:r>
        <w:fldChar w:fldCharType="separate"/>
      </w:r>
      <w:r>
        <w:t>76</w:t>
      </w:r>
      <w:r>
        <w:fldChar w:fldCharType="end"/>
      </w:r>
      <w:r>
        <w:fldChar w:fldCharType="end"/>
      </w:r>
    </w:p>
    <w:p>
      <w:pPr>
        <w:pStyle w:val="17"/>
        <w:tabs>
          <w:tab w:val="right" w:leader="dot" w:pos="9746"/>
          <w:tab w:val="clear" w:pos="0"/>
        </w:tabs>
      </w:pPr>
      <w:r>
        <w:fldChar w:fldCharType="begin"/>
      </w:r>
      <w:r>
        <w:instrText xml:space="preserve"> HYPERLINK \l _Toc30801 </w:instrText>
      </w:r>
      <w:r>
        <w:fldChar w:fldCharType="separate"/>
      </w:r>
      <w:r>
        <w:rPr>
          <w:rFonts w:hint="eastAsia" w:ascii="宋体" w:hAnsi="宋体" w:eastAsia="宋体" w:cs="宋体"/>
          <w:lang w:val="en-US" w:eastAsia="zh-CN"/>
        </w:rPr>
        <w:t xml:space="preserve">七、 </w:t>
      </w:r>
      <w:r>
        <w:rPr>
          <w:rFonts w:hint="eastAsia"/>
          <w:lang w:val="en-US" w:eastAsia="zh-CN"/>
        </w:rPr>
        <w:t>出具评标报告</w:t>
      </w:r>
      <w:r>
        <w:tab/>
      </w:r>
      <w:r>
        <w:fldChar w:fldCharType="begin"/>
      </w:r>
      <w:r>
        <w:instrText xml:space="preserve"> PAGEREF _Toc30801 \h </w:instrText>
      </w:r>
      <w:r>
        <w:fldChar w:fldCharType="separate"/>
      </w:r>
      <w:r>
        <w:t>77</w:t>
      </w:r>
      <w:r>
        <w:fldChar w:fldCharType="end"/>
      </w:r>
      <w:r>
        <w:fldChar w:fldCharType="end"/>
      </w:r>
    </w:p>
    <w:p>
      <w:pPr>
        <w:pStyle w:val="17"/>
        <w:tabs>
          <w:tab w:val="right" w:leader="dot" w:pos="9746"/>
          <w:tab w:val="clear" w:pos="0"/>
        </w:tabs>
      </w:pPr>
      <w:r>
        <w:fldChar w:fldCharType="begin"/>
      </w:r>
      <w:r>
        <w:instrText xml:space="preserve"> HYPERLINK \l _Toc17342 </w:instrText>
      </w:r>
      <w:r>
        <w:fldChar w:fldCharType="separate"/>
      </w:r>
      <w:r>
        <w:rPr>
          <w:rFonts w:hint="eastAsia" w:ascii="宋体" w:hAnsi="宋体" w:eastAsia="宋体" w:cs="宋体"/>
        </w:rPr>
        <w:t xml:space="preserve">八、 </w:t>
      </w:r>
      <w:r>
        <w:rPr>
          <w:rFonts w:hint="eastAsia"/>
        </w:rPr>
        <w:t>废标</w:t>
      </w:r>
      <w:r>
        <w:tab/>
      </w:r>
      <w:r>
        <w:fldChar w:fldCharType="begin"/>
      </w:r>
      <w:r>
        <w:instrText xml:space="preserve"> PAGEREF _Toc17342 \h </w:instrText>
      </w:r>
      <w:r>
        <w:fldChar w:fldCharType="separate"/>
      </w:r>
      <w:r>
        <w:t>77</w:t>
      </w:r>
      <w:r>
        <w:fldChar w:fldCharType="end"/>
      </w:r>
      <w:r>
        <w:fldChar w:fldCharType="end"/>
      </w:r>
    </w:p>
    <w:p>
      <w:pPr>
        <w:pStyle w:val="17"/>
        <w:tabs>
          <w:tab w:val="right" w:leader="dot" w:pos="9746"/>
          <w:tab w:val="clear" w:pos="0"/>
        </w:tabs>
      </w:pPr>
      <w:r>
        <w:fldChar w:fldCharType="begin"/>
      </w:r>
      <w:r>
        <w:instrText xml:space="preserve"> HYPERLINK \l _Toc22608 </w:instrText>
      </w:r>
      <w:r>
        <w:fldChar w:fldCharType="separate"/>
      </w:r>
      <w:r>
        <w:rPr>
          <w:rFonts w:hint="eastAsia" w:ascii="宋体" w:hAnsi="宋体" w:eastAsia="宋体" w:cs="宋体"/>
        </w:rPr>
        <w:t xml:space="preserve">九、 </w:t>
      </w:r>
      <w:r>
        <w:rPr>
          <w:rFonts w:hint="eastAsia"/>
        </w:rPr>
        <w:t>定标</w:t>
      </w:r>
      <w:r>
        <w:tab/>
      </w:r>
      <w:r>
        <w:fldChar w:fldCharType="begin"/>
      </w:r>
      <w:r>
        <w:instrText xml:space="preserve"> PAGEREF _Toc22608 \h </w:instrText>
      </w:r>
      <w:r>
        <w:fldChar w:fldCharType="separate"/>
      </w:r>
      <w:r>
        <w:t>77</w:t>
      </w:r>
      <w:r>
        <w:fldChar w:fldCharType="end"/>
      </w:r>
      <w:r>
        <w:fldChar w:fldCharType="end"/>
      </w:r>
    </w:p>
    <w:p>
      <w:pPr>
        <w:pStyle w:val="17"/>
        <w:tabs>
          <w:tab w:val="right" w:leader="dot" w:pos="9746"/>
          <w:tab w:val="clear" w:pos="0"/>
        </w:tabs>
      </w:pPr>
      <w:r>
        <w:fldChar w:fldCharType="begin"/>
      </w:r>
      <w:r>
        <w:instrText xml:space="preserve"> HYPERLINK \l _Toc27303 </w:instrText>
      </w:r>
      <w:r>
        <w:fldChar w:fldCharType="separate"/>
      </w:r>
      <w:r>
        <w:rPr>
          <w:rFonts w:hint="eastAsia" w:ascii="宋体" w:hAnsi="宋体" w:eastAsia="宋体" w:cs="宋体"/>
        </w:rPr>
        <w:t xml:space="preserve">十、 </w:t>
      </w:r>
      <w:r>
        <w:rPr>
          <w:rFonts w:hint="eastAsia"/>
          <w:lang w:eastAsia="zh-CN"/>
        </w:rPr>
        <w:t>评标专家</w:t>
      </w:r>
      <w:r>
        <w:rPr>
          <w:rFonts w:hint="eastAsia"/>
        </w:rPr>
        <w:t>在政府采购活动中承担以下义务</w:t>
      </w:r>
      <w:r>
        <w:tab/>
      </w:r>
      <w:r>
        <w:fldChar w:fldCharType="begin"/>
      </w:r>
      <w:r>
        <w:instrText xml:space="preserve"> PAGEREF _Toc27303 \h </w:instrText>
      </w:r>
      <w:r>
        <w:fldChar w:fldCharType="separate"/>
      </w:r>
      <w:r>
        <w:t>78</w:t>
      </w:r>
      <w:r>
        <w:fldChar w:fldCharType="end"/>
      </w:r>
      <w:r>
        <w:fldChar w:fldCharType="end"/>
      </w:r>
    </w:p>
    <w:p>
      <w:pPr>
        <w:pStyle w:val="17"/>
        <w:tabs>
          <w:tab w:val="right" w:leader="dot" w:pos="9746"/>
          <w:tab w:val="clear" w:pos="0"/>
        </w:tabs>
      </w:pPr>
      <w:r>
        <w:fldChar w:fldCharType="begin"/>
      </w:r>
      <w:r>
        <w:instrText xml:space="preserve"> HYPERLINK \l _Toc28909 </w:instrText>
      </w:r>
      <w:r>
        <w:fldChar w:fldCharType="separate"/>
      </w:r>
      <w:r>
        <w:rPr>
          <w:rFonts w:hint="eastAsia" w:ascii="宋体" w:hAnsi="宋体" w:eastAsia="宋体" w:cs="宋体"/>
        </w:rPr>
        <w:t xml:space="preserve">十一、 </w:t>
      </w:r>
      <w:r>
        <w:rPr>
          <w:rFonts w:hint="eastAsia"/>
          <w:lang w:eastAsia="zh-CN"/>
        </w:rPr>
        <w:t>评标专家</w:t>
      </w:r>
      <w:r>
        <w:rPr>
          <w:rFonts w:hint="eastAsia"/>
        </w:rPr>
        <w:t>在政府采购活动中应当遵守以下工作纪律</w:t>
      </w:r>
      <w:r>
        <w:tab/>
      </w:r>
      <w:r>
        <w:fldChar w:fldCharType="begin"/>
      </w:r>
      <w:r>
        <w:instrText xml:space="preserve"> PAGEREF _Toc28909 \h </w:instrText>
      </w:r>
      <w:r>
        <w:fldChar w:fldCharType="separate"/>
      </w:r>
      <w:r>
        <w:t>78</w:t>
      </w:r>
      <w:r>
        <w:fldChar w:fldCharType="end"/>
      </w:r>
      <w:r>
        <w:fldChar w:fldCharType="end"/>
      </w:r>
    </w:p>
    <w:p>
      <w:pPr>
        <w:pStyle w:val="17"/>
        <w:tabs>
          <w:tab w:val="right" w:leader="dot" w:pos="9746"/>
          <w:tab w:val="clear" w:pos="0"/>
        </w:tabs>
      </w:pPr>
      <w:r>
        <w:fldChar w:fldCharType="begin"/>
      </w:r>
      <w:r>
        <w:instrText xml:space="preserve"> HYPERLINK \l _Toc24043 </w:instrText>
      </w:r>
      <w:r>
        <w:fldChar w:fldCharType="separate"/>
      </w:r>
      <w:r>
        <w:rPr>
          <w:rFonts w:hint="eastAsia" w:ascii="宋体" w:hAnsi="宋体" w:eastAsia="宋体" w:cs="宋体"/>
        </w:rPr>
        <w:t xml:space="preserve">十二、 </w:t>
      </w:r>
      <w:r>
        <w:rPr>
          <w:rFonts w:hint="eastAsia"/>
        </w:rPr>
        <w:t>评标委员会及其成员不得有下列行为</w:t>
      </w:r>
      <w:r>
        <w:tab/>
      </w:r>
      <w:r>
        <w:fldChar w:fldCharType="begin"/>
      </w:r>
      <w:r>
        <w:instrText xml:space="preserve"> PAGEREF _Toc24043 \h </w:instrText>
      </w:r>
      <w:r>
        <w:fldChar w:fldCharType="separate"/>
      </w:r>
      <w:r>
        <w:t>79</w:t>
      </w:r>
      <w:r>
        <w:fldChar w:fldCharType="end"/>
      </w:r>
      <w:r>
        <w:fldChar w:fldCharType="end"/>
      </w:r>
    </w:p>
    <w:p>
      <w:pPr>
        <w:pStyle w:val="17"/>
        <w:tabs>
          <w:tab w:val="right" w:leader="dot" w:pos="9746"/>
          <w:tab w:val="clear" w:pos="0"/>
        </w:tabs>
      </w:pPr>
      <w:r>
        <w:fldChar w:fldCharType="begin"/>
      </w:r>
      <w:r>
        <w:instrText xml:space="preserve"> HYPERLINK \l _Toc12396 </w:instrText>
      </w:r>
      <w:r>
        <w:fldChar w:fldCharType="separate"/>
      </w:r>
      <w:r>
        <w:rPr>
          <w:rFonts w:hint="eastAsia" w:ascii="宋体" w:hAnsi="宋体" w:eastAsia="宋体" w:cs="宋体"/>
        </w:rPr>
        <w:t xml:space="preserve">十三、 </w:t>
      </w:r>
      <w:r>
        <w:rPr>
          <w:rFonts w:hint="eastAsia"/>
          <w:lang w:val="en-US" w:eastAsia="zh-CN"/>
        </w:rPr>
        <w:t>评标委员会及其成员不得有下列违约情形</w:t>
      </w:r>
      <w:r>
        <w:tab/>
      </w:r>
      <w:r>
        <w:fldChar w:fldCharType="begin"/>
      </w:r>
      <w:r>
        <w:instrText xml:space="preserve"> PAGEREF _Toc12396 \h </w:instrText>
      </w:r>
      <w:r>
        <w:fldChar w:fldCharType="separate"/>
      </w:r>
      <w:r>
        <w:t>79</w:t>
      </w:r>
      <w:r>
        <w:fldChar w:fldCharType="end"/>
      </w:r>
      <w:r>
        <w:fldChar w:fldCharType="end"/>
      </w:r>
    </w:p>
    <w:p>
      <w:pPr>
        <w:pStyle w:val="16"/>
        <w:tabs>
          <w:tab w:val="clear" w:pos="0"/>
        </w:tabs>
      </w:pPr>
      <w:r>
        <w:fldChar w:fldCharType="begin"/>
      </w:r>
      <w:r>
        <w:instrText xml:space="preserve"> HYPERLINK \l _Toc24999 </w:instrText>
      </w:r>
      <w:r>
        <w:fldChar w:fldCharType="separate"/>
      </w:r>
      <w:r>
        <w:rPr>
          <w:rFonts w:hint="eastAsia" w:ascii="宋体" w:hAnsi="宋体" w:eastAsia="宋体" w:cs="宋体"/>
        </w:rPr>
        <w:t xml:space="preserve">第八章 </w:t>
      </w:r>
      <w:r>
        <w:rPr>
          <w:rFonts w:hint="eastAsia"/>
        </w:rPr>
        <w:t>政府采购合同</w:t>
      </w:r>
      <w:r>
        <w:rPr>
          <w:rFonts w:hint="eastAsia"/>
          <w:lang w:val="en-US" w:eastAsia="zh-CN"/>
        </w:rPr>
        <w:t>(参考文本)</w:t>
      </w:r>
      <w:r>
        <w:tab/>
      </w:r>
      <w:r>
        <w:fldChar w:fldCharType="begin"/>
      </w:r>
      <w:r>
        <w:instrText xml:space="preserve"> PAGEREF _Toc24999 \h </w:instrText>
      </w:r>
      <w:r>
        <w:fldChar w:fldCharType="separate"/>
      </w:r>
      <w:r>
        <w:t>81</w:t>
      </w:r>
      <w:r>
        <w:fldChar w:fldCharType="end"/>
      </w:r>
      <w:r>
        <w:fldChar w:fldCharType="end"/>
      </w:r>
    </w:p>
    <w:p>
      <w:pPr>
        <w:pStyle w:val="16"/>
        <w:tabs>
          <w:tab w:val="clear" w:pos="0"/>
        </w:tabs>
      </w:pPr>
      <w:r>
        <w:fldChar w:fldCharType="begin"/>
      </w:r>
      <w:r>
        <w:instrText xml:space="preserve"> HYPERLINK \l _Toc13359 </w:instrText>
      </w:r>
      <w:r>
        <w:fldChar w:fldCharType="separate"/>
      </w:r>
      <w:r>
        <w:rPr>
          <w:rFonts w:hint="eastAsia" w:ascii="宋体" w:hAnsi="宋体" w:eastAsia="宋体" w:cs="宋体"/>
          <w:lang w:val="en-US" w:eastAsia="zh-CN"/>
        </w:rPr>
        <w:t xml:space="preserve">第九章 </w:t>
      </w:r>
      <w:r>
        <w:rPr>
          <w:rFonts w:hint="eastAsia"/>
          <w:lang w:val="en-US" w:eastAsia="zh-CN"/>
        </w:rPr>
        <w:t>附件</w:t>
      </w:r>
      <w:r>
        <w:tab/>
      </w:r>
      <w:r>
        <w:fldChar w:fldCharType="begin"/>
      </w:r>
      <w:r>
        <w:instrText xml:space="preserve"> PAGEREF _Toc13359 \h </w:instrText>
      </w:r>
      <w:r>
        <w:fldChar w:fldCharType="separate"/>
      </w:r>
      <w:r>
        <w:t>87</w:t>
      </w:r>
      <w:r>
        <w:fldChar w:fldCharType="end"/>
      </w:r>
      <w:r>
        <w:fldChar w:fldCharType="end"/>
      </w:r>
    </w:p>
    <w:p>
      <w:r>
        <w:fldChar w:fldCharType="end"/>
      </w:r>
    </w:p>
    <w:p>
      <w:pPr>
        <w:pStyle w:val="46"/>
        <w:bidi w:val="0"/>
        <w:rPr>
          <w:rFonts w:hint="eastAsia"/>
        </w:rPr>
      </w:pPr>
      <w:r>
        <w:rPr>
          <w:rFonts w:hint="eastAsia"/>
        </w:rPr>
        <w:br w:type="page"/>
      </w:r>
      <w:bookmarkEnd w:id="2"/>
      <w:bookmarkEnd w:id="9"/>
      <w:bookmarkEnd w:id="10"/>
      <w:bookmarkStart w:id="12" w:name="_Toc21276"/>
      <w:bookmarkStart w:id="13" w:name="_Toc9731"/>
      <w:bookmarkStart w:id="14" w:name="_Toc213397009"/>
      <w:bookmarkStart w:id="15" w:name="_Toc213496267"/>
      <w:bookmarkStart w:id="16" w:name="_Toc213396945"/>
      <w:bookmarkStart w:id="17" w:name="_Toc213396759"/>
      <w:bookmarkStart w:id="18" w:name="_Toc217446031"/>
      <w:r>
        <w:rPr>
          <w:rFonts w:hint="eastAsia"/>
        </w:rPr>
        <w:t>投标邀请</w:t>
      </w:r>
      <w:bookmarkEnd w:id="11"/>
      <w:bookmarkEnd w:id="12"/>
      <w:bookmarkEnd w:id="13"/>
    </w:p>
    <w:p>
      <w:pPr>
        <w:pStyle w:val="44"/>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rPr>
      </w:pPr>
      <w:r>
        <w:rPr>
          <w:rFonts w:hint="eastAsia"/>
          <w:lang w:val="zh-CN"/>
        </w:rPr>
        <w:t>四川乾新招投标代理有限公司</w:t>
      </w:r>
      <w:r>
        <w:rPr>
          <w:rFonts w:hint="eastAsia"/>
        </w:rPr>
        <w:t>受成都市交通运输综合行政执法总队的委托，拟对</w:t>
      </w:r>
      <w:r>
        <w:rPr>
          <w:rFonts w:hint="eastAsia"/>
          <w:lang w:eastAsia="zh-CN"/>
        </w:rPr>
        <w:t>成都市交通运输综合行政执法总队2021年度成都市农村公路路况PQI检测服务采购项目</w:t>
      </w:r>
      <w:r>
        <w:rPr>
          <w:rFonts w:hint="eastAsia"/>
        </w:rPr>
        <w:t>进行国内公开招标，兹邀请符合本次招标要求的供应商参加投标。</w:t>
      </w:r>
    </w:p>
    <w:p>
      <w:pPr>
        <w:pStyle w:val="40"/>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rPr>
      </w:pPr>
      <w:r>
        <w:rPr>
          <w:rFonts w:hint="eastAsia"/>
          <w:b/>
          <w:bCs/>
        </w:rPr>
        <w:t>项目编号：</w:t>
      </w:r>
      <w:r>
        <w:rPr>
          <w:rFonts w:hint="eastAsia"/>
          <w:b w:val="0"/>
          <w:bCs w:val="0"/>
        </w:rPr>
        <w:t xml:space="preserve">510101202100908 </w:t>
      </w:r>
      <w:r>
        <w:rPr>
          <w:rFonts w:hint="eastAsia"/>
        </w:rPr>
        <w:t xml:space="preserve">         </w:t>
      </w:r>
    </w:p>
    <w:p>
      <w:pPr>
        <w:pStyle w:val="40"/>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rPr>
      </w:pPr>
      <w:r>
        <w:rPr>
          <w:rFonts w:hint="eastAsia"/>
          <w:b/>
          <w:bCs/>
        </w:rPr>
        <w:t>项目名称：</w:t>
      </w:r>
      <w:r>
        <w:rPr>
          <w:rFonts w:hint="eastAsia"/>
          <w:b w:val="0"/>
          <w:bCs w:val="0"/>
          <w:lang w:eastAsia="zh-CN"/>
        </w:rPr>
        <w:t>成都市交通运输综合行政执法总队2021年度成都市农村公路路况PQI检测服务采购项目</w:t>
      </w:r>
    </w:p>
    <w:p>
      <w:pPr>
        <w:pStyle w:val="40"/>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ascii="宋体" w:hAnsi="宋体" w:eastAsia="宋体"/>
          <w:b/>
          <w:bCs/>
          <w:highlight w:val="none"/>
        </w:rPr>
      </w:pPr>
      <w:r>
        <w:rPr>
          <w:rFonts w:hint="eastAsia" w:ascii="宋体" w:hAnsi="宋体" w:eastAsia="宋体"/>
          <w:b/>
          <w:bCs/>
          <w:lang w:val="en-US" w:eastAsia="zh-CN"/>
        </w:rPr>
        <w:t>资金来源</w:t>
      </w:r>
      <w:r>
        <w:rPr>
          <w:rFonts w:hint="eastAsia" w:ascii="宋体" w:hAnsi="宋体" w:eastAsia="宋体"/>
          <w:b/>
          <w:bCs/>
        </w:rPr>
        <w:t>：根据</w:t>
      </w:r>
      <w:r>
        <w:rPr>
          <w:rFonts w:hint="eastAsia" w:ascii="宋体" w:hAnsi="宋体" w:eastAsia="宋体"/>
          <w:b/>
          <w:bCs/>
          <w:lang w:val="en-US" w:eastAsia="zh-CN"/>
        </w:rPr>
        <w:t>成都市</w:t>
      </w:r>
      <w:r>
        <w:rPr>
          <w:rFonts w:hint="eastAsia" w:ascii="宋体" w:hAnsi="宋体" w:eastAsia="宋体"/>
          <w:b/>
          <w:bCs/>
        </w:rPr>
        <w:t>财政局下达的《成都市市级政府采购实施计划备案表》（</w:t>
      </w:r>
      <w:r>
        <w:rPr>
          <w:rFonts w:hint="eastAsia" w:ascii="宋体" w:hAnsi="宋体" w:eastAsia="宋体"/>
          <w:b/>
          <w:bCs/>
          <w:lang w:val="en-US" w:eastAsia="zh-CN"/>
        </w:rPr>
        <w:t>计划号/</w:t>
      </w:r>
      <w:r>
        <w:rPr>
          <w:rFonts w:hint="eastAsia" w:ascii="宋体" w:hAnsi="宋体" w:eastAsia="宋体"/>
          <w:b/>
          <w:bCs/>
        </w:rPr>
        <w:t>备案号</w:t>
      </w:r>
      <w:r>
        <w:rPr>
          <w:rFonts w:hint="eastAsia"/>
          <w:b/>
          <w:bCs/>
          <w:lang w:val="en-US" w:eastAsia="zh-CN"/>
        </w:rPr>
        <w:t>:</w:t>
      </w:r>
      <w:r>
        <w:rPr>
          <w:rFonts w:hint="eastAsia" w:ascii="宋体" w:hAnsi="宋体" w:eastAsia="宋体"/>
          <w:b/>
          <w:bCs/>
        </w:rPr>
        <w:t>〔</w:t>
      </w:r>
      <w:r>
        <w:rPr>
          <w:rFonts w:hint="eastAsia" w:ascii="宋体" w:hAnsi="宋体" w:eastAsia="宋体"/>
          <w:b/>
          <w:bCs/>
          <w:lang w:val="en-US" w:eastAsia="zh-CN"/>
        </w:rPr>
        <w:t>2021〕</w:t>
      </w:r>
      <w:r>
        <w:rPr>
          <w:rFonts w:hint="eastAsia"/>
          <w:b/>
          <w:bCs/>
          <w:lang w:val="en-US" w:eastAsia="zh-CN"/>
        </w:rPr>
        <w:t>2430</w:t>
      </w:r>
      <w:r>
        <w:rPr>
          <w:rFonts w:hint="eastAsia" w:ascii="宋体" w:hAnsi="宋体" w:eastAsia="宋体"/>
          <w:b/>
          <w:bCs/>
          <w:lang w:val="en-US" w:eastAsia="zh-CN"/>
        </w:rPr>
        <w:t>号</w:t>
      </w:r>
      <w:r>
        <w:rPr>
          <w:rFonts w:hint="eastAsia" w:ascii="宋体" w:hAnsi="宋体" w:eastAsia="宋体"/>
          <w:b/>
          <w:bCs/>
        </w:rPr>
        <w:t>），该项目20</w:t>
      </w:r>
      <w:r>
        <w:rPr>
          <w:rFonts w:hint="eastAsia" w:ascii="宋体" w:hAnsi="宋体" w:eastAsia="宋体"/>
          <w:b/>
          <w:bCs/>
          <w:lang w:val="en-US" w:eastAsia="zh-CN"/>
        </w:rPr>
        <w:t>21</w:t>
      </w:r>
      <w:r>
        <w:rPr>
          <w:rFonts w:hint="eastAsia" w:ascii="宋体" w:hAnsi="宋体" w:eastAsia="宋体"/>
          <w:b/>
          <w:bCs/>
        </w:rPr>
        <w:t>年预算资金为</w:t>
      </w:r>
      <w:r>
        <w:rPr>
          <w:rFonts w:hint="eastAsia" w:ascii="宋体" w:hAnsi="宋体" w:eastAsia="宋体"/>
          <w:b/>
          <w:bCs/>
          <w:lang w:val="en-US" w:eastAsia="zh-CN"/>
        </w:rPr>
        <w:t>186.75</w:t>
      </w:r>
      <w:r>
        <w:rPr>
          <w:rFonts w:hint="eastAsia" w:ascii="宋体" w:hAnsi="宋体" w:eastAsia="宋体"/>
          <w:b/>
          <w:bCs/>
        </w:rPr>
        <w:t>万</w:t>
      </w:r>
      <w:r>
        <w:rPr>
          <w:rFonts w:hint="eastAsia" w:ascii="宋体" w:hAnsi="宋体" w:eastAsia="宋体"/>
          <w:b/>
          <w:bCs/>
          <w:highlight w:val="none"/>
        </w:rPr>
        <w:t>元</w:t>
      </w:r>
      <w:r>
        <w:rPr>
          <w:rFonts w:hint="eastAsia"/>
          <w:b/>
          <w:bCs/>
          <w:highlight w:val="none"/>
          <w:lang w:eastAsia="zh-CN"/>
        </w:rPr>
        <w:t>，</w:t>
      </w:r>
      <w:r>
        <w:rPr>
          <w:rFonts w:hint="eastAsia"/>
          <w:b/>
          <w:bCs/>
          <w:highlight w:val="none"/>
          <w:lang w:val="en-US" w:eastAsia="zh-CN"/>
        </w:rPr>
        <w:t>采购品目：C0901技术测试和分析服务</w:t>
      </w:r>
      <w:r>
        <w:rPr>
          <w:rFonts w:hint="eastAsia" w:ascii="宋体" w:hAnsi="宋体" w:eastAsia="宋体"/>
          <w:b/>
          <w:bCs/>
          <w:highlight w:val="none"/>
          <w:lang w:val="en-US" w:eastAsia="zh-CN"/>
        </w:rPr>
        <w:t>。</w:t>
      </w:r>
    </w:p>
    <w:p>
      <w:pPr>
        <w:pStyle w:val="40"/>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b/>
          <w:bCs/>
        </w:rPr>
      </w:pPr>
      <w:r>
        <w:rPr>
          <w:rFonts w:hint="eastAsia"/>
          <w:b/>
          <w:bCs/>
        </w:rPr>
        <w:t>招标项目简介：</w:t>
      </w:r>
    </w:p>
    <w:p>
      <w:pPr>
        <w:pStyle w:val="40"/>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highlight w:val="none"/>
        </w:rPr>
      </w:pPr>
      <w:r>
        <w:rPr>
          <w:rFonts w:hint="eastAsia"/>
          <w:b/>
          <w:bCs/>
          <w:lang w:val="en-US" w:eastAsia="zh-CN"/>
        </w:rPr>
        <w:t>(一)采购内容：成都市交通建设项目监督抽检</w:t>
      </w:r>
      <w:r>
        <w:rPr>
          <w:rFonts w:hint="eastAsia"/>
          <w:b w:val="0"/>
          <w:bCs w:val="0"/>
          <w:highlight w:val="none"/>
          <w:lang w:val="en-US" w:eastAsia="zh-CN"/>
        </w:rPr>
        <w:t>，</w:t>
      </w:r>
      <w:r>
        <w:rPr>
          <w:rFonts w:hint="eastAsia"/>
          <w:b w:val="0"/>
          <w:bCs w:val="0"/>
          <w:highlight w:val="none"/>
        </w:rPr>
        <w:t>共</w:t>
      </w:r>
      <w:r>
        <w:rPr>
          <w:rFonts w:hint="eastAsia"/>
          <w:b w:val="0"/>
          <w:bCs w:val="0"/>
          <w:color w:val="000000" w:themeColor="text1"/>
          <w:highlight w:val="none"/>
          <w14:textFill>
            <w14:solidFill>
              <w14:schemeClr w14:val="tx1"/>
            </w14:solidFill>
          </w14:textFill>
        </w:rPr>
        <w:t>计</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个</w:t>
      </w:r>
      <w:r>
        <w:rPr>
          <w:rFonts w:hint="eastAsia"/>
          <w:highlight w:val="none"/>
        </w:rPr>
        <w:t>包，</w:t>
      </w:r>
      <w:r>
        <w:rPr>
          <w:rFonts w:hint="eastAsia"/>
          <w:highlight w:val="none"/>
          <w:lang w:val="en-US" w:eastAsia="zh-CN"/>
        </w:rPr>
        <w:t>具体</w:t>
      </w:r>
      <w:r>
        <w:rPr>
          <w:rFonts w:hint="eastAsia"/>
          <w:highlight w:val="none"/>
        </w:rPr>
        <w:t>详见招标文件第六章。</w:t>
      </w:r>
    </w:p>
    <w:p>
      <w:pPr>
        <w:pStyle w:val="40"/>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highlight w:val="none"/>
          <w:lang w:val="en-US" w:eastAsia="zh-CN"/>
        </w:rPr>
      </w:pPr>
      <w:r>
        <w:rPr>
          <w:rFonts w:hint="eastAsia"/>
          <w:b/>
          <w:bCs/>
          <w:highlight w:val="none"/>
          <w:lang w:val="en-US" w:eastAsia="zh-CN"/>
        </w:rPr>
        <w:t>(二)采购用途：为农村公路制定养护计划、开展养护工程等提供科学的数据保障</w:t>
      </w:r>
      <w:r>
        <w:rPr>
          <w:rFonts w:hint="eastAsia"/>
          <w:highlight w:val="none"/>
          <w:u w:val="none"/>
          <w:lang w:val="en-US" w:eastAsia="zh-CN"/>
        </w:rPr>
        <w:t>。</w:t>
      </w:r>
    </w:p>
    <w:p>
      <w:pPr>
        <w:pStyle w:val="40"/>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lang w:val="en-US" w:eastAsia="zh-CN"/>
        </w:rPr>
      </w:pPr>
      <w:r>
        <w:rPr>
          <w:rFonts w:hint="eastAsia"/>
          <w:b/>
          <w:bCs/>
          <w:lang w:val="en-US" w:eastAsia="zh-CN"/>
        </w:rPr>
        <w:t>(三)项目性质：</w:t>
      </w:r>
      <w:r>
        <w:rPr>
          <w:rFonts w:hint="eastAsia"/>
          <w:lang w:val="en-US" w:eastAsia="zh-CN"/>
        </w:rPr>
        <w:t>政府采购。</w:t>
      </w:r>
    </w:p>
    <w:p>
      <w:pPr>
        <w:pStyle w:val="40"/>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b/>
          <w:bCs/>
        </w:rPr>
      </w:pPr>
      <w:r>
        <w:rPr>
          <w:rFonts w:hint="eastAsia"/>
          <w:b/>
          <w:bCs/>
        </w:rPr>
        <w:t>供应商参加本次政府采购活动应具备下列条件：</w:t>
      </w:r>
    </w:p>
    <w:p>
      <w:pPr>
        <w:pStyle w:val="40"/>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highlight w:val="none"/>
          <w:lang w:val="zh-CN"/>
        </w:rPr>
      </w:pPr>
      <w:r>
        <w:rPr>
          <w:rFonts w:hint="eastAsia"/>
          <w:highlight w:val="none"/>
          <w:lang w:val="en-US" w:eastAsia="zh-CN"/>
        </w:rPr>
        <w:t>(一)</w:t>
      </w:r>
      <w:r>
        <w:rPr>
          <w:rFonts w:hint="eastAsia"/>
          <w:highlight w:val="none"/>
          <w:lang w:val="zh-CN"/>
        </w:rPr>
        <w:t>符合《中华人民共和国政府采购法》第二十二条规定的条件：</w:t>
      </w:r>
    </w:p>
    <w:p>
      <w:pPr>
        <w:pStyle w:val="40"/>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highlight w:val="none"/>
        </w:rPr>
      </w:pPr>
      <w:r>
        <w:rPr>
          <w:rFonts w:hint="eastAsia"/>
          <w:highlight w:val="none"/>
          <w:lang w:val="en-US" w:eastAsia="zh-CN"/>
        </w:rPr>
        <w:t>1.</w:t>
      </w:r>
      <w:r>
        <w:rPr>
          <w:rFonts w:hint="eastAsia"/>
          <w:highlight w:val="none"/>
        </w:rPr>
        <w:t>具有独立承担</w:t>
      </w:r>
      <w:r>
        <w:rPr>
          <w:rFonts w:hint="eastAsia"/>
          <w:highlight w:val="none"/>
        </w:rPr>
        <w:fldChar w:fldCharType="begin"/>
      </w:r>
      <w:r>
        <w:rPr>
          <w:rFonts w:hint="eastAsia"/>
          <w:highlight w:val="none"/>
        </w:rPr>
        <w:instrText xml:space="preserve"> HYPERLINK "http://www.lawtime.cn/info/minfa/mszeren/" \t "_blank" </w:instrText>
      </w:r>
      <w:r>
        <w:rPr>
          <w:rFonts w:hint="eastAsia"/>
          <w:highlight w:val="none"/>
        </w:rPr>
        <w:fldChar w:fldCharType="separate"/>
      </w:r>
      <w:r>
        <w:rPr>
          <w:rFonts w:hint="eastAsia"/>
          <w:highlight w:val="none"/>
        </w:rPr>
        <w:t>民事责任</w:t>
      </w:r>
      <w:r>
        <w:rPr>
          <w:rFonts w:hint="eastAsia"/>
          <w:highlight w:val="none"/>
        </w:rPr>
        <w:fldChar w:fldCharType="end"/>
      </w:r>
      <w:r>
        <w:rPr>
          <w:rFonts w:hint="eastAsia"/>
          <w:highlight w:val="none"/>
        </w:rPr>
        <w:t>的能力；</w:t>
      </w:r>
    </w:p>
    <w:p>
      <w:pPr>
        <w:pStyle w:val="40"/>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highlight w:val="none"/>
        </w:rPr>
      </w:pPr>
      <w:r>
        <w:rPr>
          <w:rFonts w:hint="eastAsia"/>
          <w:highlight w:val="none"/>
          <w:lang w:val="en-US" w:eastAsia="zh-CN"/>
        </w:rPr>
        <w:t>2.</w:t>
      </w:r>
      <w:r>
        <w:rPr>
          <w:rFonts w:hint="eastAsia"/>
          <w:highlight w:val="none"/>
        </w:rPr>
        <w:t>具有良好的商业信誉和健全的财务会计制度；</w:t>
      </w:r>
    </w:p>
    <w:p>
      <w:pPr>
        <w:pStyle w:val="40"/>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highlight w:val="none"/>
        </w:rPr>
      </w:pPr>
      <w:r>
        <w:rPr>
          <w:rFonts w:hint="eastAsia"/>
          <w:highlight w:val="none"/>
          <w:lang w:val="en-US" w:eastAsia="zh-CN"/>
        </w:rPr>
        <w:t>3.</w:t>
      </w:r>
      <w:r>
        <w:rPr>
          <w:rFonts w:hint="eastAsia"/>
          <w:highlight w:val="none"/>
        </w:rPr>
        <w:t>具有履行合同所必需的设备和专业技术能力；</w:t>
      </w:r>
    </w:p>
    <w:p>
      <w:pPr>
        <w:pStyle w:val="40"/>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highlight w:val="none"/>
          <w:lang w:val="en-US" w:eastAsia="zh-CN"/>
        </w:rPr>
      </w:pPr>
      <w:r>
        <w:rPr>
          <w:rFonts w:hint="eastAsia"/>
          <w:highlight w:val="none"/>
          <w:lang w:val="en-US" w:eastAsia="zh-CN"/>
        </w:rPr>
        <w:t>4.有依法缴纳税收和</w:t>
      </w:r>
      <w:r>
        <w:rPr>
          <w:rFonts w:hint="eastAsia"/>
          <w:highlight w:val="none"/>
          <w:lang w:val="en-US" w:eastAsia="zh-CN"/>
        </w:rPr>
        <w:fldChar w:fldCharType="begin"/>
      </w:r>
      <w:r>
        <w:rPr>
          <w:rFonts w:hint="eastAsia"/>
          <w:highlight w:val="none"/>
          <w:lang w:val="en-US" w:eastAsia="zh-CN"/>
        </w:rPr>
        <w:instrText xml:space="preserve"> HYPERLINK "http://www.lawtime.cn/info/laodong/shehuibaozhang/" \t "_blank" </w:instrText>
      </w:r>
      <w:r>
        <w:rPr>
          <w:rFonts w:hint="eastAsia"/>
          <w:highlight w:val="none"/>
          <w:lang w:val="en-US" w:eastAsia="zh-CN"/>
        </w:rPr>
        <w:fldChar w:fldCharType="separate"/>
      </w:r>
      <w:r>
        <w:rPr>
          <w:rFonts w:hint="eastAsia"/>
          <w:highlight w:val="none"/>
          <w:lang w:val="en-US" w:eastAsia="zh-CN"/>
        </w:rPr>
        <w:t>社会保障</w:t>
      </w:r>
      <w:r>
        <w:rPr>
          <w:rFonts w:hint="eastAsia"/>
          <w:highlight w:val="none"/>
          <w:lang w:val="en-US" w:eastAsia="zh-CN"/>
        </w:rPr>
        <w:fldChar w:fldCharType="end"/>
      </w:r>
      <w:r>
        <w:rPr>
          <w:rFonts w:hint="eastAsia"/>
          <w:highlight w:val="none"/>
          <w:lang w:val="en-US" w:eastAsia="zh-CN"/>
        </w:rPr>
        <w:t>资金的良好记录；</w:t>
      </w:r>
    </w:p>
    <w:p>
      <w:pPr>
        <w:pStyle w:val="40"/>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highlight w:val="none"/>
          <w:lang w:val="en-US" w:eastAsia="zh-CN"/>
        </w:rPr>
      </w:pPr>
      <w:r>
        <w:rPr>
          <w:rFonts w:hint="eastAsia"/>
          <w:highlight w:val="none"/>
          <w:lang w:val="en-US" w:eastAsia="zh-CN"/>
        </w:rPr>
        <w:t>5.参加政府采购活动前三年内，在经营活动中没有重大违法记录；</w:t>
      </w:r>
    </w:p>
    <w:p>
      <w:pPr>
        <w:pStyle w:val="40"/>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highlight w:val="none"/>
          <w:lang w:val="en-US" w:eastAsia="zh-CN"/>
        </w:rPr>
      </w:pPr>
      <w:r>
        <w:rPr>
          <w:rFonts w:hint="eastAsia"/>
          <w:highlight w:val="none"/>
          <w:lang w:val="en-US" w:eastAsia="zh-CN"/>
        </w:rPr>
        <w:t>6.法律、</w:t>
      </w:r>
      <w:r>
        <w:rPr>
          <w:rFonts w:hint="eastAsia"/>
          <w:highlight w:val="none"/>
          <w:lang w:val="en-US" w:eastAsia="zh-CN"/>
        </w:rPr>
        <w:fldChar w:fldCharType="begin"/>
      </w:r>
      <w:r>
        <w:rPr>
          <w:rFonts w:hint="eastAsia"/>
          <w:highlight w:val="none"/>
          <w:lang w:val="en-US" w:eastAsia="zh-CN"/>
        </w:rPr>
        <w:instrText xml:space="preserve"> HYPERLINK "http://www.lawtime.cn/info/sifakaoshi/xingzhengfa/" \t "_blank" </w:instrText>
      </w:r>
      <w:r>
        <w:rPr>
          <w:rFonts w:hint="eastAsia"/>
          <w:highlight w:val="none"/>
          <w:lang w:val="en-US" w:eastAsia="zh-CN"/>
        </w:rPr>
        <w:fldChar w:fldCharType="separate"/>
      </w:r>
      <w:r>
        <w:rPr>
          <w:rFonts w:hint="eastAsia"/>
          <w:highlight w:val="none"/>
          <w:lang w:val="en-US" w:eastAsia="zh-CN"/>
        </w:rPr>
        <w:t>行政法</w:t>
      </w:r>
      <w:r>
        <w:rPr>
          <w:rFonts w:hint="eastAsia"/>
          <w:highlight w:val="none"/>
          <w:lang w:val="en-US" w:eastAsia="zh-CN"/>
        </w:rPr>
        <w:fldChar w:fldCharType="end"/>
      </w:r>
      <w:r>
        <w:rPr>
          <w:rFonts w:hint="eastAsia"/>
          <w:highlight w:val="none"/>
          <w:lang w:val="en-US" w:eastAsia="zh-CN"/>
        </w:rPr>
        <w:t>规规定的其他条件；</w:t>
      </w:r>
    </w:p>
    <w:p>
      <w:pPr>
        <w:pStyle w:val="40"/>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highlight w:val="none"/>
          <w:lang w:val="zh-CN"/>
        </w:rPr>
      </w:pPr>
      <w:r>
        <w:rPr>
          <w:rFonts w:hint="eastAsia" w:ascii="宋体" w:hAnsi="宋体" w:eastAsia="宋体"/>
          <w:highlight w:val="none"/>
          <w:lang w:val="en-US" w:eastAsia="zh-CN"/>
        </w:rPr>
        <w:t>(二)</w:t>
      </w:r>
      <w:r>
        <w:rPr>
          <w:rFonts w:hint="eastAsia"/>
          <w:highlight w:val="none"/>
          <w:lang w:val="zh-CN"/>
        </w:rPr>
        <w:t>落实政府采购政策需满足的资格要求：</w:t>
      </w:r>
    </w:p>
    <w:p>
      <w:pPr>
        <w:pStyle w:val="40"/>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eastAsia="宋体"/>
          <w:highlight w:val="none"/>
          <w:lang w:val="en-US" w:eastAsia="zh-CN"/>
        </w:rPr>
      </w:pPr>
      <w:r>
        <w:rPr>
          <w:rFonts w:hint="eastAsia"/>
          <w:highlight w:val="none"/>
          <w:lang w:val="en-US" w:eastAsia="zh-CN"/>
        </w:rPr>
        <w:t>本项目为专门面向中小企业采购的项目</w:t>
      </w:r>
      <w:r>
        <w:rPr>
          <w:rFonts w:hint="eastAsia"/>
          <w:highlight w:val="none"/>
          <w:lang w:val="en-US"/>
        </w:rPr>
        <w:t>,</w:t>
      </w:r>
      <w:r>
        <w:rPr>
          <w:rFonts w:hint="eastAsia"/>
          <w:highlight w:val="none"/>
          <w:lang w:val="en-US" w:eastAsia="zh-CN"/>
        </w:rPr>
        <w:t>投标人</w:t>
      </w:r>
      <w:r>
        <w:rPr>
          <w:rFonts w:hint="eastAsia"/>
          <w:highlight w:val="none"/>
          <w:lang w:val="en-US"/>
        </w:rPr>
        <w:t>应为中小微企业、监狱企业、残疾人福利性单位</w:t>
      </w:r>
      <w:r>
        <w:rPr>
          <w:rFonts w:hint="eastAsia"/>
          <w:highlight w:val="none"/>
          <w:lang w:val="en-US" w:eastAsia="zh-CN"/>
        </w:rPr>
        <w:t>。</w:t>
      </w:r>
    </w:p>
    <w:p>
      <w:pPr>
        <w:pStyle w:val="40"/>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ascii="宋体" w:hAnsi="宋体" w:eastAsia="宋体"/>
          <w:highlight w:val="none"/>
          <w:lang w:val="zh-CN" w:eastAsia="zh-CN"/>
        </w:rPr>
      </w:pPr>
      <w:r>
        <w:rPr>
          <w:rFonts w:hint="eastAsia"/>
          <w:highlight w:val="none"/>
          <w:lang w:val="en-US" w:eastAsia="zh-CN"/>
        </w:rPr>
        <w:t>(三)</w:t>
      </w:r>
      <w:r>
        <w:rPr>
          <w:rFonts w:hint="eastAsia" w:ascii="宋体" w:hAnsi="宋体" w:eastAsia="宋体"/>
          <w:highlight w:val="none"/>
          <w:lang w:val="zh-CN" w:eastAsia="zh-CN"/>
        </w:rPr>
        <w:t>本项目的特定资格要求：</w:t>
      </w:r>
    </w:p>
    <w:p>
      <w:pPr>
        <w:pStyle w:val="40"/>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ascii="宋体" w:hAnsi="宋体" w:eastAsia="宋体"/>
          <w:highlight w:val="none"/>
          <w:lang w:val="en-US" w:eastAsia="zh-CN"/>
        </w:rPr>
      </w:pPr>
      <w:r>
        <w:rPr>
          <w:rFonts w:hint="eastAsia"/>
          <w:highlight w:val="none"/>
          <w:lang w:val="en-US" w:eastAsia="zh-CN"/>
        </w:rPr>
        <w:t>1、</w:t>
      </w:r>
      <w:r>
        <w:rPr>
          <w:rFonts w:hint="eastAsia" w:ascii="宋体" w:hAnsi="宋体" w:eastAsia="宋体"/>
          <w:highlight w:val="none"/>
          <w:lang w:val="en-US" w:eastAsia="zh-CN"/>
        </w:rPr>
        <w:t>投标人具有交通运输主管部门颁发的公路工程试验检测综合甲级资质，并取得了省级及以上技术监督部门颁发的计量认证证书。</w:t>
      </w:r>
    </w:p>
    <w:p>
      <w:pPr>
        <w:pStyle w:val="40"/>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ascii="宋体" w:hAnsi="宋体" w:eastAsia="宋体"/>
          <w:highlight w:val="none"/>
          <w:lang w:val="zh-CN" w:eastAsia="zh-CN"/>
        </w:rPr>
      </w:pPr>
      <w:r>
        <w:rPr>
          <w:rFonts w:hint="eastAsia"/>
          <w:highlight w:val="none"/>
          <w:lang w:val="en-US" w:eastAsia="zh-CN"/>
        </w:rPr>
        <w:t>2、</w:t>
      </w:r>
      <w:r>
        <w:rPr>
          <w:rFonts w:hint="eastAsia" w:ascii="宋体" w:hAnsi="宋体" w:eastAsia="宋体"/>
          <w:highlight w:val="none"/>
          <w:lang w:val="en-US" w:eastAsia="zh-CN"/>
        </w:rPr>
        <w:t>本项目不接受联合体投标</w:t>
      </w:r>
      <w:r>
        <w:rPr>
          <w:rFonts w:hint="eastAsia" w:ascii="宋体" w:hAnsi="宋体" w:eastAsia="宋体"/>
          <w:highlight w:val="none"/>
          <w:lang w:val="zh-CN" w:eastAsia="zh-CN"/>
        </w:rPr>
        <w:t>。</w:t>
      </w:r>
    </w:p>
    <w:p>
      <w:pPr>
        <w:pStyle w:val="40"/>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b/>
          <w:bCs/>
        </w:rPr>
      </w:pPr>
      <w:r>
        <w:rPr>
          <w:rFonts w:hint="eastAsia"/>
          <w:b/>
          <w:bCs/>
        </w:rPr>
        <w:t>禁止参加本次采购活动的供应商</w:t>
      </w:r>
    </w:p>
    <w:p>
      <w:pPr>
        <w:pStyle w:val="31"/>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lang w:val="en-US" w:eastAsia="zh-CN"/>
        </w:rPr>
      </w:pPr>
      <w:bookmarkStart w:id="19" w:name="PO_默认文件内容_4"/>
      <w:r>
        <w:rPr>
          <w:rFonts w:hint="eastAsia"/>
          <w:lang w:val="en-US" w:eastAsia="zh-CN"/>
        </w:rPr>
        <w:t>根据《关于在政府采购活动中查询及使用信用记录有关问题的通知》(财库〔2016〕125号)的要求，采购代理机构将通过“信用中国”网站(www.creditchina.gov.cn)、“中国政府采购网”网站(www.ccgp.gov.cn)等渠道查询供应商在投标文件递交截止日前的信用记录并保存信用记录结果网页截图，拒绝列入失信被执行人名单、重大税收违法案件当事人名单、政府采购严重违法失信行为记录名单中的供应商参加本项目的采购活动。</w:t>
      </w:r>
    </w:p>
    <w:bookmarkEnd w:id="19"/>
    <w:p>
      <w:pPr>
        <w:pStyle w:val="40"/>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b/>
          <w:bCs/>
        </w:rPr>
      </w:pPr>
      <w:r>
        <w:rPr>
          <w:rFonts w:hint="eastAsia"/>
          <w:b/>
          <w:bCs/>
        </w:rPr>
        <w:t>招标文件获取</w:t>
      </w:r>
    </w:p>
    <w:p>
      <w:pPr>
        <w:pStyle w:val="4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cs="宋体"/>
          <w:b/>
          <w:bCs/>
          <w:highlight w:val="none"/>
          <w:lang w:val="zh-CN" w:eastAsia="zh-CN"/>
        </w:rPr>
      </w:pPr>
      <w:r>
        <w:rPr>
          <w:rFonts w:hint="eastAsia" w:ascii="宋体" w:hAnsi="宋体" w:eastAsia="宋体" w:cs="宋体"/>
          <w:b w:val="0"/>
          <w:bCs w:val="0"/>
          <w:highlight w:val="none"/>
          <w:lang w:val="en-US" w:eastAsia="zh-CN"/>
        </w:rPr>
        <w:t>(一)</w:t>
      </w:r>
      <w:r>
        <w:rPr>
          <w:rFonts w:hint="eastAsia" w:ascii="宋体" w:hAnsi="宋体" w:eastAsia="宋体" w:cs="宋体"/>
          <w:b/>
          <w:bCs/>
          <w:highlight w:val="none"/>
          <w:lang w:val="zh-CN" w:eastAsia="zh-CN"/>
        </w:rPr>
        <w:t>招标文件获取时间：</w:t>
      </w:r>
      <w:r>
        <w:rPr>
          <w:rFonts w:hint="eastAsia" w:ascii="宋体" w:hAnsi="宋体" w:eastAsia="宋体" w:cs="宋体"/>
          <w:highlight w:val="none"/>
          <w:u w:val="none"/>
          <w:lang w:eastAsia="zh-CN"/>
        </w:rPr>
        <w:t>202</w:t>
      </w:r>
      <w:r>
        <w:rPr>
          <w:rFonts w:hint="eastAsia" w:ascii="宋体" w:hAnsi="宋体" w:eastAsia="宋体" w:cs="宋体"/>
          <w:highlight w:val="none"/>
          <w:u w:val="none"/>
          <w:lang w:val="en-US" w:eastAsia="zh-CN"/>
        </w:rPr>
        <w:t>1</w:t>
      </w:r>
      <w:r>
        <w:rPr>
          <w:rFonts w:hint="eastAsia" w:ascii="宋体" w:hAnsi="宋体" w:eastAsia="宋体" w:cs="宋体"/>
          <w:highlight w:val="none"/>
          <w:u w:val="none"/>
          <w:lang w:eastAsia="zh-CN"/>
        </w:rPr>
        <w:t>年</w:t>
      </w:r>
      <w:r>
        <w:rPr>
          <w:rFonts w:hint="eastAsia" w:cs="宋体"/>
          <w:highlight w:val="none"/>
          <w:u w:val="none"/>
          <w:lang w:val="en-US" w:eastAsia="zh-CN"/>
        </w:rPr>
        <w:t>7</w:t>
      </w:r>
      <w:r>
        <w:rPr>
          <w:rFonts w:hint="eastAsia" w:ascii="宋体" w:hAnsi="宋体" w:eastAsia="宋体" w:cs="宋体"/>
          <w:highlight w:val="none"/>
          <w:u w:val="none"/>
          <w:lang w:eastAsia="zh-CN"/>
        </w:rPr>
        <w:t>月</w:t>
      </w:r>
      <w:r>
        <w:rPr>
          <w:rFonts w:hint="eastAsia" w:cs="宋体"/>
          <w:highlight w:val="none"/>
          <w:u w:val="none"/>
          <w:lang w:val="en-US" w:eastAsia="zh-CN"/>
        </w:rPr>
        <w:t>23</w:t>
      </w:r>
      <w:r>
        <w:rPr>
          <w:rFonts w:hint="eastAsia" w:ascii="宋体" w:hAnsi="宋体" w:eastAsia="宋体" w:cs="宋体"/>
          <w:highlight w:val="none"/>
          <w:u w:val="none"/>
          <w:lang w:eastAsia="zh-CN"/>
        </w:rPr>
        <w:t>日至202</w:t>
      </w:r>
      <w:r>
        <w:rPr>
          <w:rFonts w:hint="eastAsia" w:ascii="宋体" w:hAnsi="宋体" w:eastAsia="宋体" w:cs="宋体"/>
          <w:highlight w:val="none"/>
          <w:u w:val="none"/>
          <w:lang w:val="en-US" w:eastAsia="zh-CN"/>
        </w:rPr>
        <w:t>1</w:t>
      </w:r>
      <w:r>
        <w:rPr>
          <w:rFonts w:hint="eastAsia" w:ascii="宋体" w:hAnsi="宋体" w:eastAsia="宋体" w:cs="宋体"/>
          <w:highlight w:val="none"/>
          <w:u w:val="none"/>
          <w:lang w:eastAsia="zh-CN"/>
        </w:rPr>
        <w:t>年</w:t>
      </w:r>
      <w:r>
        <w:rPr>
          <w:rFonts w:hint="eastAsia" w:cs="宋体"/>
          <w:highlight w:val="none"/>
          <w:u w:val="none"/>
          <w:lang w:val="en-US" w:eastAsia="zh-CN"/>
        </w:rPr>
        <w:t>7</w:t>
      </w:r>
      <w:r>
        <w:rPr>
          <w:rFonts w:hint="eastAsia" w:ascii="宋体" w:hAnsi="宋体" w:eastAsia="宋体" w:cs="宋体"/>
          <w:highlight w:val="none"/>
          <w:u w:val="none"/>
          <w:lang w:eastAsia="zh-CN"/>
        </w:rPr>
        <w:t>月</w:t>
      </w:r>
      <w:r>
        <w:rPr>
          <w:rFonts w:hint="eastAsia" w:cs="宋体"/>
          <w:highlight w:val="none"/>
          <w:u w:val="none"/>
          <w:lang w:val="en-US" w:eastAsia="zh-CN"/>
        </w:rPr>
        <w:t>29</w:t>
      </w:r>
      <w:r>
        <w:rPr>
          <w:rFonts w:hint="eastAsia" w:ascii="宋体" w:hAnsi="宋体" w:eastAsia="宋体" w:cs="宋体"/>
          <w:highlight w:val="none"/>
          <w:u w:val="none"/>
          <w:lang w:eastAsia="zh-CN"/>
        </w:rPr>
        <w:t>日(北京时间，法定节假日除外)</w:t>
      </w:r>
    </w:p>
    <w:p>
      <w:pPr>
        <w:pStyle w:val="4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cs="宋体"/>
          <w:b/>
          <w:bCs/>
          <w:highlight w:val="none"/>
          <w:lang w:val="zh-CN" w:eastAsia="zh-CN"/>
        </w:rPr>
      </w:pPr>
      <w:r>
        <w:rPr>
          <w:rFonts w:hint="eastAsia" w:ascii="宋体" w:hAnsi="宋体" w:eastAsia="宋体" w:cs="宋体"/>
          <w:b w:val="0"/>
          <w:bCs w:val="0"/>
          <w:highlight w:val="none"/>
          <w:lang w:val="en-US" w:eastAsia="zh-CN"/>
        </w:rPr>
        <w:t>(二)</w:t>
      </w:r>
      <w:r>
        <w:rPr>
          <w:rFonts w:hint="eastAsia" w:ascii="宋体" w:hAnsi="宋体" w:eastAsia="宋体" w:cs="宋体"/>
          <w:b/>
          <w:bCs/>
          <w:highlight w:val="none"/>
          <w:lang w:val="zh-CN" w:eastAsia="zh-CN"/>
        </w:rPr>
        <w:t>招标文件获取方式：投标人从“政府采购云平台”获取采购文件（网址：</w:t>
      </w:r>
      <w:r>
        <w:rPr>
          <w:rFonts w:hint="eastAsia" w:ascii="宋体" w:hAnsi="宋体" w:eastAsia="宋体" w:cs="宋体"/>
          <w:b/>
          <w:bCs/>
          <w:highlight w:val="none"/>
          <w:lang w:val="zh-CN" w:eastAsia="zh-CN"/>
        </w:rPr>
        <w:fldChar w:fldCharType="begin"/>
      </w:r>
      <w:r>
        <w:rPr>
          <w:rFonts w:hint="eastAsia" w:ascii="宋体" w:hAnsi="宋体" w:eastAsia="宋体" w:cs="宋体"/>
          <w:b/>
          <w:bCs/>
          <w:highlight w:val="none"/>
          <w:lang w:val="zh-CN" w:eastAsia="zh-CN"/>
        </w:rPr>
        <w:instrText xml:space="preserve"> HYPERLINK "https://www.zcygov.cn）项目采购—获取采购文件—申请获取采购文件。_x0005_" </w:instrText>
      </w:r>
      <w:r>
        <w:rPr>
          <w:rFonts w:hint="eastAsia" w:ascii="宋体" w:hAnsi="宋体" w:eastAsia="宋体" w:cs="宋体"/>
          <w:b/>
          <w:bCs/>
          <w:highlight w:val="none"/>
          <w:lang w:val="zh-CN" w:eastAsia="zh-CN"/>
        </w:rPr>
        <w:fldChar w:fldCharType="separate"/>
      </w:r>
      <w:r>
        <w:rPr>
          <w:rFonts w:hint="eastAsia" w:ascii="宋体" w:hAnsi="宋体" w:eastAsia="宋体" w:cs="宋体"/>
          <w:b/>
          <w:bCs/>
          <w:highlight w:val="none"/>
          <w:lang w:val="zh-CN" w:eastAsia="zh-CN"/>
        </w:rPr>
        <w:t>https://www.zcygov.cn）。登录</w:t>
      </w:r>
      <w:r>
        <w:rPr>
          <w:rFonts w:hint="eastAsia" w:cs="宋体"/>
          <w:b/>
          <w:bCs/>
          <w:highlight w:val="none"/>
          <w:lang w:val="zh-CN" w:eastAsia="zh-CN"/>
        </w:rPr>
        <w:t>“</w:t>
      </w:r>
      <w:r>
        <w:rPr>
          <w:rFonts w:hint="eastAsia" w:ascii="宋体" w:hAnsi="宋体" w:eastAsia="宋体" w:cs="宋体"/>
          <w:b/>
          <w:bCs/>
          <w:highlight w:val="none"/>
          <w:lang w:val="zh-CN" w:eastAsia="zh-CN"/>
        </w:rPr>
        <w:t>政府采购云平台</w:t>
      </w:r>
      <w:r>
        <w:rPr>
          <w:rFonts w:hint="eastAsia" w:cs="宋体"/>
          <w:b/>
          <w:bCs/>
          <w:highlight w:val="none"/>
          <w:lang w:val="zh-CN" w:eastAsia="zh-CN"/>
        </w:rPr>
        <w:t>”</w:t>
      </w:r>
      <w:r>
        <w:rPr>
          <w:rFonts w:hint="eastAsia" w:ascii="宋体" w:hAnsi="宋体" w:eastAsia="宋体" w:cs="宋体"/>
          <w:b/>
          <w:bCs/>
          <w:highlight w:val="none"/>
          <w:lang w:val="zh-CN" w:eastAsia="zh-CN"/>
        </w:rPr>
        <w:t>—项目采购—获取采购文件—申请获取采购文件</w:t>
      </w:r>
      <w:r>
        <w:rPr>
          <w:rFonts w:hint="eastAsia" w:ascii="宋体" w:hAnsi="宋体" w:eastAsia="宋体" w:cs="宋体"/>
          <w:b/>
          <w:bCs/>
          <w:highlight w:val="none"/>
          <w:lang w:val="zh-CN" w:eastAsia="zh-CN"/>
        </w:rPr>
        <w:fldChar w:fldCharType="end"/>
      </w:r>
      <w:r>
        <w:rPr>
          <w:rFonts w:hint="eastAsia" w:ascii="宋体" w:hAnsi="宋体" w:eastAsia="宋体" w:cs="宋体"/>
          <w:b/>
          <w:bCs/>
          <w:highlight w:val="none"/>
          <w:lang w:val="zh-CN" w:eastAsia="zh-CN"/>
        </w:rPr>
        <w:t>。</w:t>
      </w:r>
    </w:p>
    <w:p>
      <w:pPr>
        <w:pStyle w:val="40"/>
        <w:keepNext w:val="0"/>
        <w:keepLines w:val="0"/>
        <w:pageBreakBefore w:val="0"/>
        <w:widowControl w:val="0"/>
        <w:kinsoku/>
        <w:wordWrap w:val="0"/>
        <w:overflowPunct/>
        <w:topLinePunct/>
        <w:autoSpaceDE/>
        <w:autoSpaceDN/>
        <w:bidi w:val="0"/>
        <w:adjustRightInd w:val="0"/>
        <w:snapToGrid w:val="0"/>
        <w:spacing w:line="460" w:lineRule="exact"/>
        <w:ind w:firstLine="482" w:firstLineChars="200"/>
        <w:textAlignment w:val="auto"/>
        <w:rPr>
          <w:rFonts w:hint="eastAsia" w:ascii="宋体" w:hAnsi="宋体" w:eastAsia="宋体" w:cs="宋体"/>
          <w:b/>
          <w:bCs/>
          <w:highlight w:val="none"/>
          <w:lang w:val="zh-CN" w:eastAsia="zh-CN"/>
        </w:rPr>
      </w:pPr>
      <w:r>
        <w:rPr>
          <w:rFonts w:hint="eastAsia" w:ascii="宋体" w:hAnsi="宋体" w:eastAsia="宋体" w:cs="宋体"/>
          <w:b/>
          <w:bCs/>
          <w:highlight w:val="none"/>
          <w:lang w:val="zh-CN" w:eastAsia="zh-CN"/>
        </w:rPr>
        <w:t>提示：</w:t>
      </w:r>
    </w:p>
    <w:p>
      <w:pPr>
        <w:pStyle w:val="40"/>
        <w:keepNext w:val="0"/>
        <w:keepLines w:val="0"/>
        <w:pageBreakBefore w:val="0"/>
        <w:widowControl w:val="0"/>
        <w:kinsoku/>
        <w:wordWrap w:val="0"/>
        <w:overflowPunct/>
        <w:topLinePunct/>
        <w:autoSpaceDE/>
        <w:autoSpaceDN/>
        <w:bidi w:val="0"/>
        <w:adjustRightInd w:val="0"/>
        <w:snapToGrid w:val="0"/>
        <w:spacing w:line="460" w:lineRule="exact"/>
        <w:ind w:firstLine="482" w:firstLineChars="200"/>
        <w:textAlignment w:val="auto"/>
        <w:rPr>
          <w:rFonts w:hint="eastAsia" w:ascii="宋体" w:hAnsi="宋体" w:eastAsia="宋体" w:cs="宋体"/>
          <w:b/>
          <w:bCs/>
          <w:highlight w:val="none"/>
          <w:lang w:val="zh-CN" w:eastAsia="zh-CN"/>
        </w:rPr>
      </w:pPr>
      <w:r>
        <w:rPr>
          <w:rFonts w:hint="eastAsia" w:ascii="宋体" w:hAnsi="宋体" w:eastAsia="宋体" w:cs="宋体"/>
          <w:b/>
          <w:bCs/>
          <w:highlight w:val="none"/>
          <w:lang w:val="zh-CN" w:eastAsia="zh-CN"/>
        </w:rPr>
        <w:t>（1）本项目招标文件免费获取</w:t>
      </w:r>
      <w:r>
        <w:rPr>
          <w:rFonts w:hint="eastAsia" w:cs="宋体"/>
          <w:b/>
          <w:bCs/>
          <w:highlight w:val="none"/>
          <w:lang w:val="zh-CN" w:eastAsia="zh-CN"/>
        </w:rPr>
        <w:t>，</w:t>
      </w:r>
      <w:r>
        <w:rPr>
          <w:rFonts w:hint="eastAsia" w:ascii="宋体" w:hAnsi="宋体" w:eastAsia="宋体" w:cs="宋体"/>
          <w:b/>
          <w:bCs/>
          <w:highlight w:val="none"/>
        </w:rPr>
        <w:t>投标资格</w:t>
      </w:r>
      <w:r>
        <w:rPr>
          <w:rFonts w:hint="eastAsia" w:ascii="宋体" w:hAnsi="宋体" w:eastAsia="宋体" w:cs="宋体"/>
          <w:b/>
          <w:bCs/>
          <w:highlight w:val="none"/>
          <w:lang w:eastAsia="zh-CN"/>
        </w:rPr>
        <w:t>不得</w:t>
      </w:r>
      <w:r>
        <w:rPr>
          <w:rFonts w:hint="eastAsia" w:ascii="宋体" w:hAnsi="宋体" w:eastAsia="宋体" w:cs="宋体"/>
          <w:b/>
          <w:bCs/>
          <w:highlight w:val="none"/>
        </w:rPr>
        <w:t>转让</w:t>
      </w:r>
      <w:r>
        <w:rPr>
          <w:rFonts w:hint="eastAsia" w:ascii="宋体" w:hAnsi="宋体" w:eastAsia="宋体" w:cs="宋体"/>
          <w:b/>
          <w:bCs/>
          <w:highlight w:val="none"/>
          <w:lang w:val="zh-CN" w:eastAsia="zh-CN"/>
        </w:rPr>
        <w:t>。</w:t>
      </w:r>
    </w:p>
    <w:p>
      <w:pPr>
        <w:pStyle w:val="40"/>
        <w:keepNext w:val="0"/>
        <w:keepLines w:val="0"/>
        <w:pageBreakBefore w:val="0"/>
        <w:widowControl w:val="0"/>
        <w:kinsoku/>
        <w:wordWrap w:val="0"/>
        <w:overflowPunct/>
        <w:topLinePunct/>
        <w:autoSpaceDE/>
        <w:autoSpaceDN/>
        <w:bidi w:val="0"/>
        <w:adjustRightInd w:val="0"/>
        <w:snapToGrid w:val="0"/>
        <w:spacing w:line="460" w:lineRule="exact"/>
        <w:ind w:firstLine="482" w:firstLineChars="200"/>
        <w:textAlignment w:val="auto"/>
        <w:rPr>
          <w:rFonts w:hint="eastAsia" w:ascii="宋体" w:hAnsi="宋体" w:eastAsia="宋体" w:cs="宋体"/>
          <w:b/>
          <w:bCs/>
          <w:highlight w:val="none"/>
          <w:lang w:val="zh-CN" w:eastAsia="zh-CN"/>
        </w:rPr>
      </w:pPr>
      <w:r>
        <w:rPr>
          <w:rFonts w:hint="eastAsia" w:ascii="宋体" w:hAnsi="宋体" w:eastAsia="宋体" w:cs="宋体"/>
          <w:b/>
          <w:bCs/>
          <w:highlight w:val="none"/>
          <w:lang w:val="zh-CN" w:eastAsia="zh-CN"/>
        </w:rPr>
        <w:t>（2）投标人只有在“政府采购云平台”完成获取招标文件申请并下载招标文件后才视作依法参与本项目。如未在“政府采购云平台”内完成相关流程，引起的投标无效责任自负。</w:t>
      </w:r>
    </w:p>
    <w:p>
      <w:pPr>
        <w:pStyle w:val="40"/>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highlight w:val="none"/>
        </w:rPr>
      </w:pPr>
      <w:r>
        <w:rPr>
          <w:rFonts w:hint="eastAsia" w:ascii="宋体" w:hAnsi="宋体" w:eastAsia="宋体" w:cs="宋体"/>
          <w:b/>
          <w:bCs/>
          <w:highlight w:val="none"/>
          <w:lang w:val="zh-CN" w:eastAsia="zh-CN"/>
        </w:rPr>
        <w:t>（3）本项目为电子招标投标项目，投标人参与本项目全过程中凡涉及系统操作请详见《供应商政府采购项目电子交易操作指南》（操作指南以</w:t>
      </w:r>
      <w:r>
        <w:rPr>
          <w:rFonts w:hint="eastAsia" w:cs="宋体"/>
          <w:b/>
          <w:bCs/>
          <w:highlight w:val="none"/>
          <w:lang w:val="zh-CN" w:eastAsia="zh-CN"/>
        </w:rPr>
        <w:t>“</w:t>
      </w:r>
      <w:r>
        <w:rPr>
          <w:rFonts w:hint="eastAsia" w:ascii="宋体" w:hAnsi="宋体" w:eastAsia="宋体" w:cs="宋体"/>
          <w:b/>
          <w:bCs/>
          <w:highlight w:val="none"/>
          <w:lang w:val="zh-CN" w:eastAsia="zh-CN"/>
        </w:rPr>
        <w:t>政府采购云平台</w:t>
      </w:r>
      <w:r>
        <w:rPr>
          <w:rFonts w:hint="eastAsia" w:cs="宋体"/>
          <w:b/>
          <w:bCs/>
          <w:highlight w:val="none"/>
          <w:lang w:val="zh-CN" w:eastAsia="zh-CN"/>
        </w:rPr>
        <w:t>”</w:t>
      </w:r>
      <w:r>
        <w:rPr>
          <w:rFonts w:hint="eastAsia" w:ascii="宋体" w:hAnsi="宋体" w:eastAsia="宋体" w:cs="宋体"/>
          <w:b/>
          <w:bCs/>
          <w:highlight w:val="none"/>
          <w:lang w:val="zh-CN" w:eastAsia="zh-CN"/>
        </w:rPr>
        <w:t>网站发布为准，获取方式详见附件</w:t>
      </w:r>
      <w:r>
        <w:rPr>
          <w:rFonts w:hint="eastAsia" w:ascii="宋体" w:hAnsi="宋体" w:eastAsia="宋体" w:cs="宋体"/>
          <w:b/>
          <w:bCs/>
          <w:highlight w:val="none"/>
          <w:lang w:val="en-US" w:eastAsia="zh-CN"/>
        </w:rPr>
        <w:t>一：</w:t>
      </w:r>
      <w:r>
        <w:rPr>
          <w:rFonts w:hint="eastAsia" w:ascii="宋体" w:hAnsi="宋体" w:eastAsia="宋体" w:cs="宋体"/>
          <w:b/>
          <w:bCs/>
          <w:highlight w:val="none"/>
          <w:lang w:val="zh-CN" w:eastAsia="zh-CN"/>
        </w:rPr>
        <w:t>政府采购云平台使用介绍）</w:t>
      </w:r>
      <w:r>
        <w:rPr>
          <w:rFonts w:hint="eastAsia"/>
          <w:highlight w:val="none"/>
        </w:rPr>
        <w:t>。</w:t>
      </w:r>
    </w:p>
    <w:p>
      <w:pPr>
        <w:pStyle w:val="40"/>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ascii="宋体" w:hAnsi="宋体" w:eastAsia="宋体" w:cs="宋体"/>
          <w:b/>
          <w:bCs/>
          <w:highlight w:val="none"/>
        </w:rPr>
      </w:pPr>
      <w:r>
        <w:rPr>
          <w:rFonts w:hint="eastAsia" w:cs="宋体"/>
          <w:b/>
          <w:bCs/>
          <w:highlight w:val="none"/>
          <w:lang w:val="en-US" w:eastAsia="zh-CN"/>
        </w:rPr>
        <w:t>提交</w:t>
      </w:r>
      <w:r>
        <w:rPr>
          <w:rFonts w:hint="eastAsia" w:ascii="宋体" w:hAnsi="宋体" w:eastAsia="宋体" w:cs="宋体"/>
          <w:b/>
          <w:bCs/>
          <w:highlight w:val="none"/>
        </w:rPr>
        <w:t>投标</w:t>
      </w:r>
      <w:r>
        <w:rPr>
          <w:rFonts w:hint="eastAsia" w:cs="宋体"/>
          <w:b/>
          <w:bCs/>
          <w:highlight w:val="none"/>
          <w:lang w:val="en-US" w:eastAsia="zh-CN"/>
        </w:rPr>
        <w:t>文件</w:t>
      </w:r>
      <w:r>
        <w:rPr>
          <w:rFonts w:hint="eastAsia" w:ascii="宋体" w:hAnsi="宋体" w:eastAsia="宋体" w:cs="宋体"/>
          <w:b/>
          <w:bCs/>
          <w:highlight w:val="none"/>
        </w:rPr>
        <w:t>截止时间及开标时间：</w:t>
      </w:r>
      <w:r>
        <w:rPr>
          <w:rFonts w:hint="eastAsia" w:ascii="宋体" w:hAnsi="宋体" w:eastAsia="宋体" w:cs="宋体"/>
          <w:b w:val="0"/>
          <w:bCs w:val="0"/>
          <w:highlight w:val="none"/>
        </w:rPr>
        <w:t>20</w:t>
      </w:r>
      <w:r>
        <w:rPr>
          <w:rFonts w:hint="eastAsia" w:ascii="宋体" w:hAnsi="宋体" w:eastAsia="宋体" w:cs="宋体"/>
          <w:b w:val="0"/>
          <w:bCs w:val="0"/>
          <w:highlight w:val="none"/>
          <w:lang w:val="en-US" w:eastAsia="zh-CN"/>
        </w:rPr>
        <w:t>21</w:t>
      </w:r>
      <w:r>
        <w:rPr>
          <w:rFonts w:hint="eastAsia" w:ascii="宋体" w:hAnsi="宋体" w:eastAsia="宋体" w:cs="宋体"/>
          <w:b w:val="0"/>
          <w:bCs w:val="0"/>
          <w:highlight w:val="none"/>
        </w:rPr>
        <w:t>年</w:t>
      </w:r>
      <w:r>
        <w:rPr>
          <w:rFonts w:hint="eastAsia" w:cs="宋体"/>
          <w:b w:val="0"/>
          <w:bCs w:val="0"/>
          <w:highlight w:val="none"/>
          <w:lang w:val="en-US" w:eastAsia="zh-CN"/>
        </w:rPr>
        <w:t>8</w:t>
      </w:r>
      <w:r>
        <w:rPr>
          <w:rFonts w:hint="eastAsia" w:ascii="宋体" w:hAnsi="宋体" w:eastAsia="宋体" w:cs="宋体"/>
          <w:b w:val="0"/>
          <w:bCs w:val="0"/>
          <w:highlight w:val="none"/>
        </w:rPr>
        <w:t>月</w:t>
      </w:r>
      <w:r>
        <w:rPr>
          <w:rFonts w:hint="eastAsia" w:cs="宋体"/>
          <w:b w:val="0"/>
          <w:bCs w:val="0"/>
          <w:highlight w:val="none"/>
          <w:lang w:val="en-US" w:eastAsia="zh-CN"/>
        </w:rPr>
        <w:t>13</w:t>
      </w:r>
      <w:r>
        <w:rPr>
          <w:rFonts w:hint="eastAsia" w:ascii="宋体" w:hAnsi="宋体" w:eastAsia="宋体" w:cs="宋体"/>
          <w:b w:val="0"/>
          <w:bCs w:val="0"/>
          <w:highlight w:val="none"/>
        </w:rPr>
        <w:t>日</w:t>
      </w:r>
      <w:r>
        <w:rPr>
          <w:rFonts w:hint="eastAsia" w:cs="宋体"/>
          <w:b w:val="0"/>
          <w:bCs w:val="0"/>
          <w:highlight w:val="none"/>
          <w:lang w:val="en-US" w:eastAsia="zh-CN"/>
        </w:rPr>
        <w:t>9</w:t>
      </w:r>
      <w:r>
        <w:rPr>
          <w:rFonts w:hint="eastAsia" w:ascii="宋体" w:hAnsi="宋体" w:eastAsia="宋体" w:cs="宋体"/>
          <w:b w:val="0"/>
          <w:bCs w:val="0"/>
          <w:highlight w:val="none"/>
        </w:rPr>
        <w:t>时</w:t>
      </w:r>
      <w:r>
        <w:rPr>
          <w:rFonts w:hint="eastAsia" w:cs="宋体"/>
          <w:b w:val="0"/>
          <w:bCs w:val="0"/>
          <w:highlight w:val="none"/>
          <w:lang w:val="en-US" w:eastAsia="zh-CN"/>
        </w:rPr>
        <w:t>3</w:t>
      </w:r>
      <w:r>
        <w:rPr>
          <w:rFonts w:hint="eastAsia" w:ascii="宋体" w:hAnsi="宋体" w:eastAsia="宋体" w:cs="宋体"/>
          <w:b w:val="0"/>
          <w:bCs w:val="0"/>
          <w:highlight w:val="none"/>
        </w:rPr>
        <w:t>0分。</w:t>
      </w:r>
    </w:p>
    <w:p>
      <w:pPr>
        <w:pStyle w:val="40"/>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highlight w:val="none"/>
        </w:rPr>
      </w:pPr>
      <w:r>
        <w:rPr>
          <w:rFonts w:hint="eastAsia" w:ascii="宋体" w:hAnsi="宋体" w:eastAsia="宋体" w:cs="宋体"/>
          <w:b/>
          <w:bCs/>
          <w:highlight w:val="none"/>
        </w:rPr>
        <w:t>投标截止时间前，投标人应将加密的电子投标文件递交至“政府采购云平台”对应项目（包件）</w:t>
      </w:r>
      <w:r>
        <w:rPr>
          <w:rFonts w:hint="eastAsia"/>
          <w:highlight w:val="none"/>
        </w:rPr>
        <w:t>。</w:t>
      </w:r>
    </w:p>
    <w:p>
      <w:pPr>
        <w:pStyle w:val="40"/>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开标地点</w:t>
      </w:r>
    </w:p>
    <w:p>
      <w:pPr>
        <w:keepNext w:val="0"/>
        <w:keepLines w:val="0"/>
        <w:pageBreakBefore w:val="0"/>
        <w:widowControl w:val="0"/>
        <w:kinsoku/>
        <w:overflowPunct/>
        <w:autoSpaceDE/>
        <w:autoSpaceDN/>
        <w:bidi w:val="0"/>
        <w:adjustRightInd w:val="0"/>
        <w:snapToGrid w:val="0"/>
        <w:spacing w:after="50" w:line="420" w:lineRule="exact"/>
        <w:ind w:leftChars="0" w:firstLine="480" w:firstLineChars="200"/>
        <w:textAlignment w:val="auto"/>
        <w:rPr>
          <w:rFonts w:hint="eastAsia" w:ascii="宋体" w:hAnsi="宋体" w:eastAsia="宋体" w:cs="宋体"/>
          <w:snapToGrid w:val="0"/>
          <w:kern w:val="2"/>
          <w:sz w:val="24"/>
          <w:szCs w:val="24"/>
          <w:highlight w:val="none"/>
          <w:lang w:val="en-US" w:eastAsia="zh-CN" w:bidi="ar-SA"/>
        </w:rPr>
      </w:pPr>
      <w:r>
        <w:rPr>
          <w:rFonts w:hint="eastAsia" w:ascii="宋体" w:hAnsi="宋体" w:eastAsia="宋体" w:cs="宋体"/>
          <w:snapToGrid w:val="0"/>
          <w:kern w:val="2"/>
          <w:sz w:val="24"/>
          <w:szCs w:val="24"/>
          <w:highlight w:val="none"/>
          <w:lang w:val="en-US" w:eastAsia="zh-CN" w:bidi="ar-SA"/>
        </w:rPr>
        <w:t>(一)本项目为不见面开标项目。</w:t>
      </w:r>
    </w:p>
    <w:p>
      <w:pPr>
        <w:keepNext w:val="0"/>
        <w:keepLines w:val="0"/>
        <w:pageBreakBefore w:val="0"/>
        <w:widowControl w:val="0"/>
        <w:kinsoku/>
        <w:overflowPunct/>
        <w:autoSpaceDE/>
        <w:autoSpaceDN/>
        <w:bidi w:val="0"/>
        <w:adjustRightInd w:val="0"/>
        <w:snapToGrid w:val="0"/>
        <w:spacing w:after="50" w:line="420" w:lineRule="exact"/>
        <w:ind w:leftChars="0" w:firstLine="480" w:firstLineChars="200"/>
        <w:textAlignment w:val="auto"/>
        <w:rPr>
          <w:rFonts w:hint="eastAsia" w:ascii="宋体" w:hAnsi="宋体" w:eastAsia="宋体" w:cs="宋体"/>
          <w:snapToGrid w:val="0"/>
          <w:kern w:val="2"/>
          <w:sz w:val="24"/>
          <w:szCs w:val="24"/>
          <w:highlight w:val="none"/>
          <w:lang w:val="en-US" w:eastAsia="zh-CN" w:bidi="ar-SA"/>
        </w:rPr>
      </w:pPr>
      <w:r>
        <w:rPr>
          <w:rFonts w:hint="eastAsia" w:ascii="宋体" w:hAnsi="宋体" w:eastAsia="宋体" w:cs="宋体"/>
          <w:snapToGrid w:val="0"/>
          <w:kern w:val="2"/>
          <w:sz w:val="24"/>
          <w:szCs w:val="24"/>
          <w:highlight w:val="none"/>
          <w:lang w:val="en-US" w:eastAsia="zh-CN" w:bidi="ar-SA"/>
        </w:rPr>
        <w:t>(二)开标地点：政府采购云平台(https://www.zcygov.cn)</w:t>
      </w:r>
    </w:p>
    <w:p>
      <w:pPr>
        <w:pStyle w:val="40"/>
        <w:keepNext w:val="0"/>
        <w:keepLines w:val="0"/>
        <w:pageBreakBefore w:val="0"/>
        <w:widowControl w:val="0"/>
        <w:numPr>
          <w:ilvl w:val="0"/>
          <w:numId w:val="0"/>
        </w:numPr>
        <w:kinsoku/>
        <w:wordWrap w:val="0"/>
        <w:overflowPunct/>
        <w:topLinePunct/>
        <w:autoSpaceDE/>
        <w:autoSpaceDN/>
        <w:bidi w:val="0"/>
        <w:adjustRightInd w:val="0"/>
        <w:snapToGrid w:val="0"/>
        <w:spacing w:line="420" w:lineRule="exact"/>
        <w:ind w:leftChars="0" w:firstLine="480" w:firstLineChars="200"/>
        <w:textAlignment w:val="auto"/>
        <w:rPr>
          <w:rFonts w:hint="eastAsia"/>
          <w:b/>
          <w:bCs/>
        </w:rPr>
      </w:pPr>
      <w:r>
        <w:rPr>
          <w:rFonts w:hint="eastAsia" w:ascii="宋体" w:hAnsi="宋体" w:eastAsia="宋体" w:cs="宋体"/>
          <w:snapToGrid w:val="0"/>
          <w:kern w:val="2"/>
          <w:sz w:val="24"/>
          <w:szCs w:val="24"/>
          <w:highlight w:val="none"/>
          <w:lang w:val="en-US" w:eastAsia="zh-CN" w:bidi="ar-SA"/>
        </w:rPr>
        <w:t>(三)本项目只接受投标人加密并递交至“政府采购云平台”的投标文件</w:t>
      </w:r>
      <w:r>
        <w:rPr>
          <w:rFonts w:hint="eastAsia"/>
          <w:b w:val="0"/>
          <w:bCs w:val="0"/>
        </w:rPr>
        <w:t>。</w:t>
      </w:r>
    </w:p>
    <w:p>
      <w:pPr>
        <w:pStyle w:val="40"/>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0" w:firstLineChars="200"/>
        <w:textAlignment w:val="auto"/>
        <w:rPr>
          <w:rFonts w:hint="eastAsia"/>
          <w:b/>
          <w:bCs/>
          <w:lang w:eastAsia="zh-CN"/>
        </w:rPr>
      </w:pPr>
      <w:r>
        <w:rPr>
          <w:rFonts w:hint="eastAsia" w:ascii="宋体" w:hAnsi="宋体" w:eastAsia="宋体" w:cs="宋体"/>
          <w:b w:val="0"/>
          <w:bCs w:val="0"/>
          <w:lang w:eastAsia="zh-CN"/>
        </w:rPr>
        <w:t>本投标邀请在</w:t>
      </w:r>
      <w:r>
        <w:rPr>
          <w:rFonts w:hint="eastAsia" w:cs="宋体"/>
          <w:b w:val="0"/>
          <w:bCs w:val="0"/>
          <w:lang w:eastAsia="zh-CN"/>
        </w:rPr>
        <w:t>“</w:t>
      </w:r>
      <w:r>
        <w:rPr>
          <w:rFonts w:hint="eastAsia" w:ascii="宋体" w:hAnsi="宋体" w:eastAsia="宋体" w:cs="宋体"/>
          <w:b w:val="0"/>
          <w:bCs w:val="0"/>
          <w:lang w:eastAsia="zh-CN"/>
        </w:rPr>
        <w:t>四川政府采购网</w:t>
      </w:r>
      <w:r>
        <w:rPr>
          <w:rFonts w:hint="eastAsia" w:cs="宋体"/>
          <w:b w:val="0"/>
          <w:bCs w:val="0"/>
          <w:lang w:eastAsia="zh-CN"/>
        </w:rPr>
        <w:t>”</w:t>
      </w:r>
      <w:r>
        <w:rPr>
          <w:rFonts w:hint="eastAsia" w:ascii="宋体" w:hAnsi="宋体" w:eastAsia="宋体" w:cs="宋体"/>
          <w:b w:val="0"/>
          <w:bCs w:val="0"/>
          <w:lang w:eastAsia="zh-CN"/>
        </w:rPr>
        <w:t>上以公告形式发布</w:t>
      </w:r>
      <w:r>
        <w:rPr>
          <w:rFonts w:hint="eastAsia"/>
          <w:b w:val="0"/>
          <w:bCs w:val="0"/>
          <w:lang w:eastAsia="zh-CN"/>
        </w:rPr>
        <w:t>。</w:t>
      </w:r>
    </w:p>
    <w:p>
      <w:pPr>
        <w:pStyle w:val="40"/>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b/>
          <w:bCs/>
          <w:highlight w:val="none"/>
          <w:lang w:val="en-US" w:eastAsia="zh-CN"/>
        </w:rPr>
      </w:pPr>
      <w:r>
        <w:rPr>
          <w:rFonts w:hint="eastAsia"/>
          <w:b/>
          <w:bCs/>
          <w:highlight w:val="none"/>
          <w:lang w:val="en-US" w:eastAsia="zh-CN"/>
        </w:rPr>
        <w:t>供应商信用融资：</w:t>
      </w:r>
    </w:p>
    <w:p>
      <w:pPr>
        <w:pStyle w:val="44"/>
        <w:keepNext w:val="0"/>
        <w:keepLines w:val="0"/>
        <w:pageBreakBefore w:val="0"/>
        <w:widowControl w:val="0"/>
        <w:kinsoku/>
        <w:overflowPunct/>
        <w:autoSpaceDE/>
        <w:autoSpaceDN/>
        <w:bidi w:val="0"/>
        <w:adjustRightInd w:val="0"/>
        <w:snapToGrid w:val="0"/>
        <w:spacing w:line="420" w:lineRule="exact"/>
        <w:jc w:val="both"/>
        <w:textAlignment w:val="auto"/>
        <w:rPr>
          <w:rFonts w:hint="eastAsia"/>
          <w:highlight w:val="none"/>
        </w:rPr>
      </w:pPr>
      <w:r>
        <w:rPr>
          <w:rFonts w:hint="eastAsia"/>
          <w:highlight w:val="none"/>
        </w:rPr>
        <w:t>根据《四川省财政厅关于推进四川省政府采购供应商信用融资工作的通知》</w:t>
      </w:r>
      <w:r>
        <w:rPr>
          <w:rFonts w:hint="eastAsia"/>
          <w:highlight w:val="none"/>
          <w:lang w:eastAsia="zh-CN"/>
        </w:rPr>
        <w:t>(</w:t>
      </w:r>
      <w:r>
        <w:rPr>
          <w:rFonts w:hint="eastAsia"/>
          <w:highlight w:val="none"/>
        </w:rPr>
        <w:t>川财采</w:t>
      </w:r>
      <w:r>
        <w:rPr>
          <w:rFonts w:hint="eastAsia"/>
          <w:highlight w:val="none"/>
          <w:lang w:val="en-US" w:eastAsia="zh-CN"/>
        </w:rPr>
        <w:t>〔</w:t>
      </w:r>
      <w:r>
        <w:rPr>
          <w:rFonts w:hint="eastAsia"/>
          <w:highlight w:val="none"/>
        </w:rPr>
        <w:t>2018</w:t>
      </w:r>
      <w:r>
        <w:rPr>
          <w:rFonts w:hint="eastAsia"/>
          <w:highlight w:val="none"/>
          <w:lang w:val="en-US" w:eastAsia="zh-CN"/>
        </w:rPr>
        <w:t>〕</w:t>
      </w:r>
      <w:r>
        <w:rPr>
          <w:rFonts w:hint="eastAsia"/>
          <w:highlight w:val="none"/>
        </w:rPr>
        <w:t>123号</w:t>
      </w:r>
      <w:r>
        <w:rPr>
          <w:rFonts w:hint="eastAsia"/>
          <w:highlight w:val="none"/>
          <w:lang w:eastAsia="zh-CN"/>
        </w:rPr>
        <w:t>)</w:t>
      </w:r>
      <w:r>
        <w:rPr>
          <w:rFonts w:hint="eastAsia"/>
          <w:highlight w:val="none"/>
        </w:rPr>
        <w:t>文件要求，为助力解决政府采购中标、</w:t>
      </w:r>
      <w:r>
        <w:rPr>
          <w:rFonts w:hint="eastAsia"/>
          <w:highlight w:val="none"/>
          <w:lang w:eastAsia="zh-CN"/>
        </w:rPr>
        <w:t>中标人</w:t>
      </w:r>
      <w:r>
        <w:rPr>
          <w:rFonts w:hint="eastAsia"/>
          <w:highlight w:val="none"/>
        </w:rPr>
        <w:t>资金不足、融资难、融资贵的困难，促进供应商依法诚信参加政府采购活动，有融资需求的供应商可根据</w:t>
      </w:r>
      <w:r>
        <w:rPr>
          <w:rFonts w:hint="eastAsia"/>
          <w:highlight w:val="none"/>
          <w:lang w:eastAsia="zh-CN"/>
        </w:rPr>
        <w:t>“四川政府采购网”</w:t>
      </w:r>
      <w:r>
        <w:rPr>
          <w:rFonts w:hint="eastAsia"/>
          <w:highlight w:val="none"/>
        </w:rPr>
        <w:t>公示的银行及其“政采贷”产品，自行选择符合自身情况的“政采贷”银行及其产品，凭</w:t>
      </w:r>
      <w:r>
        <w:rPr>
          <w:rFonts w:hint="eastAsia"/>
          <w:highlight w:val="none"/>
          <w:lang w:eastAsia="zh-CN"/>
        </w:rPr>
        <w:t>中标通知书</w:t>
      </w:r>
      <w:r>
        <w:rPr>
          <w:rFonts w:hint="eastAsia"/>
          <w:highlight w:val="none"/>
        </w:rPr>
        <w:t>向银行提出贷款意向申请，并按照相关规定要求和贷款流程申请信用融资贷款。</w:t>
      </w:r>
    </w:p>
    <w:p>
      <w:pPr>
        <w:pStyle w:val="40"/>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b/>
          <w:bCs/>
        </w:rPr>
      </w:pPr>
      <w:r>
        <w:rPr>
          <w:rFonts w:hint="eastAsia"/>
          <w:b/>
          <w:bCs/>
        </w:rPr>
        <w:t>对本次招标提出询问，请按以下方式联系</w:t>
      </w:r>
      <w:r>
        <w:rPr>
          <w:rFonts w:hint="eastAsia"/>
          <w:b/>
          <w:bCs/>
          <w:lang w:eastAsia="zh-CN"/>
        </w:rPr>
        <w:t>：</w:t>
      </w:r>
    </w:p>
    <w:p>
      <w:pPr>
        <w:pStyle w:val="4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lang w:eastAsia="zh-CN"/>
        </w:rPr>
      </w:pPr>
      <w:r>
        <w:rPr>
          <w:rFonts w:hint="eastAsia"/>
          <w:highlight w:val="none"/>
          <w:lang w:eastAsia="zh-CN"/>
        </w:rPr>
        <w:t>(</w:t>
      </w:r>
      <w:r>
        <w:rPr>
          <w:rFonts w:hint="eastAsia"/>
          <w:highlight w:val="none"/>
          <w:lang w:val="en-US" w:eastAsia="zh-CN"/>
        </w:rPr>
        <w:t>一</w:t>
      </w:r>
      <w:r>
        <w:rPr>
          <w:rFonts w:hint="eastAsia"/>
          <w:highlight w:val="none"/>
          <w:lang w:eastAsia="zh-CN"/>
        </w:rPr>
        <w:t>)</w:t>
      </w:r>
      <w:r>
        <w:rPr>
          <w:rFonts w:hint="eastAsia"/>
          <w:highlight w:val="none"/>
          <w:lang w:val="en-US" w:eastAsia="zh-CN"/>
        </w:rPr>
        <w:t>采购人信息</w:t>
      </w:r>
    </w:p>
    <w:p>
      <w:pPr>
        <w:pStyle w:val="4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名    称</w:t>
      </w:r>
      <w:r>
        <w:rPr>
          <w:rFonts w:hint="eastAsia" w:ascii="宋体" w:hAnsi="宋体" w:eastAsia="宋体"/>
          <w:highlight w:val="none"/>
        </w:rPr>
        <w:t>：成都市交通运输综合行政执法总队</w:t>
      </w:r>
    </w:p>
    <w:p>
      <w:pPr>
        <w:pStyle w:val="4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highlight w:val="none"/>
        </w:rPr>
      </w:pPr>
      <w:r>
        <w:rPr>
          <w:rFonts w:hint="eastAsia" w:ascii="宋体" w:hAnsi="宋体" w:eastAsia="宋体"/>
          <w:highlight w:val="none"/>
        </w:rPr>
        <w:t>地</w:t>
      </w:r>
      <w:r>
        <w:rPr>
          <w:rFonts w:hint="eastAsia" w:ascii="宋体" w:hAnsi="宋体" w:eastAsia="宋体"/>
          <w:highlight w:val="none"/>
          <w:lang w:val="en-US" w:eastAsia="zh-CN"/>
        </w:rPr>
        <w:t xml:space="preserve">    </w:t>
      </w:r>
      <w:r>
        <w:rPr>
          <w:rFonts w:hint="eastAsia" w:ascii="宋体" w:hAnsi="宋体" w:eastAsia="宋体"/>
          <w:highlight w:val="none"/>
        </w:rPr>
        <w:t>址：四川省成都市武侯区交子北二路17号</w:t>
      </w:r>
    </w:p>
    <w:p>
      <w:pPr>
        <w:pStyle w:val="4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highlight w:val="none"/>
        </w:rPr>
      </w:pPr>
      <w:r>
        <w:rPr>
          <w:rFonts w:hint="eastAsia" w:ascii="宋体" w:hAnsi="宋体" w:eastAsia="宋体"/>
          <w:highlight w:val="none"/>
        </w:rPr>
        <w:t>联 系 人：</w:t>
      </w:r>
      <w:r>
        <w:rPr>
          <w:rFonts w:hint="eastAsia"/>
          <w:highlight w:val="none"/>
          <w:lang w:val="en-US" w:eastAsia="zh-CN"/>
        </w:rPr>
        <w:t>杨</w:t>
      </w:r>
      <w:r>
        <w:rPr>
          <w:rFonts w:hint="eastAsia" w:ascii="宋体" w:hAnsi="宋体" w:eastAsia="宋体"/>
          <w:highlight w:val="none"/>
          <w:lang w:val="en-US" w:eastAsia="zh-CN"/>
        </w:rPr>
        <w:t xml:space="preserve">老师 </w:t>
      </w:r>
    </w:p>
    <w:p>
      <w:pPr>
        <w:pStyle w:val="4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default" w:ascii="宋体" w:hAnsi="宋体" w:eastAsia="宋体"/>
          <w:highlight w:val="none"/>
          <w:lang w:val="en-US" w:eastAsia="zh-CN"/>
        </w:rPr>
      </w:pPr>
      <w:r>
        <w:rPr>
          <w:rFonts w:hint="eastAsia" w:ascii="宋体" w:hAnsi="宋体" w:eastAsia="宋体"/>
          <w:highlight w:val="none"/>
        </w:rPr>
        <w:t>联系</w:t>
      </w:r>
      <w:r>
        <w:rPr>
          <w:rFonts w:hint="eastAsia" w:ascii="宋体" w:hAnsi="宋体" w:eastAsia="宋体"/>
          <w:highlight w:val="none"/>
          <w:lang w:val="en-US" w:eastAsia="zh-CN"/>
        </w:rPr>
        <w:t>方式</w:t>
      </w:r>
      <w:r>
        <w:rPr>
          <w:rFonts w:hint="eastAsia" w:ascii="宋体" w:hAnsi="宋体" w:eastAsia="宋体"/>
          <w:highlight w:val="none"/>
        </w:rPr>
        <w:t>：</w:t>
      </w:r>
      <w:r>
        <w:rPr>
          <w:rFonts w:hint="eastAsia"/>
          <w:highlight w:val="none"/>
          <w:lang w:val="en-US" w:eastAsia="zh-CN"/>
        </w:rPr>
        <w:t>028-</w:t>
      </w:r>
      <w:r>
        <w:rPr>
          <w:rFonts w:hint="eastAsia" w:ascii="宋体" w:hAnsi="宋体" w:eastAsia="宋体"/>
          <w:highlight w:val="none"/>
        </w:rPr>
        <w:t>61887475</w:t>
      </w:r>
    </w:p>
    <w:p>
      <w:pPr>
        <w:pStyle w:val="4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default" w:eastAsia="宋体"/>
          <w:highlight w:val="none"/>
          <w:lang w:val="en-US" w:eastAsia="zh-CN"/>
        </w:rPr>
      </w:pPr>
      <w:r>
        <w:rPr>
          <w:rFonts w:hint="eastAsia"/>
          <w:highlight w:val="none"/>
          <w:lang w:eastAsia="zh-CN"/>
        </w:rPr>
        <w:t>(</w:t>
      </w:r>
      <w:r>
        <w:rPr>
          <w:rFonts w:hint="eastAsia"/>
          <w:highlight w:val="none"/>
          <w:lang w:val="en-US" w:eastAsia="zh-CN"/>
        </w:rPr>
        <w:t>二</w:t>
      </w:r>
      <w:r>
        <w:rPr>
          <w:rFonts w:hint="eastAsia"/>
          <w:highlight w:val="none"/>
          <w:lang w:eastAsia="zh-CN"/>
        </w:rPr>
        <w:t>)</w:t>
      </w:r>
      <w:r>
        <w:rPr>
          <w:rFonts w:hint="eastAsia"/>
          <w:highlight w:val="none"/>
          <w:lang w:val="en-US" w:eastAsia="zh-CN"/>
        </w:rPr>
        <w:t>采购代理机构信息</w:t>
      </w:r>
    </w:p>
    <w:p>
      <w:pPr>
        <w:pStyle w:val="4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rPr>
      </w:pPr>
      <w:r>
        <w:rPr>
          <w:rFonts w:hint="eastAsia"/>
          <w:highlight w:val="none"/>
          <w:lang w:val="en-US" w:eastAsia="zh-CN"/>
        </w:rPr>
        <w:t>名    称</w:t>
      </w:r>
      <w:r>
        <w:rPr>
          <w:rFonts w:hint="eastAsia"/>
          <w:highlight w:val="none"/>
        </w:rPr>
        <w:t>：四川乾新招投标代理有限公司</w:t>
      </w:r>
    </w:p>
    <w:p>
      <w:pPr>
        <w:pStyle w:val="4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rPr>
      </w:pPr>
      <w:r>
        <w:rPr>
          <w:rFonts w:hint="eastAsia"/>
          <w:highlight w:val="none"/>
        </w:rPr>
        <w:t>地    址：</w:t>
      </w:r>
      <w:r>
        <w:rPr>
          <w:rFonts w:hint="eastAsia"/>
          <w:highlight w:val="none"/>
          <w:lang w:val="zh-CN"/>
        </w:rPr>
        <w:t>成都市高新区吉庆三路333号蜀都中心二期一号楼一单元401号</w:t>
      </w:r>
    </w:p>
    <w:p>
      <w:pPr>
        <w:pStyle w:val="4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rPr>
      </w:pPr>
      <w:r>
        <w:rPr>
          <w:rFonts w:hint="eastAsia"/>
          <w:highlight w:val="none"/>
        </w:rPr>
        <w:t>联</w:t>
      </w:r>
      <w:r>
        <w:rPr>
          <w:rFonts w:hint="eastAsia"/>
          <w:highlight w:val="none"/>
          <w:lang w:val="en-US" w:eastAsia="zh-CN"/>
        </w:rPr>
        <w:t xml:space="preserve"> </w:t>
      </w:r>
      <w:r>
        <w:rPr>
          <w:rFonts w:hint="eastAsia"/>
          <w:highlight w:val="none"/>
        </w:rPr>
        <w:t>系</w:t>
      </w:r>
      <w:r>
        <w:rPr>
          <w:rFonts w:hint="eastAsia"/>
          <w:highlight w:val="none"/>
          <w:lang w:val="en-US" w:eastAsia="zh-CN"/>
        </w:rPr>
        <w:t xml:space="preserve"> </w:t>
      </w:r>
      <w:r>
        <w:rPr>
          <w:rFonts w:hint="eastAsia"/>
          <w:highlight w:val="none"/>
        </w:rPr>
        <w:t>人：</w:t>
      </w:r>
      <w:r>
        <w:rPr>
          <w:rFonts w:hint="eastAsia"/>
          <w:highlight w:val="none"/>
          <w:lang w:val="en-US" w:eastAsia="zh-CN"/>
        </w:rPr>
        <w:t xml:space="preserve">郭巧樾 </w:t>
      </w:r>
    </w:p>
    <w:p>
      <w:pPr>
        <w:pStyle w:val="4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default"/>
          <w:highlight w:val="none"/>
          <w:lang w:val="en-US" w:eastAsia="zh-CN"/>
        </w:rPr>
      </w:pPr>
      <w:r>
        <w:rPr>
          <w:rFonts w:hint="eastAsia"/>
          <w:highlight w:val="none"/>
          <w:lang w:val="zh-CN"/>
        </w:rPr>
        <w:t>联系电话：028-61375575、62600820、62630990转</w:t>
      </w:r>
      <w:r>
        <w:rPr>
          <w:rFonts w:hint="eastAsia"/>
          <w:highlight w:val="none"/>
          <w:lang w:val="en-US" w:eastAsia="zh-CN"/>
        </w:rPr>
        <w:t>682</w:t>
      </w:r>
    </w:p>
    <w:p>
      <w:pPr>
        <w:pStyle w:val="4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lang w:val="zh-CN"/>
        </w:rPr>
      </w:pPr>
      <w:r>
        <w:rPr>
          <w:rFonts w:hint="eastAsia"/>
          <w:highlight w:val="none"/>
          <w:lang w:val="zh-CN"/>
        </w:rPr>
        <w:t>传    真：</w:t>
      </w:r>
      <w:r>
        <w:rPr>
          <w:rFonts w:hint="eastAsia"/>
          <w:highlight w:val="none"/>
          <w:lang w:val="en-US" w:eastAsia="zh-CN"/>
        </w:rPr>
        <w:t>028-</w:t>
      </w:r>
      <w:r>
        <w:rPr>
          <w:rFonts w:hint="eastAsia"/>
          <w:highlight w:val="none"/>
          <w:lang w:val="zh-CN"/>
        </w:rPr>
        <w:t>83381</w:t>
      </w:r>
      <w:r>
        <w:rPr>
          <w:rFonts w:hint="eastAsia"/>
          <w:highlight w:val="none"/>
          <w:lang w:val="en-US" w:eastAsia="zh-CN"/>
        </w:rPr>
        <w:t>268</w:t>
      </w:r>
    </w:p>
    <w:p>
      <w:pPr>
        <w:pStyle w:val="4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lang w:val="zh-CN"/>
        </w:rPr>
      </w:pPr>
      <w:r>
        <w:rPr>
          <w:rFonts w:hint="eastAsia"/>
          <w:highlight w:val="none"/>
          <w:lang w:val="zh-CN"/>
        </w:rPr>
        <w:t>电子邮件：</w:t>
      </w:r>
      <w:r>
        <w:rPr>
          <w:rFonts w:hint="eastAsia"/>
          <w:highlight w:val="none"/>
          <w:lang w:val="zh-CN"/>
        </w:rPr>
        <w:fldChar w:fldCharType="begin"/>
      </w:r>
      <w:r>
        <w:rPr>
          <w:rFonts w:hint="eastAsia"/>
          <w:highlight w:val="none"/>
          <w:lang w:val="zh-CN"/>
        </w:rPr>
        <w:instrText xml:space="preserve"> HYPERLINK "mailto:scqxzb@163.com" </w:instrText>
      </w:r>
      <w:r>
        <w:rPr>
          <w:rFonts w:hint="eastAsia"/>
          <w:highlight w:val="none"/>
          <w:lang w:val="zh-CN"/>
        </w:rPr>
        <w:fldChar w:fldCharType="separate"/>
      </w:r>
      <w:r>
        <w:rPr>
          <w:rFonts w:hint="eastAsia"/>
          <w:highlight w:val="none"/>
          <w:lang w:val="zh-CN"/>
        </w:rPr>
        <w:t>scqxzb@163.com</w:t>
      </w:r>
      <w:r>
        <w:rPr>
          <w:rFonts w:hint="eastAsia"/>
          <w:highlight w:val="none"/>
          <w:lang w:val="zh-CN"/>
        </w:rPr>
        <w:fldChar w:fldCharType="end"/>
      </w:r>
    </w:p>
    <w:p>
      <w:pPr>
        <w:pStyle w:val="46"/>
        <w:bidi w:val="0"/>
        <w:rPr>
          <w:rFonts w:hint="eastAsia"/>
          <w:lang w:val="en-US" w:eastAsia="zh-CN"/>
        </w:rPr>
      </w:pPr>
      <w:r>
        <w:rPr>
          <w:rFonts w:hint="eastAsia"/>
        </w:rPr>
        <w:br w:type="page"/>
      </w:r>
      <w:bookmarkEnd w:id="14"/>
      <w:bookmarkEnd w:id="15"/>
      <w:bookmarkEnd w:id="16"/>
      <w:bookmarkEnd w:id="17"/>
      <w:bookmarkEnd w:id="18"/>
      <w:bookmarkStart w:id="20" w:name="_Toc2482"/>
      <w:bookmarkStart w:id="21" w:name="_Toc30721"/>
      <w:bookmarkStart w:id="22" w:name="_Toc25668"/>
      <w:bookmarkStart w:id="23" w:name="_Toc30888"/>
      <w:bookmarkStart w:id="24" w:name="_Toc7416"/>
      <w:r>
        <w:rPr>
          <w:rFonts w:hint="eastAsia"/>
          <w:lang w:val="en-US" w:eastAsia="zh-CN"/>
        </w:rPr>
        <w:t>投标人须知</w:t>
      </w:r>
      <w:bookmarkEnd w:id="20"/>
      <w:bookmarkEnd w:id="21"/>
      <w:bookmarkEnd w:id="22"/>
      <w:bookmarkEnd w:id="23"/>
      <w:bookmarkEnd w:id="24"/>
    </w:p>
    <w:p>
      <w:pPr>
        <w:pStyle w:val="41"/>
        <w:bidi w:val="0"/>
        <w:rPr>
          <w:rFonts w:hint="eastAsia"/>
        </w:rPr>
      </w:pPr>
      <w:bookmarkStart w:id="25" w:name="_Toc213496268"/>
      <w:bookmarkStart w:id="26" w:name="_Toc217446032"/>
      <w:bookmarkStart w:id="27" w:name="_Toc327196261"/>
      <w:bookmarkStart w:id="28" w:name="_Toc31215"/>
      <w:bookmarkStart w:id="29" w:name="_Toc28824"/>
      <w:bookmarkStart w:id="30" w:name="_Toc213397010"/>
      <w:bookmarkStart w:id="31" w:name="_Toc14035"/>
      <w:bookmarkStart w:id="32" w:name="_Toc6734"/>
      <w:bookmarkStart w:id="33" w:name="_Toc27056"/>
      <w:bookmarkStart w:id="34" w:name="_Toc213396946"/>
      <w:bookmarkStart w:id="35" w:name="_Toc213396760"/>
      <w:bookmarkStart w:id="36" w:name="_Toc189727030"/>
      <w:r>
        <w:rPr>
          <w:rFonts w:hint="eastAsia"/>
        </w:rPr>
        <w:t>投标人须知</w:t>
      </w:r>
      <w:r>
        <w:rPr>
          <w:rFonts w:hint="eastAsia"/>
          <w:lang w:val="en-US" w:eastAsia="zh-CN"/>
        </w:rPr>
        <w:t>前</w:t>
      </w:r>
      <w:r>
        <w:rPr>
          <w:rFonts w:hint="eastAsia"/>
        </w:rPr>
        <w:t>附表</w:t>
      </w:r>
      <w:bookmarkEnd w:id="25"/>
      <w:bookmarkEnd w:id="26"/>
      <w:bookmarkEnd w:id="27"/>
      <w:bookmarkEnd w:id="28"/>
      <w:bookmarkEnd w:id="29"/>
      <w:bookmarkEnd w:id="30"/>
      <w:bookmarkEnd w:id="31"/>
      <w:bookmarkEnd w:id="32"/>
      <w:bookmarkEnd w:id="33"/>
      <w:bookmarkEnd w:id="34"/>
      <w:bookmarkEnd w:id="35"/>
      <w:bookmarkEnd w:id="36"/>
    </w:p>
    <w:tbl>
      <w:tblPr>
        <w:tblStyle w:val="20"/>
        <w:tblW w:w="9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0"/>
        <w:gridCol w:w="1936"/>
        <w:gridCol w:w="3561"/>
        <w:gridCol w:w="3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 w:hRule="atLeast"/>
          <w:tblHeader/>
          <w:jc w:val="center"/>
        </w:trPr>
        <w:tc>
          <w:tcPr>
            <w:tcW w:w="570" w:type="dxa"/>
            <w:vAlign w:val="center"/>
          </w:tcPr>
          <w:p>
            <w:pPr>
              <w:pStyle w:val="43"/>
              <w:numPr>
                <w:ilvl w:val="0"/>
                <w:numId w:val="0"/>
              </w:numPr>
              <w:bidi w:val="0"/>
              <w:ind w:leftChars="0"/>
              <w:jc w:val="center"/>
              <w:rPr>
                <w:rFonts w:hint="eastAsia"/>
                <w:b/>
                <w:bCs/>
                <w:lang w:val="zh-CN"/>
              </w:rPr>
            </w:pPr>
            <w:bookmarkStart w:id="37" w:name="_Toc327196262"/>
            <w:r>
              <w:rPr>
                <w:rFonts w:hint="eastAsia"/>
                <w:b/>
                <w:bCs/>
                <w:lang w:val="zh-CN"/>
              </w:rPr>
              <w:t>序号</w:t>
            </w:r>
          </w:p>
        </w:tc>
        <w:tc>
          <w:tcPr>
            <w:tcW w:w="1936" w:type="dxa"/>
            <w:vAlign w:val="center"/>
          </w:tcPr>
          <w:p>
            <w:pPr>
              <w:pStyle w:val="43"/>
              <w:bidi w:val="0"/>
              <w:rPr>
                <w:rFonts w:hint="eastAsia"/>
                <w:b/>
                <w:bCs/>
                <w:lang w:val="zh-CN"/>
              </w:rPr>
            </w:pPr>
            <w:r>
              <w:rPr>
                <w:rFonts w:hint="eastAsia"/>
                <w:b/>
                <w:bCs/>
                <w:lang w:val="en-US" w:eastAsia="zh-CN"/>
              </w:rPr>
              <w:t>条款名称</w:t>
            </w:r>
            <w:r>
              <w:rPr>
                <w:rFonts w:hint="eastAsia"/>
                <w:b/>
                <w:bCs/>
                <w:lang w:val="zh-CN"/>
              </w:rPr>
              <w:t xml:space="preserve"> </w:t>
            </w:r>
          </w:p>
        </w:tc>
        <w:tc>
          <w:tcPr>
            <w:tcW w:w="7244" w:type="dxa"/>
            <w:gridSpan w:val="2"/>
            <w:vAlign w:val="center"/>
          </w:tcPr>
          <w:p>
            <w:pPr>
              <w:pStyle w:val="43"/>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b/>
                <w:bCs/>
                <w:lang w:val="zh-CN"/>
              </w:rPr>
            </w:pPr>
            <w:r>
              <w:rPr>
                <w:rFonts w:hint="eastAsia"/>
                <w:b/>
                <w:bCs/>
                <w:lang w:val="zh-CN"/>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43"/>
              <w:numPr>
                <w:ilvl w:val="0"/>
                <w:numId w:val="8"/>
              </w:numPr>
              <w:bidi w:val="0"/>
              <w:ind w:left="0" w:leftChars="0" w:firstLine="0" w:firstLineChars="0"/>
              <w:rPr>
                <w:rFonts w:hint="eastAsia"/>
                <w:lang w:val="zh-CN"/>
              </w:rPr>
            </w:pPr>
          </w:p>
        </w:tc>
        <w:tc>
          <w:tcPr>
            <w:tcW w:w="1936" w:type="dxa"/>
            <w:vAlign w:val="center"/>
          </w:tcPr>
          <w:p>
            <w:pPr>
              <w:pStyle w:val="43"/>
              <w:bidi w:val="0"/>
              <w:rPr>
                <w:rFonts w:hint="eastAsia"/>
                <w:lang w:val="en-US" w:eastAsia="zh-CN"/>
              </w:rPr>
            </w:pPr>
            <w:r>
              <w:rPr>
                <w:rFonts w:hint="eastAsia"/>
                <w:lang w:val="en-US" w:eastAsia="zh-CN"/>
              </w:rPr>
              <w:t>采购预算</w:t>
            </w:r>
          </w:p>
          <w:p>
            <w:pPr>
              <w:pStyle w:val="43"/>
              <w:bidi w:val="0"/>
              <w:rPr>
                <w:rFonts w:hint="eastAsia"/>
                <w:lang w:val="zh-CN"/>
              </w:rPr>
            </w:pPr>
            <w:r>
              <w:rPr>
                <w:rFonts w:hint="eastAsia"/>
                <w:b/>
                <w:bCs/>
                <w:lang w:val="en-US" w:eastAsia="zh-CN"/>
              </w:rPr>
              <w:t>(实质性要求)</w:t>
            </w:r>
          </w:p>
        </w:tc>
        <w:tc>
          <w:tcPr>
            <w:tcW w:w="7244" w:type="dxa"/>
            <w:gridSpan w:val="2"/>
            <w:vAlign w:val="center"/>
          </w:tcPr>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en-US" w:eastAsia="zh-CN"/>
              </w:rPr>
            </w:pPr>
            <w:r>
              <w:rPr>
                <w:rFonts w:hint="eastAsia"/>
                <w:lang w:val="zh-CN"/>
              </w:rPr>
              <w:t>本项目</w:t>
            </w:r>
            <w:r>
              <w:rPr>
                <w:rFonts w:hint="eastAsia"/>
              </w:rPr>
              <w:t>采购</w:t>
            </w:r>
            <w:r>
              <w:rPr>
                <w:rFonts w:hint="eastAsia"/>
                <w:highlight w:val="none"/>
                <w:lang w:val="zh-CN"/>
              </w:rPr>
              <w:t>预算为人民币</w:t>
            </w:r>
            <w:r>
              <w:rPr>
                <w:rFonts w:hint="eastAsia"/>
                <w:highlight w:val="none"/>
                <w:lang w:val="zh-CN" w:eastAsia="zh-CN"/>
              </w:rPr>
              <w:t>186.75</w:t>
            </w:r>
            <w:r>
              <w:rPr>
                <w:rFonts w:hint="eastAsia"/>
                <w:highlight w:val="none"/>
                <w:lang w:val="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70" w:type="dxa"/>
            <w:vAlign w:val="center"/>
          </w:tcPr>
          <w:p>
            <w:pPr>
              <w:pStyle w:val="43"/>
              <w:numPr>
                <w:ilvl w:val="0"/>
                <w:numId w:val="8"/>
              </w:numPr>
              <w:bidi w:val="0"/>
              <w:ind w:left="0" w:leftChars="0" w:firstLine="0" w:firstLineChars="0"/>
              <w:rPr>
                <w:rFonts w:hint="eastAsia"/>
                <w:lang w:val="zh-CN"/>
              </w:rPr>
            </w:pPr>
          </w:p>
        </w:tc>
        <w:tc>
          <w:tcPr>
            <w:tcW w:w="1936" w:type="dxa"/>
            <w:vAlign w:val="center"/>
          </w:tcPr>
          <w:p>
            <w:pPr>
              <w:pStyle w:val="43"/>
              <w:bidi w:val="0"/>
              <w:rPr>
                <w:rFonts w:hint="default"/>
                <w:highlight w:val="none"/>
                <w:lang w:val="en-US" w:eastAsia="zh-CN"/>
              </w:rPr>
            </w:pPr>
            <w:r>
              <w:rPr>
                <w:rFonts w:hint="eastAsia"/>
                <w:highlight w:val="none"/>
                <w:lang w:val="en-US" w:eastAsia="zh-CN"/>
              </w:rPr>
              <w:t>单价最高限价及报价要求</w:t>
            </w:r>
          </w:p>
          <w:p>
            <w:pPr>
              <w:pStyle w:val="43"/>
              <w:bidi w:val="0"/>
              <w:ind w:firstLine="0" w:firstLineChars="0"/>
              <w:rPr>
                <w:rFonts w:hint="eastAsia"/>
                <w:lang w:val="en-US" w:eastAsia="zh-CN"/>
              </w:rPr>
            </w:pPr>
            <w:r>
              <w:rPr>
                <w:rFonts w:hint="eastAsia"/>
                <w:b/>
                <w:bCs/>
                <w:highlight w:val="none"/>
                <w:lang w:val="zh-CN" w:eastAsia="zh-CN"/>
              </w:rPr>
              <w:t>(实质性要求)</w:t>
            </w:r>
          </w:p>
        </w:tc>
        <w:tc>
          <w:tcPr>
            <w:tcW w:w="7244" w:type="dxa"/>
            <w:gridSpan w:val="2"/>
            <w:vAlign w:val="center"/>
          </w:tcPr>
          <w:p>
            <w:pPr>
              <w:pStyle w:val="39"/>
              <w:keepNext w:val="0"/>
              <w:keepLines w:val="0"/>
              <w:pageBreakBefore w:val="0"/>
              <w:widowControl w:val="0"/>
              <w:numPr>
                <w:ilvl w:val="0"/>
                <w:numId w:val="9"/>
              </w:numPr>
              <w:tabs>
                <w:tab w:val="clear" w:pos="312"/>
              </w:tabs>
              <w:kinsoku/>
              <w:wordWrap w:val="0"/>
              <w:overflowPunct/>
              <w:topLinePunct/>
              <w:autoSpaceDE/>
              <w:autoSpaceDN/>
              <w:bidi w:val="0"/>
              <w:adjustRightInd w:val="0"/>
              <w:snapToGrid w:val="0"/>
              <w:ind w:left="60" w:leftChars="25" w:right="60" w:rightChars="25" w:firstLine="0" w:firstLineChars="0"/>
              <w:textAlignment w:val="auto"/>
              <w:rPr>
                <w:rFonts w:hint="eastAsia"/>
                <w:highlight w:val="none"/>
                <w:lang w:val="en-US" w:eastAsia="zh-CN"/>
              </w:rPr>
            </w:pPr>
            <w:r>
              <w:rPr>
                <w:rFonts w:hint="eastAsia"/>
                <w:highlight w:val="none"/>
                <w:lang w:val="en-US" w:eastAsia="zh-CN"/>
              </w:rPr>
              <w:t>本项目单价最高限价为415元/公里。</w:t>
            </w:r>
          </w:p>
          <w:p>
            <w:pPr>
              <w:pStyle w:val="39"/>
              <w:keepNext w:val="0"/>
              <w:keepLines w:val="0"/>
              <w:pageBreakBefore w:val="0"/>
              <w:widowControl w:val="0"/>
              <w:numPr>
                <w:ilvl w:val="0"/>
                <w:numId w:val="0"/>
              </w:numPr>
              <w:kinsoku/>
              <w:wordWrap w:val="0"/>
              <w:overflowPunct/>
              <w:topLinePunct/>
              <w:autoSpaceDE/>
              <w:autoSpaceDN/>
              <w:bidi w:val="0"/>
              <w:adjustRightInd w:val="0"/>
              <w:snapToGrid w:val="0"/>
              <w:ind w:leftChars="25" w:right="60" w:rightChars="25"/>
              <w:textAlignment w:val="auto"/>
              <w:rPr>
                <w:rFonts w:hint="default"/>
                <w:highlight w:val="none"/>
                <w:lang w:val="en-US" w:eastAsia="zh-CN"/>
              </w:rPr>
            </w:pPr>
            <w:r>
              <w:rPr>
                <w:rFonts w:hint="eastAsia"/>
                <w:highlight w:val="none"/>
                <w:lang w:val="en-US" w:eastAsia="zh-CN"/>
              </w:rPr>
              <w:t>2.投标人的报价不得超过单价最高限价，否则将被视为无效报价。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43"/>
              <w:numPr>
                <w:ilvl w:val="0"/>
                <w:numId w:val="8"/>
              </w:numPr>
              <w:bidi w:val="0"/>
              <w:ind w:left="0" w:leftChars="0" w:firstLine="0" w:firstLineChars="0"/>
              <w:rPr>
                <w:rFonts w:hint="eastAsia"/>
                <w:lang w:val="zh-CN"/>
              </w:rPr>
            </w:pPr>
          </w:p>
        </w:tc>
        <w:tc>
          <w:tcPr>
            <w:tcW w:w="1936" w:type="dxa"/>
            <w:vAlign w:val="center"/>
          </w:tcPr>
          <w:p>
            <w:pPr>
              <w:pStyle w:val="43"/>
              <w:bidi w:val="0"/>
              <w:rPr>
                <w:rFonts w:hint="default"/>
                <w:lang w:val="en-US" w:eastAsia="zh-CN"/>
              </w:rPr>
            </w:pPr>
            <w:r>
              <w:rPr>
                <w:rFonts w:hint="eastAsia"/>
                <w:lang w:val="en-US" w:eastAsia="zh-CN"/>
              </w:rPr>
              <w:t>项目属性</w:t>
            </w:r>
          </w:p>
        </w:tc>
        <w:tc>
          <w:tcPr>
            <w:tcW w:w="7244" w:type="dxa"/>
            <w:gridSpan w:val="2"/>
            <w:vAlign w:val="center"/>
          </w:tcPr>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本项目属于服务</w:t>
            </w:r>
            <w:r>
              <w:rPr>
                <w:rFonts w:hint="eastAsia" w:ascii="宋体" w:hAnsi="宋体" w:eastAsia="宋体"/>
                <w:lang w:val="en-US" w:eastAsia="zh-CN"/>
              </w:rPr>
              <w:t>类采购项目，不对其中涉及的货物的制造商是否享受中小企业扶持政策作出要求。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7" w:hRule="atLeast"/>
          <w:jc w:val="center"/>
        </w:trPr>
        <w:tc>
          <w:tcPr>
            <w:tcW w:w="570" w:type="dxa"/>
            <w:vAlign w:val="center"/>
          </w:tcPr>
          <w:p>
            <w:pPr>
              <w:pStyle w:val="43"/>
              <w:numPr>
                <w:ilvl w:val="0"/>
                <w:numId w:val="8"/>
              </w:numPr>
              <w:bidi w:val="0"/>
              <w:ind w:left="0" w:leftChars="0" w:firstLine="0" w:firstLineChars="0"/>
              <w:rPr>
                <w:rFonts w:hint="eastAsia"/>
                <w:lang w:val="zh-CN"/>
              </w:rPr>
            </w:pPr>
          </w:p>
        </w:tc>
        <w:tc>
          <w:tcPr>
            <w:tcW w:w="1936" w:type="dxa"/>
            <w:vAlign w:val="center"/>
          </w:tcPr>
          <w:p>
            <w:pPr>
              <w:pStyle w:val="43"/>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lang w:val="zh-CN" w:eastAsia="zh-CN"/>
              </w:rPr>
            </w:pPr>
            <w:r>
              <w:rPr>
                <w:rFonts w:hint="eastAsia"/>
                <w:lang w:val="en-US" w:eastAsia="zh-CN"/>
              </w:rPr>
              <w:t>本项目所属行业</w:t>
            </w:r>
          </w:p>
        </w:tc>
        <w:tc>
          <w:tcPr>
            <w:tcW w:w="7244" w:type="dxa"/>
            <w:gridSpan w:val="2"/>
            <w:vAlign w:val="center"/>
          </w:tcPr>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highlight w:val="none"/>
                <w:lang w:val="en-US" w:eastAsia="zh-CN"/>
              </w:rPr>
            </w:pPr>
            <w:r>
              <w:rPr>
                <w:rFonts w:hint="eastAsia"/>
                <w:highlight w:val="none"/>
                <w:lang w:val="en-US" w:eastAsia="zh-CN"/>
              </w:rPr>
              <w:t>本项目所属行业为其他未列明行</w:t>
            </w:r>
            <w:r>
              <w:rPr>
                <w:rFonts w:hint="eastAsia"/>
                <w:highlight w:val="none"/>
                <w:u w:val="none"/>
                <w:lang w:val="en-US" w:eastAsia="zh-CN"/>
              </w:rPr>
              <w:t>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jc w:val="center"/>
        </w:trPr>
        <w:tc>
          <w:tcPr>
            <w:tcW w:w="570" w:type="dxa"/>
            <w:vAlign w:val="center"/>
          </w:tcPr>
          <w:p>
            <w:pPr>
              <w:pStyle w:val="43"/>
              <w:numPr>
                <w:ilvl w:val="0"/>
                <w:numId w:val="8"/>
              </w:numPr>
              <w:bidi w:val="0"/>
              <w:ind w:left="0" w:leftChars="0" w:firstLine="0" w:firstLineChars="0"/>
              <w:rPr>
                <w:rFonts w:hint="eastAsia"/>
                <w:lang w:val="zh-CN"/>
              </w:rPr>
            </w:pPr>
          </w:p>
        </w:tc>
        <w:tc>
          <w:tcPr>
            <w:tcW w:w="1936" w:type="dxa"/>
            <w:vAlign w:val="center"/>
          </w:tcPr>
          <w:p>
            <w:pPr>
              <w:pStyle w:val="43"/>
              <w:bidi w:val="0"/>
              <w:ind w:firstLine="0" w:firstLineChars="0"/>
              <w:rPr>
                <w:rFonts w:hint="eastAsia"/>
                <w:lang w:val="zh-CN"/>
              </w:rPr>
            </w:pPr>
            <w:r>
              <w:rPr>
                <w:rFonts w:hint="eastAsia"/>
                <w:lang w:val="zh-CN"/>
              </w:rPr>
              <w:t>定向采购</w:t>
            </w:r>
          </w:p>
          <w:p>
            <w:pPr>
              <w:pStyle w:val="43"/>
              <w:bidi w:val="0"/>
              <w:ind w:firstLine="0" w:firstLineChars="0"/>
              <w:rPr>
                <w:rFonts w:hint="eastAsia"/>
                <w:lang w:val="zh-CN" w:eastAsia="zh-CN"/>
              </w:rPr>
            </w:pPr>
            <w:r>
              <w:rPr>
                <w:rFonts w:hint="eastAsia"/>
                <w:b/>
                <w:bCs/>
                <w:highlight w:val="none"/>
                <w:lang w:val="zh-CN" w:eastAsia="zh-CN"/>
              </w:rPr>
              <w:t>(实质性要求)</w:t>
            </w:r>
          </w:p>
        </w:tc>
        <w:tc>
          <w:tcPr>
            <w:tcW w:w="7244" w:type="dxa"/>
            <w:gridSpan w:val="2"/>
            <w:vAlign w:val="center"/>
          </w:tcPr>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highlight w:val="none"/>
                <w:lang w:val="en-US" w:eastAsia="zh-CN"/>
              </w:rPr>
            </w:pPr>
            <w:r>
              <w:rPr>
                <w:rFonts w:hint="eastAsia"/>
                <w:highlight w:val="none"/>
              </w:rPr>
              <w:t>本项目为</w:t>
            </w:r>
            <w:r>
              <w:rPr>
                <w:rFonts w:hint="eastAsia"/>
                <w:highlight w:val="none"/>
                <w:lang w:val="zh-CN"/>
              </w:rPr>
              <w:t>专门面向中小企业</w:t>
            </w:r>
            <w:r>
              <w:rPr>
                <w:rFonts w:hint="eastAsia"/>
                <w:highlight w:val="none"/>
              </w:rPr>
              <w:t>采购</w:t>
            </w:r>
            <w:r>
              <w:rPr>
                <w:rFonts w:hint="eastAsia"/>
                <w:highlight w:val="none"/>
                <w:lang w:val="zh-CN"/>
              </w:rPr>
              <w:t>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3"/>
              <w:numPr>
                <w:ilvl w:val="0"/>
                <w:numId w:val="8"/>
              </w:numPr>
              <w:bidi w:val="0"/>
              <w:ind w:left="0" w:leftChars="0" w:firstLine="0" w:firstLineChars="0"/>
              <w:rPr>
                <w:rFonts w:hint="eastAsia"/>
                <w:lang w:val="zh-CN"/>
              </w:rPr>
            </w:pPr>
          </w:p>
        </w:tc>
        <w:tc>
          <w:tcPr>
            <w:tcW w:w="1936" w:type="dxa"/>
            <w:vAlign w:val="center"/>
          </w:tcPr>
          <w:p>
            <w:pPr>
              <w:pStyle w:val="43"/>
              <w:bidi w:val="0"/>
              <w:rPr>
                <w:rFonts w:hint="eastAsia"/>
                <w:lang w:val="zh-CN"/>
              </w:rPr>
            </w:pPr>
            <w:r>
              <w:rPr>
                <w:rFonts w:hint="eastAsia"/>
                <w:lang w:val="zh-CN"/>
              </w:rPr>
              <w:t>采购方式</w:t>
            </w:r>
          </w:p>
        </w:tc>
        <w:tc>
          <w:tcPr>
            <w:tcW w:w="7244" w:type="dxa"/>
            <w:gridSpan w:val="2"/>
            <w:vAlign w:val="center"/>
          </w:tcPr>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zh-CN"/>
              </w:rPr>
            </w:pPr>
            <w:r>
              <w:rPr>
                <w:rFonts w:hint="eastAsia"/>
                <w:lang w:val="zh-CN"/>
              </w:rPr>
              <w:t>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3"/>
              <w:numPr>
                <w:ilvl w:val="0"/>
                <w:numId w:val="8"/>
              </w:numPr>
              <w:bidi w:val="0"/>
              <w:ind w:left="0" w:leftChars="0" w:firstLine="0" w:firstLineChars="0"/>
              <w:rPr>
                <w:rFonts w:hint="eastAsia"/>
                <w:lang w:val="zh-CN"/>
              </w:rPr>
            </w:pPr>
          </w:p>
        </w:tc>
        <w:tc>
          <w:tcPr>
            <w:tcW w:w="1936" w:type="dxa"/>
            <w:vAlign w:val="center"/>
          </w:tcPr>
          <w:p>
            <w:pPr>
              <w:pStyle w:val="43"/>
              <w:bidi w:val="0"/>
              <w:rPr>
                <w:rFonts w:hint="eastAsia"/>
                <w:lang w:val="zh-CN"/>
              </w:rPr>
            </w:pPr>
            <w:r>
              <w:rPr>
                <w:rFonts w:hint="eastAsia"/>
                <w:lang w:val="zh-CN"/>
              </w:rPr>
              <w:t>评标方法</w:t>
            </w:r>
          </w:p>
        </w:tc>
        <w:tc>
          <w:tcPr>
            <w:tcW w:w="7244" w:type="dxa"/>
            <w:gridSpan w:val="2"/>
            <w:vAlign w:val="center"/>
          </w:tcPr>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zh-CN"/>
              </w:rPr>
            </w:pPr>
            <w:r>
              <w:rPr>
                <w:rFonts w:hint="eastAsia"/>
                <w:lang w:val="zh-CN"/>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5" w:hRule="atLeast"/>
          <w:jc w:val="center"/>
        </w:trPr>
        <w:tc>
          <w:tcPr>
            <w:tcW w:w="570" w:type="dxa"/>
            <w:vAlign w:val="center"/>
          </w:tcPr>
          <w:p>
            <w:pPr>
              <w:pStyle w:val="43"/>
              <w:numPr>
                <w:ilvl w:val="0"/>
                <w:numId w:val="8"/>
              </w:numPr>
              <w:bidi w:val="0"/>
              <w:ind w:left="0" w:leftChars="0" w:firstLine="0" w:firstLineChars="0"/>
              <w:rPr>
                <w:rFonts w:hint="eastAsia"/>
                <w:lang w:val="zh-CN"/>
              </w:rPr>
            </w:pPr>
          </w:p>
        </w:tc>
        <w:tc>
          <w:tcPr>
            <w:tcW w:w="1936" w:type="dxa"/>
            <w:vAlign w:val="center"/>
          </w:tcPr>
          <w:p>
            <w:pPr>
              <w:pStyle w:val="43"/>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lang w:val="en-US" w:eastAsia="zh-CN"/>
              </w:rPr>
            </w:pPr>
            <w:r>
              <w:rPr>
                <w:rFonts w:hint="eastAsia"/>
                <w:lang w:val="en-US" w:eastAsia="zh-CN"/>
              </w:rPr>
              <w:t>合同分包</w:t>
            </w:r>
          </w:p>
          <w:p>
            <w:pPr>
              <w:pStyle w:val="43"/>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lang w:val="zh-CN"/>
              </w:rPr>
            </w:pPr>
            <w:r>
              <w:rPr>
                <w:rFonts w:hint="eastAsia"/>
                <w:b/>
                <w:bCs/>
                <w:lang w:val="en-US" w:eastAsia="zh-CN"/>
              </w:rPr>
              <w:t>(实质性要求)</w:t>
            </w:r>
          </w:p>
        </w:tc>
        <w:tc>
          <w:tcPr>
            <w:tcW w:w="7244" w:type="dxa"/>
            <w:gridSpan w:val="2"/>
            <w:vAlign w:val="center"/>
          </w:tcPr>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本项目不允许投标人以合同分包形式进行投标。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3"/>
              <w:numPr>
                <w:ilvl w:val="0"/>
                <w:numId w:val="8"/>
              </w:numPr>
              <w:bidi w:val="0"/>
              <w:ind w:left="0" w:leftChars="0" w:firstLine="0" w:firstLineChars="0"/>
              <w:rPr>
                <w:rFonts w:hint="eastAsia"/>
                <w:lang w:val="zh-CN"/>
              </w:rPr>
            </w:pPr>
          </w:p>
        </w:tc>
        <w:tc>
          <w:tcPr>
            <w:tcW w:w="1936" w:type="dxa"/>
            <w:vAlign w:val="center"/>
          </w:tcPr>
          <w:p>
            <w:pPr>
              <w:pStyle w:val="43"/>
              <w:bidi w:val="0"/>
              <w:rPr>
                <w:rFonts w:hint="eastAsia"/>
                <w:lang w:val="en-US" w:eastAsia="zh-CN"/>
              </w:rPr>
            </w:pPr>
            <w:r>
              <w:rPr>
                <w:rFonts w:hint="eastAsia"/>
                <w:lang w:val="en-US" w:eastAsia="zh-CN"/>
              </w:rPr>
              <w:t>联合体投标</w:t>
            </w:r>
          </w:p>
          <w:p>
            <w:pPr>
              <w:pStyle w:val="43"/>
              <w:bidi w:val="0"/>
              <w:ind w:firstLine="0" w:firstLineChars="0"/>
              <w:rPr>
                <w:rFonts w:hint="eastAsia"/>
                <w:lang w:val="zh-CN"/>
              </w:rPr>
            </w:pPr>
            <w:r>
              <w:rPr>
                <w:rFonts w:hint="eastAsia"/>
                <w:b/>
                <w:bCs/>
                <w:lang w:val="en-US" w:eastAsia="zh-CN"/>
              </w:rPr>
              <w:t>(实质性要求)</w:t>
            </w:r>
          </w:p>
        </w:tc>
        <w:tc>
          <w:tcPr>
            <w:tcW w:w="7244" w:type="dxa"/>
            <w:gridSpan w:val="2"/>
            <w:vAlign w:val="center"/>
          </w:tcPr>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color w:val="000000" w:themeColor="text1"/>
                <w:highlight w:val="none"/>
                <w:lang w:val="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3"/>
              <w:numPr>
                <w:ilvl w:val="0"/>
                <w:numId w:val="8"/>
              </w:numPr>
              <w:bidi w:val="0"/>
              <w:ind w:left="0" w:leftChars="0" w:firstLine="0" w:firstLineChars="0"/>
              <w:rPr>
                <w:rFonts w:hint="eastAsia"/>
                <w:lang w:val="zh-CN"/>
              </w:rPr>
            </w:pPr>
          </w:p>
        </w:tc>
        <w:tc>
          <w:tcPr>
            <w:tcW w:w="1936" w:type="dxa"/>
            <w:vAlign w:val="center"/>
          </w:tcPr>
          <w:p>
            <w:pPr>
              <w:pStyle w:val="43"/>
              <w:bidi w:val="0"/>
              <w:rPr>
                <w:rFonts w:hint="eastAsia"/>
                <w:lang w:val="en-US" w:eastAsia="zh-CN"/>
              </w:rPr>
            </w:pPr>
            <w:r>
              <w:rPr>
                <w:rFonts w:hint="eastAsia"/>
                <w:lang w:val="en-US" w:eastAsia="zh-CN"/>
              </w:rPr>
              <w:t>投标有效期</w:t>
            </w:r>
          </w:p>
          <w:p>
            <w:pPr>
              <w:pStyle w:val="43"/>
              <w:bidi w:val="0"/>
              <w:ind w:firstLine="0" w:firstLineChars="0"/>
              <w:rPr>
                <w:rFonts w:hint="eastAsia"/>
                <w:lang w:val="zh-CN"/>
              </w:rPr>
            </w:pPr>
            <w:r>
              <w:rPr>
                <w:rFonts w:hint="eastAsia"/>
                <w:b/>
                <w:bCs/>
                <w:lang w:val="en-US" w:eastAsia="zh-CN"/>
              </w:rPr>
              <w:t>(实质性要求)</w:t>
            </w:r>
          </w:p>
        </w:tc>
        <w:tc>
          <w:tcPr>
            <w:tcW w:w="7244" w:type="dxa"/>
            <w:gridSpan w:val="2"/>
            <w:vAlign w:val="center"/>
          </w:tcPr>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lang w:val="zh-CN"/>
              </w:rPr>
            </w:pPr>
            <w:r>
              <w:rPr>
                <w:rFonts w:hint="eastAsia"/>
                <w:lang w:val="en-US" w:eastAsia="zh-CN"/>
              </w:rPr>
              <w:t>提交投标文件的截止之日起90日。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3"/>
              <w:numPr>
                <w:ilvl w:val="0"/>
                <w:numId w:val="8"/>
              </w:numPr>
              <w:bidi w:val="0"/>
              <w:ind w:left="0" w:leftChars="0" w:firstLine="0" w:firstLineChars="0"/>
              <w:rPr>
                <w:rFonts w:hint="eastAsia"/>
                <w:lang w:val="zh-CN"/>
              </w:rPr>
            </w:pPr>
          </w:p>
        </w:tc>
        <w:tc>
          <w:tcPr>
            <w:tcW w:w="1936" w:type="dxa"/>
            <w:vAlign w:val="center"/>
          </w:tcPr>
          <w:p>
            <w:pPr>
              <w:pStyle w:val="43"/>
              <w:bidi w:val="0"/>
              <w:ind w:firstLine="0" w:firstLineChars="0"/>
              <w:rPr>
                <w:rFonts w:hint="eastAsia"/>
                <w:lang w:val="en-US" w:eastAsia="zh-CN"/>
              </w:rPr>
            </w:pPr>
            <w:r>
              <w:rPr>
                <w:rFonts w:hint="eastAsia"/>
                <w:lang w:val="en-US" w:eastAsia="zh-CN"/>
              </w:rPr>
              <w:t>备选投标方案和报价</w:t>
            </w:r>
          </w:p>
          <w:p>
            <w:pPr>
              <w:pStyle w:val="43"/>
              <w:bidi w:val="0"/>
              <w:ind w:firstLine="0" w:firstLineChars="0"/>
              <w:rPr>
                <w:rFonts w:hint="eastAsia"/>
                <w:lang w:val="zh-CN" w:eastAsia="zh-CN"/>
              </w:rPr>
            </w:pPr>
            <w:r>
              <w:rPr>
                <w:rFonts w:hint="eastAsia"/>
                <w:b/>
                <w:bCs/>
                <w:lang w:val="en-US" w:eastAsia="zh-CN"/>
              </w:rPr>
              <w:t>(实质性要求)</w:t>
            </w:r>
          </w:p>
        </w:tc>
        <w:tc>
          <w:tcPr>
            <w:tcW w:w="7244" w:type="dxa"/>
            <w:gridSpan w:val="2"/>
            <w:vAlign w:val="center"/>
          </w:tcPr>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lang w:val="zh-CN"/>
              </w:rPr>
            </w:pPr>
            <w:r>
              <w:rPr>
                <w:rFonts w:hint="eastAsia"/>
                <w:lang w:val="en-US" w:eastAsia="zh-CN"/>
              </w:rPr>
              <w:t>本项目不接受备选投标方案和多个报价。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3"/>
              <w:numPr>
                <w:ilvl w:val="0"/>
                <w:numId w:val="8"/>
              </w:numPr>
              <w:bidi w:val="0"/>
              <w:ind w:left="0" w:leftChars="0" w:firstLine="0" w:firstLineChars="0"/>
              <w:rPr>
                <w:rFonts w:hint="eastAsia"/>
                <w:lang w:val="en-US" w:eastAsia="zh-CN"/>
              </w:rPr>
            </w:pPr>
          </w:p>
        </w:tc>
        <w:tc>
          <w:tcPr>
            <w:tcW w:w="1936" w:type="dxa"/>
            <w:vAlign w:val="center"/>
          </w:tcPr>
          <w:p>
            <w:pPr>
              <w:pStyle w:val="43"/>
              <w:bidi w:val="0"/>
              <w:rPr>
                <w:rFonts w:hint="default"/>
                <w:lang w:val="en-US" w:eastAsia="zh-CN"/>
              </w:rPr>
            </w:pPr>
            <w:r>
              <w:rPr>
                <w:rFonts w:hint="eastAsia"/>
                <w:lang w:val="en-US" w:eastAsia="zh-CN"/>
              </w:rPr>
              <w:t>质量要求、履约验收</w:t>
            </w:r>
          </w:p>
          <w:p>
            <w:pPr>
              <w:pStyle w:val="43"/>
              <w:bidi w:val="0"/>
              <w:rPr>
                <w:rFonts w:hint="eastAsia"/>
                <w:lang w:val="en-US" w:eastAsia="zh-CN"/>
              </w:rPr>
            </w:pPr>
            <w:r>
              <w:rPr>
                <w:rFonts w:hint="eastAsia"/>
                <w:b/>
                <w:bCs/>
                <w:lang w:val="en-US" w:eastAsia="zh-CN"/>
              </w:rPr>
              <w:t>(实质性要求)</w:t>
            </w:r>
          </w:p>
        </w:tc>
        <w:tc>
          <w:tcPr>
            <w:tcW w:w="7244" w:type="dxa"/>
            <w:gridSpan w:val="2"/>
            <w:vAlign w:val="center"/>
          </w:tcPr>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1.质量要求：符合国家相关标准、行业标准、地方标准或者其他标准、规范要求；</w:t>
            </w:r>
          </w:p>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2.履约验收：中标人与采购人应严格按照《财政部关于进一步加强政府采购需求和履约验收管理的指导意见》(财库〔2016〕205号)、参照四川省财政厅《四川省政府采购项目需求论证和履约验收管理办法》(川财采〔2015〕32号)的要求进行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3"/>
              <w:numPr>
                <w:ilvl w:val="0"/>
                <w:numId w:val="8"/>
              </w:numPr>
              <w:bidi w:val="0"/>
              <w:ind w:left="0" w:leftChars="0" w:firstLine="0" w:firstLineChars="0"/>
              <w:rPr>
                <w:rFonts w:hint="eastAsia"/>
                <w:lang w:eastAsia="zh-CN"/>
              </w:rPr>
            </w:pPr>
          </w:p>
        </w:tc>
        <w:tc>
          <w:tcPr>
            <w:tcW w:w="1936" w:type="dxa"/>
            <w:vAlign w:val="center"/>
          </w:tcPr>
          <w:p>
            <w:pPr>
              <w:pStyle w:val="43"/>
              <w:bidi w:val="0"/>
              <w:rPr>
                <w:rFonts w:hint="eastAsia"/>
                <w:lang w:val="en-US" w:eastAsia="zh-CN"/>
              </w:rPr>
            </w:pPr>
            <w:r>
              <w:rPr>
                <w:rFonts w:hint="eastAsia"/>
              </w:rPr>
              <w:t>现场</w:t>
            </w:r>
            <w:r>
              <w:rPr>
                <w:rFonts w:hint="eastAsia"/>
                <w:lang w:val="en-US" w:eastAsia="zh-CN"/>
              </w:rPr>
              <w:t>考察、标前</w:t>
            </w:r>
          </w:p>
          <w:p>
            <w:pPr>
              <w:pStyle w:val="43"/>
              <w:bidi w:val="0"/>
              <w:rPr>
                <w:rFonts w:hint="eastAsia"/>
              </w:rPr>
            </w:pPr>
            <w:r>
              <w:rPr>
                <w:rFonts w:hint="eastAsia"/>
              </w:rPr>
              <w:t>答疑</w:t>
            </w:r>
            <w:r>
              <w:rPr>
                <w:rFonts w:hint="eastAsia"/>
                <w:lang w:val="en-US" w:eastAsia="zh-CN"/>
              </w:rPr>
              <w:t>会</w:t>
            </w:r>
          </w:p>
        </w:tc>
        <w:tc>
          <w:tcPr>
            <w:tcW w:w="7244" w:type="dxa"/>
            <w:gridSpan w:val="2"/>
            <w:vAlign w:val="center"/>
          </w:tcPr>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rPr>
            </w:pPr>
            <w:r>
              <w:rPr>
                <w:rFonts w:hint="eastAsia"/>
                <w:lang w:val="en-US" w:eastAsia="zh-CN"/>
              </w:rPr>
              <w:t>1.</w:t>
            </w:r>
            <w:r>
              <w:rPr>
                <w:rFonts w:hint="eastAsia"/>
              </w:rPr>
              <w:t>采购人、采购代理机构可以视采购项目的具体情况，组织</w:t>
            </w:r>
            <w:r>
              <w:rPr>
                <w:rFonts w:hint="eastAsia"/>
                <w:lang w:eastAsia="zh-CN"/>
              </w:rPr>
              <w:t>投标人</w:t>
            </w:r>
            <w:r>
              <w:rPr>
                <w:rFonts w:hint="eastAsia"/>
              </w:rPr>
              <w:t>进行现场考察或</w:t>
            </w:r>
            <w:r>
              <w:rPr>
                <w:rFonts w:hint="eastAsia"/>
                <w:lang w:eastAsia="zh-CN"/>
              </w:rPr>
              <w:t>开标</w:t>
            </w:r>
            <w:r>
              <w:rPr>
                <w:rFonts w:hint="eastAsia"/>
              </w:rPr>
              <w:t>前答疑会，但不得单独或分别组织只有一个</w:t>
            </w:r>
            <w:r>
              <w:rPr>
                <w:rFonts w:hint="eastAsia"/>
                <w:lang w:eastAsia="zh-CN"/>
              </w:rPr>
              <w:t>投标人</w:t>
            </w:r>
            <w:r>
              <w:rPr>
                <w:rFonts w:hint="eastAsia"/>
              </w:rPr>
              <w:t>参加的现场考察和答疑会。若组织答疑会和现场考察以采购代理机构通知为准。</w:t>
            </w:r>
          </w:p>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2.</w:t>
            </w:r>
            <w:r>
              <w:rPr>
                <w:rFonts w:hint="eastAsia"/>
                <w:lang w:eastAsia="zh-CN"/>
              </w:rPr>
              <w:t>投标人</w:t>
            </w:r>
            <w:r>
              <w:rPr>
                <w:rFonts w:hint="eastAsia"/>
              </w:rPr>
              <w:t>考察现场所发生的一切费用由</w:t>
            </w:r>
            <w:r>
              <w:rPr>
                <w:rFonts w:hint="eastAsia"/>
                <w:lang w:eastAsia="zh-CN"/>
              </w:rPr>
              <w:t>投标人</w:t>
            </w:r>
            <w:r>
              <w:rPr>
                <w:rFonts w:hint="eastAsia"/>
                <w:lang w:val="en-US" w:eastAsia="zh-CN"/>
              </w:rPr>
              <w:t>自行</w:t>
            </w:r>
            <w:r>
              <w:rPr>
                <w:rFonts w:hint="eastAsia"/>
              </w:rPr>
              <w:t>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3"/>
              <w:numPr>
                <w:ilvl w:val="0"/>
                <w:numId w:val="8"/>
              </w:numPr>
              <w:bidi w:val="0"/>
              <w:ind w:left="0" w:leftChars="0" w:firstLine="0" w:firstLineChars="0"/>
              <w:rPr>
                <w:rFonts w:hint="eastAsia"/>
                <w:lang w:val="zh-CN" w:eastAsia="zh-CN"/>
              </w:rPr>
            </w:pPr>
          </w:p>
        </w:tc>
        <w:tc>
          <w:tcPr>
            <w:tcW w:w="1936" w:type="dxa"/>
            <w:vAlign w:val="center"/>
          </w:tcPr>
          <w:p>
            <w:pPr>
              <w:pStyle w:val="43"/>
              <w:bidi w:val="0"/>
              <w:rPr>
                <w:rFonts w:hint="eastAsia"/>
                <w:highlight w:val="none"/>
                <w:lang w:val="zh-CN"/>
              </w:rPr>
            </w:pPr>
            <w:r>
              <w:rPr>
                <w:rFonts w:hint="eastAsia"/>
                <w:highlight w:val="none"/>
                <w:lang w:val="zh-CN"/>
              </w:rPr>
              <w:t>投标保证金</w:t>
            </w:r>
          </w:p>
        </w:tc>
        <w:tc>
          <w:tcPr>
            <w:tcW w:w="7244" w:type="dxa"/>
            <w:gridSpan w:val="2"/>
            <w:vAlign w:val="center"/>
          </w:tcPr>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highlight w:val="none"/>
                <w:lang w:val="zh-CN"/>
              </w:rPr>
            </w:pPr>
            <w:r>
              <w:rPr>
                <w:rFonts w:hint="eastAsia"/>
                <w:highlight w:val="none"/>
                <w:lang w:val="en-US" w:eastAsia="zh-CN"/>
              </w:rPr>
              <w:t>本项目不收取投标保证金。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3"/>
              <w:numPr>
                <w:ilvl w:val="0"/>
                <w:numId w:val="8"/>
              </w:numPr>
              <w:bidi w:val="0"/>
              <w:ind w:left="0" w:leftChars="0" w:firstLine="0" w:firstLineChars="0"/>
              <w:rPr>
                <w:rFonts w:hint="eastAsia"/>
                <w:lang w:val="zh-CN" w:eastAsia="zh-CN"/>
              </w:rPr>
            </w:pPr>
          </w:p>
        </w:tc>
        <w:tc>
          <w:tcPr>
            <w:tcW w:w="1936" w:type="dxa"/>
            <w:vAlign w:val="center"/>
          </w:tcPr>
          <w:p>
            <w:pPr>
              <w:pStyle w:val="43"/>
              <w:bidi w:val="0"/>
              <w:rPr>
                <w:rFonts w:hint="eastAsia"/>
              </w:rPr>
            </w:pPr>
            <w:r>
              <w:rPr>
                <w:rFonts w:hint="eastAsia"/>
              </w:rPr>
              <w:t>低于成本价不正当竞争预防措施</w:t>
            </w:r>
          </w:p>
          <w:p>
            <w:pPr>
              <w:pStyle w:val="43"/>
              <w:bidi w:val="0"/>
              <w:ind w:firstLine="0" w:firstLineChars="0"/>
              <w:rPr>
                <w:rFonts w:hint="eastAsia"/>
                <w:lang w:val="zh-CN"/>
              </w:rPr>
            </w:pPr>
            <w:r>
              <w:rPr>
                <w:rFonts w:hint="eastAsia"/>
                <w:b/>
                <w:bCs/>
                <w:lang w:eastAsia="zh-CN"/>
              </w:rPr>
              <w:t>(</w:t>
            </w:r>
            <w:r>
              <w:rPr>
                <w:rFonts w:hint="eastAsia"/>
                <w:b/>
                <w:bCs/>
              </w:rPr>
              <w:t>实质性要求</w:t>
            </w:r>
            <w:r>
              <w:rPr>
                <w:rFonts w:hint="eastAsia"/>
                <w:b/>
                <w:bCs/>
                <w:lang w:eastAsia="zh-CN"/>
              </w:rPr>
              <w:t>)</w:t>
            </w:r>
          </w:p>
        </w:tc>
        <w:tc>
          <w:tcPr>
            <w:tcW w:w="7244" w:type="dxa"/>
            <w:gridSpan w:val="2"/>
            <w:vAlign w:val="center"/>
          </w:tcPr>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highlight w:val="magenta"/>
                <w:lang w:val="en-US" w:eastAsia="zh-CN"/>
              </w:rPr>
            </w:pPr>
            <w:r>
              <w:rPr>
                <w:rFonts w:hint="eastAsia" w:ascii="宋体" w:hAnsi="宋体" w:eastAsia="宋体" w:cs="宋体"/>
                <w:b/>
                <w:bCs/>
                <w:lang w:val="en-US" w:eastAsia="zh-CN"/>
              </w:rPr>
              <w:t>注：投标人提交的书面说明、相关证明材料（如涉及），应当加盖投标人（法定名称）电子签章，在评标委员会要求的时间内通过</w:t>
            </w:r>
            <w:r>
              <w:rPr>
                <w:rFonts w:hint="eastAsia" w:cs="宋体"/>
                <w:b/>
                <w:bCs/>
                <w:lang w:val="en-US" w:eastAsia="zh-CN"/>
              </w:rPr>
              <w:t>“</w:t>
            </w:r>
            <w:r>
              <w:rPr>
                <w:rFonts w:hint="eastAsia" w:ascii="宋体" w:hAnsi="宋体" w:eastAsia="宋体" w:cs="宋体"/>
                <w:b/>
                <w:bCs/>
                <w:lang w:val="en-US" w:eastAsia="zh-CN"/>
              </w:rPr>
              <w:t>政府采购云平台</w:t>
            </w:r>
            <w:r>
              <w:rPr>
                <w:rFonts w:hint="eastAsia" w:cs="宋体"/>
                <w:b/>
                <w:bCs/>
                <w:lang w:val="en-US" w:eastAsia="zh-CN"/>
              </w:rPr>
              <w:t>”</w:t>
            </w:r>
            <w:r>
              <w:rPr>
                <w:rFonts w:hint="eastAsia" w:ascii="宋体" w:hAnsi="宋体" w:eastAsia="宋体" w:cs="宋体"/>
                <w:b/>
                <w:bCs/>
                <w:lang w:val="en-US" w:eastAsia="zh-CN"/>
              </w:rPr>
              <w:t>进行递交，否则无效（给予供应商澄清、说明的时间不得少于30分钟，供应商已明确表示澄清、说明完毕的除外）。如因</w:t>
            </w:r>
            <w:r>
              <w:rPr>
                <w:rFonts w:hint="eastAsia" w:cs="宋体"/>
                <w:b/>
                <w:bCs/>
                <w:lang w:val="en-US" w:eastAsia="zh-CN"/>
              </w:rPr>
              <w:t>采购代理机构</w:t>
            </w:r>
            <w:r>
              <w:rPr>
                <w:rFonts w:hint="eastAsia" w:ascii="宋体" w:hAnsi="宋体" w:eastAsia="宋体" w:cs="宋体"/>
                <w:b/>
                <w:bCs/>
                <w:lang w:val="en-US" w:eastAsia="zh-CN"/>
              </w:rPr>
              <w:t>断电、断网、系统故障或其他不可抗力等因素，导致系统无法使用的，由投标人按评标委员会的要求进行澄清或者说明。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3"/>
              <w:numPr>
                <w:ilvl w:val="0"/>
                <w:numId w:val="8"/>
              </w:numPr>
              <w:bidi w:val="0"/>
              <w:ind w:left="0" w:leftChars="0" w:firstLine="0" w:firstLineChars="0"/>
              <w:rPr>
                <w:rFonts w:hint="eastAsia"/>
                <w:lang w:val="en-US" w:eastAsia="zh-CN"/>
              </w:rPr>
            </w:pPr>
          </w:p>
        </w:tc>
        <w:tc>
          <w:tcPr>
            <w:tcW w:w="1936" w:type="dxa"/>
            <w:vAlign w:val="center"/>
          </w:tcPr>
          <w:p>
            <w:pPr>
              <w:pStyle w:val="43"/>
              <w:keepNext w:val="0"/>
              <w:keepLines w:val="0"/>
              <w:pageBreakBefore w:val="0"/>
              <w:widowControl w:val="0"/>
              <w:kinsoku/>
              <w:wordWrap w:val="0"/>
              <w:overflowPunct/>
              <w:topLinePunct/>
              <w:autoSpaceDE/>
              <w:autoSpaceDN/>
              <w:bidi w:val="0"/>
              <w:adjustRightInd w:val="0"/>
              <w:snapToGrid w:val="0"/>
              <w:ind w:left="24" w:leftChars="10" w:right="24" w:rightChars="10"/>
              <w:textAlignment w:val="auto"/>
              <w:rPr>
                <w:rFonts w:hint="eastAsia"/>
              </w:rPr>
            </w:pPr>
            <w:r>
              <w:rPr>
                <w:rFonts w:hint="eastAsia"/>
              </w:rPr>
              <w:t>小微企业、监狱企业</w:t>
            </w:r>
            <w:r>
              <w:rPr>
                <w:rFonts w:hint="eastAsia"/>
                <w:lang w:eastAsia="zh-CN"/>
              </w:rPr>
              <w:t>、</w:t>
            </w:r>
            <w:r>
              <w:rPr>
                <w:rFonts w:hint="eastAsia"/>
                <w:lang w:val="en-US" w:eastAsia="zh-CN"/>
              </w:rPr>
              <w:t>残疾人福利性单位</w:t>
            </w:r>
            <w:r>
              <w:rPr>
                <w:rFonts w:hint="eastAsia"/>
              </w:rPr>
              <w:t>价格扣除</w:t>
            </w:r>
          </w:p>
          <w:p>
            <w:pPr>
              <w:pStyle w:val="43"/>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rPr>
            </w:pPr>
            <w:r>
              <w:rPr>
                <w:rFonts w:hint="eastAsia"/>
                <w:b/>
                <w:bCs/>
                <w:lang w:eastAsia="zh-CN"/>
              </w:rPr>
              <w:t>(</w:t>
            </w:r>
            <w:r>
              <w:rPr>
                <w:rFonts w:hint="eastAsia"/>
                <w:b/>
                <w:bCs/>
                <w:lang w:val="en-US" w:eastAsia="zh-CN"/>
              </w:rPr>
              <w:t>实质性要求</w:t>
            </w:r>
            <w:r>
              <w:rPr>
                <w:rFonts w:hint="eastAsia"/>
                <w:b/>
                <w:bCs/>
                <w:lang w:eastAsia="zh-CN"/>
              </w:rPr>
              <w:t>)</w:t>
            </w:r>
          </w:p>
        </w:tc>
        <w:tc>
          <w:tcPr>
            <w:tcW w:w="7244" w:type="dxa"/>
            <w:gridSpan w:val="2"/>
            <w:vAlign w:val="center"/>
          </w:tcPr>
          <w:p>
            <w:pPr>
              <w:pStyle w:val="39"/>
              <w:keepNext w:val="0"/>
              <w:keepLines w:val="0"/>
              <w:pageBreakBefore w:val="0"/>
              <w:widowControl w:val="0"/>
              <w:numPr>
                <w:ilvl w:val="0"/>
                <w:numId w:val="10"/>
              </w:numPr>
              <w:kinsoku/>
              <w:wordWrap w:val="0"/>
              <w:overflowPunct/>
              <w:topLinePunct/>
              <w:autoSpaceDE/>
              <w:autoSpaceDN/>
              <w:bidi w:val="0"/>
              <w:adjustRightInd w:val="0"/>
              <w:snapToGrid w:val="0"/>
              <w:ind w:left="60" w:leftChars="25" w:right="60" w:rightChars="25"/>
              <w:textAlignment w:val="auto"/>
              <w:rPr>
                <w:rFonts w:hint="eastAsia"/>
                <w:lang w:val="en-US" w:eastAsia="zh-CN"/>
              </w:rPr>
            </w:pPr>
            <w:r>
              <w:rPr>
                <w:rFonts w:hint="eastAsia"/>
              </w:rPr>
              <w:t>政府采购促进中小企业发展</w:t>
            </w:r>
            <w:r>
              <w:rPr>
                <w:rFonts w:hint="eastAsia"/>
                <w:lang w:val="en-US" w:eastAsia="zh-CN"/>
              </w:rPr>
              <w:t>政策</w:t>
            </w:r>
          </w:p>
          <w:p>
            <w:pPr>
              <w:pStyle w:val="39"/>
              <w:keepNext w:val="0"/>
              <w:keepLines w:val="0"/>
              <w:pageBreakBefore w:val="0"/>
              <w:widowControl w:val="0"/>
              <w:numPr>
                <w:ilvl w:val="0"/>
                <w:numId w:val="11"/>
              </w:numPr>
              <w:tabs>
                <w:tab w:val="clear" w:pos="312"/>
              </w:tabs>
              <w:kinsoku/>
              <w:wordWrap w:val="0"/>
              <w:overflowPunct/>
              <w:topLinePunct/>
              <w:autoSpaceDE/>
              <w:autoSpaceDN/>
              <w:bidi w:val="0"/>
              <w:adjustRightInd w:val="0"/>
              <w:snapToGrid w:val="0"/>
              <w:ind w:leftChars="25" w:right="60" w:rightChars="25"/>
              <w:textAlignment w:val="auto"/>
              <w:rPr>
                <w:rFonts w:hint="eastAsia"/>
                <w:b/>
                <w:bCs/>
                <w:lang w:val="en-US" w:eastAsia="zh-CN"/>
              </w:rPr>
            </w:pPr>
            <w:r>
              <w:rPr>
                <w:rFonts w:hint="eastAsia"/>
                <w:b/>
                <w:bCs/>
                <w:lang w:val="en-US" w:eastAsia="zh-CN"/>
              </w:rPr>
              <w:t>定义：</w:t>
            </w:r>
            <w:r>
              <w:rPr>
                <w:rFonts w:hint="eastAsia"/>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w:t>
            </w:r>
            <w:r>
              <w:rPr>
                <w:rFonts w:hint="eastAsia"/>
                <w:b/>
                <w:bCs/>
                <w:lang w:val="en-US" w:eastAsia="zh-CN"/>
              </w:rPr>
              <w:t>符合中小企业划分标准的个体工商户，在政府采购活动中视同中小企业。</w:t>
            </w:r>
          </w:p>
          <w:p>
            <w:pPr>
              <w:pStyle w:val="39"/>
              <w:keepNext w:val="0"/>
              <w:keepLines w:val="0"/>
              <w:pageBreakBefore w:val="0"/>
              <w:widowControl w:val="0"/>
              <w:numPr>
                <w:ilvl w:val="0"/>
                <w:numId w:val="0"/>
              </w:numPr>
              <w:kinsoku/>
              <w:wordWrap w:val="0"/>
              <w:overflowPunct/>
              <w:topLinePunct/>
              <w:autoSpaceDE/>
              <w:autoSpaceDN/>
              <w:bidi w:val="0"/>
              <w:adjustRightInd w:val="0"/>
              <w:snapToGrid w:val="0"/>
              <w:ind w:leftChars="25" w:right="60" w:rightChars="25"/>
              <w:textAlignment w:val="auto"/>
              <w:rPr>
                <w:rFonts w:hint="eastAsia"/>
                <w:color w:val="000000" w:themeColor="text1"/>
                <w:lang w:val="en-US" w:eastAsia="zh-CN"/>
                <w14:textFill>
                  <w14:solidFill>
                    <w14:schemeClr w14:val="tx1"/>
                  </w14:solidFill>
                </w14:textFill>
              </w:rPr>
            </w:pPr>
            <w:r>
              <w:rPr>
                <w:rFonts w:hint="eastAsia"/>
                <w:b/>
                <w:bCs/>
                <w:lang w:val="en-US" w:eastAsia="zh-CN"/>
              </w:rPr>
              <w:t>适用情形：</w:t>
            </w:r>
            <w:r>
              <w:rPr>
                <w:rFonts w:hint="eastAsia"/>
                <w:lang w:val="en-US" w:eastAsia="zh-CN"/>
              </w:rPr>
              <w:t>（1）在服务采购项目中，服务由中小企业承接，即提供服务的人员为中小企</w:t>
            </w:r>
            <w:r>
              <w:rPr>
                <w:rFonts w:hint="eastAsia"/>
                <w:color w:val="000000" w:themeColor="text1"/>
                <w:lang w:val="en-US" w:eastAsia="zh-CN"/>
                <w14:textFill>
                  <w14:solidFill>
                    <w14:schemeClr w14:val="tx1"/>
                  </w14:solidFill>
                </w14:textFill>
              </w:rPr>
              <w:t>业依照《中华人民共和国劳动合同法》 订立劳动合同的从业人员。</w:t>
            </w:r>
          </w:p>
          <w:p>
            <w:pPr>
              <w:pStyle w:val="39"/>
              <w:keepNext w:val="0"/>
              <w:keepLines w:val="0"/>
              <w:pageBreakBefore w:val="0"/>
              <w:widowControl w:val="0"/>
              <w:numPr>
                <w:ilvl w:val="0"/>
                <w:numId w:val="0"/>
              </w:numPr>
              <w:kinsoku/>
              <w:wordWrap w:val="0"/>
              <w:overflowPunct/>
              <w:topLinePunct/>
              <w:autoSpaceDE/>
              <w:autoSpaceDN/>
              <w:bidi w:val="0"/>
              <w:adjustRightInd w:val="0"/>
              <w:snapToGrid w:val="0"/>
              <w:ind w:leftChars="25" w:right="60" w:rightChars="25"/>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注：关于中小微型企业划分标准详见附件三。</w:t>
            </w:r>
          </w:p>
          <w:p>
            <w:pPr>
              <w:pStyle w:val="39"/>
              <w:keepNext w:val="0"/>
              <w:keepLines w:val="0"/>
              <w:pageBreakBefore w:val="0"/>
              <w:widowControl w:val="0"/>
              <w:numPr>
                <w:ilvl w:val="0"/>
                <w:numId w:val="0"/>
              </w:numPr>
              <w:kinsoku/>
              <w:wordWrap w:val="0"/>
              <w:overflowPunct/>
              <w:topLinePunct/>
              <w:autoSpaceDE/>
              <w:autoSpaceDN/>
              <w:bidi w:val="0"/>
              <w:adjustRightInd w:val="0"/>
              <w:snapToGrid w:val="0"/>
              <w:ind w:leftChars="25" w:right="60" w:rightChars="25"/>
              <w:textAlignment w:val="auto"/>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（2）本项目为专门面向中小企业采购的项目，不再执行价格评审优惠的扶持政策。</w:t>
            </w:r>
          </w:p>
          <w:p>
            <w:pPr>
              <w:pStyle w:val="39"/>
              <w:keepNext w:val="0"/>
              <w:keepLines w:val="0"/>
              <w:pageBreakBefore w:val="0"/>
              <w:widowControl w:val="0"/>
              <w:numPr>
                <w:ilvl w:val="0"/>
                <w:numId w:val="11"/>
              </w:numPr>
              <w:tabs>
                <w:tab w:val="clear" w:pos="312"/>
              </w:tabs>
              <w:kinsoku/>
              <w:wordWrap w:val="0"/>
              <w:overflowPunct/>
              <w:topLinePunct/>
              <w:autoSpaceDE/>
              <w:autoSpaceDN/>
              <w:bidi w:val="0"/>
              <w:adjustRightInd w:val="0"/>
              <w:snapToGrid w:val="0"/>
              <w:ind w:leftChars="25" w:right="60" w:rightChars="25"/>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执行方式：</w:t>
            </w:r>
          </w:p>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spacing w:val="-8"/>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根据关于印发《政府采购促进中小企业发展管理办法》的通知</w:t>
            </w:r>
            <w:r>
              <w:rPr>
                <w:rFonts w:hint="eastAsia"/>
                <w:color w:val="000000" w:themeColor="text1"/>
                <w:lang w:eastAsia="zh-CN"/>
                <w14:textFill>
                  <w14:solidFill>
                    <w14:schemeClr w14:val="tx1"/>
                  </w14:solidFill>
                </w14:textFill>
              </w:rPr>
              <w:t>（财库〔2020〕46号）、四川省人民政府关于印发进一步规范政府采购监管和执行若干规定的通知川府发〔</w:t>
            </w:r>
            <w:r>
              <w:rPr>
                <w:rFonts w:hint="eastAsia"/>
                <w:lang w:eastAsia="zh-CN"/>
              </w:rPr>
              <w:t>2018〕14号</w:t>
            </w:r>
            <w:r>
              <w:rPr>
                <w:rFonts w:hint="eastAsia"/>
              </w:rPr>
              <w:t>的规定，对小型和微型企业的价格给予</w:t>
            </w:r>
            <w:r>
              <w:rPr>
                <w:rFonts w:hint="eastAsia"/>
                <w:lang w:val="en-US" w:eastAsia="zh-CN"/>
              </w:rPr>
              <w:t>10</w:t>
            </w:r>
            <w:r>
              <w:rPr>
                <w:rFonts w:hint="eastAsia"/>
              </w:rPr>
              <w:t>%的价格扣除，用扣除后的价格参与评审</w:t>
            </w:r>
            <w:r>
              <w:rPr>
                <w:rFonts w:hint="eastAsia"/>
                <w:lang w:eastAsia="zh-CN"/>
              </w:rPr>
              <w:t>(</w:t>
            </w:r>
            <w:r>
              <w:rPr>
                <w:rFonts w:hint="eastAsia"/>
                <w:lang w:val="en-US" w:eastAsia="zh-CN"/>
              </w:rPr>
              <w:t>适用于</w:t>
            </w:r>
            <w:r>
              <w:rPr>
                <w:spacing w:val="8"/>
              </w:rPr>
              <w:t>经主管预算单位统筹后未预留份额专门</w:t>
            </w:r>
            <w:r>
              <w:t>面向中小企业采购的采购项目，以及</w:t>
            </w:r>
            <w:r>
              <w:rPr>
                <w:spacing w:val="-8"/>
              </w:rPr>
              <w:t>预留份额项目中的非预留部分采购包</w:t>
            </w:r>
            <w:r>
              <w:rPr>
                <w:rFonts w:hint="eastAsia"/>
                <w:spacing w:val="-8"/>
                <w:lang w:eastAsia="zh-CN"/>
              </w:rPr>
              <w:t>)</w:t>
            </w:r>
            <w:r>
              <w:rPr>
                <w:rFonts w:hint="eastAsia"/>
                <w:spacing w:val="-8"/>
              </w:rPr>
              <w:t>。</w:t>
            </w:r>
          </w:p>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spacing w:val="-8"/>
              </w:rPr>
            </w:pPr>
            <w:r>
              <w:rPr>
                <w:rFonts w:hint="eastAsia"/>
                <w:spacing w:val="-8"/>
                <w:lang w:eastAsia="zh-CN"/>
              </w:rPr>
              <w:t>（</w:t>
            </w:r>
            <w:r>
              <w:rPr>
                <w:rFonts w:hint="eastAsia"/>
                <w:spacing w:val="-8"/>
                <w:lang w:val="en-US" w:eastAsia="zh-CN"/>
              </w:rPr>
              <w:t>2</w:t>
            </w:r>
            <w:r>
              <w:rPr>
                <w:rFonts w:hint="eastAsia"/>
                <w:spacing w:val="-8"/>
                <w:lang w:eastAsia="zh-CN"/>
              </w:rPr>
              <w:t>）中小企业参加政府采购活动，应当出具《中小企业声明函》（</w:t>
            </w:r>
            <w:r>
              <w:rPr>
                <w:rFonts w:hint="eastAsia"/>
                <w:spacing w:val="-8"/>
                <w:lang w:val="en-US" w:eastAsia="zh-CN"/>
              </w:rPr>
              <w:t>格式详见招标文件</w:t>
            </w:r>
            <w:r>
              <w:rPr>
                <w:rFonts w:hint="eastAsia"/>
                <w:spacing w:val="-8"/>
                <w:lang w:eastAsia="zh-CN"/>
              </w:rPr>
              <w:t>），否则不得享受相关中小企业扶持政策</w:t>
            </w:r>
            <w:r>
              <w:rPr>
                <w:rFonts w:hint="eastAsia"/>
                <w:spacing w:val="-8"/>
              </w:rPr>
              <w:t>。</w:t>
            </w:r>
          </w:p>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default"/>
                <w:b/>
                <w:bCs/>
                <w:highlight w:val="yellow"/>
                <w:lang w:val="en-US" w:eastAsia="zh-CN"/>
              </w:rPr>
            </w:pPr>
            <w:r>
              <w:rPr>
                <w:rFonts w:hint="eastAsia"/>
                <w:spacing w:val="-8"/>
                <w:lang w:val="en-US" w:eastAsia="zh-CN"/>
              </w:rPr>
              <w:t>（3）投标人应当对其出具的《中小企业声明函》真实性负责，投标人出具的《中小企业声明函》内容不实的，属于提供虚假材料谋取中标。在实际操作中，投标人希望获得《办法》规定政策支持的，应从制造商处获得充分、准确的信息。对相关制造商信息了解不充分，或者不能确定相关信息真实、准确的，不建议出具《中小企业声明函》。</w:t>
            </w:r>
          </w:p>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rPr>
            </w:pPr>
            <w:r>
              <w:rPr>
                <w:rFonts w:hint="eastAsia"/>
              </w:rPr>
              <w:t>二、监狱企业价格扣除</w:t>
            </w:r>
          </w:p>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rPr>
            </w:pPr>
            <w:r>
              <w:rPr>
                <w:rFonts w:hint="eastAsia"/>
              </w:rPr>
              <w:t>1.根据财政部司法部关于政府采购支持监狱企业发展有关问题的通知财库〔2014〕68号的规定，在政府采购活动中，监狱企业视同小型、微型企业，享受预留份额、评审中价格扣除等政府采购促进中小企业发展的政府采购政策。</w:t>
            </w:r>
          </w:p>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rPr>
            </w:pPr>
            <w:r>
              <w:rPr>
                <w:rFonts w:hint="eastAsia"/>
              </w:rPr>
              <w:t>2.本项目对监狱企业</w:t>
            </w:r>
            <w:r>
              <w:rPr>
                <w:rFonts w:hint="eastAsia"/>
                <w:lang w:eastAsia="zh-CN"/>
              </w:rPr>
              <w:t>参与投标</w:t>
            </w:r>
            <w:r>
              <w:rPr>
                <w:rFonts w:hint="eastAsia"/>
              </w:rPr>
              <w:t>的价格给予</w:t>
            </w:r>
            <w:r>
              <w:rPr>
                <w:rFonts w:hint="eastAsia"/>
                <w:lang w:val="en-US" w:eastAsia="zh-CN"/>
              </w:rPr>
              <w:t>10</w:t>
            </w:r>
            <w:r>
              <w:rPr>
                <w:rFonts w:hint="eastAsia"/>
              </w:rPr>
              <w:t>%的扣除，用扣除后的价格参与评审。</w:t>
            </w:r>
          </w:p>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rPr>
            </w:pPr>
            <w:r>
              <w:rPr>
                <w:rFonts w:hint="eastAsia"/>
              </w:rPr>
              <w:t>3.监狱企业参加政府采购活动时，应当提供由省级以上监狱管理局、戒毒管理局</w:t>
            </w:r>
            <w:r>
              <w:rPr>
                <w:rFonts w:hint="eastAsia"/>
                <w:lang w:eastAsia="zh-CN"/>
              </w:rPr>
              <w:t>(</w:t>
            </w:r>
            <w:r>
              <w:rPr>
                <w:rFonts w:hint="eastAsia"/>
              </w:rPr>
              <w:t>含新疆生产建设兵团</w:t>
            </w:r>
            <w:r>
              <w:rPr>
                <w:rFonts w:hint="eastAsia"/>
                <w:lang w:eastAsia="zh-CN"/>
              </w:rPr>
              <w:t>)</w:t>
            </w:r>
            <w:r>
              <w:rPr>
                <w:rFonts w:hint="eastAsia"/>
              </w:rPr>
              <w:t>出具的属于监狱企业的证明文件。</w:t>
            </w:r>
          </w:p>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rPr>
            </w:pPr>
            <w:r>
              <w:rPr>
                <w:rFonts w:hint="eastAsia"/>
                <w:lang w:val="en-US" w:eastAsia="zh-CN"/>
              </w:rPr>
              <w:t>4.</w:t>
            </w:r>
            <w:r>
              <w:rPr>
                <w:rFonts w:hint="eastAsia"/>
              </w:rPr>
              <w:t>监狱企业</w:t>
            </w:r>
            <w:r>
              <w:rPr>
                <w:rFonts w:hint="eastAsia"/>
                <w:lang w:val="en-US" w:eastAsia="zh-CN"/>
              </w:rPr>
              <w:t>属于小型、微型企业的，不重复享受政策。</w:t>
            </w:r>
          </w:p>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三、残疾人福利性单位</w:t>
            </w:r>
            <w:r>
              <w:rPr>
                <w:rFonts w:hint="eastAsia"/>
              </w:rPr>
              <w:t>价格扣除</w:t>
            </w:r>
          </w:p>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1.根据《三部门联合发布关于促进残疾人就业政府采购政策的通知》(财库〔2017〕141号)的要求，在政府采购活动中，残疾人福利性单位视同小型、微型企业，享受预留份额、评审中价格扣除等促进中小企业发展的政府采购政策。</w:t>
            </w:r>
          </w:p>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2.本项目对残疾人福利性单位参与投标的价格给予10</w:t>
            </w:r>
            <w:r>
              <w:rPr>
                <w:rFonts w:hint="eastAsia"/>
              </w:rPr>
              <w:t>%</w:t>
            </w:r>
            <w:r>
              <w:rPr>
                <w:rFonts w:hint="eastAsia"/>
                <w:lang w:val="en-US" w:eastAsia="zh-CN"/>
              </w:rPr>
              <w:t>的扣除，用扣除后的价格参与评审。</w:t>
            </w:r>
          </w:p>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3.残疾人福利性单位参加政府采购活动时，应当提供本通知规定的《残疾人福利性单位声明函》。</w:t>
            </w:r>
          </w:p>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4.供应商提供的《残疾人福利性单位声明函》与事实不符的，依照《政府采购法》第七十七条第一款的规定追究法律责任。</w:t>
            </w:r>
          </w:p>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lang w:val="en-US" w:eastAsia="zh-CN"/>
              </w:rPr>
            </w:pPr>
            <w:r>
              <w:rPr>
                <w:rFonts w:hint="eastAsia"/>
                <w:lang w:val="en-US" w:eastAsia="zh-CN"/>
              </w:rPr>
              <w:t>5.残疾人福利性单位属于小型、微型企业的，不重复享受政策。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3"/>
              <w:numPr>
                <w:ilvl w:val="0"/>
                <w:numId w:val="8"/>
              </w:numPr>
              <w:bidi w:val="0"/>
              <w:ind w:left="0" w:leftChars="0" w:firstLine="0" w:firstLineChars="0"/>
              <w:rPr>
                <w:rFonts w:hint="eastAsia"/>
                <w:lang w:val="en-US" w:eastAsia="zh-CN"/>
              </w:rPr>
            </w:pPr>
          </w:p>
        </w:tc>
        <w:tc>
          <w:tcPr>
            <w:tcW w:w="1936" w:type="dxa"/>
            <w:vAlign w:val="center"/>
          </w:tcPr>
          <w:p>
            <w:pPr>
              <w:pStyle w:val="43"/>
              <w:bidi w:val="0"/>
              <w:rPr>
                <w:rFonts w:hint="eastAsia"/>
                <w:lang w:val="en-US" w:eastAsia="zh-CN"/>
              </w:rPr>
            </w:pPr>
            <w:r>
              <w:rPr>
                <w:rFonts w:hint="eastAsia"/>
                <w:lang w:val="en-US" w:eastAsia="zh-CN"/>
              </w:rPr>
              <w:t>建议品牌或者供应商</w:t>
            </w:r>
          </w:p>
          <w:p>
            <w:pPr>
              <w:pStyle w:val="43"/>
              <w:bidi w:val="0"/>
              <w:ind w:firstLine="0" w:firstLineChars="0"/>
              <w:rPr>
                <w:rFonts w:hint="eastAsia"/>
                <w:lang w:eastAsia="zh-CN"/>
              </w:rPr>
            </w:pPr>
            <w:r>
              <w:rPr>
                <w:rFonts w:hint="eastAsia"/>
                <w:lang w:val="en-US" w:eastAsia="zh-CN"/>
              </w:rPr>
              <w:t>(如涉及)</w:t>
            </w:r>
          </w:p>
        </w:tc>
        <w:tc>
          <w:tcPr>
            <w:tcW w:w="7244" w:type="dxa"/>
            <w:gridSpan w:val="2"/>
            <w:vAlign w:val="center"/>
          </w:tcPr>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rPr>
            </w:pPr>
            <w:r>
              <w:rPr>
                <w:rFonts w:hint="eastAsia"/>
                <w:lang w:val="en-US" w:eastAsia="zh-CN"/>
              </w:rPr>
              <w:t>若采购文件涉及品牌或者供应商，其目的是为了准确清楚说明采购项目的技术标准和要求，其意思表示为“参照或相当于”品牌或者供应商，其品牌或供应商具有可替代性。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3"/>
              <w:numPr>
                <w:ilvl w:val="0"/>
                <w:numId w:val="8"/>
              </w:numPr>
              <w:bidi w:val="0"/>
              <w:ind w:left="0" w:leftChars="0" w:firstLine="0" w:firstLineChars="0"/>
              <w:rPr>
                <w:rFonts w:hint="eastAsia"/>
                <w:lang w:val="en-US" w:eastAsia="zh-CN"/>
              </w:rPr>
            </w:pPr>
          </w:p>
        </w:tc>
        <w:tc>
          <w:tcPr>
            <w:tcW w:w="1936" w:type="dxa"/>
            <w:vAlign w:val="center"/>
          </w:tcPr>
          <w:p>
            <w:pPr>
              <w:pStyle w:val="43"/>
              <w:bidi w:val="0"/>
              <w:rPr>
                <w:rFonts w:hint="eastAsia"/>
                <w:highlight w:val="none"/>
                <w:lang w:val="en-US" w:eastAsia="zh-CN"/>
              </w:rPr>
            </w:pPr>
            <w:r>
              <w:rPr>
                <w:rFonts w:hint="eastAsia"/>
                <w:highlight w:val="none"/>
                <w:lang w:val="en-US" w:eastAsia="zh-CN"/>
              </w:rPr>
              <w:t>节能产品、环境标志产品、无线局域网产品、商品包装、快递包装采购政策</w:t>
            </w:r>
          </w:p>
          <w:p>
            <w:pPr>
              <w:pStyle w:val="43"/>
              <w:bidi w:val="0"/>
              <w:rPr>
                <w:rFonts w:hint="default"/>
                <w:lang w:val="en-US" w:eastAsia="zh-CN"/>
              </w:rPr>
            </w:pPr>
            <w:r>
              <w:rPr>
                <w:rFonts w:hint="eastAsia"/>
                <w:highlight w:val="none"/>
                <w:lang w:val="en-US" w:eastAsia="zh-CN"/>
              </w:rPr>
              <w:t>(如涉及)</w:t>
            </w:r>
          </w:p>
        </w:tc>
        <w:tc>
          <w:tcPr>
            <w:tcW w:w="7244" w:type="dxa"/>
            <w:gridSpan w:val="2"/>
            <w:vAlign w:val="center"/>
          </w:tcPr>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default" w:eastAsia="宋体"/>
                <w:lang w:val="en-US" w:eastAsia="zh-CN"/>
              </w:rPr>
            </w:pPr>
            <w:r>
              <w:rPr>
                <w:rFonts w:hint="eastAsia"/>
                <w:lang w:val="en-US" w:eastAsia="zh-CN"/>
              </w:rPr>
              <w:t>本项目不涉及</w:t>
            </w:r>
            <w:r>
              <w:rPr>
                <w:rFonts w:hint="eastAsia"/>
                <w:highlight w:val="none"/>
                <w:lang w:val="en-US" w:eastAsia="zh-CN"/>
              </w:rPr>
              <w:t>节能产品、环境标志产品、无线局域网产品，商品包装、快递包装等采购政策，故不在招标文件中体现。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3"/>
              <w:numPr>
                <w:ilvl w:val="0"/>
                <w:numId w:val="8"/>
              </w:numPr>
              <w:bidi w:val="0"/>
              <w:ind w:left="0" w:leftChars="0" w:firstLine="0" w:firstLineChars="0"/>
              <w:rPr>
                <w:rFonts w:hint="eastAsia"/>
                <w:lang w:val="en-US" w:eastAsia="zh-CN"/>
              </w:rPr>
            </w:pPr>
          </w:p>
        </w:tc>
        <w:tc>
          <w:tcPr>
            <w:tcW w:w="1936" w:type="dxa"/>
            <w:vAlign w:val="center"/>
          </w:tcPr>
          <w:p>
            <w:pPr>
              <w:pStyle w:val="43"/>
              <w:bidi w:val="0"/>
              <w:rPr>
                <w:rFonts w:hint="eastAsia"/>
                <w:lang w:val="en-US" w:eastAsia="zh-CN"/>
              </w:rPr>
            </w:pPr>
            <w:r>
              <w:rPr>
                <w:rFonts w:hint="eastAsia"/>
                <w:lang w:val="en-US" w:eastAsia="zh-CN"/>
              </w:rPr>
              <w:t>其他强制性规定</w:t>
            </w:r>
          </w:p>
          <w:p>
            <w:pPr>
              <w:pStyle w:val="43"/>
              <w:bidi w:val="0"/>
              <w:ind w:firstLine="0" w:firstLineChars="0"/>
              <w:rPr>
                <w:rFonts w:hint="eastAsia"/>
                <w:lang w:eastAsia="zh-CN"/>
              </w:rPr>
            </w:pPr>
            <w:r>
              <w:rPr>
                <w:rFonts w:hint="eastAsia"/>
                <w:lang w:val="en-US" w:eastAsia="zh-CN"/>
              </w:rPr>
              <w:t>(</w:t>
            </w:r>
            <w:r>
              <w:rPr>
                <w:rFonts w:hint="eastAsia"/>
                <w:highlight w:val="none"/>
                <w:lang w:val="en-US" w:eastAsia="zh-CN"/>
              </w:rPr>
              <w:t>如涉及时作为</w:t>
            </w:r>
            <w:r>
              <w:rPr>
                <w:rFonts w:hint="eastAsia"/>
                <w:lang w:val="en-US" w:eastAsia="zh-CN"/>
              </w:rPr>
              <w:t>实质性要求)</w:t>
            </w:r>
          </w:p>
        </w:tc>
        <w:tc>
          <w:tcPr>
            <w:tcW w:w="7244" w:type="dxa"/>
            <w:gridSpan w:val="2"/>
            <w:vAlign w:val="center"/>
          </w:tcPr>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rPr>
            </w:pPr>
            <w:r>
              <w:rPr>
                <w:rFonts w:hint="eastAsia"/>
                <w:lang w:val="en-US" w:eastAsia="zh-CN"/>
              </w:rPr>
              <w:t>国家或行业主管部门对采购产品的技术标准、质量标准和资格资质条件等有强制性规定的，必须符合其要求。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3"/>
              <w:numPr>
                <w:ilvl w:val="0"/>
                <w:numId w:val="8"/>
              </w:numPr>
              <w:bidi w:val="0"/>
              <w:ind w:left="0" w:leftChars="0" w:firstLine="0" w:firstLineChars="0"/>
              <w:rPr>
                <w:rFonts w:hint="eastAsia"/>
              </w:rPr>
            </w:pPr>
          </w:p>
        </w:tc>
        <w:tc>
          <w:tcPr>
            <w:tcW w:w="1936" w:type="dxa"/>
            <w:vAlign w:val="center"/>
          </w:tcPr>
          <w:p>
            <w:pPr>
              <w:pStyle w:val="43"/>
              <w:bidi w:val="0"/>
              <w:jc w:val="center"/>
              <w:rPr>
                <w:rFonts w:hint="eastAsia"/>
                <w:lang w:val="zh-CN"/>
              </w:rPr>
            </w:pPr>
            <w:r>
              <w:rPr>
                <w:rFonts w:hint="eastAsia"/>
                <w:lang w:val="zh-CN"/>
              </w:rPr>
              <w:t>评</w:t>
            </w:r>
            <w:r>
              <w:rPr>
                <w:rFonts w:hint="eastAsia"/>
              </w:rPr>
              <w:t>审</w:t>
            </w:r>
            <w:r>
              <w:rPr>
                <w:rFonts w:hint="eastAsia"/>
                <w:lang w:val="zh-CN"/>
              </w:rPr>
              <w:t>情况的公告</w:t>
            </w:r>
          </w:p>
        </w:tc>
        <w:tc>
          <w:tcPr>
            <w:tcW w:w="7244" w:type="dxa"/>
            <w:gridSpan w:val="2"/>
            <w:vAlign w:val="center"/>
          </w:tcPr>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rPr>
            </w:pPr>
            <w:r>
              <w:rPr>
                <w:rFonts w:hint="eastAsia"/>
                <w:lang w:val="en-US" w:eastAsia="zh-CN"/>
              </w:rPr>
              <w:t>1.</w:t>
            </w:r>
            <w:r>
              <w:rPr>
                <w:rFonts w:hint="eastAsia"/>
              </w:rPr>
              <w:t>所有供应商投标文件资格性、符合性审查情况、采用综合评分法时的总得分和分项汇总得分情况、</w:t>
            </w:r>
            <w:r>
              <w:rPr>
                <w:rFonts w:hint="eastAsia"/>
                <w:lang w:val="en-US" w:eastAsia="zh-CN"/>
              </w:rPr>
              <w:t>《中小企业声明函》(如涉及)、</w:t>
            </w:r>
            <w:r>
              <w:rPr>
                <w:rFonts w:hint="eastAsia"/>
              </w:rPr>
              <w:t>评审结果等将在</w:t>
            </w:r>
            <w:r>
              <w:rPr>
                <w:rFonts w:hint="eastAsia"/>
                <w:lang w:eastAsia="zh-CN"/>
              </w:rPr>
              <w:t>“四川政府采购网”</w:t>
            </w:r>
            <w:r>
              <w:rPr>
                <w:rFonts w:hint="eastAsia"/>
              </w:rPr>
              <w:t>采购结果公告附件中予以公告。</w:t>
            </w:r>
          </w:p>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zh-CN"/>
              </w:rPr>
            </w:pPr>
            <w:r>
              <w:rPr>
                <w:rFonts w:hint="eastAsia"/>
                <w:lang w:val="en-US" w:eastAsia="zh-CN"/>
              </w:rPr>
              <w:t>2.</w:t>
            </w:r>
            <w:r>
              <w:rPr>
                <w:rFonts w:hint="eastAsia"/>
                <w:lang w:val="zh-CN"/>
              </w:rPr>
              <w:t>根据《中华人民共和国政府采购法实施条例》第四十三条的规定，公告内容应当包括主要中标标的的名称、规格型号、数量、单价、服务要求以及评审专家名单。投标人须将投标文件中涉及商业秘密和知识产权的内容进行标注和说明，若未进行标注和说明的，视为全部内容均可公布，采购人或者采购代理机构对此不承担任何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4" w:hRule="atLeast"/>
          <w:jc w:val="center"/>
        </w:trPr>
        <w:tc>
          <w:tcPr>
            <w:tcW w:w="570" w:type="dxa"/>
            <w:vAlign w:val="center"/>
          </w:tcPr>
          <w:p>
            <w:pPr>
              <w:pStyle w:val="43"/>
              <w:keepNext w:val="0"/>
              <w:keepLines w:val="0"/>
              <w:pageBreakBefore w:val="0"/>
              <w:widowControl w:val="0"/>
              <w:numPr>
                <w:ilvl w:val="0"/>
                <w:numId w:val="8"/>
              </w:numPr>
              <w:kinsoku/>
              <w:wordWrap w:val="0"/>
              <w:overflowPunct/>
              <w:topLinePunct/>
              <w:autoSpaceDE/>
              <w:autoSpaceDN/>
              <w:bidi w:val="0"/>
              <w:adjustRightInd w:val="0"/>
              <w:snapToGrid w:val="0"/>
              <w:ind w:left="24" w:leftChars="10" w:right="24" w:rightChars="10" w:firstLine="0" w:firstLineChars="0"/>
              <w:textAlignment w:val="auto"/>
              <w:rPr>
                <w:rFonts w:hint="eastAsia"/>
                <w:lang w:val="en-US" w:eastAsia="zh-CN"/>
              </w:rPr>
            </w:pPr>
          </w:p>
        </w:tc>
        <w:tc>
          <w:tcPr>
            <w:tcW w:w="1936" w:type="dxa"/>
            <w:vAlign w:val="center"/>
          </w:tcPr>
          <w:p>
            <w:pPr>
              <w:pStyle w:val="43"/>
              <w:bidi w:val="0"/>
              <w:jc w:val="center"/>
              <w:rPr>
                <w:rFonts w:hint="eastAsia"/>
                <w:lang w:val="zh-CN"/>
              </w:rPr>
            </w:pPr>
            <w:r>
              <w:rPr>
                <w:rFonts w:hint="eastAsia"/>
                <w:lang w:val="zh-CN" w:eastAsia="zh-CN"/>
              </w:rPr>
              <w:t>中标通知书领取</w:t>
            </w:r>
          </w:p>
        </w:tc>
        <w:tc>
          <w:tcPr>
            <w:tcW w:w="7244" w:type="dxa"/>
            <w:gridSpan w:val="2"/>
            <w:vAlign w:val="center"/>
          </w:tcPr>
          <w:p>
            <w:pPr>
              <w:pStyle w:val="43"/>
              <w:bidi w:val="0"/>
              <w:jc w:val="left"/>
              <w:rPr>
                <w:rFonts w:hint="eastAsia"/>
                <w:lang w:val="zh-CN" w:eastAsia="zh-CN"/>
              </w:rPr>
            </w:pPr>
            <w:r>
              <w:rPr>
                <w:rFonts w:hint="eastAsia"/>
                <w:lang w:val="zh-CN" w:eastAsia="zh-CN"/>
              </w:rPr>
              <w:t>在四川政府采购网公告中标结果同时发出中标通知书，中标供应商自行登录“政府采购云平台”下载中标通知书。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30" w:hRule="atLeast"/>
          <w:jc w:val="center"/>
        </w:trPr>
        <w:tc>
          <w:tcPr>
            <w:tcW w:w="570" w:type="dxa"/>
            <w:vMerge w:val="restart"/>
            <w:vAlign w:val="center"/>
          </w:tcPr>
          <w:p>
            <w:pPr>
              <w:pStyle w:val="43"/>
              <w:numPr>
                <w:ilvl w:val="0"/>
                <w:numId w:val="8"/>
              </w:numPr>
              <w:bidi w:val="0"/>
              <w:ind w:left="0" w:leftChars="0" w:firstLine="0" w:firstLineChars="0"/>
              <w:rPr>
                <w:rFonts w:hint="eastAsia"/>
                <w:lang w:val="en-US" w:eastAsia="zh-CN"/>
              </w:rPr>
            </w:pPr>
          </w:p>
        </w:tc>
        <w:tc>
          <w:tcPr>
            <w:tcW w:w="1936" w:type="dxa"/>
            <w:vMerge w:val="restart"/>
            <w:vAlign w:val="center"/>
          </w:tcPr>
          <w:p>
            <w:pPr>
              <w:pStyle w:val="43"/>
              <w:bidi w:val="0"/>
              <w:rPr>
                <w:rFonts w:hint="eastAsia"/>
                <w:lang w:val="zh-CN"/>
              </w:rPr>
            </w:pPr>
            <w:r>
              <w:rPr>
                <w:rFonts w:hint="eastAsia"/>
                <w:lang w:val="en-US" w:eastAsia="zh-CN"/>
              </w:rPr>
              <w:t>招标</w:t>
            </w:r>
            <w:r>
              <w:rPr>
                <w:rFonts w:hint="eastAsia"/>
                <w:lang w:val="zh-CN"/>
              </w:rPr>
              <w:t>代理</w:t>
            </w:r>
          </w:p>
          <w:p>
            <w:pPr>
              <w:pStyle w:val="43"/>
              <w:bidi w:val="0"/>
              <w:ind w:firstLine="0" w:firstLineChars="0"/>
              <w:rPr>
                <w:rFonts w:hint="eastAsia"/>
              </w:rPr>
            </w:pPr>
            <w:r>
              <w:rPr>
                <w:rFonts w:hint="eastAsia"/>
                <w:lang w:val="zh-CN"/>
              </w:rPr>
              <w:t>服务费</w:t>
            </w:r>
          </w:p>
        </w:tc>
        <w:tc>
          <w:tcPr>
            <w:tcW w:w="7244" w:type="dxa"/>
            <w:gridSpan w:val="2"/>
            <w:vAlign w:val="center"/>
          </w:tcPr>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1.收取标准：招标</w:t>
            </w:r>
            <w:r>
              <w:rPr>
                <w:rFonts w:hint="eastAsia" w:ascii="宋体" w:hAnsi="宋体" w:eastAsia="宋体" w:cs="宋体"/>
                <w:color w:val="000000" w:themeColor="text1"/>
                <w:sz w:val="21"/>
                <w:szCs w:val="21"/>
                <w:highlight w:val="none"/>
                <w14:textFill>
                  <w14:solidFill>
                    <w14:schemeClr w14:val="tx1"/>
                  </w14:solidFill>
                </w14:textFill>
              </w:rPr>
              <w:t>代理服务费</w:t>
            </w:r>
            <w:r>
              <w:rPr>
                <w:rFonts w:hint="eastAsia" w:ascii="宋体" w:hAnsi="宋体" w:eastAsia="宋体" w:cs="宋体"/>
                <w:color w:val="000000" w:themeColor="text1"/>
                <w:sz w:val="21"/>
                <w:szCs w:val="21"/>
                <w:highlight w:val="none"/>
                <w:lang w:val="en-US" w:eastAsia="zh-CN"/>
                <w14:textFill>
                  <w14:solidFill>
                    <w14:schemeClr w14:val="tx1"/>
                  </w14:solidFill>
                </w14:textFill>
              </w:rPr>
              <w:t>以成本加合理利润为原则，以实际中标金额为计费基数(采用</w:t>
            </w:r>
            <w:r>
              <w:rPr>
                <w:rFonts w:hint="eastAsia" w:cs="宋体"/>
                <w:color w:val="000000" w:themeColor="text1"/>
                <w:sz w:val="21"/>
                <w:szCs w:val="21"/>
                <w:highlight w:val="none"/>
                <w:lang w:val="en-US" w:eastAsia="zh-CN"/>
                <w14:textFill>
                  <w14:solidFill>
                    <w14:schemeClr w14:val="tx1"/>
                  </w14:solidFill>
                </w14:textFill>
              </w:rPr>
              <w:t>折扣率报价</w:t>
            </w:r>
            <w:r>
              <w:rPr>
                <w:rFonts w:hint="eastAsia" w:ascii="宋体" w:hAnsi="宋体" w:eastAsia="宋体" w:cs="宋体"/>
                <w:color w:val="000000" w:themeColor="text1"/>
                <w:sz w:val="21"/>
                <w:szCs w:val="21"/>
                <w:highlight w:val="none"/>
                <w:lang w:val="en-US" w:eastAsia="zh-CN"/>
                <w14:textFill>
                  <w14:solidFill>
                    <w14:schemeClr w14:val="tx1"/>
                  </w14:solidFill>
                </w14:textFill>
              </w:rPr>
              <w:t>的以采购预算为计费基数)，按照下列收费标准计算出收费基准价格后下浮20%收取</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2.收取方式：</w:t>
            </w:r>
            <w:r>
              <w:rPr>
                <w:rFonts w:hint="eastAsia" w:ascii="宋体" w:hAnsi="宋体" w:eastAsia="宋体" w:cs="宋体"/>
                <w:color w:val="000000" w:themeColor="text1"/>
                <w:sz w:val="21"/>
                <w:szCs w:val="21"/>
                <w:highlight w:val="none"/>
                <w:lang w:val="zh-CN"/>
                <w14:textFill>
                  <w14:solidFill>
                    <w14:schemeClr w14:val="tx1"/>
                  </w14:solidFill>
                </w14:textFill>
              </w:rPr>
              <w:t>中标通知发出后二个工作日内由中标人一次性支付</w:t>
            </w:r>
            <w:r>
              <w:rPr>
                <w:rFonts w:hint="eastAsia" w:ascii="宋体" w:hAnsi="宋体" w:eastAsia="宋体" w:cs="宋体"/>
                <w:color w:val="000000" w:themeColor="text1"/>
                <w:sz w:val="21"/>
                <w:szCs w:val="21"/>
                <w:highlight w:val="none"/>
                <w:lang w:val="en-US" w:eastAsia="zh-CN"/>
                <w14:textFill>
                  <w14:solidFill>
                    <w14:schemeClr w14:val="tx1"/>
                  </w14:solidFill>
                </w14:textFill>
              </w:rPr>
              <w:t>至采购代理机构</w:t>
            </w:r>
            <w:r>
              <w:rPr>
                <w:rFonts w:hint="eastAsia" w:ascii="宋体" w:hAnsi="宋体" w:eastAsia="宋体" w:cs="宋体"/>
                <w:color w:val="000000" w:themeColor="text1"/>
                <w:sz w:val="21"/>
                <w:szCs w:val="21"/>
                <w:highlight w:val="none"/>
                <w14:textFill>
                  <w14:solidFill>
                    <w14:schemeClr w14:val="tx1"/>
                  </w14:solidFill>
                </w14:textFill>
              </w:rPr>
              <w:t>。</w:t>
            </w:r>
          </w:p>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i w:val="0"/>
                <w:caps w:val="0"/>
                <w:color w:val="000000" w:themeColor="text1"/>
                <w:spacing w:val="0"/>
                <w:sz w:val="21"/>
                <w:szCs w:val="21"/>
                <w:highlight w:val="none"/>
                <w14:textFill>
                  <w14:solidFill>
                    <w14:schemeClr w14:val="tx1"/>
                  </w14:solidFill>
                </w14:textFill>
              </w:rPr>
              <w:t>招标代理服务收费标准</w:t>
            </w:r>
            <w:r>
              <w:rPr>
                <w:rFonts w:hint="eastAsia" w:ascii="宋体" w:hAnsi="宋体" w:eastAsia="宋体" w:cs="宋体"/>
                <w:b/>
                <w:i w:val="0"/>
                <w:caps w:val="0"/>
                <w:color w:val="000000" w:themeColor="text1"/>
                <w:spacing w:val="0"/>
                <w:sz w:val="21"/>
                <w:szCs w:val="21"/>
                <w:highlight w:val="none"/>
                <w:lang w:val="en-US" w:eastAsia="zh-CN"/>
                <w14:textFill>
                  <w14:solidFill>
                    <w14:schemeClr w14:val="tx1"/>
                  </w14:solidFill>
                </w14:textFill>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570" w:type="dxa"/>
            <w:vMerge w:val="continue"/>
            <w:vAlign w:val="center"/>
          </w:tcPr>
          <w:p>
            <w:pPr>
              <w:pStyle w:val="43"/>
              <w:numPr>
                <w:ilvl w:val="0"/>
                <w:numId w:val="8"/>
              </w:numPr>
              <w:bidi w:val="0"/>
              <w:ind w:left="0" w:leftChars="0" w:firstLine="0" w:firstLineChars="0"/>
              <w:rPr>
                <w:rFonts w:hint="eastAsia"/>
                <w:lang w:val="en-US" w:eastAsia="zh-CN"/>
              </w:rPr>
            </w:pPr>
          </w:p>
        </w:tc>
        <w:tc>
          <w:tcPr>
            <w:tcW w:w="1936" w:type="dxa"/>
            <w:vMerge w:val="continue"/>
            <w:vAlign w:val="center"/>
          </w:tcPr>
          <w:p>
            <w:pPr>
              <w:pStyle w:val="43"/>
              <w:bidi w:val="0"/>
              <w:ind w:firstLine="0" w:firstLineChars="0"/>
              <w:rPr>
                <w:rFonts w:hint="eastAsia"/>
                <w:lang w:val="zh-CN"/>
              </w:rPr>
            </w:pPr>
          </w:p>
        </w:tc>
        <w:tc>
          <w:tcPr>
            <w:tcW w:w="3561" w:type="dxa"/>
            <w:vAlign w:val="center"/>
          </w:tcPr>
          <w:p>
            <w:pPr>
              <w:pStyle w:val="18"/>
              <w:keepNext w:val="0"/>
              <w:keepLines w:val="0"/>
              <w:widowControl/>
              <w:suppressLineNumbers w:val="0"/>
              <w:spacing w:before="50" w:beforeAutospacing="0" w:after="50" w:afterAutospacing="0"/>
              <w:ind w:left="0" w:right="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i w:val="0"/>
                <w:caps w:val="0"/>
                <w:color w:val="000000" w:themeColor="text1"/>
                <w:spacing w:val="0"/>
                <w:sz w:val="21"/>
                <w:szCs w:val="21"/>
                <w:highlight w:val="none"/>
                <w14:textFill>
                  <w14:solidFill>
                    <w14:schemeClr w14:val="tx1"/>
                  </w14:solidFill>
                </w14:textFill>
              </w:rPr>
              <w:t>中标</w:t>
            </w:r>
            <w:r>
              <w:rPr>
                <w:rFonts w:hint="eastAsia" w:ascii="宋体" w:hAnsi="宋体" w:eastAsia="宋体" w:cs="宋体"/>
                <w:b/>
                <w:i w:val="0"/>
                <w:caps w:val="0"/>
                <w:color w:val="000000" w:themeColor="text1"/>
                <w:spacing w:val="0"/>
                <w:sz w:val="21"/>
                <w:szCs w:val="21"/>
                <w:highlight w:val="none"/>
                <w:lang w:val="en-US" w:eastAsia="zh-CN"/>
                <w14:textFill>
                  <w14:solidFill>
                    <w14:schemeClr w14:val="tx1"/>
                  </w14:solidFill>
                </w14:textFill>
              </w:rPr>
              <w:t>/成交</w:t>
            </w:r>
            <w:r>
              <w:rPr>
                <w:rFonts w:hint="eastAsia" w:ascii="宋体" w:hAnsi="宋体" w:eastAsia="宋体" w:cs="宋体"/>
                <w:b/>
                <w:i w:val="0"/>
                <w:caps w:val="0"/>
                <w:color w:val="000000" w:themeColor="text1"/>
                <w:spacing w:val="0"/>
                <w:sz w:val="21"/>
                <w:szCs w:val="21"/>
                <w:highlight w:val="none"/>
                <w14:textFill>
                  <w14:solidFill>
                    <w14:schemeClr w14:val="tx1"/>
                  </w14:solidFill>
                </w14:textFill>
              </w:rPr>
              <w:t>金额（万元）</w:t>
            </w:r>
          </w:p>
        </w:tc>
        <w:tc>
          <w:tcPr>
            <w:tcW w:w="3683" w:type="dxa"/>
            <w:vAlign w:val="center"/>
          </w:tcPr>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i w:val="0"/>
                <w:caps w:val="0"/>
                <w:color w:val="000000" w:themeColor="text1"/>
                <w:spacing w:val="0"/>
                <w:sz w:val="21"/>
                <w:szCs w:val="21"/>
                <w:highlight w:val="none"/>
                <w14:textFill>
                  <w14:solidFill>
                    <w14:schemeClr w14:val="tx1"/>
                  </w14:solidFill>
                </w14:textFill>
              </w:rPr>
              <w:t>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2" w:hRule="atLeast"/>
          <w:jc w:val="center"/>
        </w:trPr>
        <w:tc>
          <w:tcPr>
            <w:tcW w:w="570" w:type="dxa"/>
            <w:vMerge w:val="continue"/>
            <w:vAlign w:val="center"/>
          </w:tcPr>
          <w:p>
            <w:pPr>
              <w:pStyle w:val="43"/>
              <w:numPr>
                <w:ilvl w:val="0"/>
                <w:numId w:val="8"/>
              </w:numPr>
              <w:bidi w:val="0"/>
              <w:ind w:left="0" w:leftChars="0" w:firstLine="0" w:firstLineChars="0"/>
              <w:rPr>
                <w:rFonts w:hint="eastAsia"/>
                <w:lang w:val="en-US" w:eastAsia="zh-CN"/>
              </w:rPr>
            </w:pPr>
          </w:p>
        </w:tc>
        <w:tc>
          <w:tcPr>
            <w:tcW w:w="1936" w:type="dxa"/>
            <w:vMerge w:val="continue"/>
            <w:vAlign w:val="center"/>
          </w:tcPr>
          <w:p>
            <w:pPr>
              <w:pStyle w:val="43"/>
              <w:bidi w:val="0"/>
              <w:ind w:firstLine="0" w:firstLineChars="0"/>
              <w:rPr>
                <w:rFonts w:hint="eastAsia"/>
                <w:lang w:val="zh-CN"/>
              </w:rPr>
            </w:pPr>
          </w:p>
        </w:tc>
        <w:tc>
          <w:tcPr>
            <w:tcW w:w="3561" w:type="dxa"/>
            <w:vAlign w:val="center"/>
          </w:tcPr>
          <w:p>
            <w:pPr>
              <w:pStyle w:val="18"/>
              <w:keepNext w:val="0"/>
              <w:keepLines w:val="0"/>
              <w:widowControl/>
              <w:suppressLineNumbers w:val="0"/>
              <w:spacing w:before="50" w:beforeAutospacing="0" w:after="50" w:afterAutospacing="0"/>
              <w:ind w:left="0" w:leftChars="0" w:right="0" w:rightChars="0" w:firstLine="0" w:firstLineChars="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i w:val="0"/>
                <w:caps w:val="0"/>
                <w:color w:val="000000" w:themeColor="text1"/>
                <w:spacing w:val="0"/>
                <w:sz w:val="21"/>
                <w:szCs w:val="21"/>
                <w:highlight w:val="none"/>
                <w14:textFill>
                  <w14:solidFill>
                    <w14:schemeClr w14:val="tx1"/>
                  </w14:solidFill>
                </w14:textFill>
              </w:rPr>
              <w:t>100以下</w:t>
            </w:r>
          </w:p>
        </w:tc>
        <w:tc>
          <w:tcPr>
            <w:tcW w:w="3683" w:type="dxa"/>
            <w:vAlign w:val="center"/>
          </w:tcPr>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i w:val="0"/>
                <w:caps w:val="0"/>
                <w:color w:val="000000" w:themeColor="text1"/>
                <w:spacing w:val="0"/>
                <w:sz w:val="21"/>
                <w:szCs w:val="21"/>
                <w:highlight w:val="none"/>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570" w:type="dxa"/>
            <w:vMerge w:val="continue"/>
            <w:vAlign w:val="center"/>
          </w:tcPr>
          <w:p>
            <w:pPr>
              <w:pStyle w:val="43"/>
              <w:numPr>
                <w:ilvl w:val="0"/>
                <w:numId w:val="8"/>
              </w:numPr>
              <w:bidi w:val="0"/>
              <w:ind w:left="0" w:leftChars="0" w:firstLine="0" w:firstLineChars="0"/>
              <w:rPr>
                <w:rFonts w:hint="eastAsia"/>
                <w:lang w:val="en-US" w:eastAsia="zh-CN"/>
              </w:rPr>
            </w:pPr>
          </w:p>
        </w:tc>
        <w:tc>
          <w:tcPr>
            <w:tcW w:w="1936" w:type="dxa"/>
            <w:vMerge w:val="continue"/>
            <w:vAlign w:val="center"/>
          </w:tcPr>
          <w:p>
            <w:pPr>
              <w:pStyle w:val="43"/>
              <w:bidi w:val="0"/>
              <w:ind w:firstLine="0" w:firstLineChars="0"/>
              <w:rPr>
                <w:rFonts w:hint="eastAsia"/>
                <w:lang w:val="zh-CN"/>
              </w:rPr>
            </w:pPr>
          </w:p>
        </w:tc>
        <w:tc>
          <w:tcPr>
            <w:tcW w:w="3561" w:type="dxa"/>
            <w:vAlign w:val="center"/>
          </w:tcPr>
          <w:p>
            <w:pPr>
              <w:pStyle w:val="18"/>
              <w:keepNext w:val="0"/>
              <w:keepLines w:val="0"/>
              <w:widowControl/>
              <w:suppressLineNumbers w:val="0"/>
              <w:spacing w:before="50" w:beforeAutospacing="0" w:after="50" w:afterAutospacing="0"/>
              <w:ind w:left="0" w:leftChars="0" w:right="0" w:rightChars="0" w:firstLine="0" w:firstLineChars="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i w:val="0"/>
                <w:caps w:val="0"/>
                <w:color w:val="000000" w:themeColor="text1"/>
                <w:spacing w:val="0"/>
                <w:sz w:val="21"/>
                <w:szCs w:val="21"/>
                <w:highlight w:val="none"/>
                <w14:textFill>
                  <w14:solidFill>
                    <w14:schemeClr w14:val="tx1"/>
                  </w14:solidFill>
                </w14:textFill>
              </w:rPr>
              <w:t>100-500</w:t>
            </w:r>
          </w:p>
        </w:tc>
        <w:tc>
          <w:tcPr>
            <w:tcW w:w="3683" w:type="dxa"/>
            <w:vAlign w:val="center"/>
          </w:tcPr>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i w:val="0"/>
                <w:caps w:val="0"/>
                <w:color w:val="000000" w:themeColor="text1"/>
                <w:spacing w:val="0"/>
                <w:sz w:val="21"/>
                <w:szCs w:val="21"/>
                <w:highlight w:val="none"/>
                <w14:textFill>
                  <w14:solidFill>
                    <w14:schemeClr w14:val="tx1"/>
                  </w14:solidFill>
                </w14:textFill>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5" w:hRule="atLeast"/>
          <w:jc w:val="center"/>
        </w:trPr>
        <w:tc>
          <w:tcPr>
            <w:tcW w:w="570" w:type="dxa"/>
            <w:vMerge w:val="continue"/>
            <w:vAlign w:val="center"/>
          </w:tcPr>
          <w:p>
            <w:pPr>
              <w:pStyle w:val="43"/>
              <w:numPr>
                <w:ilvl w:val="0"/>
                <w:numId w:val="8"/>
              </w:numPr>
              <w:bidi w:val="0"/>
              <w:ind w:left="0" w:leftChars="0" w:firstLine="0" w:firstLineChars="0"/>
              <w:rPr>
                <w:rFonts w:hint="eastAsia"/>
                <w:lang w:val="en-US" w:eastAsia="zh-CN"/>
              </w:rPr>
            </w:pPr>
          </w:p>
        </w:tc>
        <w:tc>
          <w:tcPr>
            <w:tcW w:w="1936" w:type="dxa"/>
            <w:vMerge w:val="continue"/>
            <w:vAlign w:val="center"/>
          </w:tcPr>
          <w:p>
            <w:pPr>
              <w:pStyle w:val="43"/>
              <w:bidi w:val="0"/>
              <w:ind w:firstLine="0" w:firstLineChars="0"/>
              <w:rPr>
                <w:rFonts w:hint="eastAsia"/>
                <w:lang w:val="zh-CN"/>
              </w:rPr>
            </w:pPr>
          </w:p>
        </w:tc>
        <w:tc>
          <w:tcPr>
            <w:tcW w:w="3561" w:type="dxa"/>
            <w:vAlign w:val="center"/>
          </w:tcPr>
          <w:p>
            <w:pPr>
              <w:pStyle w:val="18"/>
              <w:keepNext w:val="0"/>
              <w:keepLines w:val="0"/>
              <w:widowControl/>
              <w:suppressLineNumbers w:val="0"/>
              <w:spacing w:before="50" w:beforeAutospacing="0" w:after="50" w:afterAutospacing="0"/>
              <w:ind w:left="0" w:leftChars="0" w:right="0" w:rightChars="0" w:firstLine="0" w:firstLineChars="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i w:val="0"/>
                <w:caps w:val="0"/>
                <w:color w:val="000000" w:themeColor="text1"/>
                <w:spacing w:val="0"/>
                <w:sz w:val="21"/>
                <w:szCs w:val="21"/>
                <w:highlight w:val="none"/>
                <w14:textFill>
                  <w14:solidFill>
                    <w14:schemeClr w14:val="tx1"/>
                  </w14:solidFill>
                </w14:textFill>
              </w:rPr>
              <w:t>500-1000</w:t>
            </w:r>
          </w:p>
        </w:tc>
        <w:tc>
          <w:tcPr>
            <w:tcW w:w="3683" w:type="dxa"/>
            <w:vAlign w:val="center"/>
          </w:tcPr>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i w:val="0"/>
                <w:caps w:val="0"/>
                <w:color w:val="000000" w:themeColor="text1"/>
                <w:spacing w:val="0"/>
                <w:sz w:val="21"/>
                <w:szCs w:val="21"/>
                <w:highlight w:val="none"/>
                <w14:textFill>
                  <w14:solidFill>
                    <w14:schemeClr w14:val="tx1"/>
                  </w14:solidFill>
                </w14:textFill>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 w:hRule="atLeast"/>
          <w:jc w:val="center"/>
        </w:trPr>
        <w:tc>
          <w:tcPr>
            <w:tcW w:w="570" w:type="dxa"/>
            <w:vMerge w:val="continue"/>
            <w:vAlign w:val="center"/>
          </w:tcPr>
          <w:p>
            <w:pPr>
              <w:pStyle w:val="43"/>
              <w:numPr>
                <w:ilvl w:val="0"/>
                <w:numId w:val="8"/>
              </w:numPr>
              <w:bidi w:val="0"/>
              <w:ind w:left="0" w:leftChars="0" w:firstLine="0" w:firstLineChars="0"/>
              <w:rPr>
                <w:rFonts w:hint="eastAsia"/>
                <w:lang w:val="en-US" w:eastAsia="zh-CN"/>
              </w:rPr>
            </w:pPr>
          </w:p>
        </w:tc>
        <w:tc>
          <w:tcPr>
            <w:tcW w:w="1936" w:type="dxa"/>
            <w:vMerge w:val="continue"/>
            <w:vAlign w:val="center"/>
          </w:tcPr>
          <w:p>
            <w:pPr>
              <w:pStyle w:val="43"/>
              <w:bidi w:val="0"/>
              <w:ind w:firstLine="0" w:firstLineChars="0"/>
              <w:rPr>
                <w:rFonts w:hint="eastAsia"/>
                <w:lang w:val="zh-CN"/>
              </w:rPr>
            </w:pPr>
          </w:p>
        </w:tc>
        <w:tc>
          <w:tcPr>
            <w:tcW w:w="3561" w:type="dxa"/>
            <w:vAlign w:val="center"/>
          </w:tcPr>
          <w:p>
            <w:pPr>
              <w:pStyle w:val="18"/>
              <w:keepNext w:val="0"/>
              <w:keepLines w:val="0"/>
              <w:widowControl/>
              <w:suppressLineNumbers w:val="0"/>
              <w:spacing w:before="50" w:beforeAutospacing="0" w:after="50" w:afterAutospacing="0"/>
              <w:ind w:left="0" w:leftChars="0" w:right="0" w:rightChars="0" w:firstLine="0" w:firstLineChars="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i w:val="0"/>
                <w:caps w:val="0"/>
                <w:color w:val="000000" w:themeColor="text1"/>
                <w:spacing w:val="0"/>
                <w:sz w:val="21"/>
                <w:szCs w:val="21"/>
                <w:highlight w:val="none"/>
                <w14:textFill>
                  <w14:solidFill>
                    <w14:schemeClr w14:val="tx1"/>
                  </w14:solidFill>
                </w14:textFill>
              </w:rPr>
              <w:t>1000-5000</w:t>
            </w:r>
          </w:p>
        </w:tc>
        <w:tc>
          <w:tcPr>
            <w:tcW w:w="3683" w:type="dxa"/>
            <w:vAlign w:val="center"/>
          </w:tcPr>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i w:val="0"/>
                <w:caps w:val="0"/>
                <w:color w:val="000000" w:themeColor="text1"/>
                <w:spacing w:val="0"/>
                <w:sz w:val="21"/>
                <w:szCs w:val="21"/>
                <w:highlight w:val="none"/>
                <w14:textFill>
                  <w14:solidFill>
                    <w14:schemeClr w14:val="tx1"/>
                  </w14:solidFill>
                </w14:textFill>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 w:hRule="atLeast"/>
          <w:jc w:val="center"/>
        </w:trPr>
        <w:tc>
          <w:tcPr>
            <w:tcW w:w="570" w:type="dxa"/>
            <w:vMerge w:val="continue"/>
            <w:vAlign w:val="center"/>
          </w:tcPr>
          <w:p>
            <w:pPr>
              <w:pStyle w:val="43"/>
              <w:numPr>
                <w:ilvl w:val="0"/>
                <w:numId w:val="8"/>
              </w:numPr>
              <w:bidi w:val="0"/>
              <w:ind w:left="0" w:leftChars="0" w:firstLine="0" w:firstLineChars="0"/>
              <w:rPr>
                <w:rFonts w:hint="eastAsia"/>
                <w:lang w:val="en-US" w:eastAsia="zh-CN"/>
              </w:rPr>
            </w:pPr>
          </w:p>
        </w:tc>
        <w:tc>
          <w:tcPr>
            <w:tcW w:w="1936" w:type="dxa"/>
            <w:vMerge w:val="continue"/>
            <w:vAlign w:val="center"/>
          </w:tcPr>
          <w:p>
            <w:pPr>
              <w:pStyle w:val="43"/>
              <w:bidi w:val="0"/>
              <w:ind w:firstLine="0" w:firstLineChars="0"/>
              <w:rPr>
                <w:rFonts w:hint="eastAsia"/>
                <w:lang w:val="zh-CN"/>
              </w:rPr>
            </w:pPr>
          </w:p>
        </w:tc>
        <w:tc>
          <w:tcPr>
            <w:tcW w:w="3561" w:type="dxa"/>
            <w:vAlign w:val="center"/>
          </w:tcPr>
          <w:p>
            <w:pPr>
              <w:pStyle w:val="18"/>
              <w:keepNext w:val="0"/>
              <w:keepLines w:val="0"/>
              <w:widowControl/>
              <w:suppressLineNumbers w:val="0"/>
              <w:spacing w:before="50" w:beforeAutospacing="0" w:after="50" w:afterAutospacing="0"/>
              <w:ind w:left="0" w:leftChars="0" w:right="0" w:rightChars="0" w:firstLine="0" w:firstLineChars="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i w:val="0"/>
                <w:caps w:val="0"/>
                <w:color w:val="000000" w:themeColor="text1"/>
                <w:spacing w:val="0"/>
                <w:sz w:val="21"/>
                <w:szCs w:val="21"/>
                <w:highlight w:val="none"/>
                <w14:textFill>
                  <w14:solidFill>
                    <w14:schemeClr w14:val="tx1"/>
                  </w14:solidFill>
                </w14:textFill>
              </w:rPr>
              <w:t>5000-10000</w:t>
            </w:r>
          </w:p>
        </w:tc>
        <w:tc>
          <w:tcPr>
            <w:tcW w:w="3683" w:type="dxa"/>
            <w:vAlign w:val="center"/>
          </w:tcPr>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i w:val="0"/>
                <w:caps w:val="0"/>
                <w:color w:val="000000" w:themeColor="text1"/>
                <w:spacing w:val="0"/>
                <w:sz w:val="21"/>
                <w:szCs w:val="21"/>
                <w:highlight w:val="none"/>
                <w14:textFill>
                  <w14:solidFill>
                    <w14:schemeClr w14:val="tx1"/>
                  </w14:solidFill>
                </w14:textFil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jc w:val="center"/>
        </w:trPr>
        <w:tc>
          <w:tcPr>
            <w:tcW w:w="570" w:type="dxa"/>
            <w:vMerge w:val="continue"/>
            <w:vAlign w:val="center"/>
          </w:tcPr>
          <w:p>
            <w:pPr>
              <w:pStyle w:val="43"/>
              <w:numPr>
                <w:ilvl w:val="0"/>
                <w:numId w:val="8"/>
              </w:numPr>
              <w:bidi w:val="0"/>
              <w:ind w:left="0" w:leftChars="0" w:firstLine="0" w:firstLineChars="0"/>
              <w:rPr>
                <w:rFonts w:hint="eastAsia"/>
                <w:lang w:val="en-US" w:eastAsia="zh-CN"/>
              </w:rPr>
            </w:pPr>
          </w:p>
        </w:tc>
        <w:tc>
          <w:tcPr>
            <w:tcW w:w="1936" w:type="dxa"/>
            <w:vMerge w:val="continue"/>
            <w:vAlign w:val="center"/>
          </w:tcPr>
          <w:p>
            <w:pPr>
              <w:pStyle w:val="43"/>
              <w:bidi w:val="0"/>
              <w:ind w:firstLine="0" w:firstLineChars="0"/>
              <w:rPr>
                <w:rFonts w:hint="eastAsia"/>
                <w:lang w:val="zh-CN"/>
              </w:rPr>
            </w:pPr>
          </w:p>
        </w:tc>
        <w:tc>
          <w:tcPr>
            <w:tcW w:w="3561" w:type="dxa"/>
            <w:vAlign w:val="center"/>
          </w:tcPr>
          <w:p>
            <w:pPr>
              <w:pStyle w:val="18"/>
              <w:keepNext w:val="0"/>
              <w:keepLines w:val="0"/>
              <w:widowControl/>
              <w:suppressLineNumbers w:val="0"/>
              <w:spacing w:before="50" w:beforeAutospacing="0" w:after="50" w:afterAutospacing="0"/>
              <w:ind w:left="0" w:leftChars="0" w:right="0" w:rightChars="0" w:firstLine="0" w:firstLineChars="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i w:val="0"/>
                <w:caps w:val="0"/>
                <w:color w:val="000000" w:themeColor="text1"/>
                <w:spacing w:val="0"/>
                <w:sz w:val="21"/>
                <w:szCs w:val="21"/>
                <w:highlight w:val="none"/>
                <w14:textFill>
                  <w14:solidFill>
                    <w14:schemeClr w14:val="tx1"/>
                  </w14:solidFill>
                </w14:textFill>
              </w:rPr>
              <w:t>10000-100000</w:t>
            </w:r>
          </w:p>
        </w:tc>
        <w:tc>
          <w:tcPr>
            <w:tcW w:w="3683" w:type="dxa"/>
            <w:vAlign w:val="center"/>
          </w:tcPr>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i w:val="0"/>
                <w:caps w:val="0"/>
                <w:color w:val="000000" w:themeColor="text1"/>
                <w:spacing w:val="0"/>
                <w:sz w:val="21"/>
                <w:szCs w:val="21"/>
                <w:highlight w:val="none"/>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jc w:val="center"/>
        </w:trPr>
        <w:tc>
          <w:tcPr>
            <w:tcW w:w="570" w:type="dxa"/>
            <w:vMerge w:val="continue"/>
            <w:vAlign w:val="center"/>
          </w:tcPr>
          <w:p>
            <w:pPr>
              <w:pStyle w:val="43"/>
              <w:numPr>
                <w:ilvl w:val="0"/>
                <w:numId w:val="8"/>
              </w:numPr>
              <w:bidi w:val="0"/>
              <w:ind w:left="0" w:leftChars="0" w:firstLine="0" w:firstLineChars="0"/>
              <w:rPr>
                <w:rFonts w:hint="eastAsia"/>
                <w:lang w:val="en-US" w:eastAsia="zh-CN"/>
              </w:rPr>
            </w:pPr>
          </w:p>
        </w:tc>
        <w:tc>
          <w:tcPr>
            <w:tcW w:w="1936" w:type="dxa"/>
            <w:vMerge w:val="continue"/>
            <w:vAlign w:val="center"/>
          </w:tcPr>
          <w:p>
            <w:pPr>
              <w:pStyle w:val="43"/>
              <w:bidi w:val="0"/>
              <w:ind w:firstLine="0" w:firstLineChars="0"/>
              <w:rPr>
                <w:rFonts w:hint="eastAsia"/>
                <w:lang w:val="zh-CN"/>
              </w:rPr>
            </w:pPr>
          </w:p>
        </w:tc>
        <w:tc>
          <w:tcPr>
            <w:tcW w:w="3561" w:type="dxa"/>
            <w:vAlign w:val="center"/>
          </w:tcPr>
          <w:p>
            <w:pPr>
              <w:pStyle w:val="18"/>
              <w:keepNext w:val="0"/>
              <w:keepLines w:val="0"/>
              <w:widowControl/>
              <w:suppressLineNumbers w:val="0"/>
              <w:spacing w:before="50" w:beforeAutospacing="0" w:after="50" w:afterAutospacing="0"/>
              <w:ind w:left="0" w:leftChars="0" w:right="0" w:rightChars="0" w:firstLine="0" w:firstLineChars="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i w:val="0"/>
                <w:caps w:val="0"/>
                <w:color w:val="000000" w:themeColor="text1"/>
                <w:spacing w:val="0"/>
                <w:sz w:val="21"/>
                <w:szCs w:val="21"/>
                <w:highlight w:val="none"/>
                <w14:textFill>
                  <w14:solidFill>
                    <w14:schemeClr w14:val="tx1"/>
                  </w14:solidFill>
                </w14:textFill>
              </w:rPr>
              <w:t>1000000以上</w:t>
            </w:r>
          </w:p>
        </w:tc>
        <w:tc>
          <w:tcPr>
            <w:tcW w:w="3683" w:type="dxa"/>
            <w:vAlign w:val="center"/>
          </w:tcPr>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jc w:val="center"/>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i w:val="0"/>
                <w:caps w:val="0"/>
                <w:color w:val="000000" w:themeColor="text1"/>
                <w:spacing w:val="0"/>
                <w:sz w:val="21"/>
                <w:szCs w:val="21"/>
                <w:highlight w:val="none"/>
                <w14:textFill>
                  <w14:solidFill>
                    <w14:schemeClr w14:val="tx1"/>
                  </w14:solidFill>
                </w14:textFill>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1" w:hRule="atLeast"/>
          <w:jc w:val="center"/>
        </w:trPr>
        <w:tc>
          <w:tcPr>
            <w:tcW w:w="570" w:type="dxa"/>
            <w:vMerge w:val="continue"/>
            <w:vAlign w:val="center"/>
          </w:tcPr>
          <w:p>
            <w:pPr>
              <w:pStyle w:val="43"/>
              <w:numPr>
                <w:ilvl w:val="0"/>
                <w:numId w:val="8"/>
              </w:numPr>
              <w:bidi w:val="0"/>
              <w:ind w:left="0" w:leftChars="0" w:firstLine="0" w:firstLineChars="0"/>
              <w:rPr>
                <w:rFonts w:hint="eastAsia"/>
                <w:lang w:val="en-US" w:eastAsia="zh-CN"/>
              </w:rPr>
            </w:pPr>
          </w:p>
        </w:tc>
        <w:tc>
          <w:tcPr>
            <w:tcW w:w="1936" w:type="dxa"/>
            <w:vMerge w:val="continue"/>
            <w:vAlign w:val="center"/>
          </w:tcPr>
          <w:p>
            <w:pPr>
              <w:pStyle w:val="43"/>
              <w:bidi w:val="0"/>
              <w:ind w:firstLine="0" w:firstLineChars="0"/>
              <w:rPr>
                <w:rFonts w:hint="eastAsia"/>
                <w:lang w:val="zh-CN"/>
              </w:rPr>
            </w:pPr>
          </w:p>
        </w:tc>
        <w:tc>
          <w:tcPr>
            <w:tcW w:w="7244" w:type="dxa"/>
            <w:gridSpan w:val="2"/>
            <w:vAlign w:val="top"/>
          </w:tcPr>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注：①按照上述收费标准计算的招标代理服务费为采购全过程包干价。②</w:t>
            </w:r>
            <w:r>
              <w:rPr>
                <w:rFonts w:hint="eastAsia" w:ascii="宋体" w:hAnsi="宋体" w:eastAsia="宋体" w:cs="宋体"/>
                <w:b w:val="0"/>
                <w:i w:val="0"/>
                <w:caps w:val="0"/>
                <w:color w:val="000000" w:themeColor="text1"/>
                <w:spacing w:val="0"/>
                <w:sz w:val="21"/>
                <w:szCs w:val="21"/>
                <w:highlight w:val="none"/>
                <w14:textFill>
                  <w14:solidFill>
                    <w14:schemeClr w14:val="tx1"/>
                  </w14:solidFill>
                </w14:textFill>
              </w:rPr>
              <w:t>招标代理服务收费按差额定率累进法计算</w:t>
            </w:r>
            <w:r>
              <w:rPr>
                <w:rFonts w:hint="eastAsia" w:ascii="宋体" w:hAnsi="宋体" w:eastAsia="宋体" w:cs="宋体"/>
                <w:b w:val="0"/>
                <w:i w:val="0"/>
                <w:caps w:val="0"/>
                <w:color w:val="000000" w:themeColor="text1"/>
                <w:spacing w:val="0"/>
                <w:sz w:val="21"/>
                <w:szCs w:val="21"/>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3"/>
              <w:numPr>
                <w:ilvl w:val="0"/>
                <w:numId w:val="8"/>
              </w:numPr>
              <w:bidi w:val="0"/>
              <w:ind w:left="0" w:leftChars="0" w:firstLine="0" w:firstLineChars="0"/>
              <w:rPr>
                <w:rFonts w:hint="eastAsia"/>
                <w:color w:val="000000" w:themeColor="text1"/>
                <w:lang w:val="en-US" w:eastAsia="zh-CN"/>
                <w14:textFill>
                  <w14:solidFill>
                    <w14:schemeClr w14:val="tx1"/>
                  </w14:solidFill>
                </w14:textFill>
              </w:rPr>
            </w:pPr>
          </w:p>
        </w:tc>
        <w:tc>
          <w:tcPr>
            <w:tcW w:w="1936" w:type="dxa"/>
            <w:vAlign w:val="center"/>
          </w:tcPr>
          <w:p>
            <w:pPr>
              <w:pStyle w:val="43"/>
              <w:bidi w:val="0"/>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履约保证金</w:t>
            </w:r>
          </w:p>
        </w:tc>
        <w:tc>
          <w:tcPr>
            <w:tcW w:w="7244" w:type="dxa"/>
            <w:gridSpan w:val="2"/>
            <w:vAlign w:val="center"/>
          </w:tcPr>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本项目不收取履约保证金</w:t>
            </w:r>
            <w:r>
              <w:rPr>
                <w:rFonts w:hint="eastAsia"/>
                <w:color w:val="000000" w:themeColor="text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3" w:hRule="atLeast"/>
          <w:jc w:val="center"/>
        </w:trPr>
        <w:tc>
          <w:tcPr>
            <w:tcW w:w="570" w:type="dxa"/>
            <w:vAlign w:val="center"/>
          </w:tcPr>
          <w:p>
            <w:pPr>
              <w:pStyle w:val="43"/>
              <w:numPr>
                <w:ilvl w:val="0"/>
                <w:numId w:val="8"/>
              </w:numPr>
              <w:bidi w:val="0"/>
              <w:ind w:left="0" w:leftChars="0" w:firstLine="0" w:firstLineChars="0"/>
              <w:rPr>
                <w:rFonts w:hint="eastAsia"/>
                <w:lang w:val="en-US" w:eastAsia="zh-CN"/>
              </w:rPr>
            </w:pPr>
          </w:p>
        </w:tc>
        <w:tc>
          <w:tcPr>
            <w:tcW w:w="1936" w:type="dxa"/>
            <w:vAlign w:val="center"/>
          </w:tcPr>
          <w:p>
            <w:pPr>
              <w:pStyle w:val="43"/>
              <w:bidi w:val="0"/>
              <w:ind w:firstLine="0" w:firstLineChars="0"/>
              <w:rPr>
                <w:rFonts w:hint="eastAsia"/>
                <w:lang w:val="en-US" w:eastAsia="zh-CN"/>
              </w:rPr>
            </w:pPr>
            <w:r>
              <w:rPr>
                <w:rFonts w:hint="eastAsia"/>
                <w:lang w:val="en-US" w:eastAsia="zh-CN"/>
              </w:rPr>
              <w:t>政府采购供应商信用融资</w:t>
            </w:r>
          </w:p>
        </w:tc>
        <w:tc>
          <w:tcPr>
            <w:tcW w:w="7244" w:type="dxa"/>
            <w:gridSpan w:val="2"/>
            <w:vAlign w:val="center"/>
          </w:tcPr>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highlight w:val="none"/>
                <w:lang w:val="en-US" w:eastAsia="zh-CN"/>
              </w:rPr>
            </w:pPr>
            <w:r>
              <w:rPr>
                <w:rFonts w:hint="eastAsia"/>
                <w:highlight w:val="none"/>
                <w:lang w:val="en-US" w:eastAsia="zh-CN"/>
              </w:rPr>
              <w:t>1.政府采购供应商信用融资，是指银行以政府采购供应商信用审查和政府采购信誉为基础，依托政府采购合同，按优于一般企业的贷款程序和利率，直接向申请贷款的供应商发放无财产抵押贷款的一种融资模式。</w:t>
            </w:r>
          </w:p>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highlight w:val="none"/>
                <w:lang w:val="en-US" w:eastAsia="zh-CN"/>
              </w:rPr>
            </w:pPr>
            <w:r>
              <w:rPr>
                <w:rFonts w:hint="eastAsia"/>
                <w:highlight w:val="none"/>
                <w:lang w:val="en-US" w:eastAsia="zh-CN"/>
              </w:rPr>
              <w:t>2.根据《四川省财政厅关于推进四川省政府采购供应商信用融资工作的通知》(川财采〔2018〕123号)文件要求，有融资需求的供应商可根据四川政府采购网公示的银行及其“政采贷”产品，自行选择符合自身情况的“政采贷”银行及其产品，凭中标通知书向银行提出贷款意向申请。</w:t>
            </w:r>
          </w:p>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highlight w:val="none"/>
                <w:lang w:val="en-US" w:eastAsia="zh-CN"/>
              </w:rPr>
            </w:pPr>
            <w:r>
              <w:rPr>
                <w:rFonts w:hint="eastAsia"/>
                <w:highlight w:val="none"/>
                <w:lang w:val="en-US" w:eastAsia="zh-CN"/>
              </w:rPr>
              <w:t>3.“政采贷”政策咨询电话：</w:t>
            </w:r>
            <w:r>
              <w:rPr>
                <w:rFonts w:hint="eastAsia"/>
                <w:highlight w:val="none"/>
                <w:lang w:val="zh-CN" w:eastAsia="zh-CN"/>
              </w:rPr>
              <w:t>028-61375575转6</w:t>
            </w:r>
            <w:r>
              <w:rPr>
                <w:rFonts w:hint="eastAsia"/>
                <w:highlight w:val="none"/>
                <w:lang w:val="en-US" w:eastAsia="zh-CN"/>
              </w:rPr>
              <w:t>08。</w:t>
            </w:r>
          </w:p>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highlight w:val="none"/>
                <w:lang w:val="en-US" w:eastAsia="zh-CN"/>
              </w:rPr>
            </w:pPr>
            <w:r>
              <w:rPr>
                <w:rFonts w:hint="eastAsia"/>
                <w:highlight w:val="none"/>
                <w:lang w:val="en-US" w:eastAsia="zh-CN"/>
              </w:rPr>
              <w:t>注：相关政策文件详见本招标文件附件内容。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3"/>
              <w:numPr>
                <w:ilvl w:val="0"/>
                <w:numId w:val="8"/>
              </w:numPr>
              <w:bidi w:val="0"/>
              <w:ind w:left="0" w:leftChars="0" w:firstLine="0" w:firstLineChars="0"/>
              <w:rPr>
                <w:rFonts w:hint="eastAsia"/>
                <w:lang w:val="en-US" w:eastAsia="zh-CN"/>
              </w:rPr>
            </w:pPr>
          </w:p>
        </w:tc>
        <w:tc>
          <w:tcPr>
            <w:tcW w:w="1936" w:type="dxa"/>
            <w:vAlign w:val="top"/>
          </w:tcPr>
          <w:p>
            <w:pPr>
              <w:pStyle w:val="43"/>
              <w:keepNext w:val="0"/>
              <w:keepLines w:val="0"/>
              <w:pageBreakBefore w:val="0"/>
              <w:widowControl w:val="0"/>
              <w:kinsoku/>
              <w:wordWrap w:val="0"/>
              <w:overflowPunct/>
              <w:topLinePunct/>
              <w:autoSpaceDE/>
              <w:autoSpaceDN/>
              <w:bidi w:val="0"/>
              <w:adjustRightInd w:val="0"/>
              <w:snapToGrid w:val="0"/>
              <w:ind w:left="24" w:leftChars="10" w:right="24" w:rightChars="10"/>
              <w:textAlignment w:val="auto"/>
              <w:rPr>
                <w:rFonts w:hint="eastAsia"/>
              </w:rPr>
            </w:pPr>
          </w:p>
          <w:p>
            <w:pPr>
              <w:pStyle w:val="43"/>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rPr>
            </w:pPr>
            <w:r>
              <w:rPr>
                <w:rFonts w:hint="eastAsia"/>
              </w:rPr>
              <w:t>政府采购合同公告</w:t>
            </w:r>
          </w:p>
          <w:p>
            <w:pPr>
              <w:pStyle w:val="43"/>
              <w:keepNext w:val="0"/>
              <w:keepLines w:val="0"/>
              <w:pageBreakBefore w:val="0"/>
              <w:widowControl w:val="0"/>
              <w:kinsoku/>
              <w:wordWrap w:val="0"/>
              <w:overflowPunct/>
              <w:topLinePunct/>
              <w:autoSpaceDE/>
              <w:autoSpaceDN/>
              <w:bidi w:val="0"/>
              <w:adjustRightInd w:val="0"/>
              <w:snapToGrid w:val="0"/>
              <w:ind w:left="24" w:leftChars="10" w:right="24" w:rightChars="10" w:firstLine="0" w:firstLineChars="0"/>
              <w:textAlignment w:val="auto"/>
              <w:rPr>
                <w:rFonts w:hint="eastAsia"/>
                <w:lang w:val="en-US" w:eastAsia="zh-CN"/>
              </w:rPr>
            </w:pPr>
            <w:r>
              <w:rPr>
                <w:rFonts w:hint="eastAsia"/>
              </w:rPr>
              <w:t>备案</w:t>
            </w:r>
          </w:p>
        </w:tc>
        <w:tc>
          <w:tcPr>
            <w:tcW w:w="7244" w:type="dxa"/>
            <w:gridSpan w:val="2"/>
            <w:vAlign w:val="top"/>
          </w:tcPr>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textAlignment w:val="auto"/>
              <w:rPr>
                <w:rFonts w:hint="eastAsia"/>
                <w:lang w:val="en-US" w:eastAsia="zh-CN"/>
              </w:rPr>
            </w:pPr>
            <w:r>
              <w:rPr>
                <w:rFonts w:hint="eastAsia"/>
              </w:rPr>
              <w:t>政府采购合同签订之日起2个工作日内，政府采购合同将在</w:t>
            </w:r>
            <w:r>
              <w:rPr>
                <w:rFonts w:hint="eastAsia"/>
                <w:lang w:eastAsia="zh-CN"/>
              </w:rPr>
              <w:t>“四川政府采购网”</w:t>
            </w:r>
            <w:r>
              <w:rPr>
                <w:rFonts w:hint="eastAsia"/>
              </w:rPr>
              <w:t>公告</w:t>
            </w:r>
            <w:r>
              <w:rPr>
                <w:rFonts w:hint="eastAsia"/>
                <w:lang w:val="en-US" w:eastAsia="zh-CN"/>
              </w:rPr>
              <w:t>(包含联合体协议和分包意向协议，分包意向协议公开仅限于享受了政府采购相关扶持政策的情形)</w:t>
            </w:r>
            <w:r>
              <w:rPr>
                <w:rFonts w:hint="eastAsia"/>
              </w:rPr>
              <w:t>；政府采购合同签订之日起七个工作日内，政府采购合同将向本采购项目同级财政部门</w:t>
            </w:r>
            <w:r>
              <w:rPr>
                <w:rFonts w:hint="eastAsia"/>
                <w:lang w:val="zh-CN" w:eastAsia="zh-CN"/>
              </w:rPr>
              <w:t>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3"/>
              <w:numPr>
                <w:ilvl w:val="0"/>
                <w:numId w:val="8"/>
              </w:numPr>
              <w:bidi w:val="0"/>
              <w:ind w:left="0" w:leftChars="0" w:firstLine="0" w:firstLineChars="0"/>
              <w:rPr>
                <w:rFonts w:hint="eastAsia"/>
                <w:lang w:val="en-US" w:eastAsia="zh-CN"/>
              </w:rPr>
            </w:pPr>
          </w:p>
        </w:tc>
        <w:tc>
          <w:tcPr>
            <w:tcW w:w="1936" w:type="dxa"/>
            <w:vAlign w:val="center"/>
          </w:tcPr>
          <w:p>
            <w:pPr>
              <w:pStyle w:val="43"/>
              <w:bidi w:val="0"/>
              <w:rPr>
                <w:rFonts w:hint="eastAsia"/>
                <w:lang w:val="zh-CN"/>
              </w:rPr>
            </w:pPr>
            <w:r>
              <w:rPr>
                <w:rFonts w:hint="eastAsia"/>
              </w:rPr>
              <w:t>供应商询问</w:t>
            </w:r>
          </w:p>
        </w:tc>
        <w:tc>
          <w:tcPr>
            <w:tcW w:w="7244" w:type="dxa"/>
            <w:gridSpan w:val="2"/>
            <w:vAlign w:val="top"/>
          </w:tcPr>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eastAsia="宋体"/>
                <w:lang w:val="zh-CN" w:eastAsia="zh-CN"/>
              </w:rPr>
            </w:pPr>
            <w:r>
              <w:rPr>
                <w:rFonts w:hint="eastAsia"/>
                <w:lang w:val="en-US" w:eastAsia="zh-CN"/>
              </w:rPr>
              <w:t>1.</w:t>
            </w:r>
            <w:r>
              <w:rPr>
                <w:rFonts w:hint="eastAsia"/>
              </w:rPr>
              <w:t>根据委托代理协议约定，</w:t>
            </w:r>
            <w:r>
              <w:rPr>
                <w:rFonts w:hint="eastAsia"/>
                <w:lang w:val="en-US" w:eastAsia="zh-CN"/>
              </w:rPr>
              <w:t>采购人</w:t>
            </w:r>
            <w:r>
              <w:rPr>
                <w:rFonts w:hint="eastAsia"/>
              </w:rPr>
              <w:t>负责对采购文件技术参数部分的询问答复，</w:t>
            </w:r>
            <w:r>
              <w:rPr>
                <w:rFonts w:hint="eastAsia"/>
                <w:lang w:val="en-US" w:eastAsia="zh-CN"/>
              </w:rPr>
              <w:t>四川乾新招投标代理有限公司</w:t>
            </w:r>
            <w:r>
              <w:rPr>
                <w:rFonts w:hint="eastAsia"/>
              </w:rPr>
              <w:t>负责采购文件技术参数部分以外的询问答复</w:t>
            </w:r>
            <w:r>
              <w:rPr>
                <w:rFonts w:hint="eastAsia"/>
                <w:lang w:eastAsia="zh-CN"/>
              </w:rPr>
              <w:t>。</w:t>
            </w:r>
          </w:p>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2.询问内容不得涉及评审秘密、国家机密和商业秘密等保密内容。</w:t>
            </w:r>
          </w:p>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3.询问方式：询问人可以采用书面或口头或电子邮件等方式向四川乾新招投标代理有限公司提出；询问必须提供询问人基本信息(包含具体询问内容、询问人名称或姓名、联系人及联系电话、电子邮件)。</w:t>
            </w:r>
          </w:p>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default"/>
                <w:lang w:val="en-US"/>
              </w:rPr>
            </w:pPr>
            <w:r>
              <w:rPr>
                <w:rFonts w:hint="eastAsia"/>
                <w:lang w:val="zh-CN" w:eastAsia="zh-CN"/>
              </w:rPr>
              <w:t>联系人：</w:t>
            </w:r>
            <w:r>
              <w:rPr>
                <w:rFonts w:hint="eastAsia"/>
                <w:lang w:val="en-US" w:eastAsia="zh-CN"/>
              </w:rPr>
              <w:t>郭巧樾</w:t>
            </w:r>
          </w:p>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default"/>
                <w:highlight w:val="none"/>
                <w:lang w:val="en-US" w:eastAsia="zh-CN"/>
              </w:rPr>
            </w:pPr>
            <w:r>
              <w:rPr>
                <w:rFonts w:hint="eastAsia"/>
                <w:lang w:val="zh-CN" w:eastAsia="zh-CN"/>
              </w:rPr>
              <w:t>联系电话：</w:t>
            </w:r>
            <w:r>
              <w:rPr>
                <w:rFonts w:hint="eastAsia"/>
                <w:lang w:eastAsia="zh-CN"/>
              </w:rPr>
              <w:t>028-61375575、6260082</w:t>
            </w:r>
            <w:r>
              <w:rPr>
                <w:rFonts w:hint="eastAsia"/>
                <w:highlight w:val="none"/>
                <w:lang w:eastAsia="zh-CN"/>
              </w:rPr>
              <w:t>0、62630990转</w:t>
            </w:r>
            <w:r>
              <w:rPr>
                <w:rFonts w:hint="eastAsia"/>
                <w:highlight w:val="none"/>
                <w:lang w:val="en-US" w:eastAsia="zh-CN"/>
              </w:rPr>
              <w:t>682</w:t>
            </w:r>
          </w:p>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zh-CN" w:eastAsia="zh-CN"/>
              </w:rPr>
            </w:pPr>
            <w:r>
              <w:rPr>
                <w:rFonts w:hint="eastAsia"/>
                <w:highlight w:val="none"/>
                <w:lang w:val="zh-CN" w:eastAsia="zh-CN"/>
              </w:rPr>
              <w:t>地址：成都市高新区吉庆三路333号蜀都中心二期一号楼一单</w:t>
            </w:r>
            <w:r>
              <w:rPr>
                <w:rFonts w:hint="eastAsia"/>
                <w:lang w:val="zh-CN" w:eastAsia="zh-CN"/>
              </w:rPr>
              <w:t>元401号</w:t>
            </w:r>
          </w:p>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en-US" w:eastAsia="zh-CN"/>
              </w:rPr>
            </w:pPr>
            <w:r>
              <w:rPr>
                <w:rFonts w:hint="eastAsia"/>
              </w:rPr>
              <w:t>邮编：</w:t>
            </w:r>
            <w:r>
              <w:rPr>
                <w:rFonts w:hint="eastAsia"/>
                <w:lang w:val="en-US" w:eastAsia="zh-CN"/>
              </w:rPr>
              <w:t>610041</w:t>
            </w:r>
          </w:p>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4.询问提出的范围及主体：</w:t>
            </w:r>
            <w:r>
              <w:rPr>
                <w:rFonts w:hint="eastAsia"/>
              </w:rPr>
              <w:t>①</w:t>
            </w:r>
            <w:r>
              <w:rPr>
                <w:rFonts w:hint="eastAsia"/>
                <w:lang w:val="en-US" w:eastAsia="zh-CN"/>
              </w:rPr>
              <w:t>采购文件及采购信息公告环节：依法获取采购文件的潜在供应商可以对采购文件及采购信息公告的内容向四川乾新招投标代理有限公司或采购人提出询问，仅对采购信息公告内容提出询问的，不限制询问主体。</w:t>
            </w:r>
            <w:r>
              <w:rPr>
                <w:rFonts w:hint="default"/>
                <w:lang w:val="en-US" w:eastAsia="zh-CN"/>
              </w:rPr>
              <w:t>②</w:t>
            </w:r>
            <w:r>
              <w:rPr>
                <w:rFonts w:hint="eastAsia"/>
                <w:lang w:val="en-US" w:eastAsia="zh-CN"/>
              </w:rPr>
              <w:t>采购过程、采购结果环节：参与采购活动的供应商可以对采购过程、采购结果相关问题向四川乾新招投标代理有限公司提出询问，未参与采购活动的供应商不得对此环节提出询问。</w:t>
            </w:r>
            <w:r>
              <w:rPr>
                <w:rFonts w:hint="default"/>
                <w:lang w:val="en-US" w:eastAsia="zh-CN"/>
              </w:rPr>
              <w:t>③</w:t>
            </w:r>
            <w:r>
              <w:rPr>
                <w:rFonts w:hint="eastAsia"/>
                <w:lang w:val="en-US" w:eastAsia="zh-CN"/>
              </w:rPr>
              <w:t>询问提出的时间原则上以政府采购活动中有效质疑的时间计算为准。</w:t>
            </w:r>
          </w:p>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5.为提高采购效率，降低社会成本，鼓励询问主体对于不损害国家及社会利益或自身合法权益的问题或情形采用询问方式处理解决(包含但不限于文字错误、标点符号、不影响投标文件的编制的情形)。</w:t>
            </w:r>
          </w:p>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rPr>
            </w:pPr>
            <w:r>
              <w:rPr>
                <w:rFonts w:hint="eastAsia"/>
                <w:lang w:val="en-US" w:eastAsia="zh-CN"/>
              </w:rPr>
              <w:t>6.为降低时间成本，减少不必要的干扰，四川乾新招投标代理有限公司或采购人可以不接受未按照约定时间提出的询问。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3"/>
              <w:numPr>
                <w:ilvl w:val="0"/>
                <w:numId w:val="8"/>
              </w:numPr>
              <w:bidi w:val="0"/>
              <w:ind w:left="0" w:leftChars="0" w:firstLine="0" w:firstLineChars="0"/>
              <w:rPr>
                <w:rFonts w:hint="eastAsia"/>
                <w:lang w:val="en-US" w:eastAsia="zh-CN"/>
              </w:rPr>
            </w:pPr>
          </w:p>
        </w:tc>
        <w:tc>
          <w:tcPr>
            <w:tcW w:w="1936" w:type="dxa"/>
            <w:vAlign w:val="center"/>
          </w:tcPr>
          <w:p>
            <w:pPr>
              <w:pStyle w:val="43"/>
              <w:bidi w:val="0"/>
              <w:rPr>
                <w:rFonts w:hint="eastAsia"/>
                <w:lang w:val="zh-CN"/>
              </w:rPr>
            </w:pPr>
            <w:r>
              <w:rPr>
                <w:rFonts w:hint="eastAsia"/>
              </w:rPr>
              <w:t>供应商质疑</w:t>
            </w:r>
          </w:p>
        </w:tc>
        <w:tc>
          <w:tcPr>
            <w:tcW w:w="7244" w:type="dxa"/>
            <w:gridSpan w:val="2"/>
            <w:vAlign w:val="center"/>
          </w:tcPr>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rPr>
            </w:pPr>
            <w:r>
              <w:rPr>
                <w:rFonts w:hint="eastAsia"/>
                <w:lang w:val="en-US" w:eastAsia="zh-CN"/>
              </w:rPr>
              <w:t>1.根据委托代理协议约定，对于采购文件(招标文件技术条款和除政府采购法第二十二条之外的其他资格条件、专业商务要求)的质疑由采购人负责答复；对于采购过程或采购结果由四川乾新招投标代理有限公司负责答复。</w:t>
            </w:r>
            <w:r>
              <w:rPr>
                <w:rFonts w:hint="eastAsia"/>
                <w:lang w:val="en-US" w:eastAsia="zh-CN"/>
              </w:rPr>
              <w:br w:type="textWrapping"/>
            </w:r>
            <w:r>
              <w:rPr>
                <w:rFonts w:hint="eastAsia"/>
                <w:lang w:val="en-US" w:eastAsia="zh-CN"/>
              </w:rPr>
              <w:t>2.供应商提出质疑应当坚持依法依规、诚实信用原则；不得超出采购文件、采购过程、采购结果的范围，不得进行虚假、恶意质疑，不得以质疑为手段获取不当得利、实现非法目的。</w:t>
            </w:r>
            <w:r>
              <w:rPr>
                <w:rFonts w:hint="eastAsia"/>
                <w:lang w:val="en-US" w:eastAsia="zh-CN"/>
              </w:rPr>
              <w:br w:type="textWrapping"/>
            </w:r>
            <w:r>
              <w:rPr>
                <w:rFonts w:hint="eastAsia"/>
                <w:lang w:val="en-US" w:eastAsia="zh-CN"/>
              </w:rPr>
              <w:t>3.提出质疑函的时限要求：供应商认为采购文件、采购过程、中标使其权益受到损害的，可以在知道或者应知其权益受到损害之日起7个工作日内，应通过“政府采购云平台”或以书面形式向采购人、采购代理机构提出质疑。</w:t>
            </w:r>
            <w:r>
              <w:rPr>
                <w:rFonts w:hint="eastAsia"/>
                <w:lang w:val="en-US" w:eastAsia="zh-CN"/>
              </w:rPr>
              <w:br w:type="textWrapping"/>
            </w:r>
            <w:r>
              <w:rPr>
                <w:rFonts w:hint="eastAsia"/>
                <w:lang w:val="en-US" w:eastAsia="zh-CN"/>
              </w:rPr>
              <w:t xml:space="preserve">4.接收质疑函的方式：供应商在法定时间内以书面形式现场、邮寄或快递提交质疑函(①采用邮寄和快递形式提交的质疑函以采购代理机构或采购人亲自书面签收的为准；②收到质疑函后，进行质疑处理时：书面形式现场提交的以书面签收的日期为准，邮寄以寄出的邮戳日期为准，快递以受送达人在签收单上签收之日为准；③温馨提示：供应商提交质疑选择邮寄或快递形式时，请先联系采购人或采购代理机构，选择高效及时的方式。质疑供应商在质疑函签收后5个工作日内未收到质疑答复的，可主动电话询问我公司相关事宜)。 </w:t>
            </w:r>
          </w:p>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en-US" w:eastAsia="zh-CN"/>
              </w:rPr>
            </w:pPr>
            <w:r>
              <w:rPr>
                <w:rFonts w:hint="eastAsia"/>
              </w:rPr>
              <w:t>联系人：</w:t>
            </w:r>
            <w:r>
              <w:rPr>
                <w:rFonts w:hint="eastAsia"/>
                <w:lang w:val="en-US" w:eastAsia="zh-CN"/>
              </w:rPr>
              <w:t>滕德伟</w:t>
            </w:r>
          </w:p>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rPr>
            </w:pPr>
            <w:r>
              <w:rPr>
                <w:rFonts w:hint="eastAsia"/>
              </w:rPr>
              <w:t>联系部门：质量控制部</w:t>
            </w:r>
          </w:p>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en-US" w:eastAsia="zh-CN"/>
              </w:rPr>
            </w:pPr>
            <w:r>
              <w:rPr>
                <w:rFonts w:hint="eastAsia"/>
              </w:rPr>
              <w:t>联系电话：</w:t>
            </w:r>
            <w:r>
              <w:rPr>
                <w:rFonts w:hint="eastAsia"/>
                <w:lang w:eastAsia="zh-CN"/>
              </w:rPr>
              <w:t>028-61375575、62600820、62630990转656</w:t>
            </w:r>
          </w:p>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rPr>
            </w:pPr>
            <w:r>
              <w:rPr>
                <w:rFonts w:hint="eastAsia"/>
              </w:rPr>
              <w:t>通讯地址：</w:t>
            </w:r>
            <w:r>
              <w:rPr>
                <w:rFonts w:hint="eastAsia"/>
                <w:lang w:val="zh-CN" w:eastAsia="zh-CN"/>
              </w:rPr>
              <w:t>成都市高新区吉庆三路333号蜀都中心二期一号楼一单元401号</w:t>
            </w:r>
          </w:p>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en-US"/>
              </w:rPr>
            </w:pPr>
            <w:r>
              <w:rPr>
                <w:rFonts w:hint="eastAsia"/>
              </w:rPr>
              <w:t>邮编：</w:t>
            </w:r>
            <w:r>
              <w:rPr>
                <w:rFonts w:hint="eastAsia"/>
                <w:lang w:val="en-US" w:eastAsia="zh-CN"/>
              </w:rPr>
              <w:t>610041</w:t>
            </w:r>
          </w:p>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rPr>
            </w:pPr>
            <w:r>
              <w:rPr>
                <w:rFonts w:hint="eastAsia"/>
              </w:rPr>
              <w:t>注：①根据《中华人民共和国政府采购法》等法律法规规定，供应商质疑应当有明确的请求和必要的证明材料，须符合《政府采购质疑和投诉办法》(财政部第94号令)规定，并使用财政部下发</w:t>
            </w:r>
            <w:r>
              <w:rPr>
                <w:rFonts w:hint="eastAsia"/>
                <w:lang w:eastAsia="zh-CN"/>
              </w:rPr>
              <w:t>《</w:t>
            </w:r>
            <w:r>
              <w:rPr>
                <w:rFonts w:hint="eastAsia"/>
              </w:rPr>
              <w:t>质疑函</w:t>
            </w:r>
            <w:r>
              <w:rPr>
                <w:rFonts w:hint="eastAsia"/>
                <w:lang w:eastAsia="zh-CN"/>
              </w:rPr>
              <w:t>》</w:t>
            </w:r>
            <w:r>
              <w:rPr>
                <w:rFonts w:hint="eastAsia"/>
              </w:rPr>
              <w:t>范本。</w:t>
            </w:r>
          </w:p>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明确的请求是指：供应商对采购文件还是对采购过程还是对中标结果提出质疑；想要达到的结果，如中标无效、废标、重新组织采购、赔偿、追究法律责任等；</w:t>
            </w:r>
          </w:p>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必要的证明材料是指：包含供应商的营业执照、授权委托书(法定代表人办理质疑事宜时无需提供)、委托代理人身份证明、参加采购项目的证明、权益受到损害的证明材料、证明提出质疑的事实存在的材料等。</w:t>
            </w:r>
          </w:p>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如因供应商提出的质疑函不符合《政府采购质疑和投诉办法》(财政部令第94号)第十二条的要求，四川乾新招投标代理有限公司或采购人将要求供应商在法定质疑期内进行质疑函补正，未进行补正或在法定质疑期内未进行补正的，其所有不利后果由供应商自行承担。</w:t>
            </w:r>
          </w:p>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default" w:eastAsia="宋体"/>
                <w:lang w:val="en-US" w:eastAsia="zh-CN"/>
              </w:rPr>
            </w:pPr>
            <w:r>
              <w:rPr>
                <w:rFonts w:hint="eastAsia"/>
              </w:rPr>
              <w:t>②供应商应当在法定质疑期内一次性提出针对同一采购程序环节的质疑。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3"/>
              <w:numPr>
                <w:ilvl w:val="0"/>
                <w:numId w:val="8"/>
              </w:numPr>
              <w:bidi w:val="0"/>
              <w:ind w:left="0" w:leftChars="0" w:firstLine="0" w:firstLineChars="0"/>
              <w:rPr>
                <w:rFonts w:hint="eastAsia"/>
                <w:lang w:val="en-US" w:eastAsia="zh-CN"/>
              </w:rPr>
            </w:pPr>
          </w:p>
        </w:tc>
        <w:tc>
          <w:tcPr>
            <w:tcW w:w="1936" w:type="dxa"/>
            <w:vAlign w:val="center"/>
          </w:tcPr>
          <w:p>
            <w:pPr>
              <w:pStyle w:val="43"/>
              <w:ind w:left="48" w:leftChars="20" w:firstLine="0" w:firstLineChars="0"/>
              <w:rPr>
                <w:rFonts w:hint="eastAsia"/>
                <w:lang w:val="zh-CN"/>
              </w:rPr>
            </w:pPr>
            <w:r>
              <w:rPr>
                <w:rFonts w:hint="eastAsia" w:cs="宋体" w:asciiTheme="minorEastAsia" w:hAnsiTheme="minorEastAsia" w:eastAsiaTheme="minorEastAsia"/>
                <w:color w:val="000000" w:themeColor="text1"/>
                <w:szCs w:val="21"/>
                <w14:textFill>
                  <w14:solidFill>
                    <w14:schemeClr w14:val="tx1"/>
                  </w14:solidFill>
                </w14:textFill>
              </w:rPr>
              <w:t>供应商投诉</w:t>
            </w:r>
          </w:p>
        </w:tc>
        <w:tc>
          <w:tcPr>
            <w:tcW w:w="7244" w:type="dxa"/>
            <w:gridSpan w:val="2"/>
            <w:vAlign w:val="top"/>
          </w:tcPr>
          <w:p>
            <w:pPr>
              <w:pStyle w:val="39"/>
              <w:rPr>
                <w:rFonts w:cs="宋体" w:asciiTheme="minorEastAsia" w:hAnsiTheme="minorEastAsia" w:eastAsiaTheme="minorEastAsia"/>
                <w:color w:val="000000" w:themeColor="text1"/>
                <w:szCs w:val="21"/>
                <w14:textFill>
                  <w14:solidFill>
                    <w14:schemeClr w14:val="tx1"/>
                  </w14:solidFill>
                </w14:textFill>
              </w:rPr>
            </w:pPr>
            <w:r>
              <w:rPr>
                <w:rFonts w:hint="eastAsia" w:cs="宋体" w:asciiTheme="minorEastAsia" w:hAnsiTheme="minorEastAsia" w:eastAsiaTheme="minorEastAsia"/>
                <w:color w:val="000000" w:themeColor="text1"/>
                <w:szCs w:val="21"/>
                <w14:textFill>
                  <w14:solidFill>
                    <w14:schemeClr w14:val="tx1"/>
                  </w14:solidFill>
                </w14:textFill>
              </w:rPr>
              <w:t>投诉受理单位：成都市财政局</w:t>
            </w:r>
          </w:p>
          <w:p>
            <w:pPr>
              <w:pStyle w:val="39"/>
              <w:rPr>
                <w:rFonts w:cs="宋体" w:asciiTheme="minorEastAsia" w:hAnsiTheme="minorEastAsia" w:eastAsiaTheme="minorEastAsia"/>
                <w:color w:val="000000" w:themeColor="text1"/>
                <w:szCs w:val="21"/>
                <w:lang w:val="zh-CN"/>
                <w14:textFill>
                  <w14:solidFill>
                    <w14:schemeClr w14:val="tx1"/>
                  </w14:solidFill>
                </w14:textFill>
              </w:rPr>
            </w:pPr>
            <w:r>
              <w:rPr>
                <w:rFonts w:hint="eastAsia" w:cs="宋体" w:asciiTheme="minorEastAsia" w:hAnsiTheme="minorEastAsia" w:eastAsiaTheme="minorEastAsia"/>
                <w:color w:val="000000" w:themeColor="text1"/>
                <w:szCs w:val="21"/>
                <w:lang w:val="zh-CN"/>
                <w14:textFill>
                  <w14:solidFill>
                    <w14:schemeClr w14:val="tx1"/>
                  </w14:solidFill>
                </w14:textFill>
              </w:rPr>
              <w:t>联系电话：028-61882648</w:t>
            </w:r>
          </w:p>
          <w:p>
            <w:pPr>
              <w:pStyle w:val="39"/>
              <w:ind w:left="24" w:leftChars="10" w:right="24" w:rightChars="10"/>
              <w:rPr>
                <w:rFonts w:cs="宋体" w:asciiTheme="minorEastAsia" w:hAnsiTheme="minorEastAsia" w:eastAsiaTheme="minorEastAsia"/>
              </w:rPr>
            </w:pPr>
            <w:r>
              <w:rPr>
                <w:rFonts w:hint="eastAsia" w:cs="宋体" w:asciiTheme="minorEastAsia" w:hAnsiTheme="minorEastAsia" w:eastAsiaTheme="minorEastAsia"/>
              </w:rPr>
              <w:t xml:space="preserve">地址：成都市锦城大道366号 </w:t>
            </w:r>
          </w:p>
          <w:p>
            <w:pPr>
              <w:pStyle w:val="39"/>
              <w:ind w:left="24" w:leftChars="10" w:right="24" w:rightChars="10"/>
              <w:rPr>
                <w:rFonts w:cs="宋体" w:asciiTheme="minorEastAsia" w:hAnsiTheme="minorEastAsia" w:eastAsiaTheme="minorEastAsia"/>
              </w:rPr>
            </w:pPr>
            <w:r>
              <w:rPr>
                <w:rFonts w:hint="eastAsia" w:cs="宋体" w:asciiTheme="minorEastAsia" w:hAnsiTheme="minorEastAsia" w:eastAsiaTheme="minorEastAsia"/>
              </w:rPr>
              <w:t>邮编：610041</w:t>
            </w:r>
          </w:p>
          <w:p>
            <w:pPr>
              <w:pStyle w:val="39"/>
              <w:ind w:left="48" w:leftChars="20" w:firstLine="0" w:firstLineChars="0"/>
              <w:rPr>
                <w:rFonts w:hint="eastAsia"/>
              </w:rPr>
            </w:pPr>
            <w:r>
              <w:rPr>
                <w:rFonts w:hint="eastAsia" w:cs="宋体" w:asciiTheme="minorEastAsia" w:hAnsiTheme="minorEastAsia" w:eastAsiaTheme="minorEastAsia"/>
                <w:color w:val="000000" w:themeColor="text1"/>
                <w:szCs w:val="21"/>
                <w14:textFill>
                  <w14:solidFill>
                    <w14:schemeClr w14:val="tx1"/>
                  </w14:solidFill>
                </w14:textFill>
              </w:rPr>
              <w:t>注：供应商投诉应当有明确的请求和必要的证明材料。供应商投诉的事项不得超出已质疑事项的范围，须符合《政府采购质疑和投诉办法》(财政部第94号令)规定，并使用财政部下发《投诉书》范本。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6" w:hRule="atLeast"/>
          <w:jc w:val="center"/>
        </w:trPr>
        <w:tc>
          <w:tcPr>
            <w:tcW w:w="570" w:type="dxa"/>
            <w:vAlign w:val="center"/>
          </w:tcPr>
          <w:p>
            <w:pPr>
              <w:pStyle w:val="43"/>
              <w:numPr>
                <w:ilvl w:val="0"/>
                <w:numId w:val="8"/>
              </w:numPr>
              <w:bidi w:val="0"/>
              <w:ind w:left="0" w:leftChars="0" w:firstLine="0" w:firstLineChars="0"/>
              <w:rPr>
                <w:rFonts w:hint="eastAsia"/>
                <w:lang w:eastAsia="zh-CN"/>
              </w:rPr>
            </w:pPr>
          </w:p>
        </w:tc>
        <w:tc>
          <w:tcPr>
            <w:tcW w:w="1936" w:type="dxa"/>
            <w:vAlign w:val="center"/>
          </w:tcPr>
          <w:p>
            <w:pPr>
              <w:pStyle w:val="43"/>
              <w:bidi w:val="0"/>
              <w:ind w:firstLine="0" w:firstLineChars="0"/>
              <w:rPr>
                <w:rFonts w:hint="eastAsia"/>
                <w:lang w:val="en-US" w:eastAsia="zh-CN"/>
              </w:rPr>
            </w:pPr>
            <w:r>
              <w:rPr>
                <w:rFonts w:hint="eastAsia"/>
                <w:lang w:val="en-US" w:eastAsia="zh-CN"/>
              </w:rPr>
              <w:t>招标</w:t>
            </w:r>
            <w:r>
              <w:rPr>
                <w:rFonts w:hint="eastAsia"/>
              </w:rPr>
              <w:t>文件咨询</w:t>
            </w:r>
          </w:p>
        </w:tc>
        <w:tc>
          <w:tcPr>
            <w:tcW w:w="7244" w:type="dxa"/>
            <w:gridSpan w:val="2"/>
            <w:vAlign w:val="center"/>
          </w:tcPr>
          <w:p>
            <w:pPr>
              <w:pStyle w:val="43"/>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jc w:val="left"/>
              <w:textAlignment w:val="auto"/>
              <w:rPr>
                <w:rFonts w:hint="eastAsia" w:ascii="宋体" w:hAnsi="宋体" w:eastAsia="宋体"/>
                <w:lang w:val="zh-CN" w:eastAsia="zh-CN"/>
              </w:rPr>
            </w:pPr>
            <w:r>
              <w:rPr>
                <w:rFonts w:hint="eastAsia" w:ascii="宋体" w:hAnsi="宋体" w:eastAsia="宋体"/>
                <w:lang w:val="zh-CN"/>
              </w:rPr>
              <w:t>联</w:t>
            </w:r>
            <w:r>
              <w:rPr>
                <w:rFonts w:hint="eastAsia" w:ascii="宋体" w:hAnsi="宋体" w:eastAsia="宋体"/>
                <w:highlight w:val="none"/>
                <w:lang w:val="zh-CN"/>
              </w:rPr>
              <w:t>系人：</w:t>
            </w:r>
            <w:r>
              <w:rPr>
                <w:rFonts w:hint="eastAsia"/>
                <w:highlight w:val="none"/>
                <w:lang w:val="en-US" w:eastAsia="zh-CN"/>
              </w:rPr>
              <w:t>郭巧樾</w:t>
            </w:r>
          </w:p>
          <w:p>
            <w:pPr>
              <w:pStyle w:val="43"/>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jc w:val="left"/>
              <w:textAlignment w:val="auto"/>
              <w:rPr>
                <w:rFonts w:hint="default"/>
                <w:lang w:val="en-US" w:eastAsia="zh-CN"/>
              </w:rPr>
            </w:pPr>
            <w:r>
              <w:rPr>
                <w:rFonts w:hint="eastAsia" w:ascii="宋体" w:hAnsi="宋体" w:eastAsia="宋体"/>
                <w:lang w:val="zh-CN"/>
              </w:rPr>
              <w:t>联系电话：</w:t>
            </w:r>
            <w:r>
              <w:rPr>
                <w:rFonts w:hint="eastAsia"/>
                <w:lang w:eastAsia="zh-CN"/>
              </w:rPr>
              <w:t>028-61375575、62600820、62630990转6</w:t>
            </w:r>
            <w:r>
              <w:rPr>
                <w:rFonts w:hint="eastAsia"/>
                <w:lang w:val="en-US" w:eastAsia="zh-CN"/>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3"/>
              <w:numPr>
                <w:ilvl w:val="0"/>
                <w:numId w:val="8"/>
              </w:numPr>
              <w:bidi w:val="0"/>
              <w:ind w:left="0" w:leftChars="0" w:firstLine="0" w:firstLineChars="0"/>
              <w:rPr>
                <w:rFonts w:hint="eastAsia"/>
                <w:lang w:eastAsia="zh-CN"/>
              </w:rPr>
            </w:pPr>
          </w:p>
        </w:tc>
        <w:tc>
          <w:tcPr>
            <w:tcW w:w="1936" w:type="dxa"/>
            <w:vAlign w:val="center"/>
          </w:tcPr>
          <w:p>
            <w:pPr>
              <w:pStyle w:val="43"/>
              <w:bidi w:val="0"/>
              <w:ind w:firstLine="0" w:firstLineChars="0"/>
              <w:rPr>
                <w:rFonts w:hint="eastAsia"/>
                <w:lang w:val="en-US" w:eastAsia="zh-CN"/>
              </w:rPr>
            </w:pPr>
            <w:r>
              <w:rPr>
                <w:rFonts w:hint="eastAsia"/>
              </w:rPr>
              <w:t>开评标工作咨询</w:t>
            </w:r>
          </w:p>
        </w:tc>
        <w:tc>
          <w:tcPr>
            <w:tcW w:w="7244" w:type="dxa"/>
            <w:gridSpan w:val="2"/>
            <w:vAlign w:val="center"/>
          </w:tcPr>
          <w:p>
            <w:pPr>
              <w:pStyle w:val="43"/>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jc w:val="left"/>
              <w:textAlignment w:val="auto"/>
              <w:rPr>
                <w:rFonts w:hint="eastAsia" w:ascii="宋体" w:hAnsi="宋体" w:eastAsia="宋体"/>
                <w:lang w:val="zh-CN" w:eastAsia="zh-CN"/>
              </w:rPr>
            </w:pPr>
            <w:r>
              <w:rPr>
                <w:rFonts w:hint="eastAsia" w:ascii="宋体" w:hAnsi="宋体" w:eastAsia="宋体"/>
                <w:lang w:val="zh-CN"/>
              </w:rPr>
              <w:t>联系人</w:t>
            </w:r>
            <w:r>
              <w:rPr>
                <w:rFonts w:hint="eastAsia" w:ascii="宋体" w:hAnsi="宋体" w:eastAsia="宋体"/>
                <w:highlight w:val="none"/>
                <w:lang w:val="zh-CN"/>
              </w:rPr>
              <w:t>：</w:t>
            </w:r>
            <w:r>
              <w:rPr>
                <w:rFonts w:hint="eastAsia"/>
                <w:highlight w:val="none"/>
                <w:lang w:val="en-US" w:eastAsia="zh-CN"/>
              </w:rPr>
              <w:t>郭婉莹</w:t>
            </w:r>
          </w:p>
          <w:p>
            <w:pPr>
              <w:pStyle w:val="43"/>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jc w:val="left"/>
              <w:textAlignment w:val="auto"/>
              <w:rPr>
                <w:rFonts w:hint="default"/>
                <w:lang w:val="en-US" w:eastAsia="zh-CN"/>
              </w:rPr>
            </w:pPr>
            <w:r>
              <w:rPr>
                <w:rFonts w:hint="eastAsia" w:ascii="宋体" w:hAnsi="宋体" w:eastAsia="宋体"/>
                <w:lang w:val="zh-CN"/>
              </w:rPr>
              <w:t>联系电话：</w:t>
            </w:r>
            <w:r>
              <w:rPr>
                <w:rFonts w:hint="eastAsia"/>
                <w:lang w:eastAsia="zh-CN"/>
              </w:rPr>
              <w:t>028-61375575、62600820、62630990转6</w:t>
            </w:r>
            <w:r>
              <w:rPr>
                <w:rFonts w:hint="eastAsia"/>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3"/>
              <w:numPr>
                <w:ilvl w:val="0"/>
                <w:numId w:val="8"/>
              </w:numPr>
              <w:bidi w:val="0"/>
              <w:ind w:left="0" w:leftChars="0" w:firstLine="0" w:firstLineChars="0"/>
              <w:rPr>
                <w:rFonts w:hint="eastAsia"/>
                <w:lang w:eastAsia="zh-CN"/>
              </w:rPr>
            </w:pPr>
          </w:p>
        </w:tc>
        <w:tc>
          <w:tcPr>
            <w:tcW w:w="1936" w:type="dxa"/>
            <w:vAlign w:val="center"/>
          </w:tcPr>
          <w:p>
            <w:pPr>
              <w:pStyle w:val="43"/>
              <w:bidi w:val="0"/>
              <w:rPr>
                <w:rFonts w:hint="eastAsia"/>
                <w:lang w:val="en-US" w:eastAsia="zh-CN"/>
              </w:rPr>
            </w:pPr>
            <w:r>
              <w:rPr>
                <w:rFonts w:hint="eastAsia"/>
                <w:lang w:val="en-US" w:eastAsia="zh-CN"/>
              </w:rPr>
              <w:t>服务质量投诉电话</w:t>
            </w:r>
          </w:p>
        </w:tc>
        <w:tc>
          <w:tcPr>
            <w:tcW w:w="7244" w:type="dxa"/>
            <w:gridSpan w:val="2"/>
            <w:vAlign w:val="center"/>
          </w:tcPr>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联系人：滕德伟</w:t>
            </w:r>
          </w:p>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联系电话：</w:t>
            </w:r>
            <w:r>
              <w:rPr>
                <w:rFonts w:hint="eastAsia"/>
                <w:lang w:eastAsia="zh-CN"/>
              </w:rPr>
              <w:t>028-61375575、62600820、62630990转656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3"/>
              <w:numPr>
                <w:ilvl w:val="0"/>
                <w:numId w:val="8"/>
              </w:numPr>
              <w:bidi w:val="0"/>
              <w:ind w:left="0" w:leftChars="0" w:firstLine="0" w:firstLineChars="0"/>
              <w:rPr>
                <w:rFonts w:hint="eastAsia"/>
                <w:lang w:eastAsia="zh-CN"/>
              </w:rPr>
            </w:pPr>
          </w:p>
        </w:tc>
        <w:tc>
          <w:tcPr>
            <w:tcW w:w="1936" w:type="dxa"/>
            <w:vAlign w:val="center"/>
          </w:tcPr>
          <w:p>
            <w:pPr>
              <w:pStyle w:val="43"/>
              <w:bidi w:val="0"/>
              <w:ind w:firstLine="0" w:firstLineChars="0"/>
              <w:jc w:val="center"/>
              <w:rPr>
                <w:rFonts w:hint="eastAsia"/>
                <w:lang w:val="en-US" w:eastAsia="zh-CN"/>
              </w:rPr>
            </w:pPr>
            <w:r>
              <w:rPr>
                <w:rFonts w:hint="eastAsia" w:ascii="宋体" w:hAnsi="宋体" w:eastAsia="宋体"/>
                <w:lang w:val="zh-CN"/>
              </w:rPr>
              <w:t>声明承诺提醒</w:t>
            </w:r>
          </w:p>
        </w:tc>
        <w:tc>
          <w:tcPr>
            <w:tcW w:w="7244" w:type="dxa"/>
            <w:gridSpan w:val="2"/>
            <w:vAlign w:val="center"/>
          </w:tcPr>
          <w:p>
            <w:pPr>
              <w:pStyle w:val="43"/>
              <w:keepNext w:val="0"/>
              <w:keepLines w:val="0"/>
              <w:pageBreakBefore w:val="0"/>
              <w:widowControl w:val="0"/>
              <w:kinsoku/>
              <w:wordWrap w:val="0"/>
              <w:overflowPunct/>
              <w:topLinePunct/>
              <w:autoSpaceDE/>
              <w:autoSpaceDN/>
              <w:bidi w:val="0"/>
              <w:adjustRightInd w:val="0"/>
              <w:snapToGrid w:val="0"/>
              <w:ind w:left="60" w:leftChars="25" w:right="60" w:rightChars="25" w:firstLine="0" w:firstLineChars="0"/>
              <w:jc w:val="left"/>
              <w:textAlignment w:val="auto"/>
              <w:rPr>
                <w:rFonts w:hint="eastAsia"/>
                <w:lang w:val="en-US" w:eastAsia="zh-CN"/>
              </w:rPr>
            </w:pPr>
            <w:r>
              <w:rPr>
                <w:rFonts w:hint="eastAsia"/>
                <w:lang w:val="en-US" w:eastAsia="zh-CN"/>
              </w:rPr>
              <w:t>投标人的投标</w:t>
            </w:r>
            <w:r>
              <w:rPr>
                <w:rFonts w:hint="eastAsia" w:ascii="宋体" w:hAnsi="宋体" w:eastAsia="宋体"/>
                <w:lang w:val="zh-CN"/>
              </w:rPr>
              <w:t>文件中提供的各种声明和承诺应当真实有效，无效声明和承诺、虚假声明和承诺将由</w:t>
            </w:r>
            <w:r>
              <w:rPr>
                <w:rFonts w:hint="eastAsia"/>
                <w:lang w:val="en-US" w:eastAsia="zh-CN"/>
              </w:rPr>
              <w:t>投标人自行</w:t>
            </w:r>
            <w:r>
              <w:rPr>
                <w:rFonts w:hint="eastAsia" w:ascii="宋体" w:hAnsi="宋体" w:eastAsia="宋体"/>
                <w:lang w:val="zh-CN"/>
              </w:rPr>
              <w:t>承担由此带来的</w:t>
            </w:r>
            <w:r>
              <w:rPr>
                <w:rFonts w:hint="eastAsia"/>
                <w:lang w:val="en-US" w:eastAsia="zh-CN"/>
              </w:rPr>
              <w:t>一切</w:t>
            </w:r>
            <w:r>
              <w:rPr>
                <w:rFonts w:hint="eastAsia" w:ascii="宋体" w:hAnsi="宋体" w:eastAsia="宋体"/>
                <w:lang w:val="zh-CN"/>
              </w:rPr>
              <w:t>不利后果，</w:t>
            </w:r>
            <w:r>
              <w:rPr>
                <w:rFonts w:hint="eastAsia"/>
                <w:lang w:val="en-US" w:eastAsia="zh-CN"/>
              </w:rPr>
              <w:t>采购代理机构</w:t>
            </w:r>
            <w:r>
              <w:rPr>
                <w:rFonts w:hint="eastAsia" w:ascii="宋体" w:hAnsi="宋体" w:eastAsia="宋体"/>
                <w:lang w:val="zh-CN"/>
              </w:rPr>
              <w:t>还将报告监管部门追究</w:t>
            </w:r>
            <w:r>
              <w:rPr>
                <w:rFonts w:hint="eastAsia"/>
                <w:lang w:val="en-US" w:eastAsia="zh-CN"/>
              </w:rPr>
              <w:t>其</w:t>
            </w:r>
            <w:r>
              <w:rPr>
                <w:rFonts w:hint="eastAsia" w:ascii="宋体" w:hAnsi="宋体" w:eastAsia="宋体"/>
                <w:lang w:val="zh-CN"/>
              </w:rPr>
              <w:t>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7" w:hRule="atLeast"/>
          <w:jc w:val="center"/>
        </w:trPr>
        <w:tc>
          <w:tcPr>
            <w:tcW w:w="570" w:type="dxa"/>
            <w:vAlign w:val="center"/>
          </w:tcPr>
          <w:p>
            <w:pPr>
              <w:pStyle w:val="43"/>
              <w:numPr>
                <w:ilvl w:val="0"/>
                <w:numId w:val="8"/>
              </w:numPr>
              <w:bidi w:val="0"/>
              <w:ind w:left="0" w:leftChars="0" w:firstLine="0" w:firstLineChars="0"/>
              <w:rPr>
                <w:rFonts w:hint="eastAsia"/>
                <w:lang w:eastAsia="zh-CN"/>
              </w:rPr>
            </w:pPr>
          </w:p>
        </w:tc>
        <w:tc>
          <w:tcPr>
            <w:tcW w:w="1936" w:type="dxa"/>
            <w:vAlign w:val="center"/>
          </w:tcPr>
          <w:p>
            <w:pPr>
              <w:pStyle w:val="43"/>
              <w:bidi w:val="0"/>
              <w:jc w:val="center"/>
              <w:rPr>
                <w:rFonts w:hint="eastAsia"/>
                <w:lang w:val="zh-CN"/>
              </w:rPr>
            </w:pPr>
            <w:r>
              <w:rPr>
                <w:rFonts w:hint="eastAsia"/>
                <w:lang w:val="zh-CN"/>
              </w:rPr>
              <w:t>温馨提示</w:t>
            </w:r>
          </w:p>
        </w:tc>
        <w:tc>
          <w:tcPr>
            <w:tcW w:w="7244" w:type="dxa"/>
            <w:gridSpan w:val="2"/>
            <w:vAlign w:val="center"/>
          </w:tcPr>
          <w:p>
            <w:pPr>
              <w:pStyle w:val="43"/>
              <w:bidi w:val="0"/>
              <w:jc w:val="left"/>
              <w:rPr>
                <w:rFonts w:hint="eastAsia"/>
                <w:lang w:val="zh-CN"/>
              </w:rPr>
            </w:pPr>
            <w:r>
              <w:rPr>
                <w:rFonts w:hint="eastAsia"/>
                <w:lang w:val="en-US" w:eastAsia="zh-CN"/>
              </w:rPr>
              <w:t>1.</w:t>
            </w:r>
            <w:r>
              <w:rPr>
                <w:rFonts w:hint="eastAsia"/>
                <w:lang w:val="zh-CN"/>
              </w:rPr>
              <w:t>供应商需准备全流程所必需的硬件设备包括电脑（版本 win7 64位及以上）、麦克风、摄像头、CA证书等。建议使用同一台电脑完成投标、评标相关事宜，推荐安装 chrome 浏览器，且解密CA必须和加密CA为同一把。</w:t>
            </w:r>
          </w:p>
          <w:p>
            <w:pPr>
              <w:pStyle w:val="43"/>
              <w:bidi w:val="0"/>
              <w:jc w:val="left"/>
              <w:rPr>
                <w:rFonts w:hint="eastAsia"/>
                <w:lang w:val="zh-CN"/>
              </w:rPr>
            </w:pPr>
            <w:r>
              <w:rPr>
                <w:rFonts w:hint="eastAsia"/>
                <w:lang w:val="en-US" w:eastAsia="zh-CN"/>
              </w:rPr>
              <w:t>2.“</w:t>
            </w:r>
            <w:r>
              <w:rPr>
                <w:rFonts w:hint="eastAsia"/>
                <w:lang w:val="zh-CN"/>
              </w:rPr>
              <w:t>政府采购云平台</w:t>
            </w:r>
            <w:r>
              <w:rPr>
                <w:rFonts w:hint="eastAsia"/>
                <w:lang w:val="en-US" w:eastAsia="zh-CN"/>
              </w:rPr>
              <w:t>”</w:t>
            </w:r>
            <w:r>
              <w:rPr>
                <w:rFonts w:hint="eastAsia"/>
                <w:lang w:val="zh-CN"/>
              </w:rPr>
              <w:t>供应商注册地址：</w:t>
            </w:r>
          </w:p>
          <w:p>
            <w:pPr>
              <w:pStyle w:val="43"/>
              <w:bidi w:val="0"/>
              <w:jc w:val="left"/>
              <w:rPr>
                <w:rFonts w:hint="eastAsia"/>
                <w:lang w:val="en-US" w:eastAsia="zh-CN"/>
              </w:rPr>
            </w:pPr>
            <w:r>
              <w:rPr>
                <w:rFonts w:hint="eastAsia"/>
                <w:lang w:val="zh-CN"/>
              </w:rPr>
              <w:t>https://middle.zcygov.cn/v-settle-front/registry?settleCategory=1&amp;entranceType=119&amp;utm=a0017.b1347.cl50.3.c0de9400b91b11eb870ad7da87d69c97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70" w:type="dxa"/>
            <w:vAlign w:val="center"/>
          </w:tcPr>
          <w:p>
            <w:pPr>
              <w:pStyle w:val="43"/>
              <w:numPr>
                <w:ilvl w:val="0"/>
                <w:numId w:val="8"/>
              </w:numPr>
              <w:bidi w:val="0"/>
              <w:ind w:left="0" w:leftChars="0" w:firstLine="0" w:firstLineChars="0"/>
              <w:rPr>
                <w:rFonts w:hint="eastAsia"/>
                <w:lang w:eastAsia="zh-CN"/>
              </w:rPr>
            </w:pPr>
          </w:p>
        </w:tc>
        <w:tc>
          <w:tcPr>
            <w:tcW w:w="1936" w:type="dxa"/>
            <w:vAlign w:val="center"/>
          </w:tcPr>
          <w:p>
            <w:pPr>
              <w:pStyle w:val="43"/>
              <w:bidi w:val="0"/>
              <w:rPr>
                <w:rFonts w:hint="eastAsia"/>
              </w:rPr>
            </w:pPr>
            <w:r>
              <w:rPr>
                <w:rFonts w:hint="eastAsia"/>
              </w:rPr>
              <w:t>备注</w:t>
            </w:r>
          </w:p>
        </w:tc>
        <w:tc>
          <w:tcPr>
            <w:tcW w:w="7244" w:type="dxa"/>
            <w:gridSpan w:val="2"/>
            <w:vAlign w:val="center"/>
          </w:tcPr>
          <w:p>
            <w:pPr>
              <w:pStyle w:val="39"/>
              <w:keepNext w:val="0"/>
              <w:keepLines w:val="0"/>
              <w:pageBreakBefore w:val="0"/>
              <w:widowControl w:val="0"/>
              <w:kinsoku/>
              <w:wordWrap w:val="0"/>
              <w:overflowPunct/>
              <w:topLinePunct/>
              <w:autoSpaceDE/>
              <w:autoSpaceDN/>
              <w:bidi w:val="0"/>
              <w:adjustRightInd w:val="0"/>
              <w:snapToGrid w:val="0"/>
              <w:ind w:left="60" w:leftChars="25" w:right="60" w:rightChars="25"/>
              <w:textAlignment w:val="auto"/>
              <w:rPr>
                <w:rFonts w:hint="eastAsia"/>
              </w:rPr>
            </w:pPr>
            <w:r>
              <w:rPr>
                <w:rFonts w:hint="eastAsia"/>
              </w:rPr>
              <w:t>若招标文件中其他内容与投标人须知</w:t>
            </w:r>
            <w:r>
              <w:rPr>
                <w:rFonts w:hint="eastAsia"/>
                <w:lang w:val="en-US" w:eastAsia="zh-CN"/>
              </w:rPr>
              <w:t>前</w:t>
            </w:r>
            <w:r>
              <w:rPr>
                <w:rFonts w:hint="eastAsia"/>
              </w:rPr>
              <w:t>附表内容不一致的，以投标人须知</w:t>
            </w:r>
            <w:r>
              <w:rPr>
                <w:rFonts w:hint="eastAsia"/>
                <w:lang w:val="en-US" w:eastAsia="zh-CN"/>
              </w:rPr>
              <w:t>前</w:t>
            </w:r>
            <w:r>
              <w:rPr>
                <w:rFonts w:hint="eastAsia"/>
              </w:rPr>
              <w:t>附表为准。</w:t>
            </w:r>
          </w:p>
        </w:tc>
      </w:tr>
    </w:tbl>
    <w:p>
      <w:pPr>
        <w:pStyle w:val="41"/>
        <w:bidi w:val="0"/>
        <w:rPr>
          <w:rFonts w:hint="eastAsia"/>
        </w:rPr>
      </w:pPr>
      <w:r>
        <w:rPr>
          <w:rFonts w:hint="eastAsia"/>
        </w:rPr>
        <w:br w:type="page"/>
      </w:r>
      <w:bookmarkStart w:id="38" w:name="_Toc2042"/>
      <w:bookmarkStart w:id="39" w:name="_Toc23295"/>
      <w:bookmarkStart w:id="40" w:name="_Toc4011"/>
      <w:bookmarkStart w:id="41" w:name="_Toc765"/>
      <w:bookmarkStart w:id="42" w:name="_Toc26593"/>
      <w:r>
        <w:rPr>
          <w:rFonts w:hint="eastAsia"/>
        </w:rPr>
        <w:t>总 则</w:t>
      </w:r>
      <w:bookmarkEnd w:id="37"/>
      <w:bookmarkEnd w:id="38"/>
      <w:bookmarkEnd w:id="39"/>
      <w:bookmarkEnd w:id="40"/>
      <w:bookmarkEnd w:id="41"/>
      <w:bookmarkEnd w:id="42"/>
    </w:p>
    <w:p>
      <w:pPr>
        <w:pStyle w:val="47"/>
        <w:bidi w:val="0"/>
        <w:rPr>
          <w:rFonts w:hint="eastAsia"/>
        </w:rPr>
      </w:pPr>
      <w:bookmarkStart w:id="43" w:name="_Toc319440119"/>
      <w:bookmarkStart w:id="44" w:name="_Toc5790"/>
      <w:bookmarkStart w:id="45" w:name="_Toc32483"/>
      <w:bookmarkStart w:id="46" w:name="_Toc10311"/>
      <w:bookmarkStart w:id="47" w:name="_Toc3601"/>
      <w:bookmarkStart w:id="48" w:name="_Toc20769"/>
      <w:bookmarkStart w:id="49" w:name="_Toc327196263"/>
      <w:bookmarkStart w:id="50" w:name="_Toc28450"/>
      <w:bookmarkStart w:id="51" w:name="_Toc319439877"/>
      <w:bookmarkStart w:id="52" w:name="_Toc307501086"/>
      <w:bookmarkStart w:id="53" w:name="_Toc29532"/>
      <w:bookmarkStart w:id="54" w:name="_Toc309897492"/>
      <w:bookmarkStart w:id="55" w:name="_Toc217446034"/>
      <w:bookmarkStart w:id="56" w:name="_Toc32648"/>
      <w:bookmarkStart w:id="57" w:name="_Toc31870"/>
      <w:bookmarkStart w:id="58" w:name="_Toc23796"/>
      <w:bookmarkStart w:id="59" w:name="_Toc308188129"/>
      <w:bookmarkStart w:id="60" w:name="_Toc12046"/>
      <w:bookmarkStart w:id="61" w:name="_Toc307564829"/>
      <w:bookmarkStart w:id="62" w:name="_Toc17534"/>
      <w:bookmarkStart w:id="63" w:name="_Toc308084574"/>
      <w:r>
        <w:rPr>
          <w:rFonts w:hint="eastAsia"/>
        </w:rPr>
        <w:t>适用范围</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pPr>
        <w:pStyle w:val="33"/>
        <w:numPr>
          <w:ilvl w:val="2"/>
          <w:numId w:val="0"/>
        </w:numPr>
        <w:bidi w:val="0"/>
        <w:ind w:leftChars="200"/>
        <w:rPr>
          <w:rFonts w:hint="eastAsia"/>
        </w:rPr>
      </w:pPr>
      <w:r>
        <w:rPr>
          <w:rFonts w:hint="eastAsia"/>
        </w:rPr>
        <w:t>本招标文件仅适用于本次公开招标采购项目。</w:t>
      </w:r>
    </w:p>
    <w:p>
      <w:pPr>
        <w:pStyle w:val="47"/>
        <w:bidi w:val="0"/>
        <w:rPr>
          <w:rFonts w:hint="eastAsia"/>
        </w:rPr>
      </w:pPr>
      <w:bookmarkStart w:id="64" w:name="_Toc308084575"/>
      <w:bookmarkStart w:id="65" w:name="_Toc308188130"/>
      <w:bookmarkStart w:id="66" w:name="_Toc156"/>
      <w:bookmarkStart w:id="67" w:name="_Toc524"/>
      <w:bookmarkStart w:id="68" w:name="_Toc307501087"/>
      <w:bookmarkStart w:id="69" w:name="_Toc16858"/>
      <w:bookmarkStart w:id="70" w:name="_Toc7942"/>
      <w:bookmarkStart w:id="71" w:name="_Toc327196264"/>
      <w:bookmarkStart w:id="72" w:name="_Toc309897493"/>
      <w:bookmarkStart w:id="73" w:name="_Toc217446035"/>
      <w:bookmarkStart w:id="74" w:name="_Toc12194"/>
      <w:bookmarkStart w:id="75" w:name="_Toc319440120"/>
      <w:bookmarkStart w:id="76" w:name="_Toc13022"/>
      <w:bookmarkStart w:id="77" w:name="_Toc2775"/>
      <w:bookmarkStart w:id="78" w:name="_Toc27245"/>
      <w:bookmarkStart w:id="79" w:name="_Toc24751"/>
      <w:bookmarkStart w:id="80" w:name="_Toc319439878"/>
      <w:bookmarkStart w:id="81" w:name="_Toc24985"/>
      <w:bookmarkStart w:id="82" w:name="_Toc19670"/>
      <w:bookmarkStart w:id="83" w:name="_Toc307564830"/>
      <w:bookmarkStart w:id="84" w:name="_Toc19069"/>
      <w:r>
        <w:rPr>
          <w:rFonts w:hint="eastAsia"/>
        </w:rPr>
        <w:t>有关定义</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pPr>
        <w:pStyle w:val="61"/>
        <w:bidi w:val="0"/>
        <w:rPr>
          <w:rFonts w:hint="eastAsia"/>
        </w:rPr>
      </w:pPr>
      <w:r>
        <w:rPr>
          <w:rFonts w:hint="eastAsia"/>
        </w:rPr>
        <w:t>“采购人”系指依法进行政府采购的国家机关、事业单位、团体组织。本次招标的采购人是成都市交通运输综合行政执法总队。</w:t>
      </w:r>
    </w:p>
    <w:p>
      <w:pPr>
        <w:pStyle w:val="61"/>
        <w:bidi w:val="0"/>
        <w:rPr>
          <w:rFonts w:hint="eastAsia"/>
        </w:rPr>
      </w:pPr>
      <w:r>
        <w:rPr>
          <w:rFonts w:hint="eastAsia"/>
        </w:rPr>
        <w:t>“采购代理机构”系指根据采购人的委托依法办理招标事宜的采购机构。本次招标的采购代理机构是四川乾新招投标代理有限公司。</w:t>
      </w:r>
    </w:p>
    <w:p>
      <w:pPr>
        <w:pStyle w:val="61"/>
        <w:bidi w:val="0"/>
        <w:rPr>
          <w:rFonts w:hint="eastAsia"/>
        </w:rPr>
      </w:pPr>
      <w:r>
        <w:rPr>
          <w:rFonts w:hint="eastAsia"/>
        </w:rPr>
        <w:t>“招标采购单位”系指“采购人”和“采购代理机构”的统称。</w:t>
      </w:r>
    </w:p>
    <w:p>
      <w:pPr>
        <w:pStyle w:val="61"/>
        <w:bidi w:val="0"/>
        <w:rPr>
          <w:rFonts w:hint="eastAsia"/>
        </w:rPr>
      </w:pPr>
      <w:r>
        <w:rPr>
          <w:rFonts w:hint="eastAsia"/>
        </w:rPr>
        <w:t>“投标人”系指</w:t>
      </w:r>
      <w:r>
        <w:rPr>
          <w:rFonts w:hint="eastAsia"/>
          <w:lang w:val="en-US" w:eastAsia="zh-CN"/>
        </w:rPr>
        <w:t>依法获取</w:t>
      </w:r>
      <w:r>
        <w:rPr>
          <w:rFonts w:hint="eastAsia"/>
        </w:rPr>
        <w:t>了招标文件拟参加投标和向采购人提供服务的供应商。</w:t>
      </w:r>
    </w:p>
    <w:p>
      <w:pPr>
        <w:pStyle w:val="61"/>
        <w:bidi w:val="0"/>
        <w:rPr>
          <w:rFonts w:hint="eastAsia"/>
        </w:rPr>
      </w:pPr>
      <w:r>
        <w:rPr>
          <w:rFonts w:hint="eastAsia"/>
        </w:rPr>
        <w:t>本招标文件各部分规定的期间以时、日、月、年计算。期间开始的时和日，不计算在期间内，而从次日开始计算。期间届满的最后一天是节假日的，以节假日后的第一日为期间届满的日期。</w:t>
      </w:r>
    </w:p>
    <w:p>
      <w:pPr>
        <w:pStyle w:val="61"/>
        <w:bidi w:val="0"/>
        <w:rPr>
          <w:rFonts w:hint="eastAsia"/>
          <w:lang w:val="en-US" w:eastAsia="zh-CN"/>
        </w:rPr>
      </w:pPr>
      <w:r>
        <w:rPr>
          <w:rFonts w:hint="eastAsia"/>
          <w:lang w:val="en-US" w:eastAsia="zh-CN"/>
        </w:rPr>
        <w:t>本招标文件各部分规定的时间均以北京时间为准。</w:t>
      </w:r>
    </w:p>
    <w:p>
      <w:pPr>
        <w:pStyle w:val="47"/>
        <w:bidi w:val="0"/>
        <w:rPr>
          <w:rFonts w:hint="eastAsia"/>
        </w:rPr>
      </w:pPr>
      <w:bookmarkStart w:id="85" w:name="_Toc308188131"/>
      <w:bookmarkStart w:id="86" w:name="_Toc327196265"/>
      <w:bookmarkStart w:id="87" w:name="_Toc319440121"/>
      <w:bookmarkStart w:id="88" w:name="_Toc183682344"/>
      <w:bookmarkStart w:id="89" w:name="_Toc23383"/>
      <w:bookmarkStart w:id="90" w:name="_Toc26508"/>
      <w:bookmarkStart w:id="91" w:name="_Toc24547"/>
      <w:bookmarkStart w:id="92" w:name="_Toc319439879"/>
      <w:bookmarkStart w:id="93" w:name="_Toc183582207"/>
      <w:bookmarkStart w:id="94" w:name="_Toc3060"/>
      <w:bookmarkStart w:id="95" w:name="_Toc29784"/>
      <w:bookmarkStart w:id="96" w:name="_Toc7511"/>
      <w:bookmarkStart w:id="97" w:name="_Toc30244"/>
      <w:bookmarkStart w:id="98" w:name="_Toc307501088"/>
      <w:bookmarkStart w:id="99" w:name="_Toc217390843"/>
      <w:bookmarkStart w:id="100" w:name="_Toc217446036"/>
      <w:bookmarkStart w:id="101" w:name="_Toc307564831"/>
      <w:bookmarkStart w:id="102" w:name="_Toc22174"/>
      <w:bookmarkStart w:id="103" w:name="_Toc308084576"/>
      <w:bookmarkStart w:id="104" w:name="_Toc309897494"/>
      <w:bookmarkStart w:id="105" w:name="_Toc31295"/>
      <w:bookmarkStart w:id="106" w:name="_Toc27756"/>
      <w:bookmarkStart w:id="107" w:name="_Toc30689"/>
      <w:bookmarkStart w:id="108" w:name="_Toc4501"/>
      <w:r>
        <w:rPr>
          <w:rFonts w:hint="eastAsia"/>
        </w:rPr>
        <w:t>合格的投标人</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Pr>
          <w:rFonts w:hint="eastAsia"/>
          <w:lang w:val="en-US" w:eastAsia="zh-CN"/>
        </w:rPr>
        <w:t>(实质性要求)</w:t>
      </w:r>
      <w:bookmarkEnd w:id="105"/>
      <w:bookmarkEnd w:id="106"/>
      <w:bookmarkEnd w:id="107"/>
      <w:bookmarkEnd w:id="108"/>
    </w:p>
    <w:p>
      <w:pPr>
        <w:pStyle w:val="44"/>
        <w:bidi w:val="0"/>
        <w:rPr>
          <w:rFonts w:hint="eastAsia"/>
        </w:rPr>
      </w:pPr>
      <w:r>
        <w:rPr>
          <w:rFonts w:hint="eastAsia"/>
        </w:rPr>
        <w:t>合格的投标人应具备以下条件：</w:t>
      </w:r>
    </w:p>
    <w:p>
      <w:pPr>
        <w:pStyle w:val="61"/>
        <w:bidi w:val="0"/>
        <w:rPr>
          <w:rFonts w:hint="eastAsia"/>
        </w:rPr>
      </w:pPr>
      <w:r>
        <w:rPr>
          <w:rFonts w:hint="eastAsia"/>
        </w:rPr>
        <w:t>本招标文件“投标邀请”第五条规定的条件；</w:t>
      </w:r>
    </w:p>
    <w:p>
      <w:pPr>
        <w:pStyle w:val="61"/>
        <w:bidi w:val="0"/>
        <w:rPr>
          <w:rFonts w:hint="eastAsia"/>
        </w:rPr>
      </w:pPr>
      <w:r>
        <w:rPr>
          <w:rFonts w:hint="eastAsia"/>
        </w:rPr>
        <w:t>遵守国家有关的法律、法规、规章和其他政策制度；</w:t>
      </w:r>
    </w:p>
    <w:p>
      <w:pPr>
        <w:pStyle w:val="61"/>
        <w:bidi w:val="0"/>
        <w:rPr>
          <w:rFonts w:hint="eastAsia"/>
        </w:rPr>
      </w:pPr>
      <w:r>
        <w:rPr>
          <w:rFonts w:hint="eastAsia"/>
        </w:rPr>
        <w:t>向采购代理机构</w:t>
      </w:r>
      <w:r>
        <w:rPr>
          <w:rFonts w:hint="eastAsia"/>
          <w:lang w:val="en-US" w:eastAsia="zh-CN"/>
        </w:rPr>
        <w:t>依法获取</w:t>
      </w:r>
      <w:r>
        <w:rPr>
          <w:rFonts w:hint="eastAsia"/>
        </w:rPr>
        <w:t>了招标文件并</w:t>
      </w:r>
      <w:r>
        <w:rPr>
          <w:rFonts w:hint="eastAsia"/>
          <w:lang w:val="en-US" w:eastAsia="zh-CN"/>
        </w:rPr>
        <w:t>完成</w:t>
      </w:r>
      <w:r>
        <w:rPr>
          <w:rFonts w:hint="eastAsia"/>
        </w:rPr>
        <w:t>登记。</w:t>
      </w:r>
    </w:p>
    <w:p>
      <w:pPr>
        <w:pStyle w:val="47"/>
        <w:bidi w:val="0"/>
        <w:rPr>
          <w:rFonts w:hint="eastAsia"/>
        </w:rPr>
      </w:pPr>
      <w:bookmarkStart w:id="109" w:name="_Toc14323"/>
      <w:bookmarkStart w:id="110" w:name="_Toc183582208"/>
      <w:bookmarkStart w:id="111" w:name="_Toc5067"/>
      <w:bookmarkStart w:id="112" w:name="_Toc12293"/>
      <w:bookmarkStart w:id="113" w:name="_Toc9761"/>
      <w:bookmarkStart w:id="114" w:name="_Toc4414"/>
      <w:bookmarkStart w:id="115" w:name="_Toc308084577"/>
      <w:bookmarkStart w:id="116" w:name="_Toc183682345"/>
      <w:bookmarkStart w:id="117" w:name="_Toc308188132"/>
      <w:bookmarkStart w:id="118" w:name="_Toc217446037"/>
      <w:bookmarkStart w:id="119" w:name="_Toc307564832"/>
      <w:bookmarkStart w:id="120" w:name="_Toc327196266"/>
      <w:bookmarkStart w:id="121" w:name="_Toc26952"/>
      <w:bookmarkStart w:id="122" w:name="_Toc307501089"/>
      <w:bookmarkStart w:id="123" w:name="_Toc319439880"/>
      <w:bookmarkStart w:id="124" w:name="_Toc21649"/>
      <w:bookmarkStart w:id="125" w:name="_Toc319440122"/>
      <w:bookmarkStart w:id="126" w:name="_Toc28895"/>
      <w:bookmarkStart w:id="127" w:name="_Toc309897495"/>
      <w:bookmarkStart w:id="128" w:name="_Toc31729"/>
      <w:bookmarkStart w:id="129" w:name="_Toc9141"/>
      <w:bookmarkStart w:id="130" w:name="_Toc7047"/>
      <w:bookmarkStart w:id="131" w:name="_Toc20132"/>
      <w:r>
        <w:rPr>
          <w:rFonts w:hint="eastAsia"/>
        </w:rPr>
        <w:t>投标费用</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Pr>
          <w:rFonts w:hint="eastAsia"/>
          <w:lang w:val="en-US" w:eastAsia="zh-CN"/>
        </w:rPr>
        <w:t>(实质性要求)</w:t>
      </w:r>
      <w:bookmarkEnd w:id="128"/>
      <w:bookmarkEnd w:id="129"/>
      <w:bookmarkEnd w:id="130"/>
      <w:bookmarkEnd w:id="131"/>
    </w:p>
    <w:p>
      <w:pPr>
        <w:pStyle w:val="44"/>
        <w:bidi w:val="0"/>
        <w:rPr>
          <w:rFonts w:hint="eastAsia"/>
        </w:rPr>
      </w:pPr>
      <w:r>
        <w:rPr>
          <w:rFonts w:hint="eastAsia"/>
        </w:rPr>
        <w:t>无论</w:t>
      </w:r>
      <w:r>
        <w:rPr>
          <w:rFonts w:hint="eastAsia"/>
          <w:lang w:val="en-US" w:eastAsia="zh-CN"/>
        </w:rPr>
        <w:t>投标的</w:t>
      </w:r>
      <w:r>
        <w:rPr>
          <w:rFonts w:hint="eastAsia"/>
        </w:rPr>
        <w:t>结果如何，投标人参加投标的有关费用由投标人自行承担。</w:t>
      </w:r>
    </w:p>
    <w:p>
      <w:pPr>
        <w:pStyle w:val="47"/>
        <w:bidi w:val="0"/>
        <w:rPr>
          <w:rFonts w:hint="eastAsia"/>
        </w:rPr>
      </w:pPr>
      <w:bookmarkStart w:id="132" w:name="_Toc18984"/>
      <w:bookmarkStart w:id="133" w:name="_Toc27927"/>
      <w:bookmarkStart w:id="134" w:name="_Toc327196267"/>
      <w:bookmarkStart w:id="135" w:name="_Toc28490"/>
      <w:bookmarkStart w:id="136" w:name="_Toc11996"/>
      <w:bookmarkStart w:id="137" w:name="_Toc307564833"/>
      <w:bookmarkStart w:id="138" w:name="_Toc27604"/>
      <w:bookmarkStart w:id="139" w:name="_Toc307501090"/>
      <w:bookmarkStart w:id="140" w:name="_Toc18993"/>
      <w:bookmarkStart w:id="141" w:name="_Toc11131"/>
      <w:bookmarkStart w:id="142" w:name="_Toc7710"/>
      <w:bookmarkStart w:id="143" w:name="_Toc309897496"/>
      <w:bookmarkStart w:id="144" w:name="_Toc308188133"/>
      <w:bookmarkStart w:id="145" w:name="_Toc308084578"/>
      <w:bookmarkStart w:id="146" w:name="_Toc319440123"/>
      <w:bookmarkStart w:id="147" w:name="_Toc319439881"/>
      <w:bookmarkStart w:id="148" w:name="_Toc5564"/>
      <w:bookmarkStart w:id="149" w:name="_Toc11923"/>
      <w:bookmarkStart w:id="150" w:name="_Toc15357"/>
      <w:bookmarkStart w:id="151" w:name="_Toc433"/>
      <w:r>
        <w:rPr>
          <w:rFonts w:hint="eastAsia"/>
        </w:rPr>
        <w:t>充分、公平竞争保障措施</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Pr>
          <w:rFonts w:hint="eastAsia"/>
          <w:lang w:val="en-US" w:eastAsia="zh-CN"/>
        </w:rPr>
        <w:t>(实质性要求)</w:t>
      </w:r>
      <w:bookmarkEnd w:id="148"/>
      <w:bookmarkEnd w:id="149"/>
      <w:bookmarkEnd w:id="150"/>
      <w:bookmarkEnd w:id="151"/>
    </w:p>
    <w:p>
      <w:pPr>
        <w:pStyle w:val="61"/>
        <w:bidi w:val="0"/>
        <w:rPr>
          <w:rFonts w:hint="eastAsia"/>
        </w:rPr>
      </w:pPr>
      <w:bookmarkStart w:id="152" w:name="_Toc77400779"/>
      <w:bookmarkStart w:id="153" w:name="_Toc183682346"/>
      <w:bookmarkStart w:id="154" w:name="_Toc183582209"/>
      <w:bookmarkStart w:id="155" w:name="_Toc327196268"/>
      <w:bookmarkStart w:id="156" w:name="_Toc89075875"/>
      <w:bookmarkStart w:id="157" w:name="_Toc13891"/>
      <w:bookmarkStart w:id="158" w:name="_Toc217446038"/>
      <w:r>
        <w:rPr>
          <w:rFonts w:hint="eastAsia"/>
        </w:rPr>
        <w:t>利害关系供应商处理。</w:t>
      </w:r>
    </w:p>
    <w:p>
      <w:pPr>
        <w:pStyle w:val="44"/>
        <w:bidi w:val="0"/>
        <w:rPr>
          <w:rFonts w:hint="eastAsia"/>
        </w:rPr>
      </w:pPr>
      <w:r>
        <w:rPr>
          <w:rFonts w:hint="eastAsia"/>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选择其中一家符合条件的供应商参加后续的政府采购活动。</w:t>
      </w:r>
    </w:p>
    <w:p>
      <w:pPr>
        <w:pStyle w:val="44"/>
        <w:bidi w:val="0"/>
        <w:rPr>
          <w:rFonts w:hint="eastAsia"/>
          <w:highlight w:val="none"/>
        </w:rPr>
      </w:pPr>
      <w:r>
        <w:rPr>
          <w:rFonts w:hint="eastAsia"/>
          <w:highlight w:val="none"/>
          <w:lang w:val="en-US" w:eastAsia="zh-CN"/>
        </w:rPr>
        <w:t>注：按照相关法律法规规定，负责人是指单位法定代表人或者法律、行政法规规定代表单位行使职权的主要负责人。控股是指出资额占有限责任公司资本总额百分之五十以上或者其持有的股份占股份有限公司股本总额百分之五十以上的，以及出资额或者持有股份的比例虽然不足百分之五十，但依其出资额或者持有的股份所享有的表决权已足以对股东会、股东大会的决议产生重大影响。管理关系是指与不具有出资持股关系的单位之间存在的其他管理与被管理关系。</w:t>
      </w:r>
    </w:p>
    <w:p>
      <w:pPr>
        <w:pStyle w:val="61"/>
        <w:bidi w:val="0"/>
        <w:rPr>
          <w:rFonts w:hint="eastAsia"/>
        </w:rPr>
      </w:pPr>
      <w:r>
        <w:rPr>
          <w:rFonts w:hint="eastAsia"/>
        </w:rPr>
        <w:t>前期参与供应商处理。</w:t>
      </w:r>
    </w:p>
    <w:p>
      <w:pPr>
        <w:pStyle w:val="44"/>
        <w:bidi w:val="0"/>
        <w:rPr>
          <w:rFonts w:hint="eastAsia"/>
        </w:rPr>
      </w:pPr>
      <w:r>
        <w:rPr>
          <w:rFonts w:hint="eastAsia"/>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4"/>
        <w:bidi w:val="0"/>
        <w:rPr>
          <w:rFonts w:hint="eastAsia"/>
          <w:b/>
          <w:bCs/>
          <w:highlight w:val="none"/>
        </w:rPr>
      </w:pPr>
      <w:r>
        <w:rPr>
          <w:rFonts w:hint="eastAsia"/>
          <w:b/>
          <w:bCs/>
          <w:highlight w:val="none"/>
          <w:lang w:val="en-US" w:eastAsia="zh-CN"/>
        </w:rPr>
        <w:t>注：</w:t>
      </w:r>
      <w:r>
        <w:rPr>
          <w:rFonts w:hint="eastAsia"/>
          <w:b/>
          <w:bCs/>
          <w:highlight w:val="none"/>
        </w:rPr>
        <w:t>本项目无符合本条规定的供应商。</w:t>
      </w:r>
    </w:p>
    <w:p>
      <w:pPr>
        <w:pStyle w:val="61"/>
        <w:bidi w:val="0"/>
        <w:rPr>
          <w:rFonts w:hint="eastAsia"/>
        </w:rPr>
      </w:pPr>
      <w:r>
        <w:rPr>
          <w:rFonts w:hint="eastAsia"/>
        </w:rPr>
        <w:t>利害关系代理人处理。</w:t>
      </w:r>
    </w:p>
    <w:p>
      <w:pPr>
        <w:pStyle w:val="62"/>
        <w:bidi w:val="0"/>
        <w:rPr>
          <w:rFonts w:hint="eastAsia"/>
        </w:rPr>
      </w:pPr>
      <w:r>
        <w:rPr>
          <w:rFonts w:hint="eastAsia"/>
        </w:rPr>
        <w:t>在同一合同项下的采购项目中，</w:t>
      </w:r>
      <w:r>
        <w:rPr>
          <w:rFonts w:hint="eastAsia"/>
          <w:lang w:val="en-US" w:eastAsia="zh-CN"/>
        </w:rPr>
        <w:t>若有</w:t>
      </w:r>
      <w:r>
        <w:rPr>
          <w:rFonts w:hint="eastAsia"/>
        </w:rPr>
        <w:t>2家</w:t>
      </w:r>
      <w:r>
        <w:rPr>
          <w:rFonts w:hint="eastAsia"/>
          <w:lang w:val="en-US" w:eastAsia="zh-CN"/>
        </w:rPr>
        <w:t>及</w:t>
      </w:r>
      <w:r>
        <w:rPr>
          <w:rFonts w:hint="eastAsia"/>
        </w:rPr>
        <w:t>以上的供应商同时委托同一个自然人、同一家庭的人员、同一单位的人员作为其代理人，其投标文件作为无效处理。</w:t>
      </w:r>
    </w:p>
    <w:p>
      <w:pPr>
        <w:pStyle w:val="62"/>
        <w:bidi w:val="0"/>
        <w:rPr>
          <w:rFonts w:hint="eastAsia"/>
          <w:lang w:val="en-US" w:eastAsia="zh-CN"/>
        </w:rPr>
      </w:pPr>
      <w:r>
        <w:rPr>
          <w:rFonts w:hint="eastAsia"/>
          <w:lang w:val="en-US" w:eastAsia="zh-CN"/>
        </w:rPr>
        <w:t>供应商实际控制人或者中高级管理人员，同时是采购代理机构工作人员，不得参与本项目政府采购活动。</w:t>
      </w:r>
    </w:p>
    <w:p>
      <w:pPr>
        <w:pStyle w:val="62"/>
        <w:bidi w:val="0"/>
        <w:rPr>
          <w:rFonts w:hint="eastAsia"/>
          <w:lang w:val="en-US" w:eastAsia="zh-CN"/>
        </w:rPr>
      </w:pPr>
      <w:r>
        <w:rPr>
          <w:rFonts w:hint="eastAsia"/>
          <w:lang w:val="en-US" w:eastAsia="zh-CN"/>
        </w:rPr>
        <w:t>同一母公司的两家以上的子公司只能组成联合体参加本项目同一合同项下的采购活动，不得以不同供应商身份同时参加本项目同一合同项下的采购活动。</w:t>
      </w:r>
    </w:p>
    <w:p>
      <w:pPr>
        <w:pStyle w:val="62"/>
        <w:bidi w:val="0"/>
        <w:rPr>
          <w:rFonts w:hint="eastAsia"/>
        </w:rPr>
      </w:pPr>
      <w:r>
        <w:rPr>
          <w:rFonts w:hint="eastAsia"/>
          <w:lang w:val="en-US" w:eastAsia="zh-CN"/>
        </w:rPr>
        <w:t>供应商与采购代理机构存在关联关系，或者是采购代理机构的母公司或子公司，不得参加本项目政府采购活动。</w:t>
      </w:r>
    </w:p>
    <w:p>
      <w:pPr>
        <w:pStyle w:val="41"/>
        <w:bidi w:val="0"/>
        <w:rPr>
          <w:rFonts w:hint="eastAsia"/>
        </w:rPr>
      </w:pPr>
      <w:bookmarkStart w:id="159" w:name="_Toc5872"/>
      <w:bookmarkStart w:id="160" w:name="_Toc27564"/>
      <w:bookmarkStart w:id="161" w:name="_Toc12561"/>
      <w:bookmarkStart w:id="162" w:name="_Toc14125"/>
      <w:r>
        <w:rPr>
          <w:rFonts w:hint="eastAsia"/>
        </w:rPr>
        <w:t>招标文件</w:t>
      </w:r>
      <w:bookmarkEnd w:id="152"/>
      <w:bookmarkEnd w:id="153"/>
      <w:bookmarkEnd w:id="154"/>
      <w:bookmarkEnd w:id="155"/>
      <w:bookmarkEnd w:id="156"/>
      <w:bookmarkEnd w:id="157"/>
      <w:bookmarkEnd w:id="158"/>
      <w:bookmarkEnd w:id="159"/>
      <w:bookmarkEnd w:id="160"/>
      <w:bookmarkEnd w:id="161"/>
      <w:bookmarkEnd w:id="162"/>
    </w:p>
    <w:p>
      <w:pPr>
        <w:pStyle w:val="47"/>
        <w:numPr>
          <w:ilvl w:val="2"/>
          <w:numId w:val="12"/>
        </w:numPr>
        <w:bidi w:val="0"/>
        <w:rPr>
          <w:rFonts w:hint="eastAsia"/>
        </w:rPr>
      </w:pPr>
      <w:bookmarkStart w:id="163" w:name="_Toc319439883"/>
      <w:bookmarkStart w:id="164" w:name="_Toc307501092"/>
      <w:bookmarkStart w:id="165" w:name="_Toc327196269"/>
      <w:bookmarkStart w:id="166" w:name="_Toc16404"/>
      <w:bookmarkStart w:id="167" w:name="_Toc21985"/>
      <w:bookmarkStart w:id="168" w:name="_Toc5983"/>
      <w:bookmarkStart w:id="169" w:name="_Toc308084580"/>
      <w:bookmarkStart w:id="170" w:name="_Toc217446039"/>
      <w:bookmarkStart w:id="171" w:name="_Toc25874"/>
      <w:bookmarkStart w:id="172" w:name="_Toc309897498"/>
      <w:bookmarkStart w:id="173" w:name="_Toc29703"/>
      <w:bookmarkStart w:id="174" w:name="_Toc307564835"/>
      <w:bookmarkStart w:id="175" w:name="_Toc8808"/>
      <w:bookmarkStart w:id="176" w:name="_Toc24565"/>
      <w:bookmarkStart w:id="177" w:name="_Toc183582210"/>
      <w:bookmarkStart w:id="178" w:name="_Toc16423"/>
      <w:bookmarkStart w:id="179" w:name="_Toc29642"/>
      <w:bookmarkStart w:id="180" w:name="_Toc308188135"/>
      <w:bookmarkStart w:id="181" w:name="_Toc19030"/>
      <w:bookmarkStart w:id="182" w:name="_Toc25650"/>
      <w:bookmarkStart w:id="183" w:name="_Toc183682347"/>
      <w:bookmarkStart w:id="184" w:name="_Toc319440125"/>
      <w:bookmarkStart w:id="185" w:name="_Toc22520"/>
      <w:r>
        <w:rPr>
          <w:rFonts w:hint="eastAsia"/>
        </w:rPr>
        <w:t>招标文件的构成</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pPr>
        <w:pStyle w:val="61"/>
        <w:bidi w:val="0"/>
        <w:rPr>
          <w:rFonts w:hint="eastAsia"/>
        </w:rPr>
      </w:pPr>
      <w:r>
        <w:rPr>
          <w:rFonts w:hint="eastAsia"/>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pStyle w:val="62"/>
        <w:bidi w:val="0"/>
        <w:rPr>
          <w:rFonts w:hint="eastAsia"/>
        </w:rPr>
      </w:pPr>
      <w:r>
        <w:rPr>
          <w:rFonts w:hint="eastAsia"/>
        </w:rPr>
        <w:t>投标邀请；</w:t>
      </w:r>
    </w:p>
    <w:p>
      <w:pPr>
        <w:pStyle w:val="62"/>
        <w:bidi w:val="0"/>
        <w:rPr>
          <w:rFonts w:hint="eastAsia"/>
        </w:rPr>
      </w:pPr>
      <w:r>
        <w:rPr>
          <w:rFonts w:hint="eastAsia"/>
        </w:rPr>
        <w:t>投标人须知</w:t>
      </w:r>
      <w:r>
        <w:rPr>
          <w:rFonts w:hint="eastAsia"/>
          <w:lang w:eastAsia="zh-CN"/>
        </w:rPr>
        <w:t>(</w:t>
      </w:r>
      <w:r>
        <w:rPr>
          <w:rFonts w:hint="eastAsia"/>
        </w:rPr>
        <w:t>包括投标文件的</w:t>
      </w:r>
      <w:r>
        <w:rPr>
          <w:rFonts w:hint="eastAsia"/>
          <w:lang w:val="en-US" w:eastAsia="zh-CN"/>
        </w:rPr>
        <w:t>制作</w:t>
      </w:r>
      <w:r>
        <w:rPr>
          <w:rFonts w:hint="eastAsia"/>
        </w:rPr>
        <w:t>、签</w:t>
      </w:r>
      <w:r>
        <w:rPr>
          <w:rFonts w:hint="eastAsia"/>
          <w:lang w:val="en-US" w:eastAsia="zh-CN"/>
        </w:rPr>
        <w:t>章</w:t>
      </w:r>
      <w:r>
        <w:rPr>
          <w:rFonts w:hint="eastAsia"/>
        </w:rPr>
        <w:t>、</w:t>
      </w:r>
      <w:r>
        <w:rPr>
          <w:rFonts w:hint="eastAsia"/>
          <w:lang w:val="en-US" w:eastAsia="zh-CN"/>
        </w:rPr>
        <w:t>加密</w:t>
      </w:r>
      <w:r>
        <w:rPr>
          <w:rFonts w:hint="eastAsia"/>
        </w:rPr>
        <w:t>要求等</w:t>
      </w:r>
      <w:r>
        <w:rPr>
          <w:rFonts w:hint="eastAsia"/>
          <w:lang w:eastAsia="zh-CN"/>
        </w:rPr>
        <w:t>)</w:t>
      </w:r>
      <w:r>
        <w:rPr>
          <w:rFonts w:hint="eastAsia"/>
        </w:rPr>
        <w:t>；</w:t>
      </w:r>
    </w:p>
    <w:p>
      <w:pPr>
        <w:pStyle w:val="62"/>
        <w:bidi w:val="0"/>
        <w:rPr>
          <w:rFonts w:hint="eastAsia"/>
        </w:rPr>
      </w:pPr>
      <w:r>
        <w:rPr>
          <w:rFonts w:hint="eastAsia"/>
        </w:rPr>
        <w:t>投标人应当提交的资格、资信证明文件；</w:t>
      </w:r>
    </w:p>
    <w:p>
      <w:pPr>
        <w:pStyle w:val="62"/>
        <w:bidi w:val="0"/>
        <w:rPr>
          <w:rFonts w:hint="eastAsia"/>
        </w:rPr>
      </w:pPr>
      <w:r>
        <w:rPr>
          <w:rFonts w:hint="eastAsia"/>
        </w:rPr>
        <w:t>为落实政府采购政策，采购标的需满足的要求，以及投标人须提供的证明材料；</w:t>
      </w:r>
    </w:p>
    <w:p>
      <w:pPr>
        <w:pStyle w:val="62"/>
        <w:bidi w:val="0"/>
        <w:rPr>
          <w:rFonts w:hint="eastAsia"/>
        </w:rPr>
      </w:pPr>
      <w:r>
        <w:rPr>
          <w:rFonts w:hint="eastAsia"/>
        </w:rPr>
        <w:t>投标文件编制要求、投标报价要求；</w:t>
      </w:r>
    </w:p>
    <w:p>
      <w:pPr>
        <w:pStyle w:val="62"/>
        <w:bidi w:val="0"/>
        <w:rPr>
          <w:rFonts w:hint="eastAsia"/>
        </w:rPr>
      </w:pPr>
      <w:r>
        <w:rPr>
          <w:rFonts w:hint="eastAsia"/>
        </w:rPr>
        <w:t>采购项目预算金额，设定最高限价的，还应当公开最高限价；</w:t>
      </w:r>
    </w:p>
    <w:p>
      <w:pPr>
        <w:pStyle w:val="62"/>
        <w:bidi w:val="0"/>
        <w:rPr>
          <w:rFonts w:hint="eastAsia"/>
        </w:rPr>
      </w:pPr>
      <w:r>
        <w:rPr>
          <w:rFonts w:hint="eastAsia"/>
        </w:rPr>
        <w:t>采购项目的技术规格、数量、服务标准、验收等要求，包括附件、图纸</w:t>
      </w:r>
      <w:r>
        <w:rPr>
          <w:rFonts w:hint="eastAsia"/>
          <w:lang w:eastAsia="zh-CN"/>
        </w:rPr>
        <w:t>(</w:t>
      </w:r>
      <w:r>
        <w:rPr>
          <w:rFonts w:hint="eastAsia"/>
          <w:lang w:val="en-US" w:eastAsia="zh-CN"/>
        </w:rPr>
        <w:t>如涉及</w:t>
      </w:r>
      <w:r>
        <w:rPr>
          <w:rFonts w:hint="eastAsia"/>
          <w:lang w:eastAsia="zh-CN"/>
        </w:rPr>
        <w:t>)</w:t>
      </w:r>
      <w:r>
        <w:rPr>
          <w:rFonts w:hint="eastAsia"/>
        </w:rPr>
        <w:t>等；</w:t>
      </w:r>
    </w:p>
    <w:p>
      <w:pPr>
        <w:pStyle w:val="62"/>
        <w:bidi w:val="0"/>
        <w:rPr>
          <w:rFonts w:hint="eastAsia"/>
        </w:rPr>
      </w:pPr>
      <w:r>
        <w:rPr>
          <w:rFonts w:hint="eastAsia"/>
        </w:rPr>
        <w:t>拟签订的合同文本；</w:t>
      </w:r>
    </w:p>
    <w:p>
      <w:pPr>
        <w:pStyle w:val="62"/>
        <w:bidi w:val="0"/>
        <w:rPr>
          <w:rFonts w:hint="eastAsia"/>
        </w:rPr>
      </w:pPr>
      <w:r>
        <w:rPr>
          <w:rFonts w:hint="eastAsia"/>
        </w:rPr>
        <w:t>货物、服务提供的时间、地点、方式；</w:t>
      </w:r>
    </w:p>
    <w:p>
      <w:pPr>
        <w:pStyle w:val="62"/>
        <w:bidi w:val="0"/>
        <w:rPr>
          <w:rFonts w:hint="eastAsia"/>
        </w:rPr>
      </w:pPr>
      <w:r>
        <w:rPr>
          <w:rFonts w:hint="eastAsia"/>
        </w:rPr>
        <w:t>采购资金的支付方式、时间、条件；</w:t>
      </w:r>
    </w:p>
    <w:p>
      <w:pPr>
        <w:pStyle w:val="62"/>
        <w:bidi w:val="0"/>
        <w:rPr>
          <w:rFonts w:hint="eastAsia"/>
        </w:rPr>
      </w:pPr>
      <w:r>
        <w:rPr>
          <w:rFonts w:hint="eastAsia"/>
        </w:rPr>
        <w:t>评标方法、评标标准和投标无效情形；</w:t>
      </w:r>
    </w:p>
    <w:p>
      <w:pPr>
        <w:pStyle w:val="62"/>
        <w:bidi w:val="0"/>
        <w:rPr>
          <w:rFonts w:hint="eastAsia"/>
        </w:rPr>
      </w:pPr>
      <w:r>
        <w:rPr>
          <w:rFonts w:hint="eastAsia"/>
        </w:rPr>
        <w:t>投标有效期；</w:t>
      </w:r>
    </w:p>
    <w:p>
      <w:pPr>
        <w:pStyle w:val="62"/>
        <w:bidi w:val="0"/>
        <w:rPr>
          <w:rFonts w:hint="eastAsia"/>
        </w:rPr>
      </w:pPr>
      <w:r>
        <w:rPr>
          <w:rFonts w:hint="eastAsia"/>
        </w:rPr>
        <w:t>投标截止时间、开标时间及地点；</w:t>
      </w:r>
    </w:p>
    <w:p>
      <w:pPr>
        <w:pStyle w:val="62"/>
        <w:bidi w:val="0"/>
        <w:rPr>
          <w:rFonts w:hint="eastAsia"/>
        </w:rPr>
      </w:pPr>
      <w:r>
        <w:rPr>
          <w:rFonts w:hint="eastAsia"/>
        </w:rPr>
        <w:t>采购代理机构代理费用的收取标准和方式；</w:t>
      </w:r>
    </w:p>
    <w:p>
      <w:pPr>
        <w:pStyle w:val="62"/>
        <w:bidi w:val="0"/>
        <w:rPr>
          <w:rFonts w:hint="eastAsia"/>
        </w:rPr>
      </w:pPr>
      <w:r>
        <w:rPr>
          <w:rFonts w:hint="eastAsia"/>
        </w:rPr>
        <w:t>投标人信用信息查询渠道及截止时点、信用信息查询记录和证据留存的具体方式、信用信息的使用规则等；</w:t>
      </w:r>
    </w:p>
    <w:p>
      <w:pPr>
        <w:pStyle w:val="62"/>
        <w:bidi w:val="0"/>
        <w:rPr>
          <w:rFonts w:hint="eastAsia"/>
        </w:rPr>
      </w:pPr>
      <w:r>
        <w:rPr>
          <w:rFonts w:hint="eastAsia"/>
        </w:rPr>
        <w:t>省级以上财政部门规定的其他事项。</w:t>
      </w:r>
    </w:p>
    <w:p>
      <w:pPr>
        <w:pStyle w:val="61"/>
        <w:numPr>
          <w:ilvl w:val="3"/>
          <w:numId w:val="12"/>
        </w:numPr>
        <w:bidi w:val="0"/>
        <w:rPr>
          <w:rFonts w:hint="eastAsia"/>
        </w:rPr>
      </w:pPr>
      <w:r>
        <w:rPr>
          <w:rFonts w:hint="eastAsia"/>
        </w:rPr>
        <w:t>投标人应认真阅读和充分理解招标文件中所有的事项、格式条款和规范要求。投标人没有对招标文件全面做出实质性响应是投标人的风险。没有按照招标文件要求作出实质性响应的投标文件将被拒绝。</w:t>
      </w:r>
    </w:p>
    <w:p>
      <w:pPr>
        <w:pStyle w:val="47"/>
        <w:bidi w:val="0"/>
        <w:rPr>
          <w:rFonts w:hint="eastAsia"/>
        </w:rPr>
      </w:pPr>
      <w:bookmarkStart w:id="186" w:name="_Toc183582211"/>
      <w:bookmarkStart w:id="187" w:name="_Toc183682348"/>
      <w:bookmarkStart w:id="188" w:name="_Toc11995"/>
      <w:bookmarkStart w:id="189" w:name="_Toc22085"/>
      <w:bookmarkStart w:id="190" w:name="_Toc31172"/>
      <w:bookmarkStart w:id="191" w:name="_Toc217446040"/>
      <w:bookmarkStart w:id="192" w:name="_Toc308188136"/>
      <w:bookmarkStart w:id="193" w:name="_Toc327196270"/>
      <w:bookmarkStart w:id="194" w:name="_Toc25894"/>
      <w:bookmarkStart w:id="195" w:name="_Toc308084581"/>
      <w:bookmarkStart w:id="196" w:name="_Toc27690"/>
      <w:bookmarkStart w:id="197" w:name="_Toc319439884"/>
      <w:bookmarkStart w:id="198" w:name="_Toc7541"/>
      <w:bookmarkStart w:id="199" w:name="_Toc307501093"/>
      <w:bookmarkStart w:id="200" w:name="_Toc319440126"/>
      <w:bookmarkStart w:id="201" w:name="_Toc13600"/>
      <w:bookmarkStart w:id="202" w:name="_Toc17632"/>
      <w:bookmarkStart w:id="203" w:name="_Toc16291"/>
      <w:bookmarkStart w:id="204" w:name="_Toc26020"/>
      <w:bookmarkStart w:id="205" w:name="_Toc26113"/>
      <w:bookmarkStart w:id="206" w:name="_Toc19612"/>
      <w:bookmarkStart w:id="207" w:name="_Toc307564836"/>
      <w:bookmarkStart w:id="208" w:name="_Toc309897499"/>
      <w:r>
        <w:rPr>
          <w:rFonts w:hint="eastAsia"/>
        </w:rPr>
        <w:t>招标文件的澄清</w:t>
      </w:r>
      <w:bookmarkEnd w:id="186"/>
      <w:bookmarkEnd w:id="187"/>
      <w:r>
        <w:rPr>
          <w:rFonts w:hint="eastAsia"/>
        </w:rPr>
        <w:t>和修改</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pPr>
        <w:pStyle w:val="61"/>
        <w:bidi w:val="0"/>
        <w:rPr>
          <w:rFonts w:hint="eastAsia"/>
        </w:rPr>
      </w:pPr>
      <w:bookmarkStart w:id="209" w:name="_Toc6811"/>
      <w:bookmarkStart w:id="210" w:name="_Toc22061"/>
      <w:bookmarkStart w:id="211" w:name="_Toc7026"/>
      <w:bookmarkStart w:id="212" w:name="_Toc319440127"/>
      <w:bookmarkStart w:id="213" w:name="_Toc8838"/>
      <w:bookmarkStart w:id="214" w:name="_Toc17111"/>
      <w:bookmarkStart w:id="215" w:name="_Toc308084582"/>
      <w:bookmarkStart w:id="216" w:name="_Toc24226"/>
      <w:bookmarkStart w:id="217" w:name="_Toc217446041"/>
      <w:bookmarkStart w:id="218" w:name="_Toc319439885"/>
      <w:bookmarkStart w:id="219" w:name="_Toc327196271"/>
      <w:bookmarkStart w:id="220" w:name="_Toc309897500"/>
      <w:bookmarkStart w:id="221" w:name="_Toc307501094"/>
      <w:bookmarkStart w:id="222" w:name="_Toc208848971"/>
      <w:bookmarkStart w:id="223" w:name="_Toc307564837"/>
      <w:bookmarkStart w:id="224" w:name="_Toc3361"/>
      <w:bookmarkStart w:id="225" w:name="_Toc3159"/>
      <w:bookmarkStart w:id="226" w:name="_Toc308188137"/>
      <w:bookmarkStart w:id="227" w:name="_Toc2637"/>
      <w:bookmarkStart w:id="228" w:name="_Toc9735"/>
      <w:r>
        <w:rPr>
          <w:rFonts w:hint="eastAsia"/>
        </w:rPr>
        <w:t>在投标截止时间前，招标采购单位无论出于何种原因，可以对招标文件进行澄清或者修改</w:t>
      </w:r>
      <w:r>
        <w:rPr>
          <w:rFonts w:hint="eastAsia"/>
          <w:lang w:eastAsia="zh-CN"/>
        </w:rPr>
        <w:t>；</w:t>
      </w:r>
      <w:r>
        <w:rPr>
          <w:rFonts w:hint="eastAsia"/>
        </w:rPr>
        <w:t>投标人认为需要对招标文件进行澄清或者修改的，可以以书面形式向招标采购单位提出申请，但招标采购单位可以决定是否采纳投标人的申请事项。</w:t>
      </w:r>
    </w:p>
    <w:p>
      <w:pPr>
        <w:pStyle w:val="61"/>
        <w:bidi w:val="0"/>
        <w:rPr>
          <w:rFonts w:hint="eastAsia"/>
          <w:lang w:eastAsia="zh-CN"/>
        </w:rPr>
      </w:pPr>
      <w:r>
        <w:rPr>
          <w:rFonts w:hint="eastAsia"/>
        </w:rPr>
        <w:t>招标采购单位对已发出的招标文件进行澄清或者修改，澄清或者修改的内容可能影响投标文件编制的，采购人或者采购代理机构应当在投标截止时间至少15日前，以书面形式通知所有获取招标文件的潜在投标人；不足</w:t>
      </w:r>
      <w:r>
        <w:rPr>
          <w:rFonts w:hint="eastAsia"/>
          <w:lang w:val="en-US" w:eastAsia="zh-CN"/>
        </w:rPr>
        <w:t>15</w:t>
      </w:r>
      <w:r>
        <w:rPr>
          <w:rFonts w:hint="eastAsia"/>
        </w:rPr>
        <w:t>日的，采购人或者采购代理机构应当顺延提交投标文件的截止时间</w:t>
      </w:r>
      <w:r>
        <w:rPr>
          <w:rFonts w:hint="eastAsia"/>
          <w:lang w:eastAsia="zh-CN"/>
        </w:rPr>
        <w:t>。</w:t>
      </w:r>
    </w:p>
    <w:p>
      <w:pPr>
        <w:pStyle w:val="61"/>
        <w:bidi w:val="0"/>
        <w:rPr>
          <w:b/>
          <w:bCs/>
        </w:rPr>
      </w:pPr>
      <w:r>
        <w:rPr>
          <w:rFonts w:hint="eastAsia"/>
          <w:b/>
          <w:bCs/>
        </w:rPr>
        <w:t>供应商应于投标文件递交截止时间之前在</w:t>
      </w:r>
      <w:r>
        <w:rPr>
          <w:rFonts w:hint="eastAsia"/>
          <w:b/>
          <w:bCs/>
          <w:lang w:eastAsia="zh-CN"/>
        </w:rPr>
        <w:t>“</w:t>
      </w:r>
      <w:r>
        <w:rPr>
          <w:rFonts w:hint="eastAsia"/>
          <w:b/>
          <w:bCs/>
        </w:rPr>
        <w:t>四川政府采购网</w:t>
      </w:r>
      <w:r>
        <w:rPr>
          <w:rFonts w:hint="eastAsia"/>
          <w:b/>
          <w:bCs/>
          <w:lang w:eastAsia="zh-CN"/>
        </w:rPr>
        <w:t>”</w:t>
      </w:r>
      <w:r>
        <w:rPr>
          <w:rFonts w:hint="eastAsia"/>
          <w:b/>
          <w:bCs/>
        </w:rPr>
        <w:t>查询本项目的更正公告，以保证其对招标文件做出正确的响应。供应商未按要求下载相关文件，或由于未及时关注更正公告的信息造成的后果，其责任由供应商自行负责。</w:t>
      </w:r>
    </w:p>
    <w:p>
      <w:pPr>
        <w:pStyle w:val="47"/>
        <w:bidi w:val="0"/>
        <w:rPr>
          <w:rFonts w:hint="eastAsia"/>
        </w:rPr>
      </w:pPr>
      <w:bookmarkStart w:id="229" w:name="_Toc24803"/>
      <w:bookmarkStart w:id="230" w:name="_Toc31570"/>
      <w:r>
        <w:rPr>
          <w:rFonts w:hint="eastAsia"/>
        </w:rPr>
        <w:t>答疑会和现场考察</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pPr>
        <w:pStyle w:val="61"/>
        <w:bidi w:val="0"/>
        <w:rPr>
          <w:rFonts w:hint="eastAsia"/>
        </w:rPr>
      </w:pPr>
      <w:bookmarkStart w:id="231" w:name="_Toc183682351"/>
      <w:bookmarkStart w:id="232" w:name="_Toc77400780"/>
      <w:bookmarkStart w:id="233" w:name="_Toc20199"/>
      <w:bookmarkStart w:id="234" w:name="_Toc217446042"/>
      <w:bookmarkStart w:id="235" w:name="_Toc183582214"/>
      <w:bookmarkStart w:id="236" w:name="_Toc327196272"/>
      <w:bookmarkStart w:id="237" w:name="_Toc89075876"/>
      <w:r>
        <w:rPr>
          <w:rFonts w:hint="eastAsia"/>
        </w:rPr>
        <w:t>采购人、采购代理机构可以视采购项目的具体情况，组织</w:t>
      </w:r>
      <w:r>
        <w:rPr>
          <w:rFonts w:hint="eastAsia"/>
          <w:lang w:eastAsia="zh-CN"/>
        </w:rPr>
        <w:t>投标人</w:t>
      </w:r>
      <w:r>
        <w:rPr>
          <w:rFonts w:hint="eastAsia"/>
        </w:rPr>
        <w:t>进行现场考察或</w:t>
      </w:r>
      <w:r>
        <w:rPr>
          <w:rFonts w:hint="eastAsia"/>
          <w:lang w:eastAsia="zh-CN"/>
        </w:rPr>
        <w:t>开标</w:t>
      </w:r>
      <w:r>
        <w:rPr>
          <w:rFonts w:hint="eastAsia"/>
        </w:rPr>
        <w:t>前答疑会，但不得单独或分别组织只有一个</w:t>
      </w:r>
      <w:r>
        <w:rPr>
          <w:rFonts w:hint="eastAsia"/>
          <w:lang w:eastAsia="zh-CN"/>
        </w:rPr>
        <w:t>投标人</w:t>
      </w:r>
      <w:r>
        <w:rPr>
          <w:rFonts w:hint="eastAsia"/>
        </w:rPr>
        <w:t>参加的现场考察和答疑会。若组织答疑会和现场考察以采购代理机构通知为准。</w:t>
      </w:r>
    </w:p>
    <w:p>
      <w:pPr>
        <w:pStyle w:val="61"/>
        <w:bidi w:val="0"/>
        <w:rPr>
          <w:rFonts w:hint="eastAsia"/>
        </w:rPr>
      </w:pPr>
      <w:r>
        <w:rPr>
          <w:rFonts w:hint="eastAsia"/>
          <w:lang w:eastAsia="zh-CN"/>
        </w:rPr>
        <w:t>投标人</w:t>
      </w:r>
      <w:r>
        <w:rPr>
          <w:rFonts w:hint="eastAsia"/>
        </w:rPr>
        <w:t>考察现场所发生的一切费用由</w:t>
      </w:r>
      <w:r>
        <w:rPr>
          <w:rFonts w:hint="eastAsia"/>
          <w:lang w:eastAsia="zh-CN"/>
        </w:rPr>
        <w:t>投标人</w:t>
      </w:r>
      <w:r>
        <w:rPr>
          <w:rFonts w:hint="eastAsia"/>
          <w:lang w:val="en-US" w:eastAsia="zh-CN"/>
        </w:rPr>
        <w:t>自行</w:t>
      </w:r>
      <w:r>
        <w:rPr>
          <w:rFonts w:hint="eastAsia"/>
        </w:rPr>
        <w:t>承担。</w:t>
      </w:r>
    </w:p>
    <w:p>
      <w:pPr>
        <w:pStyle w:val="41"/>
        <w:bidi w:val="0"/>
        <w:rPr>
          <w:rFonts w:hint="eastAsia"/>
        </w:rPr>
      </w:pPr>
      <w:bookmarkStart w:id="238" w:name="_Toc27479"/>
      <w:bookmarkStart w:id="239" w:name="_Toc30744"/>
      <w:bookmarkStart w:id="240" w:name="_Toc16131"/>
      <w:bookmarkStart w:id="241" w:name="_Toc615"/>
      <w:r>
        <w:rPr>
          <w:rFonts w:hint="eastAsia"/>
        </w:rPr>
        <w:t>投标文件</w:t>
      </w:r>
      <w:bookmarkEnd w:id="231"/>
      <w:bookmarkEnd w:id="232"/>
      <w:bookmarkEnd w:id="233"/>
      <w:bookmarkEnd w:id="234"/>
      <w:bookmarkEnd w:id="235"/>
      <w:bookmarkEnd w:id="236"/>
      <w:bookmarkEnd w:id="237"/>
      <w:bookmarkEnd w:id="238"/>
      <w:bookmarkEnd w:id="239"/>
      <w:bookmarkEnd w:id="240"/>
      <w:bookmarkEnd w:id="241"/>
    </w:p>
    <w:p>
      <w:pPr>
        <w:pStyle w:val="47"/>
        <w:numPr>
          <w:ilvl w:val="2"/>
          <w:numId w:val="13"/>
        </w:numPr>
        <w:bidi w:val="0"/>
        <w:rPr>
          <w:rFonts w:hint="eastAsia"/>
        </w:rPr>
      </w:pPr>
      <w:bookmarkStart w:id="242" w:name="_Toc1641"/>
      <w:bookmarkStart w:id="243" w:name="_Toc3041"/>
      <w:bookmarkStart w:id="244" w:name="_Toc217446043"/>
      <w:bookmarkStart w:id="245" w:name="_Toc319440129"/>
      <w:bookmarkStart w:id="246" w:name="_Toc26076"/>
      <w:bookmarkStart w:id="247" w:name="_Toc183582215"/>
      <w:bookmarkStart w:id="248" w:name="_Toc183682352"/>
      <w:bookmarkStart w:id="249" w:name="_Toc308188139"/>
      <w:bookmarkStart w:id="250" w:name="_Toc2601"/>
      <w:bookmarkStart w:id="251" w:name="_Toc307501096"/>
      <w:bookmarkStart w:id="252" w:name="_Toc307564839"/>
      <w:bookmarkStart w:id="253" w:name="_Toc327196273"/>
      <w:bookmarkStart w:id="254" w:name="_Toc308084584"/>
      <w:bookmarkStart w:id="255" w:name="_Toc27053"/>
      <w:bookmarkStart w:id="256" w:name="_Toc319439887"/>
      <w:bookmarkStart w:id="257" w:name="_Toc21169"/>
      <w:bookmarkStart w:id="258" w:name="_Toc29330"/>
      <w:bookmarkStart w:id="259" w:name="_Toc309897502"/>
      <w:bookmarkStart w:id="260" w:name="_Toc23564"/>
      <w:bookmarkStart w:id="261" w:name="_Toc29527"/>
      <w:bookmarkStart w:id="262" w:name="_Toc8388"/>
      <w:bookmarkStart w:id="263" w:name="_Toc11217"/>
      <w:bookmarkStart w:id="264" w:name="_Toc14178"/>
      <w:r>
        <w:rPr>
          <w:rFonts w:hint="eastAsia"/>
        </w:rPr>
        <w:t>投标文件的语言</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Pr>
          <w:rFonts w:hint="eastAsia"/>
          <w:lang w:val="en-US" w:eastAsia="zh-CN"/>
        </w:rPr>
        <w:t>(实质性要求)</w:t>
      </w:r>
      <w:bookmarkEnd w:id="261"/>
      <w:bookmarkEnd w:id="262"/>
      <w:bookmarkEnd w:id="263"/>
      <w:bookmarkEnd w:id="264"/>
    </w:p>
    <w:p>
      <w:pPr>
        <w:pStyle w:val="61"/>
        <w:bidi w:val="0"/>
        <w:rPr>
          <w:rFonts w:hint="eastAsia"/>
        </w:rPr>
      </w:pPr>
      <w:r>
        <w:rPr>
          <w:rFonts w:hint="eastAsia"/>
        </w:rPr>
        <w:t>投标人提交的投标文件以及投标人与招标采购单位就有关投标的所有来往书面文件均须使用中文。投标文件中如附有外文资料，必须逐一对应翻译成中文并加盖投标人</w:t>
      </w:r>
      <w:r>
        <w:rPr>
          <w:rFonts w:hint="eastAsia"/>
          <w:lang w:val="en-US" w:eastAsia="zh-CN"/>
        </w:rPr>
        <w:t>电子签章</w:t>
      </w:r>
      <w:r>
        <w:rPr>
          <w:rFonts w:hint="eastAsia"/>
        </w:rPr>
        <w:t>后附在相关外文资料后面，否则，视为未提供该资料。对于</w:t>
      </w:r>
      <w:r>
        <w:rPr>
          <w:rFonts w:hint="eastAsia"/>
          <w:lang w:val="en-US" w:eastAsia="zh-CN"/>
        </w:rPr>
        <w:t>供应商的法定代表人为外籍人士的，法定代表人的签字和护照、</w:t>
      </w:r>
      <w:r>
        <w:rPr>
          <w:rFonts w:hint="eastAsia"/>
        </w:rPr>
        <w:t>行业标准、国家标准、国际标准或行业认证等需要以非中文表述且不宜翻译为中文的除外。</w:t>
      </w:r>
    </w:p>
    <w:p>
      <w:pPr>
        <w:pStyle w:val="61"/>
        <w:bidi w:val="0"/>
        <w:rPr>
          <w:rFonts w:hint="eastAsia"/>
        </w:rPr>
      </w:pPr>
      <w:r>
        <w:rPr>
          <w:rFonts w:hint="eastAsia"/>
        </w:rPr>
        <w:t>翻译的中文资料与外文资料如果出现差异和矛盾时，以中文为准。但不能故意错误翻译，否则，投标人的投标文件将作为无效投标处理。</w:t>
      </w:r>
    </w:p>
    <w:p>
      <w:pPr>
        <w:pStyle w:val="47"/>
        <w:bidi w:val="0"/>
        <w:rPr>
          <w:rFonts w:hint="eastAsia"/>
        </w:rPr>
      </w:pPr>
      <w:bookmarkStart w:id="265" w:name="_Toc309897503"/>
      <w:bookmarkStart w:id="266" w:name="_Toc11901"/>
      <w:bookmarkStart w:id="267" w:name="_Toc308188140"/>
      <w:bookmarkStart w:id="268" w:name="_Toc15226"/>
      <w:bookmarkStart w:id="269" w:name="_Toc12195"/>
      <w:bookmarkStart w:id="270" w:name="_Toc20091"/>
      <w:bookmarkStart w:id="271" w:name="_Toc319440130"/>
      <w:bookmarkStart w:id="272" w:name="_Toc17444"/>
      <w:bookmarkStart w:id="273" w:name="_Toc308084585"/>
      <w:bookmarkStart w:id="274" w:name="_Toc307564840"/>
      <w:bookmarkStart w:id="275" w:name="_Toc15145"/>
      <w:bookmarkStart w:id="276" w:name="_Toc217446044"/>
      <w:bookmarkStart w:id="277" w:name="_Toc307501097"/>
      <w:bookmarkStart w:id="278" w:name="_Toc183682353"/>
      <w:bookmarkStart w:id="279" w:name="_Toc20188"/>
      <w:bookmarkStart w:id="280" w:name="_Toc327196274"/>
      <w:bookmarkStart w:id="281" w:name="_Toc319439888"/>
      <w:bookmarkStart w:id="282" w:name="_Toc2379"/>
      <w:bookmarkStart w:id="283" w:name="_Toc183582216"/>
      <w:bookmarkStart w:id="284" w:name="_Toc12658"/>
      <w:bookmarkStart w:id="285" w:name="_Toc30128"/>
      <w:bookmarkStart w:id="286" w:name="_Toc18700"/>
      <w:bookmarkStart w:id="287" w:name="_Toc10594"/>
      <w:r>
        <w:rPr>
          <w:rFonts w:hint="eastAsia"/>
        </w:rPr>
        <w:t>计量单位</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Pr>
          <w:rFonts w:hint="eastAsia"/>
          <w:lang w:val="en-US" w:eastAsia="zh-CN"/>
        </w:rPr>
        <w:t>(实质性要求)</w:t>
      </w:r>
      <w:bookmarkEnd w:id="284"/>
      <w:bookmarkEnd w:id="285"/>
      <w:bookmarkEnd w:id="286"/>
      <w:bookmarkEnd w:id="287"/>
    </w:p>
    <w:p>
      <w:pPr>
        <w:pStyle w:val="44"/>
        <w:bidi w:val="0"/>
        <w:rPr>
          <w:rFonts w:hint="eastAsia"/>
        </w:rPr>
      </w:pPr>
      <w:r>
        <w:rPr>
          <w:rFonts w:hint="eastAsia"/>
        </w:rPr>
        <w:t>除技术规格及要求中另有规定外，本采购项下的投标均采用国家法定的计量单位。</w:t>
      </w:r>
    </w:p>
    <w:p>
      <w:pPr>
        <w:pStyle w:val="47"/>
        <w:bidi w:val="0"/>
        <w:rPr>
          <w:rFonts w:hint="eastAsia"/>
        </w:rPr>
      </w:pPr>
      <w:bookmarkStart w:id="288" w:name="_Toc8881"/>
      <w:bookmarkStart w:id="289" w:name="_Toc308084586"/>
      <w:bookmarkStart w:id="290" w:name="_Toc25216"/>
      <w:bookmarkStart w:id="291" w:name="_Toc327196275"/>
      <w:bookmarkStart w:id="292" w:name="_Toc319439889"/>
      <w:bookmarkStart w:id="293" w:name="_Toc24761"/>
      <w:bookmarkStart w:id="294" w:name="_Toc308188141"/>
      <w:bookmarkStart w:id="295" w:name="_Toc698"/>
      <w:bookmarkStart w:id="296" w:name="_Toc16798"/>
      <w:bookmarkStart w:id="297" w:name="_Toc309897504"/>
      <w:bookmarkStart w:id="298" w:name="_Toc307501098"/>
      <w:bookmarkStart w:id="299" w:name="_Toc8803"/>
      <w:bookmarkStart w:id="300" w:name="_Toc15435"/>
      <w:bookmarkStart w:id="301" w:name="_Toc307564841"/>
      <w:bookmarkStart w:id="302" w:name="_Toc319440131"/>
      <w:bookmarkStart w:id="303" w:name="_Toc22739"/>
      <w:bookmarkStart w:id="304" w:name="_Toc217446045"/>
      <w:bookmarkStart w:id="305" w:name="_Toc20780"/>
      <w:bookmarkStart w:id="306" w:name="_Toc11860"/>
      <w:bookmarkStart w:id="307" w:name="_Toc11633"/>
      <w:bookmarkStart w:id="308" w:name="_Toc19960"/>
      <w:r>
        <w:rPr>
          <w:rFonts w:hint="eastAsia"/>
        </w:rPr>
        <w:t>投标货币</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Pr>
          <w:rFonts w:hint="eastAsia"/>
          <w:lang w:val="en-US" w:eastAsia="zh-CN"/>
        </w:rPr>
        <w:t>(实质性要求)</w:t>
      </w:r>
      <w:bookmarkEnd w:id="305"/>
      <w:bookmarkEnd w:id="306"/>
      <w:bookmarkEnd w:id="307"/>
      <w:bookmarkEnd w:id="308"/>
    </w:p>
    <w:p>
      <w:pPr>
        <w:pStyle w:val="44"/>
        <w:bidi w:val="0"/>
        <w:rPr>
          <w:rFonts w:hint="eastAsia"/>
        </w:rPr>
      </w:pPr>
      <w:r>
        <w:rPr>
          <w:rFonts w:hint="eastAsia"/>
        </w:rPr>
        <w:t>本次招标项目的投标均以人民币报价。</w:t>
      </w:r>
    </w:p>
    <w:p>
      <w:pPr>
        <w:pStyle w:val="47"/>
        <w:bidi w:val="0"/>
        <w:rPr>
          <w:rFonts w:hint="eastAsia"/>
          <w:lang w:eastAsia="zh-CN"/>
        </w:rPr>
      </w:pPr>
      <w:bookmarkStart w:id="309" w:name="_Toc21797"/>
      <w:bookmarkStart w:id="310" w:name="_Toc7935"/>
      <w:bookmarkStart w:id="311" w:name="_Toc327196276"/>
      <w:bookmarkStart w:id="312" w:name="_Toc319439890"/>
      <w:bookmarkStart w:id="313" w:name="_Toc307501099"/>
      <w:bookmarkStart w:id="314" w:name="_Toc217446046"/>
      <w:bookmarkStart w:id="315" w:name="_Toc15074"/>
      <w:bookmarkStart w:id="316" w:name="_Toc319440132"/>
      <w:bookmarkStart w:id="317" w:name="_Toc307564842"/>
      <w:bookmarkStart w:id="318" w:name="_Toc24432"/>
      <w:bookmarkStart w:id="319" w:name="_Toc25923"/>
      <w:bookmarkStart w:id="320" w:name="_Toc16409"/>
      <w:bookmarkStart w:id="321" w:name="_Toc309897505"/>
      <w:bookmarkStart w:id="322" w:name="_Toc308188142"/>
      <w:bookmarkStart w:id="323" w:name="_Toc4336"/>
      <w:bookmarkStart w:id="324" w:name="_Toc8550"/>
      <w:bookmarkStart w:id="325" w:name="_Toc25266"/>
      <w:bookmarkStart w:id="326" w:name="_Toc308084587"/>
      <w:bookmarkStart w:id="327" w:name="_Toc32108"/>
      <w:bookmarkStart w:id="328" w:name="_Toc21894"/>
      <w:bookmarkStart w:id="329" w:name="_Toc32667"/>
      <w:bookmarkStart w:id="330" w:name="_Toc20187"/>
      <w:bookmarkStart w:id="331" w:name="_Toc10974"/>
      <w:bookmarkStart w:id="332" w:name="_Toc30958"/>
      <w:bookmarkStart w:id="333" w:name="_Toc2050"/>
      <w:bookmarkStart w:id="334" w:name="_Toc309897506"/>
      <w:bookmarkStart w:id="335" w:name="_Toc7819"/>
      <w:bookmarkStart w:id="336" w:name="_Toc308188143"/>
      <w:bookmarkStart w:id="337" w:name="_Toc319439891"/>
      <w:bookmarkStart w:id="338" w:name="_Toc13754"/>
      <w:bookmarkStart w:id="339" w:name="_Toc308084588"/>
      <w:bookmarkStart w:id="340" w:name="_Toc3781"/>
      <w:bookmarkStart w:id="341" w:name="_Toc307501100"/>
      <w:bookmarkStart w:id="342" w:name="_Toc327196277"/>
      <w:bookmarkStart w:id="343" w:name="_Toc217446047"/>
      <w:bookmarkStart w:id="344" w:name="_Toc307564843"/>
      <w:bookmarkStart w:id="345" w:name="_Toc27877"/>
      <w:bookmarkStart w:id="346" w:name="_Toc18912"/>
      <w:bookmarkStart w:id="347" w:name="_Toc319440133"/>
      <w:bookmarkStart w:id="348" w:name="_Toc9626"/>
      <w:bookmarkStart w:id="349" w:name="_Toc15468"/>
      <w:r>
        <w:rPr>
          <w:rFonts w:hint="eastAsia"/>
        </w:rPr>
        <w:t>联合体投标</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Pr>
          <w:rFonts w:hint="eastAsia"/>
          <w:lang w:val="en-US" w:eastAsia="zh-CN"/>
        </w:rPr>
        <w:t>(实质性要求)</w:t>
      </w:r>
      <w:bookmarkEnd w:id="330"/>
    </w:p>
    <w:p>
      <w:pPr>
        <w:pStyle w:val="40"/>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default" w:eastAsia="宋体"/>
          <w:highlight w:val="none"/>
          <w:lang w:val="en-US" w:eastAsia="zh-CN"/>
        </w:rPr>
      </w:pPr>
      <w:r>
        <w:rPr>
          <w:rFonts w:hint="eastAsia"/>
          <w:highlight w:val="none"/>
          <w:lang w:val="en-US" w:eastAsia="zh-CN"/>
        </w:rPr>
        <w:t>本项目不接受联合体投标。</w:t>
      </w:r>
    </w:p>
    <w:p>
      <w:pPr>
        <w:pStyle w:val="47"/>
        <w:bidi w:val="0"/>
        <w:rPr>
          <w:rFonts w:hint="eastAsia"/>
        </w:rPr>
      </w:pPr>
      <w:bookmarkStart w:id="350" w:name="_Toc30421"/>
      <w:bookmarkStart w:id="351" w:name="_Toc14161"/>
      <w:r>
        <w:rPr>
          <w:rFonts w:hint="eastAsia"/>
        </w:rPr>
        <w:t>知识产权</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rPr>
          <w:rFonts w:hint="eastAsia"/>
          <w:lang w:val="en-US" w:eastAsia="zh-CN"/>
        </w:rPr>
        <w:t>(实质性要求)</w:t>
      </w:r>
      <w:bookmarkEnd w:id="348"/>
      <w:bookmarkEnd w:id="349"/>
      <w:bookmarkEnd w:id="350"/>
      <w:bookmarkEnd w:id="351"/>
    </w:p>
    <w:p>
      <w:pPr>
        <w:pStyle w:val="61"/>
        <w:bidi w:val="0"/>
      </w:pPr>
      <w:bookmarkStart w:id="352" w:name="_Toc217446048"/>
      <w:bookmarkStart w:id="353" w:name="_Toc7660"/>
      <w:bookmarkStart w:id="354" w:name="_Toc308084589"/>
      <w:bookmarkStart w:id="355" w:name="_Toc183682354"/>
      <w:bookmarkStart w:id="356" w:name="_Toc6143"/>
      <w:bookmarkStart w:id="357" w:name="_Toc183582217"/>
      <w:bookmarkStart w:id="358" w:name="_Toc16281"/>
      <w:bookmarkStart w:id="359" w:name="_Toc11856"/>
      <w:bookmarkStart w:id="360" w:name="_Toc309897507"/>
      <w:bookmarkStart w:id="361" w:name="_Toc327196278"/>
      <w:bookmarkStart w:id="362" w:name="_Toc319440134"/>
      <w:bookmarkStart w:id="363" w:name="_Toc5369"/>
      <w:bookmarkStart w:id="364" w:name="_Toc319439892"/>
      <w:bookmarkStart w:id="365" w:name="_Toc308188144"/>
      <w:bookmarkStart w:id="366" w:name="_Toc8432"/>
      <w:bookmarkStart w:id="367" w:name="_Toc307564844"/>
      <w:bookmarkStart w:id="368" w:name="_Toc1140"/>
      <w:bookmarkStart w:id="369" w:name="_Toc30708"/>
      <w:bookmarkStart w:id="370" w:name="_Toc307501101"/>
      <w:bookmarkStart w:id="371" w:name="_Toc2706"/>
      <w:bookmarkStart w:id="372" w:name="_Toc10817"/>
      <w:r>
        <w:rPr>
          <w:rFonts w:hint="eastAsia"/>
        </w:rPr>
        <w:t>投标人在本项目使用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61"/>
        <w:bidi w:val="0"/>
      </w:pPr>
      <w:r>
        <w:rPr>
          <w:rFonts w:hint="eastAsia"/>
        </w:rPr>
        <w:t>采购人享有本项目实施过程中产生的知识成果及知识产权。</w:t>
      </w:r>
    </w:p>
    <w:p>
      <w:pPr>
        <w:pStyle w:val="61"/>
        <w:bidi w:val="0"/>
      </w:pPr>
      <w:r>
        <w:rPr>
          <w:rFonts w:hint="eastAsia"/>
        </w:rPr>
        <w:t>投标人如欲在项目实施过程中采用自有知识成果，需在投标文件中声明，并提供相关知识产权证明文件。使用该知识成果后，投标人需提供</w:t>
      </w:r>
      <w:r>
        <w:rPr>
          <w:rFonts w:hint="eastAsia"/>
          <w:lang w:val="en-US" w:eastAsia="zh-CN"/>
        </w:rPr>
        <w:t>相关</w:t>
      </w:r>
      <w:r>
        <w:rPr>
          <w:rFonts w:hint="eastAsia"/>
        </w:rPr>
        <w:t>技术文档，并承诺提供无限期技术支持，采购人享有永久使用权</w:t>
      </w:r>
      <w:r>
        <w:rPr>
          <w:rFonts w:hint="eastAsia"/>
          <w:lang w:eastAsia="zh-CN"/>
        </w:rPr>
        <w:t>，</w:t>
      </w:r>
      <w:r>
        <w:t>同时需在投标文件中提供声明，并提供相关知识产权证明文件，否则视为投标人未在本项目实施过程中采用自有知识成果，不影响有效性</w:t>
      </w:r>
      <w:r>
        <w:rPr>
          <w:rFonts w:hint="eastAsia"/>
        </w:rPr>
        <w:t>。</w:t>
      </w:r>
    </w:p>
    <w:p>
      <w:pPr>
        <w:pStyle w:val="61"/>
        <w:bidi w:val="0"/>
      </w:pPr>
      <w:r>
        <w:rPr>
          <w:rFonts w:hint="eastAsia"/>
        </w:rPr>
        <w:t xml:space="preserve">如采用投标人所不拥有的知识产权，则在投标报价中必须包括合法获取该知识产权的相关费用。 </w:t>
      </w:r>
    </w:p>
    <w:p>
      <w:pPr>
        <w:pStyle w:val="61"/>
        <w:bidi w:val="0"/>
      </w:pPr>
      <w:r>
        <w:rPr>
          <w:rFonts w:hint="eastAsia"/>
        </w:rPr>
        <w:t>如采购项目涉及知识产权时按照此条要求执行</w:t>
      </w:r>
      <w:r>
        <w:rPr>
          <w:rFonts w:hint="eastAsia"/>
          <w:lang w:eastAsia="zh-CN"/>
        </w:rPr>
        <w:t>，</w:t>
      </w:r>
      <w:r>
        <w:rPr>
          <w:rFonts w:hint="eastAsia"/>
          <w:lang w:val="en-US" w:eastAsia="zh-CN"/>
        </w:rPr>
        <w:t>并在评审时作实质性审查。</w:t>
      </w:r>
    </w:p>
    <w:p>
      <w:pPr>
        <w:pStyle w:val="47"/>
        <w:bidi w:val="0"/>
        <w:rPr>
          <w:rFonts w:hint="eastAsia"/>
        </w:rPr>
      </w:pPr>
      <w:bookmarkStart w:id="373" w:name="_Toc28370"/>
      <w:bookmarkStart w:id="374" w:name="_Toc13408"/>
      <w:r>
        <w:rPr>
          <w:rFonts w:hint="eastAsia"/>
        </w:rPr>
        <w:t>投标文件的组成</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pPr>
        <w:pStyle w:val="44"/>
        <w:bidi w:val="0"/>
        <w:rPr>
          <w:rFonts w:hint="eastAsia"/>
        </w:rPr>
      </w:pPr>
      <w:bookmarkStart w:id="375" w:name="_Toc183682355"/>
      <w:bookmarkStart w:id="376" w:name="_Toc307501102"/>
      <w:bookmarkStart w:id="377" w:name="_Toc183582218"/>
      <w:bookmarkStart w:id="378" w:name="_Toc217446049"/>
      <w:r>
        <w:rPr>
          <w:rFonts w:hint="eastAsia"/>
        </w:rPr>
        <w:t>投标人应按照招标文件的规定和要求编制投标文件，否则视为无效投标。投标人编写的投标文件应包括</w:t>
      </w:r>
      <w:r>
        <w:rPr>
          <w:rFonts w:hint="eastAsia"/>
          <w:lang w:val="en-US" w:eastAsia="zh-CN"/>
        </w:rPr>
        <w:t>以下两</w:t>
      </w:r>
      <w:r>
        <w:rPr>
          <w:rFonts w:hint="eastAsia"/>
        </w:rPr>
        <w:t>部分：</w:t>
      </w:r>
    </w:p>
    <w:p>
      <w:pPr>
        <w:pStyle w:val="61"/>
        <w:bidi w:val="0"/>
        <w:rPr>
          <w:rFonts w:hint="eastAsia"/>
          <w:lang w:val="en-US" w:eastAsia="zh-CN"/>
        </w:rPr>
      </w:pPr>
      <w:r>
        <w:rPr>
          <w:rFonts w:hint="eastAsia"/>
          <w:lang w:val="en-US" w:eastAsia="zh-CN"/>
        </w:rPr>
        <w:t>第一部分：资格、资质性及其他类似效力投标文件(用于资格审查)</w:t>
      </w:r>
    </w:p>
    <w:p>
      <w:pPr>
        <w:pStyle w:val="44"/>
        <w:bidi w:val="0"/>
        <w:rPr>
          <w:rFonts w:hint="eastAsia"/>
          <w:lang w:val="en-US" w:eastAsia="zh-CN"/>
        </w:rPr>
      </w:pPr>
      <w:r>
        <w:rPr>
          <w:rFonts w:hint="eastAsia"/>
          <w:lang w:val="en-US" w:eastAsia="zh-CN"/>
        </w:rPr>
        <w:t>按照招标文件第四、五章要求提供相关资格、资质性及其他类似效力要求的相关证明材料。</w:t>
      </w:r>
    </w:p>
    <w:p>
      <w:pPr>
        <w:pStyle w:val="61"/>
        <w:bidi w:val="0"/>
        <w:rPr>
          <w:rFonts w:hint="eastAsia"/>
          <w:lang w:eastAsia="zh-CN"/>
        </w:rPr>
      </w:pPr>
      <w:r>
        <w:rPr>
          <w:rFonts w:hint="eastAsia"/>
          <w:lang w:val="en-US" w:eastAsia="zh-CN"/>
        </w:rPr>
        <w:t>第二部分</w:t>
      </w:r>
      <w:r>
        <w:rPr>
          <w:rFonts w:hint="eastAsia"/>
        </w:rPr>
        <w:t>：其它投标文件</w:t>
      </w:r>
      <w:r>
        <w:rPr>
          <w:rFonts w:hint="eastAsia"/>
          <w:lang w:eastAsia="zh-CN"/>
        </w:rPr>
        <w:t>(</w:t>
      </w:r>
      <w:r>
        <w:rPr>
          <w:rFonts w:hint="eastAsia"/>
        </w:rPr>
        <w:t>用于资格审查以外的评标</w:t>
      </w:r>
      <w:r>
        <w:rPr>
          <w:rFonts w:hint="eastAsia"/>
          <w:lang w:eastAsia="zh-CN"/>
        </w:rPr>
        <w:t>)</w:t>
      </w:r>
    </w:p>
    <w:p>
      <w:pPr>
        <w:pStyle w:val="44"/>
        <w:bidi w:val="0"/>
        <w:rPr>
          <w:rFonts w:hint="eastAsia"/>
          <w:lang w:val="en-US" w:eastAsia="zh-CN"/>
        </w:rPr>
      </w:pPr>
      <w:r>
        <w:rPr>
          <w:rFonts w:hint="eastAsia"/>
          <w:lang w:val="en-US" w:eastAsia="zh-CN"/>
        </w:rPr>
        <w:t>按照招标文件要求提供以下相关材料：</w:t>
      </w:r>
    </w:p>
    <w:p>
      <w:pPr>
        <w:pStyle w:val="62"/>
        <w:bidi w:val="0"/>
        <w:rPr>
          <w:rFonts w:hint="eastAsia"/>
          <w:b/>
          <w:bCs/>
        </w:rPr>
      </w:pPr>
      <w:r>
        <w:rPr>
          <w:rFonts w:hint="eastAsia"/>
          <w:b/>
          <w:bCs/>
        </w:rPr>
        <w:t>报价部分</w:t>
      </w:r>
      <w:r>
        <w:rPr>
          <w:rFonts w:hint="eastAsia"/>
          <w:b/>
          <w:bCs/>
          <w:lang w:val="zh-CN"/>
        </w:rPr>
        <w:t>(实质性要求)</w:t>
      </w:r>
    </w:p>
    <w:p>
      <w:pPr>
        <w:pStyle w:val="34"/>
        <w:numPr>
          <w:ilvl w:val="3"/>
          <w:numId w:val="0"/>
        </w:numPr>
        <w:bidi w:val="0"/>
        <w:ind w:leftChars="200"/>
        <w:rPr>
          <w:rFonts w:hint="eastAsia"/>
        </w:rPr>
      </w:pPr>
      <w:r>
        <w:rPr>
          <w:rFonts w:hint="eastAsia"/>
        </w:rPr>
        <w:t>投标人按照以下要求填写的“开标一览表”。本次招标报价要求：</w:t>
      </w:r>
    </w:p>
    <w:p>
      <w:pPr>
        <w:pStyle w:val="63"/>
        <w:bidi w:val="0"/>
      </w:pPr>
      <w:r>
        <w:rPr>
          <w:rFonts w:hint="eastAsia"/>
        </w:rPr>
        <w:t>投标人的报价是投标人响应招标项目要求的全部工作内容的价格体现，包括完成本项目所涉及的一切费用。</w:t>
      </w:r>
    </w:p>
    <w:p>
      <w:pPr>
        <w:pStyle w:val="63"/>
        <w:bidi w:val="0"/>
      </w:pPr>
      <w:r>
        <w:rPr>
          <w:rFonts w:hint="eastAsia"/>
        </w:rPr>
        <w:t>投标人只允许有一个报价，并且在合同履行过程中是固定不变的，任何有选择或可调整的报价将不予接受，并按无效投标处理。</w:t>
      </w:r>
    </w:p>
    <w:p>
      <w:pPr>
        <w:pStyle w:val="62"/>
        <w:bidi w:val="0"/>
        <w:rPr>
          <w:rFonts w:hint="eastAsia"/>
          <w:b/>
          <w:bCs/>
          <w:lang w:val="zh-CN"/>
        </w:rPr>
      </w:pPr>
      <w:r>
        <w:rPr>
          <w:rFonts w:hint="eastAsia"/>
          <w:b/>
          <w:bCs/>
          <w:lang w:val="en-US" w:eastAsia="zh-CN"/>
        </w:rPr>
        <w:t>服务</w:t>
      </w:r>
      <w:r>
        <w:rPr>
          <w:rFonts w:hint="eastAsia"/>
          <w:b/>
          <w:bCs/>
          <w:lang w:val="zh-CN"/>
        </w:rPr>
        <w:t>部分</w:t>
      </w:r>
    </w:p>
    <w:p>
      <w:pPr>
        <w:pStyle w:val="44"/>
        <w:bidi w:val="0"/>
        <w:rPr>
          <w:rFonts w:hint="eastAsia"/>
          <w:lang w:val="zh-CN"/>
        </w:rPr>
      </w:pPr>
      <w:r>
        <w:rPr>
          <w:rFonts w:hint="eastAsia"/>
          <w:lang w:val="zh-CN"/>
        </w:rPr>
        <w:t>投标人按照招标文件要求做出的</w:t>
      </w:r>
      <w:r>
        <w:rPr>
          <w:rFonts w:hint="eastAsia"/>
          <w:lang w:val="zh-CN" w:eastAsia="zh-CN"/>
        </w:rPr>
        <w:t>服务</w:t>
      </w:r>
      <w:r>
        <w:rPr>
          <w:rFonts w:hint="eastAsia"/>
          <w:lang w:val="zh-CN"/>
        </w:rPr>
        <w:t>应答，主要是针对招标项目的</w:t>
      </w:r>
      <w:r>
        <w:rPr>
          <w:rFonts w:hint="eastAsia"/>
          <w:lang w:val="zh-CN" w:eastAsia="zh-CN"/>
        </w:rPr>
        <w:t>服务</w:t>
      </w:r>
      <w:r>
        <w:rPr>
          <w:rFonts w:hint="eastAsia"/>
          <w:lang w:val="zh-CN"/>
        </w:rPr>
        <w:t>要求做出的实质性响应和满足。投标人的</w:t>
      </w:r>
      <w:r>
        <w:rPr>
          <w:rFonts w:hint="eastAsia"/>
          <w:lang w:val="zh-CN" w:eastAsia="zh-CN"/>
        </w:rPr>
        <w:t>服务</w:t>
      </w:r>
      <w:r>
        <w:rPr>
          <w:rFonts w:hint="eastAsia"/>
          <w:lang w:val="zh-CN"/>
        </w:rPr>
        <w:t>应答</w:t>
      </w:r>
      <w:r>
        <w:rPr>
          <w:rFonts w:hint="eastAsia"/>
          <w:lang w:val="zh-CN" w:eastAsia="zh-CN"/>
        </w:rPr>
        <w:t>应尽可能</w:t>
      </w:r>
      <w:r>
        <w:rPr>
          <w:rFonts w:hint="eastAsia"/>
          <w:lang w:val="zh-CN"/>
        </w:rPr>
        <w:t>包括下列内容：</w:t>
      </w:r>
    </w:p>
    <w:p>
      <w:pPr>
        <w:pStyle w:val="63"/>
        <w:bidi w:val="0"/>
        <w:rPr>
          <w:rFonts w:hint="eastAsia" w:ascii="宋体" w:hAnsi="宋体" w:eastAsia="宋体"/>
          <w:lang w:val="zh-CN"/>
        </w:rPr>
      </w:pPr>
      <w:r>
        <w:rPr>
          <w:rFonts w:hint="eastAsia" w:ascii="宋体" w:hAnsi="宋体" w:eastAsia="宋体"/>
          <w:lang w:val="zh-CN" w:eastAsia="zh-CN"/>
        </w:rPr>
        <w:t>服务</w:t>
      </w:r>
      <w:r>
        <w:rPr>
          <w:rFonts w:hint="eastAsia" w:ascii="宋体" w:hAnsi="宋体" w:eastAsia="宋体"/>
          <w:lang w:val="zh-CN"/>
        </w:rPr>
        <w:t>方案；</w:t>
      </w:r>
    </w:p>
    <w:p>
      <w:pPr>
        <w:pStyle w:val="63"/>
        <w:bidi w:val="0"/>
        <w:rPr>
          <w:rFonts w:hint="eastAsia" w:ascii="宋体" w:hAnsi="宋体" w:eastAsia="宋体"/>
          <w:lang w:val="zh-CN" w:eastAsia="zh-CN"/>
        </w:rPr>
      </w:pPr>
      <w:r>
        <w:rPr>
          <w:rFonts w:hint="eastAsia" w:ascii="宋体" w:hAnsi="宋体" w:eastAsia="宋体"/>
          <w:lang w:val="en-US" w:eastAsia="zh-CN"/>
        </w:rPr>
        <w:t>配置的设备</w:t>
      </w:r>
      <w:r>
        <w:rPr>
          <w:rFonts w:hint="eastAsia" w:ascii="宋体" w:hAnsi="宋体" w:eastAsia="宋体"/>
          <w:lang w:val="zh-CN"/>
        </w:rPr>
        <w:t>的品牌、型号、本身的详细的技术指标</w:t>
      </w:r>
      <w:r>
        <w:rPr>
          <w:rFonts w:hint="eastAsia" w:ascii="宋体" w:hAnsi="宋体" w:eastAsia="宋体"/>
          <w:lang w:val="en-US" w:eastAsia="zh-CN"/>
        </w:rPr>
        <w:t>以及适用范围</w:t>
      </w:r>
      <w:r>
        <w:rPr>
          <w:rFonts w:hint="eastAsia" w:ascii="宋体" w:hAnsi="宋体" w:eastAsia="宋体"/>
          <w:lang w:val="zh-CN" w:eastAsia="zh-CN"/>
        </w:rPr>
        <w:t>；</w:t>
      </w:r>
    </w:p>
    <w:p>
      <w:pPr>
        <w:pStyle w:val="63"/>
        <w:bidi w:val="0"/>
        <w:rPr>
          <w:rFonts w:hint="eastAsia" w:ascii="宋体" w:hAnsi="宋体" w:eastAsia="宋体"/>
          <w:lang w:val="zh-CN"/>
        </w:rPr>
      </w:pPr>
      <w:r>
        <w:rPr>
          <w:rFonts w:hint="eastAsia" w:ascii="宋体" w:hAnsi="宋体" w:eastAsia="宋体"/>
          <w:lang w:val="zh-CN"/>
        </w:rPr>
        <w:t>拟投本项目的管理、技术及服务人员</w:t>
      </w:r>
      <w:r>
        <w:rPr>
          <w:rFonts w:hint="eastAsia" w:ascii="宋体" w:hAnsi="宋体" w:eastAsia="宋体"/>
          <w:lang w:val="zh-CN" w:eastAsia="zh-CN"/>
        </w:rPr>
        <w:t>(如涉及需投入设备的项目可列明设备清单)</w:t>
      </w:r>
      <w:r>
        <w:rPr>
          <w:rFonts w:hint="eastAsia" w:ascii="宋体" w:hAnsi="宋体" w:eastAsia="宋体"/>
          <w:lang w:val="zh-CN"/>
        </w:rPr>
        <w:t>；</w:t>
      </w:r>
    </w:p>
    <w:p>
      <w:pPr>
        <w:pStyle w:val="63"/>
        <w:bidi w:val="0"/>
        <w:rPr>
          <w:rFonts w:hint="eastAsia" w:ascii="宋体" w:hAnsi="宋体" w:eastAsia="宋体"/>
          <w:lang w:val="zh-CN"/>
        </w:rPr>
      </w:pPr>
      <w:r>
        <w:rPr>
          <w:rFonts w:hint="eastAsia" w:ascii="宋体" w:hAnsi="宋体" w:eastAsia="宋体"/>
          <w:lang w:val="zh-CN"/>
        </w:rPr>
        <w:t>服务应答表；</w:t>
      </w:r>
    </w:p>
    <w:p>
      <w:pPr>
        <w:pStyle w:val="63"/>
        <w:bidi w:val="0"/>
        <w:rPr>
          <w:rFonts w:hint="eastAsia" w:ascii="宋体" w:hAnsi="宋体" w:eastAsia="宋体"/>
          <w:lang w:val="zh-CN"/>
        </w:rPr>
      </w:pPr>
      <w:r>
        <w:rPr>
          <w:rFonts w:hint="eastAsia" w:ascii="宋体" w:hAnsi="宋体" w:eastAsia="宋体"/>
          <w:lang w:val="zh-CN"/>
        </w:rPr>
        <w:t>项目验收标准和验收方法；</w:t>
      </w:r>
    </w:p>
    <w:p>
      <w:pPr>
        <w:pStyle w:val="63"/>
        <w:bidi w:val="0"/>
        <w:rPr>
          <w:rFonts w:hint="eastAsia" w:ascii="宋体" w:hAnsi="宋体" w:eastAsia="宋体"/>
          <w:lang w:val="zh-CN"/>
        </w:rPr>
      </w:pPr>
      <w:r>
        <w:rPr>
          <w:rFonts w:hint="eastAsia" w:ascii="宋体" w:hAnsi="宋体" w:eastAsia="宋体"/>
          <w:lang w:val="zh-CN"/>
        </w:rPr>
        <w:t>投标人认为需要提供的文件和资料。</w:t>
      </w:r>
    </w:p>
    <w:p>
      <w:pPr>
        <w:pStyle w:val="62"/>
        <w:bidi w:val="0"/>
        <w:rPr>
          <w:rFonts w:hint="eastAsia"/>
          <w:b/>
          <w:bCs/>
        </w:rPr>
      </w:pPr>
      <w:r>
        <w:rPr>
          <w:rFonts w:hint="eastAsia"/>
          <w:b/>
          <w:bCs/>
        </w:rPr>
        <w:t>商务部分</w:t>
      </w:r>
    </w:p>
    <w:p>
      <w:pPr>
        <w:pStyle w:val="44"/>
        <w:bidi w:val="0"/>
        <w:rPr>
          <w:rFonts w:hint="eastAsia"/>
        </w:rPr>
      </w:pPr>
      <w:r>
        <w:rPr>
          <w:rFonts w:hint="eastAsia"/>
        </w:rPr>
        <w:t>投标人按照招标文件要求提供的有关证明材料</w:t>
      </w:r>
      <w:r>
        <w:rPr>
          <w:rFonts w:hint="eastAsia"/>
          <w:lang w:eastAsia="zh-CN"/>
        </w:rPr>
        <w:t>，</w:t>
      </w:r>
      <w:r>
        <w:rPr>
          <w:rFonts w:hint="eastAsia"/>
        </w:rPr>
        <w:t>至少应包括但不限于以下内容：</w:t>
      </w:r>
    </w:p>
    <w:p>
      <w:pPr>
        <w:pStyle w:val="63"/>
        <w:bidi w:val="0"/>
        <w:rPr>
          <w:rFonts w:hint="eastAsia"/>
        </w:rPr>
      </w:pPr>
      <w:bookmarkStart w:id="379" w:name="_Toc148505258"/>
      <w:bookmarkStart w:id="380" w:name="_Toc338418069"/>
      <w:bookmarkStart w:id="381" w:name="_Toc310410799"/>
      <w:bookmarkStart w:id="382" w:name="_Toc310412059"/>
      <w:bookmarkStart w:id="383" w:name="_Toc310411990"/>
      <w:bookmarkStart w:id="384" w:name="_Toc177972975"/>
      <w:bookmarkStart w:id="385" w:name="_Toc177972289"/>
      <w:r>
        <w:rPr>
          <w:rFonts w:hint="eastAsia"/>
        </w:rPr>
        <w:t>投标函；</w:t>
      </w:r>
    </w:p>
    <w:p>
      <w:pPr>
        <w:pStyle w:val="63"/>
        <w:bidi w:val="0"/>
        <w:rPr>
          <w:rFonts w:hint="eastAsia"/>
          <w:lang w:val="en-US" w:eastAsia="zh-CN"/>
        </w:rPr>
      </w:pPr>
      <w:r>
        <w:rPr>
          <w:rFonts w:hint="eastAsia"/>
          <w:lang w:val="en-US" w:eastAsia="zh-CN"/>
        </w:rPr>
        <w:t>投标人基本情况表；</w:t>
      </w:r>
    </w:p>
    <w:p>
      <w:pPr>
        <w:pStyle w:val="63"/>
        <w:bidi w:val="0"/>
        <w:rPr>
          <w:rFonts w:hint="eastAsia"/>
          <w:lang w:val="en-US" w:eastAsia="zh-CN"/>
        </w:rPr>
      </w:pPr>
      <w:r>
        <w:rPr>
          <w:rFonts w:hint="eastAsia"/>
          <w:lang w:val="en-US" w:eastAsia="zh-CN"/>
        </w:rPr>
        <w:t>商务应答表；</w:t>
      </w:r>
    </w:p>
    <w:p>
      <w:pPr>
        <w:pStyle w:val="63"/>
        <w:bidi w:val="0"/>
        <w:rPr>
          <w:rFonts w:hint="eastAsia"/>
          <w:lang w:val="en-US" w:eastAsia="zh-CN"/>
        </w:rPr>
      </w:pPr>
      <w:r>
        <w:rPr>
          <w:rFonts w:hint="eastAsia"/>
          <w:lang w:val="en-US" w:eastAsia="zh-CN"/>
        </w:rPr>
        <w:t>招标代理服务费承诺函；</w:t>
      </w:r>
    </w:p>
    <w:p>
      <w:pPr>
        <w:pStyle w:val="63"/>
        <w:bidi w:val="0"/>
        <w:rPr>
          <w:rFonts w:hint="eastAsia"/>
          <w:lang w:val="en-US" w:eastAsia="zh-CN"/>
        </w:rPr>
      </w:pPr>
      <w:r>
        <w:rPr>
          <w:rFonts w:hint="eastAsia"/>
          <w:lang w:val="en-US" w:eastAsia="zh-CN"/>
        </w:rPr>
        <w:t>履约经验；</w:t>
      </w:r>
    </w:p>
    <w:p>
      <w:pPr>
        <w:pStyle w:val="63"/>
        <w:bidi w:val="0"/>
        <w:rPr>
          <w:rFonts w:hint="eastAsia"/>
          <w:lang w:val="en-US" w:eastAsia="zh-CN"/>
        </w:rPr>
      </w:pPr>
      <w:r>
        <w:rPr>
          <w:rFonts w:hint="eastAsia"/>
          <w:lang w:val="en-US" w:eastAsia="zh-CN"/>
        </w:rPr>
        <w:t>投标人认为应当提供的其他证明材料；</w:t>
      </w:r>
    </w:p>
    <w:p>
      <w:pPr>
        <w:pStyle w:val="63"/>
        <w:bidi w:val="0"/>
        <w:rPr>
          <w:rFonts w:hint="eastAsia"/>
        </w:rPr>
      </w:pPr>
      <w:r>
        <w:rPr>
          <w:rFonts w:hint="eastAsia"/>
          <w:lang w:val="en-US" w:eastAsia="zh-CN"/>
        </w:rPr>
        <w:t>招标文件规定的其他商务要求</w:t>
      </w:r>
      <w:r>
        <w:rPr>
          <w:rFonts w:hint="eastAsia"/>
        </w:rPr>
        <w:t>。</w:t>
      </w:r>
    </w:p>
    <w:bookmarkEnd w:id="379"/>
    <w:bookmarkEnd w:id="380"/>
    <w:bookmarkEnd w:id="381"/>
    <w:bookmarkEnd w:id="382"/>
    <w:bookmarkEnd w:id="383"/>
    <w:bookmarkEnd w:id="384"/>
    <w:bookmarkEnd w:id="385"/>
    <w:p>
      <w:pPr>
        <w:pStyle w:val="62"/>
        <w:bidi w:val="0"/>
        <w:rPr>
          <w:rFonts w:hint="eastAsia"/>
        </w:rPr>
      </w:pPr>
      <w:r>
        <w:rPr>
          <w:rFonts w:hint="eastAsia"/>
        </w:rPr>
        <w:t>其他部分。</w:t>
      </w:r>
    </w:p>
    <w:p>
      <w:pPr>
        <w:pStyle w:val="44"/>
        <w:bidi w:val="0"/>
        <w:rPr>
          <w:rFonts w:hint="eastAsia"/>
        </w:rPr>
      </w:pPr>
      <w:r>
        <w:rPr>
          <w:rFonts w:hint="eastAsia"/>
        </w:rPr>
        <w:t>投标人按照招标文件要求作出的其他应答和承诺。</w:t>
      </w:r>
    </w:p>
    <w:p>
      <w:pPr>
        <w:pStyle w:val="45"/>
        <w:bidi w:val="0"/>
        <w:rPr>
          <w:rFonts w:hint="eastAsia"/>
        </w:rPr>
      </w:pPr>
      <w:r>
        <w:rPr>
          <w:rFonts w:hint="eastAsia"/>
        </w:rPr>
        <w:t>注：以</w:t>
      </w:r>
      <w:r>
        <w:rPr>
          <w:rFonts w:hint="eastAsia"/>
          <w:highlight w:val="none"/>
        </w:rPr>
        <w:t>上</w:t>
      </w:r>
      <w:r>
        <w:rPr>
          <w:rFonts w:hint="eastAsia"/>
          <w:color w:val="auto"/>
          <w:highlight w:val="none"/>
          <w:lang w:eastAsia="zh-CN"/>
        </w:rPr>
        <w:t>1、</w:t>
      </w:r>
      <w:r>
        <w:rPr>
          <w:rFonts w:hint="eastAsia"/>
          <w:color w:val="auto"/>
          <w:highlight w:val="none"/>
        </w:rPr>
        <w:t>2</w:t>
      </w:r>
      <w:r>
        <w:rPr>
          <w:rFonts w:hint="eastAsia"/>
          <w:highlight w:val="none"/>
        </w:rPr>
        <w:t>要求提供的证明材料均需加盖投标人</w:t>
      </w:r>
      <w:r>
        <w:rPr>
          <w:rFonts w:hint="eastAsia"/>
          <w:highlight w:val="none"/>
          <w:lang w:val="en-US" w:eastAsia="zh-CN"/>
        </w:rPr>
        <w:t>电子签章</w:t>
      </w:r>
      <w:r>
        <w:rPr>
          <w:rFonts w:hint="eastAsia"/>
          <w:highlight w:val="none"/>
        </w:rPr>
        <w:t>，若未加盖投标人</w:t>
      </w:r>
      <w:r>
        <w:rPr>
          <w:rFonts w:hint="eastAsia"/>
          <w:highlight w:val="none"/>
          <w:lang w:val="en-US" w:eastAsia="zh-CN"/>
        </w:rPr>
        <w:t>电子签章</w:t>
      </w:r>
      <w:r>
        <w:rPr>
          <w:rFonts w:hint="eastAsia"/>
          <w:highlight w:val="none"/>
        </w:rPr>
        <w:t>的，则该证明材料涉及的评分项不予评分</w:t>
      </w:r>
      <w:r>
        <w:rPr>
          <w:rFonts w:hint="eastAsia"/>
        </w:rPr>
        <w:t>，涉及资格条件</w:t>
      </w:r>
      <w:r>
        <w:rPr>
          <w:rFonts w:hint="eastAsia"/>
          <w:lang w:val="en-US" w:eastAsia="zh-CN"/>
        </w:rPr>
        <w:t>或实质性要求</w:t>
      </w:r>
      <w:r>
        <w:rPr>
          <w:rFonts w:hint="eastAsia"/>
        </w:rPr>
        <w:t>的评审项按未通过处理。</w:t>
      </w:r>
    </w:p>
    <w:p>
      <w:pPr>
        <w:pStyle w:val="44"/>
        <w:bidi w:val="0"/>
        <w:rPr>
          <w:rFonts w:hint="eastAsia"/>
          <w:b/>
          <w:bCs/>
        </w:rPr>
      </w:pPr>
      <w:r>
        <w:rPr>
          <w:rFonts w:hint="eastAsia"/>
          <w:b/>
          <w:bCs/>
        </w:rPr>
        <w:t>若综合评分明细表和技术参数中需要提供的证明材料上述未提及，投标人根据综合评分明细表和技术参数提供相关的证明材料。</w:t>
      </w:r>
    </w:p>
    <w:p>
      <w:pPr>
        <w:pStyle w:val="47"/>
        <w:bidi w:val="0"/>
        <w:rPr>
          <w:rFonts w:hint="eastAsia"/>
        </w:rPr>
      </w:pPr>
      <w:bookmarkStart w:id="386" w:name="_Toc31194"/>
      <w:bookmarkStart w:id="387" w:name="_Toc10319"/>
      <w:bookmarkStart w:id="388" w:name="_Toc26967"/>
      <w:bookmarkStart w:id="389" w:name="_Toc32103"/>
      <w:bookmarkStart w:id="390" w:name="_Toc327196279"/>
      <w:bookmarkStart w:id="391" w:name="_Toc4288"/>
      <w:bookmarkStart w:id="392" w:name="_Toc319440135"/>
      <w:bookmarkStart w:id="393" w:name="_Toc308084590"/>
      <w:bookmarkStart w:id="394" w:name="_Toc308188145"/>
      <w:bookmarkStart w:id="395" w:name="_Toc1874"/>
      <w:bookmarkStart w:id="396" w:name="_Toc307564845"/>
      <w:bookmarkStart w:id="397" w:name="_Toc3096"/>
      <w:bookmarkStart w:id="398" w:name="_Toc23655"/>
      <w:bookmarkStart w:id="399" w:name="_Toc319439893"/>
      <w:bookmarkStart w:id="400" w:name="_Toc309897508"/>
      <w:bookmarkStart w:id="401" w:name="_Toc6789"/>
      <w:bookmarkStart w:id="402" w:name="_Toc15763"/>
      <w:bookmarkStart w:id="403" w:name="_Toc32288"/>
      <w:bookmarkStart w:id="404" w:name="_Toc31136"/>
      <w:r>
        <w:rPr>
          <w:rFonts w:hint="eastAsia"/>
        </w:rPr>
        <w:t>投标文件格式</w:t>
      </w:r>
      <w:bookmarkEnd w:id="375"/>
      <w:bookmarkEnd w:id="376"/>
      <w:bookmarkEnd w:id="377"/>
      <w:bookmarkEnd w:id="378"/>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Pr>
          <w:rFonts w:hint="eastAsia"/>
        </w:rPr>
        <w:tab/>
      </w:r>
    </w:p>
    <w:p>
      <w:pPr>
        <w:pStyle w:val="61"/>
        <w:bidi w:val="0"/>
        <w:rPr>
          <w:rFonts w:hint="eastAsia"/>
        </w:rPr>
      </w:pPr>
      <w:r>
        <w:rPr>
          <w:rFonts w:hint="eastAsia"/>
        </w:rPr>
        <w:t>投标人应按照招标文件第三章中提供的“投标文件格式”填写相关内容。</w:t>
      </w:r>
    </w:p>
    <w:p>
      <w:pPr>
        <w:pStyle w:val="61"/>
        <w:bidi w:val="0"/>
        <w:rPr>
          <w:rFonts w:hint="eastAsia"/>
        </w:rPr>
      </w:pPr>
      <w:r>
        <w:rPr>
          <w:rFonts w:hint="eastAsia"/>
        </w:rPr>
        <w:t>对于没有格式要求的由投标人自行编写。</w:t>
      </w:r>
    </w:p>
    <w:p>
      <w:pPr>
        <w:pStyle w:val="47"/>
        <w:bidi w:val="0"/>
        <w:rPr>
          <w:rFonts w:hint="eastAsia"/>
        </w:rPr>
      </w:pPr>
      <w:bookmarkStart w:id="405" w:name="_Toc319439894"/>
      <w:bookmarkStart w:id="406" w:name="_Toc183582223"/>
      <w:bookmarkStart w:id="407" w:name="_Toc29891"/>
      <w:bookmarkStart w:id="408" w:name="_Toc307564846"/>
      <w:bookmarkStart w:id="409" w:name="_Toc327196280"/>
      <w:bookmarkStart w:id="410" w:name="_Toc14382"/>
      <w:bookmarkStart w:id="411" w:name="_Toc319440136"/>
      <w:bookmarkStart w:id="412" w:name="_Toc27418"/>
      <w:bookmarkStart w:id="413" w:name="_Toc8154"/>
      <w:bookmarkStart w:id="414" w:name="_Toc31944"/>
      <w:bookmarkStart w:id="415" w:name="_Toc308188146"/>
      <w:bookmarkStart w:id="416" w:name="_Toc217446050"/>
      <w:bookmarkStart w:id="417" w:name="_Toc307501103"/>
      <w:bookmarkStart w:id="418" w:name="_Toc309897509"/>
      <w:bookmarkStart w:id="419" w:name="_Toc2456"/>
      <w:bookmarkStart w:id="420" w:name="_Toc20642"/>
      <w:bookmarkStart w:id="421" w:name="_Toc183682360"/>
      <w:bookmarkStart w:id="422" w:name="_Toc4102"/>
      <w:bookmarkStart w:id="423" w:name="_Toc16016"/>
      <w:bookmarkStart w:id="424" w:name="_Toc308084591"/>
      <w:bookmarkStart w:id="425" w:name="_Toc21967"/>
      <w:bookmarkStart w:id="426" w:name="_Toc14436"/>
      <w:bookmarkStart w:id="427" w:name="_Toc21884"/>
      <w:r>
        <w:rPr>
          <w:rFonts w:hint="eastAsia"/>
        </w:rPr>
        <w:t>投标保证金</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pPr>
        <w:pStyle w:val="61"/>
        <w:numPr>
          <w:ilvl w:val="3"/>
          <w:numId w:val="0"/>
        </w:numPr>
        <w:bidi w:val="0"/>
        <w:ind w:leftChars="200"/>
        <w:rPr>
          <w:rFonts w:hint="eastAsia"/>
        </w:rPr>
      </w:pPr>
      <w:bookmarkStart w:id="428" w:name="_Toc21338"/>
      <w:bookmarkStart w:id="429" w:name="_Toc308188147"/>
      <w:bookmarkStart w:id="430" w:name="_Toc183582224"/>
      <w:bookmarkStart w:id="431" w:name="_Toc17857"/>
      <w:bookmarkStart w:id="432" w:name="_Toc307501104"/>
      <w:bookmarkStart w:id="433" w:name="_Toc13956"/>
      <w:bookmarkStart w:id="434" w:name="_Toc309897510"/>
      <w:bookmarkStart w:id="435" w:name="_Toc26011"/>
      <w:bookmarkStart w:id="436" w:name="_Toc319440137"/>
      <w:bookmarkStart w:id="437" w:name="_Toc327196281"/>
      <w:bookmarkStart w:id="438" w:name="_Toc29434"/>
      <w:bookmarkStart w:id="439" w:name="_Toc9356"/>
      <w:bookmarkStart w:id="440" w:name="_Toc183682361"/>
      <w:bookmarkStart w:id="441" w:name="_Toc308084592"/>
      <w:bookmarkStart w:id="442" w:name="_Toc217446051"/>
      <w:bookmarkStart w:id="443" w:name="_Toc319439895"/>
      <w:bookmarkStart w:id="444" w:name="_Toc307564847"/>
      <w:bookmarkStart w:id="445" w:name="_Toc31284"/>
      <w:bookmarkStart w:id="446" w:name="_Toc27589"/>
      <w:r>
        <w:rPr>
          <w:rFonts w:hint="eastAsia"/>
          <w:lang w:val="en-US" w:eastAsia="zh-CN"/>
        </w:rPr>
        <w:t>本项目不收取投标保证金</w:t>
      </w:r>
      <w:r>
        <w:rPr>
          <w:rFonts w:hint="eastAsia"/>
        </w:rPr>
        <w:t>。</w:t>
      </w:r>
    </w:p>
    <w:p>
      <w:pPr>
        <w:pStyle w:val="47"/>
        <w:bidi w:val="0"/>
        <w:rPr>
          <w:rFonts w:hint="eastAsia"/>
        </w:rPr>
      </w:pPr>
      <w:bookmarkStart w:id="447" w:name="_Toc20243"/>
      <w:bookmarkStart w:id="448" w:name="_Toc16675"/>
      <w:bookmarkStart w:id="449" w:name="_Toc30115"/>
      <w:bookmarkStart w:id="450" w:name="_Toc19115"/>
      <w:r>
        <w:rPr>
          <w:rFonts w:hint="eastAsia"/>
        </w:rPr>
        <w:t>投标有效期</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Pr>
          <w:rFonts w:hint="eastAsia"/>
          <w:lang w:eastAsia="zh-CN"/>
        </w:rPr>
        <w:t>(</w:t>
      </w:r>
      <w:r>
        <w:rPr>
          <w:rFonts w:hint="eastAsia"/>
        </w:rPr>
        <w:t>实质性要求</w:t>
      </w:r>
      <w:bookmarkEnd w:id="447"/>
      <w:r>
        <w:rPr>
          <w:rFonts w:hint="eastAsia"/>
          <w:lang w:eastAsia="zh-CN"/>
        </w:rPr>
        <w:t>)</w:t>
      </w:r>
      <w:bookmarkEnd w:id="448"/>
      <w:bookmarkEnd w:id="449"/>
      <w:bookmarkEnd w:id="450"/>
    </w:p>
    <w:p>
      <w:pPr>
        <w:pStyle w:val="61"/>
        <w:bidi w:val="0"/>
        <w:rPr>
          <w:rFonts w:hint="eastAsia"/>
        </w:rPr>
      </w:pPr>
      <w:r>
        <w:rPr>
          <w:rFonts w:hint="eastAsia"/>
        </w:rPr>
        <w:t>投标有效期为提交投标文件的截止之日起</w:t>
      </w:r>
      <w:r>
        <w:rPr>
          <w:rFonts w:hint="eastAsia"/>
          <w:lang w:eastAsia="zh-CN"/>
        </w:rPr>
        <w:t>90日</w:t>
      </w:r>
      <w:r>
        <w:rPr>
          <w:rFonts w:hint="eastAsia"/>
        </w:rPr>
        <w:t>。投标人投标文件中必须载明投标有效期，投标文件中载明的投标有效期可以长于招标文件规定的期限，但不得短于招标文件规定的期限。否则，其投标文件将作为无效投标处理。</w:t>
      </w:r>
    </w:p>
    <w:p>
      <w:pPr>
        <w:pStyle w:val="61"/>
        <w:bidi w:val="0"/>
        <w:rPr>
          <w:rFonts w:hint="eastAsia"/>
        </w:rPr>
      </w:pPr>
      <w:r>
        <w:rPr>
          <w:rFonts w:hint="eastAsia"/>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p>
    <w:p>
      <w:pPr>
        <w:pStyle w:val="61"/>
        <w:bidi w:val="0"/>
        <w:rPr>
          <w:rFonts w:hint="eastAsia"/>
        </w:rPr>
      </w:pPr>
      <w:r>
        <w:rPr>
          <w:rFonts w:hint="eastAsia"/>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47"/>
        <w:bidi w:val="0"/>
        <w:rPr>
          <w:rFonts w:hint="eastAsia" w:ascii="宋体" w:hAnsi="宋体" w:eastAsia="宋体" w:cs="宋体"/>
        </w:rPr>
      </w:pPr>
      <w:bookmarkStart w:id="451" w:name="_Toc32700"/>
      <w:bookmarkStart w:id="452" w:name="_Toc20288"/>
      <w:bookmarkStart w:id="453" w:name="_Toc28724"/>
      <w:bookmarkStart w:id="454" w:name="_Toc308084594"/>
      <w:bookmarkStart w:id="455" w:name="_Toc89075877"/>
      <w:bookmarkStart w:id="456" w:name="_Toc23675"/>
      <w:bookmarkStart w:id="457" w:name="_Toc17010"/>
      <w:bookmarkStart w:id="458" w:name="_Toc5019"/>
      <w:bookmarkStart w:id="459" w:name="_Toc77400781"/>
      <w:bookmarkStart w:id="460" w:name="_Toc19635"/>
      <w:bookmarkStart w:id="461" w:name="_Toc183682363"/>
      <w:bookmarkStart w:id="462" w:name="_Toc6805"/>
      <w:bookmarkStart w:id="463" w:name="_Toc10555"/>
      <w:bookmarkStart w:id="464" w:name="_Toc23619"/>
      <w:bookmarkStart w:id="465" w:name="_Toc307501106"/>
      <w:bookmarkStart w:id="466" w:name="_Toc13153"/>
      <w:bookmarkStart w:id="467" w:name="_Toc309897512"/>
      <w:bookmarkStart w:id="468" w:name="_Toc217446053"/>
      <w:bookmarkStart w:id="469" w:name="_Toc308188149"/>
      <w:bookmarkStart w:id="470" w:name="_Toc319440139"/>
      <w:bookmarkStart w:id="471" w:name="_Toc327196283"/>
      <w:bookmarkStart w:id="472" w:name="_Toc27443"/>
      <w:bookmarkStart w:id="473" w:name="_Toc319439897"/>
      <w:bookmarkStart w:id="474" w:name="_Toc16752"/>
      <w:bookmarkStart w:id="475" w:name="_Toc307564849"/>
      <w:bookmarkStart w:id="476" w:name="_Toc183582226"/>
      <w:r>
        <w:rPr>
          <w:rFonts w:hint="eastAsia" w:ascii="宋体" w:hAnsi="宋体" w:eastAsia="宋体" w:cs="宋体"/>
        </w:rPr>
        <w:t>投标文件的制作和签章、加密</w:t>
      </w:r>
      <w:bookmarkEnd w:id="451"/>
      <w:bookmarkEnd w:id="452"/>
      <w:bookmarkEnd w:id="453"/>
    </w:p>
    <w:p>
      <w:pPr>
        <w:pStyle w:val="61"/>
        <w:bidi w:val="0"/>
        <w:rPr>
          <w:rFonts w:hint="eastAsia" w:ascii="宋体" w:hAnsi="宋体" w:eastAsia="宋体" w:cs="宋体"/>
        </w:rPr>
      </w:pPr>
      <w:r>
        <w:rPr>
          <w:rFonts w:hint="eastAsia" w:ascii="宋体" w:hAnsi="宋体" w:eastAsia="宋体" w:cs="宋体"/>
        </w:rPr>
        <w:t>投标文件应根据招标文件的要求进行制作</w:t>
      </w:r>
      <w:r>
        <w:rPr>
          <w:rFonts w:hint="eastAsia" w:cs="宋体"/>
          <w:lang w:eastAsia="zh-CN"/>
        </w:rPr>
        <w:t>，</w:t>
      </w:r>
      <w:r>
        <w:rPr>
          <w:rFonts w:hint="eastAsia" w:ascii="宋体" w:hAnsi="宋体" w:eastAsia="宋体" w:cs="宋体"/>
        </w:rPr>
        <w:t>投标文件分</w:t>
      </w:r>
      <w:r>
        <w:rPr>
          <w:rFonts w:hint="eastAsia" w:ascii="宋体" w:hAnsi="宋体" w:eastAsia="宋体" w:cs="宋体"/>
          <w:lang w:eastAsia="zh-CN"/>
        </w:rPr>
        <w:t>《</w:t>
      </w:r>
      <w:r>
        <w:rPr>
          <w:rFonts w:hint="eastAsia" w:ascii="宋体" w:hAnsi="宋体" w:eastAsia="宋体" w:cs="宋体"/>
        </w:rPr>
        <w:t>资格、资质性及其他类似效力投标文件</w:t>
      </w:r>
      <w:r>
        <w:rPr>
          <w:rFonts w:hint="eastAsia" w:ascii="宋体" w:hAnsi="宋体" w:eastAsia="宋体" w:cs="宋体"/>
          <w:lang w:eastAsia="zh-CN"/>
        </w:rPr>
        <w:t>》</w:t>
      </w:r>
      <w:r>
        <w:rPr>
          <w:rFonts w:hint="eastAsia" w:ascii="宋体" w:hAnsi="宋体" w:eastAsia="宋体" w:cs="宋体"/>
        </w:rPr>
        <w:t>、</w:t>
      </w:r>
      <w:r>
        <w:rPr>
          <w:rFonts w:hint="eastAsia" w:ascii="宋体" w:hAnsi="宋体" w:eastAsia="宋体" w:cs="宋体"/>
          <w:lang w:eastAsia="zh-CN"/>
        </w:rPr>
        <w:t>《</w:t>
      </w:r>
      <w:r>
        <w:rPr>
          <w:rFonts w:hint="eastAsia" w:ascii="宋体" w:hAnsi="宋体" w:eastAsia="宋体" w:cs="宋体"/>
        </w:rPr>
        <w:t>其他投标文件</w:t>
      </w:r>
      <w:r>
        <w:rPr>
          <w:rFonts w:hint="eastAsia" w:ascii="宋体" w:hAnsi="宋体" w:eastAsia="宋体" w:cs="宋体"/>
          <w:lang w:eastAsia="zh-CN"/>
        </w:rPr>
        <w:t>》</w:t>
      </w:r>
      <w:r>
        <w:rPr>
          <w:rFonts w:hint="eastAsia" w:ascii="宋体" w:hAnsi="宋体" w:eastAsia="宋体" w:cs="宋体"/>
        </w:rPr>
        <w:t>两部分。</w:t>
      </w:r>
    </w:p>
    <w:p>
      <w:pPr>
        <w:pStyle w:val="61"/>
        <w:bidi w:val="0"/>
        <w:rPr>
          <w:rFonts w:hint="eastAsia" w:ascii="宋体" w:hAnsi="宋体" w:eastAsia="宋体" w:cs="宋体"/>
        </w:rPr>
      </w:pPr>
      <w:r>
        <w:rPr>
          <w:rFonts w:hint="eastAsia" w:ascii="宋体" w:hAnsi="宋体" w:eastAsia="宋体" w:cs="宋体"/>
        </w:rPr>
        <w:t>资格、资质性及其他类似效力投标文件用于采购人或采购代理机构对投标人进行资格审查，其他投标文件用于评标委员会评审。</w:t>
      </w:r>
    </w:p>
    <w:p>
      <w:pPr>
        <w:pStyle w:val="61"/>
        <w:bidi w:val="0"/>
        <w:rPr>
          <w:rFonts w:hint="eastAsia" w:ascii="宋体" w:hAnsi="宋体" w:eastAsia="宋体" w:cs="宋体"/>
        </w:rPr>
      </w:pPr>
      <w:r>
        <w:rPr>
          <w:rFonts w:hint="eastAsia" w:ascii="宋体" w:hAnsi="宋体" w:eastAsia="宋体" w:cs="宋体"/>
        </w:rPr>
        <w:t>本项目实行电子投标。投标人应先安装“政采云投标客户端”。（政府采购云平台—CA管理—绑定CA—下载驱动—“政采云投标客户端”立即下载）。投标人应按招标文件要求，通过“政采云投标客户端”制作、加密并提交投标文件</w:t>
      </w:r>
      <w:r>
        <w:rPr>
          <w:rFonts w:hint="eastAsia" w:cs="宋体"/>
          <w:lang w:eastAsia="zh-CN"/>
        </w:rPr>
        <w:t>，未按规定编制、确认、加密、提交的投标（响应）文件，将被拒绝接收</w:t>
      </w:r>
      <w:r>
        <w:rPr>
          <w:rFonts w:hint="eastAsia" w:ascii="宋体" w:hAnsi="宋体" w:eastAsia="宋体" w:cs="宋体"/>
          <w:b/>
          <w:bCs/>
        </w:rPr>
        <w:t>（实质性要求）</w:t>
      </w:r>
      <w:r>
        <w:rPr>
          <w:rFonts w:hint="eastAsia" w:ascii="宋体" w:hAnsi="宋体" w:eastAsia="宋体" w:cs="宋体"/>
        </w:rPr>
        <w:t>。</w:t>
      </w:r>
    </w:p>
    <w:p>
      <w:pPr>
        <w:pStyle w:val="61"/>
        <w:bidi w:val="0"/>
        <w:rPr>
          <w:rFonts w:hint="eastAsia" w:ascii="宋体" w:hAnsi="宋体" w:eastAsia="宋体" w:cs="宋体"/>
        </w:rPr>
      </w:pPr>
      <w:r>
        <w:rPr>
          <w:rFonts w:hint="eastAsia" w:ascii="宋体" w:hAnsi="宋体" w:eastAsia="宋体" w:cs="宋体"/>
        </w:rPr>
        <w:t>投标文件每页均应加盖投标人（法定名称）电子签章，不得使用投标人专用章（如经济合同章、投标专用章等）或下属单位印章代替</w:t>
      </w:r>
      <w:r>
        <w:rPr>
          <w:rFonts w:hint="eastAsia" w:ascii="宋体" w:hAnsi="宋体" w:eastAsia="宋体" w:cs="宋体"/>
          <w:b/>
          <w:bCs/>
        </w:rPr>
        <w:t>（实质性要求）</w:t>
      </w:r>
      <w:r>
        <w:rPr>
          <w:rFonts w:hint="eastAsia" w:ascii="宋体" w:hAnsi="宋体" w:eastAsia="宋体" w:cs="宋体"/>
        </w:rPr>
        <w:t>。</w:t>
      </w:r>
    </w:p>
    <w:p>
      <w:pPr>
        <w:pStyle w:val="61"/>
        <w:bidi w:val="0"/>
        <w:rPr>
          <w:rFonts w:hint="eastAsia" w:ascii="宋体" w:hAnsi="宋体" w:eastAsia="宋体" w:cs="宋体"/>
        </w:rPr>
      </w:pPr>
      <w:r>
        <w:rPr>
          <w:rFonts w:hint="eastAsia" w:ascii="宋体" w:hAnsi="宋体" w:eastAsia="宋体" w:cs="宋体"/>
        </w:rPr>
        <w:t>投标人应使用本企业CA数字证书对投标文件进行加密</w:t>
      </w:r>
      <w:r>
        <w:rPr>
          <w:rFonts w:hint="eastAsia" w:ascii="宋体" w:hAnsi="宋体" w:eastAsia="宋体" w:cs="宋体"/>
          <w:b/>
          <w:bCs/>
        </w:rPr>
        <w:t>（实质性要求）</w:t>
      </w:r>
      <w:r>
        <w:rPr>
          <w:rFonts w:hint="eastAsia" w:ascii="宋体" w:hAnsi="宋体" w:eastAsia="宋体" w:cs="宋体"/>
        </w:rPr>
        <w:t>。</w:t>
      </w:r>
    </w:p>
    <w:p>
      <w:pPr>
        <w:pStyle w:val="61"/>
        <w:bidi w:val="0"/>
        <w:rPr>
          <w:rFonts w:hint="eastAsia" w:ascii="宋体" w:hAnsi="宋体" w:eastAsia="宋体" w:cs="宋体"/>
        </w:rPr>
      </w:pPr>
      <w:r>
        <w:rPr>
          <w:rFonts w:hint="eastAsia" w:ascii="宋体" w:hAnsi="宋体" w:eastAsia="宋体" w:cs="宋体"/>
        </w:rPr>
        <w:t>招标文件若有修改，投标人根据修改后的招标文件制作或修改并递交投标文件。</w:t>
      </w:r>
    </w:p>
    <w:p>
      <w:pPr>
        <w:pStyle w:val="61"/>
        <w:bidi w:val="0"/>
      </w:pPr>
      <w:r>
        <w:rPr>
          <w:rFonts w:hint="eastAsia" w:ascii="宋体" w:hAnsi="宋体" w:eastAsia="宋体" w:cs="宋体"/>
          <w:lang w:eastAsia="zh-CN"/>
        </w:rPr>
        <w:t>使用“政府采购云平台”需要提前申领CA数字证书及电子签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r>
        <w:rPr>
          <w:rFonts w:hint="eastAsia" w:ascii="宋体" w:hAnsi="宋体" w:eastAsia="宋体" w:cs="宋体"/>
          <w:b/>
          <w:bCs/>
          <w:lang w:eastAsia="zh-CN"/>
        </w:rPr>
        <w:t>（实质性要求）</w:t>
      </w:r>
      <w:r>
        <w:rPr>
          <w:rFonts w:hint="eastAsia" w:ascii="宋体" w:hAnsi="宋体" w:eastAsia="宋体" w:cs="宋体"/>
          <w:lang w:eastAsia="zh-CN"/>
        </w:rPr>
        <w:t>。</w:t>
      </w:r>
    </w:p>
    <w:p>
      <w:pPr>
        <w:pStyle w:val="61"/>
        <w:bidi w:val="0"/>
        <w:rPr>
          <w:rFonts w:hint="eastAsia" w:ascii="宋体" w:hAnsi="宋体" w:eastAsia="宋体" w:cs="宋体"/>
          <w:lang w:eastAsia="zh-CN"/>
        </w:rPr>
      </w:pPr>
      <w:r>
        <w:rPr>
          <w:rFonts w:hint="eastAsia" w:ascii="宋体" w:hAnsi="宋体" w:eastAsia="宋体" w:cs="宋体"/>
          <w:lang w:eastAsia="zh-CN"/>
        </w:rPr>
        <w:t>招标文件中要求</w:t>
      </w:r>
      <w:r>
        <w:rPr>
          <w:rFonts w:hint="eastAsia" w:cs="宋体"/>
          <w:lang w:val="en-US" w:eastAsia="zh-CN"/>
        </w:rPr>
        <w:t>投标人投标时</w:t>
      </w:r>
      <w:r>
        <w:rPr>
          <w:rFonts w:hint="eastAsia" w:ascii="宋体" w:hAnsi="宋体" w:eastAsia="宋体" w:cs="宋体"/>
          <w:lang w:eastAsia="zh-CN"/>
        </w:rPr>
        <w:t>提供</w:t>
      </w:r>
      <w:r>
        <w:rPr>
          <w:rFonts w:hint="eastAsia" w:cs="宋体"/>
          <w:lang w:val="en-US" w:eastAsia="zh-CN"/>
        </w:rPr>
        <w:t>的</w:t>
      </w:r>
      <w:r>
        <w:rPr>
          <w:rFonts w:hint="eastAsia" w:ascii="宋体" w:hAnsi="宋体" w:eastAsia="宋体" w:cs="宋体"/>
          <w:lang w:eastAsia="zh-CN"/>
        </w:rPr>
        <w:t>复印件</w:t>
      </w:r>
      <w:r>
        <w:rPr>
          <w:rFonts w:hint="eastAsia" w:cs="宋体"/>
          <w:lang w:val="en-US" w:eastAsia="zh-CN"/>
        </w:rPr>
        <w:t>等</w:t>
      </w:r>
      <w:r>
        <w:rPr>
          <w:rFonts w:hint="eastAsia" w:ascii="宋体" w:hAnsi="宋体" w:eastAsia="宋体" w:cs="宋体"/>
          <w:lang w:eastAsia="zh-CN"/>
        </w:rPr>
        <w:t>证明材料</w:t>
      </w:r>
      <w:r>
        <w:rPr>
          <w:rFonts w:hint="eastAsia" w:cs="宋体"/>
          <w:lang w:val="en-US" w:eastAsia="zh-CN"/>
        </w:rPr>
        <w:t>须</w:t>
      </w:r>
      <w:r>
        <w:rPr>
          <w:rFonts w:hint="eastAsia" w:ascii="宋体" w:hAnsi="宋体" w:eastAsia="宋体" w:cs="宋体"/>
          <w:lang w:eastAsia="zh-CN"/>
        </w:rPr>
        <w:t>清晰可辨，包含提供原件的影印件或复印件</w:t>
      </w:r>
      <w:r>
        <w:rPr>
          <w:rFonts w:hint="eastAsia" w:cs="宋体"/>
          <w:lang w:eastAsia="zh-CN"/>
        </w:rPr>
        <w:t>。</w:t>
      </w:r>
    </w:p>
    <w:p>
      <w:pPr>
        <w:pStyle w:val="61"/>
        <w:bidi w:val="0"/>
        <w:rPr>
          <w:rFonts w:hint="eastAsia" w:ascii="宋体" w:hAnsi="宋体" w:eastAsia="宋体" w:cs="宋体"/>
          <w:lang w:eastAsia="zh-CN"/>
        </w:rPr>
      </w:pPr>
      <w:r>
        <w:rPr>
          <w:rFonts w:hint="eastAsia" w:ascii="宋体" w:hAnsi="宋体" w:eastAsia="宋体" w:cs="宋体"/>
          <w:lang w:val="en-US" w:eastAsia="zh-CN"/>
        </w:rPr>
        <w:t>投标文件编制过程中</w:t>
      </w:r>
      <w:r>
        <w:rPr>
          <w:rFonts w:hint="eastAsia" w:ascii="宋体" w:hAnsi="宋体" w:eastAsia="宋体" w:cs="宋体"/>
          <w:lang w:eastAsia="zh-CN"/>
        </w:rPr>
        <w:t>无须提供证明材料</w:t>
      </w:r>
      <w:r>
        <w:rPr>
          <w:rFonts w:hint="eastAsia" w:ascii="宋体" w:hAnsi="宋体" w:eastAsia="宋体" w:cs="宋体"/>
          <w:lang w:val="en-US" w:eastAsia="zh-CN"/>
        </w:rPr>
        <w:t>的项</w:t>
      </w:r>
      <w:r>
        <w:rPr>
          <w:rFonts w:hint="eastAsia" w:ascii="宋体" w:hAnsi="宋体" w:eastAsia="宋体" w:cs="宋体"/>
          <w:lang w:eastAsia="zh-CN"/>
        </w:rPr>
        <w:t>，上传空白页即可，不对本项上传的材料作</w:t>
      </w:r>
      <w:r>
        <w:rPr>
          <w:rFonts w:hint="eastAsia" w:ascii="宋体" w:hAnsi="宋体" w:eastAsia="宋体" w:cs="宋体"/>
          <w:lang w:val="en-US" w:eastAsia="zh-CN"/>
        </w:rPr>
        <w:t>相关</w:t>
      </w:r>
      <w:r>
        <w:rPr>
          <w:rFonts w:hint="eastAsia" w:ascii="宋体" w:hAnsi="宋体" w:eastAsia="宋体" w:cs="宋体"/>
          <w:lang w:eastAsia="zh-CN"/>
        </w:rPr>
        <w:t>审查。</w:t>
      </w:r>
    </w:p>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Pr>
        <w:pStyle w:val="47"/>
        <w:bidi w:val="0"/>
        <w:rPr>
          <w:rFonts w:hint="eastAsia"/>
        </w:rPr>
      </w:pPr>
      <w:bookmarkStart w:id="477" w:name="_Toc183682364"/>
      <w:bookmarkStart w:id="478" w:name="_Toc183582227"/>
      <w:bookmarkStart w:id="479" w:name="_Toc5768"/>
      <w:bookmarkStart w:id="480" w:name="_Toc217446054"/>
      <w:bookmarkStart w:id="481" w:name="_Toc9965"/>
      <w:bookmarkStart w:id="482" w:name="_Toc28160"/>
      <w:bookmarkStart w:id="483" w:name="_Toc25947"/>
      <w:bookmarkStart w:id="484" w:name="_Toc2092"/>
      <w:bookmarkStart w:id="485" w:name="_Toc319439898"/>
      <w:bookmarkStart w:id="486" w:name="_Toc30361"/>
      <w:bookmarkStart w:id="487" w:name="_Toc25113"/>
      <w:bookmarkStart w:id="488" w:name="_Toc307501107"/>
      <w:bookmarkStart w:id="489" w:name="_Toc309897513"/>
      <w:bookmarkStart w:id="490" w:name="_Toc327196284"/>
      <w:bookmarkStart w:id="491" w:name="_Toc7231"/>
      <w:bookmarkStart w:id="492" w:name="_Toc308188150"/>
      <w:bookmarkStart w:id="493" w:name="_Toc54"/>
      <w:bookmarkStart w:id="494" w:name="_Toc319440140"/>
      <w:bookmarkStart w:id="495" w:name="_Toc308084595"/>
      <w:bookmarkStart w:id="496" w:name="_Toc19406"/>
      <w:bookmarkStart w:id="497" w:name="_Toc20273"/>
      <w:bookmarkStart w:id="498" w:name="_Toc307564850"/>
      <w:bookmarkStart w:id="499" w:name="_Toc27234"/>
      <w:r>
        <w:rPr>
          <w:rFonts w:hint="eastAsia"/>
        </w:rPr>
        <w:t>投标文件的</w:t>
      </w:r>
      <w:bookmarkEnd w:id="477"/>
      <w:bookmarkEnd w:id="478"/>
      <w:r>
        <w:rPr>
          <w:rFonts w:hint="eastAsia"/>
        </w:rPr>
        <w:t>递交</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pPr>
        <w:pStyle w:val="61"/>
        <w:bidi w:val="0"/>
        <w:rPr>
          <w:rFonts w:hint="eastAsia" w:ascii="宋体" w:hAnsi="宋体" w:eastAsia="宋体" w:cs="宋体"/>
        </w:rPr>
      </w:pPr>
      <w:bookmarkStart w:id="500" w:name="_Toc183582228"/>
      <w:bookmarkStart w:id="501" w:name="_Toc183682365"/>
      <w:bookmarkStart w:id="502" w:name="_Toc12138"/>
      <w:bookmarkStart w:id="503" w:name="_Toc319440141"/>
      <w:bookmarkStart w:id="504" w:name="_Toc217446055"/>
      <w:bookmarkStart w:id="505" w:name="_Toc1451"/>
      <w:bookmarkStart w:id="506" w:name="_Toc15674"/>
      <w:bookmarkStart w:id="507" w:name="_Toc17045"/>
      <w:bookmarkStart w:id="508" w:name="_Toc307564851"/>
      <w:bookmarkStart w:id="509" w:name="_Toc22634"/>
      <w:bookmarkStart w:id="510" w:name="_Toc4178"/>
      <w:bookmarkStart w:id="511" w:name="_Toc3865"/>
      <w:bookmarkStart w:id="512" w:name="_Toc319439899"/>
      <w:bookmarkStart w:id="513" w:name="_Toc23816"/>
      <w:bookmarkStart w:id="514" w:name="_Toc7313"/>
      <w:bookmarkStart w:id="515" w:name="_Toc6140"/>
      <w:bookmarkStart w:id="516" w:name="_Toc26118"/>
      <w:bookmarkStart w:id="517" w:name="_Toc327196285"/>
      <w:bookmarkStart w:id="518" w:name="_Toc309897514"/>
      <w:bookmarkStart w:id="519" w:name="_Toc308188151"/>
      <w:bookmarkStart w:id="520" w:name="_Toc308084596"/>
      <w:bookmarkStart w:id="521" w:name="_Toc307501108"/>
      <w:r>
        <w:rPr>
          <w:rFonts w:hint="eastAsia" w:ascii="宋体" w:hAnsi="宋体" w:eastAsia="宋体" w:cs="宋体"/>
        </w:rPr>
        <w:t>投标人应当在投标文件递交截止时间前，将生成的已加密的电子投标文件成功递交至“政府采购云平台”</w:t>
      </w:r>
      <w:r>
        <w:rPr>
          <w:rFonts w:hint="eastAsia" w:cs="宋体"/>
          <w:lang w:eastAsia="zh-CN"/>
        </w:rPr>
        <w:t>，</w:t>
      </w:r>
      <w:r>
        <w:rPr>
          <w:rFonts w:hint="eastAsia" w:cs="宋体"/>
          <w:lang w:val="en-US" w:eastAsia="zh-CN"/>
        </w:rPr>
        <w:t>上传前须对电子投标文件每页是否都有电子签章等进行核对。</w:t>
      </w:r>
    </w:p>
    <w:p>
      <w:pPr>
        <w:pStyle w:val="61"/>
        <w:bidi w:val="0"/>
        <w:rPr>
          <w:rFonts w:hint="eastAsia"/>
        </w:rPr>
      </w:pPr>
      <w:r>
        <w:rPr>
          <w:rFonts w:hint="eastAsia" w:ascii="宋体" w:hAnsi="宋体" w:eastAsia="宋体" w:cs="宋体"/>
        </w:rPr>
        <w:t>投标人应充分考虑递交文件的不可预见因素，在投标截止时间后将无法递交</w:t>
      </w:r>
      <w:r>
        <w:rPr>
          <w:rFonts w:hint="eastAsia"/>
        </w:rPr>
        <w:t>。</w:t>
      </w:r>
    </w:p>
    <w:p>
      <w:pPr>
        <w:pStyle w:val="47"/>
        <w:bidi w:val="0"/>
        <w:rPr>
          <w:rFonts w:hint="eastAsia"/>
        </w:rPr>
      </w:pPr>
      <w:bookmarkStart w:id="522" w:name="_Toc12470"/>
      <w:r>
        <w:rPr>
          <w:rFonts w:hint="eastAsia"/>
        </w:rPr>
        <w:t>投标文件的修改和撤</w:t>
      </w:r>
      <w:bookmarkEnd w:id="500"/>
      <w:bookmarkEnd w:id="501"/>
      <w:r>
        <w:rPr>
          <w:rFonts w:hint="eastAsia"/>
        </w:rPr>
        <w:t>回</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pPr>
        <w:pStyle w:val="61"/>
        <w:bidi w:val="0"/>
        <w:rPr>
          <w:rFonts w:hint="eastAsia" w:ascii="宋体" w:hAnsi="宋体" w:eastAsia="宋体" w:cs="宋体"/>
        </w:rPr>
      </w:pPr>
      <w:r>
        <w:rPr>
          <w:rFonts w:hint="eastAsia" w:ascii="宋体" w:hAnsi="宋体" w:eastAsia="宋体" w:cs="宋体"/>
        </w:rPr>
        <w:t>投标截止时间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pStyle w:val="61"/>
        <w:bidi w:val="0"/>
        <w:rPr>
          <w:rFonts w:hint="eastAsia"/>
        </w:rPr>
      </w:pPr>
      <w:r>
        <w:rPr>
          <w:rFonts w:hint="eastAsia" w:ascii="宋体" w:hAnsi="宋体" w:eastAsia="宋体" w:cs="宋体"/>
        </w:rPr>
        <w:t>投标截止时间后，投标人不得对其递交的投标文件做任何补充、修改</w:t>
      </w:r>
      <w:r>
        <w:rPr>
          <w:rFonts w:hint="eastAsia"/>
        </w:rPr>
        <w:t>。</w:t>
      </w:r>
    </w:p>
    <w:p>
      <w:pPr>
        <w:pStyle w:val="47"/>
        <w:bidi w:val="0"/>
        <w:rPr>
          <w:rFonts w:hint="eastAsia" w:ascii="宋体" w:hAnsi="宋体" w:eastAsia="宋体" w:cs="宋体"/>
        </w:rPr>
      </w:pPr>
      <w:bookmarkStart w:id="523" w:name="_Toc23805"/>
      <w:bookmarkStart w:id="524" w:name="_Toc1032"/>
      <w:bookmarkStart w:id="525" w:name="_Toc5718"/>
      <w:r>
        <w:rPr>
          <w:rFonts w:hint="eastAsia" w:ascii="宋体" w:hAnsi="宋体" w:eastAsia="宋体" w:cs="宋体"/>
        </w:rPr>
        <w:t>投标文件的解密</w:t>
      </w:r>
      <w:bookmarkEnd w:id="523"/>
      <w:bookmarkEnd w:id="524"/>
      <w:bookmarkEnd w:id="525"/>
    </w:p>
    <w:p>
      <w:pPr>
        <w:pStyle w:val="61"/>
        <w:numPr>
          <w:ilvl w:val="3"/>
          <w:numId w:val="0"/>
        </w:numPr>
        <w:bidi w:val="0"/>
        <w:ind w:firstLine="480" w:firstLineChars="200"/>
        <w:rPr>
          <w:rFonts w:hint="eastAsia"/>
        </w:rPr>
      </w:pPr>
      <w:r>
        <w:rPr>
          <w:rFonts w:hint="eastAsia" w:ascii="宋体" w:hAnsi="宋体" w:eastAsia="宋体" w:cs="宋体"/>
          <w:lang w:val="en-US" w:eastAsia="zh-CN"/>
        </w:rPr>
        <w:t>投标人登录</w:t>
      </w:r>
      <w:r>
        <w:rPr>
          <w:rFonts w:hint="eastAsia" w:cs="宋体"/>
          <w:lang w:val="en-US" w:eastAsia="zh-CN"/>
        </w:rPr>
        <w:t>“</w:t>
      </w:r>
      <w:r>
        <w:rPr>
          <w:rFonts w:hint="eastAsia" w:ascii="宋体" w:hAnsi="宋体" w:eastAsia="宋体" w:cs="宋体"/>
          <w:lang w:val="en-US" w:eastAsia="zh-CN"/>
        </w:rPr>
        <w:t>政府采购云平台</w:t>
      </w:r>
      <w:r>
        <w:rPr>
          <w:rFonts w:hint="eastAsia" w:cs="宋体"/>
          <w:lang w:val="en-US" w:eastAsia="zh-CN"/>
        </w:rPr>
        <w:t>”</w:t>
      </w:r>
      <w:r>
        <w:rPr>
          <w:rFonts w:hint="eastAsia" w:ascii="宋体" w:hAnsi="宋体" w:eastAsia="宋体" w:cs="宋体"/>
          <w:lang w:val="en-US" w:eastAsia="zh-CN"/>
        </w:rPr>
        <w:t>，点击“项目采购—开标评标”模块，进入本项目“开标大厅”，等待代理机构开启解密后，进行线上解密。除因</w:t>
      </w:r>
      <w:r>
        <w:rPr>
          <w:rFonts w:hint="eastAsia" w:cs="宋体"/>
          <w:lang w:val="en-US" w:eastAsia="zh-CN"/>
        </w:rPr>
        <w:t>采购代理机构</w:t>
      </w:r>
      <w:r>
        <w:rPr>
          <w:rFonts w:hint="eastAsia" w:ascii="宋体" w:hAnsi="宋体" w:eastAsia="宋体" w:cs="宋体"/>
          <w:lang w:val="en-US" w:eastAsia="zh-CN"/>
        </w:rPr>
        <w:t>断电、断网、系统故障或其他不可抗力等因素，导致系统无法使用外，投标人在规定的解密时间内，未成功解密的投标文件将视为无效投标文件。</w:t>
      </w:r>
    </w:p>
    <w:p>
      <w:pPr>
        <w:pStyle w:val="41"/>
        <w:bidi w:val="0"/>
        <w:rPr>
          <w:rFonts w:hint="eastAsia"/>
        </w:rPr>
      </w:pPr>
      <w:bookmarkStart w:id="526" w:name="_Toc89075878"/>
      <w:bookmarkStart w:id="527" w:name="_Toc25632"/>
      <w:bookmarkStart w:id="528" w:name="_Toc183682368"/>
      <w:bookmarkStart w:id="529" w:name="_Toc183582231"/>
      <w:bookmarkStart w:id="530" w:name="_Toc24962"/>
      <w:bookmarkStart w:id="531" w:name="_Toc21531"/>
      <w:bookmarkStart w:id="532" w:name="_Toc16817"/>
      <w:bookmarkStart w:id="533" w:name="_Toc327196286"/>
      <w:bookmarkStart w:id="534" w:name="_Toc217446056"/>
      <w:bookmarkStart w:id="535" w:name="_Toc15691"/>
      <w:bookmarkStart w:id="536" w:name="_Toc77400782"/>
      <w:r>
        <w:rPr>
          <w:rFonts w:hint="eastAsia"/>
        </w:rPr>
        <w:t>开标和中标</w:t>
      </w:r>
      <w:bookmarkEnd w:id="526"/>
      <w:bookmarkEnd w:id="527"/>
      <w:bookmarkEnd w:id="528"/>
      <w:bookmarkEnd w:id="529"/>
      <w:bookmarkEnd w:id="530"/>
      <w:bookmarkEnd w:id="531"/>
      <w:bookmarkEnd w:id="532"/>
      <w:bookmarkEnd w:id="533"/>
      <w:bookmarkEnd w:id="534"/>
      <w:bookmarkEnd w:id="535"/>
      <w:bookmarkEnd w:id="536"/>
    </w:p>
    <w:p>
      <w:pPr>
        <w:pStyle w:val="47"/>
        <w:numPr>
          <w:ilvl w:val="2"/>
          <w:numId w:val="14"/>
        </w:numPr>
        <w:bidi w:val="0"/>
        <w:rPr>
          <w:rFonts w:hint="eastAsia"/>
          <w:b/>
          <w:bCs w:val="0"/>
        </w:rPr>
      </w:pPr>
      <w:bookmarkStart w:id="537" w:name="_Toc309897516"/>
      <w:bookmarkStart w:id="538" w:name="_Toc217446057"/>
      <w:bookmarkStart w:id="539" w:name="_Toc319440143"/>
      <w:bookmarkStart w:id="540" w:name="_Toc13237"/>
      <w:bookmarkStart w:id="541" w:name="_Toc6289"/>
      <w:bookmarkStart w:id="542" w:name="_Toc308188153"/>
      <w:bookmarkStart w:id="543" w:name="_Toc15426"/>
      <w:bookmarkStart w:id="544" w:name="_Toc307564853"/>
      <w:bookmarkStart w:id="545" w:name="_Toc13303"/>
      <w:bookmarkStart w:id="546" w:name="_Toc11957"/>
      <w:bookmarkStart w:id="547" w:name="_Toc183582232"/>
      <w:bookmarkStart w:id="548" w:name="_Toc327196287"/>
      <w:bookmarkStart w:id="549" w:name="_Toc23998"/>
      <w:bookmarkStart w:id="550" w:name="_Toc29031"/>
      <w:bookmarkStart w:id="551" w:name="_Toc8915"/>
      <w:bookmarkStart w:id="552" w:name="_Toc319439901"/>
      <w:bookmarkStart w:id="553" w:name="_Toc307501110"/>
      <w:bookmarkStart w:id="554" w:name="_Toc308084598"/>
      <w:bookmarkStart w:id="555" w:name="_Toc19952"/>
      <w:bookmarkStart w:id="556" w:name="_Toc29493"/>
      <w:bookmarkStart w:id="557" w:name="_Toc18049"/>
      <w:bookmarkStart w:id="558" w:name="_Toc183682369"/>
      <w:bookmarkStart w:id="559" w:name="_Toc23336"/>
      <w:bookmarkStart w:id="560" w:name="_Toc12100"/>
      <w:r>
        <w:rPr>
          <w:rFonts w:hint="eastAsia"/>
          <w:b/>
          <w:bCs w:val="0"/>
        </w:rPr>
        <w:t>开标</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r>
        <w:rPr>
          <w:rFonts w:hint="eastAsia"/>
          <w:b/>
          <w:bCs w:val="0"/>
          <w:lang w:val="en-US" w:eastAsia="zh-CN"/>
        </w:rPr>
        <w:t>及开标程序</w:t>
      </w:r>
      <w:bookmarkEnd w:id="560"/>
    </w:p>
    <w:p>
      <w:pPr>
        <w:pStyle w:val="61"/>
        <w:numPr>
          <w:ilvl w:val="3"/>
          <w:numId w:val="15"/>
        </w:numPr>
        <w:bidi w:val="0"/>
        <w:rPr>
          <w:rFonts w:hint="eastAsia" w:ascii="宋体" w:hAnsi="宋体" w:eastAsia="宋体" w:cs="宋体"/>
          <w:b/>
          <w:bCs w:val="0"/>
          <w:lang w:eastAsia="zh-CN"/>
        </w:rPr>
      </w:pPr>
      <w:bookmarkStart w:id="561" w:name="_Toc327196288"/>
      <w:bookmarkStart w:id="562" w:name="_Toc308188154"/>
      <w:bookmarkStart w:id="563" w:name="_Toc307564854"/>
      <w:bookmarkStart w:id="564" w:name="_Toc319439902"/>
      <w:bookmarkStart w:id="565" w:name="_Toc309897517"/>
      <w:bookmarkStart w:id="566" w:name="_Toc217446058"/>
      <w:bookmarkStart w:id="567" w:name="_Toc307501111"/>
      <w:bookmarkStart w:id="568" w:name="_Toc308084599"/>
      <w:bookmarkStart w:id="569" w:name="_Toc319440144"/>
      <w:r>
        <w:rPr>
          <w:rFonts w:hint="eastAsia" w:ascii="宋体" w:hAnsi="宋体" w:eastAsia="宋体" w:cs="宋体"/>
          <w:b/>
          <w:bCs w:val="0"/>
          <w:lang w:eastAsia="zh-CN"/>
        </w:rPr>
        <w:t>本项目为不见面开标项目（递交电子投标文件的投标人不足3家的，不予开标）。</w:t>
      </w:r>
    </w:p>
    <w:p>
      <w:pPr>
        <w:pStyle w:val="61"/>
        <w:numPr>
          <w:ilvl w:val="3"/>
          <w:numId w:val="15"/>
        </w:numPr>
        <w:bidi w:val="0"/>
        <w:rPr>
          <w:rFonts w:hint="eastAsia" w:ascii="宋体" w:hAnsi="宋体" w:eastAsia="宋体" w:cs="宋体"/>
          <w:b/>
          <w:bCs w:val="0"/>
        </w:rPr>
      </w:pPr>
      <w:r>
        <w:rPr>
          <w:rFonts w:hint="eastAsia" w:ascii="宋体" w:hAnsi="宋体" w:eastAsia="宋体" w:cs="宋体"/>
          <w:b/>
          <w:bCs w:val="0"/>
          <w:lang w:eastAsia="zh-CN"/>
        </w:rPr>
        <w:t>开标准备工作。投标人需在开标当日、投标截止时间前登录“政府采购云平台”，通过本项目“开标大厅”参与不见面开标。登录</w:t>
      </w:r>
      <w:r>
        <w:rPr>
          <w:rFonts w:hint="eastAsia" w:cs="宋体"/>
          <w:b/>
          <w:bCs w:val="0"/>
          <w:lang w:eastAsia="zh-CN"/>
        </w:rPr>
        <w:t>“</w:t>
      </w:r>
      <w:r>
        <w:rPr>
          <w:rFonts w:hint="eastAsia" w:ascii="宋体" w:hAnsi="宋体" w:eastAsia="宋体" w:cs="宋体"/>
          <w:b/>
          <w:bCs w:val="0"/>
          <w:lang w:eastAsia="zh-CN"/>
        </w:rPr>
        <w:t>政府采购云平台</w:t>
      </w:r>
      <w:r>
        <w:rPr>
          <w:rFonts w:hint="eastAsia" w:cs="宋体"/>
          <w:b/>
          <w:bCs w:val="0"/>
          <w:lang w:eastAsia="zh-CN"/>
        </w:rPr>
        <w:t>”</w:t>
      </w:r>
      <w:r>
        <w:rPr>
          <w:rFonts w:hint="eastAsia" w:ascii="宋体" w:hAnsi="宋体" w:eastAsia="宋体" w:cs="宋体"/>
          <w:b/>
          <w:bCs w:val="0"/>
          <w:lang w:eastAsia="zh-CN"/>
        </w:rPr>
        <w:t>—项目采购—开标评标—开标大厅（确保进入本项目开标大厅）。</w:t>
      </w:r>
    </w:p>
    <w:p>
      <w:pPr>
        <w:pStyle w:val="61"/>
        <w:numPr>
          <w:ilvl w:val="0"/>
          <w:numId w:val="0"/>
        </w:numPr>
        <w:bidi w:val="0"/>
        <w:ind w:firstLine="482" w:firstLineChars="200"/>
        <w:rPr>
          <w:rFonts w:hint="eastAsia" w:ascii="宋体" w:hAnsi="宋体" w:eastAsia="宋体" w:cs="宋体"/>
          <w:b/>
          <w:bCs w:val="0"/>
        </w:rPr>
      </w:pPr>
      <w:r>
        <w:rPr>
          <w:rFonts w:hint="eastAsia" w:ascii="宋体" w:hAnsi="宋体" w:eastAsia="宋体" w:cs="宋体"/>
          <w:b/>
          <w:bCs w:val="0"/>
          <w:lang w:eastAsia="zh-CN"/>
        </w:rPr>
        <w:t>提示：投标人未按时登录不见面开标系统，错过开标解密时间的，由投标人自行承担不利后果。</w:t>
      </w:r>
    </w:p>
    <w:p>
      <w:pPr>
        <w:pStyle w:val="61"/>
        <w:numPr>
          <w:ilvl w:val="3"/>
          <w:numId w:val="15"/>
        </w:numPr>
        <w:bidi w:val="0"/>
        <w:rPr>
          <w:rFonts w:hint="eastAsia" w:ascii="宋体" w:hAnsi="宋体" w:eastAsia="宋体" w:cs="宋体"/>
          <w:b/>
          <w:bCs w:val="0"/>
        </w:rPr>
      </w:pPr>
      <w:r>
        <w:rPr>
          <w:rFonts w:hint="eastAsia" w:ascii="宋体" w:hAnsi="宋体" w:eastAsia="宋体" w:cs="宋体"/>
          <w:b/>
          <w:bCs w:val="0"/>
        </w:rPr>
        <w:t>解密投标文件。等待代理机构开启解密后，投标人进行线上解密。开启解密后，投标人应在60分钟内，使用加密该投标文件的CA数字证书在线完成</w:t>
      </w:r>
      <w:r>
        <w:rPr>
          <w:rFonts w:hint="eastAsia" w:cs="宋体"/>
          <w:b/>
          <w:bCs w:val="0"/>
          <w:lang w:val="en-US" w:eastAsia="zh-CN"/>
        </w:rPr>
        <w:t>对投标人递交至“政府采购云平台”的</w:t>
      </w:r>
      <w:r>
        <w:rPr>
          <w:rFonts w:hint="eastAsia" w:ascii="宋体" w:hAnsi="宋体" w:eastAsia="宋体" w:cs="宋体"/>
          <w:b/>
          <w:bCs w:val="0"/>
        </w:rPr>
        <w:t>投标文件的解密。除因</w:t>
      </w:r>
      <w:r>
        <w:rPr>
          <w:rFonts w:hint="eastAsia" w:cs="宋体"/>
          <w:b/>
          <w:bCs w:val="0"/>
          <w:lang w:val="en-US" w:eastAsia="zh-CN"/>
        </w:rPr>
        <w:t>采购代理机构</w:t>
      </w:r>
      <w:r>
        <w:rPr>
          <w:rFonts w:hint="eastAsia" w:ascii="宋体" w:hAnsi="宋体" w:eastAsia="宋体" w:cs="宋体"/>
          <w:b/>
          <w:bCs w:val="0"/>
        </w:rPr>
        <w:t>断电、断网、系统故障或其他不可抗力等因素，导致系统无法使用外，投标人在规定的解密时间内，未成功解密的投标文件将视为无效投标文件。</w:t>
      </w:r>
    </w:p>
    <w:p>
      <w:pPr>
        <w:pStyle w:val="61"/>
        <w:numPr>
          <w:ilvl w:val="3"/>
          <w:numId w:val="15"/>
        </w:numPr>
        <w:bidi w:val="0"/>
        <w:rPr>
          <w:rFonts w:hint="eastAsia" w:ascii="宋体" w:hAnsi="宋体" w:eastAsia="宋体" w:cs="宋体"/>
          <w:b/>
          <w:bCs w:val="0"/>
        </w:rPr>
      </w:pPr>
      <w:r>
        <w:rPr>
          <w:rFonts w:hint="eastAsia" w:ascii="宋体" w:hAnsi="宋体" w:eastAsia="宋体" w:cs="宋体"/>
          <w:b/>
          <w:bCs w:val="0"/>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61"/>
        <w:numPr>
          <w:ilvl w:val="3"/>
          <w:numId w:val="15"/>
        </w:numPr>
        <w:bidi w:val="0"/>
        <w:rPr>
          <w:rFonts w:hint="eastAsia" w:ascii="宋体" w:hAnsi="宋体" w:eastAsia="宋体" w:cs="宋体"/>
          <w:b/>
          <w:bCs w:val="0"/>
        </w:rPr>
      </w:pPr>
      <w:r>
        <w:rPr>
          <w:rFonts w:hint="eastAsia" w:ascii="宋体" w:hAnsi="宋体" w:eastAsia="宋体" w:cs="宋体"/>
          <w:b/>
          <w:bCs w:val="0"/>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61"/>
        <w:numPr>
          <w:ilvl w:val="3"/>
          <w:numId w:val="15"/>
        </w:numPr>
        <w:bidi w:val="0"/>
        <w:rPr>
          <w:rFonts w:hint="eastAsia" w:ascii="宋体" w:hAnsi="宋体" w:eastAsia="宋体" w:cs="宋体"/>
          <w:b/>
          <w:bCs w:val="0"/>
        </w:rPr>
      </w:pPr>
      <w:r>
        <w:rPr>
          <w:rFonts w:hint="eastAsia" w:ascii="宋体" w:hAnsi="宋体" w:eastAsia="宋体" w:cs="宋体"/>
          <w:b/>
          <w:bCs w:val="0"/>
        </w:rPr>
        <w:t>因</w:t>
      </w:r>
      <w:r>
        <w:rPr>
          <w:rFonts w:hint="eastAsia" w:cs="宋体"/>
          <w:b/>
          <w:bCs w:val="0"/>
          <w:lang w:val="en-US" w:eastAsia="zh-CN"/>
        </w:rPr>
        <w:t>采购代理机构</w:t>
      </w:r>
      <w:r>
        <w:rPr>
          <w:rFonts w:hint="eastAsia" w:ascii="宋体" w:hAnsi="宋体" w:eastAsia="宋体" w:cs="宋体"/>
          <w:b/>
          <w:bCs w:val="0"/>
        </w:rPr>
        <w:t>断电、断网、系统故障或其他不可抗力等因素导致不见面开标系统无法正常运行的，开标活动中止或延迟，待系统恢复正常后继续进行开标活动。</w:t>
      </w:r>
    </w:p>
    <w:p>
      <w:pPr>
        <w:pStyle w:val="61"/>
        <w:numPr>
          <w:ilvl w:val="3"/>
          <w:numId w:val="15"/>
        </w:numPr>
        <w:bidi w:val="0"/>
        <w:rPr>
          <w:rFonts w:hint="eastAsia" w:ascii="宋体" w:hAnsi="宋体" w:eastAsia="宋体" w:cs="宋体"/>
          <w:b/>
          <w:bCs w:val="0"/>
        </w:rPr>
      </w:pPr>
      <w:r>
        <w:rPr>
          <w:rFonts w:hint="eastAsia" w:ascii="宋体" w:hAnsi="宋体"/>
          <w:b/>
          <w:color w:val="000000" w:themeColor="text1"/>
          <w14:textFill>
            <w14:solidFill>
              <w14:schemeClr w14:val="tx1"/>
            </w14:solidFill>
          </w14:textFill>
        </w:rPr>
        <w:t>开标、投标文件的解密详见《成都市全流程电子化采购系统操作指南——供应商版》</w:t>
      </w:r>
      <w:r>
        <w:rPr>
          <w:rFonts w:hint="eastAsia" w:ascii="宋体" w:hAnsi="宋体"/>
          <w:b/>
          <w:color w:val="000000" w:themeColor="text1"/>
          <w:lang w:eastAsia="zh-CN"/>
          <w14:textFill>
            <w14:solidFill>
              <w14:schemeClr w14:val="tx1"/>
            </w14:solidFill>
          </w14:textFill>
        </w:rPr>
        <w:t>，</w:t>
      </w:r>
      <w:r>
        <w:rPr>
          <w:rFonts w:hint="eastAsia" w:ascii="宋体" w:hAnsi="宋体"/>
          <w:b/>
          <w:color w:val="000000" w:themeColor="text1"/>
          <w:lang w:val="en-US" w:eastAsia="zh-CN"/>
          <w14:textFill>
            <w14:solidFill>
              <w14:schemeClr w14:val="tx1"/>
            </w14:solidFill>
          </w14:textFill>
        </w:rPr>
        <w:t>具体</w:t>
      </w:r>
      <w:r>
        <w:rPr>
          <w:rFonts w:hint="eastAsia" w:ascii="宋体" w:hAnsi="宋体" w:eastAsia="宋体" w:cs="宋体"/>
          <w:b/>
          <w:bCs/>
          <w:highlight w:val="none"/>
          <w:lang w:val="zh-CN" w:eastAsia="zh-CN"/>
        </w:rPr>
        <w:t>以</w:t>
      </w:r>
      <w:r>
        <w:rPr>
          <w:rFonts w:hint="eastAsia" w:cs="宋体"/>
          <w:b/>
          <w:bCs/>
          <w:highlight w:val="none"/>
          <w:lang w:val="zh-CN" w:eastAsia="zh-CN"/>
        </w:rPr>
        <w:t>“</w:t>
      </w:r>
      <w:r>
        <w:rPr>
          <w:rFonts w:hint="eastAsia" w:ascii="宋体" w:hAnsi="宋体" w:eastAsia="宋体" w:cs="宋体"/>
          <w:b/>
          <w:bCs/>
          <w:highlight w:val="none"/>
          <w:lang w:val="zh-CN" w:eastAsia="zh-CN"/>
        </w:rPr>
        <w:t>政府采购云平台</w:t>
      </w:r>
      <w:r>
        <w:rPr>
          <w:rFonts w:hint="eastAsia" w:cs="宋体"/>
          <w:b/>
          <w:bCs/>
          <w:highlight w:val="none"/>
          <w:lang w:val="zh-CN" w:eastAsia="zh-CN"/>
        </w:rPr>
        <w:t>”</w:t>
      </w:r>
      <w:r>
        <w:rPr>
          <w:rFonts w:hint="eastAsia" w:ascii="宋体" w:hAnsi="宋体" w:eastAsia="宋体" w:cs="宋体"/>
          <w:b/>
          <w:bCs/>
          <w:highlight w:val="none"/>
          <w:lang w:val="zh-CN" w:eastAsia="zh-CN"/>
        </w:rPr>
        <w:t>网站发布为准</w:t>
      </w:r>
      <w:r>
        <w:rPr>
          <w:rFonts w:hint="eastAsia" w:cs="宋体"/>
          <w:b/>
          <w:bCs/>
          <w:highlight w:val="none"/>
          <w:lang w:val="zh-CN" w:eastAsia="zh-CN"/>
        </w:rPr>
        <w:t>。</w:t>
      </w:r>
    </w:p>
    <w:p>
      <w:pPr>
        <w:pStyle w:val="61"/>
        <w:numPr>
          <w:ilvl w:val="3"/>
          <w:numId w:val="15"/>
        </w:numPr>
        <w:bidi w:val="0"/>
        <w:rPr>
          <w:rFonts w:hint="eastAsia"/>
          <w:b/>
          <w:bCs w:val="0"/>
        </w:rPr>
      </w:pPr>
      <w:r>
        <w:rPr>
          <w:rFonts w:hint="eastAsia" w:ascii="宋体" w:hAnsi="宋体" w:eastAsia="宋体" w:cs="宋体"/>
          <w:b/>
          <w:bCs w:val="0"/>
        </w:rPr>
        <w:t>不见面开标过程中，各方主体均应遵守</w:t>
      </w:r>
      <w:r>
        <w:rPr>
          <w:rFonts w:hint="eastAsia" w:cs="宋体"/>
          <w:b/>
          <w:bCs w:val="0"/>
          <w:lang w:val="en-US" w:eastAsia="zh-CN"/>
        </w:rPr>
        <w:t>国家</w:t>
      </w:r>
      <w:r>
        <w:rPr>
          <w:rFonts w:hint="eastAsia" w:ascii="宋体" w:hAnsi="宋体" w:eastAsia="宋体" w:cs="宋体"/>
          <w:b/>
          <w:bCs w:val="0"/>
        </w:rPr>
        <w:t>互联网有关规定，不得发表与交易活动无关的言论</w:t>
      </w:r>
      <w:r>
        <w:rPr>
          <w:rFonts w:hint="eastAsia"/>
          <w:b/>
          <w:bCs w:val="0"/>
        </w:rPr>
        <w:t>。</w:t>
      </w:r>
    </w:p>
    <w:bookmarkEnd w:id="561"/>
    <w:bookmarkEnd w:id="562"/>
    <w:bookmarkEnd w:id="563"/>
    <w:bookmarkEnd w:id="564"/>
    <w:bookmarkEnd w:id="565"/>
    <w:bookmarkEnd w:id="566"/>
    <w:bookmarkEnd w:id="567"/>
    <w:bookmarkEnd w:id="568"/>
    <w:bookmarkEnd w:id="569"/>
    <w:p>
      <w:pPr>
        <w:pStyle w:val="47"/>
        <w:bidi w:val="0"/>
        <w:rPr>
          <w:rFonts w:hint="eastAsia"/>
          <w:lang w:val="en-US" w:eastAsia="zh-CN"/>
        </w:rPr>
      </w:pPr>
      <w:bookmarkStart w:id="570" w:name="_Toc24289"/>
      <w:bookmarkStart w:id="571" w:name="_Toc21578"/>
      <w:bookmarkStart w:id="572" w:name="_Toc183682375"/>
      <w:bookmarkStart w:id="573" w:name="_Toc183582238"/>
      <w:bookmarkStart w:id="574" w:name="_Toc307564855"/>
      <w:bookmarkStart w:id="575" w:name="_Toc28123"/>
      <w:bookmarkStart w:id="576" w:name="_Toc308084600"/>
      <w:bookmarkStart w:id="577" w:name="_Toc319440145"/>
      <w:bookmarkStart w:id="578" w:name="_Toc28481"/>
      <w:bookmarkStart w:id="579" w:name="_Toc319439903"/>
      <w:bookmarkStart w:id="580" w:name="_Toc8800"/>
      <w:bookmarkStart w:id="581" w:name="_Toc128"/>
      <w:bookmarkStart w:id="582" w:name="_Toc327196289"/>
      <w:bookmarkStart w:id="583" w:name="_Toc13751"/>
      <w:bookmarkStart w:id="584" w:name="_Toc9806"/>
      <w:bookmarkStart w:id="585" w:name="_Toc15967"/>
      <w:bookmarkStart w:id="586" w:name="_Toc489"/>
      <w:bookmarkStart w:id="587" w:name="_Toc6332"/>
      <w:bookmarkStart w:id="588" w:name="_Toc307501112"/>
      <w:bookmarkStart w:id="589" w:name="_Toc217446063"/>
      <w:bookmarkStart w:id="590" w:name="_Toc309897518"/>
      <w:bookmarkStart w:id="591" w:name="_Toc16512"/>
      <w:bookmarkStart w:id="592" w:name="_Toc308188155"/>
      <w:r>
        <w:rPr>
          <w:rFonts w:hint="eastAsia"/>
          <w:lang w:val="en-US" w:eastAsia="zh-CN"/>
        </w:rPr>
        <w:t>开评标过程存档</w:t>
      </w:r>
      <w:bookmarkEnd w:id="570"/>
      <w:bookmarkEnd w:id="571"/>
    </w:p>
    <w:p>
      <w:pPr>
        <w:pStyle w:val="40"/>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rPr>
      </w:pPr>
      <w:r>
        <w:rPr>
          <w:rFonts w:hint="eastAsia"/>
        </w:rPr>
        <w:t>开标和评标过程进行全过程电子监控，并将电子监控资料存储介质留存归档。</w:t>
      </w:r>
    </w:p>
    <w:p>
      <w:pPr>
        <w:pStyle w:val="47"/>
        <w:bidi w:val="0"/>
        <w:rPr>
          <w:rFonts w:hint="eastAsia"/>
        </w:rPr>
      </w:pPr>
      <w:bookmarkStart w:id="593" w:name="_Toc4085"/>
      <w:bookmarkStart w:id="594" w:name="_Toc17629"/>
      <w:bookmarkStart w:id="595" w:name="_Toc32453"/>
      <w:r>
        <w:rPr>
          <w:rFonts w:hint="eastAsia"/>
        </w:rPr>
        <w:t>中标通知</w:t>
      </w:r>
      <w:bookmarkEnd w:id="572"/>
      <w:bookmarkEnd w:id="573"/>
      <w:r>
        <w:rPr>
          <w:rFonts w:hint="eastAsia"/>
        </w:rPr>
        <w:t>书</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pPr>
        <w:pStyle w:val="61"/>
        <w:bidi w:val="0"/>
        <w:rPr>
          <w:rFonts w:hint="eastAsia"/>
        </w:rPr>
      </w:pPr>
      <w:r>
        <w:rPr>
          <w:rFonts w:hint="eastAsia"/>
        </w:rPr>
        <w:t>中标通知书为签订政府采购合同的依据，是合同的有效组成部分。</w:t>
      </w:r>
    </w:p>
    <w:p>
      <w:pPr>
        <w:pStyle w:val="61"/>
        <w:bidi w:val="0"/>
        <w:rPr>
          <w:rFonts w:hint="eastAsia"/>
        </w:rPr>
      </w:pPr>
      <w:r>
        <w:rPr>
          <w:rFonts w:hint="eastAsia"/>
        </w:rPr>
        <w:t>中标通知书对采购人和中标人均具有法律效力。中标通知书发出后，采购人改变中标结果，或者中标人无正当理由放弃中标的，应当承担相应的法律责任。</w:t>
      </w:r>
    </w:p>
    <w:p>
      <w:pPr>
        <w:pStyle w:val="61"/>
        <w:bidi w:val="0"/>
        <w:rPr>
          <w:rFonts w:hint="eastAsia"/>
        </w:rPr>
      </w:pPr>
      <w:r>
        <w:rPr>
          <w:rFonts w:hint="eastAsia"/>
        </w:rPr>
        <w:t>中标人的投标文件本应作为无效投标处理或者有政府采购法律法规规章制度规定的中标无效情形的，采购代理机构在取得有权主体的认定以后，应当宣布发出的中标通知书无效，并收回发出的中标通知书(中标人也应当缴回)，依法重新确定中标人或者重新开展采购活动。</w:t>
      </w:r>
    </w:p>
    <w:p>
      <w:pPr>
        <w:pStyle w:val="61"/>
        <w:bidi w:val="0"/>
        <w:rPr>
          <w:rFonts w:hint="eastAsia"/>
        </w:rPr>
      </w:pPr>
      <w:r>
        <w:rPr>
          <w:rFonts w:hint="eastAsia" w:ascii="宋体" w:hAnsi="宋体" w:eastAsia="宋体" w:cs="宋体"/>
          <w:lang w:val="zh-CN" w:eastAsia="zh-CN"/>
        </w:rPr>
        <w:t>在四川政府采购网公告中标结果同时发出中标通知书，中标供应商自行登录</w:t>
      </w:r>
      <w:r>
        <w:rPr>
          <w:rFonts w:hint="eastAsia" w:cs="宋体"/>
          <w:lang w:val="zh-CN" w:eastAsia="zh-CN"/>
        </w:rPr>
        <w:t>“</w:t>
      </w:r>
      <w:r>
        <w:rPr>
          <w:rFonts w:hint="eastAsia" w:ascii="宋体" w:hAnsi="宋体" w:eastAsia="宋体" w:cs="宋体"/>
          <w:lang w:val="zh-CN" w:eastAsia="zh-CN"/>
        </w:rPr>
        <w:t>政府采购云平台</w:t>
      </w:r>
      <w:r>
        <w:rPr>
          <w:rFonts w:hint="eastAsia" w:cs="宋体"/>
          <w:lang w:val="zh-CN" w:eastAsia="zh-CN"/>
        </w:rPr>
        <w:t>”</w:t>
      </w:r>
      <w:r>
        <w:rPr>
          <w:rFonts w:hint="eastAsia" w:ascii="宋体" w:hAnsi="宋体" w:eastAsia="宋体" w:cs="宋体"/>
          <w:lang w:val="zh-CN" w:eastAsia="zh-CN"/>
        </w:rPr>
        <w:t>下载中标通知书</w:t>
      </w:r>
      <w:r>
        <w:rPr>
          <w:rFonts w:hint="eastAsia"/>
        </w:rPr>
        <w:t>。</w:t>
      </w:r>
    </w:p>
    <w:p>
      <w:pPr>
        <w:pStyle w:val="41"/>
        <w:bidi w:val="0"/>
        <w:rPr>
          <w:rFonts w:hint="eastAsia"/>
        </w:rPr>
      </w:pPr>
      <w:bookmarkStart w:id="596" w:name="_Toc10354"/>
      <w:bookmarkStart w:id="597" w:name="_Toc30422"/>
      <w:bookmarkStart w:id="598" w:name="_Toc31902"/>
      <w:bookmarkStart w:id="599" w:name="_Toc2685"/>
      <w:bookmarkStart w:id="600" w:name="_Toc217446064"/>
      <w:bookmarkStart w:id="601" w:name="_Toc327196290"/>
      <w:bookmarkStart w:id="602" w:name="_Toc13383"/>
      <w:bookmarkStart w:id="603" w:name="_Toc183682377"/>
      <w:bookmarkStart w:id="604" w:name="_Toc183582240"/>
      <w:r>
        <w:rPr>
          <w:rFonts w:hint="eastAsia"/>
        </w:rPr>
        <w:t>签订及履行合同和验收</w:t>
      </w:r>
      <w:bookmarkEnd w:id="596"/>
      <w:bookmarkEnd w:id="597"/>
      <w:bookmarkEnd w:id="598"/>
      <w:bookmarkEnd w:id="599"/>
      <w:bookmarkEnd w:id="600"/>
      <w:bookmarkEnd w:id="601"/>
      <w:bookmarkEnd w:id="602"/>
    </w:p>
    <w:p>
      <w:pPr>
        <w:pStyle w:val="47"/>
        <w:numPr>
          <w:ilvl w:val="2"/>
          <w:numId w:val="16"/>
        </w:numPr>
        <w:bidi w:val="0"/>
        <w:rPr>
          <w:rFonts w:hint="eastAsia"/>
        </w:rPr>
      </w:pPr>
      <w:bookmarkStart w:id="605" w:name="_Toc319440147"/>
      <w:bookmarkStart w:id="606" w:name="_Toc5659"/>
      <w:bookmarkStart w:id="607" w:name="_Toc3130"/>
      <w:bookmarkStart w:id="608" w:name="_Toc307564857"/>
      <w:bookmarkStart w:id="609" w:name="_Toc308188157"/>
      <w:bookmarkStart w:id="610" w:name="_Toc319439905"/>
      <w:bookmarkStart w:id="611" w:name="_Toc24949"/>
      <w:bookmarkStart w:id="612" w:name="_Toc27214"/>
      <w:bookmarkStart w:id="613" w:name="_Toc217446065"/>
      <w:bookmarkStart w:id="614" w:name="_Toc4460"/>
      <w:bookmarkStart w:id="615" w:name="_Toc32688"/>
      <w:bookmarkStart w:id="616" w:name="_Toc308084602"/>
      <w:bookmarkStart w:id="617" w:name="_Toc16835"/>
      <w:bookmarkStart w:id="618" w:name="_Toc25992"/>
      <w:bookmarkStart w:id="619" w:name="_Toc9464"/>
      <w:bookmarkStart w:id="620" w:name="_Toc27989"/>
      <w:bookmarkStart w:id="621" w:name="_Toc327196291"/>
      <w:bookmarkStart w:id="622" w:name="_Toc307501114"/>
      <w:bookmarkStart w:id="623" w:name="_Toc515"/>
      <w:bookmarkStart w:id="624" w:name="_Toc309897520"/>
      <w:bookmarkStart w:id="625" w:name="_Toc20427"/>
      <w:r>
        <w:rPr>
          <w:rFonts w:hint="eastAsia"/>
        </w:rPr>
        <w:t>签订合同</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pPr>
        <w:pStyle w:val="61"/>
        <w:bidi w:val="0"/>
      </w:pPr>
      <w:bookmarkStart w:id="626" w:name="_Toc3758"/>
      <w:bookmarkStart w:id="627" w:name="_Toc12852"/>
      <w:bookmarkStart w:id="628" w:name="_Toc308188158"/>
      <w:bookmarkStart w:id="629" w:name="_Toc308084603"/>
      <w:bookmarkStart w:id="630" w:name="_Toc319440148"/>
      <w:bookmarkStart w:id="631" w:name="_Toc309897521"/>
      <w:bookmarkStart w:id="632" w:name="_Toc31670"/>
      <w:bookmarkStart w:id="633" w:name="_Toc12489"/>
      <w:bookmarkStart w:id="634" w:name="_Toc31397"/>
      <w:bookmarkStart w:id="635" w:name="_Toc307501115"/>
      <w:bookmarkStart w:id="636" w:name="_Toc327196292"/>
      <w:bookmarkStart w:id="637" w:name="_Toc307564858"/>
      <w:bookmarkStart w:id="638" w:name="_Toc319439906"/>
      <w:bookmarkStart w:id="639" w:name="_Toc20139"/>
      <w:bookmarkStart w:id="640" w:name="_Toc217446066"/>
      <w:bookmarkStart w:id="641" w:name="_Toc24196"/>
      <w:bookmarkStart w:id="642" w:name="_Toc25756"/>
      <w:bookmarkStart w:id="643" w:name="_Toc26000"/>
      <w:bookmarkStart w:id="644" w:name="_Toc29795"/>
      <w:r>
        <w:rPr>
          <w:rFonts w:hint="eastAsia"/>
        </w:rPr>
        <w:t>中标人应在中标通知书发出之日起三十日内与采购人签订采购合同。由于中标人的原因逾期未与采购人签订采购合同的，将视为放弃中标，取消其中标资格并将按相关规定进行处理。</w:t>
      </w:r>
    </w:p>
    <w:p>
      <w:pPr>
        <w:pStyle w:val="61"/>
        <w:bidi w:val="0"/>
        <w:rPr>
          <w:rFonts w:hint="eastAsia"/>
        </w:rPr>
      </w:pPr>
      <w:r>
        <w:rPr>
          <w:rFonts w:hint="eastAsia"/>
        </w:rPr>
        <w:t>政府采购合同应当包括采购人与中标人的名称和住所、标的、数量、质量、价款或者报酬、履行期限及地点和方式、验收要求、违约责任、解决争议的方法等内容。</w:t>
      </w:r>
    </w:p>
    <w:p>
      <w:pPr>
        <w:pStyle w:val="61"/>
        <w:bidi w:val="0"/>
      </w:pPr>
      <w:r>
        <w:rPr>
          <w:rFonts w:hint="eastAsia"/>
        </w:rPr>
        <w:t>采购人不得向中标人提出任何不合理的要求，作为签订合同的条件，不得与中标人私下订立背离合同实质性内容的任何协议，所签订的合同不得对招标文件和中标人投标文件确定的事项进行修改。</w:t>
      </w:r>
    </w:p>
    <w:p>
      <w:pPr>
        <w:pStyle w:val="61"/>
        <w:bidi w:val="0"/>
      </w:pPr>
      <w:r>
        <w:rPr>
          <w:rFonts w:hint="eastAsia"/>
          <w:lang w:val="en-US" w:eastAsia="zh-CN"/>
        </w:rPr>
        <w:t>本项目的招标</w:t>
      </w:r>
      <w:r>
        <w:rPr>
          <w:rFonts w:hint="eastAsia"/>
        </w:rPr>
        <w:t>文件、</w:t>
      </w:r>
      <w:r>
        <w:rPr>
          <w:rFonts w:hint="eastAsia"/>
          <w:lang w:val="en-US" w:eastAsia="zh-CN"/>
        </w:rPr>
        <w:t>中标</w:t>
      </w:r>
      <w:r>
        <w:rPr>
          <w:rFonts w:hint="eastAsia"/>
        </w:rPr>
        <w:t>供应商提交的</w:t>
      </w:r>
      <w:r>
        <w:rPr>
          <w:rFonts w:hint="eastAsia"/>
          <w:lang w:val="en-US" w:eastAsia="zh-CN"/>
        </w:rPr>
        <w:t>投标</w:t>
      </w:r>
      <w:r>
        <w:rPr>
          <w:rFonts w:hint="eastAsia"/>
        </w:rPr>
        <w:t>文件、</w:t>
      </w:r>
      <w:r>
        <w:rPr>
          <w:rFonts w:hint="eastAsia"/>
          <w:lang w:val="en-US" w:eastAsia="zh-CN"/>
        </w:rPr>
        <w:t>评审</w:t>
      </w:r>
      <w:r>
        <w:rPr>
          <w:rFonts w:hint="eastAsia"/>
        </w:rPr>
        <w:t>中的</w:t>
      </w:r>
      <w:r>
        <w:rPr>
          <w:rFonts w:hint="eastAsia"/>
          <w:lang w:val="en-US" w:eastAsia="zh-CN"/>
        </w:rPr>
        <w:t>澄清</w:t>
      </w:r>
      <w:r>
        <w:rPr>
          <w:rFonts w:hint="eastAsia"/>
        </w:rPr>
        <w:t>、</w:t>
      </w:r>
      <w:r>
        <w:rPr>
          <w:rFonts w:hint="eastAsia"/>
          <w:lang w:val="en-US" w:eastAsia="zh-CN"/>
        </w:rPr>
        <w:t>中标</w:t>
      </w:r>
      <w:r>
        <w:rPr>
          <w:rFonts w:hint="eastAsia"/>
        </w:rPr>
        <w:t>通知书等</w:t>
      </w:r>
      <w:r>
        <w:rPr>
          <w:rFonts w:hint="eastAsia"/>
          <w:lang w:val="en-US" w:eastAsia="zh-CN"/>
        </w:rPr>
        <w:t>文件均具</w:t>
      </w:r>
      <w:r>
        <w:rPr>
          <w:rFonts w:hint="eastAsia"/>
        </w:rPr>
        <w:t>有法律约束力</w:t>
      </w:r>
      <w:r>
        <w:rPr>
          <w:rFonts w:hint="eastAsia"/>
          <w:lang w:eastAsia="zh-CN"/>
        </w:rPr>
        <w:t>，</w:t>
      </w:r>
      <w:r>
        <w:rPr>
          <w:rFonts w:hint="eastAsia"/>
          <w:lang w:val="en-US" w:eastAsia="zh-CN"/>
        </w:rPr>
        <w:t>属于</w:t>
      </w:r>
      <w:r>
        <w:rPr>
          <w:rFonts w:hint="eastAsia"/>
        </w:rPr>
        <w:t>合同组成</w:t>
      </w:r>
      <w:r>
        <w:rPr>
          <w:rFonts w:hint="eastAsia"/>
          <w:lang w:val="en-US" w:eastAsia="zh-CN"/>
        </w:rPr>
        <w:t>部分。</w:t>
      </w:r>
    </w:p>
    <w:p>
      <w:pPr>
        <w:pStyle w:val="61"/>
        <w:bidi w:val="0"/>
        <w:rPr>
          <w:b/>
          <w:bCs/>
        </w:rPr>
      </w:pPr>
      <w:r>
        <w:rPr>
          <w:rFonts w:hint="eastAsia"/>
        </w:rPr>
        <w:t>中标人因不可抗力原因不能履行采购合同或放弃中标的，采购人可以与排在中标人之后第一位的中标候选人签订采购合同，以此类推。</w:t>
      </w:r>
    </w:p>
    <w:p>
      <w:pPr>
        <w:pStyle w:val="47"/>
        <w:numPr>
          <w:ilvl w:val="2"/>
          <w:numId w:val="16"/>
        </w:numPr>
        <w:bidi w:val="0"/>
        <w:rPr>
          <w:rFonts w:hint="eastAsia"/>
          <w:lang w:val="en-US"/>
        </w:rPr>
      </w:pPr>
      <w:bookmarkStart w:id="645" w:name="_Toc12864"/>
      <w:bookmarkStart w:id="646" w:name="_Toc293"/>
      <w:r>
        <w:rPr>
          <w:rFonts w:hint="eastAsia"/>
        </w:rPr>
        <w:t>合同</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r>
        <w:rPr>
          <w:rFonts w:hint="eastAsia"/>
        </w:rPr>
        <w:t>分包</w:t>
      </w:r>
      <w:bookmarkEnd w:id="641"/>
      <w:bookmarkEnd w:id="642"/>
      <w:r>
        <w:rPr>
          <w:rFonts w:hint="eastAsia"/>
          <w:lang w:val="en-US" w:eastAsia="zh-CN"/>
        </w:rPr>
        <w:t>(实质性要求)</w:t>
      </w:r>
      <w:bookmarkEnd w:id="643"/>
      <w:bookmarkEnd w:id="644"/>
      <w:bookmarkEnd w:id="645"/>
      <w:bookmarkEnd w:id="646"/>
    </w:p>
    <w:p>
      <w:pPr>
        <w:pStyle w:val="44"/>
        <w:bidi w:val="0"/>
        <w:rPr>
          <w:rFonts w:hint="eastAsia" w:ascii="宋体" w:hAnsi="宋体" w:eastAsia="宋体" w:cstheme="minorBidi"/>
          <w:kern w:val="2"/>
          <w:sz w:val="24"/>
          <w:szCs w:val="24"/>
          <w:lang w:val="en-US" w:eastAsia="zh-CN" w:bidi="ar-SA"/>
        </w:rPr>
      </w:pPr>
      <w:bookmarkStart w:id="647" w:name="_Toc309897522"/>
      <w:bookmarkStart w:id="648" w:name="_Toc29552"/>
      <w:bookmarkStart w:id="649" w:name="_Toc19999"/>
      <w:bookmarkStart w:id="650" w:name="_Toc327196293"/>
      <w:bookmarkStart w:id="651" w:name="_Toc308084604"/>
      <w:bookmarkStart w:id="652" w:name="_Toc307501116"/>
      <w:bookmarkStart w:id="653" w:name="_Toc29842"/>
      <w:bookmarkStart w:id="654" w:name="_Toc308188159"/>
      <w:bookmarkStart w:id="655" w:name="_Toc307564859"/>
      <w:bookmarkStart w:id="656" w:name="_Toc30827"/>
      <w:bookmarkStart w:id="657" w:name="_Toc16143"/>
      <w:bookmarkStart w:id="658" w:name="_Toc29332"/>
      <w:bookmarkStart w:id="659" w:name="_Toc319439907"/>
      <w:bookmarkStart w:id="660" w:name="_Toc30954"/>
      <w:bookmarkStart w:id="661" w:name="_Toc217446067"/>
      <w:bookmarkStart w:id="662" w:name="_Toc15644"/>
      <w:bookmarkStart w:id="663" w:name="_Toc319440149"/>
      <w:r>
        <w:rPr>
          <w:rFonts w:hint="eastAsia"/>
          <w:color w:val="000000" w:themeColor="text1"/>
          <w:lang w:val="en-US" w:eastAsia="zh-CN"/>
          <w14:textFill>
            <w14:solidFill>
              <w14:schemeClr w14:val="tx1"/>
            </w14:solidFill>
          </w14:textFill>
        </w:rPr>
        <w:t>本项目不允许投标人以合同分包形式进行投标</w:t>
      </w:r>
      <w:r>
        <w:rPr>
          <w:rFonts w:hint="eastAsia" w:ascii="宋体" w:hAnsi="宋体" w:eastAsia="宋体" w:cstheme="minorBidi"/>
          <w:kern w:val="2"/>
          <w:sz w:val="24"/>
          <w:szCs w:val="24"/>
          <w:lang w:val="en-US" w:eastAsia="zh-CN" w:bidi="ar-SA"/>
        </w:rPr>
        <w:t>。</w:t>
      </w:r>
    </w:p>
    <w:p>
      <w:pPr>
        <w:pStyle w:val="47"/>
        <w:numPr>
          <w:ilvl w:val="2"/>
          <w:numId w:val="16"/>
        </w:numPr>
        <w:bidi w:val="0"/>
        <w:rPr>
          <w:rFonts w:hint="eastAsia"/>
        </w:rPr>
      </w:pPr>
      <w:bookmarkStart w:id="664" w:name="_Toc29526"/>
      <w:bookmarkStart w:id="665" w:name="_Toc28937"/>
      <w:bookmarkStart w:id="666" w:name="_Toc32691"/>
      <w:bookmarkStart w:id="667" w:name="_Toc5242"/>
      <w:r>
        <w:rPr>
          <w:rFonts w:hint="eastAsia"/>
        </w:rPr>
        <w:t>合同转包</w:t>
      </w:r>
      <w:r>
        <w:rPr>
          <w:rFonts w:hint="eastAsia"/>
          <w:lang w:val="en-US" w:eastAsia="zh-CN"/>
        </w:rPr>
        <w:t>(实质性要求)</w:t>
      </w:r>
      <w:bookmarkEnd w:id="664"/>
      <w:bookmarkEnd w:id="665"/>
      <w:bookmarkEnd w:id="666"/>
      <w:bookmarkEnd w:id="667"/>
    </w:p>
    <w:p>
      <w:pPr>
        <w:pStyle w:val="44"/>
        <w:bidi w:val="0"/>
        <w:rPr>
          <w:rFonts w:hint="eastAsia"/>
        </w:rPr>
      </w:pPr>
      <w:r>
        <w:rPr>
          <w:rFonts w:hint="eastAsia"/>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pStyle w:val="44"/>
        <w:bidi w:val="0"/>
        <w:rPr>
          <w:rFonts w:hint="eastAsia"/>
        </w:rPr>
      </w:pPr>
      <w:r>
        <w:rPr>
          <w:rFonts w:hint="eastAsia"/>
        </w:rPr>
        <w:t>中标人转包的，视同拒绝履行政府采购合同义务，将依法追究法律责任。</w:t>
      </w:r>
    </w:p>
    <w:p>
      <w:pPr>
        <w:pStyle w:val="47"/>
        <w:numPr>
          <w:ilvl w:val="2"/>
          <w:numId w:val="16"/>
        </w:numPr>
        <w:bidi w:val="0"/>
        <w:rPr>
          <w:rFonts w:hint="eastAsia"/>
        </w:rPr>
      </w:pPr>
      <w:bookmarkStart w:id="668" w:name="_Toc9592"/>
      <w:bookmarkStart w:id="669" w:name="_Toc11992"/>
      <w:bookmarkStart w:id="670" w:name="_Toc12603"/>
      <w:bookmarkStart w:id="671" w:name="_Toc21110"/>
      <w:r>
        <w:rPr>
          <w:rFonts w:hint="eastAsia"/>
        </w:rPr>
        <w:t>补充合同</w:t>
      </w:r>
      <w:bookmarkEnd w:id="668"/>
      <w:bookmarkEnd w:id="669"/>
      <w:bookmarkEnd w:id="670"/>
      <w:bookmarkEnd w:id="671"/>
    </w:p>
    <w:p>
      <w:pPr>
        <w:pStyle w:val="44"/>
        <w:bidi w:val="0"/>
        <w:rPr>
          <w:rFonts w:hint="eastAsia"/>
        </w:rPr>
      </w:pPr>
      <w:r>
        <w:rPr>
          <w:rFonts w:hint="eastAsia"/>
        </w:rPr>
        <w:t>采购合同履行过程中，采购人需要追加与合同标的相同的货物或者服务的，在不改变合同其他条款的前提下，可以与</w:t>
      </w:r>
      <w:r>
        <w:rPr>
          <w:rFonts w:hint="eastAsia"/>
          <w:lang w:eastAsia="zh-CN"/>
        </w:rPr>
        <w:t>中标人</w:t>
      </w:r>
      <w:r>
        <w:rPr>
          <w:rFonts w:hint="eastAsia"/>
        </w:rPr>
        <w:t>协商签订补充合同，但所有补充合同的采购金额不得超过原合同采购金额的百分之十，该补充合同应当在原政府采购合同履行过程中，不得在原政府采购合同履行结束后，且采购货物、服务的名称、价格、履约方式、验收标准等必须与原政府采购合同一致。</w:t>
      </w:r>
    </w:p>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Pr>
        <w:pStyle w:val="47"/>
        <w:numPr>
          <w:ilvl w:val="2"/>
          <w:numId w:val="16"/>
        </w:numPr>
        <w:bidi w:val="0"/>
        <w:rPr>
          <w:rFonts w:hint="eastAsia"/>
        </w:rPr>
      </w:pPr>
      <w:bookmarkStart w:id="672" w:name="_Toc31562"/>
      <w:bookmarkStart w:id="673" w:name="_Toc10585"/>
      <w:bookmarkStart w:id="674" w:name="_Toc12689"/>
      <w:bookmarkStart w:id="675" w:name="_Toc30638"/>
      <w:bookmarkStart w:id="676" w:name="_Toc13715"/>
      <w:bookmarkStart w:id="677" w:name="_Toc31704"/>
      <w:bookmarkStart w:id="678" w:name="_Toc24147"/>
      <w:bookmarkStart w:id="679" w:name="_Toc308164812"/>
      <w:bookmarkStart w:id="680" w:name="_Toc24237"/>
      <w:bookmarkStart w:id="681" w:name="_Toc19537"/>
      <w:bookmarkStart w:id="682" w:name="_Toc307501117"/>
      <w:bookmarkStart w:id="683" w:name="_Toc11533"/>
      <w:bookmarkStart w:id="684" w:name="_Toc308188160"/>
      <w:bookmarkStart w:id="685" w:name="_Toc27686"/>
      <w:bookmarkStart w:id="686" w:name="_Toc22746"/>
      <w:bookmarkStart w:id="687" w:name="_Toc30856"/>
      <w:bookmarkStart w:id="688" w:name="_Toc319440150"/>
      <w:bookmarkStart w:id="689" w:name="_Toc309897523"/>
      <w:bookmarkStart w:id="690" w:name="_Toc327196294"/>
      <w:bookmarkStart w:id="691" w:name="_Toc16034"/>
      <w:bookmarkStart w:id="692" w:name="_Toc308084605"/>
      <w:bookmarkStart w:id="693" w:name="_Toc319439908"/>
      <w:bookmarkStart w:id="694" w:name="_Toc307564860"/>
      <w:bookmarkStart w:id="695" w:name="_Toc27331"/>
      <w:bookmarkStart w:id="696" w:name="_Toc217446068"/>
      <w:bookmarkStart w:id="697" w:name="_Toc28404"/>
      <w:r>
        <w:rPr>
          <w:rFonts w:hint="eastAsia"/>
        </w:rPr>
        <w:t>合同公告</w:t>
      </w:r>
      <w:bookmarkEnd w:id="672"/>
      <w:bookmarkEnd w:id="673"/>
      <w:bookmarkEnd w:id="674"/>
      <w:bookmarkEnd w:id="675"/>
      <w:bookmarkEnd w:id="676"/>
    </w:p>
    <w:p>
      <w:pPr>
        <w:pStyle w:val="44"/>
        <w:bidi w:val="0"/>
        <w:rPr>
          <w:rFonts w:hint="eastAsia"/>
        </w:rPr>
      </w:pPr>
      <w:r>
        <w:rPr>
          <w:rFonts w:hint="eastAsia"/>
        </w:rPr>
        <w:t>采购人应当自政府采购合同签订之日起2个工作日内，将政府采购合同在省级以上人民政府财政部门指定的媒体上公告（四川政府采购网），但政府采购合同中涉及国家秘密、商业秘密的内容除外。</w:t>
      </w:r>
    </w:p>
    <w:p>
      <w:pPr>
        <w:pStyle w:val="47"/>
        <w:numPr>
          <w:ilvl w:val="2"/>
          <w:numId w:val="16"/>
        </w:numPr>
        <w:bidi w:val="0"/>
        <w:rPr>
          <w:rFonts w:hint="default"/>
          <w:lang w:val="en-US" w:eastAsia="zh-CN"/>
        </w:rPr>
      </w:pPr>
      <w:bookmarkStart w:id="698" w:name="_Toc29726"/>
      <w:bookmarkStart w:id="699" w:name="_Toc18395"/>
      <w:bookmarkStart w:id="700" w:name="_Toc19464"/>
      <w:r>
        <w:rPr>
          <w:rFonts w:hint="eastAsia"/>
          <w:lang w:val="en-US" w:eastAsia="zh-CN"/>
        </w:rPr>
        <w:t>合同备案</w:t>
      </w:r>
      <w:bookmarkEnd w:id="698"/>
      <w:bookmarkEnd w:id="699"/>
      <w:bookmarkEnd w:id="700"/>
    </w:p>
    <w:p>
      <w:pPr>
        <w:pStyle w:val="44"/>
        <w:bidi w:val="0"/>
        <w:rPr>
          <w:rFonts w:hint="eastAsia" w:eastAsia="宋体"/>
          <w:highlight w:val="none"/>
          <w:lang w:eastAsia="zh-CN"/>
        </w:rPr>
      </w:pPr>
      <w:r>
        <w:rPr>
          <w:rFonts w:hint="eastAsia" w:ascii="宋体" w:hAnsi="宋体" w:eastAsia="宋体" w:cs="宋体"/>
          <w:highlight w:val="none"/>
          <w:lang w:val="en-US" w:eastAsia="zh-CN"/>
        </w:rPr>
        <w:t>采购人应当将政府采购合同副本自签订之日起七个工作日内通过</w:t>
      </w:r>
      <w:r>
        <w:rPr>
          <w:rFonts w:hint="eastAsia" w:cs="宋体"/>
          <w:highlight w:val="none"/>
          <w:lang w:val="en-US" w:eastAsia="zh-CN"/>
        </w:rPr>
        <w:t>“</w:t>
      </w:r>
      <w:r>
        <w:rPr>
          <w:rFonts w:hint="eastAsia" w:ascii="宋体" w:hAnsi="宋体" w:eastAsia="宋体" w:cs="宋体"/>
          <w:highlight w:val="none"/>
          <w:lang w:val="en-US" w:eastAsia="zh-CN"/>
        </w:rPr>
        <w:t>政采云平台</w:t>
      </w:r>
      <w:r>
        <w:rPr>
          <w:rFonts w:hint="eastAsia" w:cs="宋体"/>
          <w:highlight w:val="none"/>
          <w:lang w:val="en-US" w:eastAsia="zh-CN"/>
        </w:rPr>
        <w:t>”</w:t>
      </w:r>
      <w:r>
        <w:rPr>
          <w:rFonts w:hint="eastAsia" w:ascii="宋体" w:hAnsi="宋体" w:eastAsia="宋体" w:cs="宋体"/>
          <w:highlight w:val="none"/>
          <w:lang w:val="en-US" w:eastAsia="zh-CN"/>
        </w:rPr>
        <w:t>报同级财政部门备案</w:t>
      </w:r>
      <w:r>
        <w:rPr>
          <w:rFonts w:hint="eastAsia"/>
          <w:highlight w:val="none"/>
          <w:lang w:eastAsia="zh-CN"/>
        </w:rPr>
        <w:t>。</w:t>
      </w:r>
    </w:p>
    <w:p>
      <w:pPr>
        <w:pStyle w:val="47"/>
        <w:numPr>
          <w:ilvl w:val="2"/>
          <w:numId w:val="16"/>
        </w:numPr>
        <w:bidi w:val="0"/>
        <w:rPr>
          <w:rFonts w:hint="eastAsia"/>
          <w:highlight w:val="none"/>
        </w:rPr>
      </w:pPr>
      <w:bookmarkStart w:id="701" w:name="_Toc4293"/>
      <w:r>
        <w:rPr>
          <w:rFonts w:hint="eastAsia"/>
          <w:highlight w:val="none"/>
        </w:rPr>
        <w:t>履约保证金</w:t>
      </w:r>
      <w:bookmarkEnd w:id="677"/>
      <w:bookmarkEnd w:id="678"/>
      <w:bookmarkEnd w:id="679"/>
      <w:bookmarkEnd w:id="680"/>
      <w:bookmarkEnd w:id="701"/>
    </w:p>
    <w:p>
      <w:pPr>
        <w:pStyle w:val="44"/>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本项目不收取履约保证金。</w:t>
      </w:r>
    </w:p>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Pr>
        <w:pStyle w:val="47"/>
        <w:numPr>
          <w:ilvl w:val="2"/>
          <w:numId w:val="16"/>
        </w:numPr>
        <w:bidi w:val="0"/>
        <w:rPr>
          <w:rFonts w:hint="eastAsia"/>
        </w:rPr>
      </w:pPr>
      <w:bookmarkStart w:id="702" w:name="_Toc29503"/>
      <w:bookmarkStart w:id="703" w:name="_Toc24295"/>
      <w:bookmarkStart w:id="704" w:name="_Toc13194"/>
      <w:bookmarkStart w:id="705" w:name="_Toc15310"/>
      <w:bookmarkStart w:id="706" w:name="_Toc9815"/>
      <w:bookmarkStart w:id="707" w:name="_Toc307501119"/>
      <w:bookmarkStart w:id="708" w:name="_Toc319440152"/>
      <w:bookmarkStart w:id="709" w:name="_Toc308084607"/>
      <w:bookmarkStart w:id="710" w:name="_Toc309897525"/>
      <w:bookmarkStart w:id="711" w:name="_Toc9916"/>
      <w:bookmarkStart w:id="712" w:name="_Toc327196296"/>
      <w:bookmarkStart w:id="713" w:name="_Toc319439910"/>
      <w:bookmarkStart w:id="714" w:name="_Toc18547"/>
      <w:bookmarkStart w:id="715" w:name="_Toc308188162"/>
      <w:bookmarkStart w:id="716" w:name="_Toc217446070"/>
      <w:bookmarkStart w:id="717" w:name="_Toc17018"/>
      <w:bookmarkStart w:id="718" w:name="_Toc307564862"/>
      <w:bookmarkStart w:id="719" w:name="_Toc5754"/>
      <w:bookmarkStart w:id="720" w:name="_Toc15219"/>
      <w:bookmarkStart w:id="721" w:name="_Toc27872"/>
      <w:bookmarkStart w:id="722" w:name="_Toc27114"/>
      <w:r>
        <w:rPr>
          <w:rFonts w:hint="eastAsia"/>
        </w:rPr>
        <w:t>履行合同</w:t>
      </w:r>
      <w:bookmarkEnd w:id="702"/>
      <w:bookmarkEnd w:id="703"/>
      <w:bookmarkEnd w:id="704"/>
      <w:bookmarkEnd w:id="705"/>
    </w:p>
    <w:p>
      <w:pPr>
        <w:pStyle w:val="61"/>
        <w:bidi w:val="0"/>
      </w:pPr>
      <w:bookmarkStart w:id="723" w:name="_Toc12435"/>
      <w:bookmarkStart w:id="724" w:name="_Toc31"/>
      <w:r>
        <w:rPr>
          <w:rFonts w:hint="eastAsia"/>
        </w:rPr>
        <w:t>采购人与中标人应当根据合同的约定依法履行合同义务。</w:t>
      </w:r>
    </w:p>
    <w:p>
      <w:pPr>
        <w:pStyle w:val="61"/>
        <w:bidi w:val="0"/>
        <w:rPr>
          <w:rFonts w:hint="eastAsia"/>
          <w:lang w:eastAsia="zh-CN"/>
        </w:rPr>
      </w:pPr>
      <w:r>
        <w:rPr>
          <w:rFonts w:hint="eastAsia"/>
        </w:rPr>
        <w:t>政府采购合同的履行、违约责任和解决争议的方法等适用</w:t>
      </w:r>
      <w:r>
        <w:rPr>
          <w:rFonts w:hint="eastAsia"/>
          <w:lang w:eastAsia="zh-CN"/>
        </w:rPr>
        <w:t>《中华人民共和国民法典》。</w:t>
      </w:r>
    </w:p>
    <w:p>
      <w:pPr>
        <w:pStyle w:val="47"/>
        <w:numPr>
          <w:ilvl w:val="2"/>
          <w:numId w:val="16"/>
        </w:numPr>
        <w:bidi w:val="0"/>
        <w:rPr>
          <w:rFonts w:hint="eastAsia"/>
        </w:rPr>
      </w:pPr>
      <w:bookmarkStart w:id="725" w:name="_Toc30543"/>
      <w:bookmarkStart w:id="726" w:name="_Toc22276"/>
      <w:r>
        <w:rPr>
          <w:rFonts w:hint="eastAsia"/>
        </w:rPr>
        <w:t>验收</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pPr>
        <w:pStyle w:val="61"/>
        <w:bidi w:val="0"/>
        <w:rPr>
          <w:rFonts w:hint="eastAsia"/>
        </w:rPr>
      </w:pPr>
      <w:bookmarkStart w:id="727" w:name="_Toc217446071"/>
      <w:r>
        <w:rPr>
          <w:rFonts w:hint="eastAsia"/>
        </w:rPr>
        <w:t>本项目采购人及其委托的采购代理机构将严格按照</w:t>
      </w:r>
      <w:r>
        <w:rPr>
          <w:rFonts w:hint="eastAsia"/>
          <w:lang w:val="en-US" w:eastAsia="zh-CN"/>
        </w:rPr>
        <w:t>《财政部关于进一步加强政府采购需求和履约验收管理的指导意见》(财库〔2016〕205号)、参照</w:t>
      </w:r>
      <w:r>
        <w:rPr>
          <w:rFonts w:hint="eastAsia"/>
        </w:rPr>
        <w:t>《四川省政府采购项目需求论证和履约验收管理办法》(川财采〔2015〕32号)要求进行验收。</w:t>
      </w:r>
    </w:p>
    <w:p>
      <w:pPr>
        <w:pStyle w:val="61"/>
        <w:bidi w:val="0"/>
        <w:rPr>
          <w:rFonts w:hint="eastAsia"/>
        </w:rPr>
      </w:pPr>
      <w:r>
        <w:rPr>
          <w:rFonts w:hint="eastAsia"/>
        </w:rPr>
        <w:t>验收结果合格的，中标人凭</w:t>
      </w:r>
      <w:r>
        <w:rPr>
          <w:rFonts w:hint="eastAsia"/>
          <w:lang w:eastAsia="zh-CN"/>
        </w:rPr>
        <w:t>《</w:t>
      </w:r>
      <w:r>
        <w:rPr>
          <w:rFonts w:hint="eastAsia"/>
        </w:rPr>
        <w:t>验收</w:t>
      </w:r>
      <w:r>
        <w:rPr>
          <w:rFonts w:hint="eastAsia"/>
          <w:lang w:val="en-US" w:eastAsia="zh-CN"/>
        </w:rPr>
        <w:t>报告</w:t>
      </w:r>
      <w:r>
        <w:rPr>
          <w:rFonts w:hint="eastAsia"/>
          <w:lang w:eastAsia="zh-CN"/>
        </w:rPr>
        <w:t>》</w:t>
      </w:r>
      <w:r>
        <w:rPr>
          <w:rFonts w:hint="eastAsia"/>
        </w:rPr>
        <w:t>办理</w:t>
      </w:r>
      <w:r>
        <w:rPr>
          <w:rFonts w:hint="eastAsia"/>
          <w:lang w:val="en-US" w:eastAsia="zh-CN"/>
        </w:rPr>
        <w:t>结算相关</w:t>
      </w:r>
      <w:r>
        <w:rPr>
          <w:rFonts w:hint="eastAsia"/>
        </w:rPr>
        <w:t>手续；验收结果不合格的，将不予支付采购资金，还可能会报本项目同级财政部门按照政府采购法律法规等有关规定给予行政处罚。</w:t>
      </w:r>
    </w:p>
    <w:bookmarkEnd w:id="603"/>
    <w:bookmarkEnd w:id="604"/>
    <w:bookmarkEnd w:id="727"/>
    <w:p>
      <w:pPr>
        <w:pStyle w:val="47"/>
        <w:numPr>
          <w:ilvl w:val="2"/>
          <w:numId w:val="16"/>
        </w:numPr>
        <w:bidi w:val="0"/>
        <w:rPr>
          <w:rFonts w:hint="eastAsia"/>
        </w:rPr>
      </w:pPr>
      <w:bookmarkStart w:id="728" w:name="_Toc308164818"/>
      <w:bookmarkStart w:id="729" w:name="_Toc3266"/>
      <w:bookmarkStart w:id="730" w:name="_Toc17896"/>
      <w:bookmarkStart w:id="731" w:name="_Toc16716"/>
      <w:bookmarkStart w:id="732" w:name="_Toc27997"/>
      <w:bookmarkStart w:id="733" w:name="_Toc16219"/>
      <w:bookmarkStart w:id="734" w:name="_Toc217446074"/>
      <w:bookmarkStart w:id="735" w:name="_Toc327196297"/>
      <w:bookmarkStart w:id="736" w:name="_Toc183582243"/>
      <w:bookmarkStart w:id="737" w:name="_Toc183682380"/>
      <w:r>
        <w:rPr>
          <w:rFonts w:hint="eastAsia"/>
        </w:rPr>
        <w:t>资金支付</w:t>
      </w:r>
      <w:bookmarkEnd w:id="728"/>
      <w:r>
        <w:rPr>
          <w:rFonts w:hint="eastAsia"/>
          <w:lang w:val="en-US" w:eastAsia="zh-CN"/>
        </w:rPr>
        <w:t>方式、时间、条件</w:t>
      </w:r>
      <w:bookmarkEnd w:id="729"/>
      <w:bookmarkEnd w:id="730"/>
      <w:bookmarkEnd w:id="731"/>
      <w:bookmarkEnd w:id="732"/>
    </w:p>
    <w:p>
      <w:pPr>
        <w:pStyle w:val="61"/>
        <w:bidi w:val="0"/>
        <w:rPr>
          <w:rFonts w:hint="eastAsia"/>
        </w:rPr>
      </w:pPr>
      <w:r>
        <w:rPr>
          <w:rFonts w:hint="eastAsia"/>
        </w:rPr>
        <w:t>采购资金的支付方式：采购人将按照政府采购合同规定，及时向</w:t>
      </w:r>
      <w:r>
        <w:rPr>
          <w:rFonts w:hint="eastAsia"/>
          <w:lang w:eastAsia="zh-CN"/>
        </w:rPr>
        <w:t>中标人</w:t>
      </w:r>
      <w:r>
        <w:rPr>
          <w:rFonts w:hint="eastAsia"/>
        </w:rPr>
        <w:t>以银行转账方式支付采购资金。对于满足合同约定支付条件的，采购人应当自收到发票后</w:t>
      </w:r>
      <w:r>
        <w:rPr>
          <w:rFonts w:hint="eastAsia"/>
          <w:lang w:val="en-US" w:eastAsia="zh-CN"/>
        </w:rPr>
        <w:t>按照合同约定</w:t>
      </w:r>
      <w:r>
        <w:rPr>
          <w:rFonts w:hint="eastAsia"/>
        </w:rPr>
        <w:t>将资金支付到合同约定的供应商账户，不得以机构变动、人员更替、政策调整等为由延迟付款，不得将</w:t>
      </w:r>
      <w:r>
        <w:rPr>
          <w:rFonts w:hint="eastAsia"/>
          <w:lang w:val="en-US" w:eastAsia="zh-CN"/>
        </w:rPr>
        <w:t>采购</w:t>
      </w:r>
      <w:r>
        <w:rPr>
          <w:rFonts w:hint="eastAsia"/>
        </w:rPr>
        <w:t>文件和合同中未规定的义务作为向供应商付款的条件</w:t>
      </w:r>
      <w:r>
        <w:rPr>
          <w:rFonts w:hint="eastAsia"/>
          <w:lang w:eastAsia="zh-CN"/>
        </w:rPr>
        <w:t>。</w:t>
      </w:r>
    </w:p>
    <w:p>
      <w:pPr>
        <w:pStyle w:val="61"/>
        <w:bidi w:val="0"/>
        <w:rPr>
          <w:rFonts w:hint="eastAsia"/>
        </w:rPr>
      </w:pPr>
      <w:r>
        <w:rPr>
          <w:rFonts w:hint="eastAsia"/>
        </w:rPr>
        <w:t>采购资金的支付时间：</w:t>
      </w:r>
      <w:r>
        <w:rPr>
          <w:rFonts w:hint="eastAsia"/>
          <w:lang w:val="en-US" w:eastAsia="zh-CN"/>
        </w:rPr>
        <w:t>详见招标文件第六章</w:t>
      </w:r>
      <w:r>
        <w:rPr>
          <w:rFonts w:hint="eastAsia"/>
          <w:lang w:eastAsia="zh-CN"/>
        </w:rPr>
        <w:t>。</w:t>
      </w:r>
    </w:p>
    <w:p>
      <w:pPr>
        <w:pStyle w:val="61"/>
        <w:bidi w:val="0"/>
        <w:rPr>
          <w:rFonts w:hint="eastAsia"/>
        </w:rPr>
      </w:pPr>
      <w:r>
        <w:rPr>
          <w:rFonts w:hint="eastAsia"/>
        </w:rPr>
        <w:t>采购资金的支付条件：</w:t>
      </w:r>
      <w:r>
        <w:rPr>
          <w:rFonts w:hint="eastAsia"/>
          <w:lang w:val="en-US" w:eastAsia="zh-CN"/>
        </w:rPr>
        <w:t>详见招标文件第六章</w:t>
      </w:r>
      <w:r>
        <w:rPr>
          <w:rFonts w:hint="eastAsia"/>
          <w:lang w:eastAsia="zh-CN"/>
        </w:rPr>
        <w:t>。</w:t>
      </w:r>
    </w:p>
    <w:p>
      <w:pPr>
        <w:pStyle w:val="41"/>
        <w:bidi w:val="0"/>
        <w:rPr>
          <w:rFonts w:hint="eastAsia"/>
        </w:rPr>
      </w:pPr>
      <w:bookmarkStart w:id="738" w:name="_Toc27770"/>
      <w:bookmarkStart w:id="739" w:name="_Toc3955"/>
      <w:bookmarkStart w:id="740" w:name="_Toc15972"/>
      <w:bookmarkStart w:id="741" w:name="_Toc13906"/>
      <w:r>
        <w:rPr>
          <w:rFonts w:hint="eastAsia"/>
        </w:rPr>
        <w:t>投标纪律要求</w:t>
      </w:r>
      <w:bookmarkEnd w:id="733"/>
      <w:bookmarkEnd w:id="734"/>
      <w:bookmarkEnd w:id="735"/>
      <w:bookmarkEnd w:id="738"/>
      <w:bookmarkEnd w:id="739"/>
      <w:bookmarkEnd w:id="740"/>
      <w:bookmarkEnd w:id="741"/>
    </w:p>
    <w:p>
      <w:pPr>
        <w:pStyle w:val="44"/>
        <w:bidi w:val="0"/>
        <w:rPr>
          <w:rFonts w:hint="eastAsia" w:eastAsia="宋体"/>
          <w:lang w:eastAsia="zh-CN"/>
        </w:rPr>
      </w:pPr>
      <w:bookmarkStart w:id="742" w:name="_Toc20490"/>
      <w:bookmarkStart w:id="743" w:name="_Toc30964"/>
      <w:bookmarkStart w:id="744" w:name="_Toc10754"/>
      <w:bookmarkStart w:id="745" w:name="_Toc307564864"/>
      <w:bookmarkStart w:id="746" w:name="_Toc217446075"/>
      <w:bookmarkStart w:id="747" w:name="_Toc21018"/>
      <w:bookmarkStart w:id="748" w:name="_Toc308188164"/>
      <w:bookmarkStart w:id="749" w:name="_Toc327196298"/>
      <w:bookmarkStart w:id="750" w:name="_Toc6284"/>
      <w:bookmarkStart w:id="751" w:name="_Toc1828"/>
      <w:bookmarkStart w:id="752" w:name="_Toc308084609"/>
      <w:bookmarkStart w:id="753" w:name="_Toc309897527"/>
      <w:bookmarkStart w:id="754" w:name="_Toc319439912"/>
      <w:bookmarkStart w:id="755" w:name="_Toc307501121"/>
      <w:bookmarkStart w:id="756" w:name="_Toc319440154"/>
      <w:bookmarkStart w:id="757" w:name="_Toc17887"/>
      <w:bookmarkStart w:id="758" w:name="_Toc11074"/>
      <w:bookmarkStart w:id="759" w:name="_Toc5014"/>
      <w:bookmarkStart w:id="760" w:name="_Toc27399"/>
      <w:bookmarkStart w:id="761" w:name="_Toc31498"/>
      <w:r>
        <w:rPr>
          <w:rFonts w:hint="eastAsia"/>
        </w:rPr>
        <w:t>投标人不得具有的情形</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r>
        <w:rPr>
          <w:rFonts w:hint="eastAsia"/>
          <w:lang w:eastAsia="zh-CN"/>
        </w:rPr>
        <w:t>：</w:t>
      </w:r>
    </w:p>
    <w:p>
      <w:pPr>
        <w:pStyle w:val="30"/>
        <w:numPr>
          <w:ilvl w:val="1"/>
          <w:numId w:val="17"/>
        </w:numPr>
        <w:bidi w:val="0"/>
        <w:rPr>
          <w:rFonts w:hint="eastAsia"/>
        </w:rPr>
      </w:pPr>
      <w:r>
        <w:rPr>
          <w:rFonts w:hint="eastAsia"/>
        </w:rPr>
        <w:t>提供虚假材料谋取中标；</w:t>
      </w:r>
    </w:p>
    <w:p>
      <w:pPr>
        <w:pStyle w:val="30"/>
        <w:numPr>
          <w:ilvl w:val="1"/>
          <w:numId w:val="17"/>
        </w:numPr>
        <w:bidi w:val="0"/>
        <w:rPr>
          <w:rFonts w:hint="eastAsia"/>
        </w:rPr>
      </w:pPr>
      <w:r>
        <w:rPr>
          <w:rFonts w:hint="eastAsia"/>
        </w:rPr>
        <w:t>采取不正当手段诋毁、排挤其他投标人；</w:t>
      </w:r>
    </w:p>
    <w:p>
      <w:pPr>
        <w:pStyle w:val="30"/>
        <w:numPr>
          <w:ilvl w:val="1"/>
          <w:numId w:val="17"/>
        </w:numPr>
        <w:bidi w:val="0"/>
        <w:rPr>
          <w:rFonts w:hint="eastAsia"/>
        </w:rPr>
      </w:pPr>
      <w:r>
        <w:rPr>
          <w:rFonts w:hint="eastAsia"/>
        </w:rPr>
        <w:t>与招标采购单位、其他投标人恶意串通；</w:t>
      </w:r>
    </w:p>
    <w:p>
      <w:pPr>
        <w:pStyle w:val="30"/>
        <w:numPr>
          <w:ilvl w:val="1"/>
          <w:numId w:val="17"/>
        </w:numPr>
        <w:bidi w:val="0"/>
        <w:rPr>
          <w:rFonts w:hint="eastAsia"/>
        </w:rPr>
      </w:pPr>
      <w:r>
        <w:rPr>
          <w:rFonts w:hint="eastAsia"/>
        </w:rPr>
        <w:t>向招标采购单位、评标委员会成员行贿或者提供其他不正当利益；</w:t>
      </w:r>
    </w:p>
    <w:p>
      <w:pPr>
        <w:pStyle w:val="30"/>
        <w:numPr>
          <w:ilvl w:val="1"/>
          <w:numId w:val="17"/>
        </w:numPr>
        <w:bidi w:val="0"/>
        <w:rPr>
          <w:rFonts w:hint="eastAsia"/>
        </w:rPr>
      </w:pPr>
      <w:r>
        <w:rPr>
          <w:rFonts w:hint="eastAsia"/>
        </w:rPr>
        <w:t>在招标过程中与招标采购单位进行协商谈判；</w:t>
      </w:r>
    </w:p>
    <w:p>
      <w:pPr>
        <w:pStyle w:val="30"/>
        <w:numPr>
          <w:ilvl w:val="1"/>
          <w:numId w:val="17"/>
        </w:numPr>
        <w:bidi w:val="0"/>
        <w:rPr>
          <w:rFonts w:hint="eastAsia"/>
        </w:rPr>
      </w:pPr>
      <w:r>
        <w:rPr>
          <w:rFonts w:hint="eastAsia"/>
        </w:rPr>
        <w:t>中标或者成交后无正当理由拒不与采购人签订政府采购合同；</w:t>
      </w:r>
    </w:p>
    <w:p>
      <w:pPr>
        <w:pStyle w:val="30"/>
        <w:numPr>
          <w:ilvl w:val="1"/>
          <w:numId w:val="17"/>
        </w:numPr>
        <w:bidi w:val="0"/>
        <w:rPr>
          <w:rFonts w:hint="eastAsia"/>
        </w:rPr>
      </w:pPr>
      <w:r>
        <w:rPr>
          <w:rFonts w:hint="eastAsia"/>
        </w:rPr>
        <w:t>未按照采购文件确定的事项签订政府采购合同；</w:t>
      </w:r>
    </w:p>
    <w:p>
      <w:pPr>
        <w:pStyle w:val="30"/>
        <w:numPr>
          <w:ilvl w:val="1"/>
          <w:numId w:val="17"/>
        </w:numPr>
        <w:bidi w:val="0"/>
        <w:rPr>
          <w:rFonts w:hint="eastAsia"/>
        </w:rPr>
      </w:pPr>
      <w:r>
        <w:rPr>
          <w:rFonts w:hint="eastAsia"/>
        </w:rPr>
        <w:t>将政府采购合同转包或者违规分包；</w:t>
      </w:r>
    </w:p>
    <w:p>
      <w:pPr>
        <w:pStyle w:val="30"/>
        <w:numPr>
          <w:ilvl w:val="1"/>
          <w:numId w:val="17"/>
        </w:numPr>
        <w:bidi w:val="0"/>
        <w:rPr>
          <w:rFonts w:hint="eastAsia"/>
        </w:rPr>
      </w:pPr>
      <w:r>
        <w:rPr>
          <w:rFonts w:hint="eastAsia"/>
        </w:rPr>
        <w:t>提供假冒伪劣产品；</w:t>
      </w:r>
    </w:p>
    <w:p>
      <w:pPr>
        <w:pStyle w:val="30"/>
        <w:numPr>
          <w:ilvl w:val="1"/>
          <w:numId w:val="17"/>
        </w:numPr>
        <w:bidi w:val="0"/>
        <w:rPr>
          <w:rFonts w:hint="eastAsia"/>
        </w:rPr>
      </w:pPr>
      <w:r>
        <w:rPr>
          <w:rFonts w:hint="eastAsia"/>
        </w:rPr>
        <w:t>擅自变更、中止或者终止政府采购合同；</w:t>
      </w:r>
    </w:p>
    <w:p>
      <w:pPr>
        <w:pStyle w:val="30"/>
        <w:numPr>
          <w:ilvl w:val="1"/>
          <w:numId w:val="17"/>
        </w:numPr>
        <w:bidi w:val="0"/>
        <w:rPr>
          <w:rFonts w:hint="eastAsia"/>
        </w:rPr>
      </w:pPr>
      <w:r>
        <w:rPr>
          <w:rFonts w:hint="eastAsia"/>
        </w:rPr>
        <w:t>拒绝有关部门的监督检查或者向监督检查部门提供虚假情况；</w:t>
      </w:r>
    </w:p>
    <w:p>
      <w:pPr>
        <w:pStyle w:val="30"/>
        <w:numPr>
          <w:ilvl w:val="1"/>
          <w:numId w:val="17"/>
        </w:numPr>
        <w:bidi w:val="0"/>
        <w:rPr>
          <w:rFonts w:hint="eastAsia"/>
        </w:rPr>
      </w:pPr>
      <w:r>
        <w:rPr>
          <w:rFonts w:hint="eastAsia"/>
        </w:rPr>
        <w:t>法律法规规定的其他情形。</w:t>
      </w:r>
    </w:p>
    <w:p>
      <w:pPr>
        <w:pStyle w:val="40"/>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rPr>
      </w:pPr>
      <w:bookmarkStart w:id="762" w:name="_Toc20327"/>
      <w:bookmarkStart w:id="763" w:name="_Toc525"/>
      <w:bookmarkStart w:id="764" w:name="_Toc8765"/>
      <w:bookmarkStart w:id="765" w:name="_Toc217446078"/>
      <w:r>
        <w:rPr>
          <w:rFonts w:hint="eastAsia"/>
        </w:rPr>
        <w:t>投标人有上述情形的，按照规定追究法律责任，具备</w:t>
      </w:r>
      <w:r>
        <w:rPr>
          <w:rFonts w:hint="eastAsia"/>
          <w:lang w:val="en-US" w:eastAsia="zh-CN"/>
        </w:rPr>
        <w:t>(一)～(十)</w:t>
      </w:r>
      <w:r>
        <w:rPr>
          <w:rFonts w:hint="eastAsia"/>
        </w:rPr>
        <w:t>条情形之一的，同时将取消中标资格或者认定中标无效。</w:t>
      </w:r>
    </w:p>
    <w:bookmarkEnd w:id="762"/>
    <w:bookmarkEnd w:id="763"/>
    <w:bookmarkEnd w:id="764"/>
    <w:p>
      <w:pPr>
        <w:pStyle w:val="41"/>
        <w:bidi w:val="0"/>
        <w:rPr>
          <w:rFonts w:hint="eastAsia"/>
        </w:rPr>
      </w:pPr>
      <w:bookmarkStart w:id="766" w:name="_Toc24389"/>
      <w:r>
        <w:rPr>
          <w:rFonts w:hint="eastAsia"/>
          <w:lang w:val="en-US" w:eastAsia="zh-CN"/>
        </w:rPr>
        <w:t>其他</w:t>
      </w:r>
      <w:bookmarkEnd w:id="766"/>
    </w:p>
    <w:p>
      <w:pPr>
        <w:pStyle w:val="47"/>
        <w:numPr>
          <w:ilvl w:val="2"/>
          <w:numId w:val="18"/>
        </w:numPr>
        <w:bidi w:val="0"/>
        <w:rPr>
          <w:rFonts w:hint="eastAsia"/>
        </w:rPr>
      </w:pPr>
      <w:bookmarkStart w:id="767" w:name="_Toc414"/>
      <w:bookmarkStart w:id="768" w:name="_Toc1652"/>
      <w:bookmarkStart w:id="769" w:name="_Toc24165"/>
      <w:bookmarkStart w:id="770" w:name="_Toc12421"/>
      <w:bookmarkStart w:id="771" w:name="_Toc24434"/>
      <w:bookmarkStart w:id="772" w:name="_Toc2407"/>
      <w:bookmarkStart w:id="773" w:name="_Toc21424"/>
      <w:bookmarkStart w:id="774" w:name="_Toc327196301"/>
      <w:r>
        <w:rPr>
          <w:rFonts w:hint="eastAsia"/>
        </w:rPr>
        <w:t>询问</w:t>
      </w:r>
      <w:bookmarkEnd w:id="767"/>
      <w:bookmarkEnd w:id="768"/>
      <w:bookmarkEnd w:id="769"/>
      <w:bookmarkEnd w:id="770"/>
      <w:bookmarkEnd w:id="771"/>
      <w:r>
        <w:rPr>
          <w:rFonts w:hint="eastAsia"/>
          <w:lang w:eastAsia="zh-CN"/>
        </w:rPr>
        <w:t>、</w:t>
      </w:r>
      <w:r>
        <w:rPr>
          <w:rFonts w:hint="eastAsia"/>
          <w:lang w:val="en-US" w:eastAsia="zh-CN"/>
        </w:rPr>
        <w:t>质疑和投诉</w:t>
      </w:r>
      <w:bookmarkEnd w:id="772"/>
    </w:p>
    <w:bookmarkEnd w:id="736"/>
    <w:bookmarkEnd w:id="737"/>
    <w:bookmarkEnd w:id="765"/>
    <w:bookmarkEnd w:id="773"/>
    <w:bookmarkEnd w:id="774"/>
    <w:p>
      <w:pPr>
        <w:pStyle w:val="44"/>
        <w:keepNext w:val="0"/>
        <w:keepLines w:val="0"/>
        <w:pageBreakBefore w:val="0"/>
        <w:widowControl w:val="0"/>
        <w:kinsoku/>
        <w:wordWrap w:val="0"/>
        <w:overflowPunct/>
        <w:topLinePunct/>
        <w:autoSpaceDE/>
        <w:autoSpaceDN/>
        <w:bidi w:val="0"/>
        <w:adjustRightInd w:val="0"/>
        <w:snapToGrid w:val="0"/>
        <w:ind w:left="0" w:leftChars="0" w:firstLine="480" w:firstLineChars="200"/>
        <w:jc w:val="left"/>
        <w:textAlignment w:val="auto"/>
        <w:rPr>
          <w:rFonts w:hint="eastAsia"/>
        </w:rPr>
      </w:pPr>
      <w:r>
        <w:rPr>
          <w:rFonts w:hint="eastAsia"/>
          <w:lang w:val="en-US" w:eastAsia="zh-CN"/>
        </w:rPr>
        <w:t>具体详见投标人须知前附表</w:t>
      </w:r>
      <w:r>
        <w:rPr>
          <w:rFonts w:hint="eastAsia"/>
        </w:rPr>
        <w:t>。</w:t>
      </w:r>
    </w:p>
    <w:p>
      <w:pPr>
        <w:pStyle w:val="47"/>
        <w:numPr>
          <w:ilvl w:val="2"/>
          <w:numId w:val="18"/>
        </w:numPr>
        <w:bidi w:val="0"/>
        <w:rPr>
          <w:rFonts w:hint="eastAsia"/>
        </w:rPr>
      </w:pPr>
      <w:bookmarkStart w:id="775" w:name="_Toc8852"/>
      <w:bookmarkStart w:id="776" w:name="_Toc27417"/>
      <w:bookmarkStart w:id="777" w:name="_Toc22454"/>
      <w:bookmarkStart w:id="778" w:name="_Toc19134"/>
      <w:r>
        <w:rPr>
          <w:rFonts w:hint="eastAsia"/>
        </w:rPr>
        <w:t>关于行贿犯罪档案查询工作的规定</w:t>
      </w:r>
      <w:bookmarkEnd w:id="775"/>
      <w:bookmarkEnd w:id="776"/>
      <w:bookmarkEnd w:id="777"/>
      <w:bookmarkEnd w:id="778"/>
    </w:p>
    <w:p>
      <w:pPr>
        <w:pStyle w:val="44"/>
        <w:bidi w:val="0"/>
        <w:rPr>
          <w:rFonts w:hint="eastAsia"/>
          <w:lang w:val="en-US"/>
        </w:rPr>
      </w:pPr>
      <w:bookmarkStart w:id="779" w:name="_Toc24870"/>
      <w:bookmarkStart w:id="780" w:name="_Toc25217"/>
      <w:bookmarkStart w:id="781" w:name="_Toc5589"/>
      <w:r>
        <w:rPr>
          <w:rFonts w:hint="eastAsia"/>
          <w:lang w:val="en-US" w:eastAsia="zh-CN"/>
        </w:rPr>
        <w:t>因国家检察机关职务犯罪侦查部门转隶工作已经完成，供应商参与采购活动时须按照采购文件要求提供承诺函或由</w:t>
      </w:r>
      <w:r>
        <w:rPr>
          <w:rFonts w:hint="eastAsia"/>
        </w:rPr>
        <w:t>采购代理机构通过</w:t>
      </w:r>
      <w:r>
        <w:rPr>
          <w:rFonts w:hint="eastAsia"/>
          <w:lang w:val="en-US" w:eastAsia="zh-CN"/>
        </w:rPr>
        <w:t>“中国裁判文书网”查询</w:t>
      </w:r>
      <w:r>
        <w:rPr>
          <w:rFonts w:hint="eastAsia"/>
        </w:rPr>
        <w:t>，并将查询记录存档</w:t>
      </w:r>
      <w:r>
        <w:rPr>
          <w:rFonts w:hint="eastAsia"/>
          <w:lang w:val="en-US" w:eastAsia="zh-CN"/>
        </w:rPr>
        <w:t>。</w:t>
      </w:r>
    </w:p>
    <w:p>
      <w:pPr>
        <w:pStyle w:val="47"/>
        <w:numPr>
          <w:ilvl w:val="2"/>
          <w:numId w:val="18"/>
        </w:numPr>
        <w:bidi w:val="0"/>
        <w:rPr>
          <w:rFonts w:hint="eastAsia"/>
          <w:lang w:val="en-US" w:eastAsia="zh-CN"/>
        </w:rPr>
      </w:pPr>
      <w:bookmarkStart w:id="782" w:name="_Toc31605"/>
      <w:r>
        <w:rPr>
          <w:rFonts w:hint="eastAsia"/>
          <w:lang w:val="en-US" w:eastAsia="zh-CN"/>
        </w:rPr>
        <w:t>串通投标的情形</w:t>
      </w:r>
      <w:bookmarkEnd w:id="779"/>
      <w:bookmarkEnd w:id="780"/>
      <w:bookmarkEnd w:id="782"/>
    </w:p>
    <w:p>
      <w:pPr>
        <w:pStyle w:val="44"/>
        <w:bidi w:val="0"/>
        <w:rPr>
          <w:rFonts w:hint="eastAsia"/>
        </w:rPr>
      </w:pPr>
      <w:r>
        <w:rPr>
          <w:rFonts w:hint="eastAsia"/>
        </w:rPr>
        <w:t>有下列情形之一的，视为投标人串通投标，其投标无效</w:t>
      </w:r>
      <w:r>
        <w:rPr>
          <w:rFonts w:hint="eastAsia"/>
          <w:lang w:eastAsia="zh-CN"/>
        </w:rPr>
        <w:t>。</w:t>
      </w:r>
    </w:p>
    <w:p>
      <w:pPr>
        <w:pStyle w:val="44"/>
        <w:bidi w:val="0"/>
        <w:rPr>
          <w:rFonts w:hint="eastAsia"/>
        </w:rPr>
      </w:pPr>
      <w:r>
        <w:rPr>
          <w:rFonts w:hint="eastAsia"/>
          <w:lang w:val="en-US" w:eastAsia="zh-CN"/>
        </w:rPr>
        <w:t>1.</w:t>
      </w:r>
      <w:r>
        <w:rPr>
          <w:rFonts w:hint="eastAsia"/>
        </w:rPr>
        <w:t>不同投标人的投标文件由同一单位或者个人编制；</w:t>
      </w:r>
    </w:p>
    <w:p>
      <w:pPr>
        <w:pStyle w:val="44"/>
        <w:bidi w:val="0"/>
        <w:rPr>
          <w:rFonts w:hint="eastAsia"/>
        </w:rPr>
      </w:pPr>
      <w:r>
        <w:rPr>
          <w:rFonts w:hint="eastAsia"/>
          <w:lang w:val="en-US" w:eastAsia="zh-CN"/>
        </w:rPr>
        <w:t>2.</w:t>
      </w:r>
      <w:r>
        <w:rPr>
          <w:rFonts w:hint="eastAsia"/>
        </w:rPr>
        <w:t>不同投标人委托同一单位或者个人办理投标事宜；</w:t>
      </w:r>
    </w:p>
    <w:p>
      <w:pPr>
        <w:pStyle w:val="44"/>
        <w:bidi w:val="0"/>
        <w:rPr>
          <w:rFonts w:hint="eastAsia"/>
        </w:rPr>
      </w:pPr>
      <w:r>
        <w:rPr>
          <w:rFonts w:hint="eastAsia"/>
          <w:lang w:val="en-US" w:eastAsia="zh-CN"/>
        </w:rPr>
        <w:t>3.</w:t>
      </w:r>
      <w:r>
        <w:rPr>
          <w:rFonts w:hint="eastAsia"/>
        </w:rPr>
        <w:t>不同投标人的投标文件载明的项目管理成员或者联系人员为同一人；</w:t>
      </w:r>
    </w:p>
    <w:p>
      <w:pPr>
        <w:pStyle w:val="44"/>
        <w:bidi w:val="0"/>
        <w:rPr>
          <w:rFonts w:hint="eastAsia"/>
        </w:rPr>
      </w:pPr>
      <w:r>
        <w:rPr>
          <w:rFonts w:hint="eastAsia"/>
          <w:lang w:val="en-US" w:eastAsia="zh-CN"/>
        </w:rPr>
        <w:t>4.</w:t>
      </w:r>
      <w:r>
        <w:rPr>
          <w:rFonts w:hint="eastAsia"/>
        </w:rPr>
        <w:t>不同投标人的投标文件异常一致或者投标报价呈规律性差异；</w:t>
      </w:r>
    </w:p>
    <w:p>
      <w:pPr>
        <w:pStyle w:val="44"/>
        <w:bidi w:val="0"/>
        <w:rPr>
          <w:rFonts w:hint="eastAsia"/>
        </w:rPr>
      </w:pPr>
      <w:r>
        <w:rPr>
          <w:rFonts w:hint="eastAsia"/>
          <w:lang w:val="en-US" w:eastAsia="zh-CN"/>
        </w:rPr>
        <w:t>5.</w:t>
      </w:r>
      <w:r>
        <w:rPr>
          <w:rFonts w:hint="eastAsia"/>
        </w:rPr>
        <w:t>不同投标人的投标文件相互混装；</w:t>
      </w:r>
    </w:p>
    <w:p>
      <w:pPr>
        <w:pStyle w:val="47"/>
        <w:numPr>
          <w:ilvl w:val="2"/>
          <w:numId w:val="18"/>
        </w:numPr>
        <w:bidi w:val="0"/>
        <w:rPr>
          <w:rFonts w:hint="eastAsia"/>
          <w:lang w:val="en-US" w:eastAsia="zh-CN"/>
        </w:rPr>
      </w:pPr>
      <w:bookmarkStart w:id="783" w:name="_Toc32334"/>
      <w:bookmarkStart w:id="784" w:name="_Toc12108"/>
      <w:bookmarkStart w:id="785" w:name="_Toc10983"/>
      <w:bookmarkStart w:id="786" w:name="_Toc22192"/>
      <w:bookmarkStart w:id="787" w:name="_Toc17038"/>
      <w:r>
        <w:rPr>
          <w:rFonts w:hint="eastAsia"/>
          <w:lang w:val="en-US" w:eastAsia="zh-CN"/>
        </w:rPr>
        <w:t>投标人信用信息查询</w:t>
      </w:r>
      <w:bookmarkEnd w:id="783"/>
      <w:bookmarkEnd w:id="784"/>
      <w:bookmarkEnd w:id="785"/>
      <w:bookmarkEnd w:id="786"/>
      <w:bookmarkEnd w:id="787"/>
    </w:p>
    <w:p>
      <w:pPr>
        <w:pStyle w:val="30"/>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lang w:val="en-US" w:eastAsia="zh-CN"/>
        </w:rPr>
      </w:pPr>
      <w:r>
        <w:rPr>
          <w:rFonts w:hint="eastAsia"/>
          <w:lang w:val="en-US" w:eastAsia="zh-CN"/>
        </w:rPr>
        <w:t>1.投标人信用信息查询渠道</w:t>
      </w:r>
    </w:p>
    <w:p>
      <w:pPr>
        <w:pStyle w:val="44"/>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rPr>
      </w:pPr>
      <w:r>
        <w:rPr>
          <w:rFonts w:hint="eastAsia"/>
        </w:rPr>
        <w:t>“信用中国”网站(www.creditchina.gov.cn)、</w:t>
      </w:r>
      <w:r>
        <w:rPr>
          <w:rFonts w:hint="eastAsia"/>
          <w:lang w:eastAsia="zh-CN"/>
        </w:rPr>
        <w:t>“</w:t>
      </w:r>
      <w:r>
        <w:rPr>
          <w:rFonts w:hint="eastAsia"/>
        </w:rPr>
        <w:t>中国政府采购网</w:t>
      </w:r>
      <w:r>
        <w:rPr>
          <w:rFonts w:hint="eastAsia"/>
          <w:lang w:eastAsia="zh-CN"/>
        </w:rPr>
        <w:t>”</w:t>
      </w:r>
      <w:r>
        <w:rPr>
          <w:rFonts w:hint="eastAsia"/>
        </w:rPr>
        <w:t>(www.ccgp.gov.cn)等。</w:t>
      </w:r>
    </w:p>
    <w:p>
      <w:pPr>
        <w:pStyle w:val="30"/>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lang w:val="en-US" w:eastAsia="zh-CN"/>
        </w:rPr>
      </w:pPr>
      <w:r>
        <w:rPr>
          <w:rFonts w:hint="eastAsia"/>
          <w:lang w:val="en-US" w:eastAsia="zh-CN"/>
        </w:rPr>
        <w:t>2.投标人信用信息查询截止时点</w:t>
      </w:r>
    </w:p>
    <w:p>
      <w:pPr>
        <w:pStyle w:val="44"/>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lang w:val="en-US" w:eastAsia="zh-CN"/>
        </w:rPr>
      </w:pPr>
      <w:r>
        <w:rPr>
          <w:rFonts w:hint="eastAsia"/>
          <w:lang w:val="en-US" w:eastAsia="zh-CN"/>
        </w:rPr>
        <w:t>信用信息查询在资格审查阶段完成。</w:t>
      </w:r>
    </w:p>
    <w:p>
      <w:pPr>
        <w:pStyle w:val="30"/>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lang w:val="en-US" w:eastAsia="zh-CN"/>
        </w:rPr>
      </w:pPr>
      <w:r>
        <w:rPr>
          <w:rFonts w:hint="eastAsia"/>
          <w:lang w:val="en-US" w:eastAsia="zh-CN"/>
        </w:rPr>
        <w:t>3.投标人信用信息查询记录和证据留存的具体方式</w:t>
      </w:r>
    </w:p>
    <w:p>
      <w:pPr>
        <w:pStyle w:val="44"/>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lang w:val="en-US" w:eastAsia="zh-CN"/>
        </w:rPr>
      </w:pPr>
      <w:r>
        <w:rPr>
          <w:rFonts w:hint="eastAsia"/>
        </w:rPr>
        <w:t>采购代理机构通过</w:t>
      </w:r>
      <w:r>
        <w:rPr>
          <w:rFonts w:hint="eastAsia"/>
          <w:lang w:eastAsia="zh-CN"/>
        </w:rPr>
        <w:t>“</w:t>
      </w:r>
      <w:r>
        <w:rPr>
          <w:rFonts w:hint="eastAsia"/>
        </w:rPr>
        <w:t>信用中国</w:t>
      </w:r>
      <w:r>
        <w:rPr>
          <w:rFonts w:hint="eastAsia"/>
          <w:lang w:eastAsia="zh-CN"/>
        </w:rPr>
        <w:t>”</w:t>
      </w:r>
      <w:r>
        <w:rPr>
          <w:rFonts w:hint="eastAsia"/>
        </w:rPr>
        <w:t>网站、</w:t>
      </w:r>
      <w:r>
        <w:rPr>
          <w:rFonts w:hint="eastAsia"/>
          <w:lang w:eastAsia="zh-CN"/>
        </w:rPr>
        <w:t>“</w:t>
      </w:r>
      <w:r>
        <w:rPr>
          <w:rFonts w:hint="eastAsia"/>
        </w:rPr>
        <w:t>中国政府采购网</w:t>
      </w:r>
      <w:r>
        <w:rPr>
          <w:rFonts w:hint="eastAsia"/>
          <w:lang w:eastAsia="zh-CN"/>
        </w:rPr>
        <w:t>”</w:t>
      </w:r>
      <w:r>
        <w:rPr>
          <w:rFonts w:hint="eastAsia"/>
        </w:rPr>
        <w:t>等渠道对供应商进行信用记录查询，并将查询记录存档。</w:t>
      </w:r>
    </w:p>
    <w:p>
      <w:pPr>
        <w:pStyle w:val="30"/>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lang w:val="en-US" w:eastAsia="zh-CN"/>
        </w:rPr>
      </w:pPr>
      <w:r>
        <w:rPr>
          <w:rFonts w:hint="eastAsia"/>
          <w:lang w:val="en-US" w:eastAsia="zh-CN"/>
        </w:rPr>
        <w:t>4.投标人信用信息的使用：</w:t>
      </w:r>
      <w:r>
        <w:rPr>
          <w:rFonts w:hint="eastAsia"/>
        </w:rPr>
        <w:t>凡被列入失信被执行人、重大税收违法案件当事人名单、政府采购严重违法失信行为记录名单的，视为存在不良信用记录，参与本项目的将被拒绝</w:t>
      </w:r>
      <w:r>
        <w:rPr>
          <w:rFonts w:hint="eastAsia"/>
          <w:lang w:val="en-US" w:eastAsia="zh-CN"/>
        </w:rPr>
        <w:t>。</w:t>
      </w:r>
    </w:p>
    <w:p>
      <w:pPr>
        <w:pStyle w:val="47"/>
        <w:numPr>
          <w:ilvl w:val="2"/>
          <w:numId w:val="18"/>
        </w:numPr>
        <w:bidi w:val="0"/>
        <w:rPr>
          <w:rFonts w:hint="eastAsia"/>
          <w:lang w:val="en-US" w:eastAsia="zh-CN"/>
        </w:rPr>
      </w:pPr>
      <w:bookmarkStart w:id="788" w:name="_Toc5438"/>
      <w:r>
        <w:rPr>
          <w:rFonts w:hint="eastAsia"/>
          <w:lang w:val="en-US" w:eastAsia="zh-CN"/>
        </w:rPr>
        <w:t>保密</w:t>
      </w:r>
      <w:bookmarkEnd w:id="788"/>
    </w:p>
    <w:p>
      <w:pPr>
        <w:pStyle w:val="10"/>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1.</w:t>
      </w:r>
      <w:r>
        <w:rPr>
          <w:rFonts w:hint="eastAsia" w:cstheme="minorBidi"/>
          <w:kern w:val="2"/>
          <w:sz w:val="24"/>
          <w:szCs w:val="24"/>
          <w:lang w:val="en-US" w:eastAsia="zh-CN" w:bidi="ar-SA"/>
        </w:rPr>
        <w:t>各采购当事人</w:t>
      </w:r>
      <w:r>
        <w:rPr>
          <w:rFonts w:hint="eastAsia" w:ascii="宋体" w:hAnsi="宋体" w:eastAsia="宋体" w:cstheme="minorBidi"/>
          <w:kern w:val="2"/>
          <w:sz w:val="24"/>
          <w:szCs w:val="24"/>
          <w:lang w:val="en-US" w:eastAsia="zh-CN" w:bidi="ar-SA"/>
        </w:rPr>
        <w:t>不得透露有关成功</w:t>
      </w:r>
      <w:r>
        <w:rPr>
          <w:rFonts w:hint="eastAsia" w:cstheme="minorBidi"/>
          <w:kern w:val="2"/>
          <w:sz w:val="24"/>
          <w:szCs w:val="24"/>
          <w:lang w:val="en-US" w:eastAsia="zh-CN" w:bidi="ar-SA"/>
        </w:rPr>
        <w:t>获取采购文件</w:t>
      </w:r>
      <w:r>
        <w:rPr>
          <w:rFonts w:hint="eastAsia" w:ascii="宋体" w:hAnsi="宋体" w:eastAsia="宋体" w:cstheme="minorBidi"/>
          <w:kern w:val="2"/>
          <w:sz w:val="24"/>
          <w:szCs w:val="24"/>
          <w:lang w:val="en-US" w:eastAsia="zh-CN" w:bidi="ar-SA"/>
        </w:rPr>
        <w:t>的潜在投标人的任何情况。</w:t>
      </w:r>
    </w:p>
    <w:p>
      <w:pPr>
        <w:pStyle w:val="10"/>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2.</w:t>
      </w:r>
      <w:r>
        <w:rPr>
          <w:rFonts w:hint="eastAsia" w:cstheme="minorBidi"/>
          <w:kern w:val="2"/>
          <w:sz w:val="24"/>
          <w:szCs w:val="24"/>
          <w:lang w:val="en-US" w:eastAsia="zh-CN" w:bidi="ar-SA"/>
        </w:rPr>
        <w:t>投标人</w:t>
      </w:r>
      <w:r>
        <w:rPr>
          <w:rFonts w:hint="eastAsia" w:ascii="宋体" w:hAnsi="宋体" w:eastAsia="宋体" w:cstheme="minorBidi"/>
          <w:kern w:val="2"/>
          <w:sz w:val="24"/>
          <w:szCs w:val="24"/>
          <w:lang w:val="en-US" w:eastAsia="zh-CN" w:bidi="ar-SA"/>
        </w:rPr>
        <w:t>有关投标文件的审查、澄清、评估和比较以及合同授予意向等情况</w:t>
      </w:r>
      <w:r>
        <w:rPr>
          <w:rFonts w:hint="eastAsia" w:cstheme="minorBidi"/>
          <w:kern w:val="2"/>
          <w:sz w:val="24"/>
          <w:szCs w:val="24"/>
          <w:lang w:val="en-US" w:eastAsia="zh-CN" w:bidi="ar-SA"/>
        </w:rPr>
        <w:t>均</w:t>
      </w:r>
      <w:r>
        <w:rPr>
          <w:rFonts w:hint="eastAsia" w:ascii="宋体" w:hAnsi="宋体" w:eastAsia="宋体" w:cstheme="minorBidi"/>
          <w:kern w:val="2"/>
          <w:sz w:val="24"/>
          <w:szCs w:val="24"/>
          <w:lang w:val="en-US" w:eastAsia="zh-CN" w:bidi="ar-SA"/>
        </w:rPr>
        <w:t>不得对外透露。</w:t>
      </w:r>
    </w:p>
    <w:p>
      <w:pPr>
        <w:pStyle w:val="47"/>
        <w:numPr>
          <w:ilvl w:val="2"/>
          <w:numId w:val="18"/>
        </w:numPr>
        <w:bidi w:val="0"/>
        <w:rPr>
          <w:rFonts w:hint="eastAsia"/>
          <w:lang w:val="en-US" w:eastAsia="zh-CN"/>
        </w:rPr>
      </w:pPr>
      <w:bookmarkStart w:id="789" w:name="_Toc9400"/>
      <w:r>
        <w:rPr>
          <w:rFonts w:hint="eastAsia"/>
          <w:lang w:val="en-US" w:eastAsia="zh-CN"/>
        </w:rPr>
        <w:t>回避</w:t>
      </w:r>
      <w:bookmarkEnd w:id="789"/>
    </w:p>
    <w:p>
      <w:pPr>
        <w:pStyle w:val="18"/>
        <w:widowControl w:val="0"/>
        <w:shd w:val="clear" w:color="auto" w:fill="FFFFFF"/>
        <w:spacing w:before="0" w:beforeAutospacing="0" w:after="0" w:afterAutospacing="0" w:line="360" w:lineRule="auto"/>
        <w:ind w:firstLine="480" w:firstLineChars="200"/>
        <w:jc w:val="both"/>
        <w:textAlignment w:val="center"/>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在政府采购活动中，采购人员及相关人员与供应商有下列利害关系之一的，应当回避：</w:t>
      </w:r>
    </w:p>
    <w:p>
      <w:pPr>
        <w:pStyle w:val="18"/>
        <w:widowControl w:val="0"/>
        <w:shd w:val="clear" w:color="auto" w:fill="FFFFFF"/>
        <w:spacing w:before="0" w:beforeAutospacing="0" w:after="0" w:afterAutospacing="0" w:line="360" w:lineRule="auto"/>
        <w:ind w:firstLine="480" w:firstLineChars="200"/>
        <w:jc w:val="both"/>
        <w:textAlignment w:val="center"/>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1.参加采购活动前3年内与供应商存在劳动关系；</w:t>
      </w:r>
    </w:p>
    <w:p>
      <w:pPr>
        <w:pStyle w:val="18"/>
        <w:widowControl w:val="0"/>
        <w:shd w:val="clear" w:color="auto" w:fill="FFFFFF"/>
        <w:spacing w:before="0" w:beforeAutospacing="0" w:after="0" w:afterAutospacing="0" w:line="360" w:lineRule="auto"/>
        <w:ind w:firstLine="480" w:firstLineChars="200"/>
        <w:jc w:val="both"/>
        <w:textAlignment w:val="center"/>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2.参加采购活动前3年内担任供应商的董事、监事；</w:t>
      </w:r>
    </w:p>
    <w:p>
      <w:pPr>
        <w:pStyle w:val="18"/>
        <w:widowControl w:val="0"/>
        <w:shd w:val="clear" w:color="auto" w:fill="FFFFFF"/>
        <w:spacing w:before="0" w:beforeAutospacing="0" w:after="0" w:afterAutospacing="0" w:line="360" w:lineRule="auto"/>
        <w:ind w:firstLine="480" w:firstLineChars="200"/>
        <w:jc w:val="both"/>
        <w:textAlignment w:val="center"/>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3.参加采购活动前3年内是供应商的控股股东或者实际控制人；</w:t>
      </w:r>
    </w:p>
    <w:p>
      <w:pPr>
        <w:pStyle w:val="18"/>
        <w:widowControl w:val="0"/>
        <w:shd w:val="clear" w:color="auto" w:fill="FFFFFF"/>
        <w:spacing w:before="0" w:beforeAutospacing="0" w:after="0" w:afterAutospacing="0" w:line="360" w:lineRule="auto"/>
        <w:ind w:firstLine="480" w:firstLineChars="200"/>
        <w:jc w:val="both"/>
        <w:textAlignment w:val="center"/>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4.与供应商的法定代表人或者负责人有夫妻、直系血亲、三代以内旁系血亲或者近姻亲关系；</w:t>
      </w:r>
    </w:p>
    <w:p>
      <w:pPr>
        <w:pStyle w:val="18"/>
        <w:widowControl w:val="0"/>
        <w:shd w:val="clear" w:color="auto" w:fill="FFFFFF"/>
        <w:spacing w:before="0" w:beforeAutospacing="0" w:after="0" w:afterAutospacing="0" w:line="360" w:lineRule="auto"/>
        <w:ind w:firstLine="480" w:firstLineChars="200"/>
        <w:jc w:val="both"/>
        <w:textAlignment w:val="center"/>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5.与供应商有其他可能影响政府采购活动公平、公正进行的关系。</w:t>
      </w:r>
    </w:p>
    <w:p>
      <w:pPr>
        <w:pStyle w:val="10"/>
        <w:keepNext w:val="0"/>
        <w:keepLines w:val="0"/>
        <w:pageBreakBefore w:val="0"/>
        <w:widowControl w:val="0"/>
        <w:numPr>
          <w:ilvl w:val="0"/>
          <w:numId w:val="0"/>
        </w:numPr>
        <w:tabs>
          <w:tab w:val="left" w:pos="1134"/>
          <w:tab w:val="clear" w:pos="0"/>
        </w:tabs>
        <w:kinsoku/>
        <w:wordWrap/>
        <w:overflowPunct/>
        <w:topLinePunct w:val="0"/>
        <w:autoSpaceDE/>
        <w:autoSpaceDN/>
        <w:bidi w:val="0"/>
        <w:adjustRightInd w:val="0"/>
        <w:snapToGrid w:val="0"/>
        <w:spacing w:after="0" w:line="440" w:lineRule="exact"/>
        <w:ind w:leftChars="0" w:firstLine="480" w:firstLineChars="200"/>
        <w:textAlignment w:val="auto"/>
        <w:rPr>
          <w:rFonts w:hint="default"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7"/>
        <w:numPr>
          <w:ilvl w:val="2"/>
          <w:numId w:val="18"/>
        </w:numPr>
        <w:bidi w:val="0"/>
        <w:rPr>
          <w:rFonts w:hint="eastAsia"/>
          <w:lang w:val="en-US" w:eastAsia="zh-CN"/>
        </w:rPr>
      </w:pPr>
      <w:bookmarkStart w:id="790" w:name="_Toc8525"/>
      <w:r>
        <w:rPr>
          <w:rFonts w:hint="eastAsia"/>
          <w:lang w:val="en-US" w:eastAsia="zh-CN"/>
        </w:rPr>
        <w:t>解释说明</w:t>
      </w:r>
      <w:bookmarkEnd w:id="790"/>
    </w:p>
    <w:p>
      <w:pPr>
        <w:pStyle w:val="30"/>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rPr>
      </w:pPr>
      <w:r>
        <w:rPr>
          <w:rFonts w:hint="eastAsia"/>
          <w:lang w:val="en-US" w:eastAsia="zh-CN"/>
        </w:rPr>
        <w:t>1.</w:t>
      </w:r>
      <w:r>
        <w:rPr>
          <w:rFonts w:hint="eastAsia"/>
        </w:rPr>
        <w:t>本</w:t>
      </w:r>
      <w:r>
        <w:rPr>
          <w:rFonts w:hint="eastAsia"/>
          <w:lang w:val="en-US" w:eastAsia="zh-CN"/>
        </w:rPr>
        <w:t>招标文件</w:t>
      </w:r>
      <w:r>
        <w:rPr>
          <w:rFonts w:hint="eastAsia"/>
        </w:rPr>
        <w:t>中作为实质性要求的内容，除明确要求</w:t>
      </w:r>
      <w:r>
        <w:rPr>
          <w:rFonts w:hint="eastAsia"/>
          <w:lang w:val="en-US" w:eastAsia="zh-CN"/>
        </w:rPr>
        <w:t>需在投标时</w:t>
      </w:r>
      <w:r>
        <w:rPr>
          <w:rFonts w:hint="eastAsia"/>
        </w:rPr>
        <w:t>提供承诺函等证明材料的外，采购人或采购代理机构或评标委员会在评审时，仅对投标文件是否违背实质性要求进行审查</w:t>
      </w:r>
      <w:r>
        <w:rPr>
          <w:rFonts w:hint="eastAsia"/>
          <w:lang w:eastAsia="zh-CN"/>
        </w:rPr>
        <w:t>，</w:t>
      </w:r>
      <w:r>
        <w:rPr>
          <w:rFonts w:hint="eastAsia"/>
          <w:lang w:val="en-US" w:eastAsia="zh-CN"/>
        </w:rPr>
        <w:t>如该项未</w:t>
      </w:r>
      <w:r>
        <w:rPr>
          <w:rFonts w:hint="eastAsia"/>
        </w:rPr>
        <w:t>违背实质性</w:t>
      </w:r>
      <w:r>
        <w:rPr>
          <w:rFonts w:hint="eastAsia"/>
          <w:lang w:val="en-US" w:eastAsia="zh-CN"/>
        </w:rPr>
        <w:t>要求，视为满足实质性要求</w:t>
      </w:r>
      <w:r>
        <w:rPr>
          <w:rFonts w:hint="eastAsia"/>
        </w:rPr>
        <w:t>。</w:t>
      </w:r>
    </w:p>
    <w:p>
      <w:pPr>
        <w:pStyle w:val="30"/>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rPr>
      </w:pPr>
      <w:r>
        <w:rPr>
          <w:rFonts w:hint="eastAsia"/>
          <w:lang w:val="en-US" w:eastAsia="zh-CN"/>
        </w:rPr>
        <w:t>2.</w:t>
      </w:r>
      <w:r>
        <w:rPr>
          <w:rFonts w:hint="eastAsia"/>
        </w:rPr>
        <w:t>本招标文件中所引</w:t>
      </w:r>
      <w:r>
        <w:rPr>
          <w:rFonts w:hint="eastAsia"/>
          <w:lang w:val="en-US" w:eastAsia="zh-CN"/>
        </w:rPr>
        <w:t>用的</w:t>
      </w:r>
      <w:r>
        <w:rPr>
          <w:rFonts w:hint="eastAsia"/>
        </w:rPr>
        <w:t>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按照变化后的相关法律制度规定执行，本招标文件不再做调整。</w:t>
      </w:r>
    </w:p>
    <w:p>
      <w:pPr>
        <w:pStyle w:val="30"/>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rPr>
      </w:pPr>
      <w:r>
        <w:rPr>
          <w:rFonts w:hint="eastAsia"/>
          <w:lang w:val="en-US" w:eastAsia="zh-CN"/>
        </w:rPr>
        <w:t>3.</w:t>
      </w:r>
      <w:r>
        <w:rPr>
          <w:rFonts w:hint="eastAsia"/>
        </w:rPr>
        <w:t>国家或行业主管部门对供应商和采购产品的技术标准、质量标准和资格资质条件等有强制性规定的，必须符合其要求</w:t>
      </w:r>
      <w:r>
        <w:rPr>
          <w:rFonts w:hint="eastAsia"/>
          <w:b/>
          <w:bCs/>
          <w:lang w:eastAsia="zh-CN"/>
        </w:rPr>
        <w:t>(</w:t>
      </w:r>
      <w:r>
        <w:rPr>
          <w:rFonts w:hint="eastAsia"/>
          <w:b/>
          <w:bCs/>
        </w:rPr>
        <w:t>实质性要求</w:t>
      </w:r>
      <w:r>
        <w:rPr>
          <w:rFonts w:hint="eastAsia"/>
          <w:b/>
          <w:bCs/>
          <w:lang w:eastAsia="zh-CN"/>
        </w:rPr>
        <w:t>)</w:t>
      </w:r>
      <w:r>
        <w:rPr>
          <w:rFonts w:hint="eastAsia"/>
        </w:rPr>
        <w:t>。</w:t>
      </w:r>
    </w:p>
    <w:p>
      <w:pPr>
        <w:pStyle w:val="30"/>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pPr>
      <w:r>
        <w:rPr>
          <w:rFonts w:hint="eastAsia" w:eastAsia="宋体"/>
          <w:lang w:val="en-US" w:eastAsia="zh-CN"/>
        </w:rPr>
        <w:t>4.</w:t>
      </w:r>
      <w:r>
        <w:rPr>
          <w:rFonts w:hint="eastAsia" w:ascii="宋体" w:hAnsi="宋体" w:eastAsia="宋体" w:cs="宋体"/>
          <w:sz w:val="24"/>
          <w:szCs w:val="24"/>
          <w:lang w:val="en-US" w:eastAsia="zh-CN"/>
        </w:rPr>
        <w:t>本项目涉及企业资质、产品认证、人员执业资格等描述与国家最新要求不一致时以最新要求为准。</w:t>
      </w:r>
    </w:p>
    <w:p>
      <w:pPr>
        <w:pStyle w:val="46"/>
        <w:numPr>
          <w:ilvl w:val="0"/>
          <w:numId w:val="12"/>
        </w:numPr>
        <w:bidi w:val="0"/>
        <w:rPr>
          <w:rFonts w:hint="eastAsia"/>
        </w:rPr>
      </w:pPr>
      <w:r>
        <w:rPr>
          <w:rFonts w:hint="eastAsia"/>
        </w:rPr>
        <w:br w:type="page"/>
      </w:r>
      <w:bookmarkEnd w:id="781"/>
      <w:bookmarkStart w:id="791" w:name="_Toc4206"/>
      <w:bookmarkStart w:id="792" w:name="_Toc29575"/>
      <w:bookmarkStart w:id="793" w:name="_Toc7604"/>
      <w:bookmarkStart w:id="794" w:name="_Toc31402"/>
      <w:bookmarkStart w:id="795" w:name="_Toc25961"/>
      <w:r>
        <w:rPr>
          <w:rFonts w:hint="eastAsia"/>
        </w:rPr>
        <w:t>投标文件格式</w:t>
      </w:r>
      <w:bookmarkEnd w:id="791"/>
      <w:bookmarkEnd w:id="792"/>
      <w:bookmarkEnd w:id="793"/>
      <w:bookmarkEnd w:id="794"/>
      <w:bookmarkEnd w:id="795"/>
    </w:p>
    <w:p>
      <w:pPr>
        <w:pStyle w:val="48"/>
        <w:bidi w:val="0"/>
        <w:rPr>
          <w:rFonts w:hint="eastAsia"/>
        </w:rPr>
      </w:pPr>
      <w:bookmarkStart w:id="796" w:name="_Toc182759327"/>
      <w:bookmarkStart w:id="797" w:name="_Toc211218954"/>
      <w:bookmarkStart w:id="798" w:name="_Toc439161746"/>
      <w:bookmarkStart w:id="799" w:name="_Toc182629023"/>
      <w:bookmarkStart w:id="800" w:name="_Toc287367101"/>
      <w:bookmarkStart w:id="801" w:name="_Toc16460"/>
      <w:bookmarkStart w:id="802" w:name="_Toc316462354"/>
      <w:bookmarkStart w:id="803" w:name="_Toc294688711"/>
      <w:bookmarkStart w:id="804" w:name="_Toc295978802"/>
      <w:bookmarkStart w:id="805" w:name="_Toc294701519"/>
      <w:r>
        <w:rPr>
          <w:rFonts w:hint="eastAsia"/>
        </w:rPr>
        <w:t>一、本章所制</w:t>
      </w:r>
      <w:r>
        <w:rPr>
          <w:rFonts w:hint="eastAsia"/>
          <w:lang w:val="en-US" w:eastAsia="zh-CN"/>
        </w:rPr>
        <w:t>投标</w:t>
      </w:r>
      <w:r>
        <w:rPr>
          <w:rFonts w:hint="eastAsia"/>
        </w:rPr>
        <w:t>文件格式，除格式中明确将该格式作为实质性要求的，一律不具有强制性。</w:t>
      </w:r>
    </w:p>
    <w:p>
      <w:pPr>
        <w:pStyle w:val="48"/>
        <w:bidi w:val="0"/>
        <w:rPr>
          <w:rFonts w:hint="eastAsia"/>
        </w:rPr>
      </w:pPr>
      <w:r>
        <w:rPr>
          <w:rFonts w:hint="eastAsia"/>
        </w:rPr>
        <w:t>二、本章所制</w:t>
      </w:r>
      <w:r>
        <w:rPr>
          <w:rFonts w:hint="eastAsia"/>
          <w:lang w:val="en-US" w:eastAsia="zh-CN"/>
        </w:rPr>
        <w:t>投标</w:t>
      </w:r>
      <w:r>
        <w:rPr>
          <w:rFonts w:hint="eastAsia"/>
        </w:rPr>
        <w:t>文件格式有关表格中的备注栏，由</w:t>
      </w:r>
      <w:r>
        <w:rPr>
          <w:rFonts w:hint="eastAsia"/>
          <w:lang w:val="en-US" w:eastAsia="zh-CN"/>
        </w:rPr>
        <w:t>投标人</w:t>
      </w:r>
      <w:r>
        <w:rPr>
          <w:rFonts w:hint="eastAsia"/>
        </w:rPr>
        <w:t>根据自身</w:t>
      </w:r>
      <w:r>
        <w:rPr>
          <w:rFonts w:hint="eastAsia"/>
          <w:lang w:val="en-US" w:eastAsia="zh-CN"/>
        </w:rPr>
        <w:t>投标</w:t>
      </w:r>
      <w:r>
        <w:rPr>
          <w:rFonts w:hint="eastAsia"/>
        </w:rPr>
        <w:t>情况作解释性说明，不作为必填项。</w:t>
      </w:r>
    </w:p>
    <w:p>
      <w:pPr>
        <w:pStyle w:val="48"/>
        <w:bidi w:val="0"/>
        <w:rPr>
          <w:rFonts w:hint="eastAsia"/>
        </w:rPr>
      </w:pPr>
      <w:r>
        <w:rPr>
          <w:rFonts w:hint="eastAsia"/>
          <w:lang w:val="en-US" w:eastAsia="zh-CN"/>
        </w:rPr>
        <w:t>三、本章</w:t>
      </w:r>
      <w:r>
        <w:rPr>
          <w:rFonts w:hint="eastAsia"/>
        </w:rPr>
        <w:t>格式中“注”的内容，</w:t>
      </w:r>
      <w:r>
        <w:rPr>
          <w:rFonts w:hint="eastAsia"/>
          <w:lang w:val="en-US" w:eastAsia="zh-CN"/>
        </w:rPr>
        <w:t>供应商</w:t>
      </w:r>
      <w:r>
        <w:rPr>
          <w:rFonts w:hint="eastAsia"/>
        </w:rPr>
        <w:t>可自行决定是否保留在</w:t>
      </w:r>
      <w:r>
        <w:rPr>
          <w:rFonts w:hint="eastAsia"/>
          <w:lang w:val="en-US" w:eastAsia="zh-CN"/>
        </w:rPr>
        <w:t>投标</w:t>
      </w:r>
      <w:r>
        <w:rPr>
          <w:rFonts w:hint="eastAsia"/>
        </w:rPr>
        <w:t>文件中，未保留的视为</w:t>
      </w:r>
      <w:r>
        <w:rPr>
          <w:rFonts w:hint="eastAsia"/>
          <w:lang w:val="en-US" w:eastAsia="zh-CN"/>
        </w:rPr>
        <w:t>供应商</w:t>
      </w:r>
      <w:r>
        <w:rPr>
          <w:rFonts w:hint="eastAsia"/>
        </w:rPr>
        <w:t>默认接受“注”的内容</w:t>
      </w:r>
      <w:r>
        <w:rPr>
          <w:rFonts w:hint="eastAsia"/>
          <w:lang w:eastAsia="zh-CN"/>
        </w:rPr>
        <w:t>。</w:t>
      </w:r>
    </w:p>
    <w:p>
      <w:pPr>
        <w:pStyle w:val="48"/>
        <w:bidi w:val="0"/>
        <w:rPr>
          <w:rFonts w:hint="eastAsia"/>
        </w:rPr>
      </w:pPr>
      <w:r>
        <w:rPr>
          <w:rFonts w:hint="eastAsia"/>
          <w:lang w:val="en-US" w:eastAsia="zh-CN"/>
        </w:rPr>
        <w:t>四</w:t>
      </w:r>
      <w:r>
        <w:rPr>
          <w:rFonts w:hint="eastAsia"/>
        </w:rPr>
        <w:t>、本章所制</w:t>
      </w:r>
      <w:r>
        <w:rPr>
          <w:rFonts w:hint="eastAsia"/>
          <w:lang w:val="en-US" w:eastAsia="zh-CN"/>
        </w:rPr>
        <w:t>投标</w:t>
      </w:r>
      <w:r>
        <w:rPr>
          <w:rFonts w:hint="eastAsia"/>
        </w:rPr>
        <w:t>文件格式中需要填写的相关内容事项，可能会与本采购项目无关，在不改变</w:t>
      </w:r>
      <w:r>
        <w:rPr>
          <w:rFonts w:hint="eastAsia"/>
          <w:lang w:val="en-US" w:eastAsia="zh-CN"/>
        </w:rPr>
        <w:t>投标文件</w:t>
      </w:r>
      <w:r>
        <w:rPr>
          <w:rFonts w:hint="eastAsia"/>
        </w:rPr>
        <w:t>原义、不影响本项目采购需求的情况下，</w:t>
      </w:r>
      <w:r>
        <w:rPr>
          <w:rFonts w:hint="eastAsia"/>
          <w:lang w:val="en-US" w:eastAsia="zh-CN"/>
        </w:rPr>
        <w:t>投标人</w:t>
      </w:r>
      <w:r>
        <w:rPr>
          <w:rFonts w:hint="eastAsia"/>
        </w:rPr>
        <w:t>可以不予填写，但应当注明。</w:t>
      </w:r>
    </w:p>
    <w:p>
      <w:pPr>
        <w:pStyle w:val="40"/>
        <w:bidi w:val="0"/>
        <w:rPr>
          <w:rFonts w:hint="eastAsia"/>
        </w:rPr>
      </w:pPr>
      <w:r>
        <w:rPr>
          <w:rFonts w:hint="eastAsia"/>
        </w:rPr>
        <w:br w:type="page"/>
      </w:r>
    </w:p>
    <w:p>
      <w:pPr>
        <w:pStyle w:val="31"/>
        <w:bidi w:val="0"/>
        <w:rPr>
          <w:rFonts w:hint="eastAsia"/>
        </w:rPr>
      </w:pPr>
      <w:r>
        <w:rPr>
          <w:rFonts w:hint="eastAsia"/>
        </w:rPr>
        <w:t>附件：密封袋的格式</w:t>
      </w:r>
    </w:p>
    <w:p>
      <w:pPr>
        <w:pStyle w:val="31"/>
        <w:bidi w:val="0"/>
        <w:rPr>
          <w:rFonts w:hint="eastAsia"/>
        </w:rPr>
      </w:pPr>
    </w:p>
    <w:p>
      <w:pPr>
        <w:pStyle w:val="31"/>
        <w:bidi w:val="0"/>
        <w:rPr>
          <w:rFonts w:hint="eastAsia"/>
        </w:rPr>
      </w:pPr>
    </w:p>
    <w:p>
      <w:pPr>
        <w:pStyle w:val="31"/>
        <w:bidi w:val="0"/>
        <w:rPr>
          <w:rFonts w:hint="eastAsia"/>
        </w:rPr>
      </w:pPr>
    </w:p>
    <w:tbl>
      <w:tblPr>
        <w:tblStyle w:val="20"/>
        <w:tblW w:w="97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0" w:hRule="atLeast"/>
          <w:jc w:val="center"/>
        </w:trPr>
        <w:tc>
          <w:tcPr>
            <w:tcW w:w="9720" w:type="dxa"/>
            <w:tcBorders>
              <w:top w:val="single" w:color="000000" w:sz="4" w:space="0"/>
              <w:left w:val="single" w:color="000000" w:sz="4" w:space="0"/>
              <w:bottom w:val="single" w:color="000000" w:sz="4" w:space="0"/>
              <w:right w:val="single" w:color="000000" w:sz="4" w:space="0"/>
            </w:tcBorders>
            <w:vAlign w:val="top"/>
          </w:tcPr>
          <w:p>
            <w:pPr>
              <w:pStyle w:val="31"/>
              <w:bidi w:val="0"/>
              <w:rPr>
                <w:rFonts w:hint="eastAsia"/>
              </w:rPr>
            </w:pPr>
          </w:p>
          <w:p>
            <w:pPr>
              <w:pStyle w:val="31"/>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rPr>
            </w:pPr>
            <w:r>
              <w:rPr>
                <w:rFonts w:hint="eastAsia"/>
              </w:rPr>
              <w:t>项目编号：</w:t>
            </w:r>
            <w:r>
              <w:rPr>
                <w:rFonts w:hint="eastAsia" w:asciiTheme="minorEastAsia" w:hAnsiTheme="minorEastAsia" w:eastAsiaTheme="minorEastAsia" w:cstheme="minorEastAsia"/>
                <w:color w:val="auto"/>
                <w:sz w:val="24"/>
                <w:highlight w:val="none"/>
                <w:u w:val="single"/>
              </w:rPr>
              <w:t xml:space="preserve">                   </w:t>
            </w:r>
            <w:r>
              <w:rPr>
                <w:rFonts w:hint="eastAsia"/>
              </w:rPr>
              <w:t xml:space="preserve">                   </w:t>
            </w:r>
          </w:p>
          <w:p>
            <w:pPr>
              <w:pStyle w:val="31"/>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rPr>
            </w:pPr>
            <w:r>
              <w:rPr>
                <w:rFonts w:hint="eastAsia"/>
              </w:rPr>
              <w:t>项目名称</w:t>
            </w:r>
            <w:r>
              <w:rPr>
                <w:rFonts w:hint="eastAsia"/>
                <w:lang w:eastAsia="zh-CN"/>
              </w:rPr>
              <w:t>：</w:t>
            </w:r>
            <w:r>
              <w:rPr>
                <w:rFonts w:hint="eastAsia" w:asciiTheme="minorEastAsia" w:hAnsiTheme="minorEastAsia" w:eastAsiaTheme="minorEastAsia" w:cstheme="minorEastAsia"/>
                <w:color w:val="auto"/>
                <w:sz w:val="24"/>
                <w:highlight w:val="none"/>
                <w:u w:val="single"/>
              </w:rPr>
              <w:t xml:space="preserve">                   </w:t>
            </w:r>
            <w:r>
              <w:rPr>
                <w:rFonts w:hint="eastAsia"/>
              </w:rPr>
              <w:t xml:space="preserve">                   </w:t>
            </w:r>
          </w:p>
          <w:p>
            <w:pPr>
              <w:pStyle w:val="31"/>
              <w:bidi w:val="0"/>
              <w:rPr>
                <w:rFonts w:hint="eastAsia"/>
              </w:rPr>
            </w:pPr>
          </w:p>
          <w:p>
            <w:pPr>
              <w:pStyle w:val="31"/>
              <w:bidi w:val="0"/>
              <w:jc w:val="center"/>
              <w:rPr>
                <w:rFonts w:hint="eastAsia"/>
                <w:b/>
                <w:bCs/>
                <w:sz w:val="32"/>
                <w:szCs w:val="32"/>
              </w:rPr>
            </w:pPr>
            <w:r>
              <w:rPr>
                <w:rFonts w:hint="eastAsia"/>
                <w:b/>
                <w:bCs/>
                <w:sz w:val="32"/>
                <w:szCs w:val="32"/>
                <w:lang w:eastAsia="zh-CN"/>
              </w:rPr>
              <w:t>资格、资质性及其他类似效力投标文件</w:t>
            </w:r>
            <w:r>
              <w:rPr>
                <w:rFonts w:hint="eastAsia"/>
                <w:b/>
                <w:bCs/>
                <w:sz w:val="32"/>
                <w:szCs w:val="32"/>
                <w:lang w:val="en-US" w:eastAsia="zh-CN"/>
              </w:rPr>
              <w:t>/</w:t>
            </w:r>
            <w:r>
              <w:rPr>
                <w:rFonts w:hint="eastAsia"/>
                <w:b/>
                <w:bCs/>
                <w:sz w:val="32"/>
                <w:szCs w:val="32"/>
              </w:rPr>
              <w:t>其他</w:t>
            </w:r>
            <w:r>
              <w:rPr>
                <w:rFonts w:hint="eastAsia"/>
                <w:b/>
                <w:bCs/>
                <w:sz w:val="32"/>
                <w:szCs w:val="32"/>
                <w:lang w:val="en-US" w:eastAsia="zh-CN"/>
              </w:rPr>
              <w:t>投标</w:t>
            </w:r>
            <w:r>
              <w:rPr>
                <w:rFonts w:hint="eastAsia"/>
                <w:b/>
                <w:bCs/>
                <w:sz w:val="32"/>
                <w:szCs w:val="32"/>
              </w:rPr>
              <w:t>文件</w:t>
            </w:r>
          </w:p>
          <w:p>
            <w:pPr>
              <w:pStyle w:val="31"/>
              <w:bidi w:val="0"/>
              <w:jc w:val="center"/>
              <w:rPr>
                <w:rFonts w:hint="eastAsia"/>
                <w:b/>
                <w:bCs/>
                <w:sz w:val="32"/>
                <w:szCs w:val="32"/>
              </w:rPr>
            </w:pPr>
            <w:r>
              <w:rPr>
                <w:rFonts w:hint="eastAsia"/>
                <w:b/>
                <w:bCs/>
                <w:sz w:val="32"/>
                <w:szCs w:val="32"/>
                <w:lang w:val="en-US" w:eastAsia="zh-CN"/>
              </w:rPr>
              <w:t>/开标一览表</w:t>
            </w:r>
          </w:p>
          <w:p>
            <w:pPr>
              <w:pStyle w:val="31"/>
              <w:bidi w:val="0"/>
              <w:rPr>
                <w:rFonts w:hint="eastAsia"/>
              </w:rPr>
            </w:pPr>
          </w:p>
          <w:p>
            <w:pPr>
              <w:pStyle w:val="31"/>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rPr>
            </w:pPr>
            <w:r>
              <w:rPr>
                <w:rFonts w:hint="eastAsia"/>
                <w:lang w:val="en-US" w:eastAsia="zh-CN"/>
              </w:rPr>
              <w:t>投标人</w:t>
            </w:r>
            <w:r>
              <w:rPr>
                <w:rFonts w:hint="eastAsia"/>
              </w:rPr>
              <w:t>名称</w:t>
            </w:r>
            <w:r>
              <w:rPr>
                <w:rFonts w:hint="eastAsia"/>
                <w:lang w:eastAsia="zh-CN"/>
              </w:rPr>
              <w:t>：</w:t>
            </w:r>
            <w:r>
              <w:rPr>
                <w:rFonts w:hint="eastAsia" w:asciiTheme="minorEastAsia" w:hAnsiTheme="minorEastAsia" w:eastAsiaTheme="minorEastAsia" w:cstheme="minorEastAsia"/>
                <w:color w:val="auto"/>
                <w:sz w:val="24"/>
                <w:highlight w:val="none"/>
                <w:u w:val="single"/>
              </w:rPr>
              <w:t xml:space="preserve">                 </w:t>
            </w:r>
            <w:r>
              <w:rPr>
                <w:rFonts w:hint="eastAsia"/>
              </w:rPr>
              <w:t xml:space="preserve">                 </w:t>
            </w:r>
          </w:p>
          <w:p>
            <w:pPr>
              <w:pStyle w:val="31"/>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rPr>
            </w:pPr>
            <w:r>
              <w:rPr>
                <w:rFonts w:hint="eastAsia"/>
                <w:lang w:val="en-US" w:eastAsia="zh-CN"/>
              </w:rPr>
              <w:t>投标日期</w:t>
            </w:r>
            <w:r>
              <w:rPr>
                <w:rFonts w:hint="eastAsia"/>
              </w:rPr>
              <w:t>：</w:t>
            </w:r>
            <w:r>
              <w:rPr>
                <w:rFonts w:hint="eastAsia" w:asciiTheme="minorEastAsia" w:hAnsiTheme="minorEastAsia" w:eastAsiaTheme="minorEastAsia" w:cstheme="minorEastAsia"/>
                <w:color w:val="auto"/>
                <w:sz w:val="24"/>
                <w:highlight w:val="none"/>
                <w:u w:val="single"/>
              </w:rPr>
              <w:t xml:space="preserve">                   </w:t>
            </w:r>
            <w:r>
              <w:rPr>
                <w:rFonts w:hint="eastAsia"/>
              </w:rPr>
              <w:t xml:space="preserve">                   </w:t>
            </w:r>
          </w:p>
          <w:p>
            <w:pPr>
              <w:pStyle w:val="31"/>
              <w:bidi w:val="0"/>
              <w:rPr>
                <w:rFonts w:hint="eastAsia"/>
              </w:rPr>
            </w:pPr>
          </w:p>
        </w:tc>
      </w:tr>
    </w:tbl>
    <w:p>
      <w:pPr>
        <w:pStyle w:val="31"/>
        <w:bidi w:val="0"/>
        <w:rPr>
          <w:rFonts w:hint="eastAsia"/>
          <w:lang w:val="en-US" w:eastAsia="zh-CN"/>
        </w:rPr>
      </w:pPr>
      <w:bookmarkStart w:id="806" w:name="_Toc6994"/>
      <w:bookmarkStart w:id="807" w:name="_Toc11581"/>
      <w:r>
        <w:rPr>
          <w:rFonts w:hint="eastAsia"/>
          <w:lang w:val="en-US" w:eastAsia="zh-CN"/>
        </w:rPr>
        <w:br w:type="page"/>
      </w:r>
    </w:p>
    <w:p>
      <w:pPr>
        <w:pStyle w:val="31"/>
        <w:bidi w:val="0"/>
        <w:rPr>
          <w:rFonts w:hint="eastAsia"/>
          <w:lang w:val="en-US" w:eastAsia="zh-CN"/>
        </w:rPr>
      </w:pPr>
      <w:r>
        <w:rPr>
          <w:rFonts w:hint="eastAsia"/>
          <w:lang w:val="en-US" w:eastAsia="zh-CN"/>
        </w:rPr>
        <w:t>投标文件封面格式</w:t>
      </w:r>
      <w:bookmarkEnd w:id="796"/>
      <w:bookmarkEnd w:id="797"/>
      <w:bookmarkEnd w:id="798"/>
      <w:bookmarkEnd w:id="799"/>
      <w:bookmarkEnd w:id="800"/>
      <w:bookmarkEnd w:id="801"/>
      <w:bookmarkEnd w:id="802"/>
      <w:bookmarkEnd w:id="803"/>
      <w:bookmarkEnd w:id="804"/>
      <w:bookmarkEnd w:id="805"/>
      <w:bookmarkEnd w:id="806"/>
      <w:bookmarkEnd w:id="807"/>
    </w:p>
    <w:p>
      <w:pPr>
        <w:pStyle w:val="31"/>
        <w:bidi w:val="0"/>
        <w:rPr>
          <w:rFonts w:hint="eastAsia"/>
        </w:rPr>
      </w:pPr>
      <w:r>
        <w:rPr>
          <w:rFonts w:hint="eastAsia"/>
          <w:lang w:val="zh-CN" w:eastAsia="zh-CN"/>
        </w:rPr>
        <mc:AlternateContent>
          <mc:Choice Requires="wps">
            <w:drawing>
              <wp:anchor distT="0" distB="0" distL="114300" distR="114300" simplePos="0" relativeHeight="251660288" behindDoc="0" locked="0" layoutInCell="1" allowOverlap="1">
                <wp:simplePos x="0" y="0"/>
                <wp:positionH relativeFrom="column">
                  <wp:posOffset>4055745</wp:posOffset>
                </wp:positionH>
                <wp:positionV relativeFrom="paragraph">
                  <wp:posOffset>169545</wp:posOffset>
                </wp:positionV>
                <wp:extent cx="1137285" cy="331470"/>
                <wp:effectExtent l="4445" t="4445" r="16510" b="14605"/>
                <wp:wrapNone/>
                <wp:docPr id="5" name="矩形 5"/>
                <wp:cNvGraphicFramePr/>
                <a:graphic xmlns:a="http://schemas.openxmlformats.org/drawingml/2006/main">
                  <a:graphicData uri="http://schemas.microsoft.com/office/word/2010/wordprocessingShape">
                    <wps:wsp>
                      <wps:cNvSpPr/>
                      <wps:spPr>
                        <a:xfrm>
                          <a:off x="0" y="0"/>
                          <a:ext cx="1137285" cy="331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b/>
                                <w:sz w:val="28"/>
                                <w:szCs w:val="28"/>
                              </w:rPr>
                            </w:pPr>
                            <w:r>
                              <w:rPr>
                                <w:rFonts w:hint="eastAsia" w:ascii="宋体" w:hAnsi="宋体" w:eastAsia="宋体" w:cs="宋体"/>
                                <w:b/>
                                <w:sz w:val="28"/>
                                <w:szCs w:val="28"/>
                              </w:rPr>
                              <w:t>正本或副本</w:t>
                            </w:r>
                          </w:p>
                        </w:txbxContent>
                      </wps:txbx>
                      <wps:bodyPr upright="1">
                        <a:spAutoFit/>
                      </wps:bodyPr>
                    </wps:wsp>
                  </a:graphicData>
                </a:graphic>
              </wp:anchor>
            </w:drawing>
          </mc:Choice>
          <mc:Fallback>
            <w:pict>
              <v:rect id="_x0000_s1026" o:spid="_x0000_s1026" o:spt="1" style="position:absolute;left:0pt;margin-left:319.35pt;margin-top:13.35pt;height:26.1pt;width:89.55pt;z-index:251660288;mso-width-relative:page;mso-height-relative:page;" fillcolor="#FFFFFF" filled="t" stroked="t" coordsize="21600,21600" o:gfxdata="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9aPlZ1wAAAAkBAAAPAAAAAAAAAAEAIAAA&#10;ACIAAABkcnMvZG93bnJldi54bWxQSwECFAAUAAAACACHTuJAYguHLg0CAABDBAAADgAAAAAAAAAB&#10;ACAAAAAmAQAAZHJzL2Uyb0RvYy54bWxQSwUGAAAAAAYABgBZAQAApQUAAAAA&#10;">
                <v:fill on="t" focussize="0,0"/>
                <v:stroke color="#000000" joinstyle="miter"/>
                <v:imagedata o:title=""/>
                <o:lock v:ext="edit" aspectratio="f"/>
                <v:textbox style="mso-fit-shape-to-text:t;">
                  <w:txbxContent>
                    <w:p>
                      <w:pPr>
                        <w:rPr>
                          <w:rFonts w:hint="eastAsia" w:ascii="宋体" w:hAnsi="宋体" w:eastAsia="宋体" w:cs="宋体"/>
                          <w:b/>
                          <w:sz w:val="28"/>
                          <w:szCs w:val="28"/>
                        </w:rPr>
                      </w:pPr>
                      <w:r>
                        <w:rPr>
                          <w:rFonts w:hint="eastAsia" w:ascii="宋体" w:hAnsi="宋体" w:eastAsia="宋体" w:cs="宋体"/>
                          <w:b/>
                          <w:sz w:val="28"/>
                          <w:szCs w:val="28"/>
                        </w:rPr>
                        <w:t>正本或副本</w:t>
                      </w:r>
                    </w:p>
                  </w:txbxContent>
                </v:textbox>
              </v:rect>
            </w:pict>
          </mc:Fallback>
        </mc:AlternateContent>
      </w:r>
    </w:p>
    <w:p>
      <w:pPr>
        <w:pStyle w:val="31"/>
        <w:bidi w:val="0"/>
        <w:rPr>
          <w:rFonts w:hint="eastAsia"/>
        </w:rPr>
      </w:pPr>
    </w:p>
    <w:p>
      <w:pPr>
        <w:pStyle w:val="31"/>
        <w:bidi w:val="0"/>
        <w:rPr>
          <w:rFonts w:hint="eastAsia"/>
        </w:rPr>
      </w:pPr>
    </w:p>
    <w:p>
      <w:pPr>
        <w:pStyle w:val="31"/>
        <w:bidi w:val="0"/>
        <w:rPr>
          <w:rFonts w:hint="eastAsia"/>
        </w:rPr>
      </w:pPr>
    </w:p>
    <w:p>
      <w:pPr>
        <w:pStyle w:val="31"/>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sz w:val="48"/>
          <w:szCs w:val="48"/>
          <w:lang w:eastAsia="zh-CN"/>
        </w:rPr>
      </w:pPr>
    </w:p>
    <w:p>
      <w:pPr>
        <w:pStyle w:val="31"/>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sz w:val="48"/>
          <w:szCs w:val="48"/>
          <w:lang w:eastAsia="zh-CN"/>
        </w:rPr>
      </w:pPr>
      <w:r>
        <w:rPr>
          <w:rFonts w:hint="eastAsia"/>
          <w:b/>
          <w:bCs/>
          <w:sz w:val="48"/>
          <w:szCs w:val="48"/>
          <w:lang w:eastAsia="zh-CN"/>
        </w:rPr>
        <w:t>资格、资质性及其他类似效力投标文件</w:t>
      </w:r>
    </w:p>
    <w:p>
      <w:pPr>
        <w:pStyle w:val="31"/>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sz w:val="48"/>
          <w:szCs w:val="48"/>
        </w:rPr>
      </w:pPr>
      <w:r>
        <w:rPr>
          <w:rFonts w:hint="eastAsia"/>
          <w:b/>
          <w:bCs/>
          <w:sz w:val="48"/>
          <w:szCs w:val="48"/>
          <w:lang w:val="en-US" w:eastAsia="zh-CN"/>
        </w:rPr>
        <w:t>/</w:t>
      </w:r>
      <w:r>
        <w:rPr>
          <w:rFonts w:hint="eastAsia"/>
          <w:b/>
          <w:bCs/>
          <w:sz w:val="48"/>
          <w:szCs w:val="48"/>
        </w:rPr>
        <w:t>其他</w:t>
      </w:r>
      <w:r>
        <w:rPr>
          <w:rFonts w:hint="eastAsia"/>
          <w:b/>
          <w:bCs/>
          <w:sz w:val="48"/>
          <w:szCs w:val="48"/>
          <w:lang w:val="en-US" w:eastAsia="zh-CN"/>
        </w:rPr>
        <w:t>投标</w:t>
      </w:r>
      <w:r>
        <w:rPr>
          <w:rFonts w:hint="eastAsia"/>
          <w:b/>
          <w:bCs/>
          <w:sz w:val="48"/>
          <w:szCs w:val="48"/>
        </w:rPr>
        <w:t>文件</w:t>
      </w:r>
    </w:p>
    <w:p>
      <w:pPr>
        <w:pStyle w:val="31"/>
        <w:bidi w:val="0"/>
        <w:rPr>
          <w:rFonts w:hint="eastAsia"/>
        </w:rPr>
      </w:pPr>
    </w:p>
    <w:p>
      <w:pPr>
        <w:pStyle w:val="31"/>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sz w:val="32"/>
          <w:szCs w:val="32"/>
        </w:rPr>
      </w:pPr>
    </w:p>
    <w:p>
      <w:pPr>
        <w:pStyle w:val="31"/>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sz w:val="32"/>
          <w:szCs w:val="32"/>
        </w:rPr>
      </w:pPr>
    </w:p>
    <w:p>
      <w:pPr>
        <w:pStyle w:val="31"/>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sz w:val="32"/>
          <w:szCs w:val="32"/>
        </w:rPr>
      </w:pPr>
    </w:p>
    <w:p>
      <w:pPr>
        <w:pStyle w:val="31"/>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sz w:val="32"/>
          <w:szCs w:val="32"/>
        </w:rPr>
      </w:pPr>
    </w:p>
    <w:p>
      <w:pPr>
        <w:pStyle w:val="31"/>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sz w:val="32"/>
          <w:szCs w:val="32"/>
        </w:rPr>
      </w:pPr>
      <w:r>
        <w:rPr>
          <w:rFonts w:hint="eastAsia"/>
          <w:b/>
          <w:bCs/>
          <w:sz w:val="32"/>
          <w:szCs w:val="32"/>
        </w:rPr>
        <w:t>项目名称：</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sz w:val="32"/>
          <w:szCs w:val="32"/>
        </w:rPr>
        <w:t xml:space="preserve">                      </w:t>
      </w:r>
    </w:p>
    <w:p>
      <w:pPr>
        <w:pStyle w:val="31"/>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sz w:val="32"/>
          <w:szCs w:val="32"/>
        </w:rPr>
      </w:pPr>
      <w:r>
        <w:rPr>
          <w:rFonts w:hint="eastAsia"/>
          <w:b/>
          <w:bCs/>
          <w:sz w:val="32"/>
          <w:szCs w:val="32"/>
        </w:rPr>
        <w:t>项目编号：</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sz w:val="32"/>
          <w:szCs w:val="32"/>
        </w:rPr>
        <w:t xml:space="preserve">                      </w:t>
      </w:r>
    </w:p>
    <w:p>
      <w:pPr>
        <w:pStyle w:val="31"/>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sz w:val="32"/>
          <w:szCs w:val="32"/>
        </w:rPr>
      </w:pPr>
      <w:r>
        <w:rPr>
          <w:rFonts w:hint="eastAsia"/>
          <w:b/>
          <w:bCs/>
          <w:sz w:val="32"/>
          <w:szCs w:val="32"/>
        </w:rPr>
        <w:t>投标人名称：</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sz w:val="32"/>
          <w:szCs w:val="32"/>
        </w:rPr>
        <w:t xml:space="preserve">          </w:t>
      </w:r>
      <w:r>
        <w:rPr>
          <w:rFonts w:hint="eastAsia"/>
          <w:b/>
          <w:bCs/>
          <w:sz w:val="32"/>
          <w:szCs w:val="32"/>
          <w:lang w:val="en-US" w:eastAsia="zh-CN"/>
        </w:rPr>
        <w:t xml:space="preserve"> </w:t>
      </w:r>
      <w:r>
        <w:rPr>
          <w:rFonts w:hint="eastAsia"/>
          <w:b/>
          <w:bCs/>
          <w:sz w:val="32"/>
          <w:szCs w:val="32"/>
        </w:rPr>
        <w:t xml:space="preserve">     </w:t>
      </w:r>
    </w:p>
    <w:p>
      <w:pPr>
        <w:pStyle w:val="31"/>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sz w:val="32"/>
          <w:szCs w:val="32"/>
        </w:rPr>
      </w:pPr>
      <w:r>
        <w:rPr>
          <w:rFonts w:hint="eastAsia"/>
          <w:b/>
          <w:bCs/>
          <w:sz w:val="32"/>
          <w:szCs w:val="32"/>
        </w:rPr>
        <w:t>投标日期：</w:t>
      </w:r>
      <w:r>
        <w:rPr>
          <w:rFonts w:hint="eastAsia"/>
          <w:b/>
          <w:bCs/>
          <w:sz w:val="32"/>
          <w:szCs w:val="32"/>
          <w:u w:val="single"/>
        </w:rPr>
        <w:t xml:space="preserve">   </w:t>
      </w:r>
      <w:r>
        <w:rPr>
          <w:rFonts w:hint="eastAsia"/>
          <w:b/>
          <w:bCs/>
          <w:sz w:val="32"/>
          <w:szCs w:val="32"/>
          <w:u w:val="single"/>
          <w:lang w:val="en-US" w:eastAsia="zh-CN"/>
        </w:rPr>
        <w:t xml:space="preserve">  </w:t>
      </w:r>
      <w:r>
        <w:rPr>
          <w:rFonts w:hint="eastAsia"/>
          <w:b/>
          <w:bCs/>
          <w:sz w:val="32"/>
          <w:szCs w:val="32"/>
          <w:u w:val="single"/>
        </w:rPr>
        <w:t xml:space="preserve"> </w:t>
      </w:r>
      <w:r>
        <w:rPr>
          <w:rFonts w:hint="eastAsia"/>
          <w:b/>
          <w:bCs/>
          <w:sz w:val="32"/>
          <w:szCs w:val="32"/>
        </w:rPr>
        <w:t>年</w:t>
      </w:r>
      <w:r>
        <w:rPr>
          <w:rFonts w:hint="eastAsia"/>
          <w:b/>
          <w:bCs/>
          <w:sz w:val="32"/>
          <w:szCs w:val="32"/>
          <w:u w:val="single"/>
        </w:rPr>
        <w:t xml:space="preserve">    </w:t>
      </w:r>
      <w:r>
        <w:rPr>
          <w:rFonts w:hint="eastAsia"/>
          <w:b/>
          <w:bCs/>
          <w:sz w:val="32"/>
          <w:szCs w:val="32"/>
        </w:rPr>
        <w:t>月</w:t>
      </w:r>
      <w:r>
        <w:rPr>
          <w:rFonts w:hint="eastAsia"/>
          <w:b/>
          <w:bCs/>
          <w:sz w:val="32"/>
          <w:szCs w:val="32"/>
          <w:u w:val="single"/>
        </w:rPr>
        <w:t xml:space="preserve">    </w:t>
      </w:r>
      <w:r>
        <w:rPr>
          <w:rFonts w:hint="eastAsia"/>
          <w:b/>
          <w:bCs/>
          <w:sz w:val="32"/>
          <w:szCs w:val="32"/>
        </w:rPr>
        <w:t>日</w:t>
      </w:r>
    </w:p>
    <w:p>
      <w:pPr>
        <w:pStyle w:val="40"/>
        <w:bidi w:val="0"/>
        <w:rPr>
          <w:rFonts w:hint="eastAsia"/>
        </w:rPr>
      </w:pPr>
      <w:bookmarkStart w:id="808" w:name="_Toc31011"/>
      <w:bookmarkStart w:id="809" w:name="_Toc11556"/>
      <w:bookmarkStart w:id="810" w:name="_Toc5565"/>
      <w:bookmarkStart w:id="811" w:name="_Toc5306"/>
      <w:r>
        <w:rPr>
          <w:rFonts w:hint="eastAsia"/>
        </w:rPr>
        <w:br w:type="page"/>
      </w:r>
    </w:p>
    <w:bookmarkEnd w:id="808"/>
    <w:bookmarkEnd w:id="809"/>
    <w:bookmarkEnd w:id="810"/>
    <w:bookmarkEnd w:id="811"/>
    <w:p>
      <w:pPr>
        <w:pStyle w:val="40"/>
        <w:bidi w:val="0"/>
        <w:rPr>
          <w:rFonts w:hint="eastAsia"/>
        </w:rPr>
      </w:pPr>
      <w:bookmarkStart w:id="812" w:name="_Toc15611"/>
    </w:p>
    <w:p>
      <w:pPr>
        <w:pStyle w:val="40"/>
        <w:bidi w:val="0"/>
        <w:rPr>
          <w:rFonts w:hint="eastAsia"/>
        </w:rPr>
      </w:pPr>
    </w:p>
    <w:p>
      <w:pPr>
        <w:pStyle w:val="40"/>
        <w:bidi w:val="0"/>
        <w:rPr>
          <w:rFonts w:hint="eastAsia"/>
        </w:rPr>
      </w:pPr>
    </w:p>
    <w:p>
      <w:pPr>
        <w:pStyle w:val="40"/>
        <w:bidi w:val="0"/>
        <w:rPr>
          <w:rFonts w:hint="eastAsia"/>
        </w:rPr>
      </w:pPr>
    </w:p>
    <w:p>
      <w:pPr>
        <w:pStyle w:val="40"/>
        <w:bidi w:val="0"/>
        <w:rPr>
          <w:rFonts w:hint="eastAsia"/>
        </w:rPr>
      </w:pPr>
    </w:p>
    <w:p>
      <w:pPr>
        <w:pStyle w:val="40"/>
        <w:bidi w:val="0"/>
        <w:rPr>
          <w:rFonts w:hint="eastAsia"/>
        </w:rPr>
      </w:pPr>
    </w:p>
    <w:p>
      <w:pPr>
        <w:pStyle w:val="40"/>
        <w:bidi w:val="0"/>
        <w:rPr>
          <w:rFonts w:hint="eastAsia"/>
        </w:rPr>
      </w:pPr>
    </w:p>
    <w:p>
      <w:pPr>
        <w:pStyle w:val="40"/>
        <w:bidi w:val="0"/>
        <w:rPr>
          <w:rFonts w:hint="eastAsia"/>
          <w:lang w:val="en-US" w:eastAsia="zh-CN"/>
        </w:rPr>
      </w:pPr>
      <w:bookmarkStart w:id="813" w:name="_Toc24630"/>
    </w:p>
    <w:p>
      <w:pPr>
        <w:pStyle w:val="40"/>
        <w:bidi w:val="0"/>
        <w:rPr>
          <w:rFonts w:hint="eastAsia"/>
          <w:lang w:val="en-US" w:eastAsia="zh-CN"/>
        </w:rPr>
      </w:pPr>
    </w:p>
    <w:p>
      <w:pPr>
        <w:pStyle w:val="40"/>
        <w:bidi w:val="0"/>
        <w:rPr>
          <w:rFonts w:hint="eastAsia"/>
          <w:lang w:val="en-US" w:eastAsia="zh-CN"/>
        </w:rPr>
      </w:pPr>
    </w:p>
    <w:p>
      <w:pPr>
        <w:pStyle w:val="40"/>
        <w:bidi w:val="0"/>
        <w:rPr>
          <w:rFonts w:hint="eastAsia"/>
          <w:lang w:val="en-US" w:eastAsia="zh-CN"/>
        </w:rPr>
      </w:pPr>
    </w:p>
    <w:p>
      <w:pPr>
        <w:pStyle w:val="40"/>
        <w:bidi w:val="0"/>
        <w:rPr>
          <w:rFonts w:hint="eastAsia"/>
          <w:lang w:val="en-US" w:eastAsia="zh-CN"/>
        </w:rPr>
      </w:pPr>
    </w:p>
    <w:p>
      <w:pPr>
        <w:pStyle w:val="32"/>
        <w:keepNext w:val="0"/>
        <w:keepLines w:val="0"/>
        <w:pageBreakBefore w:val="0"/>
        <w:widowControl w:val="0"/>
        <w:numPr>
          <w:ilvl w:val="1"/>
          <w:numId w:val="0"/>
        </w:numPr>
        <w:kinsoku/>
        <w:wordWrap w:val="0"/>
        <w:overflowPunct/>
        <w:topLinePunct/>
        <w:autoSpaceDE/>
        <w:autoSpaceDN/>
        <w:bidi w:val="0"/>
        <w:adjustRightInd w:val="0"/>
        <w:snapToGrid w:val="0"/>
        <w:spacing w:before="625" w:beforeLines="200"/>
        <w:jc w:val="center"/>
        <w:textAlignment w:val="auto"/>
        <w:rPr>
          <w:rFonts w:hint="eastAsia"/>
          <w:sz w:val="32"/>
          <w:szCs w:val="32"/>
        </w:rPr>
      </w:pPr>
      <w:bookmarkStart w:id="814" w:name="_Toc14458"/>
      <w:r>
        <w:rPr>
          <w:rFonts w:hint="eastAsia"/>
          <w:sz w:val="32"/>
          <w:szCs w:val="32"/>
          <w:lang w:val="en-US" w:eastAsia="zh-CN"/>
        </w:rPr>
        <w:t>第一部</w:t>
      </w:r>
      <w:r>
        <w:rPr>
          <w:rFonts w:hint="eastAsia"/>
          <w:sz w:val="32"/>
          <w:szCs w:val="32"/>
        </w:rPr>
        <w:t>分 资格、资质性及其他类似效力</w:t>
      </w:r>
      <w:r>
        <w:rPr>
          <w:rFonts w:hint="eastAsia"/>
          <w:sz w:val="32"/>
          <w:szCs w:val="32"/>
          <w:lang w:val="en-US" w:eastAsia="zh-CN"/>
        </w:rPr>
        <w:t>投标</w:t>
      </w:r>
      <w:r>
        <w:rPr>
          <w:rFonts w:hint="eastAsia"/>
          <w:sz w:val="32"/>
          <w:szCs w:val="32"/>
        </w:rPr>
        <w:t>文件(格式)</w:t>
      </w:r>
      <w:bookmarkEnd w:id="812"/>
      <w:bookmarkEnd w:id="813"/>
      <w:bookmarkEnd w:id="814"/>
      <w:bookmarkStart w:id="815" w:name="_Toc23537"/>
      <w:bookmarkStart w:id="816" w:name="_Toc16168"/>
    </w:p>
    <w:bookmarkEnd w:id="815"/>
    <w:bookmarkEnd w:id="816"/>
    <w:p>
      <w:pPr>
        <w:pStyle w:val="40"/>
        <w:bidi w:val="0"/>
        <w:rPr>
          <w:rFonts w:hint="eastAsia"/>
        </w:rPr>
      </w:pPr>
      <w:bookmarkStart w:id="817" w:name="_Toc15054"/>
      <w:bookmarkStart w:id="818" w:name="_Toc19166"/>
      <w:bookmarkStart w:id="819" w:name="_Toc4865"/>
      <w:r>
        <w:rPr>
          <w:rFonts w:hint="eastAsia"/>
        </w:rPr>
        <w:br w:type="page"/>
      </w:r>
    </w:p>
    <w:p>
      <w:pPr>
        <w:pStyle w:val="42"/>
        <w:numPr>
          <w:ilvl w:val="0"/>
          <w:numId w:val="19"/>
        </w:numPr>
        <w:bidi w:val="0"/>
        <w:ind w:left="0" w:leftChars="0" w:firstLine="0" w:firstLineChars="0"/>
        <w:rPr>
          <w:rFonts w:hint="eastAsia"/>
          <w:lang w:val="en-US" w:eastAsia="zh-CN"/>
        </w:rPr>
      </w:pPr>
      <w:bookmarkStart w:id="820" w:name="_Toc22140"/>
      <w:bookmarkStart w:id="821" w:name="_Toc5501"/>
      <w:bookmarkStart w:id="822" w:name="_Toc17637"/>
      <w:bookmarkStart w:id="823" w:name="_Toc9243"/>
      <w:bookmarkStart w:id="824" w:name="_Toc9688"/>
      <w:bookmarkStart w:id="825" w:name="_Toc21430"/>
      <w:r>
        <w:rPr>
          <w:rFonts w:hint="eastAsia"/>
          <w:lang w:val="en-US" w:eastAsia="zh-CN"/>
        </w:rPr>
        <w:t>法定代表人/单位负责人身份证明书</w:t>
      </w:r>
      <w:bookmarkEnd w:id="820"/>
      <w:bookmarkEnd w:id="821"/>
      <w:bookmarkEnd w:id="822"/>
      <w:bookmarkEnd w:id="823"/>
      <w:bookmarkEnd w:id="824"/>
      <w:bookmarkEnd w:id="825"/>
    </w:p>
    <w:p>
      <w:pPr>
        <w:pStyle w:val="44"/>
        <w:bidi w:val="0"/>
        <w:rPr>
          <w:rFonts w:hint="eastAsia"/>
        </w:rPr>
      </w:pPr>
      <w:r>
        <w:rPr>
          <w:rFonts w:hint="eastAsia"/>
        </w:rPr>
        <w:t>单位名称：</w:t>
      </w:r>
      <w:r>
        <w:rPr>
          <w:rFonts w:hint="eastAsia" w:asciiTheme="minorEastAsia" w:hAnsiTheme="minorEastAsia" w:eastAsiaTheme="minorEastAsia" w:cstheme="minorEastAsia"/>
          <w:color w:val="auto"/>
          <w:sz w:val="24"/>
          <w:szCs w:val="24"/>
          <w:highlight w:val="none"/>
          <w:u w:val="single"/>
        </w:rPr>
        <w:t xml:space="preserve">                            </w:t>
      </w:r>
      <w:r>
        <w:rPr>
          <w:rFonts w:hint="eastAsia"/>
        </w:rPr>
        <w:t xml:space="preserve">                            </w:t>
      </w:r>
    </w:p>
    <w:p>
      <w:pPr>
        <w:pStyle w:val="44"/>
        <w:bidi w:val="0"/>
        <w:rPr>
          <w:rFonts w:hint="eastAsia"/>
        </w:rPr>
      </w:pPr>
      <w:r>
        <w:rPr>
          <w:rFonts w:hint="eastAsia"/>
        </w:rPr>
        <w:t>地    址：</w:t>
      </w:r>
      <w:r>
        <w:rPr>
          <w:rFonts w:hint="eastAsia" w:asciiTheme="minorEastAsia" w:hAnsiTheme="minorEastAsia" w:eastAsiaTheme="minorEastAsia" w:cstheme="minorEastAsia"/>
          <w:color w:val="auto"/>
          <w:sz w:val="24"/>
          <w:szCs w:val="24"/>
          <w:highlight w:val="none"/>
          <w:u w:val="single"/>
        </w:rPr>
        <w:t xml:space="preserve">                            </w:t>
      </w:r>
      <w:r>
        <w:rPr>
          <w:rFonts w:hint="eastAsia"/>
        </w:rPr>
        <w:t xml:space="preserve">                            </w:t>
      </w:r>
    </w:p>
    <w:p>
      <w:pPr>
        <w:pStyle w:val="44"/>
        <w:bidi w:val="0"/>
        <w:rPr>
          <w:rFonts w:hint="eastAsia"/>
        </w:rPr>
      </w:pPr>
      <w:r>
        <w:rPr>
          <w:rFonts w:hint="eastAsia"/>
        </w:rPr>
        <w:t>姓    名：</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性别：</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职务：</w:t>
      </w:r>
      <w:r>
        <w:rPr>
          <w:rFonts w:hint="eastAsia" w:asciiTheme="minorEastAsia" w:hAnsiTheme="minorEastAsia" w:eastAsiaTheme="minorEastAsia" w:cstheme="minorEastAsia"/>
          <w:color w:val="auto"/>
          <w:sz w:val="24"/>
          <w:szCs w:val="24"/>
          <w:highlight w:val="none"/>
          <w:u w:val="single"/>
        </w:rPr>
        <w:t xml:space="preserve">            </w:t>
      </w:r>
      <w:r>
        <w:rPr>
          <w:rFonts w:hint="eastAsia"/>
        </w:rPr>
        <w:t xml:space="preserve">            </w:t>
      </w:r>
    </w:p>
    <w:p>
      <w:pPr>
        <w:pStyle w:val="44"/>
        <w:bidi w:val="0"/>
        <w:rPr>
          <w:rFonts w:hint="eastAsia"/>
        </w:rPr>
      </w:pPr>
      <w:r>
        <w:rPr>
          <w:rFonts w:hint="eastAsia"/>
        </w:rPr>
        <w:t>本人系</w:t>
      </w:r>
      <w:r>
        <w:rPr>
          <w:rFonts w:hint="eastAsia"/>
          <w:u w:val="single"/>
        </w:rPr>
        <w:t xml:space="preserve">                           </w:t>
      </w:r>
      <w:r>
        <w:rPr>
          <w:rFonts w:hint="eastAsia"/>
        </w:rPr>
        <w:t>(</w:t>
      </w:r>
      <w:r>
        <w:rPr>
          <w:rFonts w:hint="eastAsia"/>
          <w:lang w:val="en-US" w:eastAsia="zh-CN"/>
        </w:rPr>
        <w:t>投标人</w:t>
      </w:r>
      <w:r>
        <w:rPr>
          <w:rFonts w:hint="eastAsia"/>
        </w:rPr>
        <w:t>名称)的法定代表人</w:t>
      </w:r>
      <w:r>
        <w:rPr>
          <w:rFonts w:hint="eastAsia"/>
          <w:lang w:val="en-US" w:eastAsia="zh-CN"/>
        </w:rPr>
        <w:t>/单位负责人</w:t>
      </w:r>
      <w:r>
        <w:rPr>
          <w:rFonts w:hint="eastAsia"/>
        </w:rPr>
        <w:t>。就参加你单位组织的“</w:t>
      </w:r>
      <w:r>
        <w:rPr>
          <w:rFonts w:hint="eastAsia"/>
          <w:u w:val="single"/>
        </w:rPr>
        <w:t xml:space="preserve">             </w:t>
      </w:r>
      <w:r>
        <w:rPr>
          <w:rFonts w:hint="eastAsia"/>
          <w:lang w:eastAsia="zh-CN"/>
        </w:rPr>
        <w:t>(</w:t>
      </w:r>
      <w:r>
        <w:rPr>
          <w:rFonts w:hint="eastAsia"/>
          <w:lang w:val="en-US" w:eastAsia="zh-CN"/>
        </w:rPr>
        <w:t>项目名称</w:t>
      </w:r>
      <w:r>
        <w:rPr>
          <w:rFonts w:hint="eastAsia"/>
          <w:lang w:eastAsia="zh-CN"/>
        </w:rPr>
        <w:t>)</w:t>
      </w:r>
      <w:r>
        <w:rPr>
          <w:rFonts w:hint="eastAsia"/>
        </w:rPr>
        <w:t>(项目编号</w:t>
      </w:r>
      <w:r>
        <w:rPr>
          <w:rFonts w:hint="eastAsia"/>
          <w:lang w:eastAsia="zh-CN"/>
        </w:rPr>
        <w:t>：</w:t>
      </w:r>
      <w:r>
        <w:rPr>
          <w:rFonts w:hint="eastAsia"/>
          <w:u w:val="single"/>
        </w:rPr>
        <w:t xml:space="preserve">         </w:t>
      </w:r>
      <w:r>
        <w:rPr>
          <w:rFonts w:hint="eastAsia"/>
        </w:rPr>
        <w:t>)”</w:t>
      </w:r>
      <w:r>
        <w:rPr>
          <w:rFonts w:hint="eastAsia"/>
          <w:highlight w:val="none"/>
        </w:rPr>
        <w:t>的</w:t>
      </w:r>
      <w:r>
        <w:rPr>
          <w:rFonts w:hint="eastAsia"/>
          <w:highlight w:val="none"/>
          <w:lang w:val="en-US" w:eastAsia="zh-CN"/>
        </w:rPr>
        <w:t>投</w:t>
      </w:r>
      <w:r>
        <w:rPr>
          <w:rFonts w:hint="eastAsia"/>
          <w:lang w:val="en-US" w:eastAsia="zh-CN"/>
        </w:rPr>
        <w:t>标</w:t>
      </w:r>
      <w:r>
        <w:rPr>
          <w:rFonts w:hint="eastAsia"/>
        </w:rPr>
        <w:t>活动、并参与项目的</w:t>
      </w:r>
      <w:r>
        <w:rPr>
          <w:rFonts w:hint="eastAsia"/>
          <w:lang w:val="en-US" w:eastAsia="zh-CN"/>
        </w:rPr>
        <w:t>投标</w:t>
      </w:r>
      <w:r>
        <w:rPr>
          <w:rFonts w:hint="eastAsia"/>
        </w:rPr>
        <w:t>、签订合同以及执行合同等一切事宜，我</w:t>
      </w:r>
      <w:r>
        <w:rPr>
          <w:rFonts w:hint="eastAsia"/>
          <w:lang w:val="en-US" w:eastAsia="zh-CN"/>
        </w:rPr>
        <w:t>单位</w:t>
      </w:r>
      <w:r>
        <w:rPr>
          <w:rFonts w:hint="eastAsia"/>
        </w:rPr>
        <w:t>均予承认，所产生的法律后果均由我单位承担。</w:t>
      </w:r>
    </w:p>
    <w:p>
      <w:pPr>
        <w:pStyle w:val="44"/>
        <w:bidi w:val="0"/>
        <w:rPr>
          <w:rFonts w:hint="eastAsia"/>
        </w:rPr>
      </w:pPr>
      <w:r>
        <w:rPr>
          <w:rFonts w:hint="eastAsia"/>
        </w:rPr>
        <w:t>特此证明。</w:t>
      </w:r>
    </w:p>
    <w:p>
      <w:pPr>
        <w:pStyle w:val="40"/>
        <w:bidi w:val="0"/>
        <w:rPr>
          <w:rFonts w:hint="eastAsia"/>
        </w:rPr>
      </w:pPr>
    </w:p>
    <w:p>
      <w:pPr>
        <w:pStyle w:val="40"/>
        <w:bidi w:val="0"/>
        <w:rPr>
          <w:rFonts w:hint="eastAsia"/>
        </w:rPr>
      </w:pPr>
    </w:p>
    <w:p>
      <w:pPr>
        <w:pStyle w:val="40"/>
        <w:bidi w:val="0"/>
        <w:rPr>
          <w:rFonts w:hint="eastAsia"/>
        </w:rPr>
      </w:pPr>
    </w:p>
    <w:p>
      <w:pPr>
        <w:pStyle w:val="40"/>
        <w:bidi w:val="0"/>
        <w:rPr>
          <w:rFonts w:hint="eastAsia"/>
        </w:rPr>
      </w:pPr>
    </w:p>
    <w:p>
      <w:pPr>
        <w:pStyle w:val="40"/>
        <w:bidi w:val="0"/>
        <w:rPr>
          <w:rFonts w:hint="eastAsia"/>
        </w:rPr>
      </w:pPr>
    </w:p>
    <w:p>
      <w:pPr>
        <w:pStyle w:val="44"/>
        <w:bidi w:val="0"/>
        <w:rPr>
          <w:rFonts w:hint="eastAsia"/>
        </w:rPr>
      </w:pPr>
      <w:r>
        <w:rPr>
          <w:rFonts w:hint="eastAsia"/>
          <w:lang w:val="en-US" w:eastAsia="zh-CN"/>
        </w:rPr>
        <w:t>投标人</w:t>
      </w:r>
      <w:r>
        <w:rPr>
          <w:rFonts w:hint="eastAsia"/>
        </w:rPr>
        <w:t>名称：</w:t>
      </w:r>
      <w:r>
        <w:rPr>
          <w:rFonts w:hint="eastAsia"/>
          <w:u w:val="single"/>
          <w:lang w:val="en-US" w:eastAsia="zh-CN"/>
        </w:rPr>
        <w:t xml:space="preserve">            </w:t>
      </w:r>
      <w:r>
        <w:rPr>
          <w:rFonts w:hint="eastAsia"/>
          <w:u w:val="single"/>
        </w:rPr>
        <w:t xml:space="preserve"> </w:t>
      </w:r>
    </w:p>
    <w:p>
      <w:pPr>
        <w:pStyle w:val="44"/>
        <w:bidi w:val="0"/>
        <w:rPr>
          <w:rFonts w:hint="eastAsia"/>
          <w:u w:val="single"/>
        </w:rPr>
      </w:pPr>
      <w:r>
        <w:rPr>
          <w:rFonts w:hint="eastAsia"/>
          <w:lang w:val="en-US" w:eastAsia="zh-CN"/>
        </w:rPr>
        <w:t>投标</w:t>
      </w:r>
      <w:r>
        <w:rPr>
          <w:rFonts w:hint="eastAsia"/>
        </w:rPr>
        <w:t>日期：</w:t>
      </w:r>
      <w:r>
        <w:rPr>
          <w:rFonts w:hint="eastAsia"/>
          <w:u w:val="single"/>
          <w:lang w:val="en-US" w:eastAsia="zh-CN"/>
        </w:rPr>
        <w:t xml:space="preserve">            </w:t>
      </w:r>
      <w:r>
        <w:rPr>
          <w:rFonts w:hint="eastAsia"/>
          <w:u w:val="single"/>
        </w:rPr>
        <w:t xml:space="preserve"> </w:t>
      </w:r>
    </w:p>
    <w:p>
      <w:pPr>
        <w:pStyle w:val="44"/>
        <w:bidi w:val="0"/>
        <w:rPr>
          <w:rFonts w:hint="eastAsia"/>
        </w:rPr>
      </w:pPr>
    </w:p>
    <w:p>
      <w:pPr>
        <w:pStyle w:val="45"/>
        <w:bidi w:val="0"/>
      </w:pPr>
      <w:r>
        <w:rPr>
          <w:rFonts w:hint="eastAsia"/>
        </w:rPr>
        <w:t>注：</w:t>
      </w:r>
      <w:r>
        <w:rPr>
          <w:rFonts w:hint="eastAsia"/>
          <w:lang w:val="en-US" w:eastAsia="zh-CN"/>
        </w:rPr>
        <w:t>1.</w:t>
      </w:r>
      <w:r>
        <w:t>应附法定代表人/单位负责人身份证明材料复印件。</w:t>
      </w:r>
    </w:p>
    <w:p>
      <w:pPr>
        <w:pStyle w:val="45"/>
        <w:bidi w:val="0"/>
      </w:pPr>
      <w:r>
        <w:rPr>
          <w:rFonts w:hint="eastAsia"/>
          <w:lang w:val="en-US" w:eastAsia="zh-CN"/>
        </w:rPr>
        <w:t>2.</w:t>
      </w:r>
      <w:r>
        <w:t>身份证明材料包括居民身份证或户口本或军官证或护照等。</w:t>
      </w:r>
    </w:p>
    <w:p>
      <w:pPr>
        <w:pStyle w:val="45"/>
        <w:bidi w:val="0"/>
        <w:rPr>
          <w:rFonts w:hint="eastAsia"/>
          <w:lang w:eastAsia="zh-CN"/>
        </w:rPr>
      </w:pPr>
      <w:r>
        <w:rPr>
          <w:rFonts w:hint="eastAsia"/>
          <w:lang w:val="en-US" w:eastAsia="zh-CN"/>
        </w:rPr>
        <w:t>3.</w:t>
      </w:r>
      <w:r>
        <w:t>身份证明材料应同时提供其在有效期的材料，如居民身份证正、反面复印件</w:t>
      </w:r>
      <w:r>
        <w:rPr>
          <w:rFonts w:hint="eastAsia"/>
          <w:lang w:eastAsia="zh-CN"/>
        </w:rPr>
        <w:t>。</w:t>
      </w:r>
    </w:p>
    <w:p>
      <w:pPr>
        <w:pStyle w:val="42"/>
        <w:numPr>
          <w:ilvl w:val="0"/>
          <w:numId w:val="19"/>
        </w:numPr>
        <w:bidi w:val="0"/>
        <w:ind w:left="0" w:leftChars="0" w:firstLine="0" w:firstLineChars="0"/>
        <w:rPr>
          <w:rFonts w:hint="eastAsia"/>
          <w:lang w:val="en-US" w:eastAsia="zh-CN"/>
        </w:rPr>
      </w:pPr>
      <w:bookmarkStart w:id="826" w:name="_Toc28837"/>
      <w:bookmarkStart w:id="827" w:name="_Toc9051"/>
      <w:bookmarkStart w:id="828" w:name="_Toc22152"/>
      <w:bookmarkStart w:id="829" w:name="_Toc10998"/>
      <w:bookmarkStart w:id="830" w:name="_Toc28397"/>
      <w:bookmarkStart w:id="831" w:name="_Toc3822"/>
      <w:r>
        <w:rPr>
          <w:rFonts w:hint="eastAsia"/>
          <w:lang w:val="en-US" w:eastAsia="zh-CN"/>
        </w:rPr>
        <w:t>具有独立承担民事责任的能力的证明材料</w:t>
      </w:r>
      <w:bookmarkEnd w:id="826"/>
      <w:bookmarkEnd w:id="827"/>
      <w:bookmarkEnd w:id="828"/>
      <w:bookmarkEnd w:id="829"/>
    </w:p>
    <w:p>
      <w:pPr>
        <w:pStyle w:val="44"/>
        <w:bidi w:val="0"/>
        <w:rPr>
          <w:rFonts w:hint="eastAsia"/>
          <w:lang w:eastAsia="zh-CN"/>
        </w:rPr>
      </w:pPr>
      <w:r>
        <w:rPr>
          <w:rFonts w:hint="eastAsia"/>
        </w:rPr>
        <w:t>①</w:t>
      </w:r>
      <w:r>
        <w:rPr>
          <w:rFonts w:hint="eastAsia"/>
          <w:lang w:val="en-US" w:eastAsia="zh-CN"/>
        </w:rPr>
        <w:t>投标人</w:t>
      </w:r>
      <w:r>
        <w:rPr>
          <w:rFonts w:hint="eastAsia"/>
        </w:rPr>
        <w:t>若为企业法人：提供“营业执照”</w:t>
      </w:r>
      <w:r>
        <w:rPr>
          <w:rFonts w:hint="eastAsia"/>
          <w:lang w:val="en-US" w:eastAsia="zh-CN"/>
        </w:rPr>
        <w:t>副本复印件</w:t>
      </w:r>
      <w:r>
        <w:rPr>
          <w:rFonts w:hint="eastAsia"/>
        </w:rPr>
        <w:t>；未换证的提供“营业执照</w:t>
      </w:r>
      <w:r>
        <w:rPr>
          <w:rFonts w:hint="eastAsia"/>
          <w:lang w:val="en-US" w:eastAsia="zh-CN"/>
        </w:rPr>
        <w:t>副本</w:t>
      </w:r>
      <w:r>
        <w:rPr>
          <w:rFonts w:hint="eastAsia"/>
        </w:rPr>
        <w:t>、税务登记证</w:t>
      </w:r>
      <w:r>
        <w:rPr>
          <w:rFonts w:hint="eastAsia"/>
          <w:lang w:val="en-US" w:eastAsia="zh-CN"/>
        </w:rPr>
        <w:t>副本</w:t>
      </w:r>
      <w:r>
        <w:rPr>
          <w:rFonts w:hint="eastAsia"/>
        </w:rPr>
        <w:t>、组织机构代码证</w:t>
      </w:r>
      <w:r>
        <w:rPr>
          <w:rFonts w:hint="eastAsia"/>
          <w:lang w:val="en-US" w:eastAsia="zh-CN"/>
        </w:rPr>
        <w:t>副本</w:t>
      </w:r>
      <w:r>
        <w:rPr>
          <w:rFonts w:hint="eastAsia"/>
        </w:rPr>
        <w:t>”</w:t>
      </w:r>
      <w:r>
        <w:rPr>
          <w:rFonts w:hint="eastAsia"/>
          <w:lang w:val="en-US" w:eastAsia="zh-CN"/>
        </w:rPr>
        <w:t>复印件</w:t>
      </w:r>
      <w:r>
        <w:rPr>
          <w:rFonts w:hint="eastAsia"/>
        </w:rPr>
        <w:t>；②若为事业法人：提供“统一社会信用代码法人登记证书”</w:t>
      </w:r>
      <w:r>
        <w:rPr>
          <w:rFonts w:hint="eastAsia"/>
          <w:lang w:val="en-US" w:eastAsia="zh-CN"/>
        </w:rPr>
        <w:t>复印件</w:t>
      </w:r>
      <w:r>
        <w:rPr>
          <w:rFonts w:hint="eastAsia"/>
        </w:rPr>
        <w:t>；未换证的提交“事业法人登记证书、组织机构代码证”</w:t>
      </w:r>
      <w:r>
        <w:rPr>
          <w:rFonts w:hint="eastAsia"/>
          <w:lang w:val="en-US" w:eastAsia="zh-CN"/>
        </w:rPr>
        <w:t>复印件</w:t>
      </w:r>
      <w:r>
        <w:rPr>
          <w:rFonts w:hint="eastAsia"/>
        </w:rPr>
        <w:t>；③若为其他组织：提供“对应主管部门颁发的准许执业证明文件或营业执照</w:t>
      </w:r>
      <w:r>
        <w:rPr>
          <w:rFonts w:hint="eastAsia"/>
          <w:lang w:val="en-US" w:eastAsia="zh-CN"/>
        </w:rPr>
        <w:t>副本</w:t>
      </w:r>
      <w:r>
        <w:rPr>
          <w:rFonts w:hint="eastAsia"/>
        </w:rPr>
        <w:t>”</w:t>
      </w:r>
      <w:r>
        <w:rPr>
          <w:rFonts w:hint="eastAsia"/>
          <w:lang w:val="en-US" w:eastAsia="zh-CN"/>
        </w:rPr>
        <w:t>复印件</w:t>
      </w:r>
      <w:r>
        <w:rPr>
          <w:rFonts w:hint="eastAsia"/>
        </w:rPr>
        <w:t>；④若为自然人：提供“身份证明材料”</w:t>
      </w:r>
      <w:r>
        <w:rPr>
          <w:rFonts w:hint="eastAsia"/>
          <w:lang w:eastAsia="zh-CN"/>
        </w:rPr>
        <w:t>。</w:t>
      </w:r>
    </w:p>
    <w:bookmarkEnd w:id="830"/>
    <w:p>
      <w:pPr>
        <w:pStyle w:val="45"/>
        <w:bidi w:val="0"/>
        <w:rPr>
          <w:rFonts w:hint="eastAsia"/>
          <w:lang w:val="en-US" w:eastAsia="zh-CN"/>
        </w:rPr>
      </w:pPr>
      <w:r>
        <w:rPr>
          <w:rFonts w:hint="eastAsia"/>
          <w:lang w:val="en-US" w:eastAsia="zh-CN"/>
        </w:rPr>
        <w:t>注：1.以上证明材料应满足此条要求①发证机关有年检要求的，应按规定通过年检；②在有效期内；③复印件加盖投标人电子签章；</w:t>
      </w:r>
    </w:p>
    <w:p>
      <w:pPr>
        <w:pStyle w:val="45"/>
        <w:bidi w:val="0"/>
        <w:rPr>
          <w:rFonts w:hint="eastAsia"/>
          <w:lang w:val="en-US" w:eastAsia="zh-CN"/>
        </w:rPr>
      </w:pPr>
      <w:r>
        <w:rPr>
          <w:rFonts w:hint="eastAsia"/>
          <w:lang w:val="en-US" w:eastAsia="zh-CN"/>
        </w:rPr>
        <w:t>2.</w:t>
      </w:r>
      <w:bookmarkEnd w:id="831"/>
      <w:r>
        <w:rPr>
          <w:rFonts w:hint="eastAsia"/>
          <w:lang w:val="en-US" w:eastAsia="zh-CN"/>
        </w:rPr>
        <w:t>企业若已更换为三证合一的则提供营业执照副本复印件，事业单位提供事业单位法人证书复印件，其他组织提供执业许可证或营业执照等证明文件复印件，自然人提供身份证明均具备此条同等效力；</w:t>
      </w:r>
    </w:p>
    <w:p>
      <w:pPr>
        <w:pStyle w:val="45"/>
        <w:bidi w:val="0"/>
      </w:pPr>
      <w:r>
        <w:rPr>
          <w:rFonts w:hint="eastAsia"/>
          <w:lang w:val="en-US" w:eastAsia="zh-CN"/>
        </w:rPr>
        <w:t>3.</w:t>
      </w:r>
      <w:r>
        <w:t>根据国务院办公厅关于加快推进“多证合一”改革的指导意见</w:t>
      </w:r>
      <w:r>
        <w:rPr>
          <w:rFonts w:hint="eastAsia"/>
          <w:lang w:eastAsia="zh-CN"/>
        </w:rPr>
        <w:t>(</w:t>
      </w:r>
      <w:r>
        <w:t>国办发</w:t>
      </w:r>
      <w:r>
        <w:rPr>
          <w:rFonts w:hint="eastAsia"/>
          <w:lang w:val="en-US" w:eastAsia="zh-CN"/>
        </w:rPr>
        <w:t>〔</w:t>
      </w:r>
      <w:r>
        <w:t>2017</w:t>
      </w:r>
      <w:r>
        <w:rPr>
          <w:rFonts w:hint="eastAsia"/>
          <w:lang w:val="en-US" w:eastAsia="zh-CN"/>
        </w:rPr>
        <w:t>〕</w:t>
      </w:r>
      <w:r>
        <w:t>41号</w:t>
      </w:r>
      <w:r>
        <w:rPr>
          <w:rFonts w:hint="eastAsia"/>
          <w:lang w:eastAsia="zh-CN"/>
        </w:rPr>
        <w:t>)</w:t>
      </w:r>
      <w:r>
        <w:t>等政策要求，若资格要求涉及的登记、备案等有关事项和各类证照已实行多证合一</w:t>
      </w:r>
      <w:r>
        <w:rPr>
          <w:rFonts w:hint="eastAsia"/>
          <w:lang w:val="en-US" w:eastAsia="zh-CN"/>
        </w:rPr>
        <w:t>的，</w:t>
      </w:r>
      <w:r>
        <w:rPr>
          <w:rFonts w:hint="eastAsia"/>
          <w:lang w:eastAsia="zh-CN"/>
        </w:rPr>
        <w:t>提供多证合一证照</w:t>
      </w:r>
      <w:r>
        <w:rPr>
          <w:rFonts w:hint="eastAsia"/>
          <w:lang w:val="en-US" w:eastAsia="zh-CN"/>
        </w:rPr>
        <w:t>副本</w:t>
      </w:r>
      <w:r>
        <w:rPr>
          <w:rFonts w:hint="eastAsia"/>
          <w:lang w:eastAsia="zh-CN"/>
        </w:rPr>
        <w:t>复印件</w:t>
      </w:r>
      <w:r>
        <w:t>。</w:t>
      </w:r>
    </w:p>
    <w:p>
      <w:pPr>
        <w:pStyle w:val="40"/>
        <w:bidi w:val="0"/>
        <w:rPr>
          <w:rFonts w:hint="eastAsia"/>
          <w:lang w:val="en-US" w:eastAsia="zh-CN"/>
        </w:rPr>
      </w:pPr>
    </w:p>
    <w:p>
      <w:pPr>
        <w:pStyle w:val="42"/>
        <w:numPr>
          <w:ilvl w:val="0"/>
          <w:numId w:val="19"/>
        </w:numPr>
        <w:bidi w:val="0"/>
        <w:ind w:left="0" w:leftChars="0" w:firstLine="0" w:firstLineChars="0"/>
        <w:rPr>
          <w:rFonts w:hint="eastAsia"/>
          <w:lang w:val="en-US" w:eastAsia="zh-CN"/>
        </w:rPr>
      </w:pPr>
      <w:bookmarkStart w:id="832" w:name="_Toc3600"/>
      <w:bookmarkStart w:id="833" w:name="_Toc28024"/>
      <w:bookmarkStart w:id="834" w:name="_Toc29937"/>
      <w:bookmarkStart w:id="835" w:name="_Toc28421"/>
      <w:bookmarkStart w:id="836" w:name="_Toc14566"/>
      <w:r>
        <w:rPr>
          <w:rFonts w:hint="eastAsia"/>
          <w:lang w:val="en-US" w:eastAsia="zh-CN"/>
        </w:rPr>
        <w:t>投标人具有良好的商业信誉和健全的财务会计制度的证明材料</w:t>
      </w:r>
      <w:bookmarkEnd w:id="832"/>
      <w:bookmarkEnd w:id="833"/>
      <w:bookmarkEnd w:id="834"/>
      <w:bookmarkEnd w:id="835"/>
    </w:p>
    <w:bookmarkEnd w:id="836"/>
    <w:p>
      <w:pPr>
        <w:pStyle w:val="44"/>
        <w:bidi w:val="0"/>
        <w:rPr>
          <w:rFonts w:hint="eastAsia"/>
          <w:lang w:val="en-US" w:eastAsia="zh-CN"/>
        </w:rPr>
      </w:pPr>
      <w:bookmarkStart w:id="837" w:name="_Toc17744"/>
      <w:bookmarkStart w:id="838" w:name="_Toc19866"/>
      <w:bookmarkStart w:id="839" w:name="_Toc5443"/>
      <w:r>
        <w:rPr>
          <w:rFonts w:hint="eastAsia"/>
          <w:lang w:val="en-US" w:eastAsia="zh-CN"/>
        </w:rPr>
        <w:t>1.投标人具有</w:t>
      </w:r>
      <w:r>
        <w:rPr>
          <w:rFonts w:hint="eastAsia"/>
        </w:rPr>
        <w:t>良好商业信誉的证明材料</w:t>
      </w:r>
      <w:r>
        <w:rPr>
          <w:rFonts w:hint="eastAsia"/>
          <w:lang w:eastAsia="zh-CN"/>
        </w:rPr>
        <w:t>；</w:t>
      </w:r>
    </w:p>
    <w:p>
      <w:pPr>
        <w:pStyle w:val="44"/>
        <w:bidi w:val="0"/>
        <w:rPr>
          <w:rFonts w:hint="eastAsia"/>
          <w:lang w:eastAsia="zh-CN"/>
        </w:rPr>
      </w:pPr>
      <w:r>
        <w:rPr>
          <w:rFonts w:hint="eastAsia"/>
          <w:lang w:val="en-US" w:eastAsia="zh-CN"/>
        </w:rPr>
        <w:t>提供</w:t>
      </w:r>
      <w:r>
        <w:rPr>
          <w:rFonts w:hint="eastAsia"/>
        </w:rPr>
        <w:t>具</w:t>
      </w:r>
      <w:r>
        <w:rPr>
          <w:rFonts w:hint="eastAsia"/>
          <w:lang w:val="en-US" w:eastAsia="zh-CN"/>
        </w:rPr>
        <w:t>有</w:t>
      </w:r>
      <w:r>
        <w:rPr>
          <w:rFonts w:hint="eastAsia"/>
        </w:rPr>
        <w:t>良好</w:t>
      </w:r>
      <w:r>
        <w:rPr>
          <w:rFonts w:hint="eastAsia"/>
          <w:lang w:val="en-US" w:eastAsia="zh-CN"/>
        </w:rPr>
        <w:t>的</w:t>
      </w:r>
      <w:r>
        <w:rPr>
          <w:rFonts w:hint="eastAsia"/>
        </w:rPr>
        <w:t>商业信誉</w:t>
      </w:r>
      <w:r>
        <w:rPr>
          <w:rFonts w:hint="eastAsia"/>
          <w:lang w:val="en-US" w:eastAsia="zh-CN"/>
        </w:rPr>
        <w:t>的</w:t>
      </w:r>
      <w:r>
        <w:rPr>
          <w:rFonts w:hint="eastAsia"/>
        </w:rPr>
        <w:t>承诺函</w:t>
      </w:r>
      <w:r>
        <w:rPr>
          <w:rFonts w:hint="eastAsia"/>
          <w:lang w:eastAsia="zh-CN"/>
        </w:rPr>
        <w:t>。</w:t>
      </w:r>
    </w:p>
    <w:p>
      <w:pPr>
        <w:pStyle w:val="44"/>
        <w:bidi w:val="0"/>
        <w:rPr>
          <w:rFonts w:hint="eastAsia"/>
          <w:b/>
          <w:bCs/>
          <w:lang w:val="en-US" w:eastAsia="zh-CN"/>
        </w:rPr>
      </w:pPr>
      <w:r>
        <w:rPr>
          <w:rFonts w:hint="eastAsia"/>
          <w:b/>
          <w:bCs/>
          <w:lang w:val="en-US" w:eastAsia="zh-CN"/>
        </w:rPr>
        <w:t>注：投标人在参加政府采购活动前，被纳入法院、工商(市场监管)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44"/>
        <w:bidi w:val="0"/>
        <w:rPr>
          <w:rFonts w:hint="eastAsia"/>
          <w:lang w:val="en-US" w:eastAsia="zh-CN"/>
        </w:rPr>
      </w:pPr>
      <w:r>
        <w:rPr>
          <w:rFonts w:hint="eastAsia"/>
          <w:lang w:val="en-US" w:eastAsia="zh-CN"/>
        </w:rPr>
        <w:t>2.投标人具有健全的财务会计制度的证明材料；</w:t>
      </w:r>
    </w:p>
    <w:p>
      <w:pPr>
        <w:pStyle w:val="44"/>
        <w:bidi w:val="0"/>
        <w:rPr>
          <w:rFonts w:hint="default"/>
          <w:lang w:val="en-US" w:eastAsia="zh-CN"/>
        </w:rPr>
      </w:pPr>
      <w:r>
        <w:rPr>
          <w:rFonts w:hint="eastAsia"/>
          <w:lang w:val="en-US" w:eastAsia="zh-CN"/>
        </w:rPr>
        <w:t>(1)投标人提供2019年度或2020年度经过会计师事务所审计的财务报告复印件(经审计的有效财务报告应包括报告及报告中所附的完整内容，并由注册会计师签名、盖章以及会计师事务所盖章)；</w:t>
      </w:r>
    </w:p>
    <w:p>
      <w:pPr>
        <w:pStyle w:val="44"/>
        <w:bidi w:val="0"/>
        <w:rPr>
          <w:rFonts w:hint="eastAsia"/>
          <w:lang w:val="en-US" w:eastAsia="zh-CN"/>
        </w:rPr>
      </w:pPr>
      <w:r>
        <w:rPr>
          <w:rFonts w:hint="eastAsia"/>
          <w:lang w:val="en-US" w:eastAsia="zh-CN"/>
        </w:rPr>
        <w:t>(2)投标人提供2020年度投标人内部的财务报表复印件(至少包含资产负债表)；</w:t>
      </w:r>
    </w:p>
    <w:p>
      <w:pPr>
        <w:pStyle w:val="44"/>
        <w:bidi w:val="0"/>
        <w:rPr>
          <w:rFonts w:hint="eastAsia"/>
          <w:lang w:val="en-US" w:eastAsia="zh-CN"/>
        </w:rPr>
      </w:pPr>
      <w:r>
        <w:rPr>
          <w:rFonts w:hint="eastAsia"/>
          <w:lang w:val="en-US" w:eastAsia="zh-CN"/>
        </w:rPr>
        <w:t>(3)投标人提供投标文件递交截止日前一年内银行为其出具的资信证明复印件；</w:t>
      </w:r>
    </w:p>
    <w:p>
      <w:pPr>
        <w:pStyle w:val="44"/>
        <w:bidi w:val="0"/>
        <w:rPr>
          <w:rFonts w:hint="eastAsia"/>
          <w:lang w:val="en-US" w:eastAsia="zh-CN"/>
        </w:rPr>
      </w:pPr>
      <w:r>
        <w:rPr>
          <w:rFonts w:hint="eastAsia"/>
          <w:lang w:val="en-US" w:eastAsia="zh-CN"/>
        </w:rPr>
        <w:t>(4)投标人注册时间截至投标文件递交截止日不足一年的，可提供公司章程复印件；</w:t>
      </w:r>
    </w:p>
    <w:p>
      <w:pPr>
        <w:pStyle w:val="44"/>
        <w:bidi w:val="0"/>
        <w:rPr>
          <w:rFonts w:hint="default"/>
          <w:lang w:val="en-US" w:eastAsia="zh-CN"/>
        </w:rPr>
      </w:pPr>
      <w:r>
        <w:rPr>
          <w:rFonts w:hint="eastAsia"/>
          <w:lang w:val="en-US" w:eastAsia="zh-CN"/>
        </w:rPr>
        <w:t>(5)投标人为</w:t>
      </w:r>
      <w:r>
        <w:rPr>
          <w:rFonts w:hint="eastAsia"/>
          <w:color w:val="auto"/>
        </w:rPr>
        <w:t>个体工商户</w:t>
      </w:r>
      <w:r>
        <w:rPr>
          <w:rFonts w:hint="eastAsia"/>
          <w:lang w:val="en-US" w:eastAsia="zh-CN"/>
        </w:rPr>
        <w:t>时，可提供承诺函。</w:t>
      </w:r>
    </w:p>
    <w:p>
      <w:pPr>
        <w:pStyle w:val="45"/>
        <w:bidi w:val="0"/>
        <w:rPr>
          <w:rFonts w:hint="eastAsia"/>
          <w:lang w:val="en-US" w:eastAsia="zh-CN"/>
        </w:rPr>
      </w:pPr>
      <w:r>
        <w:rPr>
          <w:rFonts w:hint="eastAsia"/>
          <w:b/>
          <w:bCs/>
          <w:lang w:val="en-US" w:eastAsia="zh-CN"/>
        </w:rPr>
        <w:t>注：具有健全的财务会计制度的证明材料中第(1)-(5)项具有同等的投标效力，投标人可根据自身实际情况选择提供其中任意一项。</w:t>
      </w:r>
    </w:p>
    <w:p>
      <w:pPr>
        <w:pStyle w:val="42"/>
        <w:numPr>
          <w:ilvl w:val="0"/>
          <w:numId w:val="19"/>
        </w:numPr>
        <w:bidi w:val="0"/>
        <w:ind w:left="0" w:leftChars="0" w:firstLine="0" w:firstLineChars="0"/>
        <w:rPr>
          <w:rFonts w:hint="eastAsia"/>
          <w:lang w:val="en-US" w:eastAsia="zh-CN"/>
        </w:rPr>
      </w:pPr>
      <w:bookmarkStart w:id="840" w:name="_Toc16467"/>
      <w:bookmarkStart w:id="841" w:name="_Toc19365"/>
      <w:r>
        <w:rPr>
          <w:rFonts w:hint="eastAsia"/>
          <w:lang w:val="en-US" w:eastAsia="zh-CN"/>
        </w:rPr>
        <w:t>投标人具有依法缴纳税收和社会保障资金的良好记录的证明材料</w:t>
      </w:r>
      <w:bookmarkEnd w:id="837"/>
      <w:bookmarkEnd w:id="838"/>
      <w:bookmarkEnd w:id="840"/>
      <w:bookmarkEnd w:id="841"/>
    </w:p>
    <w:bookmarkEnd w:id="839"/>
    <w:p>
      <w:pPr>
        <w:pStyle w:val="44"/>
        <w:bidi w:val="0"/>
        <w:rPr>
          <w:rFonts w:hint="eastAsia"/>
        </w:rPr>
      </w:pPr>
      <w:r>
        <w:rPr>
          <w:rFonts w:hint="eastAsia"/>
        </w:rPr>
        <w:t>提供</w:t>
      </w:r>
      <w:r>
        <w:rPr>
          <w:rFonts w:hint="eastAsia"/>
          <w:lang w:val="en-US" w:eastAsia="zh-CN"/>
        </w:rPr>
        <w:t>具有</w:t>
      </w:r>
      <w:r>
        <w:rPr>
          <w:rFonts w:hint="eastAsia"/>
          <w:lang w:val="zh-CN"/>
        </w:rPr>
        <w:t>依法缴纳税收和社会保障资金的良好记录</w:t>
      </w:r>
      <w:r>
        <w:rPr>
          <w:rFonts w:hint="eastAsia"/>
        </w:rPr>
        <w:t>的承诺函</w:t>
      </w:r>
      <w:r>
        <w:rPr>
          <w:rFonts w:hint="eastAsia"/>
          <w:lang w:eastAsia="zh-CN"/>
        </w:rPr>
        <w:t>。</w:t>
      </w:r>
    </w:p>
    <w:p>
      <w:pPr>
        <w:pStyle w:val="45"/>
        <w:bidi w:val="0"/>
        <w:rPr>
          <w:rFonts w:hint="default"/>
          <w:lang w:val="en-US" w:eastAsia="zh-CN"/>
        </w:rPr>
      </w:pPr>
      <w:r>
        <w:rPr>
          <w:rFonts w:hint="eastAsia"/>
          <w:lang w:val="en-US" w:eastAsia="zh-CN"/>
        </w:rPr>
        <w:t>注：格式自拟，或参照《符合&lt;中华人民共和国政府采购法&gt;第二十二条规定的条件的承诺及声明函》的格式提供承诺函。</w:t>
      </w:r>
    </w:p>
    <w:p>
      <w:pPr>
        <w:pStyle w:val="40"/>
        <w:bidi w:val="0"/>
        <w:rPr>
          <w:rFonts w:hint="eastAsia"/>
          <w:lang w:val="en-US" w:eastAsia="zh-CN"/>
        </w:rPr>
      </w:pPr>
      <w:r>
        <w:rPr>
          <w:rFonts w:hint="eastAsia"/>
          <w:lang w:val="en-US" w:eastAsia="zh-CN"/>
        </w:rPr>
        <w:br w:type="page"/>
      </w:r>
    </w:p>
    <w:p>
      <w:pPr>
        <w:pStyle w:val="42"/>
        <w:numPr>
          <w:ilvl w:val="0"/>
          <w:numId w:val="19"/>
        </w:numPr>
        <w:bidi w:val="0"/>
        <w:ind w:left="0" w:leftChars="0" w:firstLine="0" w:firstLineChars="0"/>
        <w:rPr>
          <w:rFonts w:hint="eastAsia"/>
          <w:lang w:val="en-US" w:eastAsia="zh-CN"/>
        </w:rPr>
      </w:pPr>
      <w:bookmarkStart w:id="842" w:name="_Toc13106"/>
      <w:bookmarkStart w:id="843" w:name="_Toc15870"/>
      <w:bookmarkStart w:id="844" w:name="_Toc16336"/>
      <w:bookmarkStart w:id="845" w:name="_Toc14829"/>
      <w:r>
        <w:rPr>
          <w:rFonts w:hint="eastAsia"/>
          <w:lang w:val="en-US" w:eastAsia="zh-CN"/>
        </w:rPr>
        <w:t>投标人具有履行合同所必需的设备和专业技术能力证明材料</w:t>
      </w:r>
      <w:bookmarkEnd w:id="842"/>
      <w:bookmarkEnd w:id="843"/>
      <w:bookmarkEnd w:id="844"/>
      <w:bookmarkEnd w:id="845"/>
    </w:p>
    <w:p>
      <w:pPr>
        <w:pStyle w:val="44"/>
        <w:bidi w:val="0"/>
        <w:rPr>
          <w:rFonts w:hint="eastAsia"/>
          <w:lang w:val="en-US" w:eastAsia="zh-CN"/>
        </w:rPr>
      </w:pPr>
      <w:r>
        <w:rPr>
          <w:rFonts w:hint="eastAsia"/>
          <w:lang w:val="en-US" w:eastAsia="zh-CN"/>
        </w:rPr>
        <w:t>提供具有履行合同所必需的设备和专业技术能力的承诺函。</w:t>
      </w:r>
    </w:p>
    <w:p>
      <w:pPr>
        <w:pStyle w:val="45"/>
        <w:bidi w:val="0"/>
        <w:rPr>
          <w:rFonts w:hint="eastAsia"/>
          <w:lang w:val="en-US" w:eastAsia="zh-CN"/>
        </w:rPr>
      </w:pPr>
      <w:r>
        <w:rPr>
          <w:rFonts w:hint="eastAsia"/>
          <w:lang w:val="en-US" w:eastAsia="zh-CN"/>
        </w:rPr>
        <w:t>注：格式自拟，或参照《符合&lt;中华人民共和国政府采购法&gt;第二十二条规定的条件的承诺及声明函》的格式提供承诺函。</w:t>
      </w:r>
    </w:p>
    <w:p>
      <w:pPr>
        <w:pStyle w:val="40"/>
        <w:bidi w:val="0"/>
        <w:rPr>
          <w:rFonts w:hint="eastAsia"/>
          <w:lang w:val="en-US" w:eastAsia="zh-CN"/>
        </w:rPr>
      </w:pPr>
      <w:r>
        <w:rPr>
          <w:rFonts w:hint="eastAsia"/>
          <w:lang w:val="en-US" w:eastAsia="zh-CN"/>
        </w:rPr>
        <w:br w:type="page"/>
      </w:r>
    </w:p>
    <w:p>
      <w:pPr>
        <w:pStyle w:val="42"/>
        <w:numPr>
          <w:ilvl w:val="0"/>
          <w:numId w:val="19"/>
        </w:numPr>
        <w:bidi w:val="0"/>
        <w:ind w:left="0" w:leftChars="0" w:firstLine="0" w:firstLineChars="0"/>
        <w:rPr>
          <w:rFonts w:hint="eastAsia"/>
          <w:lang w:val="en-US" w:eastAsia="zh-CN"/>
        </w:rPr>
      </w:pPr>
      <w:bookmarkStart w:id="846" w:name="_Toc9968"/>
      <w:bookmarkStart w:id="847" w:name="_Toc23339"/>
      <w:bookmarkStart w:id="848" w:name="_Toc21379"/>
      <w:r>
        <w:rPr>
          <w:rFonts w:hint="eastAsia"/>
          <w:lang w:val="en-US" w:eastAsia="zh-CN"/>
        </w:rPr>
        <w:t>投标人参加政府采购活动前三年内，在经营活动中没有重大违法记录的证明材料</w:t>
      </w:r>
      <w:bookmarkEnd w:id="846"/>
      <w:bookmarkEnd w:id="847"/>
      <w:bookmarkEnd w:id="848"/>
    </w:p>
    <w:p>
      <w:pPr>
        <w:pStyle w:val="44"/>
        <w:bidi w:val="0"/>
        <w:rPr>
          <w:rFonts w:hint="eastAsia"/>
          <w:lang w:val="en-US" w:eastAsia="zh-CN"/>
        </w:rPr>
      </w:pPr>
      <w:bookmarkStart w:id="849" w:name="_Toc14299"/>
      <w:bookmarkStart w:id="850" w:name="_Toc9591"/>
      <w:r>
        <w:rPr>
          <w:rFonts w:hint="eastAsia"/>
          <w:lang w:val="en-US" w:eastAsia="zh-CN"/>
        </w:rPr>
        <w:t>投标人提供参加本次政府采购活动前三年内，在经营活动中没有重大违法记录的书面声明(成立不足三年的，从成立之日起计算)。</w:t>
      </w:r>
    </w:p>
    <w:p>
      <w:pPr>
        <w:pStyle w:val="45"/>
        <w:bidi w:val="0"/>
        <w:rPr>
          <w:rFonts w:hint="default"/>
          <w:lang w:val="en-US" w:eastAsia="zh-CN"/>
        </w:rPr>
      </w:pPr>
      <w:bookmarkStart w:id="851" w:name="_Toc7540"/>
      <w:bookmarkStart w:id="852" w:name="_Toc26284"/>
      <w:r>
        <w:rPr>
          <w:rFonts w:hint="eastAsia"/>
          <w:lang w:val="en-US" w:eastAsia="zh-CN"/>
        </w:rPr>
        <w:t>注：格式自拟，或参照《符合&lt;中华人民共和国政府采购法&gt;第二十二条规定的条件的承诺及声明函》的格式提供声明函。如有重大违法记录的，投标人将被认定投标无效或被取消中标资格。</w:t>
      </w:r>
    </w:p>
    <w:bookmarkEnd w:id="849"/>
    <w:bookmarkEnd w:id="850"/>
    <w:bookmarkEnd w:id="851"/>
    <w:bookmarkEnd w:id="852"/>
    <w:p>
      <w:pPr>
        <w:pStyle w:val="42"/>
        <w:numPr>
          <w:ilvl w:val="0"/>
          <w:numId w:val="19"/>
        </w:numPr>
        <w:bidi w:val="0"/>
        <w:ind w:left="0" w:leftChars="0" w:firstLine="0" w:firstLineChars="0"/>
        <w:rPr>
          <w:rFonts w:hint="eastAsia"/>
          <w:lang w:val="zh-CN" w:eastAsia="zh-CN"/>
        </w:rPr>
      </w:pPr>
      <w:bookmarkStart w:id="853" w:name="_Toc3840"/>
      <w:bookmarkStart w:id="854" w:name="_Toc27034"/>
      <w:bookmarkStart w:id="855" w:name="_Toc17558"/>
      <w:bookmarkStart w:id="856" w:name="_Toc685"/>
      <w:bookmarkStart w:id="857" w:name="_Toc29042"/>
      <w:r>
        <w:rPr>
          <w:rFonts w:hint="eastAsia"/>
          <w:lang w:val="en-US" w:eastAsia="zh-CN"/>
        </w:rPr>
        <w:t>投标人</w:t>
      </w:r>
      <w:r>
        <w:rPr>
          <w:rFonts w:hint="eastAsia"/>
          <w:lang w:val="zh-CN" w:eastAsia="zh-CN"/>
        </w:rPr>
        <w:t>及其现任法定代表人、主要负责人不得具有行贿犯罪记录</w:t>
      </w:r>
      <w:r>
        <w:rPr>
          <w:rFonts w:hint="eastAsia"/>
          <w:lang w:val="en-US" w:eastAsia="zh-CN"/>
        </w:rPr>
        <w:t>的</w:t>
      </w:r>
      <w:bookmarkEnd w:id="853"/>
      <w:bookmarkEnd w:id="854"/>
      <w:bookmarkEnd w:id="855"/>
      <w:r>
        <w:rPr>
          <w:rFonts w:hint="eastAsia"/>
          <w:lang w:val="en-US" w:eastAsia="zh-CN"/>
        </w:rPr>
        <w:t>承诺函</w:t>
      </w:r>
      <w:bookmarkEnd w:id="856"/>
      <w:bookmarkEnd w:id="857"/>
    </w:p>
    <w:p>
      <w:pPr>
        <w:pStyle w:val="40"/>
        <w:keepNext w:val="0"/>
        <w:keepLines w:val="0"/>
        <w:pageBreakBefore w:val="0"/>
        <w:widowControl w:val="0"/>
        <w:kinsoku/>
        <w:wordWrap w:val="0"/>
        <w:overflowPunct/>
        <w:topLinePunct/>
        <w:autoSpaceDE/>
        <w:autoSpaceDN/>
        <w:bidi w:val="0"/>
        <w:adjustRightInd/>
        <w:snapToGrid/>
        <w:ind w:left="0" w:leftChars="0" w:firstLine="0" w:firstLineChars="0"/>
        <w:textAlignment w:val="auto"/>
        <w:rPr>
          <w:rFonts w:hint="eastAsia"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采购代理机构名称</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w:t>
      </w:r>
    </w:p>
    <w:p>
      <w:pPr>
        <w:pStyle w:val="40"/>
        <w:keepNext w:val="0"/>
        <w:keepLines w:val="0"/>
        <w:pageBreakBefore w:val="0"/>
        <w:widowControl w:val="0"/>
        <w:kinsoku/>
        <w:wordWrap w:val="0"/>
        <w:overflowPunct/>
        <w:topLinePunct/>
        <w:autoSpaceDE/>
        <w:autoSpaceDN/>
        <w:bidi w:val="0"/>
        <w:adjustRightInd/>
        <w:snapToGrid/>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我</w:t>
      </w:r>
      <w:r>
        <w:rPr>
          <w:rFonts w:hint="eastAsia" w:cs="宋体"/>
          <w:color w:val="auto"/>
          <w:highlight w:val="none"/>
          <w:lang w:val="en-US" w:eastAsia="zh-CN"/>
        </w:rPr>
        <w:t>单位</w:t>
      </w:r>
      <w:r>
        <w:rPr>
          <w:rFonts w:hint="eastAsia" w:ascii="宋体" w:hAnsi="宋体" w:eastAsia="宋体" w:cs="宋体"/>
          <w:color w:val="auto"/>
          <w:highlight w:val="none"/>
        </w:rPr>
        <w:t>作为本次采购项目的</w:t>
      </w:r>
      <w:r>
        <w:rPr>
          <w:rFonts w:hint="eastAsia" w:cs="宋体"/>
          <w:color w:val="auto"/>
          <w:highlight w:val="none"/>
          <w:lang w:eastAsia="zh-CN"/>
        </w:rPr>
        <w:t>投标人</w:t>
      </w:r>
      <w:r>
        <w:rPr>
          <w:rFonts w:hint="eastAsia" w:ascii="宋体" w:hAnsi="宋体" w:eastAsia="宋体" w:cs="宋体"/>
          <w:color w:val="auto"/>
          <w:highlight w:val="none"/>
        </w:rPr>
        <w:t>，根据</w:t>
      </w:r>
      <w:r>
        <w:rPr>
          <w:rFonts w:hint="eastAsia" w:cs="宋体"/>
          <w:color w:val="auto"/>
          <w:highlight w:val="none"/>
          <w:lang w:val="en-US" w:eastAsia="zh-CN"/>
        </w:rPr>
        <w:t>招标</w:t>
      </w:r>
      <w:r>
        <w:rPr>
          <w:rFonts w:hint="eastAsia" w:ascii="宋体" w:hAnsi="宋体" w:eastAsia="宋体" w:cs="宋体"/>
          <w:color w:val="auto"/>
          <w:highlight w:val="none"/>
          <w:lang w:eastAsia="zh-CN"/>
        </w:rPr>
        <w:t>文件</w:t>
      </w:r>
      <w:r>
        <w:rPr>
          <w:rFonts w:hint="eastAsia" w:ascii="宋体" w:hAnsi="宋体" w:eastAsia="宋体" w:cs="宋体"/>
          <w:color w:val="auto"/>
          <w:highlight w:val="none"/>
        </w:rPr>
        <w:t>要求，现郑重承诺如下：</w:t>
      </w:r>
    </w:p>
    <w:p>
      <w:pPr>
        <w:pStyle w:val="44"/>
        <w:keepNext w:val="0"/>
        <w:keepLines w:val="0"/>
        <w:pageBreakBefore w:val="0"/>
        <w:widowControl w:val="0"/>
        <w:kinsoku/>
        <w:wordWrap w:val="0"/>
        <w:overflowPunct/>
        <w:topLinePunct/>
        <w:autoSpaceDE/>
        <w:autoSpaceDN/>
        <w:bidi w:val="0"/>
        <w:adjustRightInd/>
        <w:snapToGrid/>
        <w:textAlignment w:val="auto"/>
        <w:rPr>
          <w:rFonts w:hint="eastAsia" w:ascii="宋体" w:hAnsi="宋体" w:eastAsia="宋体" w:cs="宋体"/>
          <w:color w:val="auto"/>
          <w:highlight w:val="none"/>
          <w:u w:val="single"/>
          <w:lang w:val="en-US" w:eastAsia="zh-CN"/>
        </w:rPr>
      </w:pPr>
      <w:r>
        <w:rPr>
          <w:rFonts w:hint="eastAsia" w:cs="宋体"/>
          <w:color w:val="auto"/>
          <w:highlight w:val="none"/>
          <w:u w:val="single"/>
          <w:lang w:val="en-US" w:eastAsia="zh-CN"/>
        </w:rPr>
        <w:t xml:space="preserve">           </w:t>
      </w:r>
      <w:r>
        <w:rPr>
          <w:rFonts w:hint="eastAsia" w:cs="宋体"/>
          <w:b w:val="0"/>
          <w:bCs w:val="0"/>
          <w:color w:val="auto"/>
          <w:highlight w:val="none"/>
          <w:lang w:val="en-US" w:eastAsia="zh-CN"/>
        </w:rPr>
        <w:t>(投标人名称)及其现任法定代表人</w:t>
      </w:r>
      <w:r>
        <w:rPr>
          <w:rFonts w:hint="eastAsia" w:cs="宋体"/>
          <w:b w:val="0"/>
          <w:bCs w:val="0"/>
          <w:color w:val="auto"/>
          <w:highlight w:val="none"/>
          <w:u w:val="single"/>
          <w:lang w:val="en-US" w:eastAsia="zh-CN"/>
        </w:rPr>
        <w:t xml:space="preserve">       </w:t>
      </w:r>
      <w:r>
        <w:rPr>
          <w:rFonts w:hint="eastAsia" w:cs="宋体"/>
          <w:b w:val="0"/>
          <w:bCs w:val="0"/>
          <w:color w:val="auto"/>
          <w:highlight w:val="none"/>
          <w:u w:val="none"/>
          <w:lang w:val="en-US" w:eastAsia="zh-CN"/>
        </w:rPr>
        <w:t>(姓名)、</w:t>
      </w:r>
      <w:r>
        <w:rPr>
          <w:rFonts w:hint="eastAsia" w:cs="宋体"/>
          <w:b w:val="0"/>
          <w:bCs w:val="0"/>
          <w:color w:val="auto"/>
          <w:highlight w:val="none"/>
          <w:u w:val="single"/>
          <w:lang w:val="en-US" w:eastAsia="zh-CN"/>
        </w:rPr>
        <w:t xml:space="preserve">      </w:t>
      </w:r>
      <w:r>
        <w:rPr>
          <w:rFonts w:hint="eastAsia" w:cs="宋体"/>
          <w:b w:val="0"/>
          <w:bCs w:val="0"/>
          <w:color w:val="auto"/>
          <w:highlight w:val="none"/>
          <w:u w:val="none"/>
          <w:lang w:val="en-US" w:eastAsia="zh-CN"/>
        </w:rPr>
        <w:t>(身份证号码)，主要负责人</w:t>
      </w:r>
      <w:r>
        <w:rPr>
          <w:rFonts w:hint="eastAsia" w:cs="宋体"/>
          <w:b w:val="0"/>
          <w:bCs w:val="0"/>
          <w:color w:val="auto"/>
          <w:highlight w:val="none"/>
          <w:u w:val="single"/>
          <w:lang w:val="en-US" w:eastAsia="zh-CN"/>
        </w:rPr>
        <w:t xml:space="preserve">       </w:t>
      </w:r>
      <w:r>
        <w:rPr>
          <w:rFonts w:hint="eastAsia" w:cs="宋体"/>
          <w:b w:val="0"/>
          <w:bCs w:val="0"/>
          <w:color w:val="auto"/>
          <w:highlight w:val="none"/>
          <w:u w:val="none"/>
          <w:lang w:val="en-US" w:eastAsia="zh-CN"/>
        </w:rPr>
        <w:t>(姓名)、</w:t>
      </w:r>
      <w:r>
        <w:rPr>
          <w:rFonts w:hint="eastAsia" w:cs="宋体"/>
          <w:b w:val="0"/>
          <w:bCs w:val="0"/>
          <w:color w:val="auto"/>
          <w:highlight w:val="none"/>
          <w:u w:val="single"/>
          <w:lang w:val="en-US" w:eastAsia="zh-CN"/>
        </w:rPr>
        <w:t xml:space="preserve">         </w:t>
      </w:r>
      <w:r>
        <w:rPr>
          <w:rFonts w:hint="eastAsia" w:cs="宋体"/>
          <w:b w:val="0"/>
          <w:bCs w:val="0"/>
          <w:color w:val="auto"/>
          <w:highlight w:val="none"/>
          <w:u w:val="none"/>
          <w:lang w:val="en-US" w:eastAsia="zh-CN"/>
        </w:rPr>
        <w:t>(身份证号码)，</w:t>
      </w:r>
      <w:r>
        <w:rPr>
          <w:rFonts w:hint="eastAsia" w:cs="宋体"/>
          <w:b w:val="0"/>
          <w:bCs w:val="0"/>
          <w:color w:val="auto"/>
          <w:highlight w:val="none"/>
          <w:u w:val="single"/>
          <w:lang w:val="en-US" w:eastAsia="zh-CN"/>
        </w:rPr>
        <w:t xml:space="preserve">        </w:t>
      </w:r>
      <w:r>
        <w:rPr>
          <w:rFonts w:hint="eastAsia" w:cs="宋体"/>
          <w:color w:val="auto"/>
          <w:highlight w:val="none"/>
          <w:u w:val="none"/>
          <w:lang w:val="en-US" w:eastAsia="zh-CN"/>
        </w:rPr>
        <w:t xml:space="preserve">(无行贿犯罪记录的期限)均无行贿犯罪记录。     </w:t>
      </w:r>
    </w:p>
    <w:p>
      <w:pPr>
        <w:pStyle w:val="44"/>
        <w:keepNext w:val="0"/>
        <w:keepLines w:val="0"/>
        <w:pageBreakBefore w:val="0"/>
        <w:widowControl w:val="0"/>
        <w:kinsoku/>
        <w:wordWrap w:val="0"/>
        <w:overflowPunct/>
        <w:topLinePunct/>
        <w:autoSpaceDE/>
        <w:autoSpaceDN/>
        <w:bidi w:val="0"/>
        <w:adjustRightInd/>
        <w:snapToGrid/>
        <w:textAlignment w:val="auto"/>
        <w:rPr>
          <w:rFonts w:hint="eastAsia" w:ascii="宋体" w:hAnsi="宋体" w:eastAsia="宋体" w:cs="宋体"/>
          <w:color w:val="auto"/>
          <w:highlight w:val="none"/>
        </w:rPr>
      </w:pPr>
      <w:r>
        <w:rPr>
          <w:rFonts w:hint="eastAsia" w:ascii="宋体" w:hAnsi="宋体" w:eastAsia="宋体" w:cs="宋体"/>
          <w:color w:val="auto"/>
          <w:highlight w:val="none"/>
        </w:rPr>
        <w:t>我</w:t>
      </w:r>
      <w:r>
        <w:rPr>
          <w:rFonts w:hint="eastAsia" w:cs="宋体"/>
          <w:color w:val="auto"/>
          <w:highlight w:val="none"/>
          <w:lang w:val="en-US" w:eastAsia="zh-CN"/>
        </w:rPr>
        <w:t>单位</w:t>
      </w:r>
      <w:r>
        <w:rPr>
          <w:rFonts w:hint="eastAsia" w:ascii="宋体" w:hAnsi="宋体" w:eastAsia="宋体" w:cs="宋体"/>
          <w:color w:val="auto"/>
          <w:highlight w:val="none"/>
        </w:rPr>
        <w:t>对上述承诺的内容事项真实性</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合法</w:t>
      </w:r>
      <w:r>
        <w:rPr>
          <w:rFonts w:hint="eastAsia" w:ascii="宋体" w:hAnsi="宋体" w:eastAsia="宋体" w:cs="宋体"/>
          <w:color w:val="auto"/>
          <w:highlight w:val="none"/>
          <w:lang w:val="en-US" w:eastAsia="zh-CN"/>
        </w:rPr>
        <w:t>性</w:t>
      </w:r>
      <w:r>
        <w:rPr>
          <w:rFonts w:hint="eastAsia" w:ascii="宋体" w:hAnsi="宋体" w:eastAsia="宋体" w:cs="宋体"/>
          <w:color w:val="auto"/>
          <w:highlight w:val="none"/>
        </w:rPr>
        <w:t>负责。如经查实上述承诺的内容事项存在虚假，我</w:t>
      </w:r>
      <w:r>
        <w:rPr>
          <w:rFonts w:hint="eastAsia" w:cs="宋体"/>
          <w:color w:val="auto"/>
          <w:highlight w:val="none"/>
          <w:lang w:val="en-US" w:eastAsia="zh-CN"/>
        </w:rPr>
        <w:t>单位</w:t>
      </w:r>
      <w:r>
        <w:rPr>
          <w:rFonts w:hint="eastAsia" w:ascii="宋体" w:hAnsi="宋体" w:eastAsia="宋体" w:cs="宋体"/>
          <w:color w:val="auto"/>
          <w:highlight w:val="none"/>
          <w:lang w:val="en-US" w:eastAsia="zh-CN"/>
        </w:rPr>
        <w:t>自愿</w:t>
      </w:r>
      <w:r>
        <w:rPr>
          <w:rFonts w:hint="eastAsia" w:ascii="宋体" w:hAnsi="宋体" w:eastAsia="宋体" w:cs="宋体"/>
          <w:color w:val="auto"/>
          <w:highlight w:val="none"/>
        </w:rPr>
        <w:t>接受以提供虚假材料谋取</w:t>
      </w:r>
      <w:r>
        <w:rPr>
          <w:rFonts w:hint="eastAsia" w:cs="宋体"/>
          <w:color w:val="auto"/>
          <w:highlight w:val="none"/>
          <w:lang w:val="en-US" w:eastAsia="zh-CN"/>
        </w:rPr>
        <w:t>中标</w:t>
      </w:r>
      <w:r>
        <w:rPr>
          <w:rFonts w:hint="eastAsia" w:ascii="宋体" w:hAnsi="宋体" w:eastAsia="宋体" w:cs="宋体"/>
          <w:color w:val="auto"/>
          <w:highlight w:val="none"/>
          <w:lang w:val="en-US" w:eastAsia="zh-CN"/>
        </w:rPr>
        <w:t>所带来的所有</w:t>
      </w:r>
      <w:r>
        <w:rPr>
          <w:rFonts w:hint="eastAsia" w:ascii="宋体" w:hAnsi="宋体" w:eastAsia="宋体" w:cs="宋体"/>
          <w:color w:val="auto"/>
          <w:highlight w:val="none"/>
        </w:rPr>
        <w:t>法律责任。</w:t>
      </w:r>
    </w:p>
    <w:p>
      <w:pPr>
        <w:pStyle w:val="40"/>
        <w:keepNext w:val="0"/>
        <w:keepLines w:val="0"/>
        <w:pageBreakBefore w:val="0"/>
        <w:widowControl w:val="0"/>
        <w:kinsoku/>
        <w:wordWrap w:val="0"/>
        <w:overflowPunct/>
        <w:topLinePunct/>
        <w:autoSpaceDE/>
        <w:autoSpaceDN/>
        <w:bidi w:val="0"/>
        <w:adjustRightInd/>
        <w:snapToGrid/>
        <w:textAlignment w:val="auto"/>
        <w:rPr>
          <w:rFonts w:hint="eastAsia" w:ascii="宋体" w:hAnsi="宋体" w:eastAsia="宋体" w:cs="宋体"/>
          <w:color w:val="auto"/>
          <w:highlight w:val="none"/>
          <w:lang w:val="en-US" w:eastAsia="zh-CN"/>
        </w:rPr>
      </w:pPr>
    </w:p>
    <w:p>
      <w:pPr>
        <w:pStyle w:val="40"/>
        <w:keepNext w:val="0"/>
        <w:keepLines w:val="0"/>
        <w:pageBreakBefore w:val="0"/>
        <w:widowControl w:val="0"/>
        <w:kinsoku/>
        <w:wordWrap w:val="0"/>
        <w:overflowPunct/>
        <w:topLinePunct/>
        <w:autoSpaceDE/>
        <w:autoSpaceDN/>
        <w:bidi w:val="0"/>
        <w:adjustRightInd/>
        <w:snapToGrid/>
        <w:textAlignment w:val="auto"/>
        <w:rPr>
          <w:rFonts w:hint="eastAsia" w:ascii="宋体" w:hAnsi="宋体" w:eastAsia="宋体" w:cs="宋体"/>
          <w:color w:val="auto"/>
          <w:highlight w:val="none"/>
          <w:lang w:val="en-US" w:eastAsia="zh-CN"/>
        </w:rPr>
      </w:pPr>
    </w:p>
    <w:p>
      <w:pPr>
        <w:pStyle w:val="44"/>
        <w:bidi w:val="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pStyle w:val="61"/>
        <w:keepNext w:val="0"/>
        <w:keepLines w:val="0"/>
        <w:pageBreakBefore w:val="0"/>
        <w:widowControl w:val="0"/>
        <w:numPr>
          <w:ilvl w:val="3"/>
          <w:numId w:val="0"/>
        </w:numPr>
        <w:kinsoku/>
        <w:wordWrap w:val="0"/>
        <w:overflowPunct/>
        <w:topLinePunct/>
        <w:autoSpaceDE/>
        <w:autoSpaceDN/>
        <w:bidi w:val="0"/>
        <w:adjustRightInd/>
        <w:snapToGrid/>
        <w:ind w:leftChars="0" w:firstLine="480" w:firstLineChars="200"/>
        <w:textAlignment w:val="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val="en-US" w:eastAsia="zh-CN"/>
        </w:rPr>
        <w:t>投标</w:t>
      </w:r>
      <w:r>
        <w:rPr>
          <w:rFonts w:hint="eastAsia" w:ascii="宋体" w:hAnsi="宋体" w:eastAsia="宋体" w:cs="宋体"/>
          <w:color w:val="auto"/>
          <w:highlight w:val="none"/>
        </w:rPr>
        <w:t>日期：</w:t>
      </w:r>
      <w:r>
        <w:rPr>
          <w:rFonts w:hint="eastAsia" w:ascii="宋体" w:hAnsi="宋体" w:eastAsia="宋体" w:cs="宋体"/>
          <w:color w:val="auto"/>
          <w:highlight w:val="none"/>
          <w:u w:val="single"/>
          <w:lang w:val="en-US" w:eastAsia="zh-CN"/>
        </w:rPr>
        <w:t xml:space="preserve">                  </w:t>
      </w:r>
    </w:p>
    <w:p>
      <w:pPr>
        <w:pStyle w:val="61"/>
        <w:keepNext w:val="0"/>
        <w:keepLines w:val="0"/>
        <w:pageBreakBefore w:val="0"/>
        <w:widowControl w:val="0"/>
        <w:numPr>
          <w:ilvl w:val="3"/>
          <w:numId w:val="0"/>
        </w:numPr>
        <w:kinsoku/>
        <w:wordWrap w:val="0"/>
        <w:overflowPunct/>
        <w:topLinePunct/>
        <w:autoSpaceDE/>
        <w:autoSpaceDN/>
        <w:bidi w:val="0"/>
        <w:adjustRightInd/>
        <w:snapToGrid/>
        <w:ind w:leftChars="0" w:firstLine="480" w:firstLineChars="200"/>
        <w:textAlignment w:val="auto"/>
        <w:rPr>
          <w:rFonts w:hint="eastAsia" w:ascii="宋体" w:hAnsi="宋体" w:eastAsia="宋体" w:cs="宋体"/>
          <w:color w:val="auto"/>
          <w:highlight w:val="none"/>
          <w:u w:val="single"/>
          <w:lang w:val="en-US" w:eastAsia="zh-CN"/>
        </w:rPr>
      </w:pPr>
    </w:p>
    <w:p>
      <w:pPr>
        <w:pStyle w:val="61"/>
        <w:keepNext w:val="0"/>
        <w:keepLines w:val="0"/>
        <w:pageBreakBefore w:val="0"/>
        <w:widowControl w:val="0"/>
        <w:numPr>
          <w:ilvl w:val="3"/>
          <w:numId w:val="0"/>
        </w:numPr>
        <w:kinsoku/>
        <w:wordWrap w:val="0"/>
        <w:overflowPunct/>
        <w:topLinePunct/>
        <w:autoSpaceDE/>
        <w:autoSpaceDN/>
        <w:bidi w:val="0"/>
        <w:adjustRightInd w:val="0"/>
        <w:snapToGrid w:val="0"/>
        <w:ind w:leftChars="0" w:firstLine="482" w:firstLineChars="200"/>
        <w:textAlignment w:val="auto"/>
        <w:rPr>
          <w:rFonts w:hint="default" w:cs="宋体"/>
          <w:b/>
          <w:bCs/>
          <w:color w:val="auto"/>
          <w:highlight w:val="none"/>
          <w:u w:val="none"/>
          <w:lang w:val="en-US" w:eastAsia="zh-CN"/>
        </w:rPr>
      </w:pPr>
      <w:r>
        <w:rPr>
          <w:rFonts w:hint="eastAsia"/>
          <w:b/>
          <w:bCs/>
          <w:color w:val="auto"/>
          <w:highlight w:val="none"/>
          <w:lang w:val="en-US" w:eastAsia="zh-CN"/>
        </w:rPr>
        <w:t>注：①投标人成立时间超过十年的，在“</w:t>
      </w:r>
      <w:r>
        <w:rPr>
          <w:rFonts w:hint="eastAsia" w:cs="宋体"/>
          <w:b/>
          <w:bCs/>
          <w:color w:val="auto"/>
          <w:highlight w:val="none"/>
          <w:u w:val="none"/>
          <w:lang w:val="en-US" w:eastAsia="zh-CN"/>
        </w:rPr>
        <w:t>无行贿犯罪记录的期限</w:t>
      </w:r>
      <w:r>
        <w:rPr>
          <w:rFonts w:hint="eastAsia"/>
          <w:b/>
          <w:bCs/>
          <w:color w:val="auto"/>
          <w:highlight w:val="none"/>
          <w:lang w:val="en-US" w:eastAsia="zh-CN"/>
        </w:rPr>
        <w:t>”</w:t>
      </w:r>
      <w:r>
        <w:rPr>
          <w:rFonts w:hint="eastAsia" w:cs="宋体"/>
          <w:b/>
          <w:bCs/>
          <w:color w:val="auto"/>
          <w:highlight w:val="none"/>
          <w:u w:val="none"/>
          <w:lang w:val="en-US" w:eastAsia="zh-CN"/>
        </w:rPr>
        <w:t>处填写“十年内”；投标人成立时间不足十年的，在“无行贿犯罪记录的期限”处填写“自我单位成立之日起至今”。②如有行贿犯罪记录的，投标人将被认定投标无效或被取消中标资格。</w:t>
      </w:r>
    </w:p>
    <w:p>
      <w:pPr>
        <w:pStyle w:val="42"/>
        <w:numPr>
          <w:ilvl w:val="0"/>
          <w:numId w:val="19"/>
        </w:numPr>
        <w:bidi w:val="0"/>
        <w:ind w:left="0" w:leftChars="0" w:firstLine="0" w:firstLineChars="0"/>
        <w:rPr>
          <w:rFonts w:hint="eastAsia"/>
          <w:lang w:val="en-US" w:eastAsia="zh-CN"/>
        </w:rPr>
      </w:pPr>
      <w:bookmarkStart w:id="858" w:name="_Toc2643"/>
      <w:r>
        <w:rPr>
          <w:rFonts w:hint="eastAsia"/>
          <w:lang w:val="en-US" w:eastAsia="zh-CN"/>
        </w:rPr>
        <w:t>根据采购项目的特殊要求，供应商提供具有特定条件</w:t>
      </w:r>
      <w:bookmarkEnd w:id="817"/>
      <w:r>
        <w:rPr>
          <w:rFonts w:hint="eastAsia"/>
          <w:lang w:val="en-US" w:eastAsia="zh-CN"/>
        </w:rPr>
        <w:t>的证明材料</w:t>
      </w:r>
      <w:bookmarkEnd w:id="818"/>
      <w:bookmarkEnd w:id="819"/>
      <w:bookmarkEnd w:id="858"/>
    </w:p>
    <w:p>
      <w:pPr>
        <w:pStyle w:val="4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highlight w:val="none"/>
          <w:lang w:val="en-US" w:eastAsia="zh-CN"/>
        </w:rPr>
      </w:pPr>
      <w:r>
        <w:rPr>
          <w:rFonts w:hint="eastAsia" w:ascii="宋体" w:hAnsi="宋体" w:eastAsia="宋体"/>
          <w:highlight w:val="none"/>
          <w:lang w:val="en-US" w:eastAsia="zh-CN"/>
        </w:rPr>
        <w:t>1.投标人</w:t>
      </w:r>
      <w:r>
        <w:rPr>
          <w:rFonts w:hint="eastAsia"/>
          <w:highlight w:val="none"/>
          <w:lang w:val="en-US" w:eastAsia="zh-CN"/>
        </w:rPr>
        <w:t>提供</w:t>
      </w:r>
      <w:r>
        <w:rPr>
          <w:rFonts w:hint="eastAsia" w:ascii="宋体" w:hAnsi="宋体" w:eastAsia="宋体"/>
          <w:highlight w:val="none"/>
          <w:lang w:val="en-US" w:eastAsia="zh-CN"/>
        </w:rPr>
        <w:t>交通运输主管部门颁发的公路工程试验检测综合甲级资质</w:t>
      </w:r>
      <w:r>
        <w:rPr>
          <w:rFonts w:hint="eastAsia"/>
          <w:highlight w:val="none"/>
          <w:lang w:val="en-US" w:eastAsia="zh-CN"/>
        </w:rPr>
        <w:t>证书复印件</w:t>
      </w:r>
      <w:r>
        <w:rPr>
          <w:rFonts w:hint="eastAsia" w:ascii="宋体" w:hAnsi="宋体" w:eastAsia="宋体"/>
          <w:highlight w:val="none"/>
          <w:lang w:val="en-US" w:eastAsia="zh-CN"/>
        </w:rPr>
        <w:t>，并</w:t>
      </w:r>
      <w:r>
        <w:rPr>
          <w:rFonts w:hint="eastAsia"/>
          <w:highlight w:val="none"/>
          <w:lang w:val="en-US" w:eastAsia="zh-CN"/>
        </w:rPr>
        <w:t>提供</w:t>
      </w:r>
      <w:r>
        <w:rPr>
          <w:rFonts w:hint="eastAsia" w:ascii="宋体" w:hAnsi="宋体" w:eastAsia="宋体"/>
          <w:highlight w:val="none"/>
          <w:lang w:val="en-US" w:eastAsia="zh-CN"/>
        </w:rPr>
        <w:t>省级及以上技术监督部门颁发的计量认证证书</w:t>
      </w:r>
      <w:r>
        <w:rPr>
          <w:rFonts w:hint="eastAsia"/>
          <w:highlight w:val="none"/>
          <w:lang w:val="en-US" w:eastAsia="zh-CN"/>
        </w:rPr>
        <w:t>复印件</w:t>
      </w:r>
      <w:r>
        <w:rPr>
          <w:rFonts w:hint="eastAsia" w:ascii="宋体" w:hAnsi="宋体" w:eastAsia="宋体"/>
          <w:highlight w:val="none"/>
          <w:lang w:val="en-US" w:eastAsia="zh-CN"/>
        </w:rPr>
        <w:t>。</w:t>
      </w:r>
    </w:p>
    <w:p>
      <w:pPr>
        <w:pStyle w:val="45"/>
        <w:ind w:firstLine="482"/>
        <w:rPr>
          <w:rFonts w:hint="eastAsia" w:ascii="宋体" w:hAnsi="宋体" w:eastAsia="宋体"/>
          <w:b w:val="0"/>
          <w:bCs/>
          <w:highlight w:val="none"/>
          <w:lang w:val="zh-CN" w:eastAsia="zh-CN"/>
        </w:rPr>
      </w:pPr>
      <w:r>
        <w:rPr>
          <w:rFonts w:hint="eastAsia"/>
          <w:b w:val="0"/>
          <w:bCs/>
          <w:highlight w:val="none"/>
          <w:lang w:val="en-US" w:eastAsia="zh-CN"/>
        </w:rPr>
        <w:t>2</w:t>
      </w:r>
      <w:r>
        <w:rPr>
          <w:rFonts w:hint="eastAsia" w:ascii="宋体" w:hAnsi="宋体" w:eastAsia="宋体"/>
          <w:b w:val="0"/>
          <w:bCs/>
          <w:highlight w:val="none"/>
          <w:lang w:val="en-US" w:eastAsia="zh-CN"/>
        </w:rPr>
        <w:t>.</w:t>
      </w:r>
      <w:r>
        <w:rPr>
          <w:rFonts w:hint="eastAsia"/>
          <w:b w:val="0"/>
          <w:bCs/>
          <w:highlight w:val="none"/>
          <w:lang w:val="en-US" w:eastAsia="zh-CN"/>
        </w:rPr>
        <w:t>提供未与其他投标供应商组成联合体参与本项目投标的承诺函</w:t>
      </w:r>
      <w:r>
        <w:rPr>
          <w:rFonts w:hint="eastAsia" w:ascii="宋体" w:hAnsi="宋体" w:eastAsia="宋体"/>
          <w:b w:val="0"/>
          <w:bCs/>
          <w:highlight w:val="none"/>
          <w:lang w:val="zh-CN" w:eastAsia="zh-CN"/>
        </w:rPr>
        <w:t>。</w:t>
      </w:r>
    </w:p>
    <w:p>
      <w:pPr>
        <w:pStyle w:val="45"/>
        <w:ind w:firstLine="482"/>
        <w:rPr>
          <w:rFonts w:cs="宋体" w:asciiTheme="minorEastAsia" w:hAnsiTheme="minorEastAsia" w:eastAsiaTheme="minorEastAsia"/>
        </w:rPr>
      </w:pPr>
      <w:r>
        <w:rPr>
          <w:rFonts w:hint="eastAsia" w:cs="宋体" w:asciiTheme="minorEastAsia" w:hAnsiTheme="minorEastAsia" w:eastAsiaTheme="minorEastAsia"/>
        </w:rPr>
        <w:t>注：</w:t>
      </w:r>
      <w:r>
        <w:rPr>
          <w:rFonts w:hint="eastAsia" w:cs="宋体" w:asciiTheme="minorEastAsia" w:hAnsiTheme="minorEastAsia" w:eastAsiaTheme="minorEastAsia"/>
          <w:lang w:val="en-US" w:eastAsia="zh-CN"/>
        </w:rPr>
        <w:t>承诺函</w:t>
      </w:r>
      <w:r>
        <w:rPr>
          <w:rFonts w:hint="eastAsia" w:cs="宋体" w:asciiTheme="minorEastAsia" w:hAnsiTheme="minorEastAsia" w:eastAsiaTheme="minorEastAsia"/>
        </w:rPr>
        <w:t>格式自拟，或参照《符合&lt;中华人民共和国政府采购法&gt;第二十二条规定的条件的承诺及声明函》的格式提供</w:t>
      </w:r>
      <w:r>
        <w:rPr>
          <w:rFonts w:hint="eastAsia" w:cs="宋体" w:asciiTheme="minorEastAsia" w:hAnsiTheme="minorEastAsia" w:eastAsiaTheme="minorEastAsia"/>
          <w:lang w:val="en-US" w:eastAsia="zh-CN"/>
        </w:rPr>
        <w:t>承诺</w:t>
      </w:r>
      <w:r>
        <w:rPr>
          <w:rFonts w:hint="eastAsia" w:cs="宋体" w:asciiTheme="minorEastAsia" w:hAnsiTheme="minorEastAsia" w:eastAsiaTheme="minorEastAsia"/>
        </w:rPr>
        <w:t>函。</w:t>
      </w:r>
    </w:p>
    <w:p>
      <w:pPr>
        <w:pStyle w:val="4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highlight w:val="none"/>
          <w:lang w:val="zh-CN" w:eastAsia="zh-CN"/>
        </w:rPr>
      </w:pPr>
    </w:p>
    <w:p>
      <w:pPr>
        <w:pStyle w:val="44"/>
        <w:bidi w:val="0"/>
        <w:rPr>
          <w:rFonts w:hint="eastAsia"/>
          <w:highlight w:val="yellow"/>
          <w:lang w:val="en-US" w:eastAsia="zh-CN"/>
        </w:rPr>
      </w:pPr>
    </w:p>
    <w:p>
      <w:pPr>
        <w:pStyle w:val="42"/>
        <w:numPr>
          <w:ilvl w:val="0"/>
          <w:numId w:val="19"/>
        </w:numPr>
        <w:bidi w:val="0"/>
        <w:ind w:left="0" w:leftChars="0" w:firstLine="0" w:firstLineChars="0"/>
        <w:rPr>
          <w:rFonts w:hint="eastAsia"/>
          <w:lang w:val="en-US" w:eastAsia="zh-CN"/>
        </w:rPr>
      </w:pPr>
      <w:bookmarkStart w:id="859" w:name="_Toc21855"/>
      <w:bookmarkStart w:id="860" w:name="_Toc9106"/>
      <w:bookmarkStart w:id="861" w:name="_Toc15708"/>
      <w:r>
        <w:rPr>
          <w:rFonts w:hint="eastAsia"/>
          <w:lang w:val="en-US" w:eastAsia="zh-CN"/>
        </w:rPr>
        <w:t>符合《中华人民共和国政府采购法》第二十二条规定的条件的承诺及声明函</w:t>
      </w:r>
      <w:bookmarkEnd w:id="859"/>
      <w:bookmarkEnd w:id="860"/>
      <w:bookmarkEnd w:id="861"/>
    </w:p>
    <w:p>
      <w:pPr>
        <w:pStyle w:val="40"/>
        <w:bidi w:val="0"/>
        <w:rPr>
          <w:rFonts w:hint="eastAsia"/>
        </w:rPr>
      </w:pPr>
      <w:r>
        <w:rPr>
          <w:rFonts w:hint="eastAsia"/>
          <w:u w:val="single"/>
        </w:rPr>
        <w:t xml:space="preserve">                   </w:t>
      </w:r>
      <w:r>
        <w:rPr>
          <w:rFonts w:hint="eastAsia"/>
          <w:lang w:eastAsia="zh-CN"/>
        </w:rPr>
        <w:t>(</w:t>
      </w:r>
      <w:r>
        <w:rPr>
          <w:rFonts w:hint="eastAsia"/>
        </w:rPr>
        <w:t>采购代理机构名称</w:t>
      </w:r>
      <w:r>
        <w:rPr>
          <w:rFonts w:hint="eastAsia"/>
          <w:lang w:eastAsia="zh-CN"/>
        </w:rPr>
        <w:t>)</w:t>
      </w:r>
      <w:r>
        <w:rPr>
          <w:rFonts w:hint="eastAsia"/>
        </w:rPr>
        <w:t>：</w:t>
      </w:r>
    </w:p>
    <w:p>
      <w:pPr>
        <w:pStyle w:val="40"/>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rPr>
      </w:pPr>
      <w:r>
        <w:rPr>
          <w:rFonts w:hint="eastAsia"/>
        </w:rPr>
        <w:t>我公司作为本次采购项目的</w:t>
      </w:r>
      <w:r>
        <w:rPr>
          <w:rFonts w:hint="eastAsia"/>
          <w:lang w:val="en-US" w:eastAsia="zh-CN"/>
        </w:rPr>
        <w:t>投标</w:t>
      </w:r>
      <w:r>
        <w:rPr>
          <w:rFonts w:hint="eastAsia"/>
        </w:rPr>
        <w:t>供应商，根据</w:t>
      </w:r>
      <w:r>
        <w:rPr>
          <w:rFonts w:hint="eastAsia"/>
          <w:lang w:val="en-US" w:eastAsia="zh-CN"/>
        </w:rPr>
        <w:t>招标</w:t>
      </w:r>
      <w:r>
        <w:rPr>
          <w:rFonts w:hint="eastAsia"/>
          <w:lang w:eastAsia="zh-CN"/>
        </w:rPr>
        <w:t>文件</w:t>
      </w:r>
      <w:r>
        <w:rPr>
          <w:rFonts w:hint="eastAsia"/>
        </w:rPr>
        <w:t>要求，现郑重承诺如下：</w:t>
      </w:r>
    </w:p>
    <w:p>
      <w:pPr>
        <w:pStyle w:val="33"/>
        <w:numPr>
          <w:ilvl w:val="2"/>
          <w:numId w:val="20"/>
        </w:numPr>
        <w:bidi w:val="0"/>
        <w:rPr>
          <w:rFonts w:hint="eastAsia"/>
        </w:rPr>
      </w:pPr>
      <w:r>
        <w:rPr>
          <w:rFonts w:hint="eastAsia"/>
        </w:rPr>
        <w:t xml:space="preserve">具有良好的商业信誉和健全的财务会计制度； </w:t>
      </w:r>
    </w:p>
    <w:p>
      <w:pPr>
        <w:pStyle w:val="33"/>
        <w:numPr>
          <w:ilvl w:val="2"/>
          <w:numId w:val="20"/>
        </w:numPr>
        <w:bidi w:val="0"/>
        <w:rPr>
          <w:rFonts w:hint="eastAsia"/>
        </w:rPr>
      </w:pPr>
      <w:r>
        <w:rPr>
          <w:rFonts w:hint="eastAsia"/>
        </w:rPr>
        <w:t xml:space="preserve">具有履行合同所必需的设备和专业技术能力； </w:t>
      </w:r>
    </w:p>
    <w:p>
      <w:pPr>
        <w:pStyle w:val="33"/>
        <w:numPr>
          <w:ilvl w:val="2"/>
          <w:numId w:val="20"/>
        </w:numPr>
        <w:bidi w:val="0"/>
        <w:rPr>
          <w:rFonts w:hint="eastAsia"/>
        </w:rPr>
      </w:pPr>
      <w:r>
        <w:rPr>
          <w:rFonts w:hint="eastAsia"/>
          <w:lang w:val="en-US" w:eastAsia="zh-CN"/>
        </w:rPr>
        <w:t>具</w:t>
      </w:r>
      <w:r>
        <w:rPr>
          <w:rFonts w:hint="eastAsia"/>
        </w:rPr>
        <w:t xml:space="preserve">有依法缴纳税收和社会保障资金的良好记录； </w:t>
      </w:r>
    </w:p>
    <w:p>
      <w:pPr>
        <w:pStyle w:val="33"/>
        <w:numPr>
          <w:ilvl w:val="2"/>
          <w:numId w:val="20"/>
        </w:numPr>
        <w:bidi w:val="0"/>
        <w:rPr>
          <w:rFonts w:hint="eastAsia"/>
        </w:rPr>
      </w:pPr>
      <w:r>
        <w:rPr>
          <w:rFonts w:hint="eastAsia"/>
        </w:rPr>
        <w:t>参加本次政府采购活动前三年内，在经营活动中</w:t>
      </w:r>
      <w:r>
        <w:rPr>
          <w:rFonts w:hint="eastAsia"/>
          <w:u w:val="single"/>
          <w:lang w:val="en-US" w:eastAsia="zh-CN"/>
        </w:rPr>
        <w:t xml:space="preserve">      </w:t>
      </w:r>
      <w:r>
        <w:rPr>
          <w:rFonts w:hint="eastAsia"/>
          <w:u w:val="none"/>
          <w:lang w:val="en-US" w:eastAsia="zh-CN"/>
        </w:rPr>
        <w:t>(</w:t>
      </w:r>
      <w:r>
        <w:rPr>
          <w:rFonts w:hint="eastAsia"/>
          <w:b/>
          <w:bCs/>
          <w:u w:val="none"/>
          <w:lang w:val="en-US" w:eastAsia="zh-CN"/>
        </w:rPr>
        <w:t>说明：填写“没有”或“有”</w:t>
      </w:r>
      <w:r>
        <w:rPr>
          <w:rFonts w:hint="eastAsia"/>
          <w:u w:val="none"/>
          <w:lang w:val="en-US" w:eastAsia="zh-CN"/>
        </w:rPr>
        <w:t>)</w:t>
      </w:r>
      <w:r>
        <w:rPr>
          <w:rFonts w:hint="eastAsia"/>
        </w:rPr>
        <w:t>重大违法记录(供应商成立不足三年的，从成立之日起计算)；</w:t>
      </w:r>
    </w:p>
    <w:p>
      <w:pPr>
        <w:pStyle w:val="33"/>
        <w:numPr>
          <w:ilvl w:val="2"/>
          <w:numId w:val="20"/>
        </w:numPr>
        <w:bidi w:val="0"/>
        <w:rPr>
          <w:rFonts w:hint="eastAsia"/>
          <w:highlight w:val="none"/>
        </w:rPr>
      </w:pPr>
      <w:r>
        <w:rPr>
          <w:rFonts w:hint="eastAsia"/>
          <w:highlight w:val="none"/>
          <w:lang w:val="en-US" w:eastAsia="zh-CN"/>
        </w:rPr>
        <w:t>符合</w:t>
      </w:r>
      <w:r>
        <w:rPr>
          <w:rFonts w:hint="eastAsia"/>
          <w:highlight w:val="none"/>
        </w:rPr>
        <w:t>法律、行政法规规定的其他条件</w:t>
      </w:r>
      <w:r>
        <w:rPr>
          <w:rFonts w:hint="eastAsia"/>
          <w:highlight w:val="none"/>
          <w:lang w:eastAsia="zh-CN"/>
        </w:rPr>
        <w:t>；</w:t>
      </w:r>
    </w:p>
    <w:p>
      <w:pPr>
        <w:pStyle w:val="33"/>
        <w:numPr>
          <w:ilvl w:val="2"/>
          <w:numId w:val="20"/>
        </w:numPr>
        <w:bidi w:val="0"/>
        <w:rPr>
          <w:rFonts w:hint="eastAsia"/>
          <w:highlight w:val="none"/>
        </w:rPr>
      </w:pPr>
      <w:r>
        <w:rPr>
          <w:rFonts w:hint="eastAsia"/>
          <w:b w:val="0"/>
          <w:bCs/>
          <w:highlight w:val="none"/>
          <w:lang w:val="en-US" w:eastAsia="zh-CN"/>
        </w:rPr>
        <w:t>未与其他投标供应商组成联合体参与本项目投标</w:t>
      </w:r>
      <w:r>
        <w:rPr>
          <w:rFonts w:hint="eastAsia"/>
          <w:highlight w:val="none"/>
          <w:lang w:val="en-US" w:eastAsia="zh-CN"/>
        </w:rPr>
        <w:t>。</w:t>
      </w:r>
    </w:p>
    <w:p>
      <w:pPr>
        <w:pStyle w:val="44"/>
        <w:bidi w:val="0"/>
        <w:rPr>
          <w:rFonts w:hint="eastAsia"/>
        </w:rPr>
      </w:pPr>
      <w:r>
        <w:rPr>
          <w:rFonts w:hint="eastAsia"/>
        </w:rPr>
        <w:t>本公司对上述承诺的内容事项真实性</w:t>
      </w:r>
      <w:r>
        <w:rPr>
          <w:rFonts w:hint="eastAsia"/>
          <w:lang w:eastAsia="zh-CN"/>
        </w:rPr>
        <w:t>、</w:t>
      </w:r>
      <w:r>
        <w:rPr>
          <w:rFonts w:hint="eastAsia"/>
        </w:rPr>
        <w:t>合法</w:t>
      </w:r>
      <w:r>
        <w:rPr>
          <w:rFonts w:hint="eastAsia"/>
          <w:lang w:val="en-US" w:eastAsia="zh-CN"/>
        </w:rPr>
        <w:t>性</w:t>
      </w:r>
      <w:r>
        <w:rPr>
          <w:rFonts w:hint="eastAsia"/>
        </w:rPr>
        <w:t>负责。如经查实上述承诺的内容事项存在虚假，我公司</w:t>
      </w:r>
      <w:r>
        <w:rPr>
          <w:rFonts w:hint="eastAsia"/>
          <w:lang w:val="en-US" w:eastAsia="zh-CN"/>
        </w:rPr>
        <w:t>自愿</w:t>
      </w:r>
      <w:r>
        <w:rPr>
          <w:rFonts w:hint="eastAsia"/>
        </w:rPr>
        <w:t>接受以提供虚假材料谋取</w:t>
      </w:r>
      <w:r>
        <w:rPr>
          <w:rFonts w:hint="eastAsia"/>
          <w:lang w:val="en-US" w:eastAsia="zh-CN"/>
        </w:rPr>
        <w:t>中标所带来的所有</w:t>
      </w:r>
      <w:r>
        <w:rPr>
          <w:rFonts w:hint="eastAsia"/>
        </w:rPr>
        <w:t>法律责任。</w:t>
      </w:r>
    </w:p>
    <w:p>
      <w:pPr>
        <w:pStyle w:val="40"/>
        <w:bidi w:val="0"/>
        <w:rPr>
          <w:rFonts w:hint="eastAsia"/>
          <w:lang w:val="en-US" w:eastAsia="zh-CN"/>
        </w:rPr>
      </w:pPr>
    </w:p>
    <w:p>
      <w:pPr>
        <w:pStyle w:val="40"/>
        <w:bidi w:val="0"/>
        <w:rPr>
          <w:rFonts w:hint="eastAsia"/>
          <w:lang w:val="en-US" w:eastAsia="zh-CN"/>
        </w:rPr>
      </w:pPr>
    </w:p>
    <w:p>
      <w:pPr>
        <w:pStyle w:val="44"/>
        <w:bidi w:val="0"/>
        <w:rPr>
          <w:rFonts w:hint="eastAsia"/>
        </w:rPr>
      </w:pPr>
      <w:r>
        <w:rPr>
          <w:rFonts w:hint="eastAsia"/>
          <w:lang w:val="en-US" w:eastAsia="zh-CN"/>
        </w:rPr>
        <w:t>投标人</w:t>
      </w:r>
      <w:r>
        <w:rPr>
          <w:rFonts w:hint="eastAsia"/>
        </w:rPr>
        <w:t>名称：</w:t>
      </w:r>
      <w:r>
        <w:rPr>
          <w:rFonts w:hint="eastAsia"/>
          <w:u w:val="single"/>
        </w:rPr>
        <w:t xml:space="preserve"> </w:t>
      </w:r>
      <w:r>
        <w:rPr>
          <w:rFonts w:hint="eastAsia"/>
          <w:u w:val="single"/>
          <w:lang w:val="en-US" w:eastAsia="zh-CN"/>
        </w:rPr>
        <w:t xml:space="preserve">     </w:t>
      </w:r>
      <w:r>
        <w:rPr>
          <w:rFonts w:hint="eastAsia"/>
          <w:u w:val="single"/>
        </w:rPr>
        <w:t xml:space="preserve">       </w:t>
      </w:r>
    </w:p>
    <w:p>
      <w:pPr>
        <w:pStyle w:val="44"/>
        <w:bidi w:val="0"/>
        <w:rPr>
          <w:rFonts w:hint="eastAsia"/>
        </w:rPr>
      </w:pPr>
      <w:r>
        <w:rPr>
          <w:rFonts w:hint="eastAsia"/>
          <w:lang w:val="en-US" w:eastAsia="zh-CN"/>
        </w:rPr>
        <w:t>投标</w:t>
      </w:r>
      <w:r>
        <w:rPr>
          <w:rFonts w:hint="eastAsia"/>
        </w:rPr>
        <w:t>日期</w:t>
      </w:r>
      <w:r>
        <w:rPr>
          <w:rFonts w:hint="eastAsia"/>
          <w:lang w:eastAsia="zh-CN"/>
        </w:rPr>
        <w:t>：</w:t>
      </w:r>
      <w:r>
        <w:rPr>
          <w:rFonts w:hint="eastAsia"/>
          <w:u w:val="single"/>
          <w:lang w:val="en-US" w:eastAsia="zh-CN"/>
        </w:rPr>
        <w:t xml:space="preserve">                </w:t>
      </w:r>
      <w:r>
        <w:rPr>
          <w:rFonts w:hint="eastAsia"/>
          <w:lang w:val="en-US" w:eastAsia="zh-CN"/>
        </w:rPr>
        <w:t xml:space="preserve">  </w:t>
      </w:r>
    </w:p>
    <w:p>
      <w:pPr>
        <w:pStyle w:val="45"/>
        <w:bidi w:val="0"/>
        <w:rPr>
          <w:rFonts w:hint="eastAsia"/>
          <w:lang w:val="en-US" w:eastAsia="zh-CN"/>
        </w:rPr>
      </w:pPr>
      <w:r>
        <w:rPr>
          <w:rFonts w:hint="eastAsia"/>
          <w:lang w:val="en-US" w:eastAsia="zh-CN"/>
        </w:rPr>
        <w:t>注：本部分所要求的承诺函可参照本格式或自拟格式填写均有效。</w:t>
      </w:r>
    </w:p>
    <w:p>
      <w:pPr>
        <w:keepNext w:val="0"/>
        <w:keepLines w:val="0"/>
        <w:pageBreakBefore w:val="0"/>
        <w:widowControl w:val="0"/>
        <w:numPr>
          <w:ilvl w:val="0"/>
          <w:numId w:val="19"/>
        </w:numPr>
        <w:kinsoku/>
        <w:wordWrap/>
        <w:overflowPunct/>
        <w:topLinePunct w:val="0"/>
        <w:autoSpaceDE/>
        <w:autoSpaceDN/>
        <w:bidi w:val="0"/>
        <w:adjustRightInd w:val="0"/>
        <w:snapToGrid w:val="0"/>
        <w:ind w:left="0" w:leftChars="0" w:firstLine="0" w:firstLineChars="0"/>
        <w:jc w:val="center"/>
        <w:textAlignment w:val="auto"/>
        <w:outlineLvl w:val="2"/>
        <w:rPr>
          <w:rFonts w:hint="eastAsia" w:ascii="宋体" w:hAnsi="宋体" w:eastAsia="宋体" w:cstheme="minorBidi"/>
          <w:b/>
          <w:snapToGrid w:val="0"/>
          <w:kern w:val="2"/>
          <w:sz w:val="28"/>
          <w:szCs w:val="24"/>
          <w:lang w:val="zh-CN" w:eastAsia="zh-CN" w:bidi="ar-SA"/>
        </w:rPr>
      </w:pPr>
      <w:r>
        <w:rPr>
          <w:rFonts w:hint="eastAsia"/>
          <w:lang w:val="en-US" w:eastAsia="zh-CN"/>
        </w:rPr>
        <w:br w:type="page"/>
      </w:r>
      <w:bookmarkStart w:id="862" w:name="_Toc1847"/>
      <w:r>
        <w:rPr>
          <w:rFonts w:hint="eastAsia" w:ascii="宋体" w:hAnsi="宋体" w:eastAsia="宋体" w:cstheme="minorBidi"/>
          <w:b/>
          <w:snapToGrid w:val="0"/>
          <w:kern w:val="2"/>
          <w:sz w:val="28"/>
          <w:szCs w:val="24"/>
          <w:lang w:val="zh-CN" w:eastAsia="zh-CN" w:bidi="ar-SA"/>
        </w:rPr>
        <w:t>落实政府采购政策需满足的资格要求</w:t>
      </w:r>
      <w:bookmarkEnd w:id="862"/>
      <w:bookmarkStart w:id="863" w:name="_Toc2234"/>
    </w:p>
    <w:p>
      <w:pPr>
        <w:numPr>
          <w:ilvl w:val="0"/>
          <w:numId w:val="0"/>
        </w:numPr>
        <w:ind w:leftChars="0" w:firstLine="3840" w:firstLineChars="1600"/>
        <w:jc w:val="both"/>
        <w:rPr>
          <w:rFonts w:hint="eastAsia" w:cs="宋体" w:asciiTheme="minorEastAsia" w:hAnsiTheme="minorEastAsia" w:eastAsiaTheme="minorEastAsia"/>
          <w:color w:val="auto"/>
          <w:highlight w:val="none"/>
          <w:lang w:val="en-US" w:eastAsia="zh-CN"/>
        </w:rPr>
      </w:pPr>
    </w:p>
    <w:p>
      <w:pPr>
        <w:numPr>
          <w:ilvl w:val="0"/>
          <w:numId w:val="0"/>
        </w:numPr>
        <w:ind w:leftChars="0" w:firstLine="3855" w:firstLineChars="1600"/>
        <w:jc w:val="both"/>
        <w:rPr>
          <w:rFonts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lang w:val="en-US" w:eastAsia="zh-CN"/>
        </w:rPr>
        <w:t>(一)</w:t>
      </w:r>
      <w:r>
        <w:rPr>
          <w:rFonts w:hint="eastAsia" w:cs="宋体" w:asciiTheme="minorEastAsia" w:hAnsiTheme="minorEastAsia" w:eastAsiaTheme="minorEastAsia"/>
          <w:b/>
          <w:bCs/>
          <w:color w:val="auto"/>
          <w:highlight w:val="none"/>
        </w:rPr>
        <w:t>中小企业声明函</w:t>
      </w:r>
      <w:bookmarkEnd w:id="863"/>
    </w:p>
    <w:p>
      <w:pPr>
        <w:pStyle w:val="45"/>
        <w:rPr>
          <w:rFonts w:cs="宋体" w:asciiTheme="minorEastAsia" w:hAnsiTheme="minorEastAsia" w:eastAsiaTheme="minorEastAsia"/>
          <w:b w:val="0"/>
          <w:bCs/>
          <w:color w:val="auto"/>
          <w:highlight w:val="none"/>
        </w:rPr>
      </w:pPr>
      <w:r>
        <w:rPr>
          <w:rFonts w:hint="eastAsia" w:cs="宋体" w:asciiTheme="minorEastAsia" w:hAnsiTheme="minorEastAsia" w:eastAsiaTheme="minorEastAsia"/>
          <w:b w:val="0"/>
          <w:bCs/>
          <w:color w:val="auto"/>
          <w:highlight w:val="none"/>
        </w:rPr>
        <w:t>本公司</w:t>
      </w:r>
      <w:r>
        <w:rPr>
          <w:rFonts w:hint="eastAsia" w:cs="宋体" w:asciiTheme="minorEastAsia" w:hAnsiTheme="minorEastAsia" w:eastAsiaTheme="minorEastAsia"/>
          <w:b w:val="0"/>
          <w:bCs/>
          <w:i/>
          <w:iCs/>
          <w:color w:val="auto"/>
          <w:highlight w:val="none"/>
          <w:u w:val="single"/>
        </w:rPr>
        <w:t xml:space="preserve">    </w:t>
      </w:r>
      <w:r>
        <w:rPr>
          <w:rFonts w:hint="eastAsia" w:cs="宋体" w:asciiTheme="minorEastAsia" w:hAnsiTheme="minorEastAsia" w:eastAsiaTheme="minorEastAsia"/>
          <w:b w:val="0"/>
          <w:bCs/>
          <w:color w:val="auto"/>
          <w:highlight w:val="none"/>
        </w:rPr>
        <w:t>郑重声明，根据《政府采购促进中小企业发展管理办法》(财库﹝2020﹞46号)的规定，本公司</w:t>
      </w:r>
      <w:r>
        <w:rPr>
          <w:rFonts w:hint="eastAsia" w:cs="宋体" w:asciiTheme="minorEastAsia" w:hAnsiTheme="minorEastAsia" w:eastAsiaTheme="minorEastAsia"/>
          <w:b w:val="0"/>
          <w:bCs/>
          <w:i/>
          <w:iCs/>
          <w:color w:val="auto"/>
          <w:highlight w:val="none"/>
          <w:u w:val="single"/>
        </w:rPr>
        <w:t xml:space="preserve">      </w:t>
      </w:r>
      <w:r>
        <w:rPr>
          <w:rFonts w:hint="eastAsia" w:cs="宋体" w:asciiTheme="minorEastAsia" w:hAnsiTheme="minorEastAsia" w:eastAsiaTheme="minorEastAsia"/>
          <w:b w:val="0"/>
          <w:bCs/>
          <w:color w:val="auto"/>
          <w:highlight w:val="none"/>
        </w:rPr>
        <w:t>参加</w:t>
      </w:r>
      <w:r>
        <w:rPr>
          <w:rFonts w:hint="eastAsia" w:cs="宋体" w:asciiTheme="minorEastAsia" w:hAnsiTheme="minorEastAsia" w:eastAsiaTheme="minorEastAsia"/>
          <w:b w:val="0"/>
          <w:bCs/>
          <w:i/>
          <w:iCs/>
          <w:color w:val="auto"/>
          <w:highlight w:val="none"/>
          <w:u w:val="single"/>
        </w:rPr>
        <w:t>(单位名称)</w:t>
      </w:r>
      <w:r>
        <w:rPr>
          <w:rFonts w:hint="eastAsia" w:cs="宋体" w:asciiTheme="minorEastAsia" w:hAnsiTheme="minorEastAsia" w:eastAsiaTheme="minorEastAsia"/>
          <w:b w:val="0"/>
          <w:bCs/>
          <w:color w:val="auto"/>
          <w:highlight w:val="none"/>
        </w:rPr>
        <w:t>的</w:t>
      </w:r>
      <w:r>
        <w:rPr>
          <w:rFonts w:hint="eastAsia" w:cs="宋体" w:asciiTheme="minorEastAsia" w:hAnsiTheme="minorEastAsia" w:eastAsiaTheme="minorEastAsia"/>
          <w:b w:val="0"/>
          <w:bCs/>
          <w:i/>
          <w:iCs/>
          <w:color w:val="auto"/>
          <w:highlight w:val="none"/>
          <w:u w:val="single"/>
        </w:rPr>
        <w:t>(项目名称)</w:t>
      </w:r>
      <w:r>
        <w:rPr>
          <w:rFonts w:hint="eastAsia" w:cs="宋体" w:asciiTheme="minorEastAsia" w:hAnsiTheme="minorEastAsia" w:eastAsiaTheme="minorEastAsia"/>
          <w:b w:val="0"/>
          <w:bCs/>
          <w:color w:val="auto"/>
          <w:highlight w:val="none"/>
        </w:rPr>
        <w:t>采购活动，服务全部由符合政策要求的中小企业承接。相关企业(含联合体中的中小企业、签订分包意向协议的中小企业)的具体情况如下：</w:t>
      </w:r>
    </w:p>
    <w:p>
      <w:pPr>
        <w:pStyle w:val="45"/>
        <w:rPr>
          <w:rFonts w:cs="宋体" w:asciiTheme="minorEastAsia" w:hAnsiTheme="minorEastAsia" w:eastAsiaTheme="minorEastAsia"/>
          <w:b w:val="0"/>
          <w:bCs/>
          <w:i/>
          <w:iCs/>
          <w:color w:val="auto"/>
          <w:highlight w:val="none"/>
          <w:u w:val="single"/>
        </w:rPr>
      </w:pPr>
      <w:r>
        <w:rPr>
          <w:rFonts w:hint="eastAsia" w:cs="宋体" w:asciiTheme="minorEastAsia" w:hAnsiTheme="minorEastAsia" w:eastAsiaTheme="minorEastAsia"/>
          <w:b w:val="0"/>
          <w:bCs/>
          <w:i/>
          <w:iCs/>
          <w:color w:val="auto"/>
          <w:highlight w:val="none"/>
          <w:u w:val="single"/>
        </w:rPr>
        <w:t>(标的名称)</w:t>
      </w:r>
      <w:r>
        <w:rPr>
          <w:rFonts w:hint="eastAsia" w:cs="宋体" w:asciiTheme="minorEastAsia" w:hAnsiTheme="minorEastAsia" w:eastAsiaTheme="minorEastAsia"/>
          <w:b w:val="0"/>
          <w:bCs/>
          <w:color w:val="auto"/>
          <w:highlight w:val="none"/>
        </w:rPr>
        <w:t>，属于</w:t>
      </w:r>
      <w:r>
        <w:rPr>
          <w:rFonts w:hint="eastAsia" w:cs="宋体" w:asciiTheme="minorEastAsia" w:hAnsiTheme="minorEastAsia" w:eastAsiaTheme="minorEastAsia"/>
          <w:b w:val="0"/>
          <w:bCs/>
          <w:i/>
          <w:iCs/>
          <w:color w:val="auto"/>
          <w:highlight w:val="none"/>
          <w:u w:val="single"/>
        </w:rPr>
        <w:t>(采购文件中明确的所属行业)</w:t>
      </w:r>
      <w:r>
        <w:rPr>
          <w:rFonts w:hint="eastAsia" w:cs="宋体" w:asciiTheme="minorEastAsia" w:hAnsiTheme="minorEastAsia" w:eastAsiaTheme="minorEastAsia"/>
          <w:b w:val="0"/>
          <w:bCs/>
          <w:color w:val="auto"/>
          <w:highlight w:val="none"/>
        </w:rPr>
        <w:t>；承接企业为</w:t>
      </w:r>
      <w:r>
        <w:rPr>
          <w:rFonts w:hint="eastAsia" w:cs="宋体" w:asciiTheme="minorEastAsia" w:hAnsiTheme="minorEastAsia" w:eastAsiaTheme="minorEastAsia"/>
          <w:b w:val="0"/>
          <w:bCs/>
          <w:i/>
          <w:iCs/>
          <w:color w:val="auto"/>
          <w:highlight w:val="none"/>
          <w:u w:val="single"/>
        </w:rPr>
        <w:t>(企业名称)</w:t>
      </w:r>
      <w:r>
        <w:rPr>
          <w:rFonts w:hint="eastAsia" w:cs="宋体" w:asciiTheme="minorEastAsia" w:hAnsiTheme="minorEastAsia" w:eastAsiaTheme="minorEastAsia"/>
          <w:b w:val="0"/>
          <w:bCs/>
          <w:color w:val="auto"/>
          <w:highlight w:val="none"/>
        </w:rPr>
        <w:t>，从业人员</w:t>
      </w:r>
      <w:r>
        <w:rPr>
          <w:rFonts w:hint="eastAsia" w:cs="宋体" w:asciiTheme="minorEastAsia" w:hAnsiTheme="minorEastAsia" w:eastAsiaTheme="minorEastAsia"/>
          <w:b w:val="0"/>
          <w:bCs/>
          <w:color w:val="auto"/>
          <w:highlight w:val="none"/>
          <w:u w:val="single"/>
        </w:rPr>
        <w:t xml:space="preserve">    </w:t>
      </w:r>
      <w:r>
        <w:rPr>
          <w:rFonts w:hint="eastAsia" w:cs="宋体" w:asciiTheme="minorEastAsia" w:hAnsiTheme="minorEastAsia" w:eastAsiaTheme="minorEastAsia"/>
          <w:b w:val="0"/>
          <w:bCs/>
          <w:color w:val="auto"/>
          <w:highlight w:val="none"/>
        </w:rPr>
        <w:t>人，营业收入为</w:t>
      </w:r>
      <w:r>
        <w:rPr>
          <w:rFonts w:hint="eastAsia" w:cs="宋体" w:asciiTheme="minorEastAsia" w:hAnsiTheme="minorEastAsia" w:eastAsiaTheme="minorEastAsia"/>
          <w:b w:val="0"/>
          <w:bCs/>
          <w:color w:val="auto"/>
          <w:highlight w:val="none"/>
          <w:u w:val="single"/>
        </w:rPr>
        <w:t xml:space="preserve">    </w:t>
      </w:r>
      <w:r>
        <w:rPr>
          <w:rFonts w:hint="eastAsia" w:cs="宋体" w:asciiTheme="minorEastAsia" w:hAnsiTheme="minorEastAsia" w:eastAsiaTheme="minorEastAsia"/>
          <w:b w:val="0"/>
          <w:bCs/>
          <w:color w:val="auto"/>
          <w:highlight w:val="none"/>
        </w:rPr>
        <w:tab/>
      </w:r>
      <w:r>
        <w:rPr>
          <w:rFonts w:hint="eastAsia" w:cs="宋体" w:asciiTheme="minorEastAsia" w:hAnsiTheme="minorEastAsia" w:eastAsiaTheme="minorEastAsia"/>
          <w:b w:val="0"/>
          <w:bCs/>
          <w:color w:val="auto"/>
          <w:highlight w:val="none"/>
        </w:rPr>
        <w:t>万元，资产总额为</w:t>
      </w:r>
      <w:r>
        <w:rPr>
          <w:rFonts w:hint="eastAsia" w:cs="宋体" w:asciiTheme="minorEastAsia" w:hAnsiTheme="minorEastAsia" w:eastAsiaTheme="minorEastAsia"/>
          <w:b w:val="0"/>
          <w:bCs/>
          <w:color w:val="auto"/>
          <w:highlight w:val="none"/>
          <w:u w:val="single"/>
        </w:rPr>
        <w:t xml:space="preserve">    </w:t>
      </w:r>
      <w:r>
        <w:rPr>
          <w:rFonts w:hint="eastAsia" w:cs="宋体" w:asciiTheme="minorEastAsia" w:hAnsiTheme="minorEastAsia" w:eastAsiaTheme="minorEastAsia"/>
          <w:b w:val="0"/>
          <w:bCs/>
          <w:color w:val="auto"/>
          <w:highlight w:val="none"/>
        </w:rPr>
        <w:t>万元，属于</w:t>
      </w:r>
      <w:r>
        <w:rPr>
          <w:rFonts w:hint="eastAsia" w:cs="宋体" w:asciiTheme="minorEastAsia" w:hAnsiTheme="minorEastAsia" w:eastAsiaTheme="minorEastAsia"/>
          <w:b w:val="0"/>
          <w:bCs/>
          <w:i/>
          <w:iCs/>
          <w:color w:val="auto"/>
          <w:highlight w:val="none"/>
          <w:u w:val="single"/>
        </w:rPr>
        <w:t>(中型企业、小型企业、微型企业)；</w:t>
      </w:r>
    </w:p>
    <w:p>
      <w:pPr>
        <w:pStyle w:val="45"/>
        <w:rPr>
          <w:rFonts w:cs="宋体" w:asciiTheme="minorEastAsia" w:hAnsiTheme="minorEastAsia" w:eastAsiaTheme="minorEastAsia"/>
          <w:b w:val="0"/>
          <w:bCs/>
          <w:i/>
          <w:iCs/>
          <w:color w:val="auto"/>
          <w:highlight w:val="none"/>
          <w:u w:val="single"/>
        </w:rPr>
      </w:pPr>
      <w:r>
        <w:rPr>
          <w:rFonts w:hint="eastAsia" w:cs="宋体" w:asciiTheme="minorEastAsia" w:hAnsiTheme="minorEastAsia" w:eastAsiaTheme="minorEastAsia"/>
          <w:b w:val="0"/>
          <w:bCs/>
          <w:i/>
          <w:iCs/>
          <w:color w:val="auto"/>
          <w:highlight w:val="none"/>
          <w:u w:val="single"/>
        </w:rPr>
        <w:t>(标的名称)</w:t>
      </w:r>
      <w:r>
        <w:rPr>
          <w:rFonts w:hint="eastAsia" w:cs="宋体" w:asciiTheme="minorEastAsia" w:hAnsiTheme="minorEastAsia" w:eastAsiaTheme="minorEastAsia"/>
          <w:b w:val="0"/>
          <w:bCs/>
          <w:color w:val="auto"/>
          <w:highlight w:val="none"/>
        </w:rPr>
        <w:t>，属于</w:t>
      </w:r>
      <w:r>
        <w:rPr>
          <w:rFonts w:hint="eastAsia" w:cs="宋体" w:asciiTheme="minorEastAsia" w:hAnsiTheme="minorEastAsia" w:eastAsiaTheme="minorEastAsia"/>
          <w:b w:val="0"/>
          <w:bCs/>
          <w:i/>
          <w:iCs/>
          <w:color w:val="auto"/>
          <w:highlight w:val="none"/>
          <w:u w:val="single"/>
        </w:rPr>
        <w:t>(采购文件中明确的所属行业)</w:t>
      </w:r>
      <w:r>
        <w:rPr>
          <w:rFonts w:hint="eastAsia" w:cs="宋体" w:asciiTheme="minorEastAsia" w:hAnsiTheme="minorEastAsia" w:eastAsiaTheme="minorEastAsia"/>
          <w:b w:val="0"/>
          <w:bCs/>
          <w:color w:val="auto"/>
          <w:highlight w:val="none"/>
        </w:rPr>
        <w:t>；承接企业为</w:t>
      </w:r>
      <w:r>
        <w:rPr>
          <w:rFonts w:hint="eastAsia" w:cs="宋体" w:asciiTheme="minorEastAsia" w:hAnsiTheme="minorEastAsia" w:eastAsiaTheme="minorEastAsia"/>
          <w:b w:val="0"/>
          <w:bCs/>
          <w:i/>
          <w:iCs/>
          <w:color w:val="auto"/>
          <w:highlight w:val="none"/>
          <w:u w:val="single"/>
        </w:rPr>
        <w:t>(企业名称)</w:t>
      </w:r>
      <w:r>
        <w:rPr>
          <w:rFonts w:hint="eastAsia" w:cs="宋体" w:asciiTheme="minorEastAsia" w:hAnsiTheme="minorEastAsia" w:eastAsiaTheme="minorEastAsia"/>
          <w:b w:val="0"/>
          <w:bCs/>
          <w:color w:val="auto"/>
          <w:highlight w:val="none"/>
        </w:rPr>
        <w:t>，从业人员</w:t>
      </w:r>
      <w:r>
        <w:rPr>
          <w:rFonts w:hint="eastAsia" w:cs="宋体" w:asciiTheme="minorEastAsia" w:hAnsiTheme="minorEastAsia" w:eastAsiaTheme="minorEastAsia"/>
          <w:b w:val="0"/>
          <w:bCs/>
          <w:color w:val="auto"/>
          <w:highlight w:val="none"/>
          <w:u w:val="single"/>
        </w:rPr>
        <w:t xml:space="preserve">    </w:t>
      </w:r>
      <w:r>
        <w:rPr>
          <w:rFonts w:hint="eastAsia" w:cs="宋体" w:asciiTheme="minorEastAsia" w:hAnsiTheme="minorEastAsia" w:eastAsiaTheme="minorEastAsia"/>
          <w:b w:val="0"/>
          <w:bCs/>
          <w:color w:val="auto"/>
          <w:highlight w:val="none"/>
        </w:rPr>
        <w:tab/>
      </w:r>
      <w:r>
        <w:rPr>
          <w:rFonts w:hint="eastAsia" w:cs="宋体" w:asciiTheme="minorEastAsia" w:hAnsiTheme="minorEastAsia" w:eastAsiaTheme="minorEastAsia"/>
          <w:b w:val="0"/>
          <w:bCs/>
          <w:color w:val="auto"/>
          <w:highlight w:val="none"/>
        </w:rPr>
        <w:t>人，营业收入为</w:t>
      </w:r>
      <w:r>
        <w:rPr>
          <w:rFonts w:hint="eastAsia" w:cs="宋体" w:asciiTheme="minorEastAsia" w:hAnsiTheme="minorEastAsia" w:eastAsiaTheme="minorEastAsia"/>
          <w:b w:val="0"/>
          <w:bCs/>
          <w:color w:val="auto"/>
          <w:highlight w:val="none"/>
          <w:u w:val="single"/>
        </w:rPr>
        <w:t xml:space="preserve">    </w:t>
      </w:r>
      <w:r>
        <w:rPr>
          <w:rFonts w:hint="eastAsia" w:cs="宋体" w:asciiTheme="minorEastAsia" w:hAnsiTheme="minorEastAsia" w:eastAsiaTheme="minorEastAsia"/>
          <w:b w:val="0"/>
          <w:bCs/>
          <w:color w:val="auto"/>
          <w:highlight w:val="none"/>
        </w:rPr>
        <w:tab/>
      </w:r>
      <w:r>
        <w:rPr>
          <w:rFonts w:hint="eastAsia" w:cs="宋体" w:asciiTheme="minorEastAsia" w:hAnsiTheme="minorEastAsia" w:eastAsiaTheme="minorEastAsia"/>
          <w:b w:val="0"/>
          <w:bCs/>
          <w:color w:val="auto"/>
          <w:highlight w:val="none"/>
        </w:rPr>
        <w:t>万元，资产总额为</w:t>
      </w:r>
      <w:r>
        <w:rPr>
          <w:rFonts w:hint="eastAsia" w:cs="宋体" w:asciiTheme="minorEastAsia" w:hAnsiTheme="minorEastAsia" w:eastAsiaTheme="minorEastAsia"/>
          <w:b w:val="0"/>
          <w:bCs/>
          <w:color w:val="auto"/>
          <w:highlight w:val="none"/>
          <w:u w:val="single"/>
        </w:rPr>
        <w:t xml:space="preserve">    </w:t>
      </w:r>
      <w:r>
        <w:rPr>
          <w:rFonts w:hint="eastAsia" w:cs="宋体" w:asciiTheme="minorEastAsia" w:hAnsiTheme="minorEastAsia" w:eastAsiaTheme="minorEastAsia"/>
          <w:b w:val="0"/>
          <w:bCs/>
          <w:color w:val="auto"/>
          <w:highlight w:val="none"/>
        </w:rPr>
        <w:tab/>
      </w:r>
      <w:r>
        <w:rPr>
          <w:rFonts w:hint="eastAsia" w:cs="宋体" w:asciiTheme="minorEastAsia" w:hAnsiTheme="minorEastAsia" w:eastAsiaTheme="minorEastAsia"/>
          <w:b w:val="0"/>
          <w:bCs/>
          <w:color w:val="auto"/>
          <w:highlight w:val="none"/>
        </w:rPr>
        <w:t>万元，属于</w:t>
      </w:r>
      <w:r>
        <w:rPr>
          <w:rFonts w:hint="eastAsia" w:cs="宋体" w:asciiTheme="minorEastAsia" w:hAnsiTheme="minorEastAsia" w:eastAsiaTheme="minorEastAsia"/>
          <w:b w:val="0"/>
          <w:bCs/>
          <w:i/>
          <w:iCs/>
          <w:color w:val="auto"/>
          <w:highlight w:val="none"/>
          <w:u w:val="single"/>
        </w:rPr>
        <w:t>(中型企业、小型企业、微型企业)；</w:t>
      </w:r>
    </w:p>
    <w:p>
      <w:pPr>
        <w:pStyle w:val="45"/>
        <w:rPr>
          <w:rFonts w:cs="宋体" w:asciiTheme="minorEastAsia" w:hAnsiTheme="minorEastAsia" w:eastAsiaTheme="minorEastAsia"/>
          <w:b w:val="0"/>
          <w:bCs/>
          <w:color w:val="auto"/>
          <w:highlight w:val="none"/>
        </w:rPr>
      </w:pPr>
      <w:r>
        <w:rPr>
          <w:rFonts w:hint="eastAsia" w:cs="宋体" w:asciiTheme="minorEastAsia" w:hAnsiTheme="minorEastAsia" w:eastAsiaTheme="minorEastAsia"/>
          <w:b w:val="0"/>
          <w:bCs/>
          <w:color w:val="auto"/>
          <w:highlight w:val="none"/>
        </w:rPr>
        <w:t>……</w:t>
      </w:r>
    </w:p>
    <w:p>
      <w:pPr>
        <w:pStyle w:val="45"/>
        <w:rPr>
          <w:rFonts w:cs="宋体" w:asciiTheme="minorEastAsia" w:hAnsiTheme="minorEastAsia" w:eastAsiaTheme="minorEastAsia"/>
          <w:b w:val="0"/>
          <w:bCs/>
          <w:color w:val="auto"/>
          <w:highlight w:val="none"/>
        </w:rPr>
      </w:pPr>
      <w:r>
        <w:rPr>
          <w:rFonts w:hint="eastAsia" w:cs="宋体" w:asciiTheme="minorEastAsia" w:hAnsiTheme="minorEastAsia" w:eastAsiaTheme="minorEastAsia"/>
          <w:b w:val="0"/>
          <w:bCs/>
          <w:color w:val="auto"/>
          <w:highlight w:val="none"/>
        </w:rPr>
        <w:t>以上企业，不属于大企业的分支机构，不存在控股股东为大企业的情形，也不存在与大企业的负责人为同一人的情形。</w:t>
      </w:r>
    </w:p>
    <w:p>
      <w:pPr>
        <w:pStyle w:val="45"/>
        <w:rPr>
          <w:rFonts w:cs="宋体" w:asciiTheme="minorEastAsia" w:hAnsiTheme="minorEastAsia" w:eastAsiaTheme="minorEastAsia"/>
          <w:b w:val="0"/>
          <w:bCs/>
          <w:color w:val="auto"/>
          <w:highlight w:val="none"/>
        </w:rPr>
      </w:pPr>
      <w:r>
        <w:rPr>
          <w:rFonts w:hint="eastAsia" w:cs="宋体" w:asciiTheme="minorEastAsia" w:hAnsiTheme="minorEastAsia" w:eastAsiaTheme="minorEastAsia"/>
          <w:b w:val="0"/>
          <w:bCs/>
          <w:color w:val="auto"/>
          <w:highlight w:val="none"/>
        </w:rPr>
        <w:t>本企业对上述声明内容的真实性负责。如有虚假，将依法承担相应责任。</w:t>
      </w:r>
    </w:p>
    <w:p>
      <w:pPr>
        <w:pStyle w:val="40"/>
        <w:rPr>
          <w:rFonts w:cs="宋体" w:asciiTheme="minorEastAsia" w:hAnsiTheme="minorEastAsia" w:eastAsiaTheme="minorEastAsia"/>
          <w:color w:val="auto"/>
          <w:highlight w:val="none"/>
        </w:rPr>
      </w:pPr>
    </w:p>
    <w:p>
      <w:pPr>
        <w:pStyle w:val="40"/>
        <w:rPr>
          <w:rFonts w:cs="宋体" w:asciiTheme="minorEastAsia" w:hAnsiTheme="minorEastAsia" w:eastAsiaTheme="minorEastAsia"/>
          <w:color w:val="auto"/>
          <w:highlight w:val="none"/>
        </w:rPr>
      </w:pPr>
    </w:p>
    <w:p>
      <w:pPr>
        <w:pStyle w:val="40"/>
        <w:ind w:left="4800" w:leftChars="20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企业名称：</w:t>
      </w:r>
      <w:r>
        <w:rPr>
          <w:rFonts w:hint="eastAsia" w:cs="宋体" w:asciiTheme="minorEastAsia" w:hAnsiTheme="minorEastAsia" w:eastAsiaTheme="minorEastAsia"/>
          <w:color w:val="auto"/>
          <w:highlight w:val="none"/>
          <w:u w:val="single"/>
        </w:rPr>
        <w:t xml:space="preserve">        </w:t>
      </w:r>
    </w:p>
    <w:p>
      <w:pPr>
        <w:pStyle w:val="40"/>
        <w:ind w:left="4800" w:leftChars="20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日期：</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 xml:space="preserve">           　</w:t>
      </w:r>
    </w:p>
    <w:p>
      <w:pPr>
        <w:pStyle w:val="45"/>
        <w:ind w:firstLine="482"/>
        <w:rPr>
          <w:rFonts w:cs="宋体" w:asciiTheme="minorEastAsia" w:hAnsiTheme="minorEastAsia" w:eastAsiaTheme="minorEastAsia"/>
          <w:color w:val="auto"/>
          <w:highlight w:val="none"/>
        </w:rPr>
      </w:pPr>
    </w:p>
    <w:p>
      <w:pPr>
        <w:pStyle w:val="45"/>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注：从业人员、营业收入、资产总额填报上一年度数据，无上一年度数据的新成立企业可不填报。</w:t>
      </w:r>
    </w:p>
    <w:p>
      <w:pPr>
        <w:pStyle w:val="42"/>
        <w:keepNext w:val="0"/>
        <w:keepLines w:val="0"/>
        <w:pageBreakBefore/>
        <w:widowControl w:val="0"/>
        <w:numPr>
          <w:ilvl w:val="0"/>
          <w:numId w:val="0"/>
        </w:numPr>
        <w:kinsoku/>
        <w:wordWrap w:val="0"/>
        <w:overflowPunct/>
        <w:topLinePunct/>
        <w:autoSpaceDE/>
        <w:autoSpaceDN/>
        <w:bidi w:val="0"/>
        <w:adjustRightInd w:val="0"/>
        <w:snapToGrid w:val="0"/>
        <w:spacing w:before="120" w:after="120"/>
        <w:ind w:leftChars="0"/>
        <w:jc w:val="center"/>
        <w:textAlignment w:val="auto"/>
        <w:outlineLvl w:val="9"/>
        <w:rPr>
          <w:rFonts w:hint="eastAsia" w:cs="宋体" w:asciiTheme="minorEastAsia" w:hAnsiTheme="minorEastAsia" w:eastAsiaTheme="minorEastAsia"/>
          <w:color w:val="auto"/>
          <w:highlight w:val="none"/>
          <w:lang w:val="en-US" w:eastAsia="zh-CN"/>
        </w:rPr>
      </w:pPr>
      <w:bookmarkStart w:id="864" w:name="_Toc7569"/>
      <w:bookmarkStart w:id="865" w:name="_Toc20048"/>
      <w:r>
        <w:rPr>
          <w:rFonts w:hint="eastAsia" w:cs="宋体" w:asciiTheme="minorEastAsia" w:hAnsiTheme="minorEastAsia" w:eastAsiaTheme="minorEastAsia"/>
          <w:color w:val="auto"/>
          <w:highlight w:val="none"/>
          <w:lang w:val="en-US" w:eastAsia="zh-CN"/>
        </w:rPr>
        <w:t>(二)监狱企业相关证明材料</w:t>
      </w:r>
      <w:bookmarkEnd w:id="864"/>
      <w:bookmarkEnd w:id="865"/>
    </w:p>
    <w:p>
      <w:pPr>
        <w:pStyle w:val="45"/>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说明：</w:t>
      </w:r>
    </w:p>
    <w:p>
      <w:pPr>
        <w:pStyle w:val="45"/>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①监狱企业参加政府采购活动时，应当提供由省级以上监狱管理局、戒毒管理局(含新疆生产建设兵团)出具的属于监狱企业的证明文件，否则将被视为无效投标。</w:t>
      </w:r>
      <w:r>
        <w:rPr>
          <w:rFonts w:hint="eastAsia" w:cs="宋体" w:asciiTheme="minorEastAsia" w:hAnsiTheme="minorEastAsia" w:eastAsiaTheme="minorEastAsia"/>
          <w:color w:val="auto"/>
          <w:highlight w:val="none"/>
        </w:rPr>
        <w:br w:type="page"/>
      </w:r>
    </w:p>
    <w:p>
      <w:pPr>
        <w:pStyle w:val="42"/>
        <w:keepNext w:val="0"/>
        <w:keepLines w:val="0"/>
        <w:pageBreakBefore/>
        <w:widowControl w:val="0"/>
        <w:numPr>
          <w:ilvl w:val="0"/>
          <w:numId w:val="0"/>
        </w:numPr>
        <w:kinsoku/>
        <w:wordWrap w:val="0"/>
        <w:overflowPunct/>
        <w:topLinePunct/>
        <w:autoSpaceDE/>
        <w:autoSpaceDN/>
        <w:bidi w:val="0"/>
        <w:adjustRightInd w:val="0"/>
        <w:snapToGrid w:val="0"/>
        <w:spacing w:before="120" w:after="120"/>
        <w:ind w:leftChars="0"/>
        <w:jc w:val="center"/>
        <w:textAlignment w:val="auto"/>
        <w:outlineLvl w:val="9"/>
        <w:rPr>
          <w:rFonts w:hint="eastAsia" w:cs="宋体" w:asciiTheme="minorEastAsia" w:hAnsiTheme="minorEastAsia" w:eastAsiaTheme="minorEastAsia"/>
          <w:color w:val="auto"/>
          <w:highlight w:val="none"/>
          <w:lang w:val="en-US" w:eastAsia="zh-CN"/>
        </w:rPr>
      </w:pPr>
      <w:bookmarkStart w:id="866" w:name="_Toc1158"/>
      <w:bookmarkStart w:id="867" w:name="_Toc25177"/>
      <w:r>
        <w:rPr>
          <w:rFonts w:hint="eastAsia" w:cs="宋体" w:asciiTheme="minorEastAsia" w:hAnsiTheme="minorEastAsia" w:eastAsiaTheme="minorEastAsia"/>
          <w:color w:val="auto"/>
          <w:highlight w:val="none"/>
          <w:lang w:val="en-US" w:eastAsia="zh-CN"/>
        </w:rPr>
        <w:t>(三)残疾人福利性单位声明函</w:t>
      </w:r>
      <w:bookmarkEnd w:id="866"/>
      <w:bookmarkEnd w:id="867"/>
    </w:p>
    <w:p>
      <w:pPr>
        <w:pStyle w:val="44"/>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单位的</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项目采购活动由本单位提供服务。</w:t>
      </w:r>
    </w:p>
    <w:p>
      <w:pPr>
        <w:pStyle w:val="44"/>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本单位对上述声明的真实性负责。如有虚假，将依法承担相应责任。</w:t>
      </w:r>
    </w:p>
    <w:p>
      <w:pPr>
        <w:pStyle w:val="40"/>
        <w:rPr>
          <w:rFonts w:cs="宋体" w:asciiTheme="minorEastAsia" w:hAnsiTheme="minorEastAsia" w:eastAsiaTheme="minorEastAsia"/>
          <w:color w:val="auto"/>
          <w:highlight w:val="none"/>
        </w:rPr>
      </w:pPr>
    </w:p>
    <w:p>
      <w:pPr>
        <w:pStyle w:val="40"/>
        <w:rPr>
          <w:rFonts w:cs="宋体" w:asciiTheme="minorEastAsia" w:hAnsiTheme="minorEastAsia" w:eastAsiaTheme="minorEastAsia"/>
          <w:color w:val="auto"/>
          <w:highlight w:val="none"/>
        </w:rPr>
      </w:pPr>
    </w:p>
    <w:p>
      <w:pPr>
        <w:pStyle w:val="40"/>
        <w:rPr>
          <w:rFonts w:cs="宋体" w:asciiTheme="minorEastAsia" w:hAnsiTheme="minorEastAsia" w:eastAsiaTheme="minorEastAsia"/>
          <w:color w:val="auto"/>
          <w:highlight w:val="none"/>
        </w:rPr>
      </w:pPr>
    </w:p>
    <w:p>
      <w:pPr>
        <w:pStyle w:val="40"/>
        <w:ind w:left="4800" w:leftChars="20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单位名称：</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 xml:space="preserve"> </w:t>
      </w:r>
    </w:p>
    <w:p>
      <w:pPr>
        <w:pStyle w:val="40"/>
        <w:ind w:left="4800" w:leftChars="20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日    期：</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 xml:space="preserve">   </w:t>
      </w:r>
    </w:p>
    <w:p>
      <w:pPr>
        <w:pStyle w:val="40"/>
        <w:ind w:left="4800" w:leftChars="2000"/>
        <w:rPr>
          <w:rFonts w:cs="宋体" w:asciiTheme="minorEastAsia" w:hAnsiTheme="minorEastAsia" w:eastAsiaTheme="minorEastAsia"/>
          <w:color w:val="auto"/>
          <w:highlight w:val="none"/>
        </w:rPr>
      </w:pPr>
    </w:p>
    <w:p>
      <w:pPr>
        <w:pStyle w:val="45"/>
        <w:ind w:firstLine="482"/>
        <w:rPr>
          <w:rFonts w:cs="宋体" w:asciiTheme="minorEastAsia" w:hAnsiTheme="minorEastAsia" w:eastAsiaTheme="minorEastAsia"/>
          <w:color w:val="auto"/>
          <w:highlight w:val="none"/>
        </w:rPr>
      </w:pPr>
    </w:p>
    <w:p>
      <w:pPr>
        <w:pStyle w:val="45"/>
        <w:ind w:firstLine="482"/>
        <w:rPr>
          <w:rFonts w:hint="eastAsia"/>
          <w:lang w:val="en-US" w:eastAsia="zh-CN"/>
        </w:rPr>
      </w:pPr>
      <w:r>
        <w:rPr>
          <w:rFonts w:hint="eastAsia" w:cs="宋体" w:asciiTheme="minorEastAsia" w:hAnsiTheme="minorEastAsia" w:eastAsiaTheme="minorEastAsia"/>
          <w:color w:val="auto"/>
          <w:highlight w:val="none"/>
        </w:rPr>
        <w:t>说明：</w:t>
      </w:r>
      <w:r>
        <w:rPr>
          <w:rFonts w:hint="eastAsia" w:cs="宋体" w:asciiTheme="minorEastAsia" w:hAnsiTheme="minorEastAsia" w:eastAsiaTheme="minorEastAsia"/>
          <w:color w:val="auto"/>
          <w:highlight w:val="none"/>
        </w:rPr>
        <w:fldChar w:fldCharType="begin"/>
      </w:r>
      <w:r>
        <w:rPr>
          <w:rFonts w:hint="eastAsia" w:cs="宋体" w:asciiTheme="minorEastAsia" w:hAnsiTheme="minorEastAsia" w:eastAsiaTheme="minorEastAsia"/>
          <w:color w:val="auto"/>
          <w:highlight w:val="none"/>
        </w:rPr>
        <w:instrText xml:space="preserve"> = 1 \* GB3 \* MERGEFORMAT </w:instrText>
      </w:r>
      <w:r>
        <w:rPr>
          <w:rFonts w:hint="eastAsia" w:cs="宋体" w:asciiTheme="minorEastAsia" w:hAnsiTheme="minorEastAsia" w:eastAsiaTheme="minorEastAsia"/>
          <w:color w:val="auto"/>
          <w:highlight w:val="none"/>
        </w:rPr>
        <w:fldChar w:fldCharType="separate"/>
      </w:r>
      <w:r>
        <w:rPr>
          <w:rFonts w:hint="eastAsia" w:cs="宋体" w:asciiTheme="minorEastAsia" w:hAnsiTheme="minorEastAsia" w:eastAsiaTheme="minorEastAsia"/>
          <w:color w:val="auto"/>
          <w:highlight w:val="none"/>
        </w:rPr>
        <w:t>①</w:t>
      </w:r>
      <w:r>
        <w:rPr>
          <w:rFonts w:hint="eastAsia" w:cs="宋体" w:asciiTheme="minorEastAsia" w:hAnsiTheme="minorEastAsia" w:eastAsiaTheme="minorEastAsia"/>
          <w:color w:val="auto"/>
          <w:highlight w:val="none"/>
        </w:rPr>
        <w:fldChar w:fldCharType="end"/>
      </w:r>
      <w:r>
        <w:rPr>
          <w:rFonts w:hint="eastAsia" w:cs="宋体" w:asciiTheme="minorEastAsia" w:hAnsiTheme="minorEastAsia" w:eastAsiaTheme="minorEastAsia"/>
          <w:color w:val="auto"/>
          <w:highlight w:val="none"/>
        </w:rPr>
        <w:t>残疾人福利性单位参加政府采购活动时，应提供残疾人福利性单位声明函，否则将被视为无效投标。</w:t>
      </w:r>
    </w:p>
    <w:p>
      <w:pPr>
        <w:pStyle w:val="40"/>
        <w:bidi w:val="0"/>
        <w:rPr>
          <w:rFonts w:hint="eastAsia"/>
          <w:lang w:val="en-US" w:eastAsia="zh-CN"/>
        </w:rPr>
      </w:pPr>
    </w:p>
    <w:p>
      <w:pPr>
        <w:pStyle w:val="40"/>
        <w:bidi w:val="0"/>
        <w:rPr>
          <w:rFonts w:hint="eastAsia"/>
          <w:lang w:val="en-US" w:eastAsia="zh-CN"/>
        </w:rPr>
      </w:pPr>
      <w:r>
        <w:rPr>
          <w:rFonts w:hint="eastAsia"/>
          <w:lang w:val="en-US" w:eastAsia="zh-CN"/>
        </w:rPr>
        <w:br w:type="page"/>
      </w:r>
    </w:p>
    <w:p>
      <w:pPr>
        <w:pStyle w:val="40"/>
        <w:bidi w:val="0"/>
        <w:rPr>
          <w:rFonts w:hint="eastAsia"/>
        </w:rPr>
      </w:pPr>
      <w:bookmarkStart w:id="868" w:name="_Toc18702"/>
    </w:p>
    <w:p>
      <w:pPr>
        <w:pStyle w:val="40"/>
        <w:bidi w:val="0"/>
        <w:rPr>
          <w:rFonts w:hint="eastAsia"/>
        </w:rPr>
      </w:pPr>
    </w:p>
    <w:p>
      <w:pPr>
        <w:pStyle w:val="40"/>
        <w:bidi w:val="0"/>
        <w:rPr>
          <w:rFonts w:hint="eastAsia"/>
        </w:rPr>
      </w:pPr>
    </w:p>
    <w:p>
      <w:pPr>
        <w:pStyle w:val="40"/>
        <w:bidi w:val="0"/>
        <w:rPr>
          <w:rFonts w:hint="eastAsia"/>
        </w:rPr>
      </w:pPr>
    </w:p>
    <w:p>
      <w:pPr>
        <w:pStyle w:val="40"/>
        <w:bidi w:val="0"/>
        <w:rPr>
          <w:rFonts w:hint="eastAsia"/>
        </w:rPr>
      </w:pPr>
    </w:p>
    <w:p>
      <w:pPr>
        <w:pStyle w:val="40"/>
        <w:bidi w:val="0"/>
        <w:rPr>
          <w:rFonts w:hint="eastAsia"/>
        </w:rPr>
      </w:pPr>
    </w:p>
    <w:p>
      <w:pPr>
        <w:pStyle w:val="40"/>
        <w:bidi w:val="0"/>
        <w:rPr>
          <w:rFonts w:hint="eastAsia"/>
        </w:rPr>
      </w:pPr>
    </w:p>
    <w:p>
      <w:pPr>
        <w:pStyle w:val="40"/>
        <w:bidi w:val="0"/>
        <w:rPr>
          <w:rFonts w:hint="eastAsia"/>
        </w:rPr>
      </w:pPr>
    </w:p>
    <w:p>
      <w:pPr>
        <w:pStyle w:val="40"/>
        <w:bidi w:val="0"/>
        <w:rPr>
          <w:rFonts w:hint="eastAsia"/>
        </w:rPr>
      </w:pPr>
    </w:p>
    <w:p>
      <w:pPr>
        <w:pStyle w:val="40"/>
        <w:bidi w:val="0"/>
        <w:rPr>
          <w:rFonts w:hint="eastAsia"/>
        </w:rPr>
      </w:pPr>
      <w:bookmarkStart w:id="869" w:name="_Toc14607"/>
    </w:p>
    <w:p>
      <w:pPr>
        <w:pStyle w:val="40"/>
        <w:bidi w:val="0"/>
        <w:rPr>
          <w:rFonts w:hint="eastAsia"/>
        </w:rPr>
      </w:pPr>
    </w:p>
    <w:p>
      <w:pPr>
        <w:pStyle w:val="40"/>
        <w:bidi w:val="0"/>
        <w:rPr>
          <w:rFonts w:hint="eastAsia"/>
        </w:rPr>
      </w:pPr>
    </w:p>
    <w:p>
      <w:pPr>
        <w:pStyle w:val="40"/>
        <w:bidi w:val="0"/>
        <w:rPr>
          <w:rFonts w:hint="eastAsia"/>
        </w:rPr>
      </w:pPr>
    </w:p>
    <w:p>
      <w:pPr>
        <w:pStyle w:val="32"/>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rPr>
          <w:rFonts w:hint="eastAsia"/>
          <w:sz w:val="32"/>
          <w:szCs w:val="32"/>
        </w:rPr>
      </w:pPr>
      <w:bookmarkStart w:id="870" w:name="_Toc27631"/>
      <w:r>
        <w:rPr>
          <w:rFonts w:hint="eastAsia"/>
          <w:sz w:val="32"/>
          <w:szCs w:val="32"/>
        </w:rPr>
        <w:t>第</w:t>
      </w:r>
      <w:r>
        <w:rPr>
          <w:rFonts w:hint="eastAsia"/>
          <w:sz w:val="32"/>
          <w:szCs w:val="32"/>
          <w:lang w:val="en-US" w:eastAsia="zh-CN"/>
        </w:rPr>
        <w:t>二</w:t>
      </w:r>
      <w:r>
        <w:rPr>
          <w:rFonts w:hint="eastAsia"/>
          <w:sz w:val="32"/>
          <w:szCs w:val="32"/>
        </w:rPr>
        <w:t>部分 其他</w:t>
      </w:r>
      <w:r>
        <w:rPr>
          <w:rFonts w:hint="eastAsia"/>
          <w:sz w:val="32"/>
          <w:szCs w:val="32"/>
          <w:lang w:val="en-US" w:eastAsia="zh-CN"/>
        </w:rPr>
        <w:t>投标</w:t>
      </w:r>
      <w:r>
        <w:rPr>
          <w:rFonts w:hint="eastAsia"/>
          <w:sz w:val="32"/>
          <w:szCs w:val="32"/>
        </w:rPr>
        <w:t>文件(格式)</w:t>
      </w:r>
      <w:bookmarkEnd w:id="869"/>
      <w:bookmarkEnd w:id="870"/>
    </w:p>
    <w:p>
      <w:pPr>
        <w:pStyle w:val="40"/>
        <w:bidi w:val="0"/>
        <w:rPr>
          <w:rFonts w:hint="eastAsia"/>
          <w:lang w:val="en-US" w:eastAsia="zh-CN"/>
        </w:rPr>
      </w:pPr>
      <w:bookmarkStart w:id="871" w:name="_Toc26038"/>
      <w:r>
        <w:rPr>
          <w:rFonts w:hint="eastAsia"/>
          <w:lang w:val="en-US" w:eastAsia="zh-CN"/>
        </w:rPr>
        <w:br w:type="page"/>
      </w:r>
    </w:p>
    <w:bookmarkEnd w:id="868"/>
    <w:bookmarkEnd w:id="871"/>
    <w:p>
      <w:pPr>
        <w:pStyle w:val="42"/>
        <w:numPr>
          <w:ilvl w:val="0"/>
          <w:numId w:val="21"/>
        </w:numPr>
        <w:bidi w:val="0"/>
        <w:ind w:left="0" w:leftChars="0" w:firstLine="0" w:firstLineChars="0"/>
        <w:rPr>
          <w:rFonts w:hint="eastAsia"/>
          <w:lang w:val="en-US" w:eastAsia="zh-CN"/>
        </w:rPr>
      </w:pPr>
      <w:bookmarkStart w:id="872" w:name="_Toc14600"/>
      <w:bookmarkStart w:id="873" w:name="_Toc11229"/>
      <w:bookmarkStart w:id="874" w:name="_Toc2311"/>
      <w:bookmarkStart w:id="875" w:name="_Toc30133"/>
      <w:bookmarkStart w:id="876" w:name="_Toc19766"/>
      <w:bookmarkStart w:id="877" w:name="_Toc1650"/>
      <w:bookmarkStart w:id="878" w:name="_Toc5308"/>
      <w:r>
        <w:rPr>
          <w:rFonts w:hint="eastAsia"/>
          <w:lang w:val="en-US" w:eastAsia="zh-CN"/>
        </w:rPr>
        <w:t>投标函</w:t>
      </w:r>
      <w:bookmarkEnd w:id="872"/>
      <w:bookmarkEnd w:id="873"/>
      <w:bookmarkEnd w:id="874"/>
    </w:p>
    <w:p>
      <w:pPr>
        <w:pStyle w:val="40"/>
        <w:keepNext w:val="0"/>
        <w:keepLines w:val="0"/>
        <w:pageBreakBefore w:val="0"/>
        <w:widowControl w:val="0"/>
        <w:kinsoku/>
        <w:wordWrap w:val="0"/>
        <w:overflowPunct/>
        <w:topLinePunct/>
        <w:autoSpaceDE/>
        <w:autoSpaceDN/>
        <w:bidi w:val="0"/>
        <w:adjustRightInd w:val="0"/>
        <w:snapToGrid w:val="0"/>
        <w:spacing w:line="440" w:lineRule="exact"/>
        <w:textAlignment w:val="auto"/>
        <w:rPr>
          <w:rFonts w:hint="eastAsia"/>
          <w:lang w:val="zh-CN"/>
        </w:rPr>
      </w:pPr>
      <w:r>
        <w:rPr>
          <w:rFonts w:hint="eastAsia"/>
          <w:lang w:val="zh-CN"/>
        </w:rPr>
        <w:t>致：四川乾新招投标代理有限公司　</w:t>
      </w:r>
    </w:p>
    <w:p>
      <w:pPr>
        <w:pStyle w:val="44"/>
        <w:keepNext w:val="0"/>
        <w:keepLines w:val="0"/>
        <w:pageBreakBefore w:val="0"/>
        <w:widowControl w:val="0"/>
        <w:kinsoku/>
        <w:wordWrap w:val="0"/>
        <w:overflowPunct/>
        <w:topLinePunct/>
        <w:autoSpaceDE/>
        <w:autoSpaceDN/>
        <w:bidi w:val="0"/>
        <w:adjustRightInd w:val="0"/>
        <w:snapToGrid w:val="0"/>
        <w:spacing w:line="440" w:lineRule="exact"/>
        <w:textAlignment w:val="auto"/>
        <w:rPr>
          <w:rFonts w:hint="eastAsia"/>
          <w:highlight w:val="none"/>
        </w:rPr>
      </w:pPr>
      <w:r>
        <w:rPr>
          <w:rFonts w:hint="eastAsia"/>
        </w:rPr>
        <w:t>我方全面研究了“</w:t>
      </w:r>
      <w:r>
        <w:rPr>
          <w:rFonts w:hint="eastAsia"/>
          <w:u w:val="single"/>
        </w:rPr>
        <w:t xml:space="preserve">               </w:t>
      </w:r>
      <w:r>
        <w:rPr>
          <w:rFonts w:hint="eastAsia"/>
          <w:lang w:val="en-US" w:eastAsia="zh-CN"/>
        </w:rPr>
        <w:t>(项目名称)</w:t>
      </w:r>
      <w:r>
        <w:rPr>
          <w:rFonts w:hint="eastAsia"/>
        </w:rPr>
        <w:t>(项目编号：</w:t>
      </w:r>
      <w:r>
        <w:rPr>
          <w:rFonts w:hint="eastAsia"/>
          <w:u w:val="single"/>
        </w:rPr>
        <w:t xml:space="preserve">               </w:t>
      </w:r>
      <w:r>
        <w:rPr>
          <w:rFonts w:hint="eastAsia"/>
        </w:rPr>
        <w:t>)”</w:t>
      </w:r>
      <w:r>
        <w:rPr>
          <w:rFonts w:hint="eastAsia"/>
          <w:lang w:eastAsia="zh-CN"/>
        </w:rPr>
        <w:t>的</w:t>
      </w:r>
      <w:r>
        <w:rPr>
          <w:rFonts w:hint="eastAsia"/>
        </w:rPr>
        <w:t>招标文件，决定参加贵单位组织的本</w:t>
      </w:r>
      <w:r>
        <w:rPr>
          <w:rFonts w:hint="eastAsia"/>
          <w:highlight w:val="none"/>
        </w:rPr>
        <w:t>项目投标。我方授权</w:t>
      </w:r>
      <w:r>
        <w:rPr>
          <w:rFonts w:hint="eastAsia"/>
          <w:highlight w:val="none"/>
          <w:u w:val="single"/>
        </w:rPr>
        <w:t xml:space="preserve">               </w:t>
      </w:r>
      <w:r>
        <w:rPr>
          <w:rFonts w:hint="eastAsia"/>
          <w:highlight w:val="none"/>
        </w:rPr>
        <w:t>(姓名、职务)代表我</w:t>
      </w:r>
      <w:r>
        <w:rPr>
          <w:rFonts w:hint="eastAsia"/>
          <w:highlight w:val="none"/>
          <w:lang w:val="en-US" w:eastAsia="zh-CN"/>
        </w:rPr>
        <w:t>方</w:t>
      </w:r>
      <w:r>
        <w:rPr>
          <w:rFonts w:hint="eastAsia"/>
          <w:highlight w:val="none"/>
          <w:u w:val="single"/>
        </w:rPr>
        <w:t xml:space="preserve">               </w:t>
      </w:r>
      <w:r>
        <w:rPr>
          <w:rFonts w:hint="eastAsia"/>
          <w:highlight w:val="none"/>
        </w:rPr>
        <w:t>(</w:t>
      </w:r>
      <w:r>
        <w:rPr>
          <w:rFonts w:hint="eastAsia"/>
          <w:highlight w:val="none"/>
          <w:lang w:val="en-US" w:eastAsia="zh-CN"/>
        </w:rPr>
        <w:t>投标人名称</w:t>
      </w:r>
      <w:r>
        <w:rPr>
          <w:rFonts w:hint="eastAsia"/>
          <w:highlight w:val="none"/>
        </w:rPr>
        <w:t>)全权处理本项目投标的有关事宜。</w:t>
      </w:r>
    </w:p>
    <w:p>
      <w:pPr>
        <w:pStyle w:val="33"/>
        <w:keepNext w:val="0"/>
        <w:keepLines w:val="0"/>
        <w:pageBreakBefore w:val="0"/>
        <w:widowControl w:val="0"/>
        <w:numPr>
          <w:ilvl w:val="2"/>
          <w:numId w:val="22"/>
        </w:numPr>
        <w:kinsoku/>
        <w:wordWrap w:val="0"/>
        <w:overflowPunct/>
        <w:topLinePunct/>
        <w:autoSpaceDE/>
        <w:autoSpaceDN/>
        <w:bidi w:val="0"/>
        <w:adjustRightInd w:val="0"/>
        <w:snapToGrid w:val="0"/>
        <w:spacing w:line="440" w:lineRule="exact"/>
        <w:textAlignment w:val="auto"/>
        <w:rPr>
          <w:rFonts w:hint="eastAsia"/>
          <w:highlight w:val="none"/>
        </w:rPr>
      </w:pPr>
      <w:r>
        <w:rPr>
          <w:rFonts w:hint="eastAsia"/>
          <w:highlight w:val="none"/>
        </w:rPr>
        <w:t>我方自愿按照招标文件规定的各项要求向采购人提供所需</w:t>
      </w:r>
      <w:r>
        <w:rPr>
          <w:rFonts w:hint="eastAsia"/>
          <w:highlight w:val="none"/>
          <w:lang w:val="en-US" w:eastAsia="zh-CN"/>
        </w:rPr>
        <w:t>服务</w:t>
      </w:r>
      <w:r>
        <w:rPr>
          <w:rFonts w:hint="eastAsia"/>
          <w:highlight w:val="none"/>
        </w:rPr>
        <w:t>，投标</w:t>
      </w:r>
      <w:r>
        <w:rPr>
          <w:rFonts w:hint="eastAsia"/>
          <w:highlight w:val="none"/>
          <w:lang w:val="en-US" w:eastAsia="zh-CN"/>
        </w:rPr>
        <w:t>报价</w:t>
      </w:r>
      <w:r>
        <w:rPr>
          <w:rFonts w:hint="eastAsia"/>
          <w:highlight w:val="none"/>
          <w:u w:val="none"/>
          <w:lang w:val="en-US" w:eastAsia="zh-CN"/>
        </w:rPr>
        <w:t xml:space="preserve"> </w:t>
      </w:r>
      <w:r>
        <w:rPr>
          <w:rFonts w:hint="eastAsia"/>
          <w:highlight w:val="none"/>
        </w:rPr>
        <w:t>(大写：</w:t>
      </w:r>
      <w:r>
        <w:rPr>
          <w:rFonts w:hint="eastAsia"/>
          <w:highlight w:val="none"/>
          <w:u w:val="single"/>
        </w:rPr>
        <w:t xml:space="preserve">             </w:t>
      </w:r>
      <w:r>
        <w:rPr>
          <w:rFonts w:hint="eastAsia"/>
          <w:highlight w:val="none"/>
          <w:u w:val="none"/>
          <w:lang w:val="en-US" w:eastAsia="zh-CN"/>
        </w:rPr>
        <w:t>元/公里</w:t>
      </w:r>
      <w:r>
        <w:rPr>
          <w:rFonts w:hint="eastAsia"/>
          <w:highlight w:val="none"/>
        </w:rPr>
        <w:t>)</w:t>
      </w:r>
      <w:r>
        <w:rPr>
          <w:rFonts w:hint="eastAsia"/>
          <w:highlight w:val="none"/>
          <w:lang w:eastAsia="zh-CN"/>
        </w:rPr>
        <w:t>，</w:t>
      </w:r>
      <w:r>
        <w:rPr>
          <w:rFonts w:hint="eastAsia"/>
          <w:highlight w:val="none"/>
        </w:rPr>
        <w:t>我方将严格履行合同规定的责任和义务，</w:t>
      </w:r>
      <w:r>
        <w:rPr>
          <w:rFonts w:hint="eastAsia"/>
          <w:highlight w:val="none"/>
          <w:lang w:val="en-US" w:eastAsia="zh-CN"/>
        </w:rPr>
        <w:t>服务期限为</w:t>
      </w:r>
      <w:r>
        <w:rPr>
          <w:rFonts w:hint="eastAsia"/>
          <w:highlight w:val="none"/>
          <w:u w:val="single"/>
        </w:rPr>
        <w:t xml:space="preserve">             </w:t>
      </w:r>
      <w:r>
        <w:rPr>
          <w:rFonts w:hint="eastAsia"/>
          <w:highlight w:val="none"/>
          <w:u w:val="none"/>
          <w:lang w:eastAsia="zh-CN"/>
        </w:rPr>
        <w:t>。</w:t>
      </w:r>
    </w:p>
    <w:p>
      <w:pPr>
        <w:pStyle w:val="33"/>
        <w:keepNext w:val="0"/>
        <w:keepLines w:val="0"/>
        <w:pageBreakBefore w:val="0"/>
        <w:widowControl w:val="0"/>
        <w:numPr>
          <w:ilvl w:val="2"/>
          <w:numId w:val="22"/>
        </w:numPr>
        <w:kinsoku/>
        <w:wordWrap w:val="0"/>
        <w:overflowPunct/>
        <w:topLinePunct/>
        <w:autoSpaceDE/>
        <w:autoSpaceDN/>
        <w:bidi w:val="0"/>
        <w:adjustRightInd w:val="0"/>
        <w:snapToGrid w:val="0"/>
        <w:spacing w:line="440" w:lineRule="exact"/>
        <w:textAlignment w:val="auto"/>
        <w:rPr>
          <w:rFonts w:hint="eastAsia"/>
          <w:highlight w:val="none"/>
        </w:rPr>
      </w:pPr>
      <w:r>
        <w:rPr>
          <w:rFonts w:hint="eastAsia"/>
          <w:highlight w:val="none"/>
        </w:rPr>
        <w:t>我方承诺：投标有效期</w:t>
      </w:r>
      <w:r>
        <w:rPr>
          <w:rFonts w:hint="eastAsia"/>
          <w:highlight w:val="none"/>
          <w:u w:val="none"/>
        </w:rPr>
        <w:t>为</w:t>
      </w:r>
      <w:r>
        <w:rPr>
          <w:rFonts w:hint="eastAsia"/>
          <w:highlight w:val="none"/>
          <w:u w:val="none"/>
          <w:lang w:val="en-US" w:eastAsia="zh-CN"/>
        </w:rPr>
        <w:t>提交投标文件的截止之日起90日</w:t>
      </w:r>
      <w:r>
        <w:rPr>
          <w:rFonts w:hint="eastAsia"/>
          <w:highlight w:val="none"/>
        </w:rPr>
        <w:t>。</w:t>
      </w:r>
    </w:p>
    <w:p>
      <w:pPr>
        <w:pStyle w:val="33"/>
        <w:keepNext w:val="0"/>
        <w:keepLines w:val="0"/>
        <w:pageBreakBefore w:val="0"/>
        <w:widowControl w:val="0"/>
        <w:numPr>
          <w:ilvl w:val="2"/>
          <w:numId w:val="22"/>
        </w:numPr>
        <w:kinsoku/>
        <w:wordWrap w:val="0"/>
        <w:overflowPunct/>
        <w:topLinePunct/>
        <w:autoSpaceDE/>
        <w:autoSpaceDN/>
        <w:bidi w:val="0"/>
        <w:adjustRightInd w:val="0"/>
        <w:snapToGrid w:val="0"/>
        <w:spacing w:line="440" w:lineRule="exact"/>
        <w:textAlignment w:val="auto"/>
        <w:rPr>
          <w:rFonts w:hint="eastAsia"/>
          <w:highlight w:val="none"/>
        </w:rPr>
      </w:pPr>
      <w:r>
        <w:rPr>
          <w:rFonts w:hint="eastAsia"/>
          <w:highlight w:val="none"/>
        </w:rPr>
        <w:t>我方完全理解采购人不一定将合同授予最低报价的投标人的行为。</w:t>
      </w:r>
    </w:p>
    <w:p>
      <w:pPr>
        <w:pStyle w:val="33"/>
        <w:keepNext w:val="0"/>
        <w:keepLines w:val="0"/>
        <w:pageBreakBefore w:val="0"/>
        <w:widowControl w:val="0"/>
        <w:numPr>
          <w:ilvl w:val="2"/>
          <w:numId w:val="22"/>
        </w:numPr>
        <w:kinsoku/>
        <w:wordWrap w:val="0"/>
        <w:overflowPunct/>
        <w:topLinePunct/>
        <w:autoSpaceDE/>
        <w:autoSpaceDN/>
        <w:bidi w:val="0"/>
        <w:adjustRightInd w:val="0"/>
        <w:snapToGrid w:val="0"/>
        <w:spacing w:line="440" w:lineRule="exact"/>
        <w:textAlignment w:val="auto"/>
        <w:rPr>
          <w:rFonts w:hint="eastAsia"/>
          <w:highlight w:val="none"/>
        </w:rPr>
      </w:pPr>
      <w:r>
        <w:rPr>
          <w:rFonts w:hint="eastAsia"/>
          <w:highlight w:val="none"/>
        </w:rPr>
        <w:t>一旦我方中标</w:t>
      </w:r>
      <w:r>
        <w:rPr>
          <w:rFonts w:hint="eastAsia"/>
          <w:highlight w:val="none"/>
          <w:lang w:eastAsia="zh-CN"/>
        </w:rPr>
        <w:t>：</w:t>
      </w:r>
    </w:p>
    <w:p>
      <w:pPr>
        <w:pStyle w:val="34"/>
        <w:bidi w:val="0"/>
        <w:rPr>
          <w:rFonts w:hint="eastAsia"/>
          <w:highlight w:val="none"/>
        </w:rPr>
      </w:pPr>
      <w:r>
        <w:rPr>
          <w:rFonts w:hint="eastAsia"/>
          <w:highlight w:val="none"/>
        </w:rPr>
        <w:t>我方承诺在收到</w:t>
      </w:r>
      <w:r>
        <w:rPr>
          <w:rFonts w:hint="eastAsia"/>
          <w:highlight w:val="none"/>
          <w:lang w:val="en-US" w:eastAsia="zh-CN"/>
        </w:rPr>
        <w:t>中标</w:t>
      </w:r>
      <w:r>
        <w:rPr>
          <w:rFonts w:hint="eastAsia"/>
          <w:highlight w:val="none"/>
        </w:rPr>
        <w:t>通知书后，在规定的期限内与采购人签订合同。</w:t>
      </w:r>
    </w:p>
    <w:p>
      <w:pPr>
        <w:pStyle w:val="34"/>
        <w:bidi w:val="0"/>
        <w:rPr>
          <w:rFonts w:hint="eastAsia"/>
          <w:highlight w:val="none"/>
        </w:rPr>
      </w:pPr>
      <w:r>
        <w:rPr>
          <w:rFonts w:hint="eastAsia"/>
          <w:highlight w:val="none"/>
        </w:rPr>
        <w:t>我方将严格履行政府采购合同规定的责任和义务。</w:t>
      </w:r>
    </w:p>
    <w:p>
      <w:pPr>
        <w:pStyle w:val="34"/>
        <w:bidi w:val="0"/>
        <w:rPr>
          <w:rFonts w:hint="eastAsia"/>
        </w:rPr>
      </w:pPr>
      <w:r>
        <w:rPr>
          <w:rFonts w:hint="eastAsia"/>
        </w:rPr>
        <w:t>我方愿意提供与</w:t>
      </w:r>
      <w:r>
        <w:rPr>
          <w:rFonts w:hint="eastAsia"/>
          <w:lang w:val="en-US" w:eastAsia="zh-CN"/>
        </w:rPr>
        <w:t>投标</w:t>
      </w:r>
      <w:r>
        <w:rPr>
          <w:rFonts w:hint="eastAsia"/>
        </w:rPr>
        <w:t>报价有关的文件资料，并保证我方已提供和将要提供的文件资料是真实、准确的。</w:t>
      </w:r>
    </w:p>
    <w:p>
      <w:pPr>
        <w:pStyle w:val="34"/>
        <w:bidi w:val="0"/>
        <w:rPr>
          <w:rFonts w:hint="eastAsia"/>
        </w:rPr>
      </w:pPr>
      <w:r>
        <w:rPr>
          <w:rFonts w:hint="eastAsia"/>
        </w:rPr>
        <w:t>我方自愿按照</w:t>
      </w:r>
      <w:r>
        <w:rPr>
          <w:rFonts w:hint="eastAsia"/>
          <w:lang w:val="en-US" w:eastAsia="zh-CN"/>
        </w:rPr>
        <w:t>招标</w:t>
      </w:r>
      <w:r>
        <w:rPr>
          <w:rFonts w:hint="eastAsia"/>
        </w:rPr>
        <w:t>文件规定的各项要求完成</w:t>
      </w:r>
      <w:r>
        <w:rPr>
          <w:rFonts w:hint="eastAsia"/>
          <w:lang w:val="en-US" w:eastAsia="zh-CN"/>
        </w:rPr>
        <w:t>采购</w:t>
      </w:r>
      <w:r>
        <w:rPr>
          <w:rFonts w:hint="eastAsia"/>
        </w:rPr>
        <w:t>项目，接受采购人按照政府采购合同约定金额支付采购资金。</w:t>
      </w:r>
    </w:p>
    <w:p>
      <w:pPr>
        <w:pStyle w:val="34"/>
        <w:bidi w:val="0"/>
        <w:rPr>
          <w:rFonts w:hint="eastAsia"/>
        </w:rPr>
      </w:pPr>
      <w:r>
        <w:rPr>
          <w:rFonts w:hint="eastAsia"/>
          <w:lang w:val="en-US" w:eastAsia="zh-CN"/>
        </w:rPr>
        <w:t>我方在参与本项目履约过程中涉及国家相关强制标准的，均按照该标准执行。</w:t>
      </w:r>
    </w:p>
    <w:p>
      <w:pPr>
        <w:pStyle w:val="33"/>
        <w:keepNext w:val="0"/>
        <w:keepLines w:val="0"/>
        <w:pageBreakBefore w:val="0"/>
        <w:widowControl w:val="0"/>
        <w:numPr>
          <w:ilvl w:val="2"/>
          <w:numId w:val="22"/>
        </w:numPr>
        <w:kinsoku/>
        <w:wordWrap w:val="0"/>
        <w:overflowPunct/>
        <w:topLinePunct/>
        <w:autoSpaceDE/>
        <w:autoSpaceDN/>
        <w:bidi w:val="0"/>
        <w:adjustRightInd w:val="0"/>
        <w:snapToGrid w:val="0"/>
        <w:spacing w:line="440" w:lineRule="exact"/>
        <w:textAlignment w:val="auto"/>
        <w:rPr>
          <w:rFonts w:hint="eastAsia"/>
        </w:rPr>
      </w:pPr>
      <w:r>
        <w:rPr>
          <w:rFonts w:hint="eastAsia"/>
          <w:lang w:val="en-US" w:eastAsia="zh-CN"/>
        </w:rPr>
        <w:t>我方如对招标文件有异议，已经在投标</w:t>
      </w:r>
      <w:r>
        <w:rPr>
          <w:rFonts w:hint="eastAsia"/>
        </w:rPr>
        <w:t>截止时间届满前依法进行维权救济，不存在对</w:t>
      </w:r>
      <w:r>
        <w:rPr>
          <w:rFonts w:hint="eastAsia"/>
          <w:lang w:val="en-US" w:eastAsia="zh-CN"/>
        </w:rPr>
        <w:t>招标</w:t>
      </w:r>
      <w:r>
        <w:rPr>
          <w:rFonts w:hint="eastAsia"/>
          <w:lang w:eastAsia="zh-CN"/>
        </w:rPr>
        <w:t>文件</w:t>
      </w:r>
      <w:r>
        <w:rPr>
          <w:rFonts w:hint="eastAsia"/>
        </w:rPr>
        <w:t>有异议的同时又参加</w:t>
      </w:r>
      <w:r>
        <w:rPr>
          <w:rFonts w:hint="eastAsia"/>
          <w:lang w:val="en-US" w:eastAsia="zh-CN"/>
        </w:rPr>
        <w:t>投标</w:t>
      </w:r>
      <w:r>
        <w:rPr>
          <w:rFonts w:hint="eastAsia"/>
        </w:rPr>
        <w:t>以求侥幸</w:t>
      </w:r>
      <w:r>
        <w:rPr>
          <w:rFonts w:hint="eastAsia"/>
          <w:lang w:val="en-US" w:eastAsia="zh-CN"/>
        </w:rPr>
        <w:t>中标</w:t>
      </w:r>
      <w:r>
        <w:rPr>
          <w:rFonts w:hint="eastAsia"/>
        </w:rPr>
        <w:t>或者为实现其他非法目的的行为。</w:t>
      </w:r>
    </w:p>
    <w:p>
      <w:pPr>
        <w:pStyle w:val="33"/>
        <w:keepNext w:val="0"/>
        <w:keepLines w:val="0"/>
        <w:pageBreakBefore w:val="0"/>
        <w:widowControl w:val="0"/>
        <w:numPr>
          <w:ilvl w:val="2"/>
          <w:numId w:val="22"/>
        </w:numPr>
        <w:kinsoku/>
        <w:wordWrap w:val="0"/>
        <w:overflowPunct/>
        <w:topLinePunct/>
        <w:autoSpaceDE/>
        <w:autoSpaceDN/>
        <w:bidi w:val="0"/>
        <w:adjustRightInd w:val="0"/>
        <w:snapToGrid w:val="0"/>
        <w:spacing w:line="440" w:lineRule="exact"/>
        <w:textAlignment w:val="auto"/>
        <w:rPr>
          <w:rFonts w:hint="eastAsia" w:cs="宋体" w:asciiTheme="minorEastAsia" w:hAnsiTheme="minorEastAsia" w:eastAsiaTheme="minorEastAsia"/>
          <w:b/>
          <w:bCs/>
          <w:snapToGrid/>
          <w:color w:val="auto"/>
          <w:kern w:val="2"/>
          <w:sz w:val="24"/>
          <w:szCs w:val="24"/>
          <w:highlight w:val="none"/>
          <w:lang w:val="en-US" w:eastAsia="zh-CN" w:bidi="ar-SA"/>
        </w:rPr>
      </w:pPr>
      <w:r>
        <w:rPr>
          <w:rFonts w:hint="eastAsia"/>
          <w:b/>
          <w:bCs/>
          <w:lang w:val="en-US" w:eastAsia="zh-CN"/>
        </w:rPr>
        <w:t>我方承诺在参加本项目投标过程中，已认真研读并充分理解招标文件及招标公告的相关内容，完全识别招标投标相关风险(含不利因素)并已采取有效的风险防控应对措施，积极主动尽职尽责，愿意承担错过在“政府采购云平台”递交电子投标文件时间、错过开标解密时间、</w:t>
      </w:r>
      <w:r>
        <w:rPr>
          <w:rFonts w:hint="eastAsia" w:cs="宋体" w:asciiTheme="minorEastAsia" w:hAnsiTheme="minorEastAsia" w:eastAsiaTheme="minorEastAsia"/>
          <w:b/>
          <w:bCs/>
          <w:snapToGrid/>
          <w:color w:val="auto"/>
          <w:kern w:val="2"/>
          <w:sz w:val="24"/>
          <w:szCs w:val="24"/>
          <w:highlight w:val="none"/>
          <w:lang w:val="en-US" w:eastAsia="zh-CN" w:bidi="ar-SA"/>
        </w:rPr>
        <w:t>错过澄清、说明、补正时间、以及电子签章过期或失效、投标人电脑终端或系统故障、投标人网络不稳定或故障等情形(不可抗力因素除外)所导致的一切不利后果。</w:t>
      </w:r>
    </w:p>
    <w:p>
      <w:pPr>
        <w:pStyle w:val="33"/>
        <w:keepNext w:val="0"/>
        <w:keepLines w:val="0"/>
        <w:pageBreakBefore w:val="0"/>
        <w:widowControl w:val="0"/>
        <w:numPr>
          <w:ilvl w:val="2"/>
          <w:numId w:val="22"/>
        </w:numPr>
        <w:kinsoku/>
        <w:wordWrap w:val="0"/>
        <w:overflowPunct/>
        <w:topLinePunct/>
        <w:autoSpaceDE/>
        <w:autoSpaceDN/>
        <w:bidi w:val="0"/>
        <w:adjustRightInd w:val="0"/>
        <w:snapToGrid w:val="0"/>
        <w:spacing w:line="440" w:lineRule="exact"/>
        <w:textAlignment w:val="auto"/>
        <w:rPr>
          <w:rFonts w:hint="eastAsia" w:cs="宋体" w:asciiTheme="minorEastAsia" w:hAnsiTheme="minorEastAsia" w:eastAsiaTheme="minorEastAsia"/>
          <w:b/>
          <w:bCs/>
          <w:snapToGrid/>
          <w:color w:val="auto"/>
          <w:kern w:val="2"/>
          <w:sz w:val="24"/>
          <w:szCs w:val="24"/>
          <w:highlight w:val="none"/>
          <w:lang w:val="en-US" w:eastAsia="zh-CN" w:bidi="ar-SA"/>
        </w:rPr>
      </w:pPr>
      <w:r>
        <w:rPr>
          <w:rFonts w:hint="eastAsia" w:cs="宋体" w:asciiTheme="minorEastAsia" w:hAnsiTheme="minorEastAsia" w:eastAsiaTheme="minorEastAsia"/>
          <w:b/>
          <w:bCs/>
          <w:snapToGrid/>
          <w:color w:val="auto"/>
          <w:kern w:val="2"/>
          <w:sz w:val="24"/>
          <w:szCs w:val="24"/>
          <w:highlight w:val="none"/>
          <w:lang w:val="en-US" w:eastAsia="zh-CN" w:bidi="ar-SA"/>
        </w:rPr>
        <w:t>我方充分认识，理解、包容电子招投标过程中可能出现的细微偏差、瑕疵、不足、失误等(影响公平竞争的除外)情形，并积极将发现的具体问题向招标采购单位如实反映。</w:t>
      </w:r>
    </w:p>
    <w:p>
      <w:pPr>
        <w:pStyle w:val="40"/>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rPr>
      </w:pPr>
      <w:r>
        <w:rPr>
          <w:rFonts w:hint="eastAsia"/>
        </w:rPr>
        <w:t>投标人名称：</w:t>
      </w:r>
      <w:r>
        <w:rPr>
          <w:rFonts w:hint="eastAsia" w:asciiTheme="minorEastAsia" w:hAnsiTheme="minorEastAsia" w:eastAsiaTheme="minorEastAsia" w:cstheme="minorEastAsia"/>
          <w:bCs/>
          <w:color w:val="auto"/>
          <w:sz w:val="24"/>
          <w:szCs w:val="24"/>
          <w:highlight w:val="none"/>
          <w:u w:val="single"/>
        </w:rPr>
        <w:t xml:space="preserve">               </w:t>
      </w:r>
    </w:p>
    <w:p>
      <w:pPr>
        <w:pStyle w:val="40"/>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rPr>
      </w:pPr>
      <w:r>
        <w:rPr>
          <w:rFonts w:hint="eastAsia"/>
        </w:rPr>
        <w:t>通讯地址：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rPr>
        <w:t xml:space="preserve">               </w:t>
      </w:r>
    </w:p>
    <w:p>
      <w:pPr>
        <w:pStyle w:val="40"/>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rPr>
      </w:pPr>
      <w:r>
        <w:rPr>
          <w:rFonts w:hint="eastAsia"/>
        </w:rPr>
        <w:t>邮政编码：</w:t>
      </w:r>
      <w:r>
        <w:rPr>
          <w:rFonts w:hint="eastAsia" w:asciiTheme="minorEastAsia" w:hAnsiTheme="minorEastAsia" w:eastAsiaTheme="minorEastAsia" w:cstheme="minorEastAsia"/>
          <w:bCs/>
          <w:color w:val="auto"/>
          <w:sz w:val="24"/>
          <w:szCs w:val="24"/>
          <w:highlight w:val="none"/>
          <w:u w:val="single"/>
        </w:rPr>
        <w:t xml:space="preserve">               </w:t>
      </w:r>
      <w:r>
        <w:rPr>
          <w:rFonts w:hint="eastAsia"/>
        </w:rPr>
        <w:t xml:space="preserve">               </w:t>
      </w:r>
    </w:p>
    <w:p>
      <w:pPr>
        <w:pStyle w:val="40"/>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rPr>
      </w:pPr>
      <w:r>
        <w:rPr>
          <w:rFonts w:hint="eastAsia"/>
        </w:rPr>
        <w:t>联系电话：</w:t>
      </w:r>
      <w:r>
        <w:rPr>
          <w:rFonts w:hint="eastAsia" w:asciiTheme="minorEastAsia" w:hAnsiTheme="minorEastAsia" w:eastAsiaTheme="minorEastAsia" w:cstheme="minorEastAsia"/>
          <w:bCs/>
          <w:color w:val="auto"/>
          <w:sz w:val="24"/>
          <w:szCs w:val="24"/>
          <w:highlight w:val="none"/>
          <w:u w:val="single"/>
        </w:rPr>
        <w:t xml:space="preserve">               </w:t>
      </w:r>
      <w:r>
        <w:rPr>
          <w:rFonts w:hint="eastAsia"/>
        </w:rPr>
        <w:t xml:space="preserve">               </w:t>
      </w:r>
    </w:p>
    <w:p>
      <w:pPr>
        <w:pStyle w:val="40"/>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rPr>
      </w:pPr>
      <w:r>
        <w:rPr>
          <w:rFonts w:hint="eastAsia"/>
        </w:rPr>
        <w:t>传    真：</w:t>
      </w:r>
      <w:r>
        <w:rPr>
          <w:rFonts w:hint="eastAsia" w:asciiTheme="minorEastAsia" w:hAnsiTheme="minorEastAsia" w:eastAsiaTheme="minorEastAsia" w:cstheme="minorEastAsia"/>
          <w:bCs/>
          <w:color w:val="auto"/>
          <w:sz w:val="24"/>
          <w:szCs w:val="24"/>
          <w:highlight w:val="none"/>
          <w:u w:val="single"/>
        </w:rPr>
        <w:t xml:space="preserve">               </w:t>
      </w:r>
      <w:r>
        <w:rPr>
          <w:rFonts w:hint="eastAsia"/>
        </w:rPr>
        <w:t xml:space="preserve">               </w:t>
      </w:r>
    </w:p>
    <w:p>
      <w:pPr>
        <w:pStyle w:val="40"/>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rPr>
      </w:pPr>
      <w:r>
        <w:rPr>
          <w:rFonts w:hint="eastAsia"/>
        </w:rPr>
        <w:t>投标日期：</w:t>
      </w:r>
      <w:r>
        <w:rPr>
          <w:rFonts w:hint="eastAsia" w:asciiTheme="minorEastAsia" w:hAnsiTheme="minorEastAsia" w:eastAsiaTheme="minorEastAsia" w:cstheme="minorEastAsia"/>
          <w:bCs/>
          <w:color w:val="auto"/>
          <w:sz w:val="24"/>
          <w:szCs w:val="24"/>
          <w:highlight w:val="none"/>
          <w:u w:val="single"/>
        </w:rPr>
        <w:t xml:space="preserve">               </w:t>
      </w:r>
      <w:r>
        <w:rPr>
          <w:rFonts w:hint="eastAsia"/>
        </w:rPr>
        <w:t xml:space="preserve">     </w:t>
      </w:r>
    </w:p>
    <w:p>
      <w:pPr>
        <w:rPr>
          <w:rFonts w:hint="eastAsia"/>
        </w:rPr>
      </w:pPr>
      <w:r>
        <w:rPr>
          <w:rFonts w:hint="eastAsia"/>
        </w:rPr>
        <w:br w:type="page"/>
      </w:r>
    </w:p>
    <w:p>
      <w:pPr>
        <w:pStyle w:val="42"/>
        <w:numPr>
          <w:ilvl w:val="0"/>
          <w:numId w:val="21"/>
        </w:numPr>
        <w:bidi w:val="0"/>
        <w:ind w:left="0" w:leftChars="0" w:firstLine="0" w:firstLineChars="0"/>
        <w:rPr>
          <w:rFonts w:hint="eastAsia"/>
          <w:lang w:val="en-US" w:eastAsia="zh-CN"/>
        </w:rPr>
      </w:pPr>
      <w:bookmarkStart w:id="879" w:name="_Toc9055"/>
      <w:r>
        <w:rPr>
          <w:rFonts w:hint="eastAsia"/>
          <w:lang w:val="en-US" w:eastAsia="zh-CN"/>
        </w:rPr>
        <w:t>实质性要求承诺</w:t>
      </w:r>
      <w:bookmarkEnd w:id="879"/>
    </w:p>
    <w:p>
      <w:pPr>
        <w:pStyle w:val="40"/>
        <w:bidi w:val="0"/>
        <w:rPr>
          <w:rFonts w:hint="eastAsia"/>
        </w:rPr>
      </w:pPr>
      <w:r>
        <w:rPr>
          <w:rFonts w:hint="eastAsia"/>
          <w:u w:val="single"/>
        </w:rPr>
        <w:t xml:space="preserve">                   </w:t>
      </w:r>
      <w:r>
        <w:rPr>
          <w:rFonts w:hint="eastAsia"/>
          <w:lang w:eastAsia="zh-CN"/>
        </w:rPr>
        <w:t>(</w:t>
      </w:r>
      <w:r>
        <w:rPr>
          <w:rFonts w:hint="eastAsia"/>
        </w:rPr>
        <w:t>采购代理机构名称</w:t>
      </w:r>
      <w:r>
        <w:rPr>
          <w:rFonts w:hint="eastAsia"/>
          <w:lang w:eastAsia="zh-CN"/>
        </w:rPr>
        <w:t>)</w:t>
      </w:r>
      <w:r>
        <w:rPr>
          <w:rFonts w:hint="eastAsia"/>
        </w:rPr>
        <w:t>：</w:t>
      </w:r>
    </w:p>
    <w:p>
      <w:pPr>
        <w:pStyle w:val="44"/>
        <w:bidi w:val="0"/>
        <w:rPr>
          <w:rFonts w:hint="eastAsia"/>
        </w:rPr>
      </w:pPr>
      <w:r>
        <w:rPr>
          <w:rFonts w:hint="eastAsia"/>
        </w:rPr>
        <w:t>我</w:t>
      </w:r>
      <w:r>
        <w:rPr>
          <w:rFonts w:hint="eastAsia"/>
          <w:lang w:val="en-US" w:eastAsia="zh-CN"/>
        </w:rPr>
        <w:t>方</w:t>
      </w:r>
      <w:r>
        <w:rPr>
          <w:rFonts w:hint="eastAsia"/>
        </w:rPr>
        <w:t>作为本次采购项目的</w:t>
      </w:r>
      <w:r>
        <w:rPr>
          <w:rFonts w:hint="eastAsia"/>
          <w:lang w:val="en-US" w:eastAsia="zh-CN"/>
        </w:rPr>
        <w:t>投标人</w:t>
      </w:r>
      <w:r>
        <w:rPr>
          <w:rFonts w:hint="eastAsia"/>
        </w:rPr>
        <w:t>，根据</w:t>
      </w:r>
      <w:r>
        <w:rPr>
          <w:rFonts w:hint="eastAsia"/>
          <w:lang w:val="en-US" w:eastAsia="zh-CN"/>
        </w:rPr>
        <w:t>招标</w:t>
      </w:r>
      <w:r>
        <w:rPr>
          <w:rFonts w:hint="eastAsia"/>
          <w:lang w:eastAsia="zh-CN"/>
        </w:rPr>
        <w:t>文件</w:t>
      </w:r>
      <w:r>
        <w:rPr>
          <w:rFonts w:hint="eastAsia"/>
        </w:rPr>
        <w:t>要求，现郑重承诺及声明如下：</w:t>
      </w:r>
    </w:p>
    <w:p>
      <w:pPr>
        <w:pStyle w:val="33"/>
        <w:numPr>
          <w:ilvl w:val="2"/>
          <w:numId w:val="23"/>
        </w:numPr>
        <w:bidi w:val="0"/>
        <w:rPr>
          <w:rFonts w:hint="eastAsia"/>
        </w:rPr>
      </w:pPr>
      <w:r>
        <w:rPr>
          <w:rFonts w:hint="eastAsia"/>
        </w:rPr>
        <w:t>我方已认真阅读并接受本项目</w:t>
      </w:r>
      <w:r>
        <w:rPr>
          <w:rFonts w:hint="eastAsia"/>
          <w:lang w:val="en-US" w:eastAsia="zh-CN"/>
        </w:rPr>
        <w:t>采购文件</w:t>
      </w:r>
      <w:r>
        <w:rPr>
          <w:rFonts w:hint="eastAsia"/>
        </w:rPr>
        <w:t>的全部实质性要求</w:t>
      </w:r>
      <w:r>
        <w:rPr>
          <w:rFonts w:hint="eastAsia"/>
          <w:lang w:eastAsia="zh-CN"/>
        </w:rPr>
        <w:t>。</w:t>
      </w:r>
    </w:p>
    <w:p>
      <w:pPr>
        <w:pStyle w:val="33"/>
        <w:numPr>
          <w:ilvl w:val="2"/>
          <w:numId w:val="23"/>
        </w:numPr>
        <w:bidi w:val="0"/>
        <w:rPr>
          <w:rFonts w:hint="eastAsia"/>
        </w:rPr>
      </w:pPr>
      <w:r>
        <w:rPr>
          <w:rFonts w:hint="eastAsia"/>
          <w:lang w:val="en-US" w:eastAsia="zh-CN"/>
        </w:rPr>
        <w:t>我方</w:t>
      </w:r>
      <w:r>
        <w:rPr>
          <w:rFonts w:hint="eastAsia"/>
        </w:rPr>
        <w:t>参加本次采购活动，不存在与单位负责人为同一人或者存在直接控股、管理关系的其他供应商参与同一合同项下的政府采购活动的行为。</w:t>
      </w:r>
      <w:r>
        <w:rPr>
          <w:rFonts w:hint="eastAsia"/>
          <w:color w:val="auto"/>
          <w:sz w:val="24"/>
          <w:szCs w:val="24"/>
          <w:lang w:val="en-US" w:eastAsia="zh-CN"/>
        </w:rPr>
        <w:t>与我方</w:t>
      </w:r>
      <w:r>
        <w:rPr>
          <w:rFonts w:hint="eastAsia"/>
          <w:color w:val="auto"/>
          <w:sz w:val="24"/>
          <w:szCs w:val="24"/>
        </w:rPr>
        <w:t>存在直接控股关系的</w:t>
      </w:r>
      <w:r>
        <w:rPr>
          <w:rFonts w:hint="eastAsia"/>
          <w:color w:val="auto"/>
          <w:sz w:val="24"/>
          <w:szCs w:val="24"/>
          <w:lang w:val="en-US" w:eastAsia="zh-CN"/>
        </w:rPr>
        <w:t>单位为：</w:t>
      </w:r>
      <w:r>
        <w:rPr>
          <w:rFonts w:hint="eastAsia"/>
          <w:color w:val="auto"/>
          <w:sz w:val="24"/>
          <w:szCs w:val="24"/>
          <w:u w:val="single"/>
          <w:lang w:val="en-US" w:eastAsia="zh-CN"/>
        </w:rPr>
        <w:t xml:space="preserve">                  </w:t>
      </w:r>
      <w:r>
        <w:rPr>
          <w:rFonts w:hint="eastAsia"/>
          <w:color w:val="auto"/>
          <w:sz w:val="24"/>
          <w:szCs w:val="24"/>
          <w:lang w:eastAsia="zh-CN"/>
        </w:rPr>
        <w:t>；</w:t>
      </w:r>
      <w:r>
        <w:rPr>
          <w:rFonts w:hint="eastAsia"/>
          <w:color w:val="auto"/>
          <w:sz w:val="24"/>
          <w:szCs w:val="24"/>
          <w:lang w:val="en-US" w:eastAsia="zh-CN"/>
        </w:rPr>
        <w:t>存在</w:t>
      </w:r>
      <w:r>
        <w:rPr>
          <w:rFonts w:hint="eastAsia"/>
          <w:color w:val="auto"/>
          <w:sz w:val="24"/>
          <w:szCs w:val="24"/>
        </w:rPr>
        <w:t>管理关系的</w:t>
      </w:r>
      <w:r>
        <w:rPr>
          <w:rFonts w:hint="eastAsia"/>
          <w:color w:val="auto"/>
          <w:sz w:val="24"/>
          <w:szCs w:val="24"/>
          <w:lang w:val="en-US" w:eastAsia="zh-CN"/>
        </w:rPr>
        <w:t>单位为：</w:t>
      </w:r>
      <w:r>
        <w:rPr>
          <w:rFonts w:hint="eastAsia"/>
          <w:color w:val="auto"/>
          <w:sz w:val="24"/>
          <w:szCs w:val="24"/>
          <w:u w:val="single"/>
          <w:lang w:val="en-US" w:eastAsia="zh-CN"/>
        </w:rPr>
        <w:t xml:space="preserve">                      </w:t>
      </w:r>
      <w:r>
        <w:rPr>
          <w:rFonts w:hint="eastAsia"/>
          <w:color w:val="auto"/>
          <w:sz w:val="24"/>
          <w:szCs w:val="24"/>
          <w:u w:val="none"/>
          <w:lang w:val="en-US" w:eastAsia="zh-CN"/>
        </w:rPr>
        <w:t>(如不存在</w:t>
      </w:r>
      <w:r>
        <w:rPr>
          <w:rFonts w:hint="eastAsia"/>
          <w:color w:val="auto"/>
          <w:sz w:val="24"/>
          <w:szCs w:val="24"/>
        </w:rPr>
        <w:t>直接控股、管理关系的相关供应商</w:t>
      </w:r>
      <w:r>
        <w:rPr>
          <w:rFonts w:hint="eastAsia"/>
          <w:color w:val="auto"/>
          <w:sz w:val="24"/>
          <w:szCs w:val="24"/>
          <w:lang w:val="en-US" w:eastAsia="zh-CN"/>
        </w:rPr>
        <w:t>填“无”</w:t>
      </w:r>
      <w:r>
        <w:rPr>
          <w:rFonts w:hint="eastAsia"/>
          <w:color w:val="auto"/>
          <w:sz w:val="24"/>
          <w:szCs w:val="24"/>
          <w:u w:val="none"/>
          <w:lang w:val="en-US" w:eastAsia="zh-CN"/>
        </w:rPr>
        <w:t>)。</w:t>
      </w:r>
    </w:p>
    <w:p>
      <w:pPr>
        <w:pStyle w:val="33"/>
        <w:numPr>
          <w:ilvl w:val="2"/>
          <w:numId w:val="23"/>
        </w:numPr>
        <w:bidi w:val="0"/>
        <w:rPr>
          <w:rFonts w:hint="eastAsia"/>
        </w:rPr>
      </w:pPr>
      <w:r>
        <w:rPr>
          <w:rFonts w:hint="eastAsia"/>
          <w:lang w:val="en-US" w:eastAsia="zh-CN"/>
        </w:rPr>
        <w:t>我方</w:t>
      </w:r>
      <w:r>
        <w:rPr>
          <w:rFonts w:hint="eastAsia"/>
        </w:rPr>
        <w:t>参加本次采购活动前本单位未对本次采购项目提供过整体设计、规范编制或者项目管理、监理、检测等服务。</w:t>
      </w:r>
    </w:p>
    <w:p>
      <w:pPr>
        <w:pStyle w:val="33"/>
        <w:numPr>
          <w:ilvl w:val="2"/>
          <w:numId w:val="23"/>
        </w:numPr>
        <w:bidi w:val="0"/>
        <w:rPr>
          <w:rFonts w:hint="eastAsia"/>
          <w:lang w:val="en-US"/>
        </w:rPr>
      </w:pPr>
      <w:r>
        <w:rPr>
          <w:rFonts w:hint="eastAsia"/>
          <w:lang w:val="en-US" w:eastAsia="zh-CN"/>
        </w:rPr>
        <w:t>我方</w:t>
      </w:r>
      <w:r>
        <w:rPr>
          <w:rFonts w:hint="eastAsia"/>
        </w:rPr>
        <w:t>参加本次采购活动，</w:t>
      </w:r>
      <w:r>
        <w:rPr>
          <w:rFonts w:hint="eastAsia"/>
          <w:lang w:val="en-US" w:eastAsia="zh-CN"/>
        </w:rPr>
        <w:t>不存在我单位实际控制人或者中高级管理人员是本项目采购代理机构的工作人员的情形。</w:t>
      </w:r>
    </w:p>
    <w:p>
      <w:pPr>
        <w:pStyle w:val="33"/>
        <w:numPr>
          <w:ilvl w:val="2"/>
          <w:numId w:val="23"/>
        </w:numPr>
        <w:bidi w:val="0"/>
        <w:rPr>
          <w:rFonts w:hint="eastAsia"/>
          <w:lang w:eastAsia="zh-CN"/>
        </w:rPr>
      </w:pPr>
      <w:r>
        <w:rPr>
          <w:rFonts w:hint="eastAsia"/>
          <w:lang w:val="en-US" w:eastAsia="zh-CN"/>
        </w:rPr>
        <w:t>我方</w:t>
      </w:r>
      <w:r>
        <w:rPr>
          <w:rFonts w:hint="eastAsia"/>
        </w:rPr>
        <w:t>参加本次采购活动，</w:t>
      </w:r>
      <w:r>
        <w:rPr>
          <w:rFonts w:hint="eastAsia"/>
          <w:lang w:val="en-US" w:eastAsia="zh-CN"/>
        </w:rPr>
        <w:t>不存在</w:t>
      </w:r>
      <w:r>
        <w:rPr>
          <w:rFonts w:hint="eastAsia"/>
        </w:rPr>
        <w:t>同一母公司的两家以上的子公司以不同供应商身份同时参加本项目同一合同项下的采购活动</w:t>
      </w:r>
      <w:r>
        <w:rPr>
          <w:rFonts w:hint="eastAsia"/>
          <w:lang w:val="en-US" w:eastAsia="zh-CN"/>
        </w:rPr>
        <w:t>的情形</w:t>
      </w:r>
      <w:r>
        <w:rPr>
          <w:rFonts w:hint="eastAsia"/>
          <w:lang w:eastAsia="zh-CN"/>
        </w:rPr>
        <w:t>。</w:t>
      </w:r>
    </w:p>
    <w:p>
      <w:pPr>
        <w:pStyle w:val="33"/>
        <w:numPr>
          <w:ilvl w:val="2"/>
          <w:numId w:val="23"/>
        </w:numPr>
        <w:bidi w:val="0"/>
        <w:rPr>
          <w:rFonts w:hint="eastAsia"/>
        </w:rPr>
      </w:pPr>
      <w:r>
        <w:rPr>
          <w:rFonts w:hint="eastAsia"/>
          <w:lang w:val="en-US" w:eastAsia="zh-CN"/>
        </w:rPr>
        <w:t>我方</w:t>
      </w:r>
      <w:r>
        <w:rPr>
          <w:rFonts w:hint="eastAsia"/>
        </w:rPr>
        <w:t>参加本次采购活动，</w:t>
      </w:r>
      <w:r>
        <w:rPr>
          <w:rFonts w:hint="eastAsia"/>
          <w:lang w:val="en-US"/>
        </w:rPr>
        <w:t>与采购代理机构</w:t>
      </w:r>
      <w:r>
        <w:rPr>
          <w:rFonts w:hint="eastAsia"/>
          <w:lang w:val="en-US" w:eastAsia="zh-CN"/>
        </w:rPr>
        <w:t>不</w:t>
      </w:r>
      <w:r>
        <w:rPr>
          <w:rFonts w:hint="eastAsia"/>
          <w:lang w:val="en-US"/>
        </w:rPr>
        <w:t>存在关联关系，</w:t>
      </w:r>
      <w:r>
        <w:rPr>
          <w:rFonts w:hint="eastAsia"/>
          <w:lang w:val="en-US" w:eastAsia="zh-CN"/>
        </w:rPr>
        <w:t>不为</w:t>
      </w:r>
      <w:r>
        <w:rPr>
          <w:rFonts w:hint="eastAsia"/>
          <w:lang w:val="en-US"/>
        </w:rPr>
        <w:t>采购代理机构的母公司或子公司</w:t>
      </w:r>
      <w:r>
        <w:rPr>
          <w:rFonts w:hint="eastAsia"/>
          <w:lang w:val="en-US" w:eastAsia="zh-CN"/>
        </w:rPr>
        <w:t>。</w:t>
      </w:r>
    </w:p>
    <w:p>
      <w:pPr>
        <w:pStyle w:val="33"/>
        <w:numPr>
          <w:ilvl w:val="2"/>
          <w:numId w:val="23"/>
        </w:numPr>
        <w:bidi w:val="0"/>
        <w:rPr>
          <w:rFonts w:hint="eastAsia"/>
        </w:rPr>
      </w:pPr>
      <w:r>
        <w:rPr>
          <w:rFonts w:hint="eastAsia"/>
          <w:lang w:val="en-US" w:eastAsia="zh-CN"/>
        </w:rPr>
        <w:t>我方</w:t>
      </w:r>
      <w:r>
        <w:rPr>
          <w:rFonts w:hint="eastAsia"/>
        </w:rPr>
        <w:t>参加本次采购活动，不存在和其他供应商在同一合同项下的采购项目中，同时委托同一个自然人、同一家庭的人员、同一单位的人员作为代理人的行为。</w:t>
      </w:r>
    </w:p>
    <w:p>
      <w:pPr>
        <w:pStyle w:val="33"/>
        <w:numPr>
          <w:ilvl w:val="2"/>
          <w:numId w:val="23"/>
        </w:numPr>
        <w:bidi w:val="0"/>
        <w:rPr>
          <w:rFonts w:hint="eastAsia"/>
        </w:rPr>
      </w:pPr>
      <w:r>
        <w:rPr>
          <w:rFonts w:hint="eastAsia"/>
          <w:lang w:val="en-US" w:eastAsia="zh-CN"/>
        </w:rPr>
        <w:t>我方投标</w:t>
      </w:r>
      <w:r>
        <w:rPr>
          <w:rFonts w:hint="eastAsia"/>
        </w:rPr>
        <w:t>文件中提供的任何资料和技术、服务、商务等响应承诺情况都是真实的、有效的、合法的。</w:t>
      </w:r>
    </w:p>
    <w:p>
      <w:pPr>
        <w:pStyle w:val="33"/>
        <w:numPr>
          <w:ilvl w:val="2"/>
          <w:numId w:val="23"/>
        </w:numPr>
        <w:bidi w:val="0"/>
        <w:rPr>
          <w:rFonts w:hint="eastAsia"/>
          <w:highlight w:val="none"/>
        </w:rPr>
      </w:pPr>
      <w:r>
        <w:rPr>
          <w:rFonts w:hint="eastAsia"/>
          <w:lang w:val="en-US" w:eastAsia="zh-CN"/>
        </w:rPr>
        <w:t>我方</w:t>
      </w:r>
      <w:r>
        <w:rPr>
          <w:rFonts w:hint="eastAsia"/>
        </w:rPr>
        <w:t>参加本次采购活动，我方完全同意</w:t>
      </w:r>
      <w:r>
        <w:rPr>
          <w:rFonts w:hint="eastAsia"/>
          <w:lang w:val="en-US" w:eastAsia="zh-CN"/>
        </w:rPr>
        <w:t>招标</w:t>
      </w:r>
      <w:r>
        <w:rPr>
          <w:rFonts w:hint="eastAsia"/>
        </w:rPr>
        <w:t>文件</w:t>
      </w:r>
      <w:r>
        <w:rPr>
          <w:rFonts w:hint="eastAsia"/>
          <w:lang w:val="en-US" w:eastAsia="zh-CN"/>
        </w:rPr>
        <w:t>中</w:t>
      </w:r>
      <w:r>
        <w:rPr>
          <w:rFonts w:hint="eastAsia"/>
        </w:rPr>
        <w:t>关于“</w:t>
      </w:r>
      <w:r>
        <w:rPr>
          <w:rFonts w:hint="eastAsia"/>
          <w:lang w:val="en-US" w:eastAsia="zh-CN"/>
        </w:rPr>
        <w:t>投标</w:t>
      </w:r>
      <w:r>
        <w:rPr>
          <w:rFonts w:hint="eastAsia"/>
          <w:highlight w:val="none"/>
        </w:rPr>
        <w:t>费用”、</w:t>
      </w:r>
      <w:r>
        <w:rPr>
          <w:rFonts w:hint="eastAsia"/>
          <w:color w:val="000000" w:themeColor="text1"/>
          <w:highlight w:val="none"/>
          <w14:textFill>
            <w14:solidFill>
              <w14:schemeClr w14:val="tx1"/>
            </w14:solidFill>
          </w14:textFill>
        </w:rPr>
        <w:t>“合同分包”、</w:t>
      </w:r>
      <w:r>
        <w:rPr>
          <w:rFonts w:hint="eastAsia"/>
          <w:highlight w:val="none"/>
        </w:rPr>
        <w:t>“合同转包”</w:t>
      </w:r>
      <w:r>
        <w:rPr>
          <w:rFonts w:hint="eastAsia"/>
          <w:highlight w:val="none"/>
          <w:lang w:eastAsia="zh-CN"/>
        </w:rPr>
        <w:t>、“</w:t>
      </w:r>
      <w:r>
        <w:rPr>
          <w:rFonts w:hint="eastAsia"/>
          <w:highlight w:val="none"/>
          <w:lang w:val="en-US" w:eastAsia="zh-CN"/>
        </w:rPr>
        <w:t>知识产权</w:t>
      </w:r>
      <w:r>
        <w:rPr>
          <w:rFonts w:hint="eastAsia"/>
          <w:highlight w:val="none"/>
          <w:lang w:eastAsia="zh-CN"/>
        </w:rPr>
        <w:t>”</w:t>
      </w:r>
      <w:r>
        <w:rPr>
          <w:rFonts w:hint="eastAsia"/>
          <w:highlight w:val="none"/>
          <w:lang w:val="en-US" w:eastAsia="zh-CN"/>
        </w:rPr>
        <w:t>等</w:t>
      </w:r>
      <w:r>
        <w:rPr>
          <w:rFonts w:hint="eastAsia"/>
          <w:highlight w:val="none"/>
        </w:rPr>
        <w:t>实质性要求，并承诺严格按照</w:t>
      </w:r>
      <w:r>
        <w:rPr>
          <w:rFonts w:hint="eastAsia"/>
          <w:highlight w:val="none"/>
          <w:lang w:val="en-US" w:eastAsia="zh-CN"/>
        </w:rPr>
        <w:t>招标</w:t>
      </w:r>
      <w:r>
        <w:rPr>
          <w:rFonts w:hint="eastAsia"/>
          <w:highlight w:val="none"/>
        </w:rPr>
        <w:t>文件要求履行。</w:t>
      </w:r>
    </w:p>
    <w:p>
      <w:pPr>
        <w:pStyle w:val="33"/>
        <w:numPr>
          <w:ilvl w:val="2"/>
          <w:numId w:val="23"/>
        </w:numPr>
        <w:bidi w:val="0"/>
        <w:rPr>
          <w:rFonts w:hint="eastAsia"/>
        </w:rPr>
      </w:pPr>
      <w:r>
        <w:rPr>
          <w:rFonts w:hint="eastAsia"/>
        </w:rPr>
        <w:t>我方保证在本项目使用的任何产品和服务</w:t>
      </w:r>
      <w:r>
        <w:rPr>
          <w:rFonts w:hint="eastAsia"/>
          <w:lang w:eastAsia="zh-CN"/>
        </w:rPr>
        <w:t>(</w:t>
      </w:r>
      <w:r>
        <w:rPr>
          <w:rFonts w:hint="eastAsia"/>
        </w:rPr>
        <w:t>包括部分使用</w:t>
      </w:r>
      <w:r>
        <w:rPr>
          <w:rFonts w:hint="eastAsia"/>
          <w:lang w:eastAsia="zh-CN"/>
        </w:rPr>
        <w:t>)</w:t>
      </w:r>
      <w:r>
        <w:rPr>
          <w:rFonts w:hint="eastAsia"/>
        </w:rPr>
        <w:t>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t>承诺</w:t>
      </w:r>
      <w:r>
        <w:rPr>
          <w:rFonts w:hint="eastAsia"/>
        </w:rPr>
        <w:t>提供</w:t>
      </w:r>
      <w:r>
        <w:rPr>
          <w:rFonts w:hint="eastAsia"/>
          <w:lang w:val="en-US" w:eastAsia="zh-CN"/>
        </w:rPr>
        <w:t>相关</w:t>
      </w:r>
      <w:r>
        <w:rPr>
          <w:rFonts w:hint="eastAsia"/>
        </w:rPr>
        <w:t>技术文档，并提供无限期技术支持，采购人享有永久使用权</w:t>
      </w:r>
      <w:r>
        <w:rPr>
          <w:rFonts w:hint="eastAsia"/>
          <w:lang w:eastAsia="zh-CN"/>
        </w:rPr>
        <w:t>(</w:t>
      </w:r>
      <w:r>
        <w:rPr>
          <w:rFonts w:hint="eastAsia"/>
        </w:rPr>
        <w:t>含采购人委托第三方在该项目后续开发的使用权</w:t>
      </w:r>
      <w:r>
        <w:rPr>
          <w:rFonts w:hint="eastAsia"/>
          <w:lang w:eastAsia="zh-CN"/>
        </w:rPr>
        <w:t>)</w:t>
      </w:r>
      <w:r>
        <w:rPr>
          <w:rFonts w:hint="eastAsia"/>
        </w:rPr>
        <w:t>。如我方在项目实施过程中采用非自有的知识产权，则在投标报价中已包括合法获取该知识产权的相关费用。</w:t>
      </w:r>
    </w:p>
    <w:p>
      <w:pPr>
        <w:pStyle w:val="33"/>
        <w:numPr>
          <w:ilvl w:val="2"/>
          <w:numId w:val="23"/>
        </w:numPr>
        <w:bidi w:val="0"/>
        <w:rPr>
          <w:rFonts w:hint="eastAsia"/>
        </w:rPr>
      </w:pPr>
      <w:r>
        <w:rPr>
          <w:rFonts w:hint="eastAsia"/>
          <w:lang w:val="en-US" w:eastAsia="zh-CN"/>
        </w:rPr>
        <w:t>我</w:t>
      </w:r>
      <w:r>
        <w:rPr>
          <w:rFonts w:hint="eastAsia"/>
        </w:rPr>
        <w:t>方</w:t>
      </w:r>
      <w:r>
        <w:rPr>
          <w:rFonts w:hint="eastAsia"/>
          <w:lang w:val="en-US" w:eastAsia="zh-CN"/>
        </w:rPr>
        <w:t>严格按照《四川省政府采购项目电子化采购管理暂行办法》川财规〔2021〕8号</w:t>
      </w:r>
      <w:r>
        <w:rPr>
          <w:rFonts w:hint="eastAsia"/>
        </w:rPr>
        <w:t>规定</w:t>
      </w:r>
      <w:r>
        <w:rPr>
          <w:rFonts w:hint="eastAsia"/>
          <w:lang w:val="en-US" w:eastAsia="zh-CN"/>
        </w:rPr>
        <w:t>使用</w:t>
      </w:r>
      <w:r>
        <w:rPr>
          <w:rFonts w:hint="eastAsia"/>
        </w:rPr>
        <w:t>数字证书登录交易系统进行系统操作，使用依法认证的电子签名、电子印章确认采购过程中制作、交换的数据电文资料，并对其操作行为和电子签名、电子印章确认的事项承担法律责任。</w:t>
      </w:r>
    </w:p>
    <w:p>
      <w:pPr>
        <w:pStyle w:val="33"/>
        <w:numPr>
          <w:ilvl w:val="2"/>
          <w:numId w:val="23"/>
        </w:numPr>
        <w:bidi w:val="0"/>
        <w:rPr>
          <w:rFonts w:hint="eastAsia"/>
        </w:rPr>
      </w:pPr>
      <w:r>
        <w:rPr>
          <w:rFonts w:hint="eastAsia"/>
          <w:lang w:val="en-US" w:eastAsia="zh-CN"/>
        </w:rPr>
        <w:t>我方作为电子化采购活动参与方，将严格按照《四川省政府采购项目电子化采购管理暂行办法》川财规〔2021〕8号规定履行其初始录入信息验证义务，妥善保管数字证书、电子签名和电子印章，对因初始录入身份不实、数字证书、电子签名和电子印章等保管不善产生的后果，依法承担相应法律责任。</w:t>
      </w:r>
    </w:p>
    <w:p>
      <w:pPr>
        <w:pStyle w:val="33"/>
        <w:numPr>
          <w:ilvl w:val="2"/>
          <w:numId w:val="23"/>
        </w:numPr>
        <w:bidi w:val="0"/>
        <w:rPr>
          <w:rFonts w:hint="eastAsia"/>
        </w:rPr>
      </w:pPr>
      <w:r>
        <w:rPr>
          <w:rFonts w:hint="eastAsia"/>
          <w:lang w:val="en-US" w:eastAsia="zh-CN"/>
        </w:rPr>
        <w:t>我方如有伪造、篡改或者损毁政府采购项目电子化采购活动信息、数据电文和电子档案情形的，依法承担相应责任。</w:t>
      </w:r>
    </w:p>
    <w:p>
      <w:pPr>
        <w:pStyle w:val="44"/>
        <w:bidi w:val="0"/>
        <w:rPr>
          <w:rFonts w:hint="eastAsia"/>
        </w:rPr>
      </w:pPr>
      <w:r>
        <w:rPr>
          <w:rFonts w:hint="eastAsia"/>
        </w:rPr>
        <w:t>本公司对上述承诺的内容事项真实性</w:t>
      </w:r>
      <w:r>
        <w:rPr>
          <w:rFonts w:hint="eastAsia"/>
          <w:lang w:eastAsia="zh-CN"/>
        </w:rPr>
        <w:t>、</w:t>
      </w:r>
      <w:r>
        <w:rPr>
          <w:rFonts w:hint="eastAsia"/>
        </w:rPr>
        <w:t>合法</w:t>
      </w:r>
      <w:r>
        <w:rPr>
          <w:rFonts w:hint="eastAsia"/>
          <w:lang w:val="en-US" w:eastAsia="zh-CN"/>
        </w:rPr>
        <w:t>性</w:t>
      </w:r>
      <w:r>
        <w:rPr>
          <w:rFonts w:hint="eastAsia"/>
        </w:rPr>
        <w:t>负责。如经查实上述承诺的内容事项存在虚假，我公司</w:t>
      </w:r>
      <w:r>
        <w:rPr>
          <w:rFonts w:hint="eastAsia"/>
          <w:lang w:val="en-US" w:eastAsia="zh-CN"/>
        </w:rPr>
        <w:t>自愿</w:t>
      </w:r>
      <w:r>
        <w:rPr>
          <w:rFonts w:hint="eastAsia"/>
        </w:rPr>
        <w:t>接受以提供虚假材料谋取</w:t>
      </w:r>
      <w:r>
        <w:rPr>
          <w:rFonts w:hint="eastAsia"/>
          <w:lang w:val="en-US" w:eastAsia="zh-CN"/>
        </w:rPr>
        <w:t>中标所带来的所有</w:t>
      </w:r>
      <w:r>
        <w:rPr>
          <w:rFonts w:hint="eastAsia"/>
        </w:rPr>
        <w:t>法律责任。</w:t>
      </w:r>
    </w:p>
    <w:p>
      <w:pPr>
        <w:pStyle w:val="40"/>
        <w:bidi w:val="0"/>
        <w:rPr>
          <w:rFonts w:hint="eastAsia"/>
          <w:lang w:val="en-US" w:eastAsia="zh-CN"/>
        </w:rPr>
      </w:pPr>
    </w:p>
    <w:p>
      <w:pPr>
        <w:pStyle w:val="40"/>
        <w:bidi w:val="0"/>
        <w:rPr>
          <w:rFonts w:hint="eastAsia"/>
        </w:rPr>
      </w:pPr>
    </w:p>
    <w:p>
      <w:pPr>
        <w:pStyle w:val="40"/>
        <w:bidi w:val="0"/>
        <w:rPr>
          <w:rFonts w:hint="eastAsia"/>
        </w:rPr>
      </w:pPr>
    </w:p>
    <w:p>
      <w:pPr>
        <w:pStyle w:val="44"/>
        <w:bidi w:val="0"/>
        <w:rPr>
          <w:rFonts w:hint="eastAsia"/>
        </w:rPr>
      </w:pPr>
      <w:r>
        <w:rPr>
          <w:rFonts w:hint="eastAsia"/>
          <w:lang w:val="en-US" w:eastAsia="zh-CN"/>
        </w:rPr>
        <w:t>投标人</w:t>
      </w:r>
      <w:r>
        <w:rPr>
          <w:rFonts w:hint="eastAsia"/>
        </w:rPr>
        <w:t>名称：</w:t>
      </w:r>
      <w:r>
        <w:rPr>
          <w:rFonts w:hint="eastAsia" w:asciiTheme="minorEastAsia" w:hAnsiTheme="minorEastAsia" w:eastAsiaTheme="minorEastAsia" w:cstheme="minorEastAsia"/>
          <w:color w:val="auto"/>
          <w:sz w:val="24"/>
          <w:highlight w:val="none"/>
          <w:u w:val="single"/>
          <w:lang w:val="en-US" w:eastAsia="zh-CN"/>
        </w:rPr>
        <w:t xml:space="preserve">            </w:t>
      </w:r>
    </w:p>
    <w:p>
      <w:pPr>
        <w:pStyle w:val="44"/>
        <w:bidi w:val="0"/>
        <w:rPr>
          <w:rFonts w:hint="eastAsia"/>
          <w:lang w:val="en-US" w:eastAsia="zh-CN"/>
        </w:rPr>
      </w:pPr>
      <w:r>
        <w:rPr>
          <w:rFonts w:hint="eastAsia"/>
          <w:lang w:val="en-US" w:eastAsia="zh-CN"/>
        </w:rPr>
        <w:t>投标</w:t>
      </w:r>
      <w:r>
        <w:rPr>
          <w:rFonts w:hint="eastAsia"/>
        </w:rPr>
        <w:t>日期</w:t>
      </w:r>
      <w:r>
        <w:rPr>
          <w:rFonts w:hint="eastAsia"/>
          <w:lang w:eastAsia="zh-CN"/>
        </w:rPr>
        <w:t>：</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lang w:val="en-US" w:eastAsia="zh-CN"/>
        </w:rPr>
        <w:t xml:space="preserve">         </w:t>
      </w:r>
    </w:p>
    <w:p>
      <w:pPr>
        <w:rPr>
          <w:rFonts w:hint="eastAsia" w:ascii="宋体" w:hAnsi="宋体" w:eastAsia="宋体"/>
        </w:rPr>
      </w:pPr>
      <w:r>
        <w:rPr>
          <w:rFonts w:hint="eastAsia" w:ascii="宋体" w:hAnsi="宋体" w:eastAsia="宋体"/>
        </w:rPr>
        <w:br w:type="page"/>
      </w:r>
    </w:p>
    <w:p>
      <w:pPr>
        <w:pStyle w:val="42"/>
        <w:numPr>
          <w:ilvl w:val="0"/>
          <w:numId w:val="21"/>
        </w:numPr>
        <w:bidi w:val="0"/>
        <w:ind w:left="0" w:leftChars="0" w:firstLine="0" w:firstLineChars="0"/>
        <w:rPr>
          <w:rFonts w:hint="eastAsia"/>
          <w:lang w:val="en-US" w:eastAsia="zh-CN"/>
        </w:rPr>
      </w:pPr>
      <w:bookmarkStart w:id="880" w:name="_Toc10493"/>
      <w:bookmarkStart w:id="881" w:name="_Toc439161752"/>
      <w:bookmarkStart w:id="882" w:name="_Toc5912"/>
      <w:bookmarkStart w:id="883" w:name="_Toc302997926"/>
      <w:bookmarkStart w:id="884" w:name="_Toc3690"/>
      <w:bookmarkStart w:id="885" w:name="_Toc6982"/>
      <w:bookmarkStart w:id="886" w:name="_Toc484"/>
      <w:r>
        <w:rPr>
          <w:rFonts w:hint="eastAsia"/>
          <w:lang w:val="en-US" w:eastAsia="zh-CN"/>
        </w:rPr>
        <w:t>投标人基本情况表</w:t>
      </w:r>
      <w:bookmarkEnd w:id="880"/>
      <w:bookmarkEnd w:id="881"/>
      <w:bookmarkEnd w:id="882"/>
      <w:bookmarkEnd w:id="883"/>
      <w:bookmarkEnd w:id="884"/>
      <w:bookmarkEnd w:id="885"/>
      <w:bookmarkEnd w:id="886"/>
    </w:p>
    <w:tbl>
      <w:tblPr>
        <w:tblStyle w:val="20"/>
        <w:tblW w:w="9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6"/>
        <w:gridCol w:w="939"/>
        <w:gridCol w:w="1432"/>
        <w:gridCol w:w="1455"/>
        <w:gridCol w:w="1548"/>
        <w:gridCol w:w="186"/>
        <w:gridCol w:w="1178"/>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投标人名称</w:t>
            </w:r>
          </w:p>
        </w:tc>
        <w:tc>
          <w:tcPr>
            <w:tcW w:w="8000" w:type="dxa"/>
            <w:gridSpan w:val="7"/>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注册地址</w:t>
            </w:r>
          </w:p>
        </w:tc>
        <w:tc>
          <w:tcPr>
            <w:tcW w:w="3826" w:type="dxa"/>
            <w:gridSpan w:val="3"/>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548" w:type="dxa"/>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邮政编码</w:t>
            </w:r>
          </w:p>
        </w:tc>
        <w:tc>
          <w:tcPr>
            <w:tcW w:w="2626" w:type="dxa"/>
            <w:gridSpan w:val="3"/>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Merge w:val="restart"/>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联系方式</w:t>
            </w:r>
          </w:p>
        </w:tc>
        <w:tc>
          <w:tcPr>
            <w:tcW w:w="939" w:type="dxa"/>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联系人</w:t>
            </w:r>
          </w:p>
        </w:tc>
        <w:tc>
          <w:tcPr>
            <w:tcW w:w="2887" w:type="dxa"/>
            <w:gridSpan w:val="2"/>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548" w:type="dxa"/>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电话</w:t>
            </w:r>
          </w:p>
        </w:tc>
        <w:tc>
          <w:tcPr>
            <w:tcW w:w="2626" w:type="dxa"/>
            <w:gridSpan w:val="3"/>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 w:hRule="atLeast"/>
        </w:trPr>
        <w:tc>
          <w:tcPr>
            <w:tcW w:w="1956" w:type="dxa"/>
            <w:vMerge w:val="continue"/>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939" w:type="dxa"/>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传真</w:t>
            </w:r>
          </w:p>
        </w:tc>
        <w:tc>
          <w:tcPr>
            <w:tcW w:w="2887" w:type="dxa"/>
            <w:gridSpan w:val="2"/>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548" w:type="dxa"/>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网址</w:t>
            </w:r>
          </w:p>
        </w:tc>
        <w:tc>
          <w:tcPr>
            <w:tcW w:w="2626" w:type="dxa"/>
            <w:gridSpan w:val="3"/>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956" w:type="dxa"/>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法定代表人</w:t>
            </w:r>
          </w:p>
        </w:tc>
        <w:tc>
          <w:tcPr>
            <w:tcW w:w="939" w:type="dxa"/>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姓名</w:t>
            </w:r>
          </w:p>
        </w:tc>
        <w:tc>
          <w:tcPr>
            <w:tcW w:w="1432" w:type="dxa"/>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455" w:type="dxa"/>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技术职称</w:t>
            </w:r>
          </w:p>
        </w:tc>
        <w:tc>
          <w:tcPr>
            <w:tcW w:w="1548" w:type="dxa"/>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364" w:type="dxa"/>
            <w:gridSpan w:val="2"/>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电话</w:t>
            </w:r>
          </w:p>
        </w:tc>
        <w:tc>
          <w:tcPr>
            <w:tcW w:w="1262" w:type="dxa"/>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956" w:type="dxa"/>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技术负责人</w:t>
            </w:r>
          </w:p>
        </w:tc>
        <w:tc>
          <w:tcPr>
            <w:tcW w:w="939" w:type="dxa"/>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姓名</w:t>
            </w:r>
          </w:p>
        </w:tc>
        <w:tc>
          <w:tcPr>
            <w:tcW w:w="1432" w:type="dxa"/>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455" w:type="dxa"/>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技术职称</w:t>
            </w:r>
          </w:p>
        </w:tc>
        <w:tc>
          <w:tcPr>
            <w:tcW w:w="1548" w:type="dxa"/>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364" w:type="dxa"/>
            <w:gridSpan w:val="2"/>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电话</w:t>
            </w:r>
          </w:p>
        </w:tc>
        <w:tc>
          <w:tcPr>
            <w:tcW w:w="1262" w:type="dxa"/>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成立时间</w:t>
            </w:r>
          </w:p>
        </w:tc>
        <w:tc>
          <w:tcPr>
            <w:tcW w:w="2371" w:type="dxa"/>
            <w:gridSpan w:val="2"/>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5629" w:type="dxa"/>
            <w:gridSpan w:val="5"/>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lang w:val="en-US" w:eastAsia="zh-CN"/>
              </w:rPr>
              <w:t>从业人员</w:t>
            </w:r>
            <w:r>
              <w:rPr>
                <w:rFonts w:hint="eastAsia"/>
              </w:rPr>
              <w:t>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企业资质等级</w:t>
            </w:r>
          </w:p>
        </w:tc>
        <w:tc>
          <w:tcPr>
            <w:tcW w:w="2371" w:type="dxa"/>
            <w:gridSpan w:val="2"/>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455" w:type="dxa"/>
            <w:vMerge w:val="restart"/>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其中</w:t>
            </w:r>
          </w:p>
        </w:tc>
        <w:tc>
          <w:tcPr>
            <w:tcW w:w="1734" w:type="dxa"/>
            <w:gridSpan w:val="2"/>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项目经理</w:t>
            </w:r>
          </w:p>
        </w:tc>
        <w:tc>
          <w:tcPr>
            <w:tcW w:w="2440" w:type="dxa"/>
            <w:gridSpan w:val="2"/>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营业执照号/统一社会信用代码</w:t>
            </w:r>
          </w:p>
        </w:tc>
        <w:tc>
          <w:tcPr>
            <w:tcW w:w="2371" w:type="dxa"/>
            <w:gridSpan w:val="2"/>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455" w:type="dxa"/>
            <w:vMerge w:val="continue"/>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734" w:type="dxa"/>
            <w:gridSpan w:val="2"/>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高级职称人员</w:t>
            </w:r>
          </w:p>
        </w:tc>
        <w:tc>
          <w:tcPr>
            <w:tcW w:w="2440" w:type="dxa"/>
            <w:gridSpan w:val="2"/>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注册资金</w:t>
            </w:r>
          </w:p>
        </w:tc>
        <w:tc>
          <w:tcPr>
            <w:tcW w:w="2371" w:type="dxa"/>
            <w:gridSpan w:val="2"/>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455" w:type="dxa"/>
            <w:vMerge w:val="continue"/>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734" w:type="dxa"/>
            <w:gridSpan w:val="2"/>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中级职称人员</w:t>
            </w:r>
          </w:p>
        </w:tc>
        <w:tc>
          <w:tcPr>
            <w:tcW w:w="2440" w:type="dxa"/>
            <w:gridSpan w:val="2"/>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开户银行</w:t>
            </w:r>
          </w:p>
        </w:tc>
        <w:tc>
          <w:tcPr>
            <w:tcW w:w="2371" w:type="dxa"/>
            <w:gridSpan w:val="2"/>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455" w:type="dxa"/>
            <w:vMerge w:val="continue"/>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734" w:type="dxa"/>
            <w:gridSpan w:val="2"/>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初级职称人员</w:t>
            </w:r>
          </w:p>
        </w:tc>
        <w:tc>
          <w:tcPr>
            <w:tcW w:w="2440" w:type="dxa"/>
            <w:gridSpan w:val="2"/>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账号</w:t>
            </w:r>
          </w:p>
        </w:tc>
        <w:tc>
          <w:tcPr>
            <w:tcW w:w="2371" w:type="dxa"/>
            <w:gridSpan w:val="2"/>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455" w:type="dxa"/>
            <w:vMerge w:val="continue"/>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734" w:type="dxa"/>
            <w:gridSpan w:val="2"/>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技工</w:t>
            </w:r>
          </w:p>
        </w:tc>
        <w:tc>
          <w:tcPr>
            <w:tcW w:w="2440" w:type="dxa"/>
            <w:gridSpan w:val="2"/>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7" w:hRule="atLeast"/>
        </w:trPr>
        <w:tc>
          <w:tcPr>
            <w:tcW w:w="1956" w:type="dxa"/>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经营范围</w:t>
            </w:r>
          </w:p>
        </w:tc>
        <w:tc>
          <w:tcPr>
            <w:tcW w:w="8000" w:type="dxa"/>
            <w:gridSpan w:val="7"/>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default" w:eastAsia="宋体"/>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2" w:hRule="atLeast"/>
        </w:trPr>
        <w:tc>
          <w:tcPr>
            <w:tcW w:w="1956" w:type="dxa"/>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jc w:val="center"/>
              <w:textAlignment w:val="auto"/>
              <w:rPr>
                <w:rFonts w:hint="eastAsia"/>
              </w:rPr>
            </w:pPr>
            <w:r>
              <w:rPr>
                <w:rFonts w:hint="eastAsia"/>
              </w:rPr>
              <w:t>备注</w:t>
            </w:r>
          </w:p>
        </w:tc>
        <w:tc>
          <w:tcPr>
            <w:tcW w:w="8000" w:type="dxa"/>
            <w:gridSpan w:val="7"/>
            <w:vAlign w:val="top"/>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r>
    </w:tbl>
    <w:p>
      <w:pPr>
        <w:pStyle w:val="45"/>
        <w:bidi w:val="0"/>
        <w:rPr>
          <w:rFonts w:hint="eastAsia"/>
        </w:rPr>
      </w:pPr>
      <w:r>
        <w:rPr>
          <w:rFonts w:hint="eastAsia"/>
        </w:rPr>
        <w:t>注：</w:t>
      </w:r>
      <w:r>
        <w:rPr>
          <w:rFonts w:hint="eastAsia"/>
          <w:lang w:val="en-US" w:eastAsia="zh-CN"/>
        </w:rPr>
        <w:t>①投标人</w:t>
      </w:r>
      <w:r>
        <w:rPr>
          <w:rFonts w:hint="eastAsia"/>
        </w:rPr>
        <w:t>根据</w:t>
      </w:r>
      <w:r>
        <w:rPr>
          <w:rFonts w:hint="eastAsia"/>
          <w:lang w:val="en-US" w:eastAsia="zh-CN"/>
        </w:rPr>
        <w:t>自身</w:t>
      </w:r>
      <w:r>
        <w:rPr>
          <w:rFonts w:hint="eastAsia"/>
        </w:rPr>
        <w:t>实际情况</w:t>
      </w:r>
      <w:r>
        <w:rPr>
          <w:rFonts w:hint="eastAsia"/>
          <w:lang w:val="en-US" w:eastAsia="zh-CN"/>
        </w:rPr>
        <w:t>填写</w:t>
      </w:r>
      <w:r>
        <w:rPr>
          <w:rFonts w:hint="eastAsia"/>
        </w:rPr>
        <w:t>，</w:t>
      </w:r>
      <w:r>
        <w:rPr>
          <w:rFonts w:hint="eastAsia"/>
          <w:lang w:val="en-US" w:eastAsia="zh-CN"/>
        </w:rPr>
        <w:t>对不涉及的内容可填写“/”，</w:t>
      </w:r>
      <w:r>
        <w:rPr>
          <w:rFonts w:hint="eastAsia"/>
        </w:rPr>
        <w:t>不影响投标资质及效力。</w:t>
      </w:r>
    </w:p>
    <w:p>
      <w:pPr>
        <w:pStyle w:val="44"/>
        <w:bidi w:val="0"/>
        <w:rPr>
          <w:rFonts w:hint="eastAsia"/>
        </w:rPr>
      </w:pPr>
    </w:p>
    <w:p>
      <w:pPr>
        <w:pStyle w:val="44"/>
        <w:bidi w:val="0"/>
        <w:rPr>
          <w:rFonts w:hint="eastAsia"/>
        </w:rPr>
      </w:pPr>
      <w:r>
        <w:rPr>
          <w:rFonts w:hint="eastAsia"/>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pPr>
        <w:pStyle w:val="44"/>
        <w:bidi w:val="0"/>
        <w:rPr>
          <w:rFonts w:hint="eastAsia"/>
        </w:rPr>
      </w:pPr>
      <w:r>
        <w:rPr>
          <w:rFonts w:hint="eastAsia"/>
        </w:rPr>
        <w:t>投标日期</w:t>
      </w:r>
      <w:r>
        <w:rPr>
          <w:rFonts w:hint="eastAsia"/>
          <w:lang w:eastAsia="zh-CN"/>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lang w:val="en-US" w:eastAsia="zh-CN"/>
        </w:rPr>
        <w:t xml:space="preserve">       </w:t>
      </w:r>
    </w:p>
    <w:p>
      <w:pPr>
        <w:pStyle w:val="42"/>
        <w:numPr>
          <w:ilvl w:val="0"/>
          <w:numId w:val="21"/>
        </w:numPr>
        <w:bidi w:val="0"/>
        <w:ind w:left="0" w:leftChars="0" w:firstLine="0" w:firstLineChars="0"/>
        <w:rPr>
          <w:rFonts w:hint="eastAsia"/>
          <w:lang w:val="en-US" w:eastAsia="zh-CN"/>
        </w:rPr>
      </w:pPr>
      <w:bookmarkStart w:id="887" w:name="_Toc5734"/>
      <w:r>
        <w:rPr>
          <w:rFonts w:hint="eastAsia"/>
          <w:lang w:val="en-US" w:eastAsia="zh-CN"/>
        </w:rPr>
        <w:t>开标一览表</w:t>
      </w:r>
      <w:bookmarkEnd w:id="875"/>
      <w:bookmarkEnd w:id="876"/>
      <w:bookmarkEnd w:id="877"/>
      <w:bookmarkEnd w:id="878"/>
      <w:bookmarkEnd w:id="887"/>
    </w:p>
    <w:p>
      <w:pPr>
        <w:pStyle w:val="40"/>
        <w:bidi w:val="0"/>
        <w:rPr>
          <w:rFonts w:hint="eastAsia"/>
          <w:u w:val="single"/>
        </w:rPr>
      </w:pPr>
      <w:r>
        <w:rPr>
          <w:rFonts w:hint="eastAsia"/>
        </w:rPr>
        <w:t>项目名称：</w:t>
      </w:r>
      <w:r>
        <w:rPr>
          <w:rFonts w:hint="eastAsia"/>
          <w:u w:val="single"/>
        </w:rPr>
        <w:t xml:space="preserve">             </w:t>
      </w:r>
      <w:r>
        <w:rPr>
          <w:rFonts w:hint="eastAsia"/>
          <w:u w:val="single"/>
          <w:lang w:val="en-US" w:eastAsia="zh-CN"/>
        </w:rPr>
        <w:t xml:space="preserve">          </w:t>
      </w:r>
      <w:r>
        <w:rPr>
          <w:rFonts w:hint="eastAsia"/>
          <w:u w:val="single"/>
        </w:rPr>
        <w:t xml:space="preserve">  </w:t>
      </w:r>
    </w:p>
    <w:p>
      <w:pPr>
        <w:pStyle w:val="40"/>
        <w:bidi w:val="0"/>
        <w:rPr>
          <w:rFonts w:hint="eastAsia"/>
          <w:highlight w:val="yellow"/>
          <w:u w:val="single"/>
        </w:rPr>
      </w:pPr>
      <w:r>
        <w:rPr>
          <w:rFonts w:hint="eastAsia"/>
        </w:rPr>
        <w:t>项目编号：</w:t>
      </w:r>
      <w:r>
        <w:rPr>
          <w:rFonts w:hint="eastAsia"/>
          <w:u w:val="single"/>
        </w:rPr>
        <w:t xml:space="preserve">               </w:t>
      </w:r>
      <w:r>
        <w:rPr>
          <w:rFonts w:hint="eastAsia"/>
          <w:u w:val="single"/>
          <w:lang w:val="en-US" w:eastAsia="zh-CN"/>
        </w:rPr>
        <w:t xml:space="preserve">          </w:t>
      </w:r>
      <w:r>
        <w:rPr>
          <w:rFonts w:hint="eastAsia"/>
          <w:lang w:val="en-US" w:eastAsia="zh-CN"/>
        </w:rPr>
        <w:t xml:space="preserve">                                  </w:t>
      </w:r>
    </w:p>
    <w:tbl>
      <w:tblPr>
        <w:tblStyle w:val="20"/>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2751"/>
        <w:gridCol w:w="2759"/>
        <w:gridCol w:w="2751"/>
        <w:gridCol w:w="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367" w:type="pct"/>
            <w:vAlign w:val="center"/>
          </w:tcPr>
          <w:p>
            <w:pPr>
              <w:pStyle w:val="43"/>
              <w:bidi w:val="0"/>
              <w:jc w:val="center"/>
              <w:rPr>
                <w:rFonts w:hint="eastAsia"/>
                <w:b/>
                <w:bCs/>
              </w:rPr>
            </w:pPr>
            <w:r>
              <w:rPr>
                <w:rFonts w:hint="eastAsia"/>
                <w:b/>
                <w:bCs/>
              </w:rPr>
              <w:t>序号</w:t>
            </w:r>
          </w:p>
        </w:tc>
        <w:tc>
          <w:tcPr>
            <w:tcW w:w="1378" w:type="pct"/>
            <w:vAlign w:val="center"/>
          </w:tcPr>
          <w:p>
            <w:pPr>
              <w:pStyle w:val="43"/>
              <w:bidi w:val="0"/>
              <w:rPr>
                <w:rFonts w:hint="default" w:eastAsia="宋体"/>
                <w:b/>
                <w:bCs/>
                <w:lang w:val="en-US" w:eastAsia="zh-CN"/>
              </w:rPr>
            </w:pPr>
            <w:r>
              <w:rPr>
                <w:rFonts w:hint="eastAsia"/>
                <w:b/>
                <w:bCs/>
                <w:lang w:val="en-US" w:eastAsia="zh-CN"/>
              </w:rPr>
              <w:t>采购内容</w:t>
            </w:r>
          </w:p>
        </w:tc>
        <w:tc>
          <w:tcPr>
            <w:tcW w:w="1382" w:type="pct"/>
            <w:vAlign w:val="center"/>
          </w:tcPr>
          <w:p>
            <w:pPr>
              <w:pStyle w:val="43"/>
              <w:ind w:firstLine="0" w:firstLineChars="0"/>
              <w:rPr>
                <w:rFonts w:hint="eastAsia"/>
                <w:b/>
                <w:bCs/>
              </w:rPr>
            </w:pPr>
            <w:r>
              <w:rPr>
                <w:rFonts w:hint="eastAsia"/>
                <w:b/>
                <w:bCs/>
                <w:highlight w:val="none"/>
              </w:rPr>
              <w:t>投标</w:t>
            </w:r>
            <w:r>
              <w:rPr>
                <w:rFonts w:hint="eastAsia"/>
                <w:b/>
                <w:bCs/>
                <w:highlight w:val="none"/>
                <w:lang w:val="en-US" w:eastAsia="zh-CN"/>
              </w:rPr>
              <w:t>报价</w:t>
            </w:r>
          </w:p>
        </w:tc>
        <w:tc>
          <w:tcPr>
            <w:tcW w:w="1378" w:type="pct"/>
            <w:vAlign w:val="center"/>
          </w:tcPr>
          <w:p>
            <w:pPr>
              <w:pStyle w:val="43"/>
              <w:bidi w:val="0"/>
              <w:rPr>
                <w:rFonts w:hint="eastAsia"/>
                <w:b/>
                <w:bCs/>
              </w:rPr>
            </w:pPr>
            <w:r>
              <w:rPr>
                <w:rFonts w:hint="eastAsia"/>
                <w:b/>
                <w:bCs/>
                <w:lang w:val="en-US" w:eastAsia="zh-CN"/>
              </w:rPr>
              <w:t>服务期限</w:t>
            </w:r>
          </w:p>
        </w:tc>
        <w:tc>
          <w:tcPr>
            <w:tcW w:w="492" w:type="pct"/>
            <w:vAlign w:val="center"/>
          </w:tcPr>
          <w:p>
            <w:pPr>
              <w:pStyle w:val="43"/>
              <w:bidi w:val="0"/>
              <w:rPr>
                <w:rFonts w:hint="eastAsia"/>
                <w:b/>
                <w:bCs/>
              </w:rPr>
            </w:pPr>
            <w:r>
              <w:rPr>
                <w:rFonts w:hint="eastAsia"/>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1" w:hRule="atLeast"/>
          <w:jc w:val="center"/>
        </w:trPr>
        <w:tc>
          <w:tcPr>
            <w:tcW w:w="367" w:type="pct"/>
            <w:vAlign w:val="center"/>
          </w:tcPr>
          <w:p>
            <w:pPr>
              <w:pStyle w:val="40"/>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378" w:type="pct"/>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sz w:val="21"/>
                <w:szCs w:val="21"/>
              </w:rPr>
            </w:pPr>
            <w:r>
              <w:rPr>
                <w:rFonts w:hint="eastAsia" w:ascii="宋体" w:hAnsi="宋体" w:eastAsia="宋体" w:cs="宋体"/>
                <w:sz w:val="21"/>
                <w:szCs w:val="21"/>
                <w:highlight w:val="none"/>
                <w:vertAlign w:val="baseline"/>
                <w:lang w:eastAsia="zh-CN"/>
              </w:rPr>
              <w:t>2021年度成都市农村公路路况PQI检测服务</w:t>
            </w:r>
          </w:p>
        </w:tc>
        <w:tc>
          <w:tcPr>
            <w:tcW w:w="1382" w:type="pct"/>
            <w:vAlign w:val="center"/>
          </w:tcPr>
          <w:p>
            <w:pPr>
              <w:pStyle w:val="43"/>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default"/>
                <w:sz w:val="21"/>
                <w:szCs w:val="21"/>
                <w:lang w:val="en-US"/>
              </w:rPr>
            </w:pPr>
            <w:r>
              <w:rPr>
                <w:rFonts w:hint="eastAsia"/>
                <w:sz w:val="21"/>
                <w:szCs w:val="21"/>
                <w:u w:val="single"/>
                <w:lang w:val="en-US" w:eastAsia="zh-CN"/>
              </w:rPr>
              <w:t xml:space="preserve">          </w:t>
            </w:r>
            <w:r>
              <w:rPr>
                <w:rFonts w:hint="eastAsia"/>
                <w:sz w:val="21"/>
                <w:szCs w:val="21"/>
                <w:lang w:val="en-US" w:eastAsia="zh-CN"/>
              </w:rPr>
              <w:t>元/公里</w:t>
            </w:r>
          </w:p>
        </w:tc>
        <w:tc>
          <w:tcPr>
            <w:tcW w:w="1378" w:type="pct"/>
            <w:vAlign w:val="center"/>
          </w:tcPr>
          <w:p>
            <w:pPr>
              <w:pStyle w:val="40"/>
              <w:bidi w:val="0"/>
              <w:rPr>
                <w:rFonts w:hint="eastAsia" w:ascii="宋体" w:hAnsi="宋体" w:eastAsia="宋体" w:cs="宋体"/>
                <w:sz w:val="21"/>
                <w:szCs w:val="21"/>
                <w:lang w:eastAsia="zh-CN"/>
              </w:rPr>
            </w:pPr>
            <w:r>
              <w:rPr>
                <w:rFonts w:hint="eastAsia" w:ascii="宋体" w:hAnsi="宋体" w:eastAsia="宋体" w:cs="宋体"/>
                <w:sz w:val="21"/>
                <w:szCs w:val="21"/>
                <w:lang w:val="en-US" w:eastAsia="zh-CN"/>
              </w:rPr>
              <w:t>2021年度成都市农村公路路况PQI检测工作计划于2021年9月初正式开始，正式检测结果须在2021年11月30日前提交至成都市交通运输综合行政执法总队</w:t>
            </w:r>
          </w:p>
        </w:tc>
        <w:tc>
          <w:tcPr>
            <w:tcW w:w="492" w:type="pct"/>
            <w:vAlign w:val="center"/>
          </w:tcPr>
          <w:p>
            <w:pPr>
              <w:pStyle w:val="40"/>
              <w:bidi w:val="0"/>
              <w:rPr>
                <w:rFonts w:hint="eastAsia" w:ascii="宋体" w:hAnsi="宋体" w:eastAsia="宋体" w:cs="宋体"/>
                <w:sz w:val="24"/>
                <w:szCs w:val="24"/>
              </w:rPr>
            </w:pPr>
          </w:p>
        </w:tc>
      </w:tr>
    </w:tbl>
    <w:p>
      <w:pPr>
        <w:pStyle w:val="45"/>
        <w:bidi w:val="0"/>
        <w:rPr>
          <w:rFonts w:hint="eastAsia"/>
          <w:b w:val="0"/>
          <w:bCs/>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注：</w:t>
      </w:r>
      <w:r>
        <w:rPr>
          <w:rFonts w:hint="eastAsia"/>
          <w:b w:val="0"/>
          <w:bCs/>
          <w:color w:val="000000" w:themeColor="text1"/>
          <w:highlight w:val="none"/>
          <w:lang w:val="en-US" w:eastAsia="zh-CN"/>
          <w14:textFill>
            <w14:solidFill>
              <w14:schemeClr w14:val="tx1"/>
            </w14:solidFill>
          </w14:textFill>
        </w:rPr>
        <w:t>①</w:t>
      </w:r>
      <w:r>
        <w:rPr>
          <w:rFonts w:hint="eastAsia"/>
          <w:b w:val="0"/>
          <w:bCs/>
          <w:color w:val="000000" w:themeColor="text1"/>
          <w:highlight w:val="none"/>
          <w14:textFill>
            <w14:solidFill>
              <w14:schemeClr w14:val="tx1"/>
            </w14:solidFill>
          </w14:textFill>
        </w:rPr>
        <w:t>报价应是投标人响应招标项目要求的全部工作内容的价格体现，</w:t>
      </w:r>
      <w:r>
        <w:rPr>
          <w:rFonts w:hint="eastAsia"/>
          <w:b w:val="0"/>
          <w:bCs/>
          <w:color w:val="000000" w:themeColor="text1"/>
          <w:highlight w:val="none"/>
          <w:lang w:val="en-US" w:eastAsia="zh-CN"/>
          <w14:textFill>
            <w14:solidFill>
              <w14:schemeClr w14:val="tx1"/>
            </w14:solidFill>
          </w14:textFill>
        </w:rPr>
        <w:t>包含完成</w:t>
      </w:r>
      <w:r>
        <w:rPr>
          <w:rFonts w:hint="eastAsia"/>
          <w:b w:val="0"/>
          <w:bCs/>
          <w:color w:val="000000" w:themeColor="text1"/>
          <w:highlight w:val="none"/>
          <w14:textFill>
            <w14:solidFill>
              <w14:schemeClr w14:val="tx1"/>
            </w14:solidFill>
          </w14:textFill>
        </w:rPr>
        <w:t>本项目所涉及人员</w:t>
      </w:r>
      <w:r>
        <w:rPr>
          <w:rFonts w:hint="eastAsia"/>
          <w:b w:val="0"/>
          <w:bCs/>
          <w:color w:val="000000" w:themeColor="text1"/>
          <w:highlight w:val="none"/>
          <w:lang w:val="en-US" w:eastAsia="zh-CN"/>
          <w14:textFill>
            <w14:solidFill>
              <w14:schemeClr w14:val="tx1"/>
            </w14:solidFill>
          </w14:textFill>
        </w:rPr>
        <w:t>薪资</w:t>
      </w:r>
      <w:r>
        <w:rPr>
          <w:rFonts w:hint="eastAsia"/>
          <w:b w:val="0"/>
          <w:bCs/>
          <w:color w:val="000000" w:themeColor="text1"/>
          <w:highlight w:val="none"/>
          <w14:textFill>
            <w14:solidFill>
              <w14:schemeClr w14:val="tx1"/>
            </w14:solidFill>
          </w14:textFill>
        </w:rPr>
        <w:t>、</w:t>
      </w:r>
      <w:r>
        <w:rPr>
          <w:rFonts w:hint="eastAsia"/>
          <w:b w:val="0"/>
          <w:bCs/>
          <w:color w:val="000000" w:themeColor="text1"/>
          <w:highlight w:val="none"/>
          <w:lang w:val="en-US" w:eastAsia="zh-CN"/>
          <w14:textFill>
            <w14:solidFill>
              <w14:schemeClr w14:val="tx1"/>
            </w14:solidFill>
          </w14:textFill>
        </w:rPr>
        <w:t>设备投入</w:t>
      </w:r>
      <w:r>
        <w:rPr>
          <w:rFonts w:hint="eastAsia"/>
          <w:b w:val="0"/>
          <w:bCs/>
          <w:color w:val="000000" w:themeColor="text1"/>
          <w:highlight w:val="none"/>
          <w14:textFill>
            <w14:solidFill>
              <w14:schemeClr w14:val="tx1"/>
            </w14:solidFill>
          </w14:textFill>
        </w:rPr>
        <w:t>、</w:t>
      </w:r>
      <w:r>
        <w:rPr>
          <w:rFonts w:hint="eastAsia"/>
          <w:b w:val="0"/>
          <w:bCs/>
          <w:color w:val="000000" w:themeColor="text1"/>
          <w:highlight w:val="none"/>
          <w:lang w:val="en-US" w:eastAsia="zh-CN"/>
          <w14:textFill>
            <w14:solidFill>
              <w14:schemeClr w14:val="tx1"/>
            </w14:solidFill>
          </w14:textFill>
        </w:rPr>
        <w:t>交通住宿</w:t>
      </w:r>
      <w:r>
        <w:rPr>
          <w:rFonts w:hint="eastAsia"/>
          <w:b w:val="0"/>
          <w:bCs/>
          <w:color w:val="000000" w:themeColor="text1"/>
          <w:highlight w:val="none"/>
          <w14:textFill>
            <w14:solidFill>
              <w14:schemeClr w14:val="tx1"/>
            </w14:solidFill>
          </w14:textFill>
        </w:rPr>
        <w:t>、</w:t>
      </w:r>
      <w:r>
        <w:rPr>
          <w:rFonts w:hint="eastAsia"/>
          <w:b w:val="0"/>
          <w:bCs/>
          <w:color w:val="000000" w:themeColor="text1"/>
          <w:highlight w:val="none"/>
          <w:lang w:val="en-US" w:eastAsia="zh-CN"/>
          <w14:textFill>
            <w14:solidFill>
              <w14:schemeClr w14:val="tx1"/>
            </w14:solidFill>
          </w14:textFill>
        </w:rPr>
        <w:t>检测、管理</w:t>
      </w:r>
      <w:r>
        <w:rPr>
          <w:rFonts w:hint="eastAsia"/>
          <w:b w:val="0"/>
          <w:bCs/>
          <w:color w:val="000000" w:themeColor="text1"/>
          <w:highlight w:val="none"/>
          <w14:textFill>
            <w14:solidFill>
              <w14:schemeClr w14:val="tx1"/>
            </w14:solidFill>
          </w14:textFill>
        </w:rPr>
        <w:t>、成果、利润、保险、风险、税金、招标代理服务费以及招标文件规定的一切费用。</w:t>
      </w:r>
    </w:p>
    <w:p>
      <w:pPr>
        <w:pStyle w:val="45"/>
        <w:bidi w:val="0"/>
        <w:rPr>
          <w:rFonts w:hint="default"/>
          <w:b w:val="0"/>
          <w:bCs/>
          <w:color w:val="000000" w:themeColor="text1"/>
          <w:highlight w:val="none"/>
          <w:lang w:val="en-US"/>
          <w14:textFill>
            <w14:solidFill>
              <w14:schemeClr w14:val="tx1"/>
            </w14:solidFill>
          </w14:textFill>
        </w:rPr>
      </w:pPr>
      <w:r>
        <w:rPr>
          <w:rFonts w:hint="eastAsia"/>
          <w:b w:val="0"/>
          <w:bCs/>
          <w:color w:val="000000" w:themeColor="text1"/>
          <w:highlight w:val="none"/>
          <w:lang w:val="en-US" w:eastAsia="zh-CN"/>
          <w14:textFill>
            <w14:solidFill>
              <w14:schemeClr w14:val="tx1"/>
            </w14:solidFill>
          </w14:textFill>
        </w:rPr>
        <w:t>②</w:t>
      </w:r>
      <w:r>
        <w:rPr>
          <w:rFonts w:hint="eastAsia"/>
          <w:b w:val="0"/>
          <w:bCs/>
          <w:color w:val="000000" w:themeColor="text1"/>
          <w:highlight w:val="none"/>
          <w14:textFill>
            <w14:solidFill>
              <w14:schemeClr w14:val="tx1"/>
            </w14:solidFill>
          </w14:textFill>
        </w:rPr>
        <w:t>“开标一览表”为多页的，每页均需由</w:t>
      </w:r>
      <w:r>
        <w:rPr>
          <w:rFonts w:hint="eastAsia"/>
          <w:b w:val="0"/>
          <w:bCs/>
          <w:color w:val="000000" w:themeColor="text1"/>
          <w:highlight w:val="none"/>
          <w:lang w:eastAsia="zh-CN"/>
          <w14:textFill>
            <w14:solidFill>
              <w14:schemeClr w14:val="tx1"/>
            </w14:solidFill>
          </w14:textFill>
        </w:rPr>
        <w:t>法定代表人/单位负责人或授权代表</w:t>
      </w:r>
      <w:r>
        <w:rPr>
          <w:rFonts w:hint="eastAsia"/>
          <w:b w:val="0"/>
          <w:bCs/>
          <w:color w:val="000000" w:themeColor="text1"/>
          <w:highlight w:val="none"/>
          <w14:textFill>
            <w14:solidFill>
              <w14:schemeClr w14:val="tx1"/>
            </w14:solidFill>
          </w14:textFill>
        </w:rPr>
        <w:t>签字并盖投标人印章</w:t>
      </w:r>
      <w:r>
        <w:rPr>
          <w:rFonts w:hint="eastAsia"/>
          <w:b w:val="0"/>
          <w:bCs/>
          <w:color w:val="000000" w:themeColor="text1"/>
          <w:highlight w:val="none"/>
          <w:lang w:eastAsia="zh-CN"/>
          <w14:textFill>
            <w14:solidFill>
              <w14:schemeClr w14:val="tx1"/>
            </w14:solidFill>
          </w14:textFill>
        </w:rPr>
        <w:t>，</w:t>
      </w:r>
      <w:r>
        <w:rPr>
          <w:rFonts w:hint="eastAsia"/>
          <w:b w:val="0"/>
          <w:bCs/>
          <w:color w:val="000000" w:themeColor="text1"/>
          <w:highlight w:val="none"/>
          <w:lang w:val="en-US" w:eastAsia="zh-CN"/>
          <w14:textFill>
            <w14:solidFill>
              <w14:schemeClr w14:val="tx1"/>
            </w14:solidFill>
          </w14:textFill>
        </w:rPr>
        <w:t>否则作无效投标处理</w:t>
      </w:r>
      <w:r>
        <w:rPr>
          <w:rFonts w:hint="eastAsia"/>
          <w:b w:val="0"/>
          <w:bCs/>
          <w:color w:val="000000" w:themeColor="text1"/>
          <w:highlight w:val="none"/>
          <w14:textFill>
            <w14:solidFill>
              <w14:schemeClr w14:val="tx1"/>
            </w14:solidFill>
          </w14:textFill>
        </w:rPr>
        <w:t>。</w:t>
      </w:r>
    </w:p>
    <w:p>
      <w:pPr>
        <w:pStyle w:val="45"/>
        <w:bidi w:val="0"/>
      </w:pPr>
      <w:r>
        <w:rPr>
          <w:rFonts w:hint="eastAsia"/>
          <w:color w:val="000000" w:themeColor="text1"/>
          <w:highlight w:val="none"/>
          <w14:textFill>
            <w14:solidFill>
              <w14:schemeClr w14:val="tx1"/>
            </w14:solidFill>
          </w14:textFill>
        </w:rPr>
        <w:t>③“开标一览表”以包为单位填写，除了单独密封递交外，</w:t>
      </w:r>
      <w:r>
        <w:rPr>
          <w:rFonts w:hint="eastAsia"/>
          <w:color w:val="000000" w:themeColor="text1"/>
          <w:highlight w:val="none"/>
          <w:lang w:val="en-US" w:eastAsia="zh-CN"/>
          <w14:textFill>
            <w14:solidFill>
              <w14:schemeClr w14:val="tx1"/>
            </w14:solidFill>
          </w14:textFill>
        </w:rPr>
        <w:t>其他</w:t>
      </w:r>
      <w:r>
        <w:rPr>
          <w:rFonts w:hint="eastAsia"/>
          <w:color w:val="000000" w:themeColor="text1"/>
          <w:highlight w:val="none"/>
          <w14:textFill>
            <w14:solidFill>
              <w14:schemeClr w14:val="tx1"/>
            </w14:solidFill>
          </w14:textFill>
        </w:rPr>
        <w:t>投标文件(正副本)</w:t>
      </w:r>
      <w:r>
        <w:rPr>
          <w:rFonts w:hint="eastAsia"/>
          <w:color w:val="000000" w:themeColor="text1"/>
          <w:highlight w:val="none"/>
          <w:lang w:val="en-US" w:eastAsia="zh-CN"/>
          <w14:textFill>
            <w14:solidFill>
              <w14:schemeClr w14:val="tx1"/>
            </w14:solidFill>
          </w14:textFill>
        </w:rPr>
        <w:t>中</w:t>
      </w:r>
      <w:r>
        <w:rPr>
          <w:rFonts w:hint="eastAsia"/>
          <w:color w:val="000000" w:themeColor="text1"/>
          <w:highlight w:val="none"/>
          <w14:textFill>
            <w14:solidFill>
              <w14:schemeClr w14:val="tx1"/>
            </w14:solidFill>
          </w14:textFill>
        </w:rPr>
        <w:t>也</w:t>
      </w:r>
      <w:r>
        <w:rPr>
          <w:rFonts w:hint="eastAsia"/>
        </w:rPr>
        <w:t>应当提供，如有遗漏，将视为无效投标。</w:t>
      </w:r>
    </w:p>
    <w:p>
      <w:pPr>
        <w:pStyle w:val="40"/>
        <w:bidi w:val="0"/>
        <w:rPr>
          <w:rFonts w:hint="eastAsia"/>
          <w:lang w:eastAsia="zh-CN"/>
        </w:rPr>
      </w:pPr>
    </w:p>
    <w:p>
      <w:pPr>
        <w:pStyle w:val="40"/>
        <w:bidi w:val="0"/>
        <w:rPr>
          <w:rFonts w:hint="eastAsia"/>
        </w:rPr>
      </w:pPr>
    </w:p>
    <w:p>
      <w:pPr>
        <w:pStyle w:val="40"/>
        <w:bidi w:val="0"/>
        <w:rPr>
          <w:rFonts w:hint="eastAsia"/>
        </w:rPr>
      </w:pPr>
    </w:p>
    <w:p>
      <w:pPr>
        <w:pStyle w:val="40"/>
        <w:bidi w:val="0"/>
        <w:rPr>
          <w:rFonts w:hint="eastAsia"/>
        </w:rPr>
      </w:pPr>
    </w:p>
    <w:p>
      <w:pPr>
        <w:pStyle w:val="40"/>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rPr>
      </w:pPr>
      <w:r>
        <w:rPr>
          <w:rFonts w:hint="eastAsia"/>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pPr>
        <w:pStyle w:val="40"/>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lang w:val="en-US" w:eastAsia="zh-CN"/>
        </w:rPr>
      </w:pPr>
      <w:r>
        <w:rPr>
          <w:rFonts w:hint="eastAsia"/>
        </w:rPr>
        <w:t>投标日期：</w:t>
      </w:r>
      <w:bookmarkStart w:id="888" w:name="_Toc7728"/>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lang w:val="en-US" w:eastAsia="zh-CN"/>
        </w:rPr>
        <w:br w:type="page"/>
      </w:r>
    </w:p>
    <w:bookmarkEnd w:id="888"/>
    <w:p>
      <w:pPr>
        <w:pStyle w:val="42"/>
        <w:numPr>
          <w:ilvl w:val="0"/>
          <w:numId w:val="21"/>
        </w:numPr>
        <w:bidi w:val="0"/>
        <w:ind w:left="0" w:leftChars="0" w:firstLine="0" w:firstLineChars="0"/>
        <w:rPr>
          <w:rFonts w:hint="eastAsia"/>
          <w:lang w:val="en-US" w:eastAsia="zh-CN"/>
        </w:rPr>
      </w:pPr>
      <w:bookmarkStart w:id="889" w:name="_Toc307564875"/>
      <w:bookmarkStart w:id="890" w:name="_Toc319440166"/>
      <w:bookmarkStart w:id="891" w:name="_Toc327196310"/>
      <w:bookmarkStart w:id="892" w:name="_Toc21006"/>
      <w:bookmarkStart w:id="893" w:name="_Toc11461"/>
      <w:bookmarkStart w:id="894" w:name="_Toc25577"/>
      <w:bookmarkStart w:id="895" w:name="_Toc7835"/>
      <w:bookmarkStart w:id="896" w:name="_Toc28318"/>
      <w:bookmarkStart w:id="897" w:name="_Toc217446087"/>
      <w:bookmarkStart w:id="898" w:name="_Toc307501130"/>
      <w:bookmarkStart w:id="899" w:name="_Toc327196312"/>
      <w:bookmarkStart w:id="900" w:name="_Toc319440168"/>
      <w:bookmarkStart w:id="901" w:name="_Toc26124"/>
      <w:bookmarkStart w:id="902" w:name="_Toc24507"/>
      <w:r>
        <w:rPr>
          <w:rFonts w:hint="eastAsia"/>
          <w:lang w:val="en-US" w:eastAsia="zh-CN"/>
        </w:rPr>
        <w:t>商务应答表</w:t>
      </w:r>
      <w:bookmarkEnd w:id="889"/>
      <w:bookmarkEnd w:id="890"/>
      <w:bookmarkEnd w:id="891"/>
      <w:bookmarkEnd w:id="892"/>
      <w:bookmarkEnd w:id="893"/>
      <w:bookmarkEnd w:id="894"/>
      <w:bookmarkEnd w:id="895"/>
      <w:bookmarkEnd w:id="896"/>
      <w:bookmarkEnd w:id="897"/>
      <w:bookmarkEnd w:id="898"/>
    </w:p>
    <w:p>
      <w:pPr>
        <w:pStyle w:val="40"/>
        <w:bidi w:val="0"/>
        <w:rPr>
          <w:rFonts w:hint="eastAsia"/>
          <w:u w:val="single"/>
        </w:rPr>
      </w:pPr>
      <w:r>
        <w:rPr>
          <w:rFonts w:hint="eastAsia"/>
        </w:rPr>
        <w:t>项目名称：</w:t>
      </w:r>
      <w:r>
        <w:rPr>
          <w:rFonts w:hint="eastAsia"/>
          <w:u w:val="single"/>
        </w:rPr>
        <w:t xml:space="preserve">                             </w:t>
      </w:r>
      <w:r>
        <w:rPr>
          <w:rFonts w:hint="eastAsia"/>
          <w:u w:val="none"/>
        </w:rPr>
        <w:t xml:space="preserve"> </w:t>
      </w:r>
    </w:p>
    <w:p>
      <w:pPr>
        <w:pStyle w:val="40"/>
        <w:bidi w:val="0"/>
        <w:rPr>
          <w:rFonts w:hint="eastAsia"/>
          <w:color w:val="000000" w:themeColor="text1"/>
          <w:highlight w:val="none"/>
          <w14:textFill>
            <w14:solidFill>
              <w14:schemeClr w14:val="tx1"/>
            </w14:solidFill>
          </w14:textFill>
        </w:rPr>
      </w:pPr>
      <w:r>
        <w:rPr>
          <w:rFonts w:hint="eastAsia"/>
        </w:rPr>
        <w:t>项目编号：</w:t>
      </w:r>
      <w:r>
        <w:rPr>
          <w:rFonts w:hint="eastAsia"/>
          <w:u w:val="single"/>
        </w:rPr>
        <w:t xml:space="preserve">                             </w:t>
      </w:r>
      <w:r>
        <w:rPr>
          <w:rFonts w:hint="eastAsia"/>
          <w:u w:val="none"/>
          <w:lang w:val="en-US" w:eastAsia="zh-CN"/>
        </w:rPr>
        <w:t xml:space="preserve">                           </w:t>
      </w:r>
      <w:r>
        <w:rPr>
          <w:rFonts w:hint="eastAsia"/>
          <w:color w:val="000000" w:themeColor="text1"/>
          <w:highlight w:val="none"/>
          <w:u w:val="none"/>
          <w:lang w:val="en-US" w:eastAsia="zh-CN"/>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 xml:space="preserve"> </w:t>
      </w:r>
    </w:p>
    <w:tbl>
      <w:tblPr>
        <w:tblStyle w:val="20"/>
        <w:tblW w:w="9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3880"/>
        <w:gridCol w:w="3673"/>
        <w:gridCol w:w="1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721" w:type="dxa"/>
            <w:vAlign w:val="center"/>
          </w:tcPr>
          <w:p>
            <w:pPr>
              <w:pStyle w:val="43"/>
              <w:bidi w:val="0"/>
              <w:rPr>
                <w:rFonts w:hint="eastAsia"/>
                <w:b/>
                <w:bCs/>
              </w:rPr>
            </w:pPr>
            <w:r>
              <w:rPr>
                <w:rFonts w:hint="eastAsia"/>
                <w:b/>
                <w:bCs/>
              </w:rPr>
              <w:t>序号</w:t>
            </w:r>
          </w:p>
        </w:tc>
        <w:tc>
          <w:tcPr>
            <w:tcW w:w="3880" w:type="dxa"/>
            <w:vAlign w:val="center"/>
          </w:tcPr>
          <w:p>
            <w:pPr>
              <w:pStyle w:val="43"/>
              <w:bidi w:val="0"/>
              <w:rPr>
                <w:rFonts w:hint="default" w:eastAsia="宋体"/>
                <w:b/>
                <w:bCs/>
                <w:lang w:val="en-US" w:eastAsia="zh-CN"/>
              </w:rPr>
            </w:pPr>
            <w:r>
              <w:rPr>
                <w:rFonts w:hint="eastAsia"/>
                <w:b/>
                <w:bCs/>
              </w:rPr>
              <w:t>招标</w:t>
            </w:r>
            <w:r>
              <w:rPr>
                <w:rFonts w:hint="eastAsia"/>
                <w:b/>
                <w:bCs/>
                <w:lang w:val="en-US" w:eastAsia="zh-CN"/>
              </w:rPr>
              <w:t>文件商务</w:t>
            </w:r>
            <w:r>
              <w:rPr>
                <w:rFonts w:hint="eastAsia"/>
                <w:b/>
                <w:bCs/>
              </w:rPr>
              <w:t>要求</w:t>
            </w:r>
            <w:r>
              <w:rPr>
                <w:rFonts w:hint="eastAsia"/>
                <w:b/>
                <w:bCs/>
                <w:lang w:eastAsia="zh-CN"/>
              </w:rPr>
              <w:t>、</w:t>
            </w:r>
            <w:r>
              <w:rPr>
                <w:rFonts w:hint="eastAsia"/>
                <w:b/>
                <w:bCs/>
                <w:lang w:val="en-US" w:eastAsia="zh-CN"/>
              </w:rPr>
              <w:t>其他要求</w:t>
            </w:r>
          </w:p>
        </w:tc>
        <w:tc>
          <w:tcPr>
            <w:tcW w:w="3673" w:type="dxa"/>
            <w:vAlign w:val="center"/>
          </w:tcPr>
          <w:p>
            <w:pPr>
              <w:pStyle w:val="43"/>
              <w:bidi w:val="0"/>
              <w:rPr>
                <w:rFonts w:hint="eastAsia"/>
                <w:b/>
                <w:bCs/>
              </w:rPr>
            </w:pPr>
            <w:r>
              <w:rPr>
                <w:rFonts w:hint="eastAsia"/>
                <w:b/>
                <w:bCs/>
              </w:rPr>
              <w:t>投标应答</w:t>
            </w:r>
          </w:p>
        </w:tc>
        <w:tc>
          <w:tcPr>
            <w:tcW w:w="1631" w:type="dxa"/>
            <w:vAlign w:val="center"/>
          </w:tcPr>
          <w:p>
            <w:pPr>
              <w:pStyle w:val="43"/>
              <w:bidi w:val="0"/>
              <w:rPr>
                <w:rFonts w:hint="eastAsia" w:eastAsia="宋体"/>
                <w:b/>
                <w:bCs/>
                <w:lang w:eastAsia="zh-CN"/>
              </w:rPr>
            </w:pPr>
            <w:r>
              <w:rPr>
                <w:rFonts w:hint="eastAsia"/>
                <w:b/>
                <w:bCs/>
                <w:lang w:eastAsia="zh-CN"/>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21" w:type="dxa"/>
            <w:vAlign w:val="top"/>
          </w:tcPr>
          <w:p>
            <w:pPr>
              <w:pStyle w:val="43"/>
              <w:bidi w:val="0"/>
              <w:rPr>
                <w:rFonts w:hint="eastAsia"/>
                <w:b/>
                <w:bCs/>
              </w:rPr>
            </w:pPr>
          </w:p>
        </w:tc>
        <w:tc>
          <w:tcPr>
            <w:tcW w:w="3880" w:type="dxa"/>
            <w:vAlign w:val="top"/>
          </w:tcPr>
          <w:p>
            <w:pPr>
              <w:pStyle w:val="43"/>
              <w:bidi w:val="0"/>
              <w:rPr>
                <w:rFonts w:hint="eastAsia"/>
                <w:b/>
                <w:bCs/>
              </w:rPr>
            </w:pPr>
          </w:p>
        </w:tc>
        <w:tc>
          <w:tcPr>
            <w:tcW w:w="3673" w:type="dxa"/>
            <w:vAlign w:val="top"/>
          </w:tcPr>
          <w:p>
            <w:pPr>
              <w:pStyle w:val="43"/>
              <w:bidi w:val="0"/>
              <w:rPr>
                <w:rFonts w:hint="eastAsia"/>
                <w:b/>
                <w:bCs/>
              </w:rPr>
            </w:pPr>
          </w:p>
        </w:tc>
        <w:tc>
          <w:tcPr>
            <w:tcW w:w="1631" w:type="dxa"/>
            <w:vAlign w:val="top"/>
          </w:tcPr>
          <w:p>
            <w:pPr>
              <w:pStyle w:val="43"/>
              <w:bidi w:val="0"/>
              <w:rPr>
                <w:rFonts w:hint="eastAsia"/>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pStyle w:val="43"/>
              <w:bidi w:val="0"/>
              <w:rPr>
                <w:rFonts w:hint="eastAsia"/>
                <w:b/>
                <w:bCs/>
              </w:rPr>
            </w:pPr>
          </w:p>
        </w:tc>
        <w:tc>
          <w:tcPr>
            <w:tcW w:w="3880" w:type="dxa"/>
            <w:vAlign w:val="top"/>
          </w:tcPr>
          <w:p>
            <w:pPr>
              <w:pStyle w:val="43"/>
              <w:bidi w:val="0"/>
              <w:rPr>
                <w:rFonts w:hint="eastAsia"/>
                <w:b/>
                <w:bCs/>
              </w:rPr>
            </w:pPr>
          </w:p>
        </w:tc>
        <w:tc>
          <w:tcPr>
            <w:tcW w:w="3673" w:type="dxa"/>
            <w:vAlign w:val="top"/>
          </w:tcPr>
          <w:p>
            <w:pPr>
              <w:pStyle w:val="43"/>
              <w:bidi w:val="0"/>
              <w:rPr>
                <w:rFonts w:hint="eastAsia"/>
                <w:b/>
                <w:bCs/>
              </w:rPr>
            </w:pPr>
          </w:p>
        </w:tc>
        <w:tc>
          <w:tcPr>
            <w:tcW w:w="1631" w:type="dxa"/>
            <w:vAlign w:val="top"/>
          </w:tcPr>
          <w:p>
            <w:pPr>
              <w:pStyle w:val="43"/>
              <w:bidi w:val="0"/>
              <w:rPr>
                <w:rFonts w:hint="eastAsia"/>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pStyle w:val="43"/>
              <w:bidi w:val="0"/>
              <w:rPr>
                <w:rFonts w:hint="eastAsia"/>
                <w:b/>
                <w:bCs/>
              </w:rPr>
            </w:pPr>
          </w:p>
        </w:tc>
        <w:tc>
          <w:tcPr>
            <w:tcW w:w="3880" w:type="dxa"/>
            <w:vAlign w:val="top"/>
          </w:tcPr>
          <w:p>
            <w:pPr>
              <w:pStyle w:val="43"/>
              <w:bidi w:val="0"/>
              <w:rPr>
                <w:rFonts w:hint="eastAsia"/>
                <w:b/>
                <w:bCs/>
              </w:rPr>
            </w:pPr>
          </w:p>
        </w:tc>
        <w:tc>
          <w:tcPr>
            <w:tcW w:w="3673" w:type="dxa"/>
            <w:vAlign w:val="top"/>
          </w:tcPr>
          <w:p>
            <w:pPr>
              <w:pStyle w:val="43"/>
              <w:bidi w:val="0"/>
              <w:rPr>
                <w:rFonts w:hint="eastAsia"/>
                <w:b/>
                <w:bCs/>
              </w:rPr>
            </w:pPr>
          </w:p>
        </w:tc>
        <w:tc>
          <w:tcPr>
            <w:tcW w:w="1631" w:type="dxa"/>
            <w:vAlign w:val="top"/>
          </w:tcPr>
          <w:p>
            <w:pPr>
              <w:pStyle w:val="43"/>
              <w:bidi w:val="0"/>
              <w:rPr>
                <w:rFonts w:hint="eastAsia"/>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pStyle w:val="43"/>
              <w:bidi w:val="0"/>
              <w:rPr>
                <w:rFonts w:hint="eastAsia"/>
                <w:b/>
                <w:bCs/>
              </w:rPr>
            </w:pPr>
          </w:p>
        </w:tc>
        <w:tc>
          <w:tcPr>
            <w:tcW w:w="3880" w:type="dxa"/>
            <w:vAlign w:val="top"/>
          </w:tcPr>
          <w:p>
            <w:pPr>
              <w:pStyle w:val="43"/>
              <w:bidi w:val="0"/>
              <w:rPr>
                <w:rFonts w:hint="eastAsia"/>
                <w:b/>
                <w:bCs/>
              </w:rPr>
            </w:pPr>
          </w:p>
        </w:tc>
        <w:tc>
          <w:tcPr>
            <w:tcW w:w="3673" w:type="dxa"/>
            <w:vAlign w:val="top"/>
          </w:tcPr>
          <w:p>
            <w:pPr>
              <w:pStyle w:val="43"/>
              <w:bidi w:val="0"/>
              <w:rPr>
                <w:rFonts w:hint="eastAsia"/>
                <w:b/>
                <w:bCs/>
              </w:rPr>
            </w:pPr>
          </w:p>
        </w:tc>
        <w:tc>
          <w:tcPr>
            <w:tcW w:w="1631" w:type="dxa"/>
            <w:vAlign w:val="top"/>
          </w:tcPr>
          <w:p>
            <w:pPr>
              <w:pStyle w:val="43"/>
              <w:bidi w:val="0"/>
              <w:rPr>
                <w:rFonts w:hint="eastAsia"/>
                <w:b/>
                <w:bCs/>
              </w:rPr>
            </w:pPr>
          </w:p>
        </w:tc>
      </w:tr>
    </w:tbl>
    <w:p>
      <w:pPr>
        <w:pStyle w:val="45"/>
        <w:bidi w:val="0"/>
        <w:rPr>
          <w:rFonts w:hint="eastAsia"/>
          <w:lang w:eastAsia="zh-CN"/>
        </w:rPr>
      </w:pPr>
      <w:r>
        <w:rPr>
          <w:rFonts w:hint="eastAsia"/>
          <w:lang w:eastAsia="zh-CN"/>
        </w:rPr>
        <w:t>注：</w:t>
      </w:r>
      <w:r>
        <w:rPr>
          <w:rFonts w:hint="eastAsia"/>
          <w:color w:val="000000" w:themeColor="text1"/>
          <w:highlight w:val="none"/>
          <w:lang w:eastAsia="zh-CN"/>
          <w14:textFill>
            <w14:solidFill>
              <w14:schemeClr w14:val="tx1"/>
            </w14:solidFill>
          </w14:textFill>
        </w:rPr>
        <w:t>如与</w:t>
      </w:r>
      <w:r>
        <w:rPr>
          <w:rFonts w:hint="eastAsia"/>
          <w:color w:val="000000" w:themeColor="text1"/>
          <w:highlight w:val="none"/>
          <w:lang w:val="en-US" w:eastAsia="zh-CN"/>
          <w14:textFill>
            <w14:solidFill>
              <w14:schemeClr w14:val="tx1"/>
            </w14:solidFill>
          </w14:textFill>
        </w:rPr>
        <w:t>招标文件的商务要求、</w:t>
      </w:r>
      <w:r>
        <w:rPr>
          <w:rFonts w:hint="eastAsia"/>
          <w:b/>
          <w:bCs/>
          <w:lang w:val="en-US" w:eastAsia="zh-CN"/>
        </w:rPr>
        <w:t>其他要求</w:t>
      </w:r>
      <w:r>
        <w:rPr>
          <w:rFonts w:hint="eastAsia"/>
          <w:color w:val="000000" w:themeColor="text1"/>
          <w:highlight w:val="none"/>
          <w:lang w:eastAsia="zh-CN"/>
          <w14:textFill>
            <w14:solidFill>
              <w14:schemeClr w14:val="tx1"/>
            </w14:solidFill>
          </w14:textFill>
        </w:rPr>
        <w:t>有偏离(包括正偏离和负偏离)，请将偏离条款逐条应答。如与</w:t>
      </w:r>
      <w:r>
        <w:rPr>
          <w:rFonts w:hint="eastAsia"/>
          <w:color w:val="000000" w:themeColor="text1"/>
          <w:highlight w:val="none"/>
          <w:lang w:val="en-US" w:eastAsia="zh-CN"/>
          <w14:textFill>
            <w14:solidFill>
              <w14:schemeClr w14:val="tx1"/>
            </w14:solidFill>
          </w14:textFill>
        </w:rPr>
        <w:t>招标文件商务要求、</w:t>
      </w:r>
      <w:r>
        <w:rPr>
          <w:rFonts w:hint="eastAsia"/>
          <w:b/>
          <w:bCs/>
          <w:lang w:val="en-US" w:eastAsia="zh-CN"/>
        </w:rPr>
        <w:t>其他要求</w:t>
      </w:r>
      <w:r>
        <w:rPr>
          <w:rFonts w:hint="eastAsia"/>
          <w:color w:val="000000" w:themeColor="text1"/>
          <w:highlight w:val="none"/>
          <w:lang w:val="en-US" w:eastAsia="zh-CN"/>
          <w14:textFill>
            <w14:solidFill>
              <w14:schemeClr w14:val="tx1"/>
            </w14:solidFill>
          </w14:textFill>
        </w:rPr>
        <w:t>的所有</w:t>
      </w:r>
      <w:r>
        <w:rPr>
          <w:rFonts w:hint="eastAsia"/>
          <w:color w:val="000000" w:themeColor="text1"/>
          <w:highlight w:val="none"/>
          <w:lang w:eastAsia="zh-CN"/>
          <w14:textFill>
            <w14:solidFill>
              <w14:schemeClr w14:val="tx1"/>
            </w14:solidFill>
          </w14:textFill>
        </w:rPr>
        <w:t>条款无偏离，则无须在此表中应答，视为默认完全响应和接受</w:t>
      </w:r>
      <w:r>
        <w:rPr>
          <w:rFonts w:hint="eastAsia"/>
          <w:color w:val="000000" w:themeColor="text1"/>
          <w:highlight w:val="none"/>
          <w:lang w:val="en-US" w:eastAsia="zh-CN"/>
          <w14:textFill>
            <w14:solidFill>
              <w14:schemeClr w14:val="tx1"/>
            </w14:solidFill>
          </w14:textFill>
        </w:rPr>
        <w:t>招标文件所有商务要求、</w:t>
      </w:r>
      <w:r>
        <w:rPr>
          <w:rFonts w:hint="eastAsia"/>
          <w:b/>
          <w:bCs/>
          <w:lang w:val="en-US" w:eastAsia="zh-CN"/>
        </w:rPr>
        <w:t>其他要求</w:t>
      </w:r>
      <w:r>
        <w:rPr>
          <w:rFonts w:hint="eastAsia"/>
          <w:color w:val="000000" w:themeColor="text1"/>
          <w:highlight w:val="none"/>
          <w:lang w:eastAsia="zh-CN"/>
          <w14:textFill>
            <w14:solidFill>
              <w14:schemeClr w14:val="tx1"/>
            </w14:solidFill>
          </w14:textFill>
        </w:rPr>
        <w:t>，供应商不得以未作应答而拒不接受</w:t>
      </w:r>
      <w:r>
        <w:rPr>
          <w:rFonts w:hint="eastAsia"/>
          <w:lang w:eastAsia="zh-CN"/>
        </w:rPr>
        <w:t>。供</w:t>
      </w:r>
      <w:r>
        <w:rPr>
          <w:rFonts w:hint="eastAsia"/>
          <w:color w:val="000000" w:themeColor="text1"/>
          <w:highlight w:val="none"/>
          <w:lang w:eastAsia="zh-CN"/>
          <w14:textFill>
            <w14:solidFill>
              <w14:schemeClr w14:val="tx1"/>
            </w14:solidFill>
          </w14:textFill>
        </w:rPr>
        <w:t>应商必须据实填写，不得虚假应答，否则将取消其</w:t>
      </w:r>
      <w:r>
        <w:rPr>
          <w:rFonts w:hint="eastAsia"/>
          <w:color w:val="000000" w:themeColor="text1"/>
          <w:highlight w:val="none"/>
          <w:lang w:val="en-US" w:eastAsia="zh-CN"/>
          <w14:textFill>
            <w14:solidFill>
              <w14:schemeClr w14:val="tx1"/>
            </w14:solidFill>
          </w14:textFill>
        </w:rPr>
        <w:t>中标</w:t>
      </w:r>
      <w:r>
        <w:rPr>
          <w:rFonts w:hint="eastAsia"/>
          <w:color w:val="000000" w:themeColor="text1"/>
          <w:highlight w:val="none"/>
          <w:lang w:eastAsia="zh-CN"/>
          <w14:textFill>
            <w14:solidFill>
              <w14:schemeClr w14:val="tx1"/>
            </w14:solidFill>
          </w14:textFill>
        </w:rPr>
        <w:t>资格。</w:t>
      </w:r>
    </w:p>
    <w:p>
      <w:pPr>
        <w:pStyle w:val="40"/>
        <w:bidi w:val="0"/>
        <w:rPr>
          <w:rFonts w:hint="eastAsia"/>
          <w:lang w:eastAsia="zh-CN"/>
        </w:rPr>
      </w:pPr>
    </w:p>
    <w:p>
      <w:pPr>
        <w:pStyle w:val="40"/>
        <w:bidi w:val="0"/>
        <w:rPr>
          <w:rFonts w:hint="eastAsia"/>
          <w:lang w:eastAsia="zh-CN"/>
        </w:rPr>
      </w:pPr>
    </w:p>
    <w:p>
      <w:pPr>
        <w:pStyle w:val="44"/>
        <w:bidi w:val="0"/>
        <w:rPr>
          <w:rFonts w:hint="eastAsia"/>
        </w:rPr>
      </w:pPr>
      <w:r>
        <w:rPr>
          <w:rFonts w:hint="eastAsia"/>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pPr>
        <w:pStyle w:val="44"/>
        <w:bidi w:val="0"/>
        <w:rPr>
          <w:rFonts w:hint="eastAsia"/>
        </w:rPr>
      </w:pPr>
      <w:r>
        <w:rPr>
          <w:rFonts w:hint="eastAsia"/>
        </w:rPr>
        <w:t>投标日期</w:t>
      </w:r>
      <w:r>
        <w:rPr>
          <w:rFonts w:hint="eastAsia"/>
          <w:lang w:eastAsia="zh-CN"/>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lang w:val="en-US" w:eastAsia="zh-CN"/>
        </w:rPr>
        <w:t xml:space="preserve">          </w:t>
      </w:r>
      <w:r>
        <w:rPr>
          <w:rFonts w:hint="eastAsia"/>
        </w:rPr>
        <w:t xml:space="preserve">   </w:t>
      </w:r>
    </w:p>
    <w:p>
      <w:pPr>
        <w:pStyle w:val="40"/>
        <w:bidi w:val="0"/>
        <w:rPr>
          <w:rFonts w:hint="eastAsia"/>
          <w:lang w:val="en-US" w:eastAsia="zh-CN"/>
        </w:rPr>
      </w:pPr>
      <w:r>
        <w:rPr>
          <w:rFonts w:hint="eastAsia"/>
          <w:lang w:val="en-US" w:eastAsia="zh-CN"/>
        </w:rPr>
        <w:br w:type="page"/>
      </w:r>
    </w:p>
    <w:p>
      <w:pPr>
        <w:pStyle w:val="42"/>
        <w:numPr>
          <w:ilvl w:val="0"/>
          <w:numId w:val="21"/>
        </w:numPr>
        <w:bidi w:val="0"/>
        <w:ind w:left="0" w:leftChars="0" w:firstLine="0" w:firstLineChars="0"/>
        <w:rPr>
          <w:rFonts w:hint="eastAsia"/>
          <w:lang w:val="en-US" w:eastAsia="zh-CN"/>
        </w:rPr>
      </w:pPr>
      <w:bookmarkStart w:id="903" w:name="_Toc23376"/>
      <w:bookmarkStart w:id="904" w:name="_Toc25122"/>
      <w:bookmarkStart w:id="905" w:name="_Toc29420"/>
      <w:bookmarkStart w:id="906" w:name="_Toc3995"/>
      <w:r>
        <w:rPr>
          <w:rFonts w:hint="eastAsia"/>
          <w:lang w:val="en-US" w:eastAsia="zh-CN"/>
        </w:rPr>
        <w:t>服务应答表</w:t>
      </w:r>
      <w:bookmarkEnd w:id="903"/>
      <w:bookmarkEnd w:id="904"/>
      <w:bookmarkEnd w:id="905"/>
      <w:bookmarkEnd w:id="906"/>
    </w:p>
    <w:p>
      <w:pPr>
        <w:pStyle w:val="40"/>
        <w:bidi w:val="0"/>
        <w:rPr>
          <w:rFonts w:hint="eastAsia"/>
          <w:b w:val="0"/>
          <w:bCs w:val="0"/>
        </w:rPr>
      </w:pPr>
      <w:r>
        <w:rPr>
          <w:rFonts w:hint="eastAsia"/>
          <w:b w:val="0"/>
          <w:bCs w:val="0"/>
        </w:rPr>
        <w:t>项目名称：</w:t>
      </w:r>
      <w:r>
        <w:rPr>
          <w:rFonts w:hint="eastAsia"/>
          <w:b w:val="0"/>
          <w:bCs w:val="0"/>
          <w:u w:val="single"/>
        </w:rPr>
        <w:t xml:space="preserve">                        </w:t>
      </w:r>
      <w:r>
        <w:rPr>
          <w:rFonts w:hint="eastAsia"/>
          <w:b w:val="0"/>
          <w:bCs w:val="0"/>
        </w:rPr>
        <w:t xml:space="preserve">      </w:t>
      </w:r>
    </w:p>
    <w:p>
      <w:pPr>
        <w:pStyle w:val="40"/>
        <w:bidi w:val="0"/>
        <w:rPr>
          <w:rFonts w:hint="eastAsia"/>
          <w:b w:val="0"/>
          <w:bCs w:val="0"/>
          <w:highlight w:val="none"/>
          <w:u w:val="single"/>
        </w:rPr>
      </w:pPr>
      <w:r>
        <w:rPr>
          <w:rFonts w:hint="eastAsia"/>
          <w:b w:val="0"/>
          <w:bCs w:val="0"/>
        </w:rPr>
        <w:t>项目编号：</w:t>
      </w:r>
      <w:r>
        <w:rPr>
          <w:rFonts w:hint="eastAsia"/>
          <w:b w:val="0"/>
          <w:bCs w:val="0"/>
          <w:u w:val="single"/>
        </w:rPr>
        <w:t xml:space="preserve">                        </w:t>
      </w:r>
      <w:r>
        <w:rPr>
          <w:rFonts w:hint="eastAsia"/>
          <w:b w:val="0"/>
          <w:bCs w:val="0"/>
        </w:rPr>
        <w:t xml:space="preserve">          </w:t>
      </w:r>
      <w:r>
        <w:rPr>
          <w:rFonts w:hint="eastAsia"/>
          <w:b w:val="0"/>
          <w:bCs w:val="0"/>
          <w:highlight w:val="none"/>
        </w:rPr>
        <w:t xml:space="preserve">         </w:t>
      </w:r>
      <w:r>
        <w:rPr>
          <w:rFonts w:hint="eastAsia"/>
          <w:b w:val="0"/>
          <w:bCs w:val="0"/>
          <w:highlight w:val="none"/>
          <w:lang w:val="en-US" w:eastAsia="zh-CN"/>
        </w:rPr>
        <w:t xml:space="preserve">             </w:t>
      </w:r>
      <w:r>
        <w:rPr>
          <w:rFonts w:hint="eastAsia"/>
          <w:b w:val="0"/>
          <w:bCs w:val="0"/>
          <w:highlight w:val="none"/>
        </w:rPr>
        <w:t xml:space="preserve">  </w:t>
      </w:r>
    </w:p>
    <w:tbl>
      <w:tblPr>
        <w:tblStyle w:val="20"/>
        <w:tblW w:w="9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3880"/>
        <w:gridCol w:w="3673"/>
        <w:gridCol w:w="1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721" w:type="dxa"/>
            <w:vAlign w:val="center"/>
          </w:tcPr>
          <w:p>
            <w:pPr>
              <w:pStyle w:val="43"/>
              <w:bidi w:val="0"/>
              <w:rPr>
                <w:rFonts w:hint="eastAsia"/>
                <w:b/>
                <w:bCs/>
                <w:highlight w:val="none"/>
              </w:rPr>
            </w:pPr>
            <w:r>
              <w:rPr>
                <w:rFonts w:hint="eastAsia"/>
                <w:b/>
                <w:bCs/>
                <w:highlight w:val="none"/>
              </w:rPr>
              <w:t>序号</w:t>
            </w:r>
          </w:p>
        </w:tc>
        <w:tc>
          <w:tcPr>
            <w:tcW w:w="3880" w:type="dxa"/>
            <w:vAlign w:val="center"/>
          </w:tcPr>
          <w:p>
            <w:pPr>
              <w:pStyle w:val="43"/>
              <w:bidi w:val="0"/>
              <w:rPr>
                <w:rFonts w:hint="eastAsia"/>
                <w:b/>
                <w:bCs/>
                <w:highlight w:val="none"/>
              </w:rPr>
            </w:pPr>
            <w:r>
              <w:rPr>
                <w:rFonts w:hint="eastAsia"/>
                <w:b/>
                <w:bCs/>
                <w:highlight w:val="none"/>
              </w:rPr>
              <w:t>招标</w:t>
            </w:r>
            <w:r>
              <w:rPr>
                <w:rFonts w:hint="eastAsia"/>
                <w:b/>
                <w:bCs/>
                <w:highlight w:val="none"/>
                <w:lang w:val="en-US" w:eastAsia="zh-CN"/>
              </w:rPr>
              <w:t>文件服务内容及</w:t>
            </w:r>
            <w:r>
              <w:rPr>
                <w:rFonts w:hint="eastAsia"/>
                <w:b/>
                <w:bCs/>
                <w:highlight w:val="none"/>
              </w:rPr>
              <w:t>要求</w:t>
            </w:r>
          </w:p>
        </w:tc>
        <w:tc>
          <w:tcPr>
            <w:tcW w:w="3673" w:type="dxa"/>
            <w:vAlign w:val="center"/>
          </w:tcPr>
          <w:p>
            <w:pPr>
              <w:pStyle w:val="43"/>
              <w:bidi w:val="0"/>
              <w:rPr>
                <w:rFonts w:hint="eastAsia"/>
                <w:b/>
                <w:bCs/>
                <w:highlight w:val="none"/>
              </w:rPr>
            </w:pPr>
            <w:r>
              <w:rPr>
                <w:rFonts w:hint="eastAsia"/>
                <w:b/>
                <w:bCs/>
                <w:highlight w:val="none"/>
              </w:rPr>
              <w:t>投标应答</w:t>
            </w:r>
          </w:p>
        </w:tc>
        <w:tc>
          <w:tcPr>
            <w:tcW w:w="1631" w:type="dxa"/>
            <w:vAlign w:val="center"/>
          </w:tcPr>
          <w:p>
            <w:pPr>
              <w:pStyle w:val="43"/>
              <w:bidi w:val="0"/>
              <w:rPr>
                <w:rFonts w:hint="eastAsia" w:eastAsia="宋体"/>
                <w:b/>
                <w:bCs/>
                <w:highlight w:val="none"/>
                <w:lang w:eastAsia="zh-CN"/>
              </w:rPr>
            </w:pPr>
            <w:r>
              <w:rPr>
                <w:rFonts w:hint="eastAsia"/>
                <w:b/>
                <w:bCs/>
                <w:highlight w:val="none"/>
                <w:lang w:eastAsia="zh-CN"/>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21" w:type="dxa"/>
            <w:vAlign w:val="top"/>
          </w:tcPr>
          <w:p>
            <w:pPr>
              <w:pStyle w:val="43"/>
              <w:bidi w:val="0"/>
              <w:rPr>
                <w:rFonts w:hint="eastAsia"/>
                <w:b/>
                <w:bCs/>
                <w:highlight w:val="none"/>
              </w:rPr>
            </w:pPr>
          </w:p>
        </w:tc>
        <w:tc>
          <w:tcPr>
            <w:tcW w:w="3880" w:type="dxa"/>
            <w:vAlign w:val="top"/>
          </w:tcPr>
          <w:p>
            <w:pPr>
              <w:pStyle w:val="43"/>
              <w:bidi w:val="0"/>
              <w:rPr>
                <w:rFonts w:hint="eastAsia"/>
                <w:b/>
                <w:bCs/>
                <w:highlight w:val="none"/>
              </w:rPr>
            </w:pPr>
          </w:p>
        </w:tc>
        <w:tc>
          <w:tcPr>
            <w:tcW w:w="3673" w:type="dxa"/>
            <w:vAlign w:val="top"/>
          </w:tcPr>
          <w:p>
            <w:pPr>
              <w:pStyle w:val="43"/>
              <w:bidi w:val="0"/>
              <w:rPr>
                <w:rFonts w:hint="eastAsia"/>
                <w:b/>
                <w:bCs/>
                <w:highlight w:val="none"/>
              </w:rPr>
            </w:pPr>
          </w:p>
        </w:tc>
        <w:tc>
          <w:tcPr>
            <w:tcW w:w="1631" w:type="dxa"/>
            <w:vAlign w:val="top"/>
          </w:tcPr>
          <w:p>
            <w:pPr>
              <w:pStyle w:val="43"/>
              <w:bidi w:val="0"/>
              <w:rPr>
                <w:rFonts w:hint="eastAsia"/>
                <w:b/>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pStyle w:val="43"/>
              <w:bidi w:val="0"/>
              <w:rPr>
                <w:rFonts w:hint="eastAsia"/>
                <w:b/>
                <w:bCs/>
                <w:highlight w:val="none"/>
              </w:rPr>
            </w:pPr>
          </w:p>
        </w:tc>
        <w:tc>
          <w:tcPr>
            <w:tcW w:w="3880" w:type="dxa"/>
            <w:vAlign w:val="top"/>
          </w:tcPr>
          <w:p>
            <w:pPr>
              <w:pStyle w:val="43"/>
              <w:bidi w:val="0"/>
              <w:rPr>
                <w:rFonts w:hint="eastAsia"/>
                <w:b/>
                <w:bCs/>
                <w:highlight w:val="none"/>
              </w:rPr>
            </w:pPr>
          </w:p>
        </w:tc>
        <w:tc>
          <w:tcPr>
            <w:tcW w:w="3673" w:type="dxa"/>
            <w:vAlign w:val="top"/>
          </w:tcPr>
          <w:p>
            <w:pPr>
              <w:pStyle w:val="43"/>
              <w:bidi w:val="0"/>
              <w:rPr>
                <w:rFonts w:hint="eastAsia"/>
                <w:b/>
                <w:bCs/>
                <w:highlight w:val="none"/>
              </w:rPr>
            </w:pPr>
          </w:p>
        </w:tc>
        <w:tc>
          <w:tcPr>
            <w:tcW w:w="1631" w:type="dxa"/>
            <w:vAlign w:val="top"/>
          </w:tcPr>
          <w:p>
            <w:pPr>
              <w:pStyle w:val="43"/>
              <w:bidi w:val="0"/>
              <w:rPr>
                <w:rFonts w:hint="eastAsia"/>
                <w:b/>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pStyle w:val="43"/>
              <w:bidi w:val="0"/>
              <w:rPr>
                <w:rFonts w:hint="eastAsia"/>
                <w:b/>
                <w:bCs/>
                <w:highlight w:val="none"/>
              </w:rPr>
            </w:pPr>
          </w:p>
        </w:tc>
        <w:tc>
          <w:tcPr>
            <w:tcW w:w="3880" w:type="dxa"/>
            <w:vAlign w:val="top"/>
          </w:tcPr>
          <w:p>
            <w:pPr>
              <w:pStyle w:val="43"/>
              <w:bidi w:val="0"/>
              <w:rPr>
                <w:rFonts w:hint="eastAsia"/>
                <w:b/>
                <w:bCs/>
                <w:highlight w:val="none"/>
              </w:rPr>
            </w:pPr>
          </w:p>
        </w:tc>
        <w:tc>
          <w:tcPr>
            <w:tcW w:w="3673" w:type="dxa"/>
            <w:vAlign w:val="top"/>
          </w:tcPr>
          <w:p>
            <w:pPr>
              <w:pStyle w:val="43"/>
              <w:bidi w:val="0"/>
              <w:rPr>
                <w:rFonts w:hint="eastAsia"/>
                <w:b/>
                <w:bCs/>
                <w:highlight w:val="none"/>
              </w:rPr>
            </w:pPr>
          </w:p>
        </w:tc>
        <w:tc>
          <w:tcPr>
            <w:tcW w:w="1631" w:type="dxa"/>
            <w:vAlign w:val="top"/>
          </w:tcPr>
          <w:p>
            <w:pPr>
              <w:pStyle w:val="43"/>
              <w:bidi w:val="0"/>
              <w:rPr>
                <w:rFonts w:hint="eastAsia"/>
                <w:b/>
                <w:bCs/>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pStyle w:val="43"/>
              <w:bidi w:val="0"/>
              <w:rPr>
                <w:rFonts w:hint="eastAsia"/>
                <w:b/>
                <w:bCs/>
                <w:highlight w:val="none"/>
              </w:rPr>
            </w:pPr>
          </w:p>
        </w:tc>
        <w:tc>
          <w:tcPr>
            <w:tcW w:w="3880" w:type="dxa"/>
            <w:vAlign w:val="top"/>
          </w:tcPr>
          <w:p>
            <w:pPr>
              <w:pStyle w:val="43"/>
              <w:bidi w:val="0"/>
              <w:rPr>
                <w:rFonts w:hint="eastAsia"/>
                <w:b/>
                <w:bCs/>
                <w:highlight w:val="none"/>
              </w:rPr>
            </w:pPr>
          </w:p>
        </w:tc>
        <w:tc>
          <w:tcPr>
            <w:tcW w:w="3673" w:type="dxa"/>
            <w:vAlign w:val="top"/>
          </w:tcPr>
          <w:p>
            <w:pPr>
              <w:pStyle w:val="43"/>
              <w:bidi w:val="0"/>
              <w:rPr>
                <w:rFonts w:hint="eastAsia"/>
                <w:b/>
                <w:bCs/>
                <w:highlight w:val="none"/>
              </w:rPr>
            </w:pPr>
          </w:p>
        </w:tc>
        <w:tc>
          <w:tcPr>
            <w:tcW w:w="1631" w:type="dxa"/>
            <w:vAlign w:val="top"/>
          </w:tcPr>
          <w:p>
            <w:pPr>
              <w:pStyle w:val="43"/>
              <w:bidi w:val="0"/>
              <w:rPr>
                <w:rFonts w:hint="eastAsia"/>
                <w:b/>
                <w:bCs/>
                <w:highlight w:val="none"/>
              </w:rPr>
            </w:pPr>
          </w:p>
        </w:tc>
      </w:tr>
    </w:tbl>
    <w:p>
      <w:pPr>
        <w:pStyle w:val="45"/>
        <w:bidi w:val="0"/>
        <w:rPr>
          <w:rFonts w:hint="eastAsia"/>
        </w:rPr>
      </w:pPr>
      <w:r>
        <w:rPr>
          <w:rFonts w:hint="eastAsia"/>
          <w:highlight w:val="none"/>
        </w:rPr>
        <w:t>注：</w:t>
      </w:r>
      <w:r>
        <w:rPr>
          <w:rFonts w:hint="eastAsia"/>
          <w:color w:val="000000" w:themeColor="text1"/>
          <w:highlight w:val="none"/>
          <w:lang w:eastAsia="zh-CN"/>
          <w14:textFill>
            <w14:solidFill>
              <w14:schemeClr w14:val="tx1"/>
            </w14:solidFill>
          </w14:textFill>
        </w:rPr>
        <w:t>如与</w:t>
      </w:r>
      <w:r>
        <w:rPr>
          <w:rFonts w:hint="eastAsia"/>
          <w:color w:val="000000" w:themeColor="text1"/>
          <w:highlight w:val="none"/>
          <w:lang w:val="en-US" w:eastAsia="zh-CN"/>
          <w14:textFill>
            <w14:solidFill>
              <w14:schemeClr w14:val="tx1"/>
            </w14:solidFill>
          </w14:textFill>
        </w:rPr>
        <w:t>招标文件第六章</w:t>
      </w:r>
      <w:r>
        <w:rPr>
          <w:rFonts w:hint="eastAsia"/>
          <w:b/>
          <w:bCs/>
          <w:highlight w:val="none"/>
          <w:lang w:val="en-US" w:eastAsia="zh-CN"/>
        </w:rPr>
        <w:t>服务内容及</w:t>
      </w:r>
      <w:r>
        <w:rPr>
          <w:rFonts w:hint="eastAsia"/>
          <w:b/>
          <w:bCs/>
          <w:highlight w:val="none"/>
        </w:rPr>
        <w:t>要求</w:t>
      </w:r>
      <w:r>
        <w:rPr>
          <w:rFonts w:hint="eastAsia"/>
          <w:color w:val="000000" w:themeColor="text1"/>
          <w:highlight w:val="none"/>
          <w:lang w:val="en-US" w:eastAsia="zh-CN"/>
          <w14:textFill>
            <w14:solidFill>
              <w14:schemeClr w14:val="tx1"/>
            </w14:solidFill>
          </w14:textFill>
        </w:rPr>
        <w:t>的内容</w:t>
      </w:r>
      <w:r>
        <w:rPr>
          <w:rFonts w:hint="eastAsia"/>
          <w:color w:val="000000" w:themeColor="text1"/>
          <w:highlight w:val="none"/>
          <w:lang w:eastAsia="zh-CN"/>
          <w14:textFill>
            <w14:solidFill>
              <w14:schemeClr w14:val="tx1"/>
            </w14:solidFill>
          </w14:textFill>
        </w:rPr>
        <w:t>有偏离(包括正偏离和负偏离)，请将偏离条款逐条应答。如与</w:t>
      </w:r>
      <w:r>
        <w:rPr>
          <w:rFonts w:hint="eastAsia"/>
          <w:color w:val="000000" w:themeColor="text1"/>
          <w:highlight w:val="none"/>
          <w:lang w:val="en-US" w:eastAsia="zh-CN"/>
          <w14:textFill>
            <w14:solidFill>
              <w14:schemeClr w14:val="tx1"/>
            </w14:solidFill>
          </w14:textFill>
        </w:rPr>
        <w:t>招标文件第六章</w:t>
      </w:r>
      <w:r>
        <w:rPr>
          <w:rFonts w:hint="eastAsia"/>
          <w:b/>
          <w:bCs/>
          <w:highlight w:val="none"/>
          <w:lang w:val="en-US" w:eastAsia="zh-CN"/>
        </w:rPr>
        <w:t>服务内容及</w:t>
      </w:r>
      <w:r>
        <w:rPr>
          <w:rFonts w:hint="eastAsia"/>
          <w:b/>
          <w:bCs/>
          <w:highlight w:val="none"/>
        </w:rPr>
        <w:t>要求</w:t>
      </w:r>
      <w:r>
        <w:rPr>
          <w:rFonts w:hint="eastAsia"/>
          <w:color w:val="000000" w:themeColor="text1"/>
          <w:highlight w:val="none"/>
          <w:lang w:val="en-US" w:eastAsia="zh-CN"/>
          <w14:textFill>
            <w14:solidFill>
              <w14:schemeClr w14:val="tx1"/>
            </w14:solidFill>
          </w14:textFill>
        </w:rPr>
        <w:t>的所有</w:t>
      </w:r>
      <w:r>
        <w:rPr>
          <w:rFonts w:hint="eastAsia"/>
          <w:color w:val="000000" w:themeColor="text1"/>
          <w:highlight w:val="none"/>
          <w:lang w:eastAsia="zh-CN"/>
          <w14:textFill>
            <w14:solidFill>
              <w14:schemeClr w14:val="tx1"/>
            </w14:solidFill>
          </w14:textFill>
        </w:rPr>
        <w:t>条款无偏离，则无须在此表中应答，视为默认完全响应和接受</w:t>
      </w:r>
      <w:r>
        <w:rPr>
          <w:rFonts w:hint="eastAsia"/>
          <w:color w:val="000000" w:themeColor="text1"/>
          <w:highlight w:val="none"/>
          <w:lang w:val="en-US" w:eastAsia="zh-CN"/>
          <w14:textFill>
            <w14:solidFill>
              <w14:schemeClr w14:val="tx1"/>
            </w14:solidFill>
          </w14:textFill>
        </w:rPr>
        <w:t>招标文件第六章</w:t>
      </w:r>
      <w:r>
        <w:rPr>
          <w:rFonts w:hint="eastAsia"/>
          <w:b/>
          <w:bCs/>
          <w:highlight w:val="none"/>
          <w:lang w:val="en-US" w:eastAsia="zh-CN"/>
        </w:rPr>
        <w:t>服务内容及</w:t>
      </w:r>
      <w:r>
        <w:rPr>
          <w:rFonts w:hint="eastAsia"/>
          <w:b/>
          <w:bCs/>
          <w:highlight w:val="none"/>
        </w:rPr>
        <w:t>要求</w:t>
      </w:r>
      <w:r>
        <w:rPr>
          <w:rFonts w:hint="eastAsia"/>
          <w:color w:val="000000" w:themeColor="text1"/>
          <w:highlight w:val="none"/>
          <w:lang w:val="en-US" w:eastAsia="zh-CN"/>
          <w14:textFill>
            <w14:solidFill>
              <w14:schemeClr w14:val="tx1"/>
            </w14:solidFill>
          </w14:textFill>
        </w:rPr>
        <w:t>所有</w:t>
      </w:r>
      <w:r>
        <w:rPr>
          <w:rFonts w:hint="eastAsia"/>
          <w:color w:val="000000" w:themeColor="text1"/>
          <w:highlight w:val="none"/>
          <w:lang w:eastAsia="zh-CN"/>
          <w14:textFill>
            <w14:solidFill>
              <w14:schemeClr w14:val="tx1"/>
            </w14:solidFill>
          </w14:textFill>
        </w:rPr>
        <w:t>的内容，供应商不得以未作应答而拒不接受</w:t>
      </w:r>
      <w:r>
        <w:rPr>
          <w:rFonts w:hint="eastAsia"/>
          <w:highlight w:val="none"/>
        </w:rPr>
        <w:t>。</w:t>
      </w:r>
      <w:r>
        <w:rPr>
          <w:rFonts w:hint="eastAsia"/>
          <w:color w:val="000000" w:themeColor="text1"/>
          <w:highlight w:val="none"/>
          <w:lang w:eastAsia="zh-CN"/>
          <w14:textFill>
            <w14:solidFill>
              <w14:schemeClr w14:val="tx1"/>
            </w14:solidFill>
          </w14:textFill>
        </w:rPr>
        <w:t>供应商必须据实填写，不得虚假应答，否则将取消其</w:t>
      </w:r>
      <w:r>
        <w:rPr>
          <w:rFonts w:hint="eastAsia"/>
          <w:color w:val="000000" w:themeColor="text1"/>
          <w:highlight w:val="none"/>
          <w:lang w:val="en-US" w:eastAsia="zh-CN"/>
          <w14:textFill>
            <w14:solidFill>
              <w14:schemeClr w14:val="tx1"/>
            </w14:solidFill>
          </w14:textFill>
        </w:rPr>
        <w:t>中标</w:t>
      </w:r>
      <w:r>
        <w:rPr>
          <w:rFonts w:hint="eastAsia"/>
          <w:color w:val="000000" w:themeColor="text1"/>
          <w:highlight w:val="none"/>
          <w:lang w:eastAsia="zh-CN"/>
          <w14:textFill>
            <w14:solidFill>
              <w14:schemeClr w14:val="tx1"/>
            </w14:solidFill>
          </w14:textFill>
        </w:rPr>
        <w:t>资格。</w:t>
      </w:r>
    </w:p>
    <w:p>
      <w:pPr>
        <w:pStyle w:val="40"/>
        <w:bidi w:val="0"/>
        <w:rPr>
          <w:rFonts w:hint="eastAsia"/>
        </w:rPr>
      </w:pPr>
    </w:p>
    <w:p>
      <w:pPr>
        <w:pStyle w:val="40"/>
        <w:bidi w:val="0"/>
        <w:rPr>
          <w:rFonts w:hint="eastAsia"/>
        </w:rPr>
      </w:pPr>
    </w:p>
    <w:p>
      <w:pPr>
        <w:pStyle w:val="40"/>
        <w:bidi w:val="0"/>
        <w:rPr>
          <w:rFonts w:hint="eastAsia"/>
        </w:rPr>
      </w:pPr>
    </w:p>
    <w:p>
      <w:pPr>
        <w:pStyle w:val="44"/>
        <w:bidi w:val="0"/>
        <w:rPr>
          <w:rFonts w:hint="eastAsia"/>
        </w:rPr>
      </w:pPr>
      <w:r>
        <w:rPr>
          <w:rFonts w:hint="eastAsia"/>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pPr>
        <w:pStyle w:val="44"/>
        <w:bidi w:val="0"/>
        <w:rPr>
          <w:rFonts w:hint="eastAsia"/>
        </w:rPr>
      </w:pPr>
      <w:r>
        <w:rPr>
          <w:rFonts w:hint="eastAsia"/>
        </w:rPr>
        <w:t>投标日期</w:t>
      </w:r>
      <w:r>
        <w:rPr>
          <w:rFonts w:hint="eastAsia"/>
          <w:lang w:eastAsia="zh-CN"/>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pPr>
        <w:pStyle w:val="40"/>
        <w:bidi w:val="0"/>
        <w:rPr>
          <w:rFonts w:hint="eastAsia"/>
          <w:lang w:val="en-US" w:eastAsia="zh-CN"/>
        </w:rPr>
      </w:pPr>
      <w:r>
        <w:rPr>
          <w:rFonts w:hint="eastAsia"/>
          <w:lang w:val="en-US" w:eastAsia="zh-CN"/>
        </w:rPr>
        <w:br w:type="page"/>
      </w:r>
    </w:p>
    <w:bookmarkEnd w:id="899"/>
    <w:bookmarkEnd w:id="900"/>
    <w:bookmarkEnd w:id="901"/>
    <w:p>
      <w:pPr>
        <w:pStyle w:val="42"/>
        <w:numPr>
          <w:ilvl w:val="0"/>
          <w:numId w:val="21"/>
        </w:numPr>
        <w:bidi w:val="0"/>
        <w:ind w:left="0" w:leftChars="0" w:firstLine="0" w:firstLineChars="0"/>
        <w:rPr>
          <w:rFonts w:hint="eastAsia"/>
          <w:lang w:val="en-US" w:eastAsia="zh-CN"/>
        </w:rPr>
      </w:pPr>
      <w:bookmarkStart w:id="907" w:name="_Toc28539"/>
      <w:bookmarkStart w:id="908" w:name="_Toc5262"/>
      <w:r>
        <w:rPr>
          <w:rFonts w:hint="eastAsia"/>
          <w:lang w:val="en-US" w:eastAsia="zh-CN"/>
        </w:rPr>
        <w:t>履约能力及相关证明</w:t>
      </w:r>
      <w:bookmarkEnd w:id="907"/>
      <w:bookmarkEnd w:id="908"/>
    </w:p>
    <w:p>
      <w:pPr>
        <w:pStyle w:val="45"/>
        <w:bidi w:val="0"/>
        <w:rPr>
          <w:rFonts w:hint="eastAsia"/>
        </w:rPr>
      </w:pPr>
      <w:r>
        <w:rPr>
          <w:rFonts w:hint="eastAsia"/>
        </w:rPr>
        <w:t>注：</w:t>
      </w:r>
      <w:r>
        <w:rPr>
          <w:rFonts w:hint="eastAsia"/>
          <w:lang w:val="en-US" w:eastAsia="zh-CN"/>
        </w:rPr>
        <w:t>格式自拟。</w:t>
      </w:r>
    </w:p>
    <w:p>
      <w:pPr>
        <w:pStyle w:val="40"/>
        <w:bidi w:val="0"/>
        <w:rPr>
          <w:rFonts w:hint="eastAsia"/>
        </w:rPr>
      </w:pPr>
    </w:p>
    <w:p>
      <w:pPr>
        <w:pStyle w:val="40"/>
        <w:bidi w:val="0"/>
        <w:rPr>
          <w:rFonts w:hint="eastAsia"/>
        </w:rPr>
      </w:pPr>
    </w:p>
    <w:p>
      <w:pPr>
        <w:pStyle w:val="40"/>
        <w:bidi w:val="0"/>
        <w:rPr>
          <w:rFonts w:hint="eastAsia"/>
        </w:rPr>
      </w:pPr>
    </w:p>
    <w:p>
      <w:pPr>
        <w:pStyle w:val="40"/>
        <w:bidi w:val="0"/>
        <w:rPr>
          <w:rFonts w:hint="eastAsia"/>
        </w:rPr>
      </w:pPr>
    </w:p>
    <w:p>
      <w:pPr>
        <w:pStyle w:val="40"/>
        <w:bidi w:val="0"/>
        <w:rPr>
          <w:rFonts w:hint="eastAsia"/>
        </w:rPr>
      </w:pPr>
    </w:p>
    <w:p>
      <w:pPr>
        <w:pStyle w:val="40"/>
        <w:bidi w:val="0"/>
        <w:rPr>
          <w:rFonts w:hint="eastAsia"/>
          <w:lang w:val="en-US" w:eastAsia="zh-CN"/>
        </w:rPr>
      </w:pPr>
      <w:r>
        <w:rPr>
          <w:rFonts w:hint="eastAsia"/>
          <w:lang w:val="en-US" w:eastAsia="zh-CN"/>
        </w:rPr>
        <w:br w:type="page"/>
      </w:r>
    </w:p>
    <w:bookmarkEnd w:id="902"/>
    <w:p>
      <w:pPr>
        <w:pStyle w:val="42"/>
        <w:numPr>
          <w:ilvl w:val="0"/>
          <w:numId w:val="21"/>
        </w:numPr>
        <w:bidi w:val="0"/>
        <w:ind w:left="0" w:leftChars="0" w:firstLine="0" w:firstLineChars="0"/>
        <w:rPr>
          <w:rFonts w:hint="eastAsia"/>
          <w:lang w:val="en-US" w:eastAsia="zh-CN"/>
        </w:rPr>
      </w:pPr>
      <w:bookmarkStart w:id="909" w:name="_Toc13361"/>
      <w:bookmarkStart w:id="910" w:name="_Toc25523"/>
      <w:bookmarkStart w:id="911" w:name="_Toc19240"/>
      <w:bookmarkStart w:id="912" w:name="_Toc122"/>
      <w:bookmarkStart w:id="913" w:name="_Toc2450"/>
      <w:bookmarkStart w:id="914" w:name="_Toc8563"/>
      <w:r>
        <w:rPr>
          <w:rFonts w:hint="eastAsia"/>
          <w:lang w:val="en-US" w:eastAsia="zh-CN"/>
        </w:rPr>
        <w:t>投标人针对本项目人员配置情况表</w:t>
      </w:r>
      <w:bookmarkEnd w:id="909"/>
      <w:bookmarkEnd w:id="910"/>
    </w:p>
    <w:p>
      <w:pPr>
        <w:pStyle w:val="40"/>
        <w:bidi w:val="0"/>
        <w:rPr>
          <w:rFonts w:hint="eastAsia"/>
        </w:rPr>
      </w:pPr>
      <w:r>
        <w:rPr>
          <w:rFonts w:hint="eastAsia"/>
        </w:rPr>
        <w:t>项目名称：</w:t>
      </w:r>
      <w:r>
        <w:rPr>
          <w:rFonts w:hint="eastAsia"/>
          <w:u w:val="single"/>
        </w:rPr>
        <w:t xml:space="preserve">                              </w:t>
      </w:r>
    </w:p>
    <w:p>
      <w:pPr>
        <w:pStyle w:val="40"/>
        <w:bidi w:val="0"/>
        <w:rPr>
          <w:rFonts w:hint="eastAsia"/>
          <w:u w:val="single"/>
        </w:rPr>
      </w:pPr>
      <w:r>
        <w:rPr>
          <w:rFonts w:hint="eastAsia"/>
        </w:rPr>
        <w:t>项目编号：</w:t>
      </w:r>
      <w:r>
        <w:rPr>
          <w:rFonts w:hint="eastAsia"/>
          <w:u w:val="single"/>
        </w:rPr>
        <w:t xml:space="preserve">                              </w:t>
      </w:r>
      <w:r>
        <w:rPr>
          <w:rFonts w:hint="eastAsia"/>
        </w:rPr>
        <w:t xml:space="preserve"> </w:t>
      </w:r>
      <w:r>
        <w:rPr>
          <w:rFonts w:hint="eastAsia"/>
          <w:lang w:val="en-US" w:eastAsia="zh-CN"/>
        </w:rPr>
        <w:t xml:space="preserve">                             </w:t>
      </w:r>
    </w:p>
    <w:tbl>
      <w:tblPr>
        <w:tblStyle w:val="20"/>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923"/>
        <w:gridCol w:w="921"/>
        <w:gridCol w:w="923"/>
        <w:gridCol w:w="922"/>
        <w:gridCol w:w="1436"/>
        <w:gridCol w:w="1022"/>
        <w:gridCol w:w="1232"/>
        <w:gridCol w:w="1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restart"/>
            <w:vAlign w:val="center"/>
          </w:tcPr>
          <w:p>
            <w:pPr>
              <w:pStyle w:val="43"/>
              <w:bidi w:val="0"/>
              <w:rPr>
                <w:rFonts w:hint="eastAsia"/>
                <w:b/>
                <w:bCs/>
              </w:rPr>
            </w:pPr>
            <w:r>
              <w:rPr>
                <w:rFonts w:hint="eastAsia"/>
                <w:b/>
                <w:bCs/>
              </w:rPr>
              <w:t>类别</w:t>
            </w:r>
          </w:p>
        </w:tc>
        <w:tc>
          <w:tcPr>
            <w:tcW w:w="923" w:type="dxa"/>
            <w:vMerge w:val="restart"/>
            <w:vAlign w:val="center"/>
          </w:tcPr>
          <w:p>
            <w:pPr>
              <w:pStyle w:val="43"/>
              <w:bidi w:val="0"/>
              <w:rPr>
                <w:rFonts w:hint="default" w:eastAsia="宋体"/>
                <w:b/>
                <w:bCs/>
                <w:lang w:val="en-US" w:eastAsia="zh-CN"/>
              </w:rPr>
            </w:pPr>
            <w:r>
              <w:rPr>
                <w:rFonts w:hint="eastAsia"/>
                <w:b/>
                <w:bCs/>
              </w:rPr>
              <w:t>职务</w:t>
            </w:r>
            <w:r>
              <w:rPr>
                <w:rFonts w:hint="eastAsia"/>
                <w:b/>
                <w:bCs/>
                <w:lang w:val="en-US" w:eastAsia="zh-CN"/>
              </w:rPr>
              <w:t>(岗位)</w:t>
            </w:r>
          </w:p>
        </w:tc>
        <w:tc>
          <w:tcPr>
            <w:tcW w:w="921" w:type="dxa"/>
            <w:vMerge w:val="restart"/>
            <w:vAlign w:val="center"/>
          </w:tcPr>
          <w:p>
            <w:pPr>
              <w:pStyle w:val="43"/>
              <w:bidi w:val="0"/>
              <w:rPr>
                <w:rFonts w:hint="eastAsia"/>
                <w:b/>
                <w:bCs/>
              </w:rPr>
            </w:pPr>
            <w:r>
              <w:rPr>
                <w:rFonts w:hint="eastAsia"/>
                <w:b/>
                <w:bCs/>
              </w:rPr>
              <w:t>姓名</w:t>
            </w:r>
          </w:p>
        </w:tc>
        <w:tc>
          <w:tcPr>
            <w:tcW w:w="923" w:type="dxa"/>
            <w:vMerge w:val="restart"/>
            <w:vAlign w:val="center"/>
          </w:tcPr>
          <w:p>
            <w:pPr>
              <w:pStyle w:val="43"/>
              <w:bidi w:val="0"/>
              <w:rPr>
                <w:rFonts w:hint="eastAsia"/>
                <w:b/>
                <w:bCs/>
              </w:rPr>
            </w:pPr>
            <w:r>
              <w:rPr>
                <w:rFonts w:hint="eastAsia"/>
                <w:b/>
                <w:bCs/>
              </w:rPr>
              <w:t>职称</w:t>
            </w:r>
          </w:p>
        </w:tc>
        <w:tc>
          <w:tcPr>
            <w:tcW w:w="922" w:type="dxa"/>
            <w:vMerge w:val="restart"/>
            <w:vAlign w:val="center"/>
          </w:tcPr>
          <w:p>
            <w:pPr>
              <w:pStyle w:val="43"/>
              <w:bidi w:val="0"/>
              <w:rPr>
                <w:rFonts w:hint="eastAsia"/>
                <w:b/>
                <w:bCs/>
              </w:rPr>
            </w:pPr>
            <w:r>
              <w:rPr>
                <w:rFonts w:hint="eastAsia"/>
                <w:b/>
                <w:bCs/>
              </w:rPr>
              <w:t>常住地</w:t>
            </w:r>
          </w:p>
        </w:tc>
        <w:tc>
          <w:tcPr>
            <w:tcW w:w="4919" w:type="dxa"/>
            <w:gridSpan w:val="4"/>
            <w:vAlign w:val="center"/>
          </w:tcPr>
          <w:p>
            <w:pPr>
              <w:pStyle w:val="43"/>
              <w:bidi w:val="0"/>
              <w:rPr>
                <w:rFonts w:hint="eastAsia"/>
                <w:b/>
                <w:bCs/>
              </w:rPr>
            </w:pPr>
            <w:r>
              <w:rPr>
                <w:rFonts w:hint="eastAsia"/>
                <w:b/>
                <w:bCs/>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continue"/>
            <w:vAlign w:val="center"/>
          </w:tcPr>
          <w:p>
            <w:pPr>
              <w:pStyle w:val="43"/>
              <w:bidi w:val="0"/>
              <w:rPr>
                <w:rFonts w:hint="eastAsia"/>
                <w:b/>
                <w:bCs/>
              </w:rPr>
            </w:pPr>
          </w:p>
        </w:tc>
        <w:tc>
          <w:tcPr>
            <w:tcW w:w="923" w:type="dxa"/>
            <w:vMerge w:val="continue"/>
            <w:vAlign w:val="center"/>
          </w:tcPr>
          <w:p>
            <w:pPr>
              <w:pStyle w:val="43"/>
              <w:bidi w:val="0"/>
              <w:rPr>
                <w:rFonts w:hint="eastAsia"/>
                <w:b/>
                <w:bCs/>
              </w:rPr>
            </w:pPr>
          </w:p>
        </w:tc>
        <w:tc>
          <w:tcPr>
            <w:tcW w:w="921" w:type="dxa"/>
            <w:vMerge w:val="continue"/>
            <w:vAlign w:val="center"/>
          </w:tcPr>
          <w:p>
            <w:pPr>
              <w:pStyle w:val="43"/>
              <w:bidi w:val="0"/>
              <w:rPr>
                <w:rFonts w:hint="eastAsia"/>
                <w:b/>
                <w:bCs/>
              </w:rPr>
            </w:pPr>
          </w:p>
        </w:tc>
        <w:tc>
          <w:tcPr>
            <w:tcW w:w="923" w:type="dxa"/>
            <w:vMerge w:val="continue"/>
            <w:vAlign w:val="center"/>
          </w:tcPr>
          <w:p>
            <w:pPr>
              <w:pStyle w:val="43"/>
              <w:bidi w:val="0"/>
              <w:rPr>
                <w:rFonts w:hint="eastAsia"/>
                <w:b/>
                <w:bCs/>
              </w:rPr>
            </w:pPr>
          </w:p>
        </w:tc>
        <w:tc>
          <w:tcPr>
            <w:tcW w:w="922" w:type="dxa"/>
            <w:vMerge w:val="continue"/>
            <w:vAlign w:val="center"/>
          </w:tcPr>
          <w:p>
            <w:pPr>
              <w:pStyle w:val="43"/>
              <w:bidi w:val="0"/>
              <w:rPr>
                <w:rFonts w:hint="eastAsia"/>
                <w:b/>
                <w:bCs/>
              </w:rPr>
            </w:pPr>
          </w:p>
        </w:tc>
        <w:tc>
          <w:tcPr>
            <w:tcW w:w="1436" w:type="dxa"/>
            <w:vAlign w:val="center"/>
          </w:tcPr>
          <w:p>
            <w:pPr>
              <w:pStyle w:val="43"/>
              <w:bidi w:val="0"/>
              <w:rPr>
                <w:rFonts w:hint="eastAsia"/>
                <w:b/>
                <w:bCs/>
              </w:rPr>
            </w:pPr>
            <w:r>
              <w:rPr>
                <w:rFonts w:hint="eastAsia"/>
                <w:b/>
                <w:bCs/>
              </w:rPr>
              <w:t>证书名称</w:t>
            </w:r>
          </w:p>
        </w:tc>
        <w:tc>
          <w:tcPr>
            <w:tcW w:w="1022" w:type="dxa"/>
            <w:vAlign w:val="center"/>
          </w:tcPr>
          <w:p>
            <w:pPr>
              <w:pStyle w:val="43"/>
              <w:bidi w:val="0"/>
              <w:rPr>
                <w:rFonts w:hint="eastAsia"/>
                <w:b/>
                <w:bCs/>
              </w:rPr>
            </w:pPr>
            <w:r>
              <w:rPr>
                <w:rFonts w:hint="eastAsia"/>
                <w:b/>
                <w:bCs/>
              </w:rPr>
              <w:t>级别</w:t>
            </w:r>
          </w:p>
        </w:tc>
        <w:tc>
          <w:tcPr>
            <w:tcW w:w="1232" w:type="dxa"/>
            <w:vAlign w:val="center"/>
          </w:tcPr>
          <w:p>
            <w:pPr>
              <w:pStyle w:val="43"/>
              <w:bidi w:val="0"/>
              <w:rPr>
                <w:rFonts w:hint="eastAsia"/>
                <w:b/>
                <w:bCs/>
              </w:rPr>
            </w:pPr>
            <w:r>
              <w:rPr>
                <w:rFonts w:hint="eastAsia"/>
                <w:b/>
                <w:bCs/>
              </w:rPr>
              <w:t>证号</w:t>
            </w:r>
          </w:p>
        </w:tc>
        <w:tc>
          <w:tcPr>
            <w:tcW w:w="1229" w:type="dxa"/>
            <w:vAlign w:val="center"/>
          </w:tcPr>
          <w:p>
            <w:pPr>
              <w:pStyle w:val="43"/>
              <w:bidi w:val="0"/>
              <w:rPr>
                <w:rFonts w:hint="eastAsia"/>
                <w:b/>
                <w:bCs/>
              </w:rPr>
            </w:pPr>
            <w:r>
              <w:rPr>
                <w:rFonts w:hint="eastAsia"/>
                <w:b/>
                <w:bCs/>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43"/>
              <w:bidi w:val="0"/>
              <w:rPr>
                <w:rFonts w:hint="eastAsia"/>
                <w:highlight w:val="none"/>
              </w:rPr>
            </w:pPr>
            <w:r>
              <w:rPr>
                <w:rFonts w:hint="eastAsia"/>
                <w:highlight w:val="none"/>
              </w:rPr>
              <w:t>管理人员</w:t>
            </w:r>
            <w:r>
              <w:rPr>
                <w:rFonts w:hint="eastAsia"/>
                <w:highlight w:val="none"/>
                <w:lang w:eastAsia="zh-CN"/>
              </w:rPr>
              <w:t>(</w:t>
            </w:r>
            <w:r>
              <w:rPr>
                <w:rFonts w:hint="eastAsia"/>
                <w:highlight w:val="none"/>
                <w:lang w:val="en-US" w:eastAsia="zh-CN"/>
              </w:rPr>
              <w:t>可根据项目实际情况调整</w:t>
            </w:r>
            <w:r>
              <w:rPr>
                <w:rFonts w:hint="eastAsia"/>
                <w:highlight w:val="none"/>
                <w:lang w:eastAsia="zh-CN"/>
              </w:rPr>
              <w:t>)</w:t>
            </w:r>
          </w:p>
        </w:tc>
        <w:tc>
          <w:tcPr>
            <w:tcW w:w="923" w:type="dxa"/>
            <w:vAlign w:val="top"/>
          </w:tcPr>
          <w:p>
            <w:pPr>
              <w:pStyle w:val="43"/>
              <w:bidi w:val="0"/>
              <w:rPr>
                <w:rFonts w:hint="eastAsia"/>
              </w:rPr>
            </w:pPr>
          </w:p>
        </w:tc>
        <w:tc>
          <w:tcPr>
            <w:tcW w:w="921" w:type="dxa"/>
            <w:vAlign w:val="top"/>
          </w:tcPr>
          <w:p>
            <w:pPr>
              <w:pStyle w:val="43"/>
              <w:bidi w:val="0"/>
              <w:rPr>
                <w:rFonts w:hint="eastAsia"/>
              </w:rPr>
            </w:pPr>
          </w:p>
        </w:tc>
        <w:tc>
          <w:tcPr>
            <w:tcW w:w="923" w:type="dxa"/>
            <w:vAlign w:val="top"/>
          </w:tcPr>
          <w:p>
            <w:pPr>
              <w:pStyle w:val="43"/>
              <w:bidi w:val="0"/>
              <w:rPr>
                <w:rFonts w:hint="eastAsia"/>
              </w:rPr>
            </w:pPr>
          </w:p>
        </w:tc>
        <w:tc>
          <w:tcPr>
            <w:tcW w:w="922" w:type="dxa"/>
            <w:vAlign w:val="top"/>
          </w:tcPr>
          <w:p>
            <w:pPr>
              <w:pStyle w:val="43"/>
              <w:bidi w:val="0"/>
              <w:rPr>
                <w:rFonts w:hint="eastAsia"/>
              </w:rPr>
            </w:pPr>
          </w:p>
        </w:tc>
        <w:tc>
          <w:tcPr>
            <w:tcW w:w="1436" w:type="dxa"/>
            <w:vAlign w:val="top"/>
          </w:tcPr>
          <w:p>
            <w:pPr>
              <w:pStyle w:val="43"/>
              <w:bidi w:val="0"/>
              <w:rPr>
                <w:rFonts w:hint="eastAsia"/>
              </w:rPr>
            </w:pPr>
          </w:p>
        </w:tc>
        <w:tc>
          <w:tcPr>
            <w:tcW w:w="1022" w:type="dxa"/>
            <w:vAlign w:val="top"/>
          </w:tcPr>
          <w:p>
            <w:pPr>
              <w:pStyle w:val="43"/>
              <w:bidi w:val="0"/>
              <w:rPr>
                <w:rFonts w:hint="eastAsia"/>
              </w:rPr>
            </w:pPr>
          </w:p>
        </w:tc>
        <w:tc>
          <w:tcPr>
            <w:tcW w:w="1232" w:type="dxa"/>
            <w:vAlign w:val="top"/>
          </w:tcPr>
          <w:p>
            <w:pPr>
              <w:pStyle w:val="43"/>
              <w:bidi w:val="0"/>
              <w:rPr>
                <w:rFonts w:hint="eastAsia"/>
              </w:rPr>
            </w:pPr>
          </w:p>
        </w:tc>
        <w:tc>
          <w:tcPr>
            <w:tcW w:w="1229" w:type="dxa"/>
            <w:vAlign w:val="top"/>
          </w:tcPr>
          <w:p>
            <w:pPr>
              <w:pStyle w:val="4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43"/>
              <w:bidi w:val="0"/>
              <w:rPr>
                <w:rFonts w:hint="eastAsia"/>
                <w:highlight w:val="none"/>
              </w:rPr>
            </w:pPr>
          </w:p>
        </w:tc>
        <w:tc>
          <w:tcPr>
            <w:tcW w:w="923" w:type="dxa"/>
            <w:vAlign w:val="top"/>
          </w:tcPr>
          <w:p>
            <w:pPr>
              <w:pStyle w:val="43"/>
              <w:bidi w:val="0"/>
              <w:rPr>
                <w:rFonts w:hint="eastAsia"/>
              </w:rPr>
            </w:pPr>
          </w:p>
        </w:tc>
        <w:tc>
          <w:tcPr>
            <w:tcW w:w="921" w:type="dxa"/>
            <w:vAlign w:val="top"/>
          </w:tcPr>
          <w:p>
            <w:pPr>
              <w:pStyle w:val="43"/>
              <w:bidi w:val="0"/>
              <w:rPr>
                <w:rFonts w:hint="eastAsia"/>
              </w:rPr>
            </w:pPr>
          </w:p>
        </w:tc>
        <w:tc>
          <w:tcPr>
            <w:tcW w:w="923" w:type="dxa"/>
            <w:vAlign w:val="top"/>
          </w:tcPr>
          <w:p>
            <w:pPr>
              <w:pStyle w:val="43"/>
              <w:bidi w:val="0"/>
              <w:rPr>
                <w:rFonts w:hint="eastAsia"/>
              </w:rPr>
            </w:pPr>
          </w:p>
        </w:tc>
        <w:tc>
          <w:tcPr>
            <w:tcW w:w="922" w:type="dxa"/>
            <w:vAlign w:val="top"/>
          </w:tcPr>
          <w:p>
            <w:pPr>
              <w:pStyle w:val="43"/>
              <w:bidi w:val="0"/>
              <w:rPr>
                <w:rFonts w:hint="eastAsia"/>
              </w:rPr>
            </w:pPr>
          </w:p>
        </w:tc>
        <w:tc>
          <w:tcPr>
            <w:tcW w:w="1436" w:type="dxa"/>
            <w:vAlign w:val="top"/>
          </w:tcPr>
          <w:p>
            <w:pPr>
              <w:pStyle w:val="43"/>
              <w:bidi w:val="0"/>
              <w:rPr>
                <w:rFonts w:hint="eastAsia"/>
              </w:rPr>
            </w:pPr>
          </w:p>
        </w:tc>
        <w:tc>
          <w:tcPr>
            <w:tcW w:w="1022" w:type="dxa"/>
            <w:vAlign w:val="top"/>
          </w:tcPr>
          <w:p>
            <w:pPr>
              <w:pStyle w:val="43"/>
              <w:bidi w:val="0"/>
              <w:rPr>
                <w:rFonts w:hint="eastAsia"/>
              </w:rPr>
            </w:pPr>
          </w:p>
        </w:tc>
        <w:tc>
          <w:tcPr>
            <w:tcW w:w="1232" w:type="dxa"/>
            <w:vAlign w:val="top"/>
          </w:tcPr>
          <w:p>
            <w:pPr>
              <w:pStyle w:val="43"/>
              <w:bidi w:val="0"/>
              <w:rPr>
                <w:rFonts w:hint="eastAsia"/>
              </w:rPr>
            </w:pPr>
          </w:p>
        </w:tc>
        <w:tc>
          <w:tcPr>
            <w:tcW w:w="1229" w:type="dxa"/>
            <w:vAlign w:val="top"/>
          </w:tcPr>
          <w:p>
            <w:pPr>
              <w:pStyle w:val="4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43"/>
              <w:bidi w:val="0"/>
              <w:rPr>
                <w:rFonts w:hint="eastAsia"/>
                <w:highlight w:val="none"/>
              </w:rPr>
            </w:pPr>
          </w:p>
        </w:tc>
        <w:tc>
          <w:tcPr>
            <w:tcW w:w="923" w:type="dxa"/>
            <w:vAlign w:val="top"/>
          </w:tcPr>
          <w:p>
            <w:pPr>
              <w:pStyle w:val="43"/>
              <w:bidi w:val="0"/>
              <w:rPr>
                <w:rFonts w:hint="eastAsia"/>
              </w:rPr>
            </w:pPr>
          </w:p>
        </w:tc>
        <w:tc>
          <w:tcPr>
            <w:tcW w:w="921" w:type="dxa"/>
            <w:vAlign w:val="top"/>
          </w:tcPr>
          <w:p>
            <w:pPr>
              <w:pStyle w:val="43"/>
              <w:bidi w:val="0"/>
              <w:rPr>
                <w:rFonts w:hint="eastAsia"/>
              </w:rPr>
            </w:pPr>
          </w:p>
        </w:tc>
        <w:tc>
          <w:tcPr>
            <w:tcW w:w="923" w:type="dxa"/>
            <w:vAlign w:val="top"/>
          </w:tcPr>
          <w:p>
            <w:pPr>
              <w:pStyle w:val="43"/>
              <w:bidi w:val="0"/>
              <w:rPr>
                <w:rFonts w:hint="eastAsia"/>
              </w:rPr>
            </w:pPr>
          </w:p>
        </w:tc>
        <w:tc>
          <w:tcPr>
            <w:tcW w:w="922" w:type="dxa"/>
            <w:vAlign w:val="top"/>
          </w:tcPr>
          <w:p>
            <w:pPr>
              <w:pStyle w:val="43"/>
              <w:bidi w:val="0"/>
              <w:rPr>
                <w:rFonts w:hint="eastAsia"/>
              </w:rPr>
            </w:pPr>
          </w:p>
        </w:tc>
        <w:tc>
          <w:tcPr>
            <w:tcW w:w="1436" w:type="dxa"/>
            <w:vAlign w:val="top"/>
          </w:tcPr>
          <w:p>
            <w:pPr>
              <w:pStyle w:val="43"/>
              <w:bidi w:val="0"/>
              <w:rPr>
                <w:rFonts w:hint="eastAsia"/>
              </w:rPr>
            </w:pPr>
          </w:p>
        </w:tc>
        <w:tc>
          <w:tcPr>
            <w:tcW w:w="1022" w:type="dxa"/>
            <w:vAlign w:val="top"/>
          </w:tcPr>
          <w:p>
            <w:pPr>
              <w:pStyle w:val="43"/>
              <w:bidi w:val="0"/>
              <w:rPr>
                <w:rFonts w:hint="eastAsia"/>
              </w:rPr>
            </w:pPr>
          </w:p>
        </w:tc>
        <w:tc>
          <w:tcPr>
            <w:tcW w:w="1232" w:type="dxa"/>
            <w:vAlign w:val="top"/>
          </w:tcPr>
          <w:p>
            <w:pPr>
              <w:pStyle w:val="43"/>
              <w:bidi w:val="0"/>
              <w:rPr>
                <w:rFonts w:hint="eastAsia"/>
              </w:rPr>
            </w:pPr>
          </w:p>
        </w:tc>
        <w:tc>
          <w:tcPr>
            <w:tcW w:w="1229" w:type="dxa"/>
            <w:vAlign w:val="top"/>
          </w:tcPr>
          <w:p>
            <w:pPr>
              <w:pStyle w:val="4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43"/>
              <w:bidi w:val="0"/>
              <w:rPr>
                <w:rFonts w:hint="eastAsia"/>
                <w:highlight w:val="none"/>
              </w:rPr>
            </w:pPr>
            <w:r>
              <w:rPr>
                <w:rFonts w:hint="eastAsia"/>
                <w:highlight w:val="none"/>
              </w:rPr>
              <w:t>技术人员</w:t>
            </w:r>
            <w:r>
              <w:rPr>
                <w:rFonts w:hint="eastAsia"/>
                <w:highlight w:val="none"/>
                <w:lang w:eastAsia="zh-CN"/>
              </w:rPr>
              <w:t>(</w:t>
            </w:r>
            <w:r>
              <w:rPr>
                <w:rFonts w:hint="eastAsia"/>
                <w:highlight w:val="none"/>
                <w:lang w:val="en-US" w:eastAsia="zh-CN"/>
              </w:rPr>
              <w:t>可根据项目实际情况调整</w:t>
            </w:r>
            <w:r>
              <w:rPr>
                <w:rFonts w:hint="eastAsia"/>
                <w:highlight w:val="none"/>
                <w:lang w:eastAsia="zh-CN"/>
              </w:rPr>
              <w:t>)</w:t>
            </w:r>
          </w:p>
        </w:tc>
        <w:tc>
          <w:tcPr>
            <w:tcW w:w="923" w:type="dxa"/>
            <w:vAlign w:val="top"/>
          </w:tcPr>
          <w:p>
            <w:pPr>
              <w:pStyle w:val="43"/>
              <w:bidi w:val="0"/>
              <w:rPr>
                <w:rFonts w:hint="eastAsia"/>
              </w:rPr>
            </w:pPr>
          </w:p>
        </w:tc>
        <w:tc>
          <w:tcPr>
            <w:tcW w:w="921" w:type="dxa"/>
            <w:vAlign w:val="top"/>
          </w:tcPr>
          <w:p>
            <w:pPr>
              <w:pStyle w:val="43"/>
              <w:bidi w:val="0"/>
              <w:rPr>
                <w:rFonts w:hint="eastAsia"/>
              </w:rPr>
            </w:pPr>
          </w:p>
        </w:tc>
        <w:tc>
          <w:tcPr>
            <w:tcW w:w="923" w:type="dxa"/>
            <w:vAlign w:val="top"/>
          </w:tcPr>
          <w:p>
            <w:pPr>
              <w:pStyle w:val="43"/>
              <w:bidi w:val="0"/>
              <w:rPr>
                <w:rFonts w:hint="eastAsia"/>
              </w:rPr>
            </w:pPr>
          </w:p>
        </w:tc>
        <w:tc>
          <w:tcPr>
            <w:tcW w:w="922" w:type="dxa"/>
            <w:vAlign w:val="top"/>
          </w:tcPr>
          <w:p>
            <w:pPr>
              <w:pStyle w:val="43"/>
              <w:bidi w:val="0"/>
              <w:rPr>
                <w:rFonts w:hint="eastAsia"/>
              </w:rPr>
            </w:pPr>
          </w:p>
        </w:tc>
        <w:tc>
          <w:tcPr>
            <w:tcW w:w="1436" w:type="dxa"/>
            <w:vAlign w:val="top"/>
          </w:tcPr>
          <w:p>
            <w:pPr>
              <w:pStyle w:val="43"/>
              <w:bidi w:val="0"/>
              <w:rPr>
                <w:rFonts w:hint="eastAsia"/>
              </w:rPr>
            </w:pPr>
          </w:p>
        </w:tc>
        <w:tc>
          <w:tcPr>
            <w:tcW w:w="1022" w:type="dxa"/>
            <w:vAlign w:val="top"/>
          </w:tcPr>
          <w:p>
            <w:pPr>
              <w:pStyle w:val="43"/>
              <w:bidi w:val="0"/>
              <w:rPr>
                <w:rFonts w:hint="eastAsia"/>
              </w:rPr>
            </w:pPr>
          </w:p>
        </w:tc>
        <w:tc>
          <w:tcPr>
            <w:tcW w:w="1232" w:type="dxa"/>
            <w:vAlign w:val="top"/>
          </w:tcPr>
          <w:p>
            <w:pPr>
              <w:pStyle w:val="43"/>
              <w:bidi w:val="0"/>
              <w:rPr>
                <w:rFonts w:hint="eastAsia"/>
              </w:rPr>
            </w:pPr>
          </w:p>
        </w:tc>
        <w:tc>
          <w:tcPr>
            <w:tcW w:w="1229" w:type="dxa"/>
            <w:vAlign w:val="top"/>
          </w:tcPr>
          <w:p>
            <w:pPr>
              <w:pStyle w:val="4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43"/>
              <w:bidi w:val="0"/>
              <w:rPr>
                <w:rFonts w:hint="eastAsia"/>
                <w:highlight w:val="none"/>
              </w:rPr>
            </w:pPr>
          </w:p>
        </w:tc>
        <w:tc>
          <w:tcPr>
            <w:tcW w:w="923" w:type="dxa"/>
            <w:vAlign w:val="top"/>
          </w:tcPr>
          <w:p>
            <w:pPr>
              <w:pStyle w:val="43"/>
              <w:bidi w:val="0"/>
              <w:rPr>
                <w:rFonts w:hint="eastAsia"/>
              </w:rPr>
            </w:pPr>
          </w:p>
        </w:tc>
        <w:tc>
          <w:tcPr>
            <w:tcW w:w="921" w:type="dxa"/>
            <w:vAlign w:val="top"/>
          </w:tcPr>
          <w:p>
            <w:pPr>
              <w:pStyle w:val="43"/>
              <w:bidi w:val="0"/>
              <w:rPr>
                <w:rFonts w:hint="eastAsia"/>
              </w:rPr>
            </w:pPr>
          </w:p>
        </w:tc>
        <w:tc>
          <w:tcPr>
            <w:tcW w:w="923" w:type="dxa"/>
            <w:vAlign w:val="top"/>
          </w:tcPr>
          <w:p>
            <w:pPr>
              <w:pStyle w:val="43"/>
              <w:bidi w:val="0"/>
              <w:rPr>
                <w:rFonts w:hint="eastAsia"/>
              </w:rPr>
            </w:pPr>
          </w:p>
        </w:tc>
        <w:tc>
          <w:tcPr>
            <w:tcW w:w="922" w:type="dxa"/>
            <w:vAlign w:val="top"/>
          </w:tcPr>
          <w:p>
            <w:pPr>
              <w:pStyle w:val="43"/>
              <w:bidi w:val="0"/>
              <w:rPr>
                <w:rFonts w:hint="eastAsia"/>
              </w:rPr>
            </w:pPr>
          </w:p>
        </w:tc>
        <w:tc>
          <w:tcPr>
            <w:tcW w:w="1436" w:type="dxa"/>
            <w:vAlign w:val="top"/>
          </w:tcPr>
          <w:p>
            <w:pPr>
              <w:pStyle w:val="43"/>
              <w:bidi w:val="0"/>
              <w:rPr>
                <w:rFonts w:hint="eastAsia"/>
              </w:rPr>
            </w:pPr>
          </w:p>
        </w:tc>
        <w:tc>
          <w:tcPr>
            <w:tcW w:w="1022" w:type="dxa"/>
            <w:vAlign w:val="top"/>
          </w:tcPr>
          <w:p>
            <w:pPr>
              <w:pStyle w:val="43"/>
              <w:bidi w:val="0"/>
              <w:rPr>
                <w:rFonts w:hint="eastAsia"/>
              </w:rPr>
            </w:pPr>
          </w:p>
        </w:tc>
        <w:tc>
          <w:tcPr>
            <w:tcW w:w="1232" w:type="dxa"/>
            <w:vAlign w:val="top"/>
          </w:tcPr>
          <w:p>
            <w:pPr>
              <w:pStyle w:val="43"/>
              <w:bidi w:val="0"/>
              <w:rPr>
                <w:rFonts w:hint="eastAsia"/>
              </w:rPr>
            </w:pPr>
          </w:p>
        </w:tc>
        <w:tc>
          <w:tcPr>
            <w:tcW w:w="1229" w:type="dxa"/>
            <w:vAlign w:val="top"/>
          </w:tcPr>
          <w:p>
            <w:pPr>
              <w:pStyle w:val="4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43"/>
              <w:bidi w:val="0"/>
              <w:rPr>
                <w:rFonts w:hint="eastAsia"/>
                <w:highlight w:val="none"/>
              </w:rPr>
            </w:pPr>
          </w:p>
        </w:tc>
        <w:tc>
          <w:tcPr>
            <w:tcW w:w="923" w:type="dxa"/>
            <w:vAlign w:val="top"/>
          </w:tcPr>
          <w:p>
            <w:pPr>
              <w:pStyle w:val="43"/>
              <w:bidi w:val="0"/>
              <w:rPr>
                <w:rFonts w:hint="eastAsia"/>
              </w:rPr>
            </w:pPr>
          </w:p>
        </w:tc>
        <w:tc>
          <w:tcPr>
            <w:tcW w:w="921" w:type="dxa"/>
            <w:vAlign w:val="top"/>
          </w:tcPr>
          <w:p>
            <w:pPr>
              <w:pStyle w:val="43"/>
              <w:bidi w:val="0"/>
              <w:rPr>
                <w:rFonts w:hint="eastAsia"/>
              </w:rPr>
            </w:pPr>
          </w:p>
        </w:tc>
        <w:tc>
          <w:tcPr>
            <w:tcW w:w="923" w:type="dxa"/>
            <w:vAlign w:val="top"/>
          </w:tcPr>
          <w:p>
            <w:pPr>
              <w:pStyle w:val="43"/>
              <w:bidi w:val="0"/>
              <w:rPr>
                <w:rFonts w:hint="eastAsia"/>
              </w:rPr>
            </w:pPr>
          </w:p>
        </w:tc>
        <w:tc>
          <w:tcPr>
            <w:tcW w:w="922" w:type="dxa"/>
            <w:vAlign w:val="top"/>
          </w:tcPr>
          <w:p>
            <w:pPr>
              <w:pStyle w:val="43"/>
              <w:bidi w:val="0"/>
              <w:rPr>
                <w:rFonts w:hint="eastAsia"/>
              </w:rPr>
            </w:pPr>
          </w:p>
        </w:tc>
        <w:tc>
          <w:tcPr>
            <w:tcW w:w="1436" w:type="dxa"/>
            <w:vAlign w:val="top"/>
          </w:tcPr>
          <w:p>
            <w:pPr>
              <w:pStyle w:val="43"/>
              <w:bidi w:val="0"/>
              <w:rPr>
                <w:rFonts w:hint="eastAsia"/>
              </w:rPr>
            </w:pPr>
          </w:p>
        </w:tc>
        <w:tc>
          <w:tcPr>
            <w:tcW w:w="1022" w:type="dxa"/>
            <w:vAlign w:val="top"/>
          </w:tcPr>
          <w:p>
            <w:pPr>
              <w:pStyle w:val="43"/>
              <w:bidi w:val="0"/>
              <w:rPr>
                <w:rFonts w:hint="eastAsia"/>
              </w:rPr>
            </w:pPr>
          </w:p>
        </w:tc>
        <w:tc>
          <w:tcPr>
            <w:tcW w:w="1232" w:type="dxa"/>
            <w:vAlign w:val="top"/>
          </w:tcPr>
          <w:p>
            <w:pPr>
              <w:pStyle w:val="43"/>
              <w:bidi w:val="0"/>
              <w:rPr>
                <w:rFonts w:hint="eastAsia"/>
              </w:rPr>
            </w:pPr>
          </w:p>
        </w:tc>
        <w:tc>
          <w:tcPr>
            <w:tcW w:w="1229" w:type="dxa"/>
            <w:vAlign w:val="top"/>
          </w:tcPr>
          <w:p>
            <w:pPr>
              <w:pStyle w:val="4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43"/>
              <w:bidi w:val="0"/>
              <w:rPr>
                <w:rFonts w:hint="eastAsia"/>
                <w:highlight w:val="none"/>
              </w:rPr>
            </w:pPr>
            <w:r>
              <w:rPr>
                <w:rFonts w:hint="eastAsia"/>
                <w:highlight w:val="none"/>
              </w:rPr>
              <w:t>售后服务人员</w:t>
            </w:r>
            <w:r>
              <w:rPr>
                <w:rFonts w:hint="eastAsia"/>
                <w:highlight w:val="none"/>
                <w:lang w:eastAsia="zh-CN"/>
              </w:rPr>
              <w:t>(</w:t>
            </w:r>
            <w:r>
              <w:rPr>
                <w:rFonts w:hint="eastAsia"/>
                <w:highlight w:val="none"/>
                <w:lang w:val="en-US" w:eastAsia="zh-CN"/>
              </w:rPr>
              <w:t>可根据项目实际情况调整</w:t>
            </w:r>
            <w:r>
              <w:rPr>
                <w:rFonts w:hint="eastAsia"/>
                <w:highlight w:val="none"/>
                <w:lang w:eastAsia="zh-CN"/>
              </w:rPr>
              <w:t>)</w:t>
            </w:r>
          </w:p>
        </w:tc>
        <w:tc>
          <w:tcPr>
            <w:tcW w:w="923" w:type="dxa"/>
            <w:vAlign w:val="top"/>
          </w:tcPr>
          <w:p>
            <w:pPr>
              <w:pStyle w:val="43"/>
              <w:bidi w:val="0"/>
              <w:rPr>
                <w:rFonts w:hint="eastAsia"/>
              </w:rPr>
            </w:pPr>
          </w:p>
        </w:tc>
        <w:tc>
          <w:tcPr>
            <w:tcW w:w="921" w:type="dxa"/>
            <w:vAlign w:val="top"/>
          </w:tcPr>
          <w:p>
            <w:pPr>
              <w:pStyle w:val="43"/>
              <w:bidi w:val="0"/>
              <w:rPr>
                <w:rFonts w:hint="eastAsia"/>
              </w:rPr>
            </w:pPr>
          </w:p>
        </w:tc>
        <w:tc>
          <w:tcPr>
            <w:tcW w:w="923" w:type="dxa"/>
            <w:vAlign w:val="top"/>
          </w:tcPr>
          <w:p>
            <w:pPr>
              <w:pStyle w:val="43"/>
              <w:bidi w:val="0"/>
              <w:rPr>
                <w:rFonts w:hint="eastAsia"/>
              </w:rPr>
            </w:pPr>
          </w:p>
        </w:tc>
        <w:tc>
          <w:tcPr>
            <w:tcW w:w="922" w:type="dxa"/>
            <w:vAlign w:val="top"/>
          </w:tcPr>
          <w:p>
            <w:pPr>
              <w:pStyle w:val="43"/>
              <w:bidi w:val="0"/>
              <w:rPr>
                <w:rFonts w:hint="eastAsia"/>
              </w:rPr>
            </w:pPr>
          </w:p>
        </w:tc>
        <w:tc>
          <w:tcPr>
            <w:tcW w:w="1436" w:type="dxa"/>
            <w:vAlign w:val="top"/>
          </w:tcPr>
          <w:p>
            <w:pPr>
              <w:pStyle w:val="43"/>
              <w:bidi w:val="0"/>
              <w:rPr>
                <w:rFonts w:hint="eastAsia"/>
              </w:rPr>
            </w:pPr>
          </w:p>
        </w:tc>
        <w:tc>
          <w:tcPr>
            <w:tcW w:w="1022" w:type="dxa"/>
            <w:vAlign w:val="top"/>
          </w:tcPr>
          <w:p>
            <w:pPr>
              <w:pStyle w:val="43"/>
              <w:bidi w:val="0"/>
              <w:rPr>
                <w:rFonts w:hint="eastAsia"/>
              </w:rPr>
            </w:pPr>
          </w:p>
        </w:tc>
        <w:tc>
          <w:tcPr>
            <w:tcW w:w="1232" w:type="dxa"/>
            <w:vAlign w:val="top"/>
          </w:tcPr>
          <w:p>
            <w:pPr>
              <w:pStyle w:val="43"/>
              <w:bidi w:val="0"/>
              <w:rPr>
                <w:rFonts w:hint="eastAsia"/>
              </w:rPr>
            </w:pPr>
          </w:p>
        </w:tc>
        <w:tc>
          <w:tcPr>
            <w:tcW w:w="1229" w:type="dxa"/>
            <w:vAlign w:val="top"/>
          </w:tcPr>
          <w:p>
            <w:pPr>
              <w:pStyle w:val="4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top"/>
          </w:tcPr>
          <w:p>
            <w:pPr>
              <w:pStyle w:val="43"/>
              <w:bidi w:val="0"/>
              <w:rPr>
                <w:rFonts w:hint="eastAsia"/>
              </w:rPr>
            </w:pPr>
          </w:p>
        </w:tc>
        <w:tc>
          <w:tcPr>
            <w:tcW w:w="923" w:type="dxa"/>
            <w:vAlign w:val="top"/>
          </w:tcPr>
          <w:p>
            <w:pPr>
              <w:pStyle w:val="43"/>
              <w:bidi w:val="0"/>
              <w:rPr>
                <w:rFonts w:hint="eastAsia"/>
              </w:rPr>
            </w:pPr>
          </w:p>
        </w:tc>
        <w:tc>
          <w:tcPr>
            <w:tcW w:w="921" w:type="dxa"/>
            <w:vAlign w:val="top"/>
          </w:tcPr>
          <w:p>
            <w:pPr>
              <w:pStyle w:val="43"/>
              <w:bidi w:val="0"/>
              <w:rPr>
                <w:rFonts w:hint="eastAsia"/>
              </w:rPr>
            </w:pPr>
          </w:p>
        </w:tc>
        <w:tc>
          <w:tcPr>
            <w:tcW w:w="923" w:type="dxa"/>
            <w:vAlign w:val="top"/>
          </w:tcPr>
          <w:p>
            <w:pPr>
              <w:pStyle w:val="43"/>
              <w:bidi w:val="0"/>
              <w:rPr>
                <w:rFonts w:hint="eastAsia"/>
              </w:rPr>
            </w:pPr>
          </w:p>
        </w:tc>
        <w:tc>
          <w:tcPr>
            <w:tcW w:w="922" w:type="dxa"/>
            <w:vAlign w:val="top"/>
          </w:tcPr>
          <w:p>
            <w:pPr>
              <w:pStyle w:val="43"/>
              <w:bidi w:val="0"/>
              <w:rPr>
                <w:rFonts w:hint="eastAsia"/>
              </w:rPr>
            </w:pPr>
          </w:p>
        </w:tc>
        <w:tc>
          <w:tcPr>
            <w:tcW w:w="1436" w:type="dxa"/>
            <w:vAlign w:val="top"/>
          </w:tcPr>
          <w:p>
            <w:pPr>
              <w:pStyle w:val="43"/>
              <w:bidi w:val="0"/>
              <w:rPr>
                <w:rFonts w:hint="eastAsia"/>
              </w:rPr>
            </w:pPr>
          </w:p>
        </w:tc>
        <w:tc>
          <w:tcPr>
            <w:tcW w:w="1022" w:type="dxa"/>
            <w:vAlign w:val="top"/>
          </w:tcPr>
          <w:p>
            <w:pPr>
              <w:pStyle w:val="43"/>
              <w:bidi w:val="0"/>
              <w:rPr>
                <w:rFonts w:hint="eastAsia"/>
              </w:rPr>
            </w:pPr>
          </w:p>
        </w:tc>
        <w:tc>
          <w:tcPr>
            <w:tcW w:w="1232" w:type="dxa"/>
            <w:vAlign w:val="top"/>
          </w:tcPr>
          <w:p>
            <w:pPr>
              <w:pStyle w:val="43"/>
              <w:bidi w:val="0"/>
              <w:rPr>
                <w:rFonts w:hint="eastAsia"/>
              </w:rPr>
            </w:pPr>
          </w:p>
        </w:tc>
        <w:tc>
          <w:tcPr>
            <w:tcW w:w="1229" w:type="dxa"/>
            <w:vAlign w:val="top"/>
          </w:tcPr>
          <w:p>
            <w:pPr>
              <w:pStyle w:val="43"/>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top"/>
          </w:tcPr>
          <w:p>
            <w:pPr>
              <w:pStyle w:val="43"/>
              <w:bidi w:val="0"/>
              <w:rPr>
                <w:rFonts w:hint="eastAsia"/>
              </w:rPr>
            </w:pPr>
          </w:p>
        </w:tc>
        <w:tc>
          <w:tcPr>
            <w:tcW w:w="923" w:type="dxa"/>
            <w:vAlign w:val="top"/>
          </w:tcPr>
          <w:p>
            <w:pPr>
              <w:pStyle w:val="43"/>
              <w:bidi w:val="0"/>
              <w:rPr>
                <w:rFonts w:hint="eastAsia"/>
              </w:rPr>
            </w:pPr>
          </w:p>
        </w:tc>
        <w:tc>
          <w:tcPr>
            <w:tcW w:w="921" w:type="dxa"/>
            <w:vAlign w:val="top"/>
          </w:tcPr>
          <w:p>
            <w:pPr>
              <w:pStyle w:val="43"/>
              <w:bidi w:val="0"/>
              <w:rPr>
                <w:rFonts w:hint="eastAsia"/>
              </w:rPr>
            </w:pPr>
          </w:p>
        </w:tc>
        <w:tc>
          <w:tcPr>
            <w:tcW w:w="923" w:type="dxa"/>
            <w:vAlign w:val="top"/>
          </w:tcPr>
          <w:p>
            <w:pPr>
              <w:pStyle w:val="43"/>
              <w:bidi w:val="0"/>
              <w:rPr>
                <w:rFonts w:hint="eastAsia"/>
              </w:rPr>
            </w:pPr>
          </w:p>
        </w:tc>
        <w:tc>
          <w:tcPr>
            <w:tcW w:w="922" w:type="dxa"/>
            <w:vAlign w:val="top"/>
          </w:tcPr>
          <w:p>
            <w:pPr>
              <w:pStyle w:val="43"/>
              <w:bidi w:val="0"/>
              <w:rPr>
                <w:rFonts w:hint="eastAsia"/>
              </w:rPr>
            </w:pPr>
          </w:p>
        </w:tc>
        <w:tc>
          <w:tcPr>
            <w:tcW w:w="1436" w:type="dxa"/>
            <w:vAlign w:val="top"/>
          </w:tcPr>
          <w:p>
            <w:pPr>
              <w:pStyle w:val="43"/>
              <w:bidi w:val="0"/>
              <w:rPr>
                <w:rFonts w:hint="eastAsia"/>
              </w:rPr>
            </w:pPr>
          </w:p>
        </w:tc>
        <w:tc>
          <w:tcPr>
            <w:tcW w:w="1022" w:type="dxa"/>
            <w:vAlign w:val="top"/>
          </w:tcPr>
          <w:p>
            <w:pPr>
              <w:pStyle w:val="43"/>
              <w:bidi w:val="0"/>
              <w:rPr>
                <w:rFonts w:hint="eastAsia"/>
              </w:rPr>
            </w:pPr>
          </w:p>
        </w:tc>
        <w:tc>
          <w:tcPr>
            <w:tcW w:w="1232" w:type="dxa"/>
            <w:vAlign w:val="top"/>
          </w:tcPr>
          <w:p>
            <w:pPr>
              <w:pStyle w:val="43"/>
              <w:bidi w:val="0"/>
              <w:rPr>
                <w:rFonts w:hint="eastAsia"/>
              </w:rPr>
            </w:pPr>
          </w:p>
        </w:tc>
        <w:tc>
          <w:tcPr>
            <w:tcW w:w="1229" w:type="dxa"/>
            <w:vAlign w:val="top"/>
          </w:tcPr>
          <w:p>
            <w:pPr>
              <w:pStyle w:val="43"/>
              <w:bidi w:val="0"/>
              <w:rPr>
                <w:rFonts w:hint="eastAsia"/>
              </w:rPr>
            </w:pPr>
          </w:p>
        </w:tc>
      </w:tr>
    </w:tbl>
    <w:p>
      <w:pPr>
        <w:pStyle w:val="45"/>
        <w:bidi w:val="0"/>
        <w:rPr>
          <w:rFonts w:hint="default" w:eastAsia="宋体"/>
          <w:lang w:val="en-US" w:eastAsia="zh-CN"/>
        </w:rPr>
      </w:pPr>
      <w:r>
        <w:rPr>
          <w:rFonts w:hint="eastAsia"/>
        </w:rPr>
        <w:t>注：</w:t>
      </w:r>
      <w:r>
        <w:rPr>
          <w:rFonts w:hint="eastAsia"/>
          <w:lang w:val="en-US" w:eastAsia="zh-CN"/>
        </w:rPr>
        <w:t>①投标人</w:t>
      </w:r>
      <w:r>
        <w:rPr>
          <w:rFonts w:hint="eastAsia"/>
        </w:rPr>
        <w:t>根</w:t>
      </w:r>
      <w:r>
        <w:rPr>
          <w:rFonts w:hint="eastAsia"/>
          <w:sz w:val="24"/>
          <w:szCs w:val="24"/>
        </w:rPr>
        <w:t>据</w:t>
      </w:r>
      <w:r>
        <w:rPr>
          <w:rFonts w:hint="eastAsia"/>
          <w:sz w:val="24"/>
          <w:szCs w:val="24"/>
          <w:lang w:val="en-US" w:eastAsia="zh-CN"/>
        </w:rPr>
        <w:t>自身</w:t>
      </w:r>
      <w:r>
        <w:rPr>
          <w:rFonts w:hint="eastAsia"/>
          <w:sz w:val="24"/>
          <w:szCs w:val="24"/>
        </w:rPr>
        <w:t>实际情况</w:t>
      </w:r>
      <w:r>
        <w:rPr>
          <w:rFonts w:hint="eastAsia"/>
          <w:sz w:val="24"/>
          <w:szCs w:val="24"/>
          <w:lang w:val="en-US" w:eastAsia="zh-CN"/>
        </w:rPr>
        <w:t>填写</w:t>
      </w:r>
      <w:r>
        <w:rPr>
          <w:rFonts w:hint="eastAsia"/>
          <w:sz w:val="24"/>
          <w:szCs w:val="24"/>
        </w:rPr>
        <w:t>，</w:t>
      </w:r>
      <w:r>
        <w:rPr>
          <w:rFonts w:hint="eastAsia"/>
          <w:sz w:val="24"/>
          <w:szCs w:val="24"/>
          <w:lang w:val="en-US" w:eastAsia="zh-CN"/>
        </w:rPr>
        <w:t>对不涉及的内容可填写“/”</w:t>
      </w:r>
      <w:r>
        <w:rPr>
          <w:rFonts w:hint="eastAsia"/>
          <w:sz w:val="24"/>
          <w:szCs w:val="24"/>
        </w:rPr>
        <w:t>。</w:t>
      </w:r>
      <w:r>
        <w:rPr>
          <w:rFonts w:hint="eastAsia"/>
          <w:sz w:val="24"/>
          <w:szCs w:val="24"/>
          <w:lang w:val="en-US" w:eastAsia="zh-CN"/>
        </w:rPr>
        <w:t>②本表所列项目管理成员信息将作为主管部门监督管理是否属于</w:t>
      </w:r>
      <w:r>
        <w:rPr>
          <w:rFonts w:hint="eastAsia"/>
          <w:sz w:val="24"/>
          <w:szCs w:val="24"/>
        </w:rPr>
        <w:t>串通投标</w:t>
      </w:r>
      <w:r>
        <w:rPr>
          <w:rFonts w:hint="eastAsia"/>
          <w:sz w:val="24"/>
          <w:szCs w:val="24"/>
          <w:lang w:val="en-US" w:eastAsia="zh-CN"/>
        </w:rPr>
        <w:t>的情形。</w:t>
      </w:r>
    </w:p>
    <w:p>
      <w:pPr>
        <w:pStyle w:val="40"/>
        <w:bidi w:val="0"/>
        <w:rPr>
          <w:rFonts w:hint="eastAsia"/>
        </w:rPr>
      </w:pPr>
    </w:p>
    <w:p>
      <w:pPr>
        <w:pStyle w:val="40"/>
        <w:bidi w:val="0"/>
        <w:rPr>
          <w:rFonts w:hint="eastAsia"/>
        </w:rPr>
      </w:pPr>
    </w:p>
    <w:p>
      <w:pPr>
        <w:pStyle w:val="44"/>
        <w:bidi w:val="0"/>
        <w:rPr>
          <w:rFonts w:hint="eastAsia"/>
        </w:rPr>
      </w:pPr>
      <w:r>
        <w:rPr>
          <w:rFonts w:hint="eastAsia"/>
          <w:lang w:val="en-US" w:eastAsia="zh-CN"/>
        </w:rPr>
        <w:t>投标人</w:t>
      </w:r>
      <w:r>
        <w:rPr>
          <w:rFonts w:hint="eastAsia"/>
        </w:rPr>
        <w:t>名称：</w:t>
      </w:r>
      <w:r>
        <w:rPr>
          <w:rFonts w:hint="eastAsia" w:asciiTheme="minorEastAsia" w:hAnsiTheme="minorEastAsia" w:eastAsiaTheme="minorEastAsia" w:cstheme="minorEastAsia"/>
          <w:color w:val="auto"/>
          <w:sz w:val="24"/>
          <w:highlight w:val="none"/>
          <w:u w:val="single"/>
          <w:lang w:val="en-US" w:eastAsia="zh-CN"/>
        </w:rPr>
        <w:t xml:space="preserve">            </w:t>
      </w:r>
    </w:p>
    <w:p>
      <w:pPr>
        <w:pStyle w:val="44"/>
        <w:bidi w:val="0"/>
        <w:rPr>
          <w:rFonts w:hint="eastAsia"/>
        </w:rPr>
      </w:pPr>
      <w:r>
        <w:rPr>
          <w:rFonts w:hint="eastAsia"/>
          <w:lang w:val="en-US" w:eastAsia="zh-CN"/>
        </w:rPr>
        <w:t>投标</w:t>
      </w:r>
      <w:r>
        <w:rPr>
          <w:rFonts w:hint="eastAsia"/>
        </w:rPr>
        <w:t>日期</w:t>
      </w:r>
      <w:r>
        <w:rPr>
          <w:rFonts w:hint="eastAsia"/>
          <w:lang w:eastAsia="zh-CN"/>
        </w:rPr>
        <w:t>：</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rPr>
        <w:t xml:space="preserve">    </w:t>
      </w:r>
      <w:r>
        <w:rPr>
          <w:rFonts w:hint="eastAsia"/>
          <w:lang w:val="en-US" w:eastAsia="zh-CN"/>
        </w:rPr>
        <w:t xml:space="preserve">          </w:t>
      </w:r>
      <w:r>
        <w:rPr>
          <w:rFonts w:hint="eastAsia"/>
        </w:rPr>
        <w:t xml:space="preserve">   </w:t>
      </w:r>
    </w:p>
    <w:p>
      <w:pPr>
        <w:pStyle w:val="40"/>
        <w:bidi w:val="0"/>
        <w:rPr>
          <w:rFonts w:hint="eastAsia"/>
          <w:lang w:val="en-US" w:eastAsia="zh-CN"/>
        </w:rPr>
      </w:pPr>
      <w:r>
        <w:rPr>
          <w:rFonts w:hint="eastAsia"/>
          <w:lang w:val="en-US" w:eastAsia="zh-CN"/>
        </w:rPr>
        <w:br w:type="page"/>
      </w:r>
      <w:bookmarkEnd w:id="911"/>
    </w:p>
    <w:bookmarkEnd w:id="912"/>
    <w:bookmarkEnd w:id="913"/>
    <w:bookmarkEnd w:id="914"/>
    <w:p>
      <w:pPr>
        <w:pStyle w:val="42"/>
        <w:numPr>
          <w:ilvl w:val="0"/>
          <w:numId w:val="21"/>
        </w:numPr>
        <w:bidi w:val="0"/>
        <w:ind w:left="0" w:leftChars="0" w:firstLine="0" w:firstLineChars="0"/>
        <w:rPr>
          <w:rFonts w:hint="eastAsia"/>
          <w:lang w:val="en-US" w:eastAsia="zh-CN"/>
        </w:rPr>
      </w:pPr>
      <w:bookmarkStart w:id="915" w:name="_Toc20002"/>
      <w:bookmarkStart w:id="916" w:name="_Toc16092"/>
      <w:bookmarkStart w:id="917" w:name="_Toc23314"/>
      <w:bookmarkStart w:id="918" w:name="_Toc18724"/>
      <w:bookmarkStart w:id="919" w:name="_Toc881"/>
      <w:r>
        <w:rPr>
          <w:rFonts w:hint="eastAsia"/>
          <w:lang w:val="en-US" w:eastAsia="zh-CN"/>
        </w:rPr>
        <w:t>服务方案</w:t>
      </w:r>
      <w:bookmarkEnd w:id="915"/>
      <w:bookmarkEnd w:id="916"/>
      <w:bookmarkEnd w:id="917"/>
    </w:p>
    <w:p>
      <w:pPr>
        <w:pStyle w:val="45"/>
        <w:bidi w:val="0"/>
        <w:rPr>
          <w:rFonts w:hint="eastAsia"/>
          <w:lang w:val="en-US" w:eastAsia="zh-CN"/>
        </w:rPr>
      </w:pPr>
      <w:r>
        <w:rPr>
          <w:rFonts w:hint="eastAsia"/>
          <w:lang w:val="en-US" w:eastAsia="zh-CN"/>
        </w:rPr>
        <w:t>注：格式自拟。</w:t>
      </w:r>
    </w:p>
    <w:p>
      <w:pPr>
        <w:pStyle w:val="42"/>
        <w:numPr>
          <w:ilvl w:val="0"/>
          <w:numId w:val="21"/>
        </w:numPr>
        <w:bidi w:val="0"/>
        <w:ind w:left="0" w:leftChars="0" w:firstLine="0" w:firstLineChars="0"/>
        <w:rPr>
          <w:rFonts w:hint="eastAsia"/>
          <w:lang w:val="en-US" w:eastAsia="zh-CN"/>
        </w:rPr>
      </w:pPr>
      <w:bookmarkStart w:id="920" w:name="_Toc957"/>
      <w:bookmarkStart w:id="921" w:name="_Toc32188"/>
      <w:r>
        <w:rPr>
          <w:rFonts w:hint="eastAsia"/>
          <w:lang w:val="en-US" w:eastAsia="zh-CN"/>
        </w:rPr>
        <w:t>招标代理服务费承诺函</w:t>
      </w:r>
      <w:bookmarkEnd w:id="920"/>
      <w:bookmarkEnd w:id="921"/>
    </w:p>
    <w:p>
      <w:pPr>
        <w:pStyle w:val="40"/>
        <w:bidi w:val="0"/>
        <w:rPr>
          <w:rFonts w:hint="eastAsia"/>
        </w:rPr>
      </w:pPr>
      <w:r>
        <w:rPr>
          <w:rFonts w:hint="eastAsia"/>
        </w:rPr>
        <w:t>四川乾新招投标代理有限公司：</w:t>
      </w:r>
    </w:p>
    <w:p>
      <w:pPr>
        <w:pStyle w:val="44"/>
        <w:bidi w:val="0"/>
        <w:rPr>
          <w:rFonts w:hint="eastAsia"/>
          <w:lang w:val="en-US" w:eastAsia="zh-CN"/>
        </w:rPr>
      </w:pPr>
      <w:r>
        <w:rPr>
          <w:rFonts w:hint="eastAsia"/>
        </w:rPr>
        <w:t>我公司在贵公司代理的</w:t>
      </w:r>
      <w:r>
        <w:rPr>
          <w:rFonts w:hint="eastAsia"/>
          <w:u w:val="single"/>
        </w:rPr>
        <w:t xml:space="preserve">                              </w:t>
      </w:r>
      <w:r>
        <w:rPr>
          <w:rFonts w:hint="eastAsia"/>
        </w:rPr>
        <w:t>项目(项目编号</w:t>
      </w:r>
      <w:r>
        <w:rPr>
          <w:rFonts w:hint="eastAsia"/>
          <w:u w:val="none"/>
        </w:rPr>
        <w:t>：</w:t>
      </w:r>
      <w:r>
        <w:rPr>
          <w:rFonts w:hint="eastAsia"/>
          <w:u w:val="single"/>
        </w:rPr>
        <w:t xml:space="preserve">                              </w:t>
      </w:r>
      <w:r>
        <w:rPr>
          <w:rFonts w:hint="eastAsia"/>
        </w:rPr>
        <w:t>)公开招标中若获中标，我们保证在收到中标通知后2个工作日内按</w:t>
      </w:r>
      <w:r>
        <w:rPr>
          <w:rFonts w:hint="eastAsia"/>
          <w:lang w:val="zh-CN"/>
        </w:rPr>
        <w:t>招标文件</w:t>
      </w:r>
      <w:r>
        <w:rPr>
          <w:rFonts w:hint="eastAsia"/>
        </w:rPr>
        <w:t>的规定，以支票、银行汇票、电汇、现金或经贵公司认可的一种方式，向贵公司即四川乾新招投标代理有限公司指定的银行</w:t>
      </w:r>
      <w:r>
        <w:rPr>
          <w:rFonts w:hint="eastAsia"/>
          <w:lang w:val="en-US" w:eastAsia="zh-CN"/>
        </w:rPr>
        <w:t>账</w:t>
      </w:r>
      <w:r>
        <w:rPr>
          <w:rFonts w:hint="eastAsia"/>
        </w:rPr>
        <w:t>号，按照</w:t>
      </w:r>
      <w:r>
        <w:rPr>
          <w:rFonts w:hint="eastAsia"/>
          <w:lang w:val="zh-CN"/>
        </w:rPr>
        <w:t>招标文件中</w:t>
      </w:r>
      <w:r>
        <w:rPr>
          <w:rFonts w:hint="eastAsia"/>
        </w:rPr>
        <w:t>招标代理服务费收取标准一次性支付招标代理服务费。</w:t>
      </w:r>
      <w:r>
        <w:rPr>
          <w:rFonts w:hint="eastAsia"/>
          <w:b/>
          <w:bCs/>
          <w:lang w:val="en-US" w:eastAsia="zh-CN"/>
        </w:rPr>
        <w:t>如因我公司自身原因造成取消中标资格或自愿放弃中标资格的，</w:t>
      </w:r>
      <w:r>
        <w:rPr>
          <w:rFonts w:hint="eastAsia"/>
          <w:b/>
          <w:bCs/>
          <w:highlight w:val="none"/>
          <w:lang w:val="en-US" w:eastAsia="zh-CN"/>
        </w:rPr>
        <w:t>我司</w:t>
      </w:r>
      <w:r>
        <w:rPr>
          <w:rFonts w:hint="eastAsia"/>
          <w:b/>
          <w:bCs/>
          <w:color w:val="auto"/>
          <w:highlight w:val="none"/>
          <w:lang w:val="en-US" w:eastAsia="zh-CN"/>
        </w:rPr>
        <w:t>支付</w:t>
      </w:r>
      <w:r>
        <w:rPr>
          <w:rFonts w:hint="eastAsia"/>
          <w:b/>
          <w:bCs/>
          <w:highlight w:val="none"/>
          <w:lang w:val="en-US" w:eastAsia="zh-CN"/>
        </w:rPr>
        <w:t>的</w:t>
      </w:r>
      <w:r>
        <w:rPr>
          <w:rFonts w:hint="eastAsia"/>
          <w:b/>
          <w:bCs/>
          <w:lang w:val="en-US" w:eastAsia="zh-CN"/>
        </w:rPr>
        <w:t>招标代理服务费不予退还，由此造成的损失由我方自行承担。</w:t>
      </w:r>
    </w:p>
    <w:p>
      <w:pPr>
        <w:pStyle w:val="44"/>
        <w:bidi w:val="0"/>
        <w:rPr>
          <w:rFonts w:hint="eastAsia"/>
        </w:rPr>
      </w:pPr>
    </w:p>
    <w:p>
      <w:pPr>
        <w:pStyle w:val="44"/>
        <w:bidi w:val="0"/>
        <w:rPr>
          <w:rFonts w:hint="eastAsia"/>
        </w:rPr>
      </w:pPr>
    </w:p>
    <w:p>
      <w:pPr>
        <w:pStyle w:val="44"/>
        <w:bidi w:val="0"/>
        <w:rPr>
          <w:rFonts w:hint="eastAsia"/>
        </w:rPr>
      </w:pPr>
      <w:r>
        <w:rPr>
          <w:rFonts w:hint="eastAsia"/>
        </w:rPr>
        <w:t>特此承诺。</w:t>
      </w:r>
    </w:p>
    <w:p>
      <w:pPr>
        <w:pStyle w:val="40"/>
        <w:bidi w:val="0"/>
        <w:rPr>
          <w:rFonts w:hint="eastAsia"/>
        </w:rPr>
      </w:pPr>
    </w:p>
    <w:p>
      <w:pPr>
        <w:pStyle w:val="40"/>
        <w:bidi w:val="0"/>
        <w:rPr>
          <w:rFonts w:hint="eastAsia"/>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u w:val="single"/>
          <w:lang w:val="en-US" w:eastAsia="zh-CN"/>
        </w:rPr>
      </w:pPr>
      <w:r>
        <w:rPr>
          <w:rFonts w:hint="eastAsia" w:asciiTheme="minorEastAsia" w:hAnsiTheme="minorEastAsia" w:eastAsiaTheme="minorEastAsia" w:cstheme="minorEastAsia"/>
          <w:color w:val="auto"/>
          <w:sz w:val="24"/>
          <w:highlight w:val="none"/>
          <w:lang w:val="en-US" w:eastAsia="zh-CN"/>
        </w:rPr>
        <w:t>投标人</w:t>
      </w:r>
      <w:r>
        <w:rPr>
          <w:rFonts w:hint="eastAsia" w:asciiTheme="minorEastAsia" w:hAnsiTheme="minorEastAsia" w:eastAsiaTheme="minorEastAsia" w:cstheme="minorEastAsia"/>
          <w:color w:val="auto"/>
          <w:sz w:val="24"/>
          <w:highlight w:val="none"/>
        </w:rPr>
        <w:t>名称</w:t>
      </w:r>
      <w:r>
        <w:rPr>
          <w:rFonts w:hint="eastAsia" w:asciiTheme="minorEastAsia" w:hAnsiTheme="minorEastAsia" w:eastAsiaTheme="minorEastAsia" w:cstheme="minorEastAsia"/>
          <w:color w:val="auto"/>
          <w:sz w:val="24"/>
          <w:highlight w:val="none"/>
          <w:u w:val="none"/>
        </w:rPr>
        <w:t>：</w:t>
      </w:r>
      <w:r>
        <w:rPr>
          <w:rFonts w:hint="eastAsia" w:asciiTheme="minorEastAsia" w:hAnsiTheme="minorEastAsia" w:eastAsiaTheme="minorEastAsia" w:cstheme="minorEastAsia"/>
          <w:color w:val="auto"/>
          <w:sz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  址：</w:t>
      </w:r>
      <w:r>
        <w:rPr>
          <w:rFonts w:hint="eastAsia" w:asciiTheme="minorEastAsia" w:hAnsiTheme="minorEastAsia" w:eastAsiaTheme="minorEastAsia" w:cstheme="minorEastAsia"/>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电  话：</w:t>
      </w:r>
      <w:r>
        <w:rPr>
          <w:rFonts w:hint="eastAsia" w:asciiTheme="minorEastAsia" w:hAnsiTheme="minorEastAsia" w:eastAsiaTheme="minorEastAsia" w:cstheme="minorEastAsia"/>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传  真：</w:t>
      </w:r>
      <w:r>
        <w:rPr>
          <w:rFonts w:hint="eastAsia" w:asciiTheme="minorEastAsia" w:hAnsiTheme="minorEastAsia" w:eastAsiaTheme="minorEastAsia" w:cstheme="minorEastAsia"/>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邮  编：</w:t>
      </w:r>
      <w:r>
        <w:rPr>
          <w:rFonts w:hint="eastAsia" w:asciiTheme="minorEastAsia" w:hAnsiTheme="minorEastAsia" w:eastAsiaTheme="minorEastAsia" w:cstheme="minorEastAsia"/>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承诺日期：</w:t>
      </w:r>
      <w:r>
        <w:rPr>
          <w:rFonts w:hint="eastAsia" w:asciiTheme="minorEastAsia" w:hAnsiTheme="minorEastAsia" w:eastAsiaTheme="minorEastAsia" w:cstheme="minorEastAsia"/>
          <w:bCs/>
          <w:color w:val="auto"/>
          <w:sz w:val="24"/>
          <w:highlight w:val="none"/>
          <w:u w:val="single"/>
        </w:rPr>
        <w:t xml:space="preserve">                </w:t>
      </w:r>
    </w:p>
    <w:p>
      <w:pPr>
        <w:pStyle w:val="40"/>
        <w:keepNext w:val="0"/>
        <w:keepLines w:val="0"/>
        <w:pageBreakBefore w:val="0"/>
        <w:widowControl w:val="0"/>
        <w:kinsoku/>
        <w:overflowPunct/>
        <w:autoSpaceDE/>
        <w:autoSpaceDN/>
        <w:bidi w:val="0"/>
        <w:adjustRightInd w:val="0"/>
        <w:snapToGrid w:val="0"/>
        <w:spacing w:line="440" w:lineRule="exact"/>
        <w:textAlignment w:val="auto"/>
        <w:rPr>
          <w:rFonts w:hint="eastAsia"/>
        </w:rPr>
      </w:pPr>
      <w:r>
        <w:rPr>
          <w:rFonts w:hint="eastAsia"/>
        </w:rPr>
        <w:t xml:space="preserve">                </w:t>
      </w:r>
    </w:p>
    <w:p>
      <w:pPr>
        <w:pStyle w:val="40"/>
        <w:bidi w:val="0"/>
        <w:rPr>
          <w:rFonts w:hint="eastAsia"/>
        </w:rPr>
      </w:pPr>
    </w:p>
    <w:p>
      <w:pPr>
        <w:pStyle w:val="40"/>
        <w:bidi w:val="0"/>
        <w:rPr>
          <w:rFonts w:hint="eastAsia"/>
        </w:rPr>
      </w:pPr>
      <w:r>
        <w:rPr>
          <w:rFonts w:hint="eastAsia"/>
        </w:rPr>
        <w:br w:type="page"/>
      </w:r>
    </w:p>
    <w:bookmarkEnd w:id="918"/>
    <w:bookmarkEnd w:id="919"/>
    <w:p>
      <w:pPr>
        <w:pStyle w:val="46"/>
        <w:numPr>
          <w:ilvl w:val="0"/>
          <w:numId w:val="12"/>
        </w:numPr>
        <w:bidi w:val="0"/>
        <w:rPr>
          <w:rFonts w:hint="eastAsia"/>
          <w:lang w:val="en-US" w:eastAsia="zh-CN"/>
        </w:rPr>
      </w:pPr>
      <w:bookmarkStart w:id="922" w:name="_Toc17786"/>
      <w:bookmarkStart w:id="923" w:name="_Toc23987"/>
      <w:bookmarkStart w:id="924" w:name="_Toc1941"/>
      <w:bookmarkStart w:id="925" w:name="_Toc26071"/>
      <w:bookmarkStart w:id="926" w:name="_Toc8502"/>
      <w:bookmarkStart w:id="927" w:name="_Toc24042"/>
      <w:bookmarkStart w:id="928" w:name="_Toc10576"/>
      <w:r>
        <w:rPr>
          <w:rFonts w:hint="eastAsia"/>
          <w:sz w:val="32"/>
          <w:szCs w:val="22"/>
          <w:lang w:val="en-US" w:eastAsia="zh-CN"/>
        </w:rPr>
        <w:t>投标人和投标产品的资格、资质性</w:t>
      </w:r>
      <w:bookmarkStart w:id="929" w:name="_Toc319439931"/>
      <w:bookmarkStart w:id="930" w:name="_Toc327196317"/>
      <w:bookmarkStart w:id="931" w:name="_Toc307501136"/>
      <w:bookmarkStart w:id="932" w:name="_Toc21759"/>
      <w:bookmarkStart w:id="933" w:name="_Toc307564882"/>
      <w:bookmarkStart w:id="934" w:name="_Toc17884"/>
      <w:r>
        <w:rPr>
          <w:rFonts w:hint="eastAsia"/>
          <w:sz w:val="32"/>
          <w:szCs w:val="22"/>
          <w:lang w:val="en-US" w:eastAsia="zh-CN"/>
        </w:rPr>
        <w:t>及其他类似效力要求</w:t>
      </w:r>
      <w:bookmarkEnd w:id="922"/>
      <w:bookmarkEnd w:id="923"/>
      <w:bookmarkEnd w:id="924"/>
      <w:bookmarkEnd w:id="925"/>
      <w:bookmarkEnd w:id="929"/>
      <w:bookmarkEnd w:id="930"/>
      <w:bookmarkEnd w:id="931"/>
      <w:bookmarkEnd w:id="932"/>
      <w:bookmarkEnd w:id="933"/>
      <w:bookmarkEnd w:id="934"/>
    </w:p>
    <w:bookmarkEnd w:id="926"/>
    <w:bookmarkEnd w:id="927"/>
    <w:bookmarkEnd w:id="928"/>
    <w:p>
      <w:pPr>
        <w:pStyle w:val="32"/>
        <w:numPr>
          <w:ilvl w:val="1"/>
          <w:numId w:val="12"/>
        </w:numPr>
        <w:bidi w:val="0"/>
        <w:rPr>
          <w:rFonts w:hint="eastAsia"/>
          <w:lang w:val="zh-CN"/>
        </w:rPr>
      </w:pPr>
      <w:bookmarkStart w:id="935" w:name="_Toc30456"/>
      <w:bookmarkStart w:id="936" w:name="_Toc20970"/>
      <w:bookmarkStart w:id="937" w:name="_Toc18335"/>
      <w:bookmarkStart w:id="938" w:name="_Toc14656"/>
      <w:bookmarkStart w:id="939" w:name="_Toc4824"/>
      <w:bookmarkStart w:id="940" w:name="_Toc5268"/>
      <w:r>
        <w:rPr>
          <w:rFonts w:hint="eastAsia"/>
        </w:rPr>
        <w:t>投标人资格、资质性及其他类似效力要求</w:t>
      </w:r>
      <w:bookmarkEnd w:id="935"/>
      <w:bookmarkEnd w:id="936"/>
    </w:p>
    <w:p>
      <w:pPr>
        <w:pStyle w:val="4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lang w:val="zh-CN"/>
        </w:rPr>
      </w:pPr>
      <w:r>
        <w:rPr>
          <w:rFonts w:hint="eastAsia"/>
          <w:highlight w:val="none"/>
          <w:lang w:val="en-US" w:eastAsia="zh-CN"/>
        </w:rPr>
        <w:t>(一)</w:t>
      </w:r>
      <w:r>
        <w:rPr>
          <w:rFonts w:hint="eastAsia"/>
          <w:highlight w:val="none"/>
          <w:lang w:val="zh-CN"/>
        </w:rPr>
        <w:t>符合《中华人民共和国政府采购法》第二十二条规定的条件：</w:t>
      </w:r>
    </w:p>
    <w:p>
      <w:pPr>
        <w:pStyle w:val="4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rPr>
      </w:pPr>
      <w:r>
        <w:rPr>
          <w:rFonts w:hint="eastAsia"/>
          <w:highlight w:val="none"/>
          <w:lang w:val="en-US" w:eastAsia="zh-CN"/>
        </w:rPr>
        <w:t>1.</w:t>
      </w:r>
      <w:r>
        <w:rPr>
          <w:rFonts w:hint="eastAsia"/>
          <w:highlight w:val="none"/>
        </w:rPr>
        <w:t>具有独立承担</w:t>
      </w:r>
      <w:r>
        <w:rPr>
          <w:rFonts w:hint="eastAsia"/>
          <w:highlight w:val="none"/>
        </w:rPr>
        <w:fldChar w:fldCharType="begin"/>
      </w:r>
      <w:r>
        <w:rPr>
          <w:rFonts w:hint="eastAsia"/>
          <w:highlight w:val="none"/>
        </w:rPr>
        <w:instrText xml:space="preserve"> HYPERLINK "http://www.lawtime.cn/info/minfa/mszeren/" \t "_blank" </w:instrText>
      </w:r>
      <w:r>
        <w:rPr>
          <w:rFonts w:hint="eastAsia"/>
          <w:highlight w:val="none"/>
        </w:rPr>
        <w:fldChar w:fldCharType="separate"/>
      </w:r>
      <w:r>
        <w:rPr>
          <w:rFonts w:hint="eastAsia"/>
          <w:highlight w:val="none"/>
        </w:rPr>
        <w:t>民事责任</w:t>
      </w:r>
      <w:r>
        <w:rPr>
          <w:rFonts w:hint="eastAsia"/>
          <w:highlight w:val="none"/>
        </w:rPr>
        <w:fldChar w:fldCharType="end"/>
      </w:r>
      <w:r>
        <w:rPr>
          <w:rFonts w:hint="eastAsia"/>
          <w:highlight w:val="none"/>
        </w:rPr>
        <w:t>的能力；</w:t>
      </w:r>
    </w:p>
    <w:p>
      <w:pPr>
        <w:pStyle w:val="4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rPr>
      </w:pPr>
      <w:r>
        <w:rPr>
          <w:rFonts w:hint="eastAsia"/>
          <w:highlight w:val="none"/>
          <w:lang w:val="en-US" w:eastAsia="zh-CN"/>
        </w:rPr>
        <w:t>2.</w:t>
      </w:r>
      <w:r>
        <w:rPr>
          <w:rFonts w:hint="eastAsia"/>
          <w:highlight w:val="none"/>
        </w:rPr>
        <w:t>具有良好的商业信誉和健全的财务会计制度；</w:t>
      </w:r>
    </w:p>
    <w:p>
      <w:pPr>
        <w:pStyle w:val="4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rPr>
      </w:pPr>
      <w:r>
        <w:rPr>
          <w:rFonts w:hint="eastAsia"/>
          <w:highlight w:val="none"/>
          <w:lang w:val="en-US" w:eastAsia="zh-CN"/>
        </w:rPr>
        <w:t>3.</w:t>
      </w:r>
      <w:r>
        <w:rPr>
          <w:rFonts w:hint="eastAsia"/>
          <w:highlight w:val="none"/>
        </w:rPr>
        <w:t>具有履行合同所必需的设备和专业技术能力；</w:t>
      </w:r>
    </w:p>
    <w:p>
      <w:pPr>
        <w:pStyle w:val="4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lang w:val="en-US" w:eastAsia="zh-CN"/>
        </w:rPr>
      </w:pPr>
      <w:r>
        <w:rPr>
          <w:rFonts w:hint="eastAsia"/>
          <w:highlight w:val="none"/>
          <w:lang w:val="en-US" w:eastAsia="zh-CN"/>
        </w:rPr>
        <w:t>4.有依法缴纳税收和</w:t>
      </w:r>
      <w:r>
        <w:rPr>
          <w:rFonts w:hint="eastAsia"/>
          <w:highlight w:val="none"/>
          <w:lang w:val="en-US" w:eastAsia="zh-CN"/>
        </w:rPr>
        <w:fldChar w:fldCharType="begin"/>
      </w:r>
      <w:r>
        <w:rPr>
          <w:rFonts w:hint="eastAsia"/>
          <w:highlight w:val="none"/>
          <w:lang w:val="en-US" w:eastAsia="zh-CN"/>
        </w:rPr>
        <w:instrText xml:space="preserve"> HYPERLINK "http://www.lawtime.cn/info/laodong/shehuibaozhang/" \t "_blank" </w:instrText>
      </w:r>
      <w:r>
        <w:rPr>
          <w:rFonts w:hint="eastAsia"/>
          <w:highlight w:val="none"/>
          <w:lang w:val="en-US" w:eastAsia="zh-CN"/>
        </w:rPr>
        <w:fldChar w:fldCharType="separate"/>
      </w:r>
      <w:r>
        <w:rPr>
          <w:rFonts w:hint="eastAsia"/>
          <w:highlight w:val="none"/>
          <w:lang w:val="en-US" w:eastAsia="zh-CN"/>
        </w:rPr>
        <w:t>社会保障</w:t>
      </w:r>
      <w:r>
        <w:rPr>
          <w:rFonts w:hint="eastAsia"/>
          <w:highlight w:val="none"/>
          <w:lang w:val="en-US" w:eastAsia="zh-CN"/>
        </w:rPr>
        <w:fldChar w:fldCharType="end"/>
      </w:r>
      <w:r>
        <w:rPr>
          <w:rFonts w:hint="eastAsia"/>
          <w:highlight w:val="none"/>
          <w:lang w:val="en-US" w:eastAsia="zh-CN"/>
        </w:rPr>
        <w:t>资金的良好记录；</w:t>
      </w:r>
    </w:p>
    <w:p>
      <w:pPr>
        <w:pStyle w:val="4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lang w:val="en-US" w:eastAsia="zh-CN"/>
        </w:rPr>
      </w:pPr>
      <w:r>
        <w:rPr>
          <w:rFonts w:hint="eastAsia"/>
          <w:highlight w:val="none"/>
          <w:lang w:val="en-US" w:eastAsia="zh-CN"/>
        </w:rPr>
        <w:t>5.参加政府采购活动前三年内，在经营活动中没有重大违法记录；</w:t>
      </w:r>
    </w:p>
    <w:p>
      <w:pPr>
        <w:pStyle w:val="4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lang w:val="en-US" w:eastAsia="zh-CN"/>
        </w:rPr>
      </w:pPr>
      <w:r>
        <w:rPr>
          <w:rFonts w:hint="eastAsia"/>
          <w:highlight w:val="none"/>
          <w:lang w:val="en-US" w:eastAsia="zh-CN"/>
        </w:rPr>
        <w:t>6.法律、</w:t>
      </w:r>
      <w:r>
        <w:rPr>
          <w:rFonts w:hint="eastAsia"/>
          <w:highlight w:val="none"/>
          <w:lang w:val="en-US" w:eastAsia="zh-CN"/>
        </w:rPr>
        <w:fldChar w:fldCharType="begin"/>
      </w:r>
      <w:r>
        <w:rPr>
          <w:rFonts w:hint="eastAsia"/>
          <w:highlight w:val="none"/>
          <w:lang w:val="en-US" w:eastAsia="zh-CN"/>
        </w:rPr>
        <w:instrText xml:space="preserve"> HYPERLINK "http://www.lawtime.cn/info/sifakaoshi/xingzhengfa/" \t "_blank" </w:instrText>
      </w:r>
      <w:r>
        <w:rPr>
          <w:rFonts w:hint="eastAsia"/>
          <w:highlight w:val="none"/>
          <w:lang w:val="en-US" w:eastAsia="zh-CN"/>
        </w:rPr>
        <w:fldChar w:fldCharType="separate"/>
      </w:r>
      <w:r>
        <w:rPr>
          <w:rFonts w:hint="eastAsia"/>
          <w:highlight w:val="none"/>
          <w:lang w:val="en-US" w:eastAsia="zh-CN"/>
        </w:rPr>
        <w:t>行政法</w:t>
      </w:r>
      <w:r>
        <w:rPr>
          <w:rFonts w:hint="eastAsia"/>
          <w:highlight w:val="none"/>
          <w:lang w:val="en-US" w:eastAsia="zh-CN"/>
        </w:rPr>
        <w:fldChar w:fldCharType="end"/>
      </w:r>
      <w:r>
        <w:rPr>
          <w:rFonts w:hint="eastAsia"/>
          <w:highlight w:val="none"/>
          <w:lang w:val="en-US" w:eastAsia="zh-CN"/>
        </w:rPr>
        <w:t>规规定的其他条件；</w:t>
      </w:r>
    </w:p>
    <w:p>
      <w:pPr>
        <w:pStyle w:val="4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lang w:val="zh-CN"/>
        </w:rPr>
      </w:pPr>
      <w:r>
        <w:rPr>
          <w:rFonts w:hint="eastAsia" w:ascii="宋体" w:hAnsi="宋体" w:eastAsia="宋体"/>
          <w:highlight w:val="none"/>
          <w:lang w:val="en-US" w:eastAsia="zh-CN"/>
        </w:rPr>
        <w:t>(二)</w:t>
      </w:r>
      <w:r>
        <w:rPr>
          <w:rFonts w:hint="eastAsia"/>
          <w:highlight w:val="none"/>
          <w:lang w:val="zh-CN"/>
        </w:rPr>
        <w:t>落实政府采购政策需满足的资格要求：</w:t>
      </w:r>
    </w:p>
    <w:p>
      <w:pPr>
        <w:pStyle w:val="4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eastAsia="宋体"/>
          <w:highlight w:val="none"/>
          <w:lang w:val="en-US" w:eastAsia="zh-CN"/>
        </w:rPr>
      </w:pPr>
      <w:r>
        <w:rPr>
          <w:rFonts w:hint="eastAsia"/>
          <w:highlight w:val="none"/>
          <w:lang w:val="en-US" w:eastAsia="zh-CN"/>
        </w:rPr>
        <w:t>本项目为</w:t>
      </w:r>
      <w:r>
        <w:rPr>
          <w:rFonts w:hint="eastAsia"/>
          <w:color w:val="000000" w:themeColor="text1"/>
          <w:highlight w:val="none"/>
          <w:lang w:val="en-US" w:eastAsia="zh-CN"/>
          <w14:textFill>
            <w14:solidFill>
              <w14:schemeClr w14:val="tx1"/>
            </w14:solidFill>
          </w14:textFill>
        </w:rPr>
        <w:t>专门面向中小企业采购的项目</w:t>
      </w:r>
      <w:r>
        <w:rPr>
          <w:rFonts w:hint="eastAsia"/>
          <w:color w:val="000000" w:themeColor="text1"/>
          <w:highlight w:val="none"/>
          <w:lang w:val="en-US"/>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lang w:val="en-US"/>
          <w14:textFill>
            <w14:solidFill>
              <w14:schemeClr w14:val="tx1"/>
            </w14:solidFill>
          </w14:textFill>
        </w:rPr>
        <w:t>应为中小微企业、监狱企业、残疾人福利性单位</w:t>
      </w:r>
      <w:r>
        <w:rPr>
          <w:rFonts w:hint="eastAsia"/>
          <w:highlight w:val="none"/>
          <w:lang w:val="en-US" w:eastAsia="zh-CN"/>
        </w:rPr>
        <w:t>。</w:t>
      </w:r>
    </w:p>
    <w:p>
      <w:pPr>
        <w:pStyle w:val="4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highlight w:val="none"/>
          <w:lang w:val="zh-CN" w:eastAsia="zh-CN"/>
        </w:rPr>
      </w:pPr>
      <w:r>
        <w:rPr>
          <w:rFonts w:hint="eastAsia"/>
          <w:highlight w:val="none"/>
          <w:lang w:val="en-US" w:eastAsia="zh-CN"/>
        </w:rPr>
        <w:t>(三)</w:t>
      </w:r>
      <w:r>
        <w:rPr>
          <w:rFonts w:hint="eastAsia" w:ascii="宋体" w:hAnsi="宋体" w:eastAsia="宋体"/>
          <w:highlight w:val="none"/>
          <w:lang w:val="zh-CN" w:eastAsia="zh-CN"/>
        </w:rPr>
        <w:t>本项目的特定资格要求：</w:t>
      </w:r>
    </w:p>
    <w:p>
      <w:pPr>
        <w:pStyle w:val="4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highlight w:val="none"/>
          <w:lang w:val="en-US" w:eastAsia="zh-CN"/>
        </w:rPr>
      </w:pPr>
      <w:r>
        <w:rPr>
          <w:rFonts w:hint="eastAsia"/>
          <w:highlight w:val="none"/>
          <w:lang w:val="en-US" w:eastAsia="zh-CN"/>
        </w:rPr>
        <w:t>1、</w:t>
      </w:r>
      <w:r>
        <w:rPr>
          <w:rFonts w:hint="eastAsia" w:ascii="宋体" w:hAnsi="宋体" w:eastAsia="宋体"/>
          <w:highlight w:val="none"/>
          <w:lang w:val="en-US" w:eastAsia="zh-CN"/>
        </w:rPr>
        <w:t>投标人具有交通运输主管部门颁发的公路工程试验检测综合甲级资质，并取得了省级及以上技术监督部门颁发的计量认证证书。</w:t>
      </w:r>
    </w:p>
    <w:p>
      <w:pPr>
        <w:pStyle w:val="40"/>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lang w:val="en-US" w:eastAsia="zh-CN"/>
        </w:rPr>
      </w:pPr>
      <w:r>
        <w:rPr>
          <w:rFonts w:hint="eastAsia"/>
          <w:highlight w:val="none"/>
          <w:lang w:val="en-US" w:eastAsia="zh-CN"/>
        </w:rPr>
        <w:t>2、</w:t>
      </w:r>
      <w:r>
        <w:rPr>
          <w:rFonts w:hint="eastAsia" w:ascii="宋体" w:hAnsi="宋体" w:eastAsia="宋体"/>
          <w:highlight w:val="none"/>
          <w:lang w:val="en-US" w:eastAsia="zh-CN"/>
        </w:rPr>
        <w:t>本项目不接受联合体投标</w:t>
      </w:r>
      <w:r>
        <w:rPr>
          <w:rFonts w:hint="eastAsia"/>
          <w:highlight w:val="none"/>
          <w:lang w:val="en-US" w:eastAsia="zh-CN"/>
        </w:rPr>
        <w:t>。</w:t>
      </w:r>
    </w:p>
    <w:p>
      <w:pPr>
        <w:pStyle w:val="32"/>
        <w:numPr>
          <w:ilvl w:val="1"/>
          <w:numId w:val="12"/>
        </w:numPr>
        <w:bidi w:val="0"/>
        <w:rPr>
          <w:rFonts w:hint="eastAsia"/>
          <w:highlight w:val="none"/>
        </w:rPr>
      </w:pPr>
      <w:bookmarkStart w:id="941" w:name="_Toc8826"/>
      <w:r>
        <w:rPr>
          <w:rFonts w:hint="eastAsia"/>
          <w:highlight w:val="none"/>
        </w:rPr>
        <w:t>投标产品的资格、资质性及其他类似效力要求</w:t>
      </w:r>
      <w:bookmarkEnd w:id="937"/>
      <w:bookmarkEnd w:id="938"/>
      <w:bookmarkEnd w:id="939"/>
      <w:bookmarkEnd w:id="940"/>
      <w:bookmarkEnd w:id="941"/>
    </w:p>
    <w:p>
      <w:pPr>
        <w:pStyle w:val="44"/>
        <w:bidi w:val="0"/>
        <w:rPr>
          <w:rFonts w:hint="eastAsia"/>
          <w:highlight w:val="none"/>
          <w:lang w:val="en-US" w:eastAsia="zh-CN"/>
        </w:rPr>
      </w:pPr>
      <w:r>
        <w:rPr>
          <w:rFonts w:hint="eastAsia"/>
          <w:highlight w:val="none"/>
          <w:lang w:val="en-US" w:eastAsia="zh-CN"/>
        </w:rPr>
        <w:t>无。</w:t>
      </w:r>
    </w:p>
    <w:p>
      <w:pPr>
        <w:pStyle w:val="32"/>
        <w:numPr>
          <w:ilvl w:val="1"/>
          <w:numId w:val="12"/>
        </w:numPr>
        <w:bidi w:val="0"/>
        <w:rPr>
          <w:rFonts w:hint="eastAsia"/>
          <w:lang w:val="en-US" w:eastAsia="zh-CN"/>
        </w:rPr>
      </w:pPr>
      <w:bookmarkStart w:id="942" w:name="_Toc20127"/>
      <w:bookmarkStart w:id="943" w:name="_Toc3740"/>
      <w:r>
        <w:rPr>
          <w:rFonts w:hint="eastAsia"/>
          <w:lang w:val="en-US" w:eastAsia="zh-CN"/>
        </w:rPr>
        <w:t>其他类似效力要求</w:t>
      </w:r>
      <w:bookmarkEnd w:id="942"/>
      <w:bookmarkEnd w:id="943"/>
    </w:p>
    <w:p>
      <w:pPr>
        <w:pStyle w:val="30"/>
        <w:numPr>
          <w:ilvl w:val="1"/>
          <w:numId w:val="24"/>
        </w:numPr>
        <w:bidi w:val="0"/>
        <w:rPr>
          <w:rFonts w:hint="eastAsia"/>
          <w:lang w:val="zh-CN"/>
        </w:rPr>
      </w:pPr>
      <w:r>
        <w:rPr>
          <w:rFonts w:hint="eastAsia"/>
          <w:lang w:val="zh-CN"/>
        </w:rPr>
        <w:t>投标供应商单位及其现任法定代表人、主要负责人不得具有行贿犯罪记录；</w:t>
      </w:r>
    </w:p>
    <w:p>
      <w:pPr>
        <w:pStyle w:val="30"/>
        <w:numPr>
          <w:ilvl w:val="1"/>
          <w:numId w:val="24"/>
        </w:numPr>
        <w:bidi w:val="0"/>
        <w:rPr>
          <w:rFonts w:hint="eastAsia"/>
        </w:rPr>
      </w:pPr>
      <w:r>
        <w:rPr>
          <w:rFonts w:hint="eastAsia"/>
          <w:lang w:val="zh-CN"/>
        </w:rPr>
        <w:t>供应商不得为“信用中国”网站</w:t>
      </w:r>
      <w:r>
        <w:rPr>
          <w:rFonts w:hint="eastAsia"/>
          <w:lang w:val="zh-CN" w:eastAsia="zh-CN"/>
        </w:rPr>
        <w:t>(</w:t>
      </w:r>
      <w:r>
        <w:rPr>
          <w:rFonts w:hint="eastAsia"/>
          <w:lang w:val="zh-CN"/>
        </w:rPr>
        <w:t>www.creditchina.gov.cn</w:t>
      </w:r>
      <w:r>
        <w:rPr>
          <w:rFonts w:hint="eastAsia"/>
          <w:lang w:val="zh-CN" w:eastAsia="zh-CN"/>
        </w:rPr>
        <w:t>)</w:t>
      </w:r>
      <w:r>
        <w:rPr>
          <w:rFonts w:hint="eastAsia"/>
          <w:lang w:val="zh-CN"/>
        </w:rPr>
        <w:t>中列入失信被执行人和重大税收违法案件当事人名单的供应商，不得为</w:t>
      </w:r>
      <w:r>
        <w:rPr>
          <w:rFonts w:hint="eastAsia"/>
          <w:lang w:val="zh-CN" w:eastAsia="zh-CN"/>
        </w:rPr>
        <w:t>“中国政府采购网”(</w:t>
      </w:r>
      <w:r>
        <w:rPr>
          <w:rFonts w:hint="eastAsia"/>
          <w:lang w:val="zh-CN"/>
        </w:rPr>
        <w:t>www.ccgp.gov.cn</w:t>
      </w:r>
      <w:r>
        <w:rPr>
          <w:rFonts w:hint="eastAsia"/>
          <w:lang w:val="zh-CN" w:eastAsia="zh-CN"/>
        </w:rPr>
        <w:t>)</w:t>
      </w:r>
      <w:r>
        <w:rPr>
          <w:rFonts w:hint="eastAsia"/>
          <w:lang w:val="zh-CN"/>
        </w:rPr>
        <w:t>政府采购严重违法失信行为记录名单中被财政部门禁止参加政府采购活动的供应商</w:t>
      </w:r>
      <w:r>
        <w:rPr>
          <w:rFonts w:hint="eastAsia"/>
          <w:lang w:val="zh-CN" w:eastAsia="zh-CN"/>
        </w:rPr>
        <w:t>(</w:t>
      </w:r>
      <w:r>
        <w:rPr>
          <w:rFonts w:hint="eastAsia"/>
          <w:lang w:val="zh-CN"/>
        </w:rPr>
        <w:t>处罚决定规定的时间和地域范围内</w:t>
      </w:r>
      <w:r>
        <w:rPr>
          <w:rFonts w:hint="eastAsia"/>
          <w:lang w:val="zh-CN" w:eastAsia="zh-CN"/>
        </w:rPr>
        <w:t>)；</w:t>
      </w:r>
    </w:p>
    <w:p>
      <w:pPr>
        <w:pStyle w:val="30"/>
        <w:numPr>
          <w:ilvl w:val="1"/>
          <w:numId w:val="24"/>
        </w:numPr>
        <w:bidi w:val="0"/>
        <w:rPr>
          <w:rFonts w:hint="eastAsia"/>
          <w:lang w:val="zh-CN"/>
        </w:rPr>
      </w:pPr>
      <w:r>
        <w:rPr>
          <w:rFonts w:hint="eastAsia"/>
          <w:lang w:val="zh-CN"/>
        </w:rPr>
        <w:t>投标人代表不是法定代表人</w:t>
      </w:r>
      <w:r>
        <w:rPr>
          <w:rFonts w:hint="eastAsia"/>
          <w:lang w:val="en-US" w:eastAsia="zh-CN"/>
        </w:rPr>
        <w:t>/单位负责人</w:t>
      </w:r>
      <w:r>
        <w:rPr>
          <w:rFonts w:hint="eastAsia"/>
          <w:lang w:val="zh-CN"/>
        </w:rPr>
        <w:t>时提供针对本次投标的法定代表人</w:t>
      </w:r>
      <w:r>
        <w:rPr>
          <w:rFonts w:hint="eastAsia"/>
          <w:lang w:val="en-US" w:eastAsia="zh-CN"/>
        </w:rPr>
        <w:t>/单位负责人</w:t>
      </w:r>
      <w:r>
        <w:rPr>
          <w:rFonts w:hint="eastAsia"/>
          <w:lang w:val="zh-CN"/>
        </w:rPr>
        <w:t>授权书原件；</w:t>
      </w:r>
    </w:p>
    <w:p>
      <w:pPr>
        <w:pStyle w:val="30"/>
        <w:numPr>
          <w:ilvl w:val="1"/>
          <w:numId w:val="24"/>
        </w:numPr>
        <w:bidi w:val="0"/>
        <w:rPr>
          <w:rFonts w:hint="eastAsia"/>
          <w:lang w:val="zh-CN"/>
        </w:rPr>
      </w:pPr>
      <w:r>
        <w:rPr>
          <w:rFonts w:hint="eastAsia"/>
          <w:lang w:val="en-US" w:eastAsia="zh-CN"/>
        </w:rPr>
        <w:t>投标人代表是法定</w:t>
      </w:r>
      <w:r>
        <w:rPr>
          <w:rFonts w:hint="eastAsia"/>
          <w:lang w:val="zh-CN"/>
        </w:rPr>
        <w:t>代表人</w:t>
      </w:r>
      <w:r>
        <w:rPr>
          <w:rFonts w:hint="eastAsia"/>
          <w:lang w:val="en-US" w:eastAsia="zh-CN"/>
        </w:rPr>
        <w:t>/单位负责人</w:t>
      </w:r>
      <w:r>
        <w:rPr>
          <w:rFonts w:hint="eastAsia"/>
          <w:lang w:val="zh-CN"/>
        </w:rPr>
        <w:t>时，</w:t>
      </w:r>
      <w:r>
        <w:rPr>
          <w:rFonts w:hint="eastAsia"/>
          <w:lang w:val="en-US" w:eastAsia="zh-CN"/>
        </w:rPr>
        <w:t>提供法定代表人/单位负责人证明书原件。</w:t>
      </w:r>
    </w:p>
    <w:p>
      <w:pPr>
        <w:pStyle w:val="44"/>
        <w:bidi w:val="0"/>
        <w:rPr>
          <w:rFonts w:hint="eastAsia"/>
          <w:b/>
          <w:bCs/>
        </w:rPr>
      </w:pPr>
      <w:bookmarkStart w:id="944" w:name="_Toc24888"/>
      <w:r>
        <w:rPr>
          <w:rFonts w:hint="eastAsia"/>
          <w:b/>
          <w:bCs/>
        </w:rPr>
        <w:t>注：供应商在前三年政府采购合同履约过程中及其他经营活动履约过程中未依法履约被有关部门处理的，本项目不认定其具有良好的商业信誉。若虚假响应，取消中标资格。</w:t>
      </w:r>
    </w:p>
    <w:p>
      <w:pPr>
        <w:pStyle w:val="44"/>
        <w:bidi w:val="0"/>
        <w:rPr>
          <w:rFonts w:hint="eastAsia"/>
          <w:b/>
          <w:bCs/>
        </w:rPr>
      </w:pPr>
      <w:r>
        <w:rPr>
          <w:rFonts w:hint="eastAsia"/>
          <w:b/>
          <w:bCs/>
        </w:rPr>
        <w:t>重大违法记录是指供应商因违法经营受到刑事处罚或者责令停产停业、吊销许可证或者执照、较大数额罚款等行政处罚。供应商在参加政府采购活动前3年内因违法经营被禁止在一定期限内参加政府采购活动，期限届满的，可以参加政府采购活动。</w:t>
      </w:r>
    </w:p>
    <w:p>
      <w:pPr>
        <w:pStyle w:val="45"/>
        <w:bidi w:val="0"/>
        <w:rPr>
          <w:rFonts w:hint="eastAsia"/>
        </w:rPr>
      </w:pPr>
      <w:r>
        <w:rPr>
          <w:rFonts w:hint="eastAsia"/>
        </w:rPr>
        <w:t>重大违法记录中的较大数额罚款的具体金额标准</w:t>
      </w:r>
      <w:r>
        <w:rPr>
          <w:rFonts w:hint="eastAsia"/>
          <w:lang w:val="en-US" w:eastAsia="zh-CN"/>
        </w:rPr>
        <w:t>及范围</w:t>
      </w:r>
      <w:r>
        <w:rPr>
          <w:rFonts w:hint="eastAsia"/>
        </w:rPr>
        <w:t>是：若采购项目所属行业行政主管部门对较大数额罚款金额标准有明文规定的，以所属行业行政主管部门规定的较大数额罚款金额标准</w:t>
      </w:r>
      <w:r>
        <w:rPr>
          <w:rFonts w:hint="eastAsia"/>
          <w:lang w:val="en-US" w:eastAsia="zh-CN"/>
        </w:rPr>
        <w:t>为准</w:t>
      </w:r>
      <w:r>
        <w:rPr>
          <w:rFonts w:hint="eastAsia"/>
        </w:rPr>
        <w:t>；若采购项目所属行业行政主管部门对较大数额罚款金额标准未明文规定的，以《四川省行政处罚听证程序规定》</w:t>
      </w:r>
      <w:r>
        <w:rPr>
          <w:rFonts w:hint="eastAsia"/>
          <w:lang w:eastAsia="zh-CN"/>
        </w:rPr>
        <w:t>(</w:t>
      </w:r>
      <w:r>
        <w:rPr>
          <w:rFonts w:hint="eastAsia"/>
        </w:rPr>
        <w:t>四川省人民政府令第317号</w:t>
      </w:r>
      <w:r>
        <w:rPr>
          <w:rFonts w:hint="eastAsia"/>
          <w:lang w:eastAsia="zh-CN"/>
        </w:rPr>
        <w:t>)</w:t>
      </w:r>
      <w:r>
        <w:rPr>
          <w:rFonts w:hint="eastAsia"/>
        </w:rPr>
        <w:t>规定的行政处罚罚款听证标准金额</w:t>
      </w:r>
      <w:r>
        <w:rPr>
          <w:rFonts w:hint="eastAsia"/>
          <w:lang w:val="en-US" w:eastAsia="zh-CN"/>
        </w:rPr>
        <w:t>为准</w:t>
      </w:r>
      <w:r>
        <w:rPr>
          <w:rFonts w:hint="eastAsia"/>
        </w:rPr>
        <w:t>。</w:t>
      </w:r>
    </w:p>
    <w:p>
      <w:pPr>
        <w:pStyle w:val="45"/>
        <w:bidi w:val="0"/>
        <w:rPr>
          <w:rFonts w:hint="eastAsia"/>
        </w:rPr>
      </w:pPr>
    </w:p>
    <w:p>
      <w:pPr>
        <w:pStyle w:val="46"/>
        <w:numPr>
          <w:ilvl w:val="0"/>
          <w:numId w:val="12"/>
        </w:numPr>
        <w:bidi w:val="0"/>
        <w:rPr>
          <w:rFonts w:hint="eastAsia"/>
          <w:lang w:val="en-US" w:eastAsia="zh-CN"/>
        </w:rPr>
      </w:pPr>
      <w:r>
        <w:rPr>
          <w:rFonts w:hint="eastAsia"/>
        </w:rPr>
        <w:br w:type="page"/>
      </w:r>
      <w:bookmarkEnd w:id="944"/>
      <w:bookmarkStart w:id="945" w:name="_Toc18196"/>
      <w:bookmarkStart w:id="946" w:name="_Toc7204"/>
      <w:bookmarkStart w:id="947" w:name="_Toc22998"/>
      <w:r>
        <w:rPr>
          <w:rFonts w:hint="eastAsia"/>
          <w:lang w:val="en-US" w:eastAsia="zh-CN"/>
        </w:rPr>
        <w:t>资格性审查</w:t>
      </w:r>
      <w:bookmarkEnd w:id="945"/>
      <w:r>
        <w:rPr>
          <w:rFonts w:hint="eastAsia"/>
          <w:lang w:val="en-US" w:eastAsia="zh-CN"/>
        </w:rPr>
        <w:t>内容</w:t>
      </w:r>
      <w:bookmarkEnd w:id="946"/>
      <w:bookmarkEnd w:id="947"/>
    </w:p>
    <w:p>
      <w:pPr>
        <w:pStyle w:val="32"/>
        <w:numPr>
          <w:ilvl w:val="1"/>
          <w:numId w:val="12"/>
        </w:numPr>
        <w:bidi w:val="0"/>
        <w:rPr>
          <w:rFonts w:hint="eastAsia"/>
        </w:rPr>
      </w:pPr>
      <w:bookmarkStart w:id="948" w:name="_Toc3107"/>
      <w:bookmarkStart w:id="949" w:name="_Toc28265"/>
      <w:bookmarkStart w:id="950" w:name="_Toc31593"/>
      <w:bookmarkStart w:id="951" w:name="_Toc30344"/>
      <w:bookmarkStart w:id="952" w:name="_Toc17621"/>
      <w:bookmarkStart w:id="953" w:name="_Toc17175"/>
      <w:bookmarkStart w:id="954" w:name="_Toc141"/>
      <w:bookmarkStart w:id="955" w:name="_Toc20678"/>
      <w:bookmarkStart w:id="956" w:name="_Toc10631"/>
      <w:bookmarkStart w:id="957" w:name="_Toc32482"/>
      <w:r>
        <w:rPr>
          <w:rFonts w:hint="eastAsia"/>
        </w:rPr>
        <w:t>应当提供的投标人</w:t>
      </w:r>
      <w:r>
        <w:rPr>
          <w:rFonts w:hint="eastAsia"/>
          <w:lang w:eastAsia="zh-CN"/>
        </w:rPr>
        <w:t>及投标产品</w:t>
      </w:r>
      <w:r>
        <w:rPr>
          <w:rFonts w:hint="eastAsia"/>
        </w:rPr>
        <w:t>资格、资质性及其他类似效力要求的相关证明材料</w:t>
      </w:r>
      <w:bookmarkEnd w:id="948"/>
      <w:bookmarkEnd w:id="949"/>
      <w:bookmarkEnd w:id="950"/>
      <w:bookmarkEnd w:id="951"/>
      <w:bookmarkEnd w:id="952"/>
      <w:bookmarkEnd w:id="953"/>
    </w:p>
    <w:p>
      <w:pPr>
        <w:pStyle w:val="30"/>
        <w:numPr>
          <w:ilvl w:val="1"/>
          <w:numId w:val="25"/>
        </w:numPr>
        <w:bidi w:val="0"/>
        <w:rPr>
          <w:rFonts w:hint="eastAsia"/>
          <w:b/>
          <w:bCs/>
        </w:rPr>
      </w:pPr>
      <w:r>
        <w:rPr>
          <w:rFonts w:hint="eastAsia"/>
          <w:b/>
          <w:bCs/>
          <w:lang w:val="en-US" w:eastAsia="zh-CN"/>
        </w:rPr>
        <w:t>投标人</w:t>
      </w:r>
      <w:r>
        <w:rPr>
          <w:rFonts w:hint="eastAsia"/>
          <w:b/>
          <w:bCs/>
        </w:rPr>
        <w:t>具有独立承担民事责任的能力</w:t>
      </w:r>
      <w:r>
        <w:rPr>
          <w:rFonts w:hint="eastAsia"/>
          <w:b/>
          <w:bCs/>
          <w:lang w:val="en-US" w:eastAsia="zh-CN"/>
        </w:rPr>
        <w:t>的证明材料；</w:t>
      </w:r>
    </w:p>
    <w:p>
      <w:pPr>
        <w:pStyle w:val="44"/>
        <w:bidi w:val="0"/>
        <w:rPr>
          <w:rFonts w:hint="eastAsia"/>
          <w:lang w:eastAsia="zh-CN"/>
        </w:rPr>
      </w:pPr>
      <w:r>
        <w:rPr>
          <w:rFonts w:hint="eastAsia"/>
          <w:lang w:val="en-US" w:eastAsia="zh-CN"/>
        </w:rPr>
        <w:t>1.投标人</w:t>
      </w:r>
      <w:r>
        <w:rPr>
          <w:rFonts w:hint="eastAsia"/>
        </w:rPr>
        <w:t>若为企业法人：提供“营业执照”；未换证的提供“营业执照、税务登记证、组织机构代码证”；</w:t>
      </w:r>
      <w:r>
        <w:rPr>
          <w:rFonts w:hint="eastAsia"/>
          <w:lang w:val="en-US" w:eastAsia="zh-CN"/>
        </w:rPr>
        <w:t>2.</w:t>
      </w:r>
      <w:r>
        <w:rPr>
          <w:rFonts w:hint="eastAsia"/>
        </w:rPr>
        <w:t>若为事业法人：提供“统一社会信用代码法人登记证书”；未换证的提交“事业法人登记证书、组织机构代码证”；</w:t>
      </w:r>
      <w:r>
        <w:rPr>
          <w:rFonts w:hint="eastAsia"/>
          <w:lang w:val="en-US" w:eastAsia="zh-CN"/>
        </w:rPr>
        <w:t>3.</w:t>
      </w:r>
      <w:r>
        <w:rPr>
          <w:rFonts w:hint="eastAsia"/>
        </w:rPr>
        <w:t>若为其他组织：提供“对应主管部门颁发的准许执业证明文件或营业执照”；</w:t>
      </w:r>
      <w:r>
        <w:rPr>
          <w:rFonts w:hint="eastAsia"/>
          <w:lang w:val="en-US" w:eastAsia="zh-CN"/>
        </w:rPr>
        <w:t>4.</w:t>
      </w:r>
      <w:r>
        <w:rPr>
          <w:rFonts w:hint="eastAsia"/>
        </w:rPr>
        <w:t>若为自然人：提供“身份证明材料”</w:t>
      </w:r>
      <w:r>
        <w:rPr>
          <w:rFonts w:hint="eastAsia"/>
          <w:lang w:eastAsia="zh-CN"/>
        </w:rPr>
        <w:t>。</w:t>
      </w:r>
    </w:p>
    <w:p>
      <w:pPr>
        <w:pStyle w:val="45"/>
        <w:bidi w:val="0"/>
        <w:rPr>
          <w:rFonts w:hint="eastAsia"/>
          <w:lang w:val="en-US" w:eastAsia="zh-CN"/>
        </w:rPr>
      </w:pPr>
      <w:r>
        <w:rPr>
          <w:rFonts w:hint="eastAsia"/>
          <w:lang w:val="en-US" w:eastAsia="zh-CN"/>
        </w:rPr>
        <w:t>注：1.以上证明材料应满足此条要求①发证机关有年检要求的，应按规定通过年检；②在有效期内；③复印件加盖投标人电子签章；</w:t>
      </w:r>
    </w:p>
    <w:p>
      <w:pPr>
        <w:pStyle w:val="45"/>
        <w:bidi w:val="0"/>
        <w:rPr>
          <w:rFonts w:hint="eastAsia"/>
          <w:lang w:val="en-US" w:eastAsia="zh-CN"/>
        </w:rPr>
      </w:pPr>
      <w:r>
        <w:rPr>
          <w:rFonts w:hint="eastAsia"/>
          <w:lang w:val="en-US" w:eastAsia="zh-CN"/>
        </w:rPr>
        <w:t>2.企业若已更换为三证合一的则提供营业执照副本复印件，事业单位提供事业单位法人证书复印件，其他组织提供执业许可证或营业执照等证明文件复印件，自然人提供身份证明均具备此条同等效力；</w:t>
      </w:r>
    </w:p>
    <w:p>
      <w:pPr>
        <w:pStyle w:val="45"/>
        <w:bidi w:val="0"/>
      </w:pPr>
      <w:r>
        <w:rPr>
          <w:rFonts w:hint="eastAsia"/>
          <w:lang w:val="en-US" w:eastAsia="zh-CN"/>
        </w:rPr>
        <w:t>3.</w:t>
      </w:r>
      <w:r>
        <w:t>根据国务院办公厅关于加快推进“多证合一”改革的指导意见</w:t>
      </w:r>
      <w:r>
        <w:rPr>
          <w:rFonts w:hint="eastAsia"/>
          <w:lang w:eastAsia="zh-CN"/>
        </w:rPr>
        <w:t>(</w:t>
      </w:r>
      <w:r>
        <w:t>国办发</w:t>
      </w:r>
      <w:r>
        <w:rPr>
          <w:rFonts w:hint="eastAsia"/>
          <w:lang w:val="en-US" w:eastAsia="zh-CN"/>
        </w:rPr>
        <w:t>〔</w:t>
      </w:r>
      <w:r>
        <w:t>2017</w:t>
      </w:r>
      <w:r>
        <w:rPr>
          <w:rFonts w:hint="eastAsia"/>
          <w:lang w:val="en-US" w:eastAsia="zh-CN"/>
        </w:rPr>
        <w:t>〕</w:t>
      </w:r>
      <w:r>
        <w:t>41号</w:t>
      </w:r>
      <w:r>
        <w:rPr>
          <w:rFonts w:hint="eastAsia"/>
          <w:lang w:eastAsia="zh-CN"/>
        </w:rPr>
        <w:t>)</w:t>
      </w:r>
      <w:r>
        <w:t>等政策要求，若资格要求涉及的登记、备案等有关事项和各类证照已实行多证合一</w:t>
      </w:r>
      <w:r>
        <w:rPr>
          <w:rFonts w:hint="eastAsia"/>
          <w:lang w:eastAsia="zh-CN"/>
        </w:rPr>
        <w:t>提供多证合一证照</w:t>
      </w:r>
      <w:r>
        <w:rPr>
          <w:rFonts w:hint="eastAsia"/>
          <w:lang w:val="en-US" w:eastAsia="zh-CN"/>
        </w:rPr>
        <w:t>副本</w:t>
      </w:r>
      <w:r>
        <w:rPr>
          <w:rFonts w:hint="eastAsia"/>
          <w:lang w:eastAsia="zh-CN"/>
        </w:rPr>
        <w:t>复印件</w:t>
      </w:r>
      <w:r>
        <w:t>。</w:t>
      </w:r>
    </w:p>
    <w:p>
      <w:pPr>
        <w:pStyle w:val="30"/>
        <w:numPr>
          <w:ilvl w:val="1"/>
          <w:numId w:val="25"/>
        </w:numPr>
        <w:bidi w:val="0"/>
        <w:rPr>
          <w:rFonts w:hint="eastAsia"/>
          <w:b/>
          <w:bCs/>
        </w:rPr>
      </w:pPr>
      <w:r>
        <w:rPr>
          <w:rFonts w:hint="eastAsia"/>
          <w:b/>
          <w:bCs/>
          <w:lang w:val="en-US" w:eastAsia="zh-CN"/>
        </w:rPr>
        <w:t>投标人具有良好的商业信誉和健全的财务会计制度的证明材料；</w:t>
      </w:r>
    </w:p>
    <w:p>
      <w:pPr>
        <w:pStyle w:val="44"/>
        <w:bidi w:val="0"/>
        <w:rPr>
          <w:rFonts w:hint="eastAsia"/>
          <w:lang w:val="en-US" w:eastAsia="zh-CN"/>
        </w:rPr>
      </w:pPr>
      <w:r>
        <w:rPr>
          <w:rFonts w:hint="eastAsia"/>
          <w:lang w:val="en-US" w:eastAsia="zh-CN"/>
        </w:rPr>
        <w:t>1.投标人</w:t>
      </w:r>
      <w:r>
        <w:rPr>
          <w:rFonts w:hint="eastAsia"/>
        </w:rPr>
        <w:t>具</w:t>
      </w:r>
      <w:r>
        <w:rPr>
          <w:rFonts w:hint="eastAsia"/>
          <w:lang w:val="en-US" w:eastAsia="zh-CN"/>
        </w:rPr>
        <w:t>有</w:t>
      </w:r>
      <w:r>
        <w:rPr>
          <w:rFonts w:hint="eastAsia"/>
        </w:rPr>
        <w:t>良好商业信誉的证明材料</w:t>
      </w:r>
      <w:r>
        <w:rPr>
          <w:rFonts w:hint="eastAsia"/>
          <w:lang w:eastAsia="zh-CN"/>
        </w:rPr>
        <w:t>；</w:t>
      </w:r>
    </w:p>
    <w:p>
      <w:pPr>
        <w:pStyle w:val="44"/>
        <w:bidi w:val="0"/>
        <w:rPr>
          <w:rFonts w:hint="eastAsia"/>
          <w:lang w:eastAsia="zh-CN"/>
        </w:rPr>
      </w:pPr>
      <w:r>
        <w:rPr>
          <w:rFonts w:hint="eastAsia"/>
          <w:lang w:val="en-US" w:eastAsia="zh-CN"/>
        </w:rPr>
        <w:t>提供</w:t>
      </w:r>
      <w:r>
        <w:rPr>
          <w:rFonts w:hint="eastAsia"/>
        </w:rPr>
        <w:t>具</w:t>
      </w:r>
      <w:r>
        <w:rPr>
          <w:rFonts w:hint="eastAsia"/>
          <w:lang w:val="en-US" w:eastAsia="zh-CN"/>
        </w:rPr>
        <w:t>有</w:t>
      </w:r>
      <w:r>
        <w:rPr>
          <w:rFonts w:hint="eastAsia"/>
        </w:rPr>
        <w:t>良好</w:t>
      </w:r>
      <w:r>
        <w:rPr>
          <w:rFonts w:hint="eastAsia"/>
          <w:lang w:val="en-US" w:eastAsia="zh-CN"/>
        </w:rPr>
        <w:t>的</w:t>
      </w:r>
      <w:r>
        <w:rPr>
          <w:rFonts w:hint="eastAsia"/>
        </w:rPr>
        <w:t>商业信誉</w:t>
      </w:r>
      <w:r>
        <w:rPr>
          <w:rFonts w:hint="eastAsia"/>
          <w:lang w:val="en-US" w:eastAsia="zh-CN"/>
        </w:rPr>
        <w:t>的</w:t>
      </w:r>
      <w:r>
        <w:rPr>
          <w:rFonts w:hint="eastAsia"/>
        </w:rPr>
        <w:t>承诺函</w:t>
      </w:r>
      <w:r>
        <w:rPr>
          <w:rFonts w:hint="eastAsia"/>
          <w:lang w:eastAsia="zh-CN"/>
        </w:rPr>
        <w:t>。</w:t>
      </w:r>
    </w:p>
    <w:p>
      <w:pPr>
        <w:pStyle w:val="44"/>
        <w:bidi w:val="0"/>
        <w:rPr>
          <w:rFonts w:hint="eastAsia"/>
          <w:b/>
          <w:bCs/>
          <w:lang w:val="en-US" w:eastAsia="zh-CN"/>
        </w:rPr>
      </w:pPr>
      <w:r>
        <w:rPr>
          <w:rFonts w:hint="eastAsia"/>
          <w:b/>
          <w:bCs/>
          <w:lang w:val="en-US" w:eastAsia="zh-CN"/>
        </w:rPr>
        <w:t>注：投标人在参加政府采购活动前，被纳入法院、工商(市场监管)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44"/>
        <w:bidi w:val="0"/>
        <w:rPr>
          <w:rFonts w:hint="eastAsia"/>
          <w:lang w:val="en-US" w:eastAsia="zh-CN"/>
        </w:rPr>
      </w:pPr>
      <w:r>
        <w:rPr>
          <w:rFonts w:hint="eastAsia"/>
          <w:lang w:val="en-US" w:eastAsia="zh-CN"/>
        </w:rPr>
        <w:t>2.投标人具有健全的财务会计制度的证明材料；</w:t>
      </w:r>
    </w:p>
    <w:p>
      <w:pPr>
        <w:pStyle w:val="44"/>
        <w:bidi w:val="0"/>
        <w:rPr>
          <w:rFonts w:hint="default"/>
          <w:lang w:val="en-US" w:eastAsia="zh-CN"/>
        </w:rPr>
      </w:pPr>
      <w:r>
        <w:rPr>
          <w:rFonts w:hint="eastAsia"/>
          <w:lang w:val="en-US" w:eastAsia="zh-CN"/>
        </w:rPr>
        <w:t>(1)投标人提供2019年度或2020年度经过会计师事务所审计的财务报告复印件(经审计的有效财务报告应包括报告及报告中所附的完整内容，并由注册会计师签名、盖章以及会计师事务所盖章)；</w:t>
      </w:r>
    </w:p>
    <w:p>
      <w:pPr>
        <w:pStyle w:val="44"/>
        <w:bidi w:val="0"/>
        <w:rPr>
          <w:rFonts w:hint="eastAsia"/>
          <w:lang w:val="en-US" w:eastAsia="zh-CN"/>
        </w:rPr>
      </w:pPr>
      <w:r>
        <w:rPr>
          <w:rFonts w:hint="eastAsia"/>
          <w:lang w:val="en-US" w:eastAsia="zh-CN"/>
        </w:rPr>
        <w:t>(2)投标人提供2020年度投标人内部的财务报表复印件(至少包含资产负债表)；</w:t>
      </w:r>
    </w:p>
    <w:p>
      <w:pPr>
        <w:pStyle w:val="44"/>
        <w:bidi w:val="0"/>
        <w:rPr>
          <w:rFonts w:hint="eastAsia"/>
          <w:lang w:val="en-US" w:eastAsia="zh-CN"/>
        </w:rPr>
      </w:pPr>
      <w:r>
        <w:rPr>
          <w:rFonts w:hint="eastAsia"/>
          <w:lang w:val="en-US" w:eastAsia="zh-CN"/>
        </w:rPr>
        <w:t>(3)投标人提供投标文件递交截止日前一年内银行为其出具的资信证明复印件；</w:t>
      </w:r>
    </w:p>
    <w:p>
      <w:pPr>
        <w:pStyle w:val="44"/>
        <w:bidi w:val="0"/>
        <w:rPr>
          <w:rFonts w:hint="eastAsia"/>
          <w:lang w:val="en-US" w:eastAsia="zh-CN"/>
        </w:rPr>
      </w:pPr>
      <w:r>
        <w:rPr>
          <w:rFonts w:hint="eastAsia"/>
          <w:lang w:val="en-US" w:eastAsia="zh-CN"/>
        </w:rPr>
        <w:t>(4)投标人注册时间截至投标文件递交截止日不足一年的，可提供公司章程复印件；</w:t>
      </w:r>
    </w:p>
    <w:p>
      <w:pPr>
        <w:pStyle w:val="44"/>
        <w:bidi w:val="0"/>
        <w:rPr>
          <w:rFonts w:hint="default"/>
          <w:lang w:val="en-US" w:eastAsia="zh-CN"/>
        </w:rPr>
      </w:pPr>
      <w:r>
        <w:rPr>
          <w:rFonts w:hint="eastAsia"/>
          <w:lang w:val="en-US" w:eastAsia="zh-CN"/>
        </w:rPr>
        <w:t>(5)投标人为</w:t>
      </w:r>
      <w:r>
        <w:rPr>
          <w:rFonts w:hint="eastAsia"/>
          <w:color w:val="auto"/>
        </w:rPr>
        <w:t>个体工商户</w:t>
      </w:r>
      <w:r>
        <w:rPr>
          <w:rFonts w:hint="eastAsia"/>
          <w:lang w:val="en-US" w:eastAsia="zh-CN"/>
        </w:rPr>
        <w:t>时，可提供承诺函。</w:t>
      </w:r>
    </w:p>
    <w:p>
      <w:pPr>
        <w:pStyle w:val="45"/>
        <w:bidi w:val="0"/>
        <w:rPr>
          <w:rFonts w:hint="eastAsia"/>
        </w:rPr>
      </w:pPr>
      <w:r>
        <w:rPr>
          <w:rFonts w:hint="eastAsia"/>
          <w:b/>
          <w:bCs/>
          <w:lang w:val="en-US" w:eastAsia="zh-CN"/>
        </w:rPr>
        <w:t>注：具有健全的财务会计制度的证明材料中第(1)-(5)项具有同等的投标效力，投标人可根据自身实际情况选择提供其中任意一项。</w:t>
      </w:r>
    </w:p>
    <w:p>
      <w:pPr>
        <w:pStyle w:val="30"/>
        <w:numPr>
          <w:ilvl w:val="1"/>
          <w:numId w:val="25"/>
        </w:numPr>
        <w:bidi w:val="0"/>
        <w:rPr>
          <w:rFonts w:hint="eastAsia"/>
          <w:b/>
          <w:bCs/>
        </w:rPr>
      </w:pPr>
      <w:r>
        <w:rPr>
          <w:rFonts w:hint="eastAsia"/>
          <w:b/>
          <w:bCs/>
          <w:lang w:val="en-US" w:eastAsia="zh-CN"/>
        </w:rPr>
        <w:t>投标人</w:t>
      </w:r>
      <w:r>
        <w:rPr>
          <w:rFonts w:hint="eastAsia"/>
          <w:b/>
          <w:bCs/>
        </w:rPr>
        <w:t>具有履行合同所必需的设备和专业技术能力</w:t>
      </w:r>
      <w:r>
        <w:rPr>
          <w:rFonts w:hint="eastAsia"/>
          <w:b/>
          <w:bCs/>
          <w:lang w:val="en-US" w:eastAsia="zh-CN"/>
        </w:rPr>
        <w:t>证明材料；</w:t>
      </w:r>
    </w:p>
    <w:p>
      <w:pPr>
        <w:pStyle w:val="44"/>
        <w:bidi w:val="0"/>
        <w:rPr>
          <w:rFonts w:hint="eastAsia"/>
          <w:lang w:val="en-US" w:eastAsia="zh-CN"/>
        </w:rPr>
      </w:pPr>
      <w:r>
        <w:rPr>
          <w:rFonts w:hint="eastAsia"/>
          <w:lang w:val="en-US" w:eastAsia="zh-CN"/>
        </w:rPr>
        <w:t>提供具有履行合同所必需的设备和专业技术能力的承诺函。</w:t>
      </w:r>
    </w:p>
    <w:p>
      <w:pPr>
        <w:pStyle w:val="45"/>
        <w:bidi w:val="0"/>
        <w:rPr>
          <w:rFonts w:hint="eastAsia"/>
          <w:lang w:val="en-US" w:eastAsia="zh-CN"/>
        </w:rPr>
      </w:pPr>
      <w:r>
        <w:rPr>
          <w:rFonts w:hint="eastAsia"/>
          <w:lang w:val="en-US" w:eastAsia="zh-CN"/>
        </w:rPr>
        <w:t>注：格式自拟，或参照《符合&lt;中华人民共和国政府采购法&gt;第二十二条规定的条件的承诺及声明函》的格式提供承诺函。</w:t>
      </w:r>
    </w:p>
    <w:p>
      <w:pPr>
        <w:pStyle w:val="30"/>
        <w:numPr>
          <w:ilvl w:val="1"/>
          <w:numId w:val="25"/>
        </w:numPr>
        <w:bidi w:val="0"/>
        <w:rPr>
          <w:rFonts w:hint="eastAsia"/>
          <w:b/>
          <w:bCs/>
        </w:rPr>
      </w:pPr>
      <w:r>
        <w:rPr>
          <w:rFonts w:hint="eastAsia"/>
          <w:b/>
          <w:bCs/>
          <w:lang w:val="en-US" w:eastAsia="zh-CN"/>
        </w:rPr>
        <w:t>投标人具</w:t>
      </w:r>
      <w:r>
        <w:rPr>
          <w:rFonts w:hint="eastAsia"/>
          <w:b/>
          <w:bCs/>
        </w:rPr>
        <w:t>有依法缴纳税收和社会保障资金的良好记录</w:t>
      </w:r>
      <w:r>
        <w:rPr>
          <w:rFonts w:hint="eastAsia"/>
          <w:b/>
          <w:bCs/>
          <w:lang w:val="en-US" w:eastAsia="zh-CN"/>
        </w:rPr>
        <w:t>的证明材料；</w:t>
      </w:r>
    </w:p>
    <w:p>
      <w:pPr>
        <w:pStyle w:val="44"/>
        <w:bidi w:val="0"/>
        <w:rPr>
          <w:rFonts w:hint="eastAsia"/>
        </w:rPr>
      </w:pPr>
      <w:r>
        <w:rPr>
          <w:rFonts w:hint="eastAsia"/>
        </w:rPr>
        <w:t>提供</w:t>
      </w:r>
      <w:r>
        <w:rPr>
          <w:rFonts w:hint="eastAsia"/>
          <w:lang w:val="en-US" w:eastAsia="zh-CN"/>
        </w:rPr>
        <w:t>具有</w:t>
      </w:r>
      <w:r>
        <w:rPr>
          <w:rFonts w:hint="eastAsia"/>
          <w:lang w:val="zh-CN"/>
        </w:rPr>
        <w:t>依法缴纳税收和社会保障资金的良好记录</w:t>
      </w:r>
      <w:r>
        <w:rPr>
          <w:rFonts w:hint="eastAsia"/>
        </w:rPr>
        <w:t>的承诺函</w:t>
      </w:r>
      <w:r>
        <w:rPr>
          <w:rFonts w:hint="eastAsia"/>
          <w:lang w:eastAsia="zh-CN"/>
        </w:rPr>
        <w:t>。</w:t>
      </w:r>
    </w:p>
    <w:p>
      <w:pPr>
        <w:pStyle w:val="45"/>
        <w:bidi w:val="0"/>
        <w:rPr>
          <w:rFonts w:hint="default"/>
          <w:lang w:val="en-US" w:eastAsia="zh-CN"/>
        </w:rPr>
      </w:pPr>
      <w:r>
        <w:rPr>
          <w:rFonts w:hint="eastAsia"/>
          <w:lang w:val="en-US" w:eastAsia="zh-CN"/>
        </w:rPr>
        <w:t>注：格式自拟，或参照《符合&lt;中华人民共和国政府采购法&gt;第二十二条规定的条件的承诺及声明函》的格式提供承诺函。</w:t>
      </w:r>
    </w:p>
    <w:p>
      <w:pPr>
        <w:pStyle w:val="30"/>
        <w:numPr>
          <w:ilvl w:val="1"/>
          <w:numId w:val="25"/>
        </w:numPr>
        <w:bidi w:val="0"/>
        <w:rPr>
          <w:rFonts w:hint="eastAsia"/>
          <w:b/>
          <w:bCs/>
          <w:lang w:eastAsia="zh-CN"/>
        </w:rPr>
      </w:pPr>
      <w:r>
        <w:rPr>
          <w:rFonts w:hint="eastAsia"/>
          <w:b/>
          <w:bCs/>
          <w:lang w:val="en-US" w:eastAsia="zh-CN"/>
        </w:rPr>
        <w:t>投标人参加政府采购活动前三年内，在经营活动中没有重大违法记录的证明材料；</w:t>
      </w:r>
    </w:p>
    <w:p>
      <w:pPr>
        <w:pStyle w:val="44"/>
        <w:bidi w:val="0"/>
        <w:rPr>
          <w:rFonts w:hint="eastAsia"/>
          <w:lang w:val="en-US" w:eastAsia="zh-CN"/>
        </w:rPr>
      </w:pPr>
      <w:r>
        <w:rPr>
          <w:rFonts w:hint="eastAsia"/>
          <w:lang w:val="en-US" w:eastAsia="zh-CN"/>
        </w:rPr>
        <w:t>提供参加本次政府采购活动前三年内，在经营活动中没有重大违法记录的书面声明(成立不足三年的，从成立之日起计算)。</w:t>
      </w:r>
    </w:p>
    <w:p>
      <w:pPr>
        <w:pStyle w:val="30"/>
        <w:numPr>
          <w:ilvl w:val="1"/>
          <w:numId w:val="25"/>
        </w:numPr>
        <w:bidi w:val="0"/>
        <w:rPr>
          <w:rFonts w:hint="eastAsia" w:ascii="宋体" w:hAnsi="宋体" w:eastAsia="宋体" w:cs="宋体"/>
          <w:b/>
          <w:bCs/>
          <w:color w:val="auto"/>
          <w:highlight w:val="none"/>
        </w:rPr>
      </w:pPr>
      <w:r>
        <w:rPr>
          <w:rFonts w:hint="eastAsia"/>
          <w:b/>
          <w:bCs/>
          <w:lang w:val="en-US" w:eastAsia="zh-CN"/>
        </w:rPr>
        <w:t>投标</w:t>
      </w:r>
      <w:r>
        <w:rPr>
          <w:rFonts w:hint="eastAsia" w:ascii="宋体" w:hAnsi="宋体" w:eastAsia="宋体" w:cs="宋体"/>
          <w:b/>
          <w:bCs/>
          <w:color w:val="auto"/>
          <w:highlight w:val="none"/>
          <w:lang w:val="en-US" w:eastAsia="zh-CN"/>
        </w:rPr>
        <w:t>人</w:t>
      </w:r>
      <w:r>
        <w:rPr>
          <w:rFonts w:hint="eastAsia" w:ascii="宋体" w:hAnsi="宋体" w:eastAsia="宋体" w:cs="宋体"/>
          <w:b/>
          <w:bCs/>
          <w:color w:val="auto"/>
          <w:highlight w:val="none"/>
          <w:lang w:val="zh-CN" w:eastAsia="zh-CN"/>
        </w:rPr>
        <w:t>及其现任法定代表人、主要负责人不得具有行贿犯罪记录</w:t>
      </w:r>
      <w:r>
        <w:rPr>
          <w:rFonts w:hint="eastAsia" w:ascii="宋体" w:hAnsi="宋体" w:eastAsia="宋体" w:cs="宋体"/>
          <w:b/>
          <w:bCs/>
          <w:color w:val="auto"/>
          <w:highlight w:val="none"/>
          <w:lang w:val="en-US" w:eastAsia="zh-CN"/>
        </w:rPr>
        <w:t>的证明材料</w:t>
      </w:r>
      <w:r>
        <w:rPr>
          <w:rFonts w:hint="eastAsia" w:ascii="宋体" w:hAnsi="宋体" w:eastAsia="宋体" w:cs="宋体"/>
          <w:b/>
          <w:bCs/>
          <w:color w:val="auto"/>
          <w:highlight w:val="none"/>
          <w:lang w:val="zh-CN" w:eastAsia="zh-CN"/>
        </w:rPr>
        <w:t>；</w:t>
      </w:r>
    </w:p>
    <w:p>
      <w:pPr>
        <w:pStyle w:val="45"/>
        <w:bidi w:val="0"/>
        <w:jc w:val="both"/>
        <w:rPr>
          <w:rFonts w:hint="eastAsia"/>
          <w:b w:val="0"/>
          <w:bCs/>
          <w:color w:val="auto"/>
          <w:highlight w:val="none"/>
          <w:lang w:val="en-US" w:eastAsia="zh-CN"/>
        </w:rPr>
      </w:pPr>
      <w:r>
        <w:rPr>
          <w:rFonts w:hint="eastAsia"/>
          <w:b w:val="0"/>
          <w:bCs/>
          <w:color w:val="auto"/>
          <w:highlight w:val="none"/>
          <w:lang w:val="en-US" w:eastAsia="zh-CN"/>
        </w:rPr>
        <w:t>1.在投标文件中作出投标人及其现任法定代表人(姓名和身份证号码)、主要负责人(姓名和身份证号码)10年内(</w:t>
      </w:r>
      <w:r>
        <w:rPr>
          <w:rFonts w:hint="eastAsia"/>
          <w:b w:val="0"/>
          <w:bCs/>
          <w:color w:val="auto"/>
          <w:highlight w:val="none"/>
          <w:lang w:val="zh-CN" w:eastAsia="zh-CN"/>
        </w:rPr>
        <w:t>若</w:t>
      </w:r>
      <w:r>
        <w:rPr>
          <w:rFonts w:hint="eastAsia"/>
          <w:b w:val="0"/>
          <w:bCs/>
          <w:color w:val="auto"/>
          <w:highlight w:val="none"/>
          <w:lang w:val="en-US" w:eastAsia="zh-CN"/>
        </w:rPr>
        <w:t>供应商</w:t>
      </w:r>
      <w:r>
        <w:rPr>
          <w:rFonts w:hint="eastAsia"/>
          <w:b w:val="0"/>
          <w:bCs/>
          <w:color w:val="auto"/>
          <w:highlight w:val="none"/>
          <w:lang w:val="zh-CN" w:eastAsia="zh-CN"/>
        </w:rPr>
        <w:t>成立不足10年的，</w:t>
      </w:r>
      <w:r>
        <w:rPr>
          <w:rFonts w:hint="eastAsia"/>
          <w:b w:val="0"/>
          <w:bCs/>
          <w:color w:val="auto"/>
          <w:highlight w:val="none"/>
          <w:lang w:val="en-US" w:eastAsia="zh-CN"/>
        </w:rPr>
        <w:t>承诺期限为</w:t>
      </w:r>
      <w:r>
        <w:rPr>
          <w:rFonts w:hint="eastAsia"/>
          <w:b w:val="0"/>
          <w:bCs/>
          <w:color w:val="auto"/>
          <w:highlight w:val="none"/>
          <w:lang w:val="zh-CN" w:eastAsia="zh-CN"/>
        </w:rPr>
        <w:t>成立之日起</w:t>
      </w:r>
      <w:r>
        <w:rPr>
          <w:rFonts w:hint="eastAsia"/>
          <w:b w:val="0"/>
          <w:bCs/>
          <w:color w:val="auto"/>
          <w:highlight w:val="none"/>
          <w:lang w:val="en-US" w:eastAsia="zh-CN"/>
        </w:rPr>
        <w:t>至今)无行贿犯罪记录的承诺；</w:t>
      </w:r>
    </w:p>
    <w:p>
      <w:pPr>
        <w:pStyle w:val="45"/>
        <w:bidi w:val="0"/>
        <w:jc w:val="both"/>
        <w:rPr>
          <w:rFonts w:hint="eastAsia"/>
          <w:b w:val="0"/>
          <w:bCs/>
          <w:color w:val="auto"/>
          <w:highlight w:val="none"/>
          <w:lang w:val="zh-CN" w:eastAsia="zh-CN"/>
        </w:rPr>
      </w:pPr>
      <w:r>
        <w:rPr>
          <w:rFonts w:hint="eastAsia"/>
          <w:b w:val="0"/>
          <w:bCs/>
          <w:color w:val="auto"/>
          <w:highlight w:val="none"/>
          <w:lang w:val="en-US" w:eastAsia="zh-CN"/>
        </w:rPr>
        <w:t>2.投标人未提供有效承诺函的，则需要在投标文件中书面载明其“现任法定代表人”(姓名和身份证号码)、“主要负责人”(姓名和身份证号码)信息，由采购代理机构通过“中国裁判文书网”查询，并将查询记录存档，查询结果与承诺函具有同等效力</w:t>
      </w:r>
      <w:r>
        <w:rPr>
          <w:rFonts w:hint="eastAsia"/>
          <w:b w:val="0"/>
          <w:bCs/>
          <w:color w:val="auto"/>
          <w:highlight w:val="none"/>
          <w:lang w:val="zh-CN" w:eastAsia="zh-CN"/>
        </w:rPr>
        <w:t>。</w:t>
      </w:r>
    </w:p>
    <w:p>
      <w:pPr>
        <w:pStyle w:val="61"/>
        <w:keepNext w:val="0"/>
        <w:keepLines w:val="0"/>
        <w:pageBreakBefore w:val="0"/>
        <w:widowControl w:val="0"/>
        <w:numPr>
          <w:ilvl w:val="3"/>
          <w:numId w:val="0"/>
        </w:numPr>
        <w:kinsoku/>
        <w:wordWrap w:val="0"/>
        <w:overflowPunct/>
        <w:topLinePunct/>
        <w:autoSpaceDE/>
        <w:autoSpaceDN/>
        <w:bidi w:val="0"/>
        <w:adjustRightInd w:val="0"/>
        <w:snapToGrid w:val="0"/>
        <w:ind w:leftChars="0" w:firstLine="482" w:firstLineChars="200"/>
        <w:textAlignment w:val="auto"/>
        <w:rPr>
          <w:rFonts w:hint="default"/>
          <w:b/>
          <w:bCs/>
          <w:lang w:val="en-US" w:eastAsia="zh-CN"/>
        </w:rPr>
      </w:pPr>
      <w:r>
        <w:rPr>
          <w:rFonts w:hint="eastAsia"/>
          <w:b/>
          <w:bCs/>
          <w:color w:val="auto"/>
          <w:highlight w:val="none"/>
          <w:lang w:val="en-US" w:eastAsia="zh-CN"/>
        </w:rPr>
        <w:t>注：</w:t>
      </w:r>
      <w:r>
        <w:rPr>
          <w:rFonts w:hint="eastAsia"/>
          <w:b/>
          <w:bCs/>
          <w:color w:val="auto"/>
          <w:highlight w:val="none"/>
          <w:lang w:eastAsia="zh-CN"/>
        </w:rPr>
        <w:t>①</w:t>
      </w:r>
      <w:r>
        <w:rPr>
          <w:rFonts w:hint="eastAsia"/>
          <w:b/>
          <w:bCs/>
          <w:color w:val="auto"/>
          <w:highlight w:val="none"/>
          <w:lang w:val="en-US" w:eastAsia="zh-CN"/>
        </w:rPr>
        <w:t>投标人采用提供承诺函方式响应的，其内容必须符合上述第1款的要求，否则将视为无效承诺；</w:t>
      </w:r>
      <w:r>
        <w:rPr>
          <w:rFonts w:hint="eastAsia"/>
          <w:b/>
          <w:bCs/>
          <w:color w:val="auto"/>
          <w:highlight w:val="none"/>
          <w:lang w:eastAsia="zh-CN"/>
        </w:rPr>
        <w:t>②</w:t>
      </w:r>
      <w:r>
        <w:rPr>
          <w:rFonts w:hint="eastAsia"/>
          <w:b/>
          <w:bCs/>
          <w:color w:val="auto"/>
          <w:highlight w:val="none"/>
          <w:lang w:val="en-US" w:eastAsia="zh-CN"/>
        </w:rPr>
        <w:t>如投标人未提供有效承诺函，且未</w:t>
      </w:r>
      <w:r>
        <w:rPr>
          <w:rFonts w:hint="eastAsia"/>
          <w:b/>
          <w:bCs w:val="0"/>
          <w:color w:val="auto"/>
          <w:highlight w:val="none"/>
          <w:lang w:val="en-US" w:eastAsia="zh-CN"/>
        </w:rPr>
        <w:t>在投标文件中书面载明</w:t>
      </w:r>
      <w:r>
        <w:rPr>
          <w:rFonts w:hint="eastAsia"/>
          <w:b/>
          <w:bCs/>
          <w:color w:val="auto"/>
          <w:highlight w:val="none"/>
          <w:lang w:val="en-US" w:eastAsia="zh-CN"/>
        </w:rPr>
        <w:t>其“现任法定代表人”(姓名和身份证号码)、“主要负责人”(姓名和身份证号码)信息的，将被视为无效投标。</w:t>
      </w:r>
    </w:p>
    <w:p>
      <w:pPr>
        <w:pStyle w:val="30"/>
        <w:numPr>
          <w:ilvl w:val="1"/>
          <w:numId w:val="25"/>
        </w:numPr>
        <w:bidi w:val="0"/>
        <w:rPr>
          <w:rFonts w:hint="eastAsia"/>
          <w:b/>
          <w:bCs/>
        </w:rPr>
      </w:pPr>
      <w:r>
        <w:rPr>
          <w:rFonts w:hint="eastAsia"/>
          <w:b/>
          <w:bCs/>
          <w:lang w:val="en-US" w:eastAsia="zh-CN"/>
        </w:rPr>
        <w:t>投标供应商不得为“信用中国”网站(www.creditchina.gov.cn)中列入失信被执行人和重大税收违法案件当事人名单的供应商，不得为“中国政府采购网”(www.ccgp.gov.cn)</w:t>
      </w:r>
      <w:r>
        <w:rPr>
          <w:rFonts w:hint="eastAsia"/>
          <w:b/>
          <w:bCs/>
        </w:rPr>
        <w:t>政府采购严重违法失信行为记录名单中被财政部门禁止参加政府采购活动的供应商</w:t>
      </w:r>
      <w:r>
        <w:rPr>
          <w:rFonts w:hint="eastAsia"/>
          <w:b/>
          <w:bCs/>
          <w:lang w:eastAsia="zh-CN"/>
        </w:rPr>
        <w:t>(</w:t>
      </w:r>
      <w:r>
        <w:rPr>
          <w:rFonts w:hint="eastAsia"/>
          <w:b/>
          <w:bCs/>
        </w:rPr>
        <w:t>处罚决定规定的时间和地域范围内</w:t>
      </w:r>
      <w:r>
        <w:rPr>
          <w:rFonts w:hint="eastAsia"/>
          <w:b/>
          <w:bCs/>
          <w:lang w:eastAsia="zh-CN"/>
        </w:rPr>
        <w:t>)；</w:t>
      </w:r>
      <w:r>
        <w:rPr>
          <w:rFonts w:hint="eastAsia"/>
          <w:b/>
          <w:bCs/>
          <w:lang w:val="en-US" w:eastAsia="zh-CN"/>
        </w:rPr>
        <w:t xml:space="preserve"> </w:t>
      </w:r>
    </w:p>
    <w:p>
      <w:pPr>
        <w:pStyle w:val="44"/>
        <w:bidi w:val="0"/>
        <w:rPr>
          <w:rFonts w:hint="eastAsia"/>
        </w:rPr>
      </w:pPr>
      <w:r>
        <w:rPr>
          <w:rFonts w:hint="eastAsia"/>
        </w:rPr>
        <w:t>采购代理机构通过</w:t>
      </w:r>
      <w:r>
        <w:rPr>
          <w:rFonts w:hint="eastAsia"/>
          <w:lang w:eastAsia="zh-CN"/>
        </w:rPr>
        <w:t>“</w:t>
      </w:r>
      <w:r>
        <w:rPr>
          <w:rFonts w:hint="eastAsia"/>
        </w:rPr>
        <w:t>信用中国</w:t>
      </w:r>
      <w:r>
        <w:rPr>
          <w:rFonts w:hint="eastAsia"/>
          <w:lang w:eastAsia="zh-CN"/>
        </w:rPr>
        <w:t>”</w:t>
      </w:r>
      <w:r>
        <w:rPr>
          <w:rFonts w:hint="eastAsia"/>
        </w:rPr>
        <w:t>网站、</w:t>
      </w:r>
      <w:r>
        <w:rPr>
          <w:rFonts w:hint="eastAsia"/>
          <w:lang w:eastAsia="zh-CN"/>
        </w:rPr>
        <w:t>“</w:t>
      </w:r>
      <w:r>
        <w:rPr>
          <w:rFonts w:hint="eastAsia"/>
        </w:rPr>
        <w:t>中国政府采购网</w:t>
      </w:r>
      <w:r>
        <w:rPr>
          <w:rFonts w:hint="eastAsia"/>
          <w:lang w:eastAsia="zh-CN"/>
        </w:rPr>
        <w:t>”</w:t>
      </w:r>
      <w:r>
        <w:rPr>
          <w:rFonts w:hint="eastAsia"/>
        </w:rPr>
        <w:t>等渠道对供应商进行信用记录查询，并将查询记录存档</w:t>
      </w:r>
      <w:r>
        <w:rPr>
          <w:rFonts w:hint="eastAsia"/>
          <w:lang w:val="en-US" w:eastAsia="zh-CN"/>
        </w:rPr>
        <w:t>(纸质截图或电子介质)</w:t>
      </w:r>
      <w:r>
        <w:rPr>
          <w:rFonts w:hint="eastAsia"/>
        </w:rPr>
        <w:t>。凡被列入失信被执行人、重大税收违法案件当事人名单、政府采购严重违法失信行</w:t>
      </w:r>
      <w:r>
        <w:rPr>
          <w:rFonts w:hint="eastAsia" w:ascii="宋体" w:hAnsi="宋体" w:eastAsia="宋体"/>
        </w:rPr>
        <w:t>为记录名单的，视为存在不良信用记录，参与本项目的将被拒绝；</w:t>
      </w:r>
    </w:p>
    <w:p>
      <w:pPr>
        <w:pStyle w:val="45"/>
        <w:bidi w:val="0"/>
        <w:rPr>
          <w:rFonts w:hint="eastAsia"/>
          <w:lang w:eastAsia="zh-CN"/>
        </w:rPr>
      </w:pPr>
      <w:r>
        <w:rPr>
          <w:rFonts w:hint="eastAsia"/>
          <w:lang w:val="en-US" w:eastAsia="zh-CN"/>
        </w:rPr>
        <w:t>注：投标人参与投标时无需对此条进行响应</w:t>
      </w:r>
      <w:r>
        <w:rPr>
          <w:rFonts w:hint="eastAsia"/>
          <w:lang w:eastAsia="zh-CN"/>
        </w:rPr>
        <w:t>。</w:t>
      </w:r>
    </w:p>
    <w:p>
      <w:pPr>
        <w:pStyle w:val="30"/>
        <w:numPr>
          <w:ilvl w:val="1"/>
          <w:numId w:val="25"/>
        </w:numPr>
        <w:bidi w:val="0"/>
        <w:rPr>
          <w:rFonts w:hint="eastAsia"/>
          <w:b/>
          <w:bCs/>
        </w:rPr>
      </w:pPr>
      <w:r>
        <w:rPr>
          <w:rFonts w:hint="eastAsia"/>
          <w:b/>
          <w:bCs/>
        </w:rPr>
        <w:t>法定代表人</w:t>
      </w:r>
      <w:r>
        <w:rPr>
          <w:rFonts w:hint="eastAsia"/>
          <w:b/>
          <w:bCs/>
          <w:lang w:val="en-US" w:eastAsia="zh-CN"/>
        </w:rPr>
        <w:t>/单位负责人</w:t>
      </w:r>
      <w:r>
        <w:rPr>
          <w:rFonts w:hint="eastAsia"/>
          <w:b/>
          <w:bCs/>
        </w:rPr>
        <w:t>授权书原件</w:t>
      </w:r>
      <w:r>
        <w:rPr>
          <w:rFonts w:hint="eastAsia"/>
          <w:b/>
          <w:bCs/>
          <w:lang w:val="en-US" w:eastAsia="zh-CN"/>
        </w:rPr>
        <w:t>；</w:t>
      </w:r>
    </w:p>
    <w:p>
      <w:pPr>
        <w:pStyle w:val="45"/>
        <w:bidi w:val="0"/>
        <w:rPr>
          <w:rFonts w:hint="eastAsia"/>
          <w:lang w:eastAsia="zh-CN"/>
        </w:rPr>
      </w:pPr>
      <w:r>
        <w:rPr>
          <w:rFonts w:hint="eastAsia"/>
          <w:lang w:val="en-US" w:eastAsia="zh-CN"/>
        </w:rPr>
        <w:t>注：</w:t>
      </w:r>
      <w:r>
        <w:rPr>
          <w:rFonts w:hint="eastAsia"/>
          <w:lang w:eastAsia="zh-CN"/>
        </w:rPr>
        <w:t>①附法定代表人</w:t>
      </w:r>
      <w:r>
        <w:rPr>
          <w:rFonts w:hint="eastAsia"/>
          <w:lang w:val="en-US" w:eastAsia="zh-CN"/>
        </w:rPr>
        <w:t>/单位负责人</w:t>
      </w:r>
      <w:r>
        <w:rPr>
          <w:rFonts w:hint="eastAsia"/>
          <w:lang w:eastAsia="zh-CN"/>
        </w:rPr>
        <w:t>和被授权人身份证正反面复印件；②法定代表人</w:t>
      </w:r>
      <w:r>
        <w:rPr>
          <w:rFonts w:hint="eastAsia"/>
          <w:lang w:val="en-US" w:eastAsia="zh-CN"/>
        </w:rPr>
        <w:t>/单位负责人亲自</w:t>
      </w:r>
      <w:r>
        <w:rPr>
          <w:rFonts w:hint="eastAsia"/>
          <w:lang w:eastAsia="zh-CN"/>
        </w:rPr>
        <w:t>参与</w:t>
      </w:r>
      <w:r>
        <w:rPr>
          <w:rFonts w:hint="eastAsia"/>
          <w:lang w:val="en-US" w:eastAsia="zh-CN"/>
        </w:rPr>
        <w:t>投标</w:t>
      </w:r>
      <w:r>
        <w:rPr>
          <w:rFonts w:hint="eastAsia"/>
          <w:lang w:eastAsia="zh-CN"/>
        </w:rPr>
        <w:t>时不需要提供。</w:t>
      </w:r>
    </w:p>
    <w:p>
      <w:pPr>
        <w:pStyle w:val="30"/>
        <w:numPr>
          <w:ilvl w:val="1"/>
          <w:numId w:val="25"/>
        </w:numPr>
        <w:bidi w:val="0"/>
        <w:rPr>
          <w:rFonts w:hint="eastAsia"/>
          <w:b/>
          <w:bCs/>
        </w:rPr>
      </w:pPr>
      <w:r>
        <w:rPr>
          <w:rFonts w:hint="eastAsia"/>
          <w:b/>
          <w:bCs/>
        </w:rPr>
        <w:t>法定代表人</w:t>
      </w:r>
      <w:r>
        <w:rPr>
          <w:rFonts w:hint="eastAsia"/>
          <w:b/>
          <w:bCs/>
          <w:lang w:val="en-US" w:eastAsia="zh-CN"/>
        </w:rPr>
        <w:t>/单位负责人</w:t>
      </w:r>
      <w:r>
        <w:rPr>
          <w:rFonts w:hint="eastAsia"/>
          <w:b/>
          <w:bCs/>
        </w:rPr>
        <w:t>证明书</w:t>
      </w:r>
      <w:r>
        <w:rPr>
          <w:rFonts w:hint="eastAsia"/>
          <w:b/>
          <w:bCs/>
          <w:lang w:val="en-US" w:eastAsia="zh-CN"/>
        </w:rPr>
        <w:t>；</w:t>
      </w:r>
    </w:p>
    <w:p>
      <w:pPr>
        <w:pStyle w:val="45"/>
        <w:bidi w:val="0"/>
        <w:rPr>
          <w:rFonts w:hint="eastAsia"/>
          <w:lang w:val="en-US" w:eastAsia="zh-CN"/>
        </w:rPr>
      </w:pPr>
      <w:r>
        <w:rPr>
          <w:rFonts w:hint="eastAsia"/>
          <w:lang w:val="en-US" w:eastAsia="zh-CN"/>
        </w:rPr>
        <w:t>注：①</w:t>
      </w:r>
      <w:r>
        <w:rPr>
          <w:rFonts w:hint="eastAsia"/>
          <w:lang w:eastAsia="zh-CN"/>
        </w:rPr>
        <w:t>附</w:t>
      </w:r>
      <w:r>
        <w:rPr>
          <w:rFonts w:hint="eastAsia"/>
          <w:lang w:val="en-US" w:eastAsia="zh-CN"/>
        </w:rPr>
        <w:t>法定代表人/单位负责人身份证正反面复印件；②法定代表人/单位负责人亲自参加投标时提供本证明书。</w:t>
      </w:r>
    </w:p>
    <w:p>
      <w:pPr>
        <w:pStyle w:val="30"/>
        <w:numPr>
          <w:ilvl w:val="1"/>
          <w:numId w:val="25"/>
        </w:numPr>
        <w:bidi w:val="0"/>
        <w:rPr>
          <w:rFonts w:hint="eastAsia"/>
          <w:b/>
          <w:bCs/>
        </w:rPr>
      </w:pPr>
      <w:r>
        <w:rPr>
          <w:rFonts w:hint="eastAsia"/>
          <w:b/>
          <w:bCs/>
          <w:lang w:val="en-US" w:eastAsia="zh-CN"/>
        </w:rPr>
        <w:t>法律、</w:t>
      </w:r>
      <w:r>
        <w:rPr>
          <w:rFonts w:hint="eastAsia"/>
          <w:b/>
          <w:bCs/>
          <w:lang w:val="en-US" w:eastAsia="zh-CN"/>
        </w:rPr>
        <w:fldChar w:fldCharType="begin"/>
      </w:r>
      <w:r>
        <w:rPr>
          <w:rFonts w:hint="eastAsia"/>
          <w:b/>
          <w:bCs/>
          <w:lang w:val="en-US" w:eastAsia="zh-CN"/>
        </w:rPr>
        <w:instrText xml:space="preserve"> HYPERLINK "http://www.lawtime.cn/info/sifakaoshi/xingzhengfa/" \t "_blank" </w:instrText>
      </w:r>
      <w:r>
        <w:rPr>
          <w:rFonts w:hint="eastAsia"/>
          <w:b/>
          <w:bCs/>
          <w:lang w:val="en-US" w:eastAsia="zh-CN"/>
        </w:rPr>
        <w:fldChar w:fldCharType="separate"/>
      </w:r>
      <w:r>
        <w:rPr>
          <w:rFonts w:hint="eastAsia"/>
          <w:b/>
          <w:bCs/>
          <w:lang w:val="en-US" w:eastAsia="zh-CN"/>
        </w:rPr>
        <w:t>行政法</w:t>
      </w:r>
      <w:r>
        <w:rPr>
          <w:rFonts w:hint="eastAsia"/>
          <w:b/>
          <w:bCs/>
          <w:lang w:val="en-US" w:eastAsia="zh-CN"/>
        </w:rPr>
        <w:fldChar w:fldCharType="end"/>
      </w:r>
      <w:r>
        <w:rPr>
          <w:rFonts w:hint="eastAsia"/>
          <w:b/>
          <w:bCs/>
          <w:lang w:val="en-US" w:eastAsia="zh-CN"/>
        </w:rPr>
        <w:t>规规定的其他条件的证明材料；</w:t>
      </w:r>
    </w:p>
    <w:p>
      <w:pPr>
        <w:pStyle w:val="44"/>
        <w:bidi w:val="0"/>
        <w:rPr>
          <w:rFonts w:hint="eastAsia"/>
          <w:lang w:val="en-US" w:eastAsia="zh-CN"/>
        </w:rPr>
      </w:pPr>
      <w:r>
        <w:rPr>
          <w:rFonts w:hint="eastAsia"/>
          <w:lang w:val="en-US" w:eastAsia="zh-CN"/>
        </w:rPr>
        <w:t>提供符合法律、</w:t>
      </w:r>
      <w:r>
        <w:rPr>
          <w:rFonts w:hint="eastAsia"/>
          <w:lang w:val="en-US" w:eastAsia="zh-CN"/>
        </w:rPr>
        <w:fldChar w:fldCharType="begin"/>
      </w:r>
      <w:r>
        <w:rPr>
          <w:rFonts w:hint="eastAsia"/>
          <w:lang w:val="en-US" w:eastAsia="zh-CN"/>
        </w:rPr>
        <w:instrText xml:space="preserve"> HYPERLINK "http://www.lawtime.cn/info/sifakaoshi/xingzhengfa/" \t "_blank" </w:instrText>
      </w:r>
      <w:r>
        <w:rPr>
          <w:rFonts w:hint="eastAsia"/>
          <w:lang w:val="en-US" w:eastAsia="zh-CN"/>
        </w:rPr>
        <w:fldChar w:fldCharType="separate"/>
      </w:r>
      <w:r>
        <w:rPr>
          <w:rFonts w:hint="eastAsia"/>
          <w:lang w:val="en-US" w:eastAsia="zh-CN"/>
        </w:rPr>
        <w:t>行政法</w:t>
      </w:r>
      <w:r>
        <w:rPr>
          <w:rFonts w:hint="eastAsia"/>
          <w:lang w:val="en-US" w:eastAsia="zh-CN"/>
        </w:rPr>
        <w:fldChar w:fldCharType="end"/>
      </w:r>
      <w:r>
        <w:rPr>
          <w:rFonts w:hint="eastAsia"/>
          <w:lang w:val="en-US" w:eastAsia="zh-CN"/>
        </w:rPr>
        <w:t>规规定的其他条件的承诺函。</w:t>
      </w:r>
    </w:p>
    <w:p>
      <w:pPr>
        <w:pStyle w:val="30"/>
        <w:numPr>
          <w:ilvl w:val="1"/>
          <w:numId w:val="25"/>
        </w:numPr>
        <w:bidi w:val="0"/>
        <w:rPr>
          <w:rFonts w:hint="eastAsia"/>
          <w:b/>
          <w:bCs/>
        </w:rPr>
      </w:pPr>
      <w:r>
        <w:rPr>
          <w:rFonts w:hint="eastAsia"/>
          <w:b/>
          <w:bCs/>
        </w:rPr>
        <w:t>根据采购项目的特殊要求，规定供应商的特定条件</w:t>
      </w:r>
      <w:r>
        <w:rPr>
          <w:rFonts w:hint="eastAsia"/>
          <w:b/>
          <w:bCs/>
          <w:lang w:val="en-US" w:eastAsia="zh-CN"/>
        </w:rPr>
        <w:t>的证明材料；</w:t>
      </w:r>
    </w:p>
    <w:p>
      <w:pPr>
        <w:pStyle w:val="44"/>
        <w:bidi w:val="0"/>
        <w:rPr>
          <w:rFonts w:hint="eastAsia"/>
          <w:lang w:val="en-US" w:eastAsia="zh-CN"/>
        </w:rPr>
      </w:pPr>
      <w:r>
        <w:rPr>
          <w:rFonts w:hint="eastAsia" w:ascii="宋体" w:hAnsi="宋体" w:eastAsia="宋体"/>
          <w:highlight w:val="none"/>
          <w:lang w:val="en-US" w:eastAsia="zh-CN"/>
        </w:rPr>
        <w:t>投标人</w:t>
      </w:r>
      <w:r>
        <w:rPr>
          <w:rFonts w:hint="eastAsia"/>
          <w:highlight w:val="none"/>
          <w:lang w:val="en-US" w:eastAsia="zh-CN"/>
        </w:rPr>
        <w:t>提供</w:t>
      </w:r>
      <w:r>
        <w:rPr>
          <w:rFonts w:hint="eastAsia" w:ascii="宋体" w:hAnsi="宋体" w:eastAsia="宋体"/>
          <w:highlight w:val="none"/>
          <w:lang w:val="en-US" w:eastAsia="zh-CN"/>
        </w:rPr>
        <w:t>交通运输主管部门颁发的公路工程试验检测综合甲级资质</w:t>
      </w:r>
      <w:r>
        <w:rPr>
          <w:rFonts w:hint="eastAsia"/>
          <w:highlight w:val="none"/>
          <w:lang w:val="en-US" w:eastAsia="zh-CN"/>
        </w:rPr>
        <w:t>证书复印件</w:t>
      </w:r>
      <w:r>
        <w:rPr>
          <w:rFonts w:hint="eastAsia" w:ascii="宋体" w:hAnsi="宋体" w:eastAsia="宋体"/>
          <w:highlight w:val="none"/>
          <w:lang w:val="en-US" w:eastAsia="zh-CN"/>
        </w:rPr>
        <w:t>，并</w:t>
      </w:r>
      <w:r>
        <w:rPr>
          <w:rFonts w:hint="eastAsia"/>
          <w:highlight w:val="none"/>
          <w:lang w:val="en-US" w:eastAsia="zh-CN"/>
        </w:rPr>
        <w:t>提供</w:t>
      </w:r>
      <w:r>
        <w:rPr>
          <w:rFonts w:hint="eastAsia" w:ascii="宋体" w:hAnsi="宋体" w:eastAsia="宋体"/>
          <w:highlight w:val="none"/>
          <w:lang w:val="en-US" w:eastAsia="zh-CN"/>
        </w:rPr>
        <w:t>省级及以上技术监督部门颁发的计量认证证书</w:t>
      </w:r>
      <w:r>
        <w:rPr>
          <w:rFonts w:hint="eastAsia"/>
          <w:highlight w:val="none"/>
          <w:lang w:val="en-US" w:eastAsia="zh-CN"/>
        </w:rPr>
        <w:t>复印件</w:t>
      </w:r>
      <w:r>
        <w:rPr>
          <w:rFonts w:hint="eastAsia"/>
          <w:lang w:val="en-US" w:eastAsia="zh-CN"/>
        </w:rPr>
        <w:t>。</w:t>
      </w:r>
    </w:p>
    <w:p>
      <w:pPr>
        <w:pStyle w:val="30"/>
        <w:numPr>
          <w:ilvl w:val="1"/>
          <w:numId w:val="25"/>
        </w:numPr>
        <w:bidi w:val="0"/>
        <w:rPr>
          <w:rFonts w:hint="eastAsia"/>
          <w:b/>
          <w:bCs/>
          <w:lang w:val="zh-CN"/>
        </w:rPr>
      </w:pPr>
      <w:r>
        <w:rPr>
          <w:rFonts w:hint="eastAsia"/>
          <w:b/>
          <w:bCs/>
          <w:lang w:val="zh-CN" w:eastAsia="zh-CN"/>
        </w:rPr>
        <w:t>落实政府采购政策需满足的资格要求</w:t>
      </w:r>
      <w:r>
        <w:rPr>
          <w:rFonts w:hint="eastAsia"/>
          <w:b/>
          <w:bCs/>
          <w:lang w:val="zh-CN"/>
        </w:rPr>
        <w:t>：</w:t>
      </w:r>
    </w:p>
    <w:p>
      <w:pPr>
        <w:pStyle w:val="44"/>
        <w:bidi w:val="0"/>
        <w:rPr>
          <w:rFonts w:hint="eastAsia"/>
          <w:b w:val="0"/>
          <w:bCs/>
          <w:highlight w:val="none"/>
          <w:lang w:val="en-US" w:eastAsia="zh-CN"/>
        </w:rPr>
      </w:pPr>
      <w:r>
        <w:rPr>
          <w:rFonts w:hint="eastAsia"/>
          <w:b w:val="0"/>
          <w:bCs/>
          <w:highlight w:val="none"/>
          <w:lang w:val="en-US" w:eastAsia="zh-CN"/>
        </w:rPr>
        <w:t>提供中小企业声明函或监狱企业相关证明材料或残疾人福利性单位声明函。</w:t>
      </w:r>
    </w:p>
    <w:p>
      <w:pPr>
        <w:pStyle w:val="45"/>
        <w:bidi w:val="0"/>
      </w:pPr>
      <w:r>
        <w:rPr>
          <w:rFonts w:hint="eastAsia"/>
          <w:lang w:val="en-US" w:eastAsia="zh-CN"/>
        </w:rPr>
        <w:t>备</w:t>
      </w:r>
      <w:r>
        <w:rPr>
          <w:rFonts w:hint="eastAsia"/>
        </w:rPr>
        <w:t>注：①以上承诺及声明函可参照第三章投标文件格式中相关格式或自拟格式填写均有效。</w:t>
      </w:r>
    </w:p>
    <w:p>
      <w:pPr>
        <w:pStyle w:val="45"/>
        <w:bidi w:val="0"/>
        <w:rPr>
          <w:rFonts w:hint="eastAsia"/>
        </w:rPr>
      </w:pPr>
      <w:r>
        <w:rPr>
          <w:rFonts w:hint="eastAsia"/>
        </w:rPr>
        <w:t>②以上要求提供的相关证明材料须加盖投标人</w:t>
      </w:r>
      <w:r>
        <w:rPr>
          <w:rFonts w:hint="eastAsia"/>
          <w:lang w:val="en-US" w:eastAsia="zh-CN"/>
        </w:rPr>
        <w:t>电子签章</w:t>
      </w:r>
      <w:r>
        <w:rPr>
          <w:rFonts w:hint="eastAsia"/>
          <w:lang w:eastAsia="zh-CN"/>
        </w:rPr>
        <w:t>，</w:t>
      </w:r>
      <w:r>
        <w:rPr>
          <w:rFonts w:hint="eastAsia"/>
          <w:lang w:val="en-US" w:eastAsia="zh-CN"/>
        </w:rPr>
        <w:t>否则</w:t>
      </w:r>
      <w:r>
        <w:rPr>
          <w:rFonts w:hint="eastAsia"/>
        </w:rPr>
        <w:t>其资格审查作未通过处理。</w:t>
      </w:r>
    </w:p>
    <w:p>
      <w:pPr>
        <w:pStyle w:val="45"/>
        <w:bidi w:val="0"/>
      </w:pPr>
      <w:r>
        <w:rPr>
          <w:rFonts w:hint="eastAsia"/>
        </w:rPr>
        <w:t>③本项目资格审查仅限于本章涉及的所有内容，若供应商未按照以上要求提供齐全，其资格审查作未通过处理。</w:t>
      </w:r>
    </w:p>
    <w:p>
      <w:pPr>
        <w:pStyle w:val="45"/>
        <w:bidi w:val="0"/>
      </w:pPr>
      <w:r>
        <w:rPr>
          <w:rFonts w:hint="eastAsia"/>
        </w:rPr>
        <w:t>④投标人应对其所提供的资格证明材料来源的合法性、真实性承担法律责任。</w:t>
      </w:r>
    </w:p>
    <w:p>
      <w:pPr>
        <w:pStyle w:val="45"/>
        <w:bidi w:val="0"/>
      </w:pPr>
      <w:r>
        <w:rPr>
          <w:rFonts w:hint="eastAsia"/>
          <w:lang w:val="en-US" w:eastAsia="zh-CN"/>
        </w:rPr>
        <w:t>⑤</w:t>
      </w:r>
      <w:r>
        <w:rPr>
          <w:rFonts w:hint="eastAsia"/>
        </w:rPr>
        <w:t>以上要求提供的相关证明材料应当结合采购项目具体情况和投标人的组织机构性质确定，不得一概而论。</w:t>
      </w:r>
    </w:p>
    <w:p>
      <w:pPr>
        <w:pStyle w:val="32"/>
        <w:numPr>
          <w:ilvl w:val="1"/>
          <w:numId w:val="12"/>
        </w:numPr>
        <w:bidi w:val="0"/>
        <w:rPr>
          <w:rFonts w:hint="eastAsia"/>
          <w:lang w:eastAsia="zh-CN"/>
        </w:rPr>
      </w:pPr>
      <w:bookmarkStart w:id="958" w:name="_Toc3341"/>
      <w:bookmarkStart w:id="959" w:name="_Toc14213"/>
      <w:r>
        <w:rPr>
          <w:rFonts w:hint="eastAsia"/>
          <w:lang w:eastAsia="zh-CN"/>
        </w:rPr>
        <w:t>审查程序</w:t>
      </w:r>
      <w:bookmarkEnd w:id="954"/>
      <w:bookmarkEnd w:id="955"/>
      <w:bookmarkEnd w:id="956"/>
      <w:bookmarkEnd w:id="958"/>
      <w:bookmarkEnd w:id="959"/>
    </w:p>
    <w:p>
      <w:pPr>
        <w:pStyle w:val="30"/>
        <w:numPr>
          <w:ilvl w:val="1"/>
          <w:numId w:val="26"/>
        </w:numPr>
        <w:bidi w:val="0"/>
        <w:rPr>
          <w:rFonts w:hint="eastAsia"/>
          <w:lang w:eastAsia="zh-CN"/>
        </w:rPr>
      </w:pPr>
      <w:r>
        <w:rPr>
          <w:rFonts w:hint="eastAsia"/>
          <w:lang w:val="en-US" w:eastAsia="zh-CN"/>
        </w:rPr>
        <w:t>根据</w:t>
      </w:r>
      <w:r>
        <w:rPr>
          <w:rFonts w:hint="eastAsia"/>
        </w:rPr>
        <w:t>《政府采购货物和服务招标投标管理办法》</w:t>
      </w:r>
      <w:r>
        <w:rPr>
          <w:rFonts w:hint="eastAsia"/>
          <w:lang w:eastAsia="zh-CN"/>
        </w:rPr>
        <w:t>(</w:t>
      </w:r>
      <w:r>
        <w:rPr>
          <w:rFonts w:hint="eastAsia"/>
        </w:rPr>
        <w:t>财政部令第</w:t>
      </w:r>
      <w:r>
        <w:rPr>
          <w:rFonts w:hint="eastAsia"/>
          <w:lang w:val="en-US" w:eastAsia="zh-CN"/>
        </w:rPr>
        <w:t>87</w:t>
      </w:r>
      <w:r>
        <w:rPr>
          <w:rFonts w:hint="eastAsia"/>
        </w:rPr>
        <w:t>号</w:t>
      </w:r>
      <w:r>
        <w:rPr>
          <w:rFonts w:hint="eastAsia"/>
          <w:lang w:eastAsia="zh-CN"/>
        </w:rPr>
        <w:t>)第四十四条</w:t>
      </w:r>
      <w:r>
        <w:rPr>
          <w:rFonts w:hint="eastAsia"/>
        </w:rPr>
        <w:t>对投标人的资格进行审查。</w:t>
      </w:r>
    </w:p>
    <w:p>
      <w:pPr>
        <w:pStyle w:val="30"/>
        <w:numPr>
          <w:ilvl w:val="1"/>
          <w:numId w:val="26"/>
        </w:numPr>
        <w:bidi w:val="0"/>
        <w:rPr>
          <w:rFonts w:hint="eastAsia"/>
          <w:lang w:val="en-US" w:eastAsia="zh-CN"/>
        </w:rPr>
      </w:pPr>
      <w:r>
        <w:rPr>
          <w:rFonts w:hint="eastAsia"/>
          <w:lang w:val="en-US" w:eastAsia="zh-CN"/>
        </w:rPr>
        <w:t>本项目由</w:t>
      </w:r>
      <w:r>
        <w:rPr>
          <w:rFonts w:hint="eastAsia"/>
        </w:rPr>
        <w:t>采购人或者采购代理机构依法对投标人的资格进行审查</w:t>
      </w:r>
      <w:r>
        <w:rPr>
          <w:rFonts w:hint="eastAsia"/>
          <w:lang w:eastAsia="zh-CN"/>
        </w:rPr>
        <w:t>，并出具书面的资格性审查结果。</w:t>
      </w:r>
    </w:p>
    <w:p>
      <w:pPr>
        <w:pStyle w:val="30"/>
        <w:numPr>
          <w:ilvl w:val="1"/>
          <w:numId w:val="26"/>
        </w:numPr>
        <w:bidi w:val="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通过资格审查的投标人＜</w:t>
      </w:r>
      <w:r>
        <w:rPr>
          <w:rFonts w:hint="eastAsia"/>
          <w:color w:val="000000" w:themeColor="text1"/>
          <w14:textFill>
            <w14:solidFill>
              <w14:schemeClr w14:val="tx1"/>
            </w14:solidFill>
          </w14:textFill>
        </w:rPr>
        <w:t>3家，不得评标</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采购失败</w:t>
      </w:r>
      <w:r>
        <w:rPr>
          <w:rFonts w:hint="eastAsia"/>
          <w:color w:val="000000" w:themeColor="text1"/>
          <w:lang w:eastAsia="zh-CN"/>
          <w14:textFill>
            <w14:solidFill>
              <w14:schemeClr w14:val="tx1"/>
            </w14:solidFill>
          </w14:textFill>
        </w:rPr>
        <w:t>。</w:t>
      </w:r>
    </w:p>
    <w:p>
      <w:pPr>
        <w:pStyle w:val="30"/>
        <w:numPr>
          <w:ilvl w:val="1"/>
          <w:numId w:val="26"/>
        </w:num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资格性审查时因</w:t>
      </w:r>
      <w:r>
        <w:rPr>
          <w:rFonts w:hint="eastAsia"/>
          <w:color w:val="000000" w:themeColor="text1"/>
          <w:lang w:val="en-US" w:eastAsia="zh-CN"/>
          <w14:textFill>
            <w14:solidFill>
              <w14:schemeClr w14:val="tx1"/>
            </w14:solidFill>
          </w14:textFill>
        </w:rPr>
        <w:t>采购代理机构</w:t>
      </w:r>
      <w:r>
        <w:rPr>
          <w:rFonts w:hint="eastAsia"/>
          <w:color w:val="000000" w:themeColor="text1"/>
          <w14:textFill>
            <w14:solidFill>
              <w14:schemeClr w14:val="tx1"/>
            </w14:solidFill>
          </w14:textFill>
        </w:rPr>
        <w:t>断电、断网、系统故障或其他不可抗力等因素，导致资格审查小组无法通过系统阅读投标文件进行审查的，待系统恢复后继续审查。出现上述情况时，</w:t>
      </w:r>
      <w:r>
        <w:rPr>
          <w:rFonts w:hint="eastAsia"/>
          <w:color w:val="000000" w:themeColor="text1"/>
          <w:lang w:val="en-US" w:eastAsia="zh-CN"/>
          <w14:textFill>
            <w14:solidFill>
              <w14:schemeClr w14:val="tx1"/>
            </w14:solidFill>
          </w14:textFill>
        </w:rPr>
        <w:t>采购代理机构</w:t>
      </w:r>
      <w:r>
        <w:rPr>
          <w:rFonts w:hint="eastAsia"/>
          <w:color w:val="000000" w:themeColor="text1"/>
          <w14:textFill>
            <w14:solidFill>
              <w14:schemeClr w14:val="tx1"/>
            </w14:solidFill>
          </w14:textFill>
        </w:rPr>
        <w:t>将以电子邮件形式通知各投标人。</w:t>
      </w:r>
    </w:p>
    <w:p>
      <w:pPr>
        <w:pStyle w:val="30"/>
        <w:numPr>
          <w:ilvl w:val="1"/>
          <w:numId w:val="0"/>
        </w:numPr>
        <w:bidi w:val="0"/>
        <w:ind w:firstLine="482" w:firstLineChars="200"/>
        <w:rPr>
          <w:rFonts w:hint="eastAsia"/>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注：</w:t>
      </w:r>
      <w:r>
        <w:rPr>
          <w:rFonts w:hint="eastAsia"/>
          <w:color w:val="000000" w:themeColor="text1"/>
          <w:lang w:val="en-US" w:eastAsia="zh-CN"/>
          <w14:textFill>
            <w14:solidFill>
              <w14:schemeClr w14:val="tx1"/>
            </w14:solidFill>
          </w14:textFill>
        </w:rPr>
        <w:t>投标人的投标文件资格性审查时被判定为未通过的，采购代理机构将通知投标人（以短信、电话、“政府采购云平台”等任一方式）。投标人如对资格审查结论有异议的，应及时向采购代理机构反馈意见。采购代理机构将及时告知资格审查小组。（说明：无论投标人是否收到通知或提供反馈意见，均不影响资格审查和评标工作。投标人对资格审查结论有异议的，其反馈意见仅限于资格审查小组对资格审查结论的正确性进行复核，避免出现审查错误。）</w:t>
      </w:r>
    </w:p>
    <w:p>
      <w:pPr>
        <w:pStyle w:val="40"/>
        <w:bidi w:val="0"/>
        <w:rPr>
          <w:rFonts w:hint="eastAsia"/>
        </w:rPr>
      </w:pPr>
    </w:p>
    <w:p>
      <w:pPr>
        <w:pStyle w:val="46"/>
        <w:numPr>
          <w:ilvl w:val="0"/>
          <w:numId w:val="12"/>
        </w:numPr>
        <w:bidi w:val="0"/>
        <w:rPr>
          <w:rFonts w:hint="eastAsia"/>
        </w:rPr>
      </w:pPr>
      <w:r>
        <w:rPr>
          <w:rFonts w:hint="eastAsia"/>
        </w:rPr>
        <w:br w:type="page"/>
      </w:r>
      <w:bookmarkEnd w:id="957"/>
      <w:bookmarkStart w:id="960" w:name="_Toc14530"/>
      <w:bookmarkStart w:id="961" w:name="_Toc5955"/>
      <w:bookmarkStart w:id="962" w:name="_Toc29948"/>
      <w:r>
        <w:rPr>
          <w:rFonts w:hint="eastAsia"/>
        </w:rPr>
        <w:t>招标项目技术、服务、政府采购合同内容条款及其他商务要求</w:t>
      </w:r>
      <w:bookmarkEnd w:id="960"/>
      <w:bookmarkEnd w:id="961"/>
      <w:bookmarkEnd w:id="962"/>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482" w:firstLineChars="200"/>
        <w:jc w:val="left"/>
        <w:textAlignment w:val="auto"/>
        <w:outlineLvl w:val="1"/>
        <w:rPr>
          <w:rFonts w:hint="eastAsia" w:ascii="宋体" w:hAnsi="宋体" w:eastAsia="宋体" w:cs="宋体"/>
          <w:b/>
          <w:bCs/>
          <w:sz w:val="24"/>
          <w:szCs w:val="24"/>
          <w:lang w:val="en-US" w:eastAsia="zh-CN"/>
        </w:rPr>
      </w:pPr>
      <w:bookmarkStart w:id="963" w:name="_Toc9480"/>
      <w:bookmarkStart w:id="964" w:name="_Toc22777"/>
      <w:bookmarkStart w:id="965" w:name="_Toc28932"/>
      <w:bookmarkStart w:id="966" w:name="_Toc27469"/>
      <w:bookmarkStart w:id="967" w:name="_Toc1684"/>
      <w:bookmarkStart w:id="968" w:name="_Toc32159"/>
      <w:bookmarkStart w:id="969" w:name="_Toc319439948"/>
      <w:bookmarkStart w:id="970" w:name="_Toc327196343"/>
      <w:bookmarkStart w:id="971" w:name="_Toc29864"/>
      <w:bookmarkStart w:id="972" w:name="_Toc307564899"/>
      <w:bookmarkStart w:id="973" w:name="_Toc307501157"/>
      <w:bookmarkStart w:id="974" w:name="_Toc1839"/>
      <w:bookmarkStart w:id="975" w:name="_Toc12025"/>
      <w:bookmarkStart w:id="976" w:name="_Toc1541"/>
      <w:bookmarkStart w:id="977" w:name="_Toc308188201"/>
      <w:bookmarkStart w:id="978" w:name="_Toc309897566"/>
      <w:bookmarkStart w:id="979" w:name="_Toc319440192"/>
      <w:bookmarkStart w:id="980" w:name="_Toc23360"/>
      <w:bookmarkStart w:id="981" w:name="_Toc308084648"/>
      <w:bookmarkStart w:id="982" w:name="_Toc217446060"/>
      <w:bookmarkStart w:id="983" w:name="_Toc217446099"/>
      <w:r>
        <w:rPr>
          <w:rFonts w:hint="eastAsia" w:ascii="宋体" w:hAnsi="宋体" w:eastAsia="宋体" w:cs="宋体"/>
          <w:b/>
          <w:bCs/>
          <w:sz w:val="24"/>
          <w:szCs w:val="24"/>
          <w:lang w:val="en-US" w:eastAsia="zh-CN"/>
        </w:rPr>
        <w:t>项目背景</w:t>
      </w:r>
      <w:bookmarkEnd w:id="963"/>
      <w:bookmarkEnd w:id="964"/>
    </w:p>
    <w:p>
      <w:pPr>
        <w:keepNext w:val="0"/>
        <w:keepLines w:val="0"/>
        <w:pageBreakBefore w:val="0"/>
        <w:widowControl w:val="0"/>
        <w:numPr>
          <w:ilvl w:val="0"/>
          <w:numId w:val="0"/>
        </w:numPr>
        <w:kinsoku/>
        <w:wordWrap/>
        <w:overflowPunct/>
        <w:topLinePunct w:val="0"/>
        <w:autoSpaceDE/>
        <w:autoSpaceDN/>
        <w:bidi w:val="0"/>
        <w:adjustRightInd/>
        <w:spacing w:line="360" w:lineRule="auto"/>
        <w:ind w:leftChars="0"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根据成都市交通运输委员会、中共成都市委督查室、成都市人民政府督查室、成都市财政局《关于印发〈成都市农村公路养护目标管理和考核奖励办法〉的通知》(成交发〔2015〕144号）要求，将农村公路路面使用性能指数（PQI）纳入对区（市）县、成都天府新区管委会和成都高新区管委会年度公路养护管理工作目标进行管理。</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482" w:firstLineChars="200"/>
        <w:jc w:val="left"/>
        <w:textAlignment w:val="auto"/>
        <w:outlineLvl w:val="1"/>
        <w:rPr>
          <w:rFonts w:hint="eastAsia" w:ascii="宋体" w:hAnsi="宋体" w:eastAsia="宋体" w:cs="宋体"/>
          <w:b/>
          <w:bCs/>
          <w:sz w:val="24"/>
          <w:szCs w:val="24"/>
          <w:lang w:val="en-US" w:eastAsia="zh-CN"/>
        </w:rPr>
      </w:pPr>
      <w:bookmarkStart w:id="984" w:name="_Toc11700"/>
      <w:bookmarkStart w:id="985" w:name="_Toc25098"/>
      <w:r>
        <w:rPr>
          <w:rFonts w:hint="eastAsia" w:ascii="宋体" w:hAnsi="宋体" w:eastAsia="宋体" w:cs="宋体"/>
          <w:b/>
          <w:bCs/>
          <w:sz w:val="24"/>
          <w:szCs w:val="24"/>
          <w:lang w:val="en-US" w:eastAsia="zh-CN"/>
        </w:rPr>
        <w:t>项目基本情况</w:t>
      </w:r>
      <w:bookmarkEnd w:id="984"/>
      <w:bookmarkEnd w:id="985"/>
    </w:p>
    <w:p>
      <w:pPr>
        <w:keepNext w:val="0"/>
        <w:keepLines w:val="0"/>
        <w:pageBreakBefore w:val="0"/>
        <w:widowControl w:val="0"/>
        <w:numPr>
          <w:ilvl w:val="0"/>
          <w:numId w:val="0"/>
        </w:numPr>
        <w:kinsoku/>
        <w:wordWrap/>
        <w:overflowPunct/>
        <w:topLinePunct w:val="0"/>
        <w:autoSpaceDE/>
        <w:autoSpaceDN/>
        <w:bidi w:val="0"/>
        <w:adjustRightInd/>
        <w:spacing w:line="360" w:lineRule="auto"/>
        <w:ind w:leftChars="0" w:firstLine="480" w:firstLineChars="200"/>
        <w:jc w:val="left"/>
        <w:textAlignment w:val="auto"/>
        <w:rPr>
          <w:rFonts w:hint="eastAsia" w:ascii="宋体" w:hAnsi="宋体" w:eastAsia="宋体" w:cs="宋体"/>
          <w:b/>
          <w:bCs/>
          <w:sz w:val="24"/>
          <w:szCs w:val="24"/>
        </w:rPr>
      </w:pPr>
      <w:r>
        <w:rPr>
          <w:rFonts w:hint="eastAsia" w:ascii="宋体" w:hAnsi="宋体" w:eastAsia="宋体" w:cs="宋体"/>
          <w:b w:val="0"/>
          <w:bCs w:val="0"/>
          <w:sz w:val="24"/>
          <w:szCs w:val="24"/>
        </w:rPr>
        <w:t>对成都市辖区</w:t>
      </w:r>
      <w:r>
        <w:rPr>
          <w:rFonts w:hint="eastAsia" w:ascii="宋体" w:hAnsi="宋体" w:eastAsia="宋体" w:cs="宋体"/>
          <w:b w:val="0"/>
          <w:bCs w:val="0"/>
          <w:sz w:val="24"/>
          <w:szCs w:val="24"/>
          <w:lang w:val="en-US" w:eastAsia="zh-CN"/>
        </w:rPr>
        <w:t>内各区</w:t>
      </w:r>
      <w:r>
        <w:rPr>
          <w:rFonts w:hint="eastAsia" w:ascii="宋体" w:hAnsi="宋体" w:eastAsia="宋体" w:cs="宋体"/>
          <w:b w:val="0"/>
          <w:bCs w:val="0"/>
          <w:sz w:val="24"/>
          <w:szCs w:val="24"/>
        </w:rPr>
        <w:t>（市）县的县道公路、三级及以上等级乡村公路进行路面使用性能指标（PQI）检测评定，</w:t>
      </w:r>
      <w:r>
        <w:rPr>
          <w:rFonts w:hint="eastAsia" w:ascii="宋体" w:hAnsi="宋体" w:eastAsia="宋体" w:cs="宋体"/>
          <w:b w:val="0"/>
          <w:bCs w:val="0"/>
          <w:sz w:val="24"/>
          <w:szCs w:val="24"/>
          <w:lang w:val="en-US" w:eastAsia="zh-CN"/>
        </w:rPr>
        <w:t>总里程约4500公里，</w:t>
      </w:r>
      <w:r>
        <w:rPr>
          <w:rFonts w:hint="eastAsia" w:ascii="宋体" w:hAnsi="宋体" w:eastAsia="宋体" w:cs="宋体"/>
          <w:b w:val="0"/>
          <w:bCs w:val="0"/>
          <w:sz w:val="24"/>
          <w:szCs w:val="24"/>
        </w:rPr>
        <w:t>主要检测指标为路面平整度（RQI）、路面损坏（PCI），并出具检测报告。</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482" w:firstLineChars="200"/>
        <w:jc w:val="left"/>
        <w:textAlignment w:val="auto"/>
        <w:outlineLvl w:val="1"/>
        <w:rPr>
          <w:rFonts w:hint="eastAsia" w:ascii="宋体" w:hAnsi="宋体" w:eastAsia="宋体" w:cs="宋体"/>
          <w:b/>
          <w:bCs/>
          <w:sz w:val="24"/>
          <w:szCs w:val="24"/>
          <w:lang w:val="en-US" w:eastAsia="zh-CN"/>
        </w:rPr>
      </w:pPr>
      <w:bookmarkStart w:id="986" w:name="_Toc30088"/>
      <w:bookmarkStart w:id="987" w:name="_Toc24891"/>
      <w:r>
        <w:rPr>
          <w:rFonts w:hint="eastAsia" w:ascii="宋体" w:hAnsi="宋体" w:eastAsia="宋体" w:cs="宋体"/>
          <w:b/>
          <w:bCs/>
          <w:sz w:val="24"/>
          <w:szCs w:val="24"/>
          <w:lang w:val="en-US" w:eastAsia="zh-CN"/>
        </w:rPr>
        <w:t>※服务内容</w:t>
      </w:r>
      <w:bookmarkEnd w:id="986"/>
      <w:bookmarkEnd w:id="987"/>
    </w:p>
    <w:p>
      <w:pPr>
        <w:pStyle w:val="10"/>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t>1、</w:t>
      </w:r>
      <w:r>
        <w:rPr>
          <w:rFonts w:hint="eastAsia" w:ascii="宋体" w:hAnsi="宋体" w:eastAsia="宋体" w:cs="宋体"/>
          <w:b w:val="0"/>
          <w:bCs w:val="0"/>
          <w:color w:val="auto"/>
          <w:sz w:val="24"/>
          <w:szCs w:val="24"/>
          <w:lang w:val="en-US" w:eastAsia="zh-CN"/>
        </w:rPr>
        <w:t>检测的各项技术标准、规范应符合国家、四川省、成都市各级政府、行业主管部门等标准或规范要求。</w:t>
      </w:r>
    </w:p>
    <w:p>
      <w:pPr>
        <w:pStyle w:val="10"/>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rPr>
        <w:t>检测内容：按照交通运输部《公路技术状况评定标准》（JTG 5210-2018）对农村公路路面破损PCI、路面平整度RQI两项指标进行检测（被检农村公路路面使用性能指标PQI值按PQI=0.7×PCI+0.3×RQI计算）。路面破损PCI、路面平整度RQI检测结果须满足《公路路面技术状况自动化检测规程》中“数据处理”的要求，检测结果数据能够完整导入中工云的公路基础数据库，且能在系统中正常使用。</w:t>
      </w:r>
    </w:p>
    <w:p>
      <w:pPr>
        <w:pStyle w:val="10"/>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rPr>
        <w:t>、检测里程：县道公路全部检测评定、三级及以上等级乡村公路随机抽取20%的里程进行检测评定。202</w:t>
      </w: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年总里程约为</w:t>
      </w:r>
      <w:r>
        <w:rPr>
          <w:rFonts w:hint="eastAsia" w:ascii="宋体" w:hAnsi="宋体" w:eastAsia="宋体" w:cs="宋体"/>
          <w:b w:val="0"/>
          <w:bCs w:val="0"/>
          <w:color w:val="auto"/>
          <w:sz w:val="24"/>
          <w:szCs w:val="24"/>
          <w:lang w:val="en-US" w:eastAsia="zh-CN"/>
        </w:rPr>
        <w:t>4500公里</w:t>
      </w:r>
      <w:r>
        <w:rPr>
          <w:rFonts w:hint="eastAsia" w:ascii="宋体" w:hAnsi="宋体" w:eastAsia="宋体" w:cs="宋体"/>
          <w:b w:val="0"/>
          <w:bCs w:val="0"/>
          <w:color w:val="auto"/>
          <w:sz w:val="24"/>
          <w:szCs w:val="24"/>
        </w:rPr>
        <w:t>。</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482" w:firstLineChars="200"/>
        <w:jc w:val="left"/>
        <w:textAlignment w:val="auto"/>
        <w:outlineLvl w:val="1"/>
        <w:rPr>
          <w:rFonts w:hint="eastAsia" w:ascii="宋体" w:hAnsi="宋体" w:eastAsia="宋体" w:cs="宋体"/>
          <w:b/>
          <w:bCs/>
          <w:sz w:val="24"/>
          <w:szCs w:val="24"/>
          <w:lang w:val="en-US" w:eastAsia="zh-CN"/>
        </w:rPr>
      </w:pPr>
      <w:bookmarkStart w:id="988" w:name="_Toc1456"/>
      <w:r>
        <w:rPr>
          <w:rFonts w:hint="eastAsia" w:ascii="宋体" w:hAnsi="宋体" w:eastAsia="宋体" w:cs="宋体"/>
          <w:b/>
          <w:bCs/>
          <w:sz w:val="24"/>
          <w:szCs w:val="24"/>
          <w:lang w:val="en-US" w:eastAsia="zh-CN"/>
        </w:rPr>
        <w:t>服务要求</w:t>
      </w:r>
      <w:bookmarkEnd w:id="988"/>
    </w:p>
    <w:p>
      <w:pPr>
        <w:pStyle w:val="10"/>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(一)</w:t>
      </w:r>
      <w:r>
        <w:rPr>
          <w:rFonts w:hint="eastAsia" w:ascii="宋体" w:hAnsi="宋体" w:eastAsia="宋体" w:cs="宋体"/>
          <w:b/>
          <w:bCs/>
          <w:sz w:val="24"/>
          <w:szCs w:val="24"/>
          <w:lang w:val="en-US" w:eastAsia="zh-CN"/>
        </w:rPr>
        <w:t>※</w:t>
      </w:r>
      <w:r>
        <w:rPr>
          <w:rFonts w:hint="eastAsia" w:ascii="宋体" w:hAnsi="宋体" w:eastAsia="宋体" w:cs="宋体"/>
          <w:b w:val="0"/>
          <w:bCs w:val="0"/>
          <w:sz w:val="24"/>
          <w:szCs w:val="24"/>
        </w:rPr>
        <w:t>质量要求：</w:t>
      </w:r>
    </w:p>
    <w:p>
      <w:pPr>
        <w:pStyle w:val="10"/>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1、供应商</w:t>
      </w:r>
      <w:r>
        <w:rPr>
          <w:rFonts w:hint="eastAsia" w:ascii="宋体" w:hAnsi="宋体" w:eastAsia="宋体" w:cs="宋体"/>
          <w:b w:val="0"/>
          <w:bCs w:val="0"/>
          <w:sz w:val="24"/>
          <w:szCs w:val="24"/>
        </w:rPr>
        <w:t>检测数据要真实准确，确保公平、公正，符合公路技术状况调查分析的要求，达到国家现行技术标准</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并对检测结果负有保密义务</w:t>
      </w:r>
      <w:r>
        <w:rPr>
          <w:rFonts w:hint="eastAsia" w:ascii="宋体" w:hAnsi="宋体" w:eastAsia="宋体" w:cs="宋体"/>
          <w:b w:val="0"/>
          <w:bCs w:val="0"/>
          <w:sz w:val="24"/>
          <w:szCs w:val="24"/>
        </w:rPr>
        <w:t>。</w:t>
      </w:r>
    </w:p>
    <w:p>
      <w:pPr>
        <w:pStyle w:val="10"/>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textAlignment w:val="auto"/>
        <w:rPr>
          <w:rFonts w:hint="eastAsia" w:ascii="宋体" w:hAnsi="宋体" w:eastAsia="宋体" w:cs="宋体"/>
          <w:b w:val="0"/>
          <w:bCs w:val="0"/>
          <w:sz w:val="24"/>
          <w:szCs w:val="24"/>
          <w:lang w:val="zh-CN"/>
        </w:rPr>
      </w:pPr>
      <w:r>
        <w:rPr>
          <w:rFonts w:hint="eastAsia" w:ascii="宋体" w:hAnsi="宋体" w:eastAsia="宋体" w:cs="宋体"/>
          <w:b w:val="0"/>
          <w:bCs w:val="0"/>
          <w:sz w:val="24"/>
          <w:szCs w:val="24"/>
          <w:lang w:val="en-US" w:eastAsia="zh-CN"/>
        </w:rPr>
        <w:t>2、供应商需在四川省交通运输厅“信用交通·四川”（http://jtt.sc.gov.cn/）进行信用登记</w:t>
      </w:r>
      <w:r>
        <w:rPr>
          <w:rFonts w:hint="eastAsia" w:ascii="宋体" w:hAnsi="宋体" w:eastAsia="宋体" w:cs="宋体"/>
          <w:b w:val="0"/>
          <w:bCs w:val="0"/>
          <w:sz w:val="24"/>
          <w:szCs w:val="24"/>
          <w:lang w:val="zh-CN"/>
        </w:rPr>
        <w:t>。</w:t>
      </w:r>
    </w:p>
    <w:p>
      <w:pPr>
        <w:pStyle w:val="10"/>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textAlignment w:val="auto"/>
        <w:rPr>
          <w:rFonts w:hint="eastAsia" w:ascii="宋体" w:hAnsi="宋体" w:eastAsia="宋体" w:cs="宋体"/>
          <w:sz w:val="24"/>
          <w:szCs w:val="24"/>
          <w:lang w:val="en-US" w:eastAsia="zh-CN"/>
        </w:rPr>
      </w:pPr>
      <w:bookmarkStart w:id="989" w:name="_Toc6943"/>
      <w:r>
        <w:rPr>
          <w:rFonts w:hint="eastAsia" w:ascii="宋体" w:hAnsi="宋体" w:eastAsia="宋体" w:cs="宋体"/>
          <w:sz w:val="24"/>
          <w:szCs w:val="24"/>
          <w:lang w:val="en-US" w:eastAsia="zh-CN"/>
        </w:rPr>
        <w:t>(二)履约要求</w:t>
      </w:r>
      <w:bookmarkEnd w:id="989"/>
    </w:p>
    <w:p>
      <w:pPr>
        <w:pStyle w:val="10"/>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1、服务能力。</w:t>
      </w:r>
    </w:p>
    <w:p>
      <w:pPr>
        <w:pStyle w:val="10"/>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(1)拟投入项目人员配置及专业技术能力(团队组成、分工协作、专业能力证明、履约经验等)。</w:t>
      </w:r>
    </w:p>
    <w:p>
      <w:pPr>
        <w:pStyle w:val="10"/>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(2)项目实施所需的设施设备(与本项目完成有关的软硬件配置，提供设施设备清单)。</w:t>
      </w:r>
    </w:p>
    <w:p>
      <w:pPr>
        <w:pStyle w:val="10"/>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(3)投标人针对本项目提供务实可行的增值服务措施或有利于采购人的服务承诺等。</w:t>
      </w:r>
    </w:p>
    <w:p>
      <w:pPr>
        <w:pStyle w:val="10"/>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2、服务方案</w:t>
      </w:r>
    </w:p>
    <w:p>
      <w:pPr>
        <w:pStyle w:val="10"/>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(1)项目需求分析(包含但不限于①项目基本情况、②项目内容及问题识别、③目标任务分析与综合、</w:t>
      </w:r>
      <w:r>
        <w:rPr>
          <w:rFonts w:hint="eastAsia" w:ascii="宋体" w:hAnsi="宋体" w:eastAsia="宋体" w:cs="宋体"/>
          <w:b w:val="0"/>
          <w:bCs w:val="0"/>
          <w:sz w:val="24"/>
          <w:szCs w:val="24"/>
          <w:lang w:val="en-US" w:eastAsia="zh-CN"/>
        </w:rPr>
        <w:fldChar w:fldCharType="begin"/>
      </w:r>
      <w:r>
        <w:rPr>
          <w:rFonts w:hint="eastAsia" w:ascii="宋体" w:hAnsi="宋体" w:eastAsia="宋体" w:cs="宋体"/>
          <w:b w:val="0"/>
          <w:bCs w:val="0"/>
          <w:sz w:val="24"/>
          <w:szCs w:val="24"/>
          <w:lang w:val="en-US" w:eastAsia="zh-CN"/>
        </w:rPr>
        <w:instrText xml:space="preserve"> = 4 \* GB3 \* MERGEFORMAT </w:instrText>
      </w:r>
      <w:r>
        <w:rPr>
          <w:rFonts w:hint="eastAsia" w:ascii="宋体" w:hAnsi="宋体" w:eastAsia="宋体" w:cs="宋体"/>
          <w:b w:val="0"/>
          <w:bCs w:val="0"/>
          <w:sz w:val="24"/>
          <w:szCs w:val="24"/>
          <w:lang w:val="en-US" w:eastAsia="zh-CN"/>
        </w:rPr>
        <w:fldChar w:fldCharType="separate"/>
      </w:r>
      <w:r>
        <w:rPr>
          <w:rFonts w:hint="eastAsia" w:ascii="宋体" w:hAnsi="宋体" w:eastAsia="宋体" w:cs="宋体"/>
          <w:b w:val="0"/>
          <w:bCs w:val="0"/>
          <w:sz w:val="24"/>
          <w:szCs w:val="24"/>
          <w:lang w:val="en-US" w:eastAsia="zh-CN"/>
        </w:rPr>
        <w:t>④</w:t>
      </w:r>
      <w:r>
        <w:rPr>
          <w:rFonts w:hint="eastAsia" w:ascii="宋体" w:hAnsi="宋体" w:eastAsia="宋体" w:cs="宋体"/>
          <w:b w:val="0"/>
          <w:bCs w:val="0"/>
          <w:sz w:val="24"/>
          <w:szCs w:val="24"/>
          <w:lang w:val="en-US" w:eastAsia="zh-CN"/>
        </w:rPr>
        <w:fldChar w:fldCharType="end"/>
      </w:r>
      <w:r>
        <w:rPr>
          <w:rFonts w:hint="eastAsia" w:ascii="宋体" w:hAnsi="宋体" w:eastAsia="宋体" w:cs="宋体"/>
          <w:b w:val="0"/>
          <w:bCs w:val="0"/>
          <w:sz w:val="24"/>
          <w:szCs w:val="24"/>
          <w:lang w:val="en-US" w:eastAsia="zh-CN"/>
        </w:rPr>
        <w:t>项目流程、执行标准、</w:t>
      </w:r>
      <w:r>
        <w:rPr>
          <w:rFonts w:hint="eastAsia" w:ascii="宋体" w:hAnsi="宋体" w:eastAsia="宋体" w:cs="宋体"/>
          <w:b w:val="0"/>
          <w:bCs w:val="0"/>
          <w:sz w:val="24"/>
          <w:szCs w:val="24"/>
          <w:lang w:val="en-US" w:eastAsia="zh-CN"/>
        </w:rPr>
        <w:fldChar w:fldCharType="begin"/>
      </w:r>
      <w:r>
        <w:rPr>
          <w:rFonts w:hint="eastAsia" w:ascii="宋体" w:hAnsi="宋体" w:eastAsia="宋体" w:cs="宋体"/>
          <w:b w:val="0"/>
          <w:bCs w:val="0"/>
          <w:sz w:val="24"/>
          <w:szCs w:val="24"/>
          <w:lang w:val="en-US" w:eastAsia="zh-CN"/>
        </w:rPr>
        <w:instrText xml:space="preserve"> = 5 \* GB3 \* MERGEFORMAT </w:instrText>
      </w:r>
      <w:r>
        <w:rPr>
          <w:rFonts w:hint="eastAsia" w:ascii="宋体" w:hAnsi="宋体" w:eastAsia="宋体" w:cs="宋体"/>
          <w:b w:val="0"/>
          <w:bCs w:val="0"/>
          <w:sz w:val="24"/>
          <w:szCs w:val="24"/>
          <w:lang w:val="en-US" w:eastAsia="zh-CN"/>
        </w:rPr>
        <w:fldChar w:fldCharType="separate"/>
      </w:r>
      <w:r>
        <w:rPr>
          <w:rFonts w:hint="eastAsia" w:ascii="宋体" w:hAnsi="宋体" w:eastAsia="宋体" w:cs="宋体"/>
          <w:b w:val="0"/>
          <w:bCs w:val="0"/>
          <w:sz w:val="24"/>
          <w:szCs w:val="24"/>
          <w:lang w:val="en-US" w:eastAsia="zh-CN"/>
        </w:rPr>
        <w:t>⑤</w:t>
      </w:r>
      <w:r>
        <w:rPr>
          <w:rFonts w:hint="eastAsia" w:ascii="宋体" w:hAnsi="宋体" w:eastAsia="宋体" w:cs="宋体"/>
          <w:b w:val="0"/>
          <w:bCs w:val="0"/>
          <w:sz w:val="24"/>
          <w:szCs w:val="24"/>
          <w:lang w:val="en-US" w:eastAsia="zh-CN"/>
        </w:rPr>
        <w:fldChar w:fldCharType="end"/>
      </w:r>
      <w:r>
        <w:rPr>
          <w:rFonts w:hint="eastAsia" w:ascii="宋体" w:hAnsi="宋体" w:eastAsia="宋体" w:cs="宋体"/>
          <w:b w:val="0"/>
          <w:bCs w:val="0"/>
          <w:sz w:val="24"/>
          <w:szCs w:val="24"/>
          <w:lang w:val="en-US" w:eastAsia="zh-CN"/>
        </w:rPr>
        <w:t>项目总体控制等内容)</w:t>
      </w:r>
    </w:p>
    <w:p>
      <w:pPr>
        <w:pStyle w:val="10"/>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(2)项目实施计划(①设备配置计划；②人员配置计划及进出场计划；③专业知识准备；④检测进度计划与过程质控；⑤质量控制措施；⑥后续服务等)</w:t>
      </w:r>
    </w:p>
    <w:p>
      <w:pPr>
        <w:pStyle w:val="10"/>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(3)重难点分析应对(①项目重、难点分析；②针对本项目突发事件应对措施等)   </w:t>
      </w:r>
    </w:p>
    <w:p>
      <w:pPr>
        <w:pStyle w:val="10"/>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(4)项目安全保障(①检测人员安全保障措施；②通行安全保证措施；③档案安全管理制度等)</w:t>
      </w:r>
    </w:p>
    <w:p>
      <w:pPr>
        <w:pStyle w:val="10"/>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(5)其他服务；</w:t>
      </w:r>
    </w:p>
    <w:p>
      <w:pPr>
        <w:pStyle w:val="10"/>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注：①供应商应当根据本项目实际情况提供真实、客观的证明材料。</w:t>
      </w:r>
    </w:p>
    <w:p>
      <w:pPr>
        <w:pStyle w:val="10"/>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②供应商应当保证所提交的所有材料的真实性，若提交虚假材料谋取中标的，将上报同级财政部门依法处理。</w:t>
      </w:r>
    </w:p>
    <w:p>
      <w:pPr>
        <w:pStyle w:val="10"/>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③投标人根据项目的实际需求和具体情况实事求是地编制文件，能具体量化，具有可行性及便于监督考核，不得违反法律、法规规定，不得夸大其词和空口许诺。</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482" w:firstLineChars="200"/>
        <w:jc w:val="left"/>
        <w:textAlignment w:val="auto"/>
        <w:outlineLvl w:val="1"/>
        <w:rPr>
          <w:rFonts w:hint="eastAsia" w:ascii="宋体" w:hAnsi="宋体" w:eastAsia="宋体" w:cs="宋体"/>
          <w:b/>
          <w:bCs/>
          <w:sz w:val="24"/>
          <w:szCs w:val="24"/>
          <w:lang w:val="en-US" w:eastAsia="zh-CN"/>
        </w:rPr>
      </w:pPr>
      <w:bookmarkStart w:id="990" w:name="_Toc14017"/>
      <w:r>
        <w:rPr>
          <w:rFonts w:hint="eastAsia" w:ascii="宋体" w:hAnsi="宋体" w:eastAsia="宋体" w:cs="宋体"/>
          <w:b/>
          <w:bCs/>
          <w:sz w:val="24"/>
          <w:szCs w:val="24"/>
          <w:lang w:val="en-US" w:eastAsia="zh-CN"/>
        </w:rPr>
        <w:t>※验收标准</w:t>
      </w:r>
      <w:bookmarkEnd w:id="990"/>
    </w:p>
    <w:p>
      <w:pPr>
        <w:pStyle w:val="10"/>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b w:val="0"/>
          <w:bCs w:val="0"/>
          <w:sz w:val="24"/>
          <w:szCs w:val="24"/>
          <w:highlight w:val="none"/>
          <w:lang w:eastAsia="zh-CN"/>
        </w:rPr>
      </w:pPr>
      <w:r>
        <w:rPr>
          <w:rFonts w:hint="eastAsia" w:ascii="宋体" w:hAnsi="宋体" w:eastAsia="宋体" w:cs="宋体"/>
          <w:b w:val="0"/>
          <w:bCs w:val="0"/>
          <w:sz w:val="24"/>
          <w:szCs w:val="24"/>
          <w:lang w:val="en-US" w:eastAsia="zh-CN"/>
        </w:rPr>
        <w:t>1、</w:t>
      </w:r>
      <w:r>
        <w:rPr>
          <w:rFonts w:hint="eastAsia" w:ascii="宋体" w:hAnsi="宋体" w:eastAsia="宋体" w:cs="宋体"/>
          <w:b w:val="0"/>
          <w:bCs w:val="0"/>
          <w:sz w:val="24"/>
          <w:szCs w:val="24"/>
        </w:rPr>
        <w:t>供应商与采购人应严格按照《财政部关于进一步加强政府采购需求和履约验收管理的指导意见》</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并参照</w:t>
      </w:r>
      <w:r>
        <w:rPr>
          <w:rFonts w:hint="eastAsia" w:ascii="宋体" w:hAnsi="宋体" w:eastAsia="宋体" w:cs="宋体"/>
          <w:b w:val="0"/>
          <w:bCs w:val="0"/>
          <w:sz w:val="24"/>
          <w:szCs w:val="24"/>
        </w:rPr>
        <w:t>四川省财政厅印发《四川省政府采购项目需求论证和履约验收管理办法》</w:t>
      </w:r>
      <w:r>
        <w:rPr>
          <w:rFonts w:hint="eastAsia" w:ascii="宋体" w:hAnsi="宋体" w:eastAsia="宋体" w:cs="宋体"/>
          <w:b w:val="0"/>
          <w:bCs w:val="0"/>
          <w:sz w:val="24"/>
          <w:szCs w:val="24"/>
          <w:highlight w:val="none"/>
        </w:rPr>
        <w:t>要求进行</w:t>
      </w:r>
      <w:r>
        <w:rPr>
          <w:rFonts w:hint="eastAsia" w:ascii="宋体" w:hAnsi="宋体" w:eastAsia="宋体" w:cs="宋体"/>
          <w:b w:val="0"/>
          <w:bCs w:val="0"/>
          <w:sz w:val="24"/>
          <w:szCs w:val="24"/>
          <w:highlight w:val="none"/>
          <w:lang w:val="en-US" w:eastAsia="zh-CN"/>
        </w:rPr>
        <w:t>履约</w:t>
      </w:r>
      <w:r>
        <w:rPr>
          <w:rFonts w:hint="eastAsia" w:ascii="宋体" w:hAnsi="宋体" w:eastAsia="宋体" w:cs="宋体"/>
          <w:b w:val="0"/>
          <w:bCs w:val="0"/>
          <w:sz w:val="24"/>
          <w:szCs w:val="24"/>
          <w:highlight w:val="none"/>
        </w:rPr>
        <w:t>验收</w:t>
      </w:r>
      <w:r>
        <w:rPr>
          <w:rFonts w:hint="eastAsia" w:ascii="宋体" w:hAnsi="宋体" w:eastAsia="宋体" w:cs="宋体"/>
          <w:b w:val="0"/>
          <w:bCs w:val="0"/>
          <w:sz w:val="24"/>
          <w:szCs w:val="24"/>
          <w:highlight w:val="none"/>
          <w:lang w:eastAsia="zh-CN"/>
        </w:rPr>
        <w:t>。</w:t>
      </w:r>
    </w:p>
    <w:p>
      <w:pPr>
        <w:pStyle w:val="10"/>
        <w:keepNext w:val="0"/>
        <w:keepLines w:val="0"/>
        <w:pageBreakBefore w:val="0"/>
        <w:widowControl w:val="0"/>
        <w:kinsoku/>
        <w:wordWrap/>
        <w:overflowPunct/>
        <w:topLinePunct w:val="0"/>
        <w:autoSpaceDE/>
        <w:autoSpaceDN/>
        <w:bidi w:val="0"/>
        <w:adjustRightInd/>
        <w:snapToGrid w:val="0"/>
        <w:spacing w:line="360" w:lineRule="auto"/>
        <w:ind w:leftChars="0" w:firstLine="480" w:firstLineChars="200"/>
        <w:textAlignment w:val="auto"/>
        <w:rPr>
          <w:rFonts w:hint="eastAsia" w:ascii="宋体" w:hAnsi="宋体" w:eastAsia="宋体" w:cs="宋体"/>
          <w:bCs/>
          <w:sz w:val="24"/>
          <w:szCs w:val="24"/>
          <w:highlight w:val="none"/>
          <w:lang w:eastAsia="zh-CN"/>
        </w:rPr>
      </w:pPr>
      <w:r>
        <w:rPr>
          <w:rFonts w:hint="eastAsia" w:ascii="宋体" w:hAnsi="宋体" w:eastAsia="宋体" w:cs="宋体"/>
          <w:b w:val="0"/>
          <w:bCs w:val="0"/>
          <w:sz w:val="24"/>
          <w:szCs w:val="24"/>
          <w:highlight w:val="none"/>
          <w:lang w:val="en-US" w:eastAsia="zh-CN"/>
        </w:rPr>
        <w:t>2、</w:t>
      </w:r>
      <w:r>
        <w:rPr>
          <w:rFonts w:hint="eastAsia" w:ascii="宋体" w:hAnsi="宋体" w:eastAsia="宋体" w:cs="宋体"/>
          <w:bCs/>
          <w:sz w:val="24"/>
          <w:szCs w:val="24"/>
          <w:highlight w:val="none"/>
          <w:lang w:val="en-US" w:eastAsia="zh-CN"/>
        </w:rPr>
        <w:t>项目</w:t>
      </w:r>
      <w:r>
        <w:rPr>
          <w:rFonts w:hint="eastAsia" w:ascii="宋体" w:hAnsi="宋体" w:eastAsia="宋体" w:cs="宋体"/>
          <w:bCs/>
          <w:sz w:val="24"/>
          <w:szCs w:val="24"/>
          <w:highlight w:val="none"/>
        </w:rPr>
        <w:t>合同履行完成后，根据《</w:t>
      </w:r>
      <w:r>
        <w:rPr>
          <w:rFonts w:hint="eastAsia" w:ascii="宋体" w:hAnsi="宋体" w:eastAsia="宋体" w:cs="宋体"/>
          <w:bCs/>
          <w:sz w:val="24"/>
          <w:szCs w:val="24"/>
          <w:highlight w:val="none"/>
          <w:lang w:val="en-US" w:eastAsia="zh-CN"/>
        </w:rPr>
        <w:t>成</w:t>
      </w:r>
      <w:r>
        <w:rPr>
          <w:rFonts w:hint="eastAsia" w:ascii="宋体" w:hAnsi="宋体" w:eastAsia="宋体" w:cs="宋体"/>
          <w:bCs/>
          <w:sz w:val="24"/>
          <w:szCs w:val="24"/>
          <w:highlight w:val="none"/>
        </w:rPr>
        <w:t>都市农村公路路况</w:t>
      </w:r>
      <w:r>
        <w:rPr>
          <w:rFonts w:hint="eastAsia" w:ascii="宋体" w:hAnsi="宋体" w:eastAsia="宋体" w:cs="宋体"/>
          <w:bCs/>
          <w:sz w:val="24"/>
          <w:szCs w:val="24"/>
          <w:highlight w:val="none"/>
          <w:lang w:val="en-US" w:eastAsia="zh-CN"/>
        </w:rPr>
        <w:t>PQI</w:t>
      </w:r>
      <w:r>
        <w:rPr>
          <w:rFonts w:hint="eastAsia" w:ascii="宋体" w:hAnsi="宋体" w:eastAsia="宋体" w:cs="宋体"/>
          <w:bCs/>
          <w:sz w:val="24"/>
          <w:szCs w:val="24"/>
          <w:highlight w:val="none"/>
        </w:rPr>
        <w:t>检测单位履约验收考核表》（详见附件</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成都市农村公路路况</w:t>
      </w:r>
      <w:r>
        <w:rPr>
          <w:rFonts w:hint="eastAsia" w:ascii="宋体" w:hAnsi="宋体" w:eastAsia="宋体" w:cs="宋体"/>
          <w:bCs/>
          <w:sz w:val="24"/>
          <w:szCs w:val="24"/>
          <w:highlight w:val="none"/>
          <w:lang w:val="en-US" w:eastAsia="zh-CN"/>
        </w:rPr>
        <w:t>PQI</w:t>
      </w:r>
      <w:r>
        <w:rPr>
          <w:rFonts w:hint="eastAsia" w:ascii="宋体" w:hAnsi="宋体" w:eastAsia="宋体" w:cs="宋体"/>
          <w:bCs/>
          <w:sz w:val="24"/>
          <w:szCs w:val="24"/>
          <w:highlight w:val="none"/>
        </w:rPr>
        <w:t>检测单位履约验收考核表）进行履约验收，验收合格后，按合同付款。若考核不合格（小于</w:t>
      </w:r>
      <w:r>
        <w:rPr>
          <w:rFonts w:hint="eastAsia" w:ascii="宋体" w:hAnsi="宋体" w:eastAsia="宋体" w:cs="宋体"/>
          <w:bCs/>
          <w:sz w:val="24"/>
          <w:szCs w:val="24"/>
          <w:highlight w:val="none"/>
          <w:lang w:val="en-US" w:eastAsia="zh-CN"/>
        </w:rPr>
        <w:t>80</w:t>
      </w:r>
      <w:r>
        <w:rPr>
          <w:rFonts w:hint="eastAsia" w:ascii="宋体" w:hAnsi="宋体" w:eastAsia="宋体" w:cs="宋体"/>
          <w:bCs/>
          <w:sz w:val="24"/>
          <w:szCs w:val="24"/>
          <w:highlight w:val="none"/>
        </w:rPr>
        <w:t>分）不予支付检测费用</w:t>
      </w:r>
      <w:r>
        <w:rPr>
          <w:rFonts w:hint="eastAsia" w:cs="宋体"/>
          <w:bCs/>
          <w:sz w:val="24"/>
          <w:szCs w:val="24"/>
          <w:highlight w:val="none"/>
          <w:lang w:eastAsia="zh-CN"/>
        </w:rPr>
        <w:t>。</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482" w:firstLineChars="200"/>
        <w:jc w:val="left"/>
        <w:textAlignment w:val="auto"/>
        <w:outlineLvl w:val="1"/>
        <w:rPr>
          <w:rFonts w:hint="eastAsia" w:ascii="宋体" w:hAnsi="宋体" w:eastAsia="宋体" w:cs="宋体"/>
          <w:b/>
          <w:bCs/>
          <w:sz w:val="24"/>
          <w:szCs w:val="24"/>
          <w:lang w:val="en-US" w:eastAsia="zh-CN"/>
        </w:rPr>
      </w:pPr>
      <w:bookmarkStart w:id="991" w:name="_Toc31389"/>
      <w:bookmarkStart w:id="992" w:name="_Toc1777"/>
      <w:r>
        <w:rPr>
          <w:rFonts w:hint="eastAsia" w:ascii="宋体" w:hAnsi="宋体" w:eastAsia="宋体" w:cs="宋体"/>
          <w:b/>
          <w:bCs/>
          <w:sz w:val="24"/>
          <w:szCs w:val="24"/>
          <w:lang w:val="en-US" w:eastAsia="zh-CN"/>
        </w:rPr>
        <w:t>服务期限</w:t>
      </w:r>
      <w:bookmarkEnd w:id="991"/>
      <w:bookmarkEnd w:id="992"/>
    </w:p>
    <w:p>
      <w:pPr>
        <w:keepNext w:val="0"/>
        <w:keepLines w:val="0"/>
        <w:pageBreakBefore w:val="0"/>
        <w:widowControl w:val="0"/>
        <w:numPr>
          <w:ilvl w:val="0"/>
          <w:numId w:val="0"/>
        </w:numPr>
        <w:kinsoku/>
        <w:wordWrap/>
        <w:overflowPunct/>
        <w:topLinePunct w:val="0"/>
        <w:autoSpaceDE/>
        <w:autoSpaceDN/>
        <w:bidi w:val="0"/>
        <w:adjustRightInd/>
        <w:spacing w:line="360" w:lineRule="auto"/>
        <w:ind w:leftChars="0"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2021年度成都市农村公路路况PQI检测工作计划于2021年9月初正式开始，正式检测结果须在2021年11月30日前提交至成都市交通运输综合行政执法总队。</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482" w:firstLineChars="200"/>
        <w:jc w:val="left"/>
        <w:textAlignment w:val="auto"/>
        <w:outlineLvl w:val="1"/>
        <w:rPr>
          <w:rFonts w:hint="eastAsia" w:ascii="宋体" w:hAnsi="宋体" w:eastAsia="宋体" w:cs="宋体"/>
          <w:b/>
          <w:bCs/>
          <w:sz w:val="24"/>
          <w:szCs w:val="24"/>
          <w:lang w:val="en-US" w:eastAsia="zh-CN"/>
        </w:rPr>
      </w:pPr>
      <w:bookmarkStart w:id="993" w:name="_Toc30416"/>
      <w:bookmarkStart w:id="994" w:name="_Toc5275"/>
      <w:r>
        <w:rPr>
          <w:rFonts w:hint="eastAsia" w:ascii="宋体" w:hAnsi="宋体" w:eastAsia="宋体" w:cs="宋体"/>
          <w:b/>
          <w:bCs/>
          <w:sz w:val="24"/>
          <w:szCs w:val="24"/>
          <w:lang w:val="en-US" w:eastAsia="zh-CN"/>
        </w:rPr>
        <w:t>※商务要求</w:t>
      </w:r>
      <w:bookmarkEnd w:id="993"/>
      <w:bookmarkEnd w:id="994"/>
    </w:p>
    <w:p>
      <w:pPr>
        <w:pStyle w:val="26"/>
        <w:keepNext w:val="0"/>
        <w:keepLines w:val="0"/>
        <w:pageBreakBefore w:val="0"/>
        <w:kinsoku/>
        <w:overflowPunct/>
        <w:autoSpaceDE/>
        <w:autoSpaceDN/>
        <w:bidi w:val="0"/>
        <w:spacing w:line="440" w:lineRule="exact"/>
        <w:ind w:firstLine="480" w:firstLineChars="200"/>
        <w:textAlignment w:val="auto"/>
        <w:outlineLvl w:val="9"/>
        <w:rPr>
          <w:rFonts w:hint="eastAsia" w:ascii="宋体" w:hAnsi="宋体" w:eastAsia="宋体" w:cs="宋体"/>
          <w:bCs/>
          <w:sz w:val="24"/>
          <w:szCs w:val="24"/>
        </w:rPr>
      </w:pPr>
      <w:r>
        <w:rPr>
          <w:rFonts w:hint="eastAsia" w:ascii="宋体" w:hAnsi="宋体" w:eastAsia="宋体" w:cs="宋体"/>
          <w:b w:val="0"/>
          <w:bCs/>
          <w:sz w:val="24"/>
          <w:szCs w:val="24"/>
        </w:rPr>
        <w:t>(一)履约地点</w:t>
      </w:r>
      <w:r>
        <w:rPr>
          <w:rFonts w:hint="eastAsia" w:ascii="宋体" w:hAnsi="宋体" w:eastAsia="宋体" w:cs="宋体"/>
          <w:bCs/>
          <w:sz w:val="24"/>
          <w:szCs w:val="24"/>
        </w:rPr>
        <w:t>：</w:t>
      </w:r>
      <w:r>
        <w:rPr>
          <w:rFonts w:hint="eastAsia" w:ascii="宋体" w:hAnsi="宋体" w:eastAsia="宋体" w:cs="宋体"/>
          <w:bCs/>
          <w:sz w:val="24"/>
          <w:szCs w:val="24"/>
          <w:lang w:val="en-US" w:eastAsia="zh-CN"/>
        </w:rPr>
        <w:t>完成本项目所需的所有地点</w:t>
      </w:r>
      <w:r>
        <w:rPr>
          <w:rFonts w:hint="eastAsia" w:ascii="宋体" w:hAnsi="宋体" w:cs="宋体"/>
          <w:bCs/>
          <w:sz w:val="24"/>
          <w:szCs w:val="24"/>
          <w:lang w:val="en-US" w:eastAsia="zh-CN"/>
        </w:rPr>
        <w:t>，具体以采购人指定为准</w:t>
      </w:r>
      <w:r>
        <w:rPr>
          <w:rFonts w:hint="eastAsia" w:ascii="宋体" w:hAnsi="宋体" w:eastAsia="宋体" w:cs="宋体"/>
          <w:bCs/>
          <w:sz w:val="24"/>
          <w:szCs w:val="24"/>
        </w:rPr>
        <w:t>。</w:t>
      </w:r>
    </w:p>
    <w:p>
      <w:pPr>
        <w:pStyle w:val="26"/>
        <w:keepNext w:val="0"/>
        <w:keepLines w:val="0"/>
        <w:pageBreakBefore w:val="0"/>
        <w:kinsoku/>
        <w:overflowPunct/>
        <w:autoSpaceDE/>
        <w:autoSpaceDN/>
        <w:bidi w:val="0"/>
        <w:spacing w:line="440" w:lineRule="exact"/>
        <w:ind w:firstLine="480" w:firstLineChars="200"/>
        <w:textAlignment w:val="auto"/>
        <w:outlineLvl w:val="9"/>
        <w:rPr>
          <w:rFonts w:hint="eastAsia" w:ascii="宋体" w:hAnsi="宋体" w:eastAsia="宋体" w:cs="宋体"/>
          <w:b w:val="0"/>
          <w:bCs/>
          <w:sz w:val="24"/>
          <w:szCs w:val="24"/>
        </w:rPr>
      </w:pPr>
      <w:r>
        <w:rPr>
          <w:rFonts w:hint="eastAsia" w:ascii="宋体" w:hAnsi="宋体" w:eastAsia="宋体" w:cs="宋体"/>
          <w:b w:val="0"/>
          <w:bCs/>
          <w:sz w:val="24"/>
          <w:szCs w:val="24"/>
        </w:rPr>
        <w:t>(二)履约保证金</w:t>
      </w:r>
    </w:p>
    <w:p>
      <w:pPr>
        <w:pStyle w:val="26"/>
        <w:keepNext w:val="0"/>
        <w:keepLines w:val="0"/>
        <w:pageBreakBefore w:val="0"/>
        <w:kinsoku/>
        <w:overflowPunct/>
        <w:autoSpaceDE/>
        <w:autoSpaceDN/>
        <w:bidi w:val="0"/>
        <w:spacing w:line="440" w:lineRule="exact"/>
        <w:ind w:firstLine="480" w:firstLineChars="20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本项目不收取履约保证金。</w:t>
      </w:r>
    </w:p>
    <w:p>
      <w:pPr>
        <w:pStyle w:val="26"/>
        <w:keepNext w:val="0"/>
        <w:keepLines w:val="0"/>
        <w:pageBreakBefore w:val="0"/>
        <w:numPr>
          <w:ilvl w:val="0"/>
          <w:numId w:val="28"/>
        </w:numPr>
        <w:kinsoku/>
        <w:overflowPunct/>
        <w:autoSpaceDE/>
        <w:autoSpaceDN/>
        <w:bidi w:val="0"/>
        <w:spacing w:line="440" w:lineRule="exact"/>
        <w:ind w:firstLine="480" w:firstLineChars="200"/>
        <w:textAlignment w:val="auto"/>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报价及合同价</w:t>
      </w:r>
    </w:p>
    <w:p>
      <w:pPr>
        <w:pStyle w:val="26"/>
        <w:keepNext w:val="0"/>
        <w:keepLines w:val="0"/>
        <w:pageBreakBefore w:val="0"/>
        <w:numPr>
          <w:ilvl w:val="0"/>
          <w:numId w:val="29"/>
        </w:numPr>
        <w:kinsoku/>
        <w:overflowPunct/>
        <w:autoSpaceDE/>
        <w:autoSpaceDN/>
        <w:bidi w:val="0"/>
        <w:spacing w:line="440" w:lineRule="exact"/>
        <w:ind w:firstLine="480" w:firstLineChars="200"/>
        <w:textAlignment w:val="auto"/>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本项目采用单价合同，每公里车道检测费用最高限价为415元，参加投标的检测机构采用</w:t>
      </w:r>
      <w:r>
        <w:rPr>
          <w:rFonts w:hint="eastAsia" w:ascii="宋体" w:hAnsi="宋体" w:cs="宋体"/>
          <w:b w:val="0"/>
          <w:bCs/>
          <w:sz w:val="24"/>
          <w:szCs w:val="24"/>
          <w:lang w:val="en-US" w:eastAsia="zh-CN"/>
        </w:rPr>
        <w:t>单价</w:t>
      </w:r>
      <w:r>
        <w:rPr>
          <w:rFonts w:hint="eastAsia" w:ascii="宋体" w:hAnsi="宋体" w:eastAsia="宋体" w:cs="宋体"/>
          <w:b w:val="0"/>
          <w:bCs/>
          <w:sz w:val="24"/>
          <w:szCs w:val="24"/>
          <w:lang w:val="en-US" w:eastAsia="zh-CN"/>
        </w:rPr>
        <w:t>进行报价。全年检测费用结算总额不超过</w:t>
      </w:r>
      <w:r>
        <w:rPr>
          <w:rFonts w:hint="eastAsia" w:ascii="宋体" w:hAnsi="宋体" w:cs="宋体"/>
          <w:b w:val="0"/>
          <w:bCs/>
          <w:sz w:val="24"/>
          <w:szCs w:val="24"/>
          <w:lang w:val="en-US" w:eastAsia="zh-CN"/>
        </w:rPr>
        <w:t>本</w:t>
      </w:r>
      <w:r>
        <w:rPr>
          <w:rFonts w:hint="eastAsia" w:ascii="宋体" w:hAnsi="宋体" w:eastAsia="宋体" w:cs="宋体"/>
          <w:b w:val="0"/>
          <w:bCs/>
          <w:sz w:val="24"/>
          <w:szCs w:val="24"/>
          <w:lang w:val="en-US" w:eastAsia="zh-CN"/>
        </w:rPr>
        <w:t>项目采购预算。</w:t>
      </w:r>
    </w:p>
    <w:p>
      <w:pPr>
        <w:pStyle w:val="26"/>
        <w:keepNext w:val="0"/>
        <w:keepLines w:val="0"/>
        <w:pageBreakBefore w:val="0"/>
        <w:numPr>
          <w:ilvl w:val="0"/>
          <w:numId w:val="0"/>
        </w:numPr>
        <w:kinsoku/>
        <w:overflowPunct/>
        <w:autoSpaceDE/>
        <w:autoSpaceDN/>
        <w:bidi w:val="0"/>
        <w:spacing w:line="440" w:lineRule="exact"/>
        <w:ind w:firstLine="480" w:firstLineChars="200"/>
        <w:textAlignment w:val="auto"/>
        <w:outlineLvl w:val="9"/>
        <w:rPr>
          <w:rFonts w:hint="eastAsia" w:ascii="宋体" w:hAnsi="宋体" w:eastAsia="宋体" w:cs="宋体"/>
          <w:bCs/>
          <w:sz w:val="24"/>
          <w:szCs w:val="24"/>
        </w:rPr>
      </w:pPr>
      <w:r>
        <w:rPr>
          <w:rFonts w:hint="eastAsia" w:ascii="宋体" w:hAnsi="宋体" w:eastAsia="宋体" w:cs="宋体"/>
          <w:b w:val="0"/>
          <w:bCs/>
          <w:sz w:val="24"/>
          <w:szCs w:val="24"/>
          <w:lang w:val="en-US" w:eastAsia="zh-CN"/>
        </w:rPr>
        <w:t>2、</w:t>
      </w:r>
      <w:r>
        <w:rPr>
          <w:rFonts w:hint="eastAsia" w:ascii="宋体" w:hAnsi="宋体" w:eastAsia="宋体" w:cs="宋体"/>
          <w:bCs/>
          <w:sz w:val="24"/>
          <w:szCs w:val="24"/>
        </w:rPr>
        <w:t>合同价是</w:t>
      </w:r>
      <w:r>
        <w:rPr>
          <w:rFonts w:hint="eastAsia" w:ascii="宋体" w:hAnsi="宋体" w:eastAsia="宋体" w:cs="宋体"/>
          <w:bCs/>
          <w:sz w:val="24"/>
          <w:szCs w:val="24"/>
          <w:lang w:val="en-US" w:eastAsia="zh-CN"/>
        </w:rPr>
        <w:t>投标人</w:t>
      </w:r>
      <w:r>
        <w:rPr>
          <w:rFonts w:hint="eastAsia" w:ascii="宋体" w:hAnsi="宋体" w:eastAsia="宋体" w:cs="宋体"/>
          <w:b w:val="0"/>
          <w:bCs/>
          <w:sz w:val="24"/>
          <w:szCs w:val="24"/>
          <w:lang w:val="en-US" w:eastAsia="zh-CN"/>
        </w:rPr>
        <w:t>完成采购人当前环境下项目正常运行所需的全部费用</w:t>
      </w:r>
      <w:r>
        <w:rPr>
          <w:rFonts w:hint="eastAsia" w:ascii="宋体" w:hAnsi="宋体" w:eastAsia="宋体" w:cs="宋体"/>
          <w:bCs/>
          <w:sz w:val="24"/>
          <w:szCs w:val="24"/>
        </w:rPr>
        <w:t>，包含完成本项目所涉及人员</w:t>
      </w:r>
      <w:r>
        <w:rPr>
          <w:rFonts w:hint="eastAsia" w:ascii="宋体" w:hAnsi="宋体" w:eastAsia="宋体" w:cs="宋体"/>
          <w:bCs/>
          <w:sz w:val="24"/>
          <w:szCs w:val="24"/>
          <w:lang w:val="en-US" w:eastAsia="zh-CN"/>
        </w:rPr>
        <w:t>薪资</w:t>
      </w:r>
      <w:r>
        <w:rPr>
          <w:rFonts w:hint="eastAsia" w:ascii="宋体" w:hAnsi="宋体" w:eastAsia="宋体" w:cs="宋体"/>
          <w:bCs/>
          <w:sz w:val="24"/>
          <w:szCs w:val="24"/>
        </w:rPr>
        <w:t>、</w:t>
      </w:r>
      <w:r>
        <w:rPr>
          <w:rFonts w:hint="eastAsia" w:ascii="宋体" w:hAnsi="宋体" w:eastAsia="宋体" w:cs="宋体"/>
          <w:bCs/>
          <w:sz w:val="24"/>
          <w:szCs w:val="24"/>
          <w:lang w:val="en-US" w:eastAsia="zh-CN"/>
        </w:rPr>
        <w:t>设备投入</w:t>
      </w:r>
      <w:r>
        <w:rPr>
          <w:rFonts w:hint="eastAsia" w:ascii="宋体" w:hAnsi="宋体" w:eastAsia="宋体" w:cs="宋体"/>
          <w:bCs/>
          <w:sz w:val="24"/>
          <w:szCs w:val="24"/>
        </w:rPr>
        <w:t>、</w:t>
      </w:r>
      <w:r>
        <w:rPr>
          <w:rFonts w:hint="eastAsia" w:ascii="宋体" w:hAnsi="宋体" w:eastAsia="宋体" w:cs="宋体"/>
          <w:bCs/>
          <w:sz w:val="24"/>
          <w:szCs w:val="24"/>
          <w:lang w:val="en-US" w:eastAsia="zh-CN"/>
        </w:rPr>
        <w:t>交通住宿</w:t>
      </w:r>
      <w:r>
        <w:rPr>
          <w:rFonts w:hint="eastAsia" w:ascii="宋体" w:hAnsi="宋体" w:eastAsia="宋体" w:cs="宋体"/>
          <w:bCs/>
          <w:sz w:val="24"/>
          <w:szCs w:val="24"/>
        </w:rPr>
        <w:t>、</w:t>
      </w:r>
      <w:r>
        <w:rPr>
          <w:rFonts w:hint="eastAsia" w:ascii="宋体" w:hAnsi="宋体" w:eastAsia="宋体" w:cs="宋体"/>
          <w:bCs/>
          <w:sz w:val="24"/>
          <w:szCs w:val="24"/>
          <w:lang w:val="en-US" w:eastAsia="zh-CN"/>
        </w:rPr>
        <w:t>整理、检测、管理</w:t>
      </w:r>
      <w:r>
        <w:rPr>
          <w:rFonts w:hint="eastAsia" w:ascii="宋体" w:hAnsi="宋体" w:eastAsia="宋体" w:cs="宋体"/>
          <w:bCs/>
          <w:sz w:val="24"/>
          <w:szCs w:val="24"/>
        </w:rPr>
        <w:t>、成果、利润、保险、风险、税金以及招标文件规定的一切费用。</w:t>
      </w:r>
    </w:p>
    <w:p>
      <w:pPr>
        <w:pStyle w:val="26"/>
        <w:keepNext w:val="0"/>
        <w:keepLines w:val="0"/>
        <w:pageBreakBefore w:val="0"/>
        <w:kinsoku/>
        <w:overflowPunct/>
        <w:autoSpaceDE/>
        <w:autoSpaceDN/>
        <w:bidi w:val="0"/>
        <w:spacing w:line="440" w:lineRule="exact"/>
        <w:ind w:firstLine="480" w:firstLineChars="200"/>
        <w:textAlignment w:val="auto"/>
        <w:outlineLvl w:val="9"/>
        <w:rPr>
          <w:rFonts w:hint="eastAsia" w:ascii="宋体" w:hAnsi="宋体" w:eastAsia="宋体" w:cs="宋体"/>
          <w:b w:val="0"/>
          <w:bCs/>
          <w:sz w:val="24"/>
          <w:szCs w:val="24"/>
        </w:rPr>
      </w:pPr>
      <w:r>
        <w:rPr>
          <w:rFonts w:hint="eastAsia" w:ascii="宋体" w:hAnsi="宋体" w:eastAsia="宋体" w:cs="宋体"/>
          <w:b w:val="0"/>
          <w:bCs/>
          <w:sz w:val="24"/>
          <w:szCs w:val="24"/>
        </w:rPr>
        <w:t>(四)付款方式</w:t>
      </w:r>
    </w:p>
    <w:p>
      <w:pPr>
        <w:pStyle w:val="61"/>
        <w:keepNext w:val="0"/>
        <w:keepLines w:val="0"/>
        <w:pageBreakBefore w:val="0"/>
        <w:numPr>
          <w:ilvl w:val="3"/>
          <w:numId w:val="0"/>
        </w:numPr>
        <w:kinsoku/>
        <w:overflowPunct/>
        <w:autoSpaceDE/>
        <w:autoSpaceDN/>
        <w:bidi w:val="0"/>
        <w:spacing w:line="440" w:lineRule="exact"/>
        <w:ind w:firstLine="480" w:firstLineChars="200"/>
        <w:textAlignment w:val="auto"/>
        <w:outlineLvl w:val="9"/>
        <w:rPr>
          <w:rFonts w:hint="eastAsia" w:ascii="宋体" w:hAnsi="宋体" w:eastAsia="宋体" w:cs="宋体"/>
          <w:bCs/>
          <w:sz w:val="24"/>
          <w:szCs w:val="24"/>
        </w:rPr>
      </w:pPr>
      <w:r>
        <w:rPr>
          <w:rFonts w:hint="eastAsia" w:cs="宋体"/>
          <w:bCs/>
          <w:sz w:val="24"/>
          <w:szCs w:val="24"/>
          <w:lang w:val="en-US" w:eastAsia="zh-CN"/>
        </w:rPr>
        <w:t>1、</w:t>
      </w:r>
      <w:r>
        <w:rPr>
          <w:rFonts w:hint="eastAsia" w:ascii="宋体" w:hAnsi="宋体" w:eastAsia="宋体" w:cs="宋体"/>
          <w:bCs/>
          <w:sz w:val="24"/>
          <w:szCs w:val="24"/>
        </w:rPr>
        <w:t>签订</w:t>
      </w:r>
      <w:r>
        <w:rPr>
          <w:rFonts w:hint="eastAsia" w:ascii="宋体" w:hAnsi="宋体" w:eastAsia="宋体" w:cs="宋体"/>
          <w:bCs/>
          <w:sz w:val="24"/>
          <w:szCs w:val="24"/>
          <w:lang w:val="en-US" w:eastAsia="zh-CN"/>
        </w:rPr>
        <w:t>采购</w:t>
      </w:r>
      <w:r>
        <w:rPr>
          <w:rFonts w:hint="eastAsia" w:ascii="宋体" w:hAnsi="宋体" w:eastAsia="宋体" w:cs="宋体"/>
          <w:bCs/>
          <w:sz w:val="24"/>
          <w:szCs w:val="24"/>
        </w:rPr>
        <w:t>合同</w:t>
      </w:r>
      <w:r>
        <w:rPr>
          <w:rFonts w:hint="eastAsia" w:ascii="宋体" w:hAnsi="宋体" w:eastAsia="宋体" w:cs="宋体"/>
          <w:bCs/>
          <w:sz w:val="24"/>
          <w:szCs w:val="24"/>
          <w:lang w:val="en-US" w:eastAsia="zh-CN"/>
        </w:rPr>
        <w:t>生效</w:t>
      </w:r>
      <w:r>
        <w:rPr>
          <w:rFonts w:hint="eastAsia" w:ascii="宋体" w:hAnsi="宋体" w:eastAsia="宋体" w:cs="宋体"/>
          <w:bCs/>
          <w:sz w:val="24"/>
          <w:szCs w:val="24"/>
        </w:rPr>
        <w:t>后</w:t>
      </w:r>
      <w:r>
        <w:rPr>
          <w:rFonts w:hint="eastAsia" w:ascii="宋体" w:hAnsi="宋体" w:eastAsia="宋体" w:cs="宋体"/>
          <w:bCs/>
          <w:sz w:val="24"/>
          <w:szCs w:val="24"/>
          <w:lang w:val="en-US" w:eastAsia="zh-CN"/>
        </w:rPr>
        <w:t>支付检测总里程（预计4500公里）的40%×中标单价的金额</w:t>
      </w:r>
      <w:r>
        <w:rPr>
          <w:rFonts w:hint="eastAsia" w:cs="宋体"/>
          <w:bCs/>
          <w:sz w:val="24"/>
          <w:szCs w:val="24"/>
          <w:lang w:val="en-US" w:eastAsia="zh-CN"/>
        </w:rPr>
        <w:t>作</w:t>
      </w:r>
      <w:r>
        <w:rPr>
          <w:rFonts w:hint="eastAsia" w:ascii="宋体" w:hAnsi="宋体" w:eastAsia="宋体" w:cs="宋体"/>
          <w:bCs/>
          <w:sz w:val="24"/>
          <w:szCs w:val="24"/>
          <w:lang w:val="en-US" w:eastAsia="zh-CN"/>
        </w:rPr>
        <w:t>为预付款，按合同约定完成检测等各项工作后，按实际完成</w:t>
      </w:r>
      <w:r>
        <w:rPr>
          <w:rFonts w:hint="eastAsia" w:ascii="宋体" w:hAnsi="宋体" w:eastAsia="宋体" w:cs="宋体"/>
          <w:bCs/>
          <w:sz w:val="24"/>
          <w:szCs w:val="24"/>
        </w:rPr>
        <w:t>的检测量（</w:t>
      </w:r>
      <w:r>
        <w:rPr>
          <w:rFonts w:hint="eastAsia" w:ascii="宋体" w:hAnsi="宋体" w:eastAsia="宋体" w:cs="宋体"/>
          <w:bCs/>
          <w:sz w:val="24"/>
          <w:szCs w:val="24"/>
          <w:lang w:val="en-US" w:eastAsia="zh-CN"/>
        </w:rPr>
        <w:t>检测总里程</w:t>
      </w:r>
      <w:r>
        <w:rPr>
          <w:rFonts w:hint="eastAsia" w:ascii="宋体" w:hAnsi="宋体" w:eastAsia="宋体" w:cs="宋体"/>
          <w:bCs/>
          <w:sz w:val="24"/>
          <w:szCs w:val="24"/>
        </w:rPr>
        <w:t>）和中标单价（元/公里）据实支付剩余服务费。</w:t>
      </w:r>
    </w:p>
    <w:p>
      <w:pPr>
        <w:pStyle w:val="61"/>
        <w:keepNext w:val="0"/>
        <w:keepLines w:val="0"/>
        <w:pageBreakBefore w:val="0"/>
        <w:numPr>
          <w:ilvl w:val="3"/>
          <w:numId w:val="0"/>
        </w:numPr>
        <w:kinsoku/>
        <w:overflowPunct/>
        <w:autoSpaceDE/>
        <w:autoSpaceDN/>
        <w:bidi w:val="0"/>
        <w:spacing w:line="440" w:lineRule="exact"/>
        <w:ind w:firstLine="480" w:firstLineChars="200"/>
        <w:textAlignment w:val="auto"/>
        <w:outlineLvl w:val="9"/>
        <w:rPr>
          <w:rFonts w:hint="eastAsia" w:ascii="宋体" w:hAnsi="宋体" w:eastAsia="宋体" w:cs="宋体"/>
          <w:bCs/>
          <w:sz w:val="24"/>
          <w:szCs w:val="24"/>
          <w:lang w:val="en-US" w:eastAsia="zh-CN"/>
        </w:rPr>
      </w:pPr>
      <w:r>
        <w:rPr>
          <w:rFonts w:hint="eastAsia" w:cs="宋体"/>
          <w:bCs/>
          <w:sz w:val="24"/>
          <w:szCs w:val="24"/>
          <w:lang w:val="en-US" w:eastAsia="zh-CN"/>
        </w:rPr>
        <w:t>2、供应商须向采购人出具合法有效完整的完税发票及凭证资料进行支付结算。</w:t>
      </w:r>
    </w:p>
    <w:p>
      <w:pPr>
        <w:pStyle w:val="26"/>
        <w:keepNext w:val="0"/>
        <w:keepLines w:val="0"/>
        <w:pageBreakBefore w:val="0"/>
        <w:kinsoku/>
        <w:overflowPunct/>
        <w:autoSpaceDE/>
        <w:autoSpaceDN/>
        <w:bidi w:val="0"/>
        <w:spacing w:line="440" w:lineRule="exact"/>
        <w:ind w:firstLine="480" w:firstLineChars="200"/>
        <w:textAlignment w:val="auto"/>
        <w:outlineLvl w:val="9"/>
        <w:rPr>
          <w:rFonts w:hint="eastAsia" w:ascii="宋体" w:hAnsi="宋体" w:eastAsia="宋体" w:cs="宋体"/>
          <w:b w:val="0"/>
          <w:bCs/>
          <w:sz w:val="24"/>
          <w:szCs w:val="24"/>
          <w:lang w:eastAsia="zh-CN"/>
        </w:rPr>
      </w:pPr>
      <w:r>
        <w:rPr>
          <w:rFonts w:hint="eastAsia" w:ascii="宋体" w:hAnsi="宋体" w:eastAsia="宋体" w:cs="宋体"/>
          <w:b w:val="0"/>
          <w:bCs/>
          <w:sz w:val="24"/>
          <w:szCs w:val="24"/>
        </w:rPr>
        <w:t>(</w:t>
      </w:r>
      <w:r>
        <w:rPr>
          <w:rFonts w:hint="eastAsia" w:ascii="宋体" w:hAnsi="宋体" w:eastAsia="宋体" w:cs="宋体"/>
          <w:b w:val="0"/>
          <w:bCs/>
          <w:sz w:val="24"/>
          <w:szCs w:val="24"/>
          <w:lang w:val="en-US" w:eastAsia="zh-CN"/>
        </w:rPr>
        <w:t>五</w:t>
      </w:r>
      <w:r>
        <w:rPr>
          <w:rFonts w:hint="eastAsia" w:ascii="宋体" w:hAnsi="宋体" w:eastAsia="宋体" w:cs="宋体"/>
          <w:b w:val="0"/>
          <w:bCs/>
          <w:sz w:val="24"/>
          <w:szCs w:val="24"/>
        </w:rPr>
        <w:t>)</w:t>
      </w:r>
      <w:r>
        <w:rPr>
          <w:rFonts w:hint="eastAsia" w:ascii="宋体" w:hAnsi="宋体" w:eastAsia="宋体" w:cs="宋体"/>
          <w:b w:val="0"/>
          <w:bCs/>
          <w:sz w:val="24"/>
          <w:szCs w:val="24"/>
          <w:lang w:val="en-US" w:eastAsia="zh-CN"/>
        </w:rPr>
        <w:t>违约责任</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eastAsia="宋体" w:cs="宋体"/>
          <w:bCs/>
          <w:kern w:val="0"/>
          <w:sz w:val="24"/>
          <w:szCs w:val="24"/>
          <w:lang w:val="en-US" w:eastAsia="zh-CN" w:bidi="ar-SA"/>
        </w:rPr>
      </w:pPr>
      <w:r>
        <w:rPr>
          <w:rFonts w:hint="eastAsia" w:ascii="宋体" w:hAnsi="宋体" w:eastAsia="宋体" w:cs="宋体"/>
          <w:bCs/>
          <w:kern w:val="0"/>
          <w:sz w:val="24"/>
          <w:szCs w:val="24"/>
          <w:lang w:val="en-US" w:eastAsia="zh-CN" w:bidi="ar-SA"/>
        </w:rPr>
        <w:t>1.供应商必须遵守采购合同并执行合同中的各项规定，保证采购合同的正常履行。</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eastAsia="宋体" w:cs="宋体"/>
          <w:bCs/>
          <w:kern w:val="0"/>
          <w:sz w:val="24"/>
          <w:szCs w:val="24"/>
          <w:lang w:val="en-US" w:eastAsia="zh-CN" w:bidi="ar-SA"/>
        </w:rPr>
      </w:pPr>
      <w:r>
        <w:rPr>
          <w:rFonts w:hint="eastAsia" w:ascii="宋体" w:hAnsi="宋体" w:eastAsia="宋体" w:cs="宋体"/>
          <w:bCs/>
          <w:kern w:val="0"/>
          <w:sz w:val="24"/>
          <w:szCs w:val="24"/>
          <w:lang w:val="en-US" w:eastAsia="zh-CN" w:bidi="ar-SA"/>
        </w:rPr>
        <w:t>2.如因供应商工作人员在履行职务过程中的疏忽、失职、过错等故意或者过失原因给采购人造成损失或侵害，包括但不限于采购人本身的财产损失、由此而导致的采购人对任何第三方的法律责任等，供应商对此均应承担全部的赔偿责任。</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eastAsia="宋体" w:cs="宋体"/>
          <w:bCs/>
          <w:kern w:val="0"/>
          <w:sz w:val="24"/>
          <w:szCs w:val="24"/>
          <w:lang w:val="en-US" w:eastAsia="zh-CN" w:bidi="ar-SA"/>
        </w:rPr>
      </w:pPr>
      <w:r>
        <w:rPr>
          <w:rFonts w:hint="eastAsia" w:ascii="宋体" w:hAnsi="宋体" w:eastAsia="宋体" w:cs="宋体"/>
          <w:bCs/>
          <w:kern w:val="0"/>
          <w:sz w:val="24"/>
          <w:szCs w:val="24"/>
          <w:lang w:val="en-US" w:eastAsia="zh-CN" w:bidi="ar-SA"/>
        </w:rPr>
        <w:t>3.供应商必须遵守采购合同按时完成合同相关工作，若由于供应商原因导致合同迟延履行，供应商应承担采购合同中约定承担违约责任。</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宋体" w:hAnsi="宋体" w:eastAsia="宋体" w:cs="宋体"/>
          <w:bCs/>
          <w:kern w:val="0"/>
          <w:sz w:val="24"/>
          <w:szCs w:val="24"/>
          <w:lang w:val="en-US" w:eastAsia="zh-CN" w:bidi="ar-SA"/>
        </w:rPr>
      </w:pPr>
      <w:r>
        <w:rPr>
          <w:rFonts w:hint="eastAsia" w:ascii="宋体" w:hAnsi="宋体" w:eastAsia="宋体" w:cs="宋体"/>
          <w:bCs/>
          <w:kern w:val="0"/>
          <w:sz w:val="24"/>
          <w:szCs w:val="24"/>
          <w:lang w:val="en-US" w:eastAsia="zh-CN" w:bidi="ar-SA"/>
        </w:rPr>
        <w:t>4.供应商应当遵守采购人的相关项目需求及相关技术要求及实质性条款，实施完成采购合同应当完全满足相关项目需求及相关技术要求及实质性条款，若供应商瑕疵履行采购合同，采购人有权向供应商要求赔偿合同总价款20%的违约金，若造成相关损失的，采购人有权要求供应商承担所有赔偿责任。</w:t>
      </w:r>
    </w:p>
    <w:p>
      <w:pPr>
        <w:pStyle w:val="61"/>
        <w:keepNext w:val="0"/>
        <w:keepLines w:val="0"/>
        <w:pageBreakBefore w:val="0"/>
        <w:numPr>
          <w:ilvl w:val="3"/>
          <w:numId w:val="0"/>
        </w:numPr>
        <w:kinsoku/>
        <w:overflowPunct/>
        <w:autoSpaceDE/>
        <w:autoSpaceDN/>
        <w:bidi w:val="0"/>
        <w:spacing w:line="440" w:lineRule="exact"/>
        <w:ind w:firstLine="480" w:firstLineChars="200"/>
        <w:textAlignment w:val="auto"/>
        <w:outlineLvl w:val="9"/>
        <w:rPr>
          <w:rFonts w:hint="eastAsia" w:ascii="宋体" w:hAnsi="宋体" w:eastAsia="宋体" w:cs="宋体"/>
          <w:bCs/>
          <w:kern w:val="0"/>
          <w:sz w:val="24"/>
          <w:szCs w:val="24"/>
          <w:lang w:val="en-US" w:eastAsia="zh-CN" w:bidi="ar-SA"/>
        </w:rPr>
      </w:pPr>
      <w:r>
        <w:rPr>
          <w:rFonts w:hint="eastAsia" w:ascii="宋体" w:hAnsi="宋体" w:eastAsia="宋体" w:cs="宋体"/>
          <w:bCs/>
          <w:kern w:val="0"/>
          <w:sz w:val="24"/>
          <w:szCs w:val="24"/>
          <w:lang w:val="en-US" w:eastAsia="zh-CN" w:bidi="ar-SA"/>
        </w:rPr>
        <w:t>5.有下列情形之一的，当事人可以解除合同：</w:t>
      </w:r>
      <w:r>
        <w:rPr>
          <w:rFonts w:hint="eastAsia" w:ascii="宋体" w:hAnsi="宋体" w:eastAsia="宋体" w:cs="宋体"/>
          <w:bCs/>
          <w:kern w:val="0"/>
          <w:sz w:val="24"/>
          <w:szCs w:val="24"/>
          <w:lang w:val="en-US" w:eastAsia="zh-CN" w:bidi="ar-SA"/>
        </w:rPr>
        <w:br w:type="textWrapping"/>
      </w:r>
      <w:r>
        <w:rPr>
          <w:rFonts w:hint="eastAsia" w:ascii="宋体" w:hAnsi="宋体" w:eastAsia="宋体" w:cs="宋体"/>
          <w:bCs/>
          <w:kern w:val="0"/>
          <w:sz w:val="24"/>
          <w:szCs w:val="24"/>
          <w:lang w:val="en-US" w:eastAsia="zh-CN" w:bidi="ar-SA"/>
        </w:rPr>
        <w:t>　　5.1因不可抗力致使不能实现合同目的(由于非供应商或采购人原因，致使合同实质性条款无法实现的)；</w:t>
      </w:r>
      <w:r>
        <w:rPr>
          <w:rFonts w:hint="eastAsia" w:ascii="宋体" w:hAnsi="宋体" w:eastAsia="宋体" w:cs="宋体"/>
          <w:bCs/>
          <w:kern w:val="0"/>
          <w:sz w:val="24"/>
          <w:szCs w:val="24"/>
          <w:lang w:val="en-US" w:eastAsia="zh-CN" w:bidi="ar-SA"/>
        </w:rPr>
        <w:br w:type="textWrapping"/>
      </w:r>
      <w:r>
        <w:rPr>
          <w:rFonts w:hint="eastAsia" w:ascii="宋体" w:hAnsi="宋体" w:eastAsia="宋体" w:cs="宋体"/>
          <w:bCs/>
          <w:kern w:val="0"/>
          <w:sz w:val="24"/>
          <w:szCs w:val="24"/>
          <w:lang w:val="en-US" w:eastAsia="zh-CN" w:bidi="ar-SA"/>
        </w:rPr>
        <w:t>　  5.2当事人一方迟延履行主要债务，经催告后在合理期限内仍未履行；</w:t>
      </w:r>
      <w:r>
        <w:rPr>
          <w:rFonts w:hint="eastAsia" w:ascii="宋体" w:hAnsi="宋体" w:eastAsia="宋体" w:cs="宋体"/>
          <w:bCs/>
          <w:kern w:val="0"/>
          <w:sz w:val="24"/>
          <w:szCs w:val="24"/>
          <w:lang w:val="en-US" w:eastAsia="zh-CN" w:bidi="ar-SA"/>
        </w:rPr>
        <w:br w:type="textWrapping"/>
      </w:r>
      <w:r>
        <w:rPr>
          <w:rFonts w:hint="eastAsia" w:ascii="宋体" w:hAnsi="宋体" w:eastAsia="宋体" w:cs="宋体"/>
          <w:bCs/>
          <w:kern w:val="0"/>
          <w:sz w:val="24"/>
          <w:szCs w:val="24"/>
          <w:lang w:val="en-US" w:eastAsia="zh-CN" w:bidi="ar-SA"/>
        </w:rPr>
        <w:t>　　5.3当事人一方迟延履行债务或者有其他违约行为致使不能实现合同目的；</w:t>
      </w:r>
      <w:r>
        <w:rPr>
          <w:rFonts w:hint="eastAsia" w:ascii="宋体" w:hAnsi="宋体" w:eastAsia="宋体" w:cs="宋体"/>
          <w:bCs/>
          <w:kern w:val="0"/>
          <w:sz w:val="24"/>
          <w:szCs w:val="24"/>
          <w:lang w:val="en-US" w:eastAsia="zh-CN" w:bidi="ar-SA"/>
        </w:rPr>
        <w:br w:type="textWrapping"/>
      </w:r>
      <w:r>
        <w:rPr>
          <w:rFonts w:hint="eastAsia" w:ascii="宋体" w:hAnsi="宋体" w:eastAsia="宋体" w:cs="宋体"/>
          <w:bCs/>
          <w:kern w:val="0"/>
          <w:sz w:val="24"/>
          <w:szCs w:val="24"/>
          <w:lang w:val="en-US" w:eastAsia="zh-CN" w:bidi="ar-SA"/>
        </w:rPr>
        <w:t>　  5.4法律规定的其他情形。</w:t>
      </w:r>
    </w:p>
    <w:p>
      <w:pPr>
        <w:pStyle w:val="26"/>
        <w:keepNext w:val="0"/>
        <w:keepLines w:val="0"/>
        <w:pageBreakBefore w:val="0"/>
        <w:kinsoku/>
        <w:overflowPunct/>
        <w:autoSpaceDE/>
        <w:autoSpaceDN/>
        <w:bidi w:val="0"/>
        <w:spacing w:line="440" w:lineRule="exact"/>
        <w:ind w:firstLine="480" w:firstLineChars="200"/>
        <w:textAlignment w:val="auto"/>
        <w:outlineLvl w:val="9"/>
        <w:rPr>
          <w:rFonts w:hint="eastAsia" w:ascii="宋体" w:hAnsi="宋体" w:eastAsia="宋体" w:cs="宋体"/>
          <w:b w:val="0"/>
          <w:bCs/>
          <w:sz w:val="24"/>
          <w:szCs w:val="24"/>
        </w:rPr>
      </w:pPr>
      <w:r>
        <w:rPr>
          <w:rFonts w:hint="eastAsia" w:ascii="宋体" w:hAnsi="宋体" w:eastAsia="宋体" w:cs="宋体"/>
          <w:b w:val="0"/>
          <w:bCs/>
          <w:sz w:val="24"/>
          <w:szCs w:val="24"/>
        </w:rPr>
        <w:t>(</w:t>
      </w:r>
      <w:r>
        <w:rPr>
          <w:rFonts w:hint="eastAsia" w:ascii="宋体" w:hAnsi="宋体" w:eastAsia="宋体" w:cs="宋体"/>
          <w:b w:val="0"/>
          <w:bCs/>
          <w:sz w:val="24"/>
          <w:szCs w:val="24"/>
          <w:lang w:val="en-US" w:eastAsia="zh-CN"/>
        </w:rPr>
        <w:t>六</w:t>
      </w:r>
      <w:r>
        <w:rPr>
          <w:rFonts w:hint="eastAsia" w:ascii="宋体" w:hAnsi="宋体" w:eastAsia="宋体" w:cs="宋体"/>
          <w:b w:val="0"/>
          <w:bCs/>
          <w:sz w:val="24"/>
          <w:szCs w:val="24"/>
        </w:rPr>
        <w:t>)解决争议的方法</w:t>
      </w:r>
    </w:p>
    <w:p>
      <w:pPr>
        <w:pStyle w:val="26"/>
        <w:keepNext w:val="0"/>
        <w:keepLines w:val="0"/>
        <w:pageBreakBefore w:val="0"/>
        <w:kinsoku/>
        <w:overflowPunct/>
        <w:autoSpaceDE/>
        <w:autoSpaceDN/>
        <w:bidi w:val="0"/>
        <w:spacing w:line="440" w:lineRule="exact"/>
        <w:ind w:firstLine="480" w:firstLineChars="20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1.因服务的质量问题发生争议，由采购人或其指定的第三方机构进行质量鉴定。服务符合标准的，鉴定费由采购人承担；服务不符合质量标准的，鉴定费由中标供应商承担。</w:t>
      </w:r>
    </w:p>
    <w:p>
      <w:pPr>
        <w:pStyle w:val="26"/>
        <w:keepNext w:val="0"/>
        <w:keepLines w:val="0"/>
        <w:pageBreakBefore w:val="0"/>
        <w:kinsoku/>
        <w:overflowPunct/>
        <w:autoSpaceDE/>
        <w:autoSpaceDN/>
        <w:bidi w:val="0"/>
        <w:spacing w:line="440" w:lineRule="exact"/>
        <w:ind w:firstLine="480" w:firstLineChars="200"/>
        <w:textAlignment w:val="auto"/>
        <w:outlineLvl w:val="9"/>
        <w:rPr>
          <w:rFonts w:hint="eastAsia" w:ascii="宋体" w:hAnsi="宋体" w:eastAsia="宋体" w:cs="宋体"/>
          <w:bCs/>
          <w:sz w:val="24"/>
          <w:szCs w:val="24"/>
        </w:rPr>
      </w:pPr>
      <w:r>
        <w:rPr>
          <w:rFonts w:hint="eastAsia" w:ascii="宋体" w:hAnsi="宋体" w:eastAsia="宋体" w:cs="宋体"/>
          <w:bCs/>
          <w:sz w:val="24"/>
          <w:szCs w:val="24"/>
        </w:rPr>
        <w:t>2.</w:t>
      </w:r>
      <w:r>
        <w:rPr>
          <w:rFonts w:ascii="宋体" w:hAnsi="宋体" w:eastAsia="宋体" w:cs="宋体"/>
          <w:sz w:val="24"/>
          <w:szCs w:val="24"/>
        </w:rPr>
        <w:t>在执行本合同中发生的或与本合同有关的争端，双方应通过友好协商解决，经协商在30天内不能达成协议时，应提交甲方住所地人民法院诉讼</w:t>
      </w:r>
      <w:r>
        <w:rPr>
          <w:rFonts w:hint="eastAsia" w:ascii="宋体" w:hAnsi="宋体" w:eastAsia="宋体" w:cs="宋体"/>
          <w:bCs/>
          <w:sz w:val="24"/>
          <w:szCs w:val="24"/>
        </w:rPr>
        <w:t>。</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482" w:firstLineChars="200"/>
        <w:jc w:val="left"/>
        <w:textAlignment w:val="auto"/>
        <w:outlineLvl w:val="1"/>
        <w:rPr>
          <w:rFonts w:hint="eastAsia" w:ascii="宋体" w:hAnsi="宋体" w:eastAsia="宋体" w:cs="宋体"/>
          <w:b/>
          <w:bCs/>
          <w:sz w:val="24"/>
          <w:szCs w:val="24"/>
          <w:lang w:val="en-US" w:eastAsia="zh-CN"/>
        </w:rPr>
      </w:pPr>
      <w:bookmarkStart w:id="995" w:name="_Toc28715"/>
      <w:bookmarkStart w:id="996" w:name="_Toc1049"/>
      <w:r>
        <w:rPr>
          <w:rFonts w:hint="eastAsia" w:ascii="宋体" w:hAnsi="宋体" w:eastAsia="宋体" w:cs="宋体"/>
          <w:b/>
          <w:bCs/>
          <w:sz w:val="24"/>
          <w:szCs w:val="24"/>
          <w:lang w:val="en-US" w:eastAsia="zh-CN"/>
        </w:rPr>
        <w:t>其他要求</w:t>
      </w:r>
      <w:bookmarkEnd w:id="995"/>
      <w:bookmarkEnd w:id="996"/>
    </w:p>
    <w:p>
      <w:pPr>
        <w:pStyle w:val="26"/>
        <w:spacing w:line="440" w:lineRule="exact"/>
        <w:ind w:firstLine="480" w:firstLineChars="200"/>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(一)</w:t>
      </w:r>
      <w:r>
        <w:rPr>
          <w:rFonts w:hint="eastAsia" w:ascii="宋体" w:hAnsi="宋体" w:eastAsia="宋体" w:cs="宋体"/>
          <w:bCs/>
          <w:color w:val="000000" w:themeColor="text1"/>
          <w:sz w:val="24"/>
          <w:szCs w:val="24"/>
          <w14:textFill>
            <w14:solidFill>
              <w14:schemeClr w14:val="tx1"/>
            </w14:solidFill>
          </w14:textFill>
        </w:rPr>
        <w:t>政府采购合同签订时间：供应商中标后，自中标通知书发出之日起30日内与采购单位签</w:t>
      </w:r>
      <w:r>
        <w:rPr>
          <w:rFonts w:hint="eastAsia" w:ascii="宋体" w:hAnsi="宋体" w:eastAsia="宋体" w:cs="宋体"/>
          <w:bCs/>
          <w:color w:val="000000" w:themeColor="text1"/>
          <w:sz w:val="24"/>
          <w:szCs w:val="24"/>
          <w:lang w:val="en-US" w:eastAsia="zh-CN"/>
          <w14:textFill>
            <w14:solidFill>
              <w14:schemeClr w14:val="tx1"/>
            </w14:solidFill>
          </w14:textFill>
        </w:rPr>
        <w:t>订</w:t>
      </w:r>
      <w:r>
        <w:rPr>
          <w:rFonts w:hint="eastAsia" w:ascii="宋体" w:hAnsi="宋体" w:eastAsia="宋体" w:cs="宋体"/>
          <w:bCs/>
          <w:color w:val="000000" w:themeColor="text1"/>
          <w:sz w:val="24"/>
          <w:szCs w:val="24"/>
          <w14:textFill>
            <w14:solidFill>
              <w14:schemeClr w14:val="tx1"/>
            </w14:solidFill>
          </w14:textFill>
        </w:rPr>
        <w:t>政府采购合同。</w:t>
      </w:r>
    </w:p>
    <w:p>
      <w:pPr>
        <w:pStyle w:val="26"/>
        <w:spacing w:line="440" w:lineRule="exact"/>
        <w:ind w:firstLine="480" w:firstLineChars="200"/>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(二)</w:t>
      </w:r>
      <w:r>
        <w:rPr>
          <w:rFonts w:hint="eastAsia" w:ascii="宋体" w:hAnsi="宋体" w:eastAsia="宋体" w:cs="宋体"/>
          <w:b/>
          <w:color w:val="000000" w:themeColor="text1"/>
          <w:sz w:val="24"/>
          <w:szCs w:val="24"/>
          <w14:textFill>
            <w14:solidFill>
              <w14:schemeClr w14:val="tx1"/>
            </w14:solidFill>
          </w14:textFill>
        </w:rPr>
        <w:t>※</w:t>
      </w:r>
      <w:r>
        <w:rPr>
          <w:rFonts w:hint="eastAsia" w:ascii="宋体" w:hAnsi="宋体" w:eastAsia="宋体" w:cs="宋体"/>
          <w:bCs/>
          <w:color w:val="000000" w:themeColor="text1"/>
          <w:sz w:val="24"/>
          <w:szCs w:val="24"/>
          <w14:textFill>
            <w14:solidFill>
              <w14:schemeClr w14:val="tx1"/>
            </w14:solidFill>
          </w14:textFill>
        </w:rPr>
        <w:t>供应商应保证所提供的服务或其任何一部分均不会侵犯任何第三方的专利权、商标权或著作权</w:t>
      </w:r>
      <w:r>
        <w:rPr>
          <w:rFonts w:hint="eastAsia" w:ascii="宋体" w:hAnsi="宋体" w:eastAsia="宋体" w:cs="宋体"/>
          <w:b/>
          <w:bCs w:val="0"/>
          <w:color w:val="000000" w:themeColor="text1"/>
          <w:sz w:val="24"/>
          <w:szCs w:val="24"/>
          <w:lang w:val="en-US" w:eastAsia="zh-CN"/>
          <w14:textFill>
            <w14:solidFill>
              <w14:schemeClr w14:val="tx1"/>
            </w14:solidFill>
          </w14:textFill>
        </w:rPr>
        <w:t>（应在</w:t>
      </w:r>
      <w:r>
        <w:rPr>
          <w:rFonts w:hint="eastAsia" w:ascii="宋体" w:hAnsi="宋体" w:cs="宋体"/>
          <w:b/>
          <w:bCs w:val="0"/>
          <w:color w:val="000000" w:themeColor="text1"/>
          <w:sz w:val="24"/>
          <w:szCs w:val="24"/>
          <w:lang w:val="en-US" w:eastAsia="zh-CN"/>
          <w14:textFill>
            <w14:solidFill>
              <w14:schemeClr w14:val="tx1"/>
            </w14:solidFill>
          </w14:textFill>
        </w:rPr>
        <w:t>其他</w:t>
      </w:r>
      <w:r>
        <w:rPr>
          <w:rFonts w:hint="eastAsia" w:ascii="宋体" w:hAnsi="宋体" w:eastAsia="宋体" w:cs="宋体"/>
          <w:b/>
          <w:bCs w:val="0"/>
          <w:color w:val="000000" w:themeColor="text1"/>
          <w:sz w:val="24"/>
          <w:szCs w:val="24"/>
          <w:lang w:val="en-US" w:eastAsia="zh-CN"/>
          <w14:textFill>
            <w14:solidFill>
              <w14:schemeClr w14:val="tx1"/>
            </w14:solidFill>
          </w14:textFill>
        </w:rPr>
        <w:t>投标文件中提供承诺函</w:t>
      </w:r>
      <w:r>
        <w:rPr>
          <w:rFonts w:hint="eastAsia" w:ascii="宋体" w:hAnsi="宋体" w:cs="宋体"/>
          <w:b/>
          <w:bCs w:val="0"/>
          <w:color w:val="000000" w:themeColor="text1"/>
          <w:sz w:val="24"/>
          <w:szCs w:val="24"/>
          <w:lang w:val="en-US" w:eastAsia="zh-CN"/>
          <w14:textFill>
            <w14:solidFill>
              <w14:schemeClr w14:val="tx1"/>
            </w14:solidFill>
          </w14:textFill>
        </w:rPr>
        <w:t>进行响应</w:t>
      </w:r>
      <w:r>
        <w:rPr>
          <w:rFonts w:hint="eastAsia" w:ascii="宋体" w:hAnsi="宋体" w:eastAsia="宋体" w:cs="宋体"/>
          <w:b/>
          <w:bCs w:val="0"/>
          <w:color w:val="000000" w:themeColor="text1"/>
          <w:sz w:val="24"/>
          <w:szCs w:val="24"/>
          <w:lang w:val="en-US" w:eastAsia="zh-CN"/>
          <w14:textFill>
            <w14:solidFill>
              <w14:schemeClr w14:val="tx1"/>
            </w14:solidFill>
          </w14:textFill>
        </w:rPr>
        <w:t>，格式自拟）</w:t>
      </w:r>
      <w:r>
        <w:rPr>
          <w:rFonts w:hint="eastAsia" w:ascii="宋体" w:hAnsi="宋体" w:eastAsia="宋体" w:cs="宋体"/>
          <w:bCs/>
          <w:color w:val="000000" w:themeColor="text1"/>
          <w:sz w:val="24"/>
          <w:szCs w:val="24"/>
          <w14:textFill>
            <w14:solidFill>
              <w14:schemeClr w14:val="tx1"/>
            </w14:solidFill>
          </w14:textFill>
        </w:rPr>
        <w:t>。</w:t>
      </w:r>
    </w:p>
    <w:p>
      <w:pPr>
        <w:pStyle w:val="26"/>
        <w:spacing w:line="440" w:lineRule="exact"/>
        <w:ind w:firstLine="480" w:firstLineChars="200"/>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(三)供应商为本项目提供服务的从业人员应依照《中华人民共和国劳动合同法》订立劳动合同。</w:t>
      </w:r>
    </w:p>
    <w:p>
      <w:pPr>
        <w:pStyle w:val="26"/>
        <w:spacing w:line="440" w:lineRule="exact"/>
        <w:ind w:firstLine="480" w:firstLineChars="200"/>
        <w:rPr>
          <w:rFonts w:hint="eastAsia" w:ascii="宋体" w:hAnsi="宋体" w:eastAsia="宋体" w:cs="宋体"/>
          <w:b/>
          <w:bCs w:val="0"/>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四)※供应商应严格执行《中华人民共和国民法典》、《中华人民共和国劳动合同法》及项目所在地最低工资标准等相关法律、法规并依法与服务人员签订劳动合同，并办理各种用工手续，如因用工不当，给采购人及服务人员造成的损失由供应商全额承担</w:t>
      </w:r>
      <w:r>
        <w:rPr>
          <w:rFonts w:hint="eastAsia" w:ascii="宋体" w:hAnsi="宋体" w:eastAsia="宋体" w:cs="宋体"/>
          <w:b/>
          <w:bCs w:val="0"/>
          <w:color w:val="000000" w:themeColor="text1"/>
          <w:sz w:val="24"/>
          <w:szCs w:val="24"/>
          <w:lang w:val="en-US" w:eastAsia="zh-CN"/>
          <w14:textFill>
            <w14:solidFill>
              <w14:schemeClr w14:val="tx1"/>
            </w14:solidFill>
          </w14:textFill>
        </w:rPr>
        <w:t>（应在</w:t>
      </w:r>
      <w:r>
        <w:rPr>
          <w:rFonts w:hint="eastAsia" w:ascii="宋体" w:hAnsi="宋体" w:cs="宋体"/>
          <w:b/>
          <w:bCs w:val="0"/>
          <w:color w:val="000000" w:themeColor="text1"/>
          <w:sz w:val="24"/>
          <w:szCs w:val="24"/>
          <w:lang w:val="en-US" w:eastAsia="zh-CN"/>
          <w14:textFill>
            <w14:solidFill>
              <w14:schemeClr w14:val="tx1"/>
            </w14:solidFill>
          </w14:textFill>
        </w:rPr>
        <w:t>其他</w:t>
      </w:r>
      <w:r>
        <w:rPr>
          <w:rFonts w:hint="eastAsia" w:ascii="宋体" w:hAnsi="宋体" w:eastAsia="宋体" w:cs="宋体"/>
          <w:b/>
          <w:bCs w:val="0"/>
          <w:color w:val="000000" w:themeColor="text1"/>
          <w:sz w:val="24"/>
          <w:szCs w:val="24"/>
          <w:lang w:val="en-US" w:eastAsia="zh-CN"/>
          <w14:textFill>
            <w14:solidFill>
              <w14:schemeClr w14:val="tx1"/>
            </w14:solidFill>
          </w14:textFill>
        </w:rPr>
        <w:t>投标文件中提供承诺函</w:t>
      </w:r>
      <w:r>
        <w:rPr>
          <w:rFonts w:hint="eastAsia" w:ascii="宋体" w:hAnsi="宋体" w:cs="宋体"/>
          <w:b/>
          <w:bCs w:val="0"/>
          <w:color w:val="000000" w:themeColor="text1"/>
          <w:sz w:val="24"/>
          <w:szCs w:val="24"/>
          <w:lang w:val="en-US" w:eastAsia="zh-CN"/>
          <w14:textFill>
            <w14:solidFill>
              <w14:schemeClr w14:val="tx1"/>
            </w14:solidFill>
          </w14:textFill>
        </w:rPr>
        <w:t>进行响应</w:t>
      </w:r>
      <w:r>
        <w:rPr>
          <w:rFonts w:hint="eastAsia" w:ascii="宋体" w:hAnsi="宋体" w:eastAsia="宋体" w:cs="宋体"/>
          <w:b/>
          <w:bCs w:val="0"/>
          <w:color w:val="000000" w:themeColor="text1"/>
          <w:sz w:val="24"/>
          <w:szCs w:val="24"/>
          <w:lang w:val="en-US" w:eastAsia="zh-CN"/>
          <w14:textFill>
            <w14:solidFill>
              <w14:schemeClr w14:val="tx1"/>
            </w14:solidFill>
          </w14:textFill>
        </w:rPr>
        <w:t>，格式自拟）。</w:t>
      </w:r>
    </w:p>
    <w:p>
      <w:pPr>
        <w:pStyle w:val="26"/>
        <w:spacing w:line="440" w:lineRule="exact"/>
        <w:ind w:firstLine="480" w:firstLineChars="200"/>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(五)※供应商服务从业人员在服务期间发生伤亡事故，或在服务过程中造成第三人伤亡的，责任由供应商全额承担</w:t>
      </w:r>
      <w:r>
        <w:rPr>
          <w:rFonts w:hint="eastAsia" w:ascii="宋体" w:hAnsi="宋体" w:eastAsia="宋体" w:cs="宋体"/>
          <w:b/>
          <w:bCs w:val="0"/>
          <w:color w:val="000000" w:themeColor="text1"/>
          <w:sz w:val="24"/>
          <w:szCs w:val="24"/>
          <w:lang w:val="en-US" w:eastAsia="zh-CN"/>
          <w14:textFill>
            <w14:solidFill>
              <w14:schemeClr w14:val="tx1"/>
            </w14:solidFill>
          </w14:textFill>
        </w:rPr>
        <w:t>（应在</w:t>
      </w:r>
      <w:r>
        <w:rPr>
          <w:rFonts w:hint="eastAsia" w:ascii="宋体" w:hAnsi="宋体" w:cs="宋体"/>
          <w:b/>
          <w:bCs w:val="0"/>
          <w:color w:val="000000" w:themeColor="text1"/>
          <w:sz w:val="24"/>
          <w:szCs w:val="24"/>
          <w:lang w:val="en-US" w:eastAsia="zh-CN"/>
          <w14:textFill>
            <w14:solidFill>
              <w14:schemeClr w14:val="tx1"/>
            </w14:solidFill>
          </w14:textFill>
        </w:rPr>
        <w:t>其他</w:t>
      </w:r>
      <w:r>
        <w:rPr>
          <w:rFonts w:hint="eastAsia" w:ascii="宋体" w:hAnsi="宋体" w:eastAsia="宋体" w:cs="宋体"/>
          <w:b/>
          <w:bCs w:val="0"/>
          <w:color w:val="000000" w:themeColor="text1"/>
          <w:sz w:val="24"/>
          <w:szCs w:val="24"/>
          <w:lang w:val="en-US" w:eastAsia="zh-CN"/>
          <w14:textFill>
            <w14:solidFill>
              <w14:schemeClr w14:val="tx1"/>
            </w14:solidFill>
          </w14:textFill>
        </w:rPr>
        <w:t>投标文件中提供承诺函</w:t>
      </w:r>
      <w:r>
        <w:rPr>
          <w:rFonts w:hint="eastAsia" w:ascii="宋体" w:hAnsi="宋体" w:cs="宋体"/>
          <w:b/>
          <w:bCs w:val="0"/>
          <w:color w:val="000000" w:themeColor="text1"/>
          <w:sz w:val="24"/>
          <w:szCs w:val="24"/>
          <w:lang w:val="en-US" w:eastAsia="zh-CN"/>
          <w14:textFill>
            <w14:solidFill>
              <w14:schemeClr w14:val="tx1"/>
            </w14:solidFill>
          </w14:textFill>
        </w:rPr>
        <w:t>进行响应</w:t>
      </w:r>
      <w:r>
        <w:rPr>
          <w:rFonts w:hint="eastAsia" w:ascii="宋体" w:hAnsi="宋体" w:eastAsia="宋体" w:cs="宋体"/>
          <w:b/>
          <w:bCs w:val="0"/>
          <w:color w:val="000000" w:themeColor="text1"/>
          <w:sz w:val="24"/>
          <w:szCs w:val="24"/>
          <w:lang w:val="en-US" w:eastAsia="zh-CN"/>
          <w14:textFill>
            <w14:solidFill>
              <w14:schemeClr w14:val="tx1"/>
            </w14:solidFill>
          </w14:textFill>
        </w:rPr>
        <w:t>，格式自拟）</w:t>
      </w:r>
      <w:r>
        <w:rPr>
          <w:rFonts w:hint="eastAsia" w:ascii="宋体" w:hAnsi="宋体" w:eastAsia="宋体" w:cs="宋体"/>
          <w:bCs/>
          <w:color w:val="000000" w:themeColor="text1"/>
          <w:sz w:val="24"/>
          <w:szCs w:val="24"/>
          <w:lang w:val="en-US" w:eastAsia="zh-CN"/>
          <w14:textFill>
            <w14:solidFill>
              <w14:schemeClr w14:val="tx1"/>
            </w14:solidFill>
          </w14:textFill>
        </w:rPr>
        <w:t>。</w:t>
      </w:r>
    </w:p>
    <w:p>
      <w:pPr>
        <w:pStyle w:val="26"/>
        <w:spacing w:line="440" w:lineRule="exact"/>
        <w:ind w:firstLine="480" w:firstLineChars="200"/>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六)※严格遵守《中华人民共和国安全生产法》、《中华人民共和国特种设备安全法》、《四川省安全生产条例》及《四川省道路安全条例》等法律法规的规定，严格按照安全标准检测，采取必要的安全防护措施并对检测单位人员进行安全生产教育和管理，确保作业人员和车辆、设备的安全</w:t>
      </w:r>
      <w:r>
        <w:rPr>
          <w:rFonts w:hint="eastAsia" w:ascii="宋体" w:hAnsi="宋体" w:eastAsia="宋体" w:cs="宋体"/>
          <w:b/>
          <w:bCs w:val="0"/>
          <w:color w:val="000000" w:themeColor="text1"/>
          <w:sz w:val="24"/>
          <w:szCs w:val="24"/>
          <w:lang w:val="en-US" w:eastAsia="zh-CN"/>
          <w14:textFill>
            <w14:solidFill>
              <w14:schemeClr w14:val="tx1"/>
            </w14:solidFill>
          </w14:textFill>
        </w:rPr>
        <w:t>（应在</w:t>
      </w:r>
      <w:r>
        <w:rPr>
          <w:rFonts w:hint="eastAsia" w:ascii="宋体" w:hAnsi="宋体" w:cs="宋体"/>
          <w:b/>
          <w:bCs w:val="0"/>
          <w:color w:val="000000" w:themeColor="text1"/>
          <w:sz w:val="24"/>
          <w:szCs w:val="24"/>
          <w:lang w:val="en-US" w:eastAsia="zh-CN"/>
          <w14:textFill>
            <w14:solidFill>
              <w14:schemeClr w14:val="tx1"/>
            </w14:solidFill>
          </w14:textFill>
        </w:rPr>
        <w:t>其他</w:t>
      </w:r>
      <w:r>
        <w:rPr>
          <w:rFonts w:hint="eastAsia" w:ascii="宋体" w:hAnsi="宋体" w:eastAsia="宋体" w:cs="宋体"/>
          <w:b/>
          <w:bCs w:val="0"/>
          <w:color w:val="000000" w:themeColor="text1"/>
          <w:sz w:val="24"/>
          <w:szCs w:val="24"/>
          <w:lang w:val="en-US" w:eastAsia="zh-CN"/>
          <w14:textFill>
            <w14:solidFill>
              <w14:schemeClr w14:val="tx1"/>
            </w14:solidFill>
          </w14:textFill>
        </w:rPr>
        <w:t>投标文件中提供承诺函</w:t>
      </w:r>
      <w:r>
        <w:rPr>
          <w:rFonts w:hint="eastAsia" w:ascii="宋体" w:hAnsi="宋体" w:cs="宋体"/>
          <w:b/>
          <w:bCs w:val="0"/>
          <w:color w:val="000000" w:themeColor="text1"/>
          <w:sz w:val="24"/>
          <w:szCs w:val="24"/>
          <w:lang w:val="en-US" w:eastAsia="zh-CN"/>
          <w14:textFill>
            <w14:solidFill>
              <w14:schemeClr w14:val="tx1"/>
            </w14:solidFill>
          </w14:textFill>
        </w:rPr>
        <w:t>进行响应</w:t>
      </w:r>
      <w:r>
        <w:rPr>
          <w:rFonts w:hint="eastAsia" w:ascii="宋体" w:hAnsi="宋体" w:eastAsia="宋体" w:cs="宋体"/>
          <w:b/>
          <w:bCs w:val="0"/>
          <w:color w:val="000000" w:themeColor="text1"/>
          <w:sz w:val="24"/>
          <w:szCs w:val="24"/>
          <w:lang w:val="en-US" w:eastAsia="zh-CN"/>
          <w14:textFill>
            <w14:solidFill>
              <w14:schemeClr w14:val="tx1"/>
            </w14:solidFill>
          </w14:textFill>
        </w:rPr>
        <w:t>，格式自拟）</w:t>
      </w:r>
      <w:r>
        <w:rPr>
          <w:rFonts w:hint="eastAsia" w:ascii="宋体" w:hAnsi="宋体" w:cs="宋体"/>
          <w:bCs/>
          <w:color w:val="000000" w:themeColor="text1"/>
          <w:sz w:val="24"/>
          <w:szCs w:val="24"/>
          <w:lang w:val="en-US" w:eastAsia="zh-CN"/>
          <w14:textFill>
            <w14:solidFill>
              <w14:schemeClr w14:val="tx1"/>
            </w14:solidFill>
          </w14:textFill>
        </w:rPr>
        <w:t>。</w:t>
      </w:r>
    </w:p>
    <w:p>
      <w:pPr>
        <w:pStyle w:val="26"/>
        <w:spacing w:line="440" w:lineRule="exact"/>
        <w:ind w:firstLine="480" w:firstLineChars="200"/>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(七)</w:t>
      </w:r>
      <w:r>
        <w:rPr>
          <w:rFonts w:hint="eastAsia" w:ascii="宋体" w:hAnsi="宋体" w:eastAsia="宋体" w:cs="宋体"/>
          <w:bCs/>
          <w:color w:val="000000" w:themeColor="text1"/>
          <w:sz w:val="24"/>
          <w:szCs w:val="24"/>
          <w14:textFill>
            <w14:solidFill>
              <w14:schemeClr w14:val="tx1"/>
            </w14:solidFill>
          </w14:textFill>
        </w:rPr>
        <w:t>采购人定期核对供应商提供服务所配备的人员数量及相关信息，对于未按照采购文件及投标响应要求执行或存在不合理的部分有权下达整改通知书，并要求供应商限期整改。</w:t>
      </w:r>
    </w:p>
    <w:p>
      <w:pPr>
        <w:pStyle w:val="26"/>
        <w:spacing w:line="440" w:lineRule="exact"/>
        <w:ind w:firstLine="480" w:firstLineChars="200"/>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w:t>
      </w:r>
      <w:r>
        <w:rPr>
          <w:rFonts w:hint="eastAsia" w:ascii="宋体" w:hAnsi="宋体" w:cs="宋体"/>
          <w:bCs/>
          <w:color w:val="000000" w:themeColor="text1"/>
          <w:sz w:val="24"/>
          <w:szCs w:val="24"/>
          <w:lang w:val="en-US" w:eastAsia="zh-CN"/>
          <w14:textFill>
            <w14:solidFill>
              <w14:schemeClr w14:val="tx1"/>
            </w14:solidFill>
          </w14:textFill>
        </w:rPr>
        <w:t>八</w:t>
      </w:r>
      <w:r>
        <w:rPr>
          <w:rFonts w:hint="eastAsia" w:ascii="宋体" w:hAnsi="宋体" w:eastAsia="宋体" w:cs="宋体"/>
          <w:bCs/>
          <w:color w:val="000000" w:themeColor="text1"/>
          <w:sz w:val="24"/>
          <w:szCs w:val="24"/>
          <w:lang w:val="en-US" w:eastAsia="zh-CN"/>
          <w14:textFill>
            <w14:solidFill>
              <w14:schemeClr w14:val="tx1"/>
            </w14:solidFill>
          </w14:textFill>
        </w:rPr>
        <w:t>)</w:t>
      </w:r>
      <w:r>
        <w:rPr>
          <w:rFonts w:hint="eastAsia" w:ascii="宋体" w:hAnsi="宋体" w:eastAsia="宋体" w:cs="宋体"/>
          <w:bCs/>
          <w:color w:val="000000" w:themeColor="text1"/>
          <w:sz w:val="24"/>
          <w:szCs w:val="24"/>
          <w14:textFill>
            <w14:solidFill>
              <w14:schemeClr w14:val="tx1"/>
            </w14:solidFill>
          </w14:textFill>
        </w:rPr>
        <w:t>供应商定期及时向采购人通告本项目服务范围内有关服务的重大事项及其进度。</w:t>
      </w:r>
    </w:p>
    <w:p>
      <w:pPr>
        <w:pStyle w:val="26"/>
        <w:spacing w:line="440" w:lineRule="exact"/>
        <w:ind w:firstLine="480" w:firstLineChars="200"/>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w:t>
      </w:r>
      <w:r>
        <w:rPr>
          <w:rFonts w:hint="eastAsia" w:ascii="宋体" w:hAnsi="宋体" w:cs="宋体"/>
          <w:bCs/>
          <w:color w:val="000000" w:themeColor="text1"/>
          <w:sz w:val="24"/>
          <w:szCs w:val="24"/>
          <w:lang w:val="en-US" w:eastAsia="zh-CN"/>
          <w14:textFill>
            <w14:solidFill>
              <w14:schemeClr w14:val="tx1"/>
            </w14:solidFill>
          </w14:textFill>
        </w:rPr>
        <w:t>九</w:t>
      </w:r>
      <w:r>
        <w:rPr>
          <w:rFonts w:hint="eastAsia" w:ascii="宋体" w:hAnsi="宋体" w:eastAsia="宋体" w:cs="宋体"/>
          <w:bCs/>
          <w:color w:val="000000" w:themeColor="text1"/>
          <w:sz w:val="24"/>
          <w:szCs w:val="24"/>
          <w:lang w:val="en-US" w:eastAsia="zh-CN"/>
          <w14:textFill>
            <w14:solidFill>
              <w14:schemeClr w14:val="tx1"/>
            </w14:solidFill>
          </w14:textFill>
        </w:rPr>
        <w:t>)</w:t>
      </w:r>
      <w:r>
        <w:rPr>
          <w:rFonts w:hint="eastAsia" w:ascii="宋体" w:hAnsi="宋体" w:eastAsia="宋体" w:cs="宋体"/>
          <w:bCs/>
          <w:color w:val="000000" w:themeColor="text1"/>
          <w:sz w:val="24"/>
          <w:szCs w:val="24"/>
          <w14:textFill>
            <w14:solidFill>
              <w14:schemeClr w14:val="tx1"/>
            </w14:solidFill>
          </w14:textFill>
        </w:rPr>
        <w:t>接受项目行业管理部门及政府有关部门的指导，接受采购人的监督。</w:t>
      </w:r>
    </w:p>
    <w:p>
      <w:pPr>
        <w:pStyle w:val="45"/>
        <w:spacing w:line="440" w:lineRule="exact"/>
        <w:ind w:firstLine="482"/>
        <w:rPr>
          <w:rFonts w:hint="eastAsia" w:ascii="宋体" w:hAnsi="宋体" w:eastAsia="宋体" w:cs="宋体"/>
          <w:sz w:val="24"/>
          <w:szCs w:val="24"/>
        </w:rPr>
      </w:pPr>
      <w:r>
        <w:rPr>
          <w:rFonts w:hint="eastAsia" w:ascii="宋体" w:hAnsi="宋体" w:eastAsia="宋体" w:cs="宋体"/>
          <w:sz w:val="24"/>
          <w:szCs w:val="24"/>
        </w:rPr>
        <w:t>注意：①本章带“※”号条款为实质性要求，供应商若未满足的，将被视为无效投标。</w:t>
      </w:r>
    </w:p>
    <w:p>
      <w:pPr>
        <w:ind w:firstLine="482" w:firstLineChars="200"/>
        <w:jc w:val="left"/>
        <w:rPr>
          <w:rFonts w:hint="eastAsia" w:ascii="宋体" w:hAnsi="宋体" w:eastAsia="宋体" w:cs="宋体"/>
          <w:color w:val="000000"/>
          <w:sz w:val="30"/>
          <w:szCs w:val="30"/>
        </w:rPr>
      </w:pPr>
      <w:r>
        <w:rPr>
          <w:rFonts w:hint="eastAsia" w:ascii="宋体" w:hAnsi="宋体" w:eastAsia="宋体" w:cs="宋体"/>
          <w:b/>
          <w:bCs/>
          <w:sz w:val="24"/>
          <w:szCs w:val="24"/>
        </w:rPr>
        <w:t>②本项目涉及企业资质、产品认证、人员执业资格等描述与国家最新要求不一致时以最新要求为准。</w:t>
      </w:r>
    </w:p>
    <w:p>
      <w:pPr>
        <w:widowControl/>
        <w:jc w:val="left"/>
        <w:rPr>
          <w:rFonts w:hint="eastAsia" w:ascii="宋体" w:hAnsi="宋体" w:eastAsia="宋体" w:cs="宋体"/>
          <w:color w:val="000000"/>
          <w:sz w:val="32"/>
          <w:szCs w:val="32"/>
        </w:rPr>
      </w:pPr>
      <w:r>
        <w:rPr>
          <w:rFonts w:hint="eastAsia" w:ascii="宋体" w:hAnsi="宋体" w:eastAsia="宋体" w:cs="宋体"/>
          <w:color w:val="000000"/>
          <w:sz w:val="32"/>
          <w:szCs w:val="32"/>
        </w:rPr>
        <w:br w:type="page"/>
      </w:r>
    </w:p>
    <w:p>
      <w:pPr>
        <w:widowControl/>
        <w:jc w:val="center"/>
        <w:rPr>
          <w:rFonts w:hint="default" w:ascii="Times New Roman" w:hAnsi="Times New Roman" w:eastAsia="黑体" w:cs="Times New Roman"/>
          <w:sz w:val="32"/>
          <w:szCs w:val="32"/>
        </w:rPr>
      </w:pPr>
      <w:r>
        <w:rPr>
          <w:rFonts w:hint="eastAsia" w:ascii="Times New Roman" w:hAnsi="Times New Roman" w:eastAsia="黑体" w:cs="Times New Roman"/>
          <w:sz w:val="32"/>
          <w:szCs w:val="32"/>
          <w:lang w:val="en-US" w:eastAsia="zh-CN"/>
        </w:rPr>
        <w:t>附件：成</w:t>
      </w:r>
      <w:r>
        <w:rPr>
          <w:rFonts w:hint="default" w:ascii="Times New Roman" w:hAnsi="Times New Roman" w:eastAsia="黑体" w:cs="Times New Roman"/>
          <w:sz w:val="32"/>
          <w:szCs w:val="32"/>
        </w:rPr>
        <w:t>都市农村公路路况</w:t>
      </w:r>
      <w:r>
        <w:rPr>
          <w:rFonts w:hint="default" w:ascii="Times New Roman" w:hAnsi="Times New Roman" w:eastAsia="黑体" w:cs="Times New Roman"/>
          <w:sz w:val="32"/>
          <w:szCs w:val="32"/>
          <w:lang w:val="en-US" w:eastAsia="zh-CN"/>
        </w:rPr>
        <w:t>PQI</w:t>
      </w:r>
      <w:r>
        <w:rPr>
          <w:rFonts w:hint="default" w:ascii="Times New Roman" w:hAnsi="Times New Roman" w:eastAsia="黑体" w:cs="Times New Roman"/>
          <w:sz w:val="32"/>
          <w:szCs w:val="32"/>
        </w:rPr>
        <w:t>检测单位履约验收考核表</w:t>
      </w:r>
    </w:p>
    <w:tbl>
      <w:tblPr>
        <w:tblStyle w:val="20"/>
        <w:tblW w:w="4895" w:type="pct"/>
        <w:tblInd w:w="2" w:type="dxa"/>
        <w:tblLayout w:type="autofit"/>
        <w:tblCellMar>
          <w:top w:w="0" w:type="dxa"/>
          <w:left w:w="0" w:type="dxa"/>
          <w:bottom w:w="0" w:type="dxa"/>
          <w:right w:w="0" w:type="dxa"/>
        </w:tblCellMar>
      </w:tblPr>
      <w:tblGrid>
        <w:gridCol w:w="529"/>
        <w:gridCol w:w="1768"/>
        <w:gridCol w:w="4993"/>
        <w:gridCol w:w="879"/>
        <w:gridCol w:w="10"/>
        <w:gridCol w:w="1396"/>
      </w:tblGrid>
      <w:tr>
        <w:tblPrEx>
          <w:tblCellMar>
            <w:top w:w="0" w:type="dxa"/>
            <w:left w:w="0" w:type="dxa"/>
            <w:bottom w:w="0" w:type="dxa"/>
            <w:right w:w="0" w:type="dxa"/>
          </w:tblCellMar>
        </w:tblPrEx>
        <w:trPr>
          <w:trHeight w:val="556" w:hRule="atLeast"/>
        </w:trPr>
        <w:tc>
          <w:tcPr>
            <w:tcW w:w="276" w:type="pct"/>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pPr>
              <w:pStyle w:val="73"/>
              <w:jc w:val="center"/>
              <w:rPr>
                <w:rFonts w:hint="eastAsia" w:ascii="宋体" w:hAnsi="宋体" w:eastAsia="宋体" w:cs="宋体"/>
                <w:sz w:val="24"/>
                <w:szCs w:val="24"/>
              </w:rPr>
            </w:pPr>
            <w:r>
              <w:rPr>
                <w:rFonts w:hint="eastAsia" w:ascii="宋体" w:hAnsi="宋体" w:eastAsia="宋体" w:cs="宋体"/>
                <w:sz w:val="24"/>
                <w:szCs w:val="24"/>
              </w:rPr>
              <w:t>序号</w:t>
            </w:r>
          </w:p>
        </w:tc>
        <w:tc>
          <w:tcPr>
            <w:tcW w:w="923" w:type="pct"/>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pPr>
              <w:pStyle w:val="73"/>
              <w:jc w:val="center"/>
              <w:rPr>
                <w:rFonts w:hint="eastAsia" w:ascii="宋体" w:hAnsi="宋体" w:eastAsia="宋体" w:cs="宋体"/>
                <w:sz w:val="24"/>
                <w:szCs w:val="24"/>
              </w:rPr>
            </w:pPr>
            <w:r>
              <w:rPr>
                <w:rFonts w:hint="eastAsia" w:ascii="宋体" w:hAnsi="宋体" w:eastAsia="宋体" w:cs="宋体"/>
                <w:sz w:val="24"/>
                <w:szCs w:val="24"/>
              </w:rPr>
              <w:t>考评项目</w:t>
            </w:r>
          </w:p>
        </w:tc>
        <w:tc>
          <w:tcPr>
            <w:tcW w:w="2607" w:type="pct"/>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pPr>
              <w:pStyle w:val="73"/>
              <w:jc w:val="center"/>
              <w:rPr>
                <w:rFonts w:hint="eastAsia" w:ascii="宋体" w:hAnsi="宋体" w:eastAsia="宋体" w:cs="宋体"/>
                <w:sz w:val="24"/>
                <w:szCs w:val="24"/>
              </w:rPr>
            </w:pPr>
            <w:r>
              <w:rPr>
                <w:rFonts w:hint="eastAsia" w:ascii="宋体" w:hAnsi="宋体" w:eastAsia="宋体" w:cs="宋体"/>
                <w:sz w:val="24"/>
                <w:szCs w:val="24"/>
              </w:rPr>
              <w:t>评分标准</w:t>
            </w:r>
          </w:p>
        </w:tc>
        <w:tc>
          <w:tcPr>
            <w:tcW w:w="464" w:type="pct"/>
            <w:gridSpan w:val="2"/>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pPr>
              <w:pStyle w:val="73"/>
              <w:jc w:val="center"/>
              <w:rPr>
                <w:rFonts w:hint="eastAsia" w:ascii="宋体" w:hAnsi="宋体" w:eastAsia="宋体" w:cs="宋体"/>
                <w:sz w:val="24"/>
                <w:szCs w:val="24"/>
              </w:rPr>
            </w:pPr>
            <w:r>
              <w:rPr>
                <w:rFonts w:hint="eastAsia" w:ascii="宋体" w:hAnsi="宋体" w:eastAsia="宋体" w:cs="宋体"/>
                <w:sz w:val="24"/>
                <w:szCs w:val="24"/>
              </w:rPr>
              <w:t>扣分</w:t>
            </w:r>
          </w:p>
        </w:tc>
        <w:tc>
          <w:tcPr>
            <w:tcW w:w="728" w:type="pct"/>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pPr>
              <w:pStyle w:val="73"/>
              <w:jc w:val="center"/>
              <w:rPr>
                <w:rFonts w:hint="eastAsia" w:ascii="宋体" w:hAnsi="宋体" w:eastAsia="宋体" w:cs="宋体"/>
                <w:sz w:val="24"/>
                <w:szCs w:val="24"/>
              </w:rPr>
            </w:pPr>
            <w:r>
              <w:rPr>
                <w:rFonts w:hint="eastAsia" w:ascii="宋体" w:hAnsi="宋体" w:eastAsia="宋体" w:cs="宋体"/>
                <w:sz w:val="24"/>
                <w:szCs w:val="24"/>
              </w:rPr>
              <w:t>扣分原因</w:t>
            </w:r>
          </w:p>
        </w:tc>
      </w:tr>
      <w:tr>
        <w:tblPrEx>
          <w:tblCellMar>
            <w:top w:w="0" w:type="dxa"/>
            <w:left w:w="0" w:type="dxa"/>
            <w:bottom w:w="0" w:type="dxa"/>
            <w:right w:w="0" w:type="dxa"/>
          </w:tblCellMar>
        </w:tblPrEx>
        <w:trPr>
          <w:trHeight w:val="1327" w:hRule="atLeast"/>
        </w:trPr>
        <w:tc>
          <w:tcPr>
            <w:tcW w:w="276" w:type="pct"/>
            <w:vMerge w:val="restart"/>
            <w:tcBorders>
              <w:top w:val="nil"/>
              <w:left w:val="single" w:color="auto" w:sz="4" w:space="0"/>
              <w:bottom w:val="single" w:color="000000" w:sz="4" w:space="0"/>
              <w:right w:val="single" w:color="auto" w:sz="4" w:space="0"/>
            </w:tcBorders>
            <w:tcMar>
              <w:top w:w="17" w:type="dxa"/>
              <w:left w:w="17" w:type="dxa"/>
              <w:bottom w:w="0" w:type="dxa"/>
              <w:right w:w="17" w:type="dxa"/>
            </w:tcMar>
            <w:vAlign w:val="center"/>
          </w:tcPr>
          <w:p>
            <w:pPr>
              <w:pStyle w:val="73"/>
              <w:jc w:val="center"/>
              <w:rPr>
                <w:rFonts w:hint="eastAsia" w:ascii="宋体" w:hAnsi="宋体" w:eastAsia="宋体" w:cs="宋体"/>
                <w:sz w:val="24"/>
                <w:szCs w:val="24"/>
              </w:rPr>
            </w:pPr>
            <w:r>
              <w:rPr>
                <w:rFonts w:hint="eastAsia" w:ascii="宋体" w:hAnsi="宋体" w:eastAsia="宋体" w:cs="宋体"/>
                <w:sz w:val="24"/>
                <w:szCs w:val="24"/>
              </w:rPr>
              <w:t>1</w:t>
            </w:r>
          </w:p>
        </w:tc>
        <w:tc>
          <w:tcPr>
            <w:tcW w:w="923" w:type="pct"/>
            <w:vMerge w:val="restart"/>
            <w:tcBorders>
              <w:top w:val="nil"/>
              <w:left w:val="single" w:color="auto" w:sz="4" w:space="0"/>
              <w:right w:val="single" w:color="auto" w:sz="4" w:space="0"/>
            </w:tcBorders>
            <w:tcMar>
              <w:top w:w="17" w:type="dxa"/>
              <w:left w:w="17" w:type="dxa"/>
              <w:bottom w:w="0" w:type="dxa"/>
              <w:right w:w="17" w:type="dxa"/>
            </w:tcMar>
            <w:vAlign w:val="center"/>
          </w:tcPr>
          <w:p>
            <w:pPr>
              <w:pStyle w:val="73"/>
              <w:jc w:val="center"/>
              <w:rPr>
                <w:rFonts w:hint="eastAsia" w:ascii="宋体" w:hAnsi="宋体" w:eastAsia="宋体" w:cs="宋体"/>
                <w:sz w:val="24"/>
                <w:szCs w:val="24"/>
              </w:rPr>
            </w:pPr>
            <w:r>
              <w:rPr>
                <w:rFonts w:hint="eastAsia" w:ascii="宋体" w:hAnsi="宋体" w:eastAsia="宋体" w:cs="宋体"/>
                <w:sz w:val="24"/>
                <w:szCs w:val="24"/>
              </w:rPr>
              <w:t>人员、设备履约情况</w:t>
            </w:r>
          </w:p>
          <w:p>
            <w:pPr>
              <w:pStyle w:val="73"/>
              <w:jc w:val="center"/>
              <w:rPr>
                <w:rFonts w:hint="eastAsia" w:ascii="宋体" w:hAnsi="宋体" w:eastAsia="宋体" w:cs="宋体"/>
                <w:sz w:val="24"/>
                <w:szCs w:val="24"/>
              </w:rPr>
            </w:pPr>
          </w:p>
        </w:tc>
        <w:tc>
          <w:tcPr>
            <w:tcW w:w="2607" w:type="pct"/>
            <w:tcBorders>
              <w:top w:val="nil"/>
              <w:left w:val="nil"/>
              <w:bottom w:val="single" w:color="auto" w:sz="4" w:space="0"/>
              <w:right w:val="single" w:color="auto" w:sz="4" w:space="0"/>
            </w:tcBorders>
            <w:tcMar>
              <w:top w:w="17" w:type="dxa"/>
              <w:left w:w="17" w:type="dxa"/>
              <w:bottom w:w="0" w:type="dxa"/>
              <w:right w:w="17" w:type="dxa"/>
            </w:tcMar>
            <w:vAlign w:val="center"/>
          </w:tcPr>
          <w:p>
            <w:pPr>
              <w:pStyle w:val="73"/>
              <w:rPr>
                <w:rFonts w:hint="eastAsia" w:ascii="宋体" w:hAnsi="宋体" w:eastAsia="宋体" w:cs="宋体"/>
                <w:sz w:val="24"/>
                <w:szCs w:val="24"/>
              </w:rPr>
            </w:pPr>
            <w:r>
              <w:rPr>
                <w:rFonts w:hint="eastAsia" w:ascii="宋体" w:hAnsi="宋体" w:eastAsia="宋体" w:cs="宋体"/>
                <w:sz w:val="24"/>
                <w:szCs w:val="24"/>
              </w:rPr>
              <w:t>投标书承诺的负责人、技术负责人未按投标文件承诺配置或未经</w:t>
            </w:r>
            <w:r>
              <w:rPr>
                <w:rFonts w:hint="eastAsia" w:ascii="宋体" w:hAnsi="宋体" w:eastAsia="宋体" w:cs="宋体"/>
                <w:b w:val="0"/>
                <w:bCs w:val="0"/>
                <w:sz w:val="24"/>
                <w:szCs w:val="24"/>
                <w:lang w:val="en-US" w:eastAsia="zh-CN"/>
              </w:rPr>
              <w:t>执法总队</w:t>
            </w:r>
            <w:r>
              <w:rPr>
                <w:rFonts w:hint="eastAsia" w:ascii="宋体" w:hAnsi="宋体" w:eastAsia="宋体" w:cs="宋体"/>
                <w:sz w:val="24"/>
                <w:szCs w:val="24"/>
              </w:rPr>
              <w:t>同意更换的，</w:t>
            </w:r>
            <w:r>
              <w:rPr>
                <w:rFonts w:hint="eastAsia" w:ascii="宋体" w:hAnsi="宋体" w:eastAsia="宋体" w:cs="宋体"/>
                <w:b/>
                <w:bCs/>
                <w:sz w:val="24"/>
                <w:szCs w:val="24"/>
              </w:rPr>
              <w:t>每人次扣10分。</w:t>
            </w:r>
          </w:p>
        </w:tc>
        <w:tc>
          <w:tcPr>
            <w:tcW w:w="464" w:type="pct"/>
            <w:gridSpan w:val="2"/>
            <w:tcBorders>
              <w:top w:val="nil"/>
              <w:left w:val="nil"/>
              <w:bottom w:val="single" w:color="auto" w:sz="4" w:space="0"/>
              <w:right w:val="single" w:color="auto" w:sz="4" w:space="0"/>
            </w:tcBorders>
            <w:tcMar>
              <w:top w:w="17" w:type="dxa"/>
              <w:left w:w="17" w:type="dxa"/>
              <w:bottom w:w="0" w:type="dxa"/>
              <w:right w:w="17" w:type="dxa"/>
            </w:tcMar>
            <w:vAlign w:val="center"/>
          </w:tcPr>
          <w:p>
            <w:pPr>
              <w:pStyle w:val="73"/>
              <w:jc w:val="center"/>
              <w:rPr>
                <w:rFonts w:hint="eastAsia" w:ascii="宋体" w:hAnsi="宋体" w:eastAsia="宋体" w:cs="宋体"/>
                <w:sz w:val="24"/>
                <w:szCs w:val="24"/>
              </w:rPr>
            </w:pPr>
          </w:p>
        </w:tc>
        <w:tc>
          <w:tcPr>
            <w:tcW w:w="728" w:type="pct"/>
            <w:tcBorders>
              <w:top w:val="nil"/>
              <w:left w:val="nil"/>
              <w:bottom w:val="single" w:color="auto" w:sz="4" w:space="0"/>
              <w:right w:val="single" w:color="auto" w:sz="4" w:space="0"/>
            </w:tcBorders>
            <w:tcMar>
              <w:top w:w="17" w:type="dxa"/>
              <w:left w:w="17" w:type="dxa"/>
              <w:bottom w:w="0" w:type="dxa"/>
              <w:right w:w="17" w:type="dxa"/>
            </w:tcMar>
            <w:vAlign w:val="center"/>
          </w:tcPr>
          <w:p>
            <w:pPr>
              <w:pStyle w:val="73"/>
              <w:jc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847" w:hRule="atLeast"/>
        </w:trPr>
        <w:tc>
          <w:tcPr>
            <w:tcW w:w="276" w:type="pct"/>
            <w:vMerge w:val="continue"/>
            <w:tcBorders>
              <w:top w:val="nil"/>
              <w:left w:val="single" w:color="auto" w:sz="4" w:space="0"/>
              <w:bottom w:val="single" w:color="000000" w:sz="4" w:space="0"/>
              <w:right w:val="single" w:color="auto" w:sz="4" w:space="0"/>
            </w:tcBorders>
            <w:tcMar>
              <w:top w:w="17" w:type="dxa"/>
              <w:left w:w="17" w:type="dxa"/>
              <w:bottom w:w="0" w:type="dxa"/>
              <w:right w:w="17" w:type="dxa"/>
            </w:tcMar>
            <w:vAlign w:val="center"/>
          </w:tcPr>
          <w:p>
            <w:pPr>
              <w:pStyle w:val="73"/>
              <w:jc w:val="center"/>
              <w:rPr>
                <w:rFonts w:hint="eastAsia" w:ascii="宋体" w:hAnsi="宋体" w:eastAsia="宋体" w:cs="宋体"/>
                <w:sz w:val="24"/>
                <w:szCs w:val="24"/>
              </w:rPr>
            </w:pPr>
          </w:p>
        </w:tc>
        <w:tc>
          <w:tcPr>
            <w:tcW w:w="923" w:type="pct"/>
            <w:vMerge w:val="continue"/>
            <w:tcBorders>
              <w:left w:val="single" w:color="auto" w:sz="4" w:space="0"/>
              <w:right w:val="single" w:color="auto" w:sz="4" w:space="0"/>
            </w:tcBorders>
            <w:tcMar>
              <w:top w:w="17" w:type="dxa"/>
              <w:left w:w="17" w:type="dxa"/>
              <w:bottom w:w="0" w:type="dxa"/>
              <w:right w:w="17" w:type="dxa"/>
            </w:tcMar>
            <w:vAlign w:val="center"/>
          </w:tcPr>
          <w:p>
            <w:pPr>
              <w:pStyle w:val="73"/>
              <w:jc w:val="center"/>
              <w:rPr>
                <w:rFonts w:hint="eastAsia" w:ascii="宋体" w:hAnsi="宋体" w:eastAsia="宋体" w:cs="宋体"/>
                <w:sz w:val="24"/>
                <w:szCs w:val="24"/>
              </w:rPr>
            </w:pPr>
          </w:p>
        </w:tc>
        <w:tc>
          <w:tcPr>
            <w:tcW w:w="2607" w:type="pct"/>
            <w:tcBorders>
              <w:top w:val="nil"/>
              <w:left w:val="nil"/>
              <w:bottom w:val="single" w:color="auto" w:sz="4" w:space="0"/>
              <w:right w:val="single" w:color="auto" w:sz="4" w:space="0"/>
            </w:tcBorders>
            <w:tcMar>
              <w:top w:w="17" w:type="dxa"/>
              <w:left w:w="17" w:type="dxa"/>
              <w:bottom w:w="0" w:type="dxa"/>
              <w:right w:w="17" w:type="dxa"/>
            </w:tcMar>
            <w:vAlign w:val="center"/>
          </w:tcPr>
          <w:p>
            <w:pPr>
              <w:pStyle w:val="73"/>
              <w:rPr>
                <w:rFonts w:hint="eastAsia" w:ascii="宋体" w:hAnsi="宋体" w:eastAsia="宋体" w:cs="宋体"/>
                <w:sz w:val="24"/>
                <w:szCs w:val="24"/>
              </w:rPr>
            </w:pPr>
            <w:r>
              <w:rPr>
                <w:rFonts w:hint="eastAsia" w:ascii="宋体" w:hAnsi="宋体" w:eastAsia="宋体" w:cs="宋体"/>
                <w:sz w:val="24"/>
                <w:szCs w:val="24"/>
              </w:rPr>
              <w:t>投标书承诺的其它主要人员未经</w:t>
            </w:r>
            <w:r>
              <w:rPr>
                <w:rFonts w:hint="eastAsia" w:ascii="宋体" w:hAnsi="宋体" w:eastAsia="宋体" w:cs="宋体"/>
                <w:b w:val="0"/>
                <w:bCs w:val="0"/>
                <w:sz w:val="24"/>
                <w:szCs w:val="24"/>
                <w:lang w:val="en-US" w:eastAsia="zh-CN"/>
              </w:rPr>
              <w:t>执法总队</w:t>
            </w:r>
            <w:r>
              <w:rPr>
                <w:rFonts w:hint="eastAsia" w:ascii="宋体" w:hAnsi="宋体" w:eastAsia="宋体" w:cs="宋体"/>
                <w:sz w:val="24"/>
                <w:szCs w:val="24"/>
              </w:rPr>
              <w:t>同意更换的，</w:t>
            </w:r>
            <w:r>
              <w:rPr>
                <w:rFonts w:hint="eastAsia" w:ascii="宋体" w:hAnsi="宋体" w:eastAsia="宋体" w:cs="宋体"/>
                <w:b/>
                <w:bCs/>
                <w:sz w:val="24"/>
                <w:szCs w:val="24"/>
              </w:rPr>
              <w:t>每人次扣5分。</w:t>
            </w:r>
          </w:p>
        </w:tc>
        <w:tc>
          <w:tcPr>
            <w:tcW w:w="464" w:type="pct"/>
            <w:gridSpan w:val="2"/>
            <w:tcBorders>
              <w:top w:val="nil"/>
              <w:left w:val="nil"/>
              <w:bottom w:val="single" w:color="auto" w:sz="4" w:space="0"/>
              <w:right w:val="single" w:color="auto" w:sz="4" w:space="0"/>
            </w:tcBorders>
            <w:tcMar>
              <w:top w:w="17" w:type="dxa"/>
              <w:left w:w="17" w:type="dxa"/>
              <w:bottom w:w="0" w:type="dxa"/>
              <w:right w:w="17" w:type="dxa"/>
            </w:tcMar>
            <w:vAlign w:val="center"/>
          </w:tcPr>
          <w:p>
            <w:pPr>
              <w:pStyle w:val="73"/>
              <w:jc w:val="center"/>
              <w:rPr>
                <w:rFonts w:hint="eastAsia" w:ascii="宋体" w:hAnsi="宋体" w:eastAsia="宋体" w:cs="宋体"/>
                <w:sz w:val="24"/>
                <w:szCs w:val="24"/>
              </w:rPr>
            </w:pPr>
          </w:p>
        </w:tc>
        <w:tc>
          <w:tcPr>
            <w:tcW w:w="728" w:type="pct"/>
            <w:tcBorders>
              <w:top w:val="nil"/>
              <w:left w:val="nil"/>
              <w:bottom w:val="single" w:color="auto" w:sz="4" w:space="0"/>
              <w:right w:val="single" w:color="auto" w:sz="4" w:space="0"/>
            </w:tcBorders>
            <w:tcMar>
              <w:top w:w="17" w:type="dxa"/>
              <w:left w:w="17" w:type="dxa"/>
              <w:bottom w:w="0" w:type="dxa"/>
              <w:right w:w="17" w:type="dxa"/>
            </w:tcMar>
            <w:vAlign w:val="center"/>
          </w:tcPr>
          <w:p>
            <w:pPr>
              <w:pStyle w:val="73"/>
              <w:jc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825" w:hRule="atLeast"/>
        </w:trPr>
        <w:tc>
          <w:tcPr>
            <w:tcW w:w="276" w:type="pct"/>
            <w:vMerge w:val="continue"/>
            <w:tcBorders>
              <w:top w:val="nil"/>
              <w:left w:val="single" w:color="auto" w:sz="4" w:space="0"/>
              <w:bottom w:val="single" w:color="000000" w:sz="4" w:space="0"/>
              <w:right w:val="single" w:color="auto" w:sz="4" w:space="0"/>
            </w:tcBorders>
            <w:tcMar>
              <w:top w:w="17" w:type="dxa"/>
              <w:left w:w="17" w:type="dxa"/>
              <w:bottom w:w="0" w:type="dxa"/>
              <w:right w:w="17" w:type="dxa"/>
            </w:tcMar>
            <w:vAlign w:val="center"/>
          </w:tcPr>
          <w:p>
            <w:pPr>
              <w:pStyle w:val="73"/>
              <w:jc w:val="center"/>
              <w:rPr>
                <w:rFonts w:hint="eastAsia" w:ascii="宋体" w:hAnsi="宋体" w:eastAsia="宋体" w:cs="宋体"/>
                <w:sz w:val="24"/>
                <w:szCs w:val="24"/>
              </w:rPr>
            </w:pPr>
          </w:p>
        </w:tc>
        <w:tc>
          <w:tcPr>
            <w:tcW w:w="923" w:type="pct"/>
            <w:vMerge w:val="continue"/>
            <w:tcBorders>
              <w:left w:val="single" w:color="auto" w:sz="4" w:space="0"/>
              <w:bottom w:val="single" w:color="auto" w:sz="4" w:space="0"/>
              <w:right w:val="single" w:color="auto" w:sz="4" w:space="0"/>
            </w:tcBorders>
            <w:tcMar>
              <w:top w:w="17" w:type="dxa"/>
              <w:left w:w="17" w:type="dxa"/>
              <w:bottom w:w="0" w:type="dxa"/>
              <w:right w:w="17" w:type="dxa"/>
            </w:tcMar>
            <w:vAlign w:val="center"/>
          </w:tcPr>
          <w:p>
            <w:pPr>
              <w:pStyle w:val="73"/>
              <w:jc w:val="center"/>
              <w:rPr>
                <w:rFonts w:hint="eastAsia" w:ascii="宋体" w:hAnsi="宋体" w:eastAsia="宋体" w:cs="宋体"/>
                <w:sz w:val="24"/>
                <w:szCs w:val="24"/>
              </w:rPr>
            </w:pPr>
          </w:p>
        </w:tc>
        <w:tc>
          <w:tcPr>
            <w:tcW w:w="2607" w:type="pct"/>
            <w:tcBorders>
              <w:top w:val="nil"/>
              <w:left w:val="nil"/>
              <w:bottom w:val="single" w:color="auto" w:sz="4" w:space="0"/>
              <w:right w:val="single" w:color="auto" w:sz="4" w:space="0"/>
            </w:tcBorders>
            <w:tcMar>
              <w:top w:w="17" w:type="dxa"/>
              <w:left w:w="17" w:type="dxa"/>
              <w:bottom w:w="0" w:type="dxa"/>
              <w:right w:w="17" w:type="dxa"/>
            </w:tcMar>
            <w:vAlign w:val="center"/>
          </w:tcPr>
          <w:p>
            <w:pPr>
              <w:pStyle w:val="73"/>
              <w:rPr>
                <w:rFonts w:hint="eastAsia" w:ascii="宋体" w:hAnsi="宋体" w:eastAsia="宋体" w:cs="宋体"/>
                <w:sz w:val="24"/>
                <w:szCs w:val="24"/>
              </w:rPr>
            </w:pPr>
            <w:r>
              <w:rPr>
                <w:rFonts w:hint="eastAsia" w:ascii="宋体" w:hAnsi="宋体" w:eastAsia="宋体" w:cs="宋体"/>
                <w:sz w:val="24"/>
                <w:szCs w:val="24"/>
              </w:rPr>
              <w:t>检测单位检测设备达不到投标要求的。</w:t>
            </w:r>
            <w:r>
              <w:rPr>
                <w:rFonts w:hint="eastAsia" w:ascii="宋体" w:hAnsi="宋体" w:eastAsia="宋体" w:cs="宋体"/>
                <w:b/>
                <w:bCs/>
                <w:sz w:val="24"/>
                <w:szCs w:val="24"/>
              </w:rPr>
              <w:t>直接确定为“不合格”。</w:t>
            </w:r>
          </w:p>
        </w:tc>
        <w:tc>
          <w:tcPr>
            <w:tcW w:w="464" w:type="pct"/>
            <w:gridSpan w:val="2"/>
            <w:tcBorders>
              <w:top w:val="nil"/>
              <w:left w:val="nil"/>
              <w:bottom w:val="single" w:color="auto" w:sz="4" w:space="0"/>
              <w:right w:val="single" w:color="auto" w:sz="4" w:space="0"/>
            </w:tcBorders>
            <w:tcMar>
              <w:top w:w="17" w:type="dxa"/>
              <w:left w:w="17" w:type="dxa"/>
              <w:bottom w:w="0" w:type="dxa"/>
              <w:right w:w="17" w:type="dxa"/>
            </w:tcMar>
            <w:vAlign w:val="center"/>
          </w:tcPr>
          <w:p>
            <w:pPr>
              <w:pStyle w:val="73"/>
              <w:jc w:val="center"/>
              <w:rPr>
                <w:rFonts w:hint="eastAsia" w:ascii="宋体" w:hAnsi="宋体" w:eastAsia="宋体" w:cs="宋体"/>
                <w:sz w:val="24"/>
                <w:szCs w:val="24"/>
              </w:rPr>
            </w:pPr>
          </w:p>
        </w:tc>
        <w:tc>
          <w:tcPr>
            <w:tcW w:w="728" w:type="pct"/>
            <w:tcBorders>
              <w:top w:val="nil"/>
              <w:left w:val="nil"/>
              <w:bottom w:val="single" w:color="auto" w:sz="4" w:space="0"/>
              <w:right w:val="single" w:color="auto" w:sz="4" w:space="0"/>
            </w:tcBorders>
            <w:tcMar>
              <w:top w:w="17" w:type="dxa"/>
              <w:left w:w="17" w:type="dxa"/>
              <w:bottom w:w="0" w:type="dxa"/>
              <w:right w:w="17" w:type="dxa"/>
            </w:tcMar>
            <w:vAlign w:val="center"/>
          </w:tcPr>
          <w:p>
            <w:pPr>
              <w:pStyle w:val="73"/>
              <w:jc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1140" w:hRule="atLeast"/>
        </w:trPr>
        <w:tc>
          <w:tcPr>
            <w:tcW w:w="276" w:type="pct"/>
            <w:vMerge w:val="restart"/>
            <w:tcBorders>
              <w:top w:val="nil"/>
              <w:left w:val="single" w:color="auto" w:sz="4" w:space="0"/>
              <w:right w:val="single" w:color="auto" w:sz="4" w:space="0"/>
            </w:tcBorders>
            <w:tcMar>
              <w:top w:w="17" w:type="dxa"/>
              <w:left w:w="17" w:type="dxa"/>
              <w:bottom w:w="0" w:type="dxa"/>
              <w:right w:w="17" w:type="dxa"/>
            </w:tcMar>
            <w:vAlign w:val="center"/>
          </w:tcPr>
          <w:p>
            <w:pPr>
              <w:pStyle w:val="73"/>
              <w:jc w:val="center"/>
              <w:rPr>
                <w:rFonts w:hint="eastAsia" w:ascii="宋体" w:hAnsi="宋体" w:eastAsia="宋体" w:cs="宋体"/>
                <w:sz w:val="24"/>
                <w:szCs w:val="24"/>
              </w:rPr>
            </w:pPr>
            <w:r>
              <w:rPr>
                <w:rFonts w:hint="eastAsia" w:ascii="宋体" w:hAnsi="宋体" w:eastAsia="宋体" w:cs="宋体"/>
                <w:sz w:val="24"/>
                <w:szCs w:val="24"/>
              </w:rPr>
              <w:t>2</w:t>
            </w:r>
          </w:p>
        </w:tc>
        <w:tc>
          <w:tcPr>
            <w:tcW w:w="923" w:type="pct"/>
            <w:vMerge w:val="restart"/>
            <w:tcBorders>
              <w:top w:val="nil"/>
              <w:left w:val="single" w:color="auto" w:sz="4" w:space="0"/>
              <w:right w:val="single" w:color="auto" w:sz="4" w:space="0"/>
            </w:tcBorders>
            <w:tcMar>
              <w:top w:w="17" w:type="dxa"/>
              <w:left w:w="17" w:type="dxa"/>
              <w:bottom w:w="0" w:type="dxa"/>
              <w:right w:w="17" w:type="dxa"/>
            </w:tcMar>
            <w:vAlign w:val="center"/>
          </w:tcPr>
          <w:p>
            <w:pPr>
              <w:pStyle w:val="73"/>
              <w:jc w:val="center"/>
              <w:rPr>
                <w:rFonts w:hint="eastAsia" w:ascii="宋体" w:hAnsi="宋体" w:eastAsia="宋体" w:cs="宋体"/>
                <w:sz w:val="24"/>
                <w:szCs w:val="24"/>
              </w:rPr>
            </w:pPr>
            <w:r>
              <w:rPr>
                <w:rFonts w:hint="eastAsia" w:ascii="宋体" w:hAnsi="宋体" w:eastAsia="宋体" w:cs="宋体"/>
                <w:sz w:val="24"/>
                <w:szCs w:val="24"/>
              </w:rPr>
              <w:t>服务及时性</w:t>
            </w:r>
          </w:p>
        </w:tc>
        <w:tc>
          <w:tcPr>
            <w:tcW w:w="2607" w:type="pct"/>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pPr>
              <w:pStyle w:val="73"/>
              <w:rPr>
                <w:rFonts w:hint="eastAsia" w:ascii="宋体" w:hAnsi="宋体" w:eastAsia="宋体" w:cs="宋体"/>
                <w:sz w:val="24"/>
                <w:szCs w:val="24"/>
              </w:rPr>
            </w:pPr>
            <w:r>
              <w:rPr>
                <w:rFonts w:hint="eastAsia" w:ascii="宋体" w:hAnsi="宋体" w:eastAsia="宋体" w:cs="宋体"/>
                <w:sz w:val="24"/>
                <w:szCs w:val="24"/>
              </w:rPr>
              <w:t>未按</w:t>
            </w:r>
            <w:r>
              <w:rPr>
                <w:rFonts w:hint="eastAsia" w:ascii="宋体" w:hAnsi="宋体" w:eastAsia="宋体" w:cs="宋体"/>
                <w:b w:val="0"/>
                <w:bCs w:val="0"/>
                <w:sz w:val="24"/>
                <w:szCs w:val="24"/>
                <w:lang w:val="en-US" w:eastAsia="zh-CN"/>
              </w:rPr>
              <w:t>执法总队</w:t>
            </w:r>
            <w:r>
              <w:rPr>
                <w:rFonts w:hint="eastAsia" w:ascii="宋体" w:hAnsi="宋体" w:eastAsia="宋体" w:cs="宋体"/>
                <w:sz w:val="24"/>
                <w:szCs w:val="24"/>
              </w:rPr>
              <w:t>要求的时间提交检测</w:t>
            </w:r>
            <w:r>
              <w:rPr>
                <w:rFonts w:hint="eastAsia" w:ascii="宋体" w:hAnsi="宋体" w:eastAsia="宋体" w:cs="宋体"/>
                <w:sz w:val="24"/>
                <w:szCs w:val="24"/>
                <w:lang w:val="en-US" w:eastAsia="zh-CN"/>
              </w:rPr>
              <w:t>结果的</w:t>
            </w:r>
            <w:r>
              <w:rPr>
                <w:rFonts w:hint="eastAsia" w:ascii="宋体" w:hAnsi="宋体" w:eastAsia="宋体" w:cs="宋体"/>
                <w:sz w:val="24"/>
                <w:szCs w:val="24"/>
              </w:rPr>
              <w:t>，</w:t>
            </w:r>
            <w:r>
              <w:rPr>
                <w:rFonts w:hint="eastAsia" w:ascii="宋体" w:hAnsi="宋体" w:eastAsia="宋体" w:cs="宋体"/>
                <w:b/>
                <w:bCs/>
                <w:sz w:val="24"/>
                <w:szCs w:val="24"/>
              </w:rPr>
              <w:t>每延迟一天扣</w:t>
            </w: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分。</w:t>
            </w:r>
          </w:p>
        </w:tc>
        <w:tc>
          <w:tcPr>
            <w:tcW w:w="464" w:type="pct"/>
            <w:gridSpan w:val="2"/>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pPr>
              <w:pStyle w:val="73"/>
              <w:jc w:val="center"/>
              <w:rPr>
                <w:rFonts w:hint="eastAsia" w:ascii="宋体" w:hAnsi="宋体" w:eastAsia="宋体" w:cs="宋体"/>
                <w:sz w:val="24"/>
                <w:szCs w:val="24"/>
              </w:rPr>
            </w:pPr>
          </w:p>
        </w:tc>
        <w:tc>
          <w:tcPr>
            <w:tcW w:w="728" w:type="pct"/>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pPr>
              <w:pStyle w:val="73"/>
              <w:jc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362" w:hRule="atLeast"/>
        </w:trPr>
        <w:tc>
          <w:tcPr>
            <w:tcW w:w="276" w:type="pct"/>
            <w:vMerge w:val="restart"/>
            <w:tcBorders>
              <w:top w:val="single" w:color="auto" w:sz="4" w:space="0"/>
              <w:left w:val="single" w:color="auto" w:sz="4" w:space="0"/>
              <w:bottom w:val="single" w:color="000000" w:sz="4" w:space="0"/>
              <w:right w:val="single" w:color="auto" w:sz="4" w:space="0"/>
            </w:tcBorders>
            <w:tcMar>
              <w:top w:w="17" w:type="dxa"/>
              <w:left w:w="17" w:type="dxa"/>
              <w:bottom w:w="0" w:type="dxa"/>
              <w:right w:w="17" w:type="dxa"/>
            </w:tcMar>
            <w:vAlign w:val="center"/>
          </w:tcPr>
          <w:p>
            <w:pPr>
              <w:pStyle w:val="73"/>
              <w:jc w:val="center"/>
              <w:rPr>
                <w:rFonts w:hint="eastAsia" w:ascii="宋体" w:hAnsi="宋体" w:eastAsia="宋体" w:cs="宋体"/>
                <w:sz w:val="24"/>
                <w:szCs w:val="24"/>
              </w:rPr>
            </w:pPr>
            <w:r>
              <w:rPr>
                <w:rFonts w:hint="eastAsia" w:ascii="宋体" w:hAnsi="宋体" w:eastAsia="宋体" w:cs="宋体"/>
                <w:sz w:val="24"/>
                <w:szCs w:val="24"/>
              </w:rPr>
              <w:t>3</w:t>
            </w:r>
          </w:p>
        </w:tc>
        <w:tc>
          <w:tcPr>
            <w:tcW w:w="923" w:type="pct"/>
            <w:vMerge w:val="restart"/>
            <w:tcBorders>
              <w:top w:val="single" w:color="auto" w:sz="4" w:space="0"/>
              <w:left w:val="single" w:color="auto" w:sz="4" w:space="0"/>
              <w:right w:val="single" w:color="auto" w:sz="4" w:space="0"/>
            </w:tcBorders>
            <w:tcMar>
              <w:top w:w="17" w:type="dxa"/>
              <w:left w:w="17" w:type="dxa"/>
              <w:bottom w:w="0" w:type="dxa"/>
              <w:right w:w="17" w:type="dxa"/>
            </w:tcMar>
            <w:vAlign w:val="center"/>
          </w:tcPr>
          <w:p>
            <w:pPr>
              <w:pStyle w:val="73"/>
              <w:jc w:val="center"/>
              <w:rPr>
                <w:rFonts w:hint="eastAsia" w:ascii="宋体" w:hAnsi="宋体" w:eastAsia="宋体" w:cs="宋体"/>
                <w:sz w:val="24"/>
                <w:szCs w:val="24"/>
              </w:rPr>
            </w:pPr>
            <w:r>
              <w:rPr>
                <w:rFonts w:hint="eastAsia" w:ascii="宋体" w:hAnsi="宋体" w:eastAsia="宋体" w:cs="宋体"/>
                <w:sz w:val="24"/>
                <w:szCs w:val="24"/>
              </w:rPr>
              <w:t>质量控制</w:t>
            </w:r>
          </w:p>
        </w:tc>
        <w:tc>
          <w:tcPr>
            <w:tcW w:w="2607" w:type="pct"/>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pPr>
              <w:pStyle w:val="73"/>
              <w:rPr>
                <w:rFonts w:hint="eastAsia" w:ascii="宋体" w:hAnsi="宋体" w:eastAsia="宋体" w:cs="宋体"/>
                <w:sz w:val="24"/>
                <w:szCs w:val="24"/>
              </w:rPr>
            </w:pPr>
            <w:r>
              <w:rPr>
                <w:rFonts w:hint="eastAsia" w:ascii="宋体" w:hAnsi="宋体" w:eastAsia="宋体" w:cs="宋体"/>
                <w:sz w:val="24"/>
                <w:szCs w:val="24"/>
              </w:rPr>
              <w:t>未建立检测台账并按时登记，</w:t>
            </w:r>
            <w:r>
              <w:rPr>
                <w:rFonts w:hint="eastAsia" w:ascii="宋体" w:hAnsi="宋体" w:eastAsia="宋体" w:cs="宋体"/>
                <w:b/>
                <w:bCs/>
                <w:sz w:val="24"/>
                <w:szCs w:val="24"/>
              </w:rPr>
              <w:t>每次扣2分</w:t>
            </w:r>
            <w:r>
              <w:rPr>
                <w:rFonts w:hint="eastAsia" w:ascii="宋体" w:hAnsi="宋体" w:eastAsia="宋体" w:cs="宋体"/>
                <w:sz w:val="24"/>
                <w:szCs w:val="24"/>
              </w:rPr>
              <w:t>；</w:t>
            </w:r>
          </w:p>
          <w:p>
            <w:pPr>
              <w:pStyle w:val="73"/>
              <w:rPr>
                <w:rFonts w:hint="eastAsia" w:ascii="宋体" w:hAnsi="宋体" w:eastAsia="宋体" w:cs="宋体"/>
                <w:sz w:val="24"/>
                <w:szCs w:val="24"/>
              </w:rPr>
            </w:pPr>
          </w:p>
        </w:tc>
        <w:tc>
          <w:tcPr>
            <w:tcW w:w="464" w:type="pct"/>
            <w:gridSpan w:val="2"/>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pPr>
              <w:pStyle w:val="73"/>
              <w:jc w:val="center"/>
              <w:rPr>
                <w:rFonts w:hint="eastAsia" w:ascii="宋体" w:hAnsi="宋体" w:eastAsia="宋体" w:cs="宋体"/>
                <w:sz w:val="24"/>
                <w:szCs w:val="24"/>
              </w:rPr>
            </w:pPr>
          </w:p>
        </w:tc>
        <w:tc>
          <w:tcPr>
            <w:tcW w:w="728" w:type="pct"/>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pPr>
              <w:pStyle w:val="73"/>
              <w:jc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820" w:hRule="atLeast"/>
        </w:trPr>
        <w:tc>
          <w:tcPr>
            <w:tcW w:w="276" w:type="pct"/>
            <w:vMerge w:val="continue"/>
            <w:tcBorders>
              <w:top w:val="nil"/>
              <w:left w:val="single" w:color="auto" w:sz="4" w:space="0"/>
              <w:bottom w:val="single" w:color="000000" w:sz="4" w:space="0"/>
              <w:right w:val="single" w:color="auto" w:sz="4" w:space="0"/>
            </w:tcBorders>
            <w:vAlign w:val="center"/>
          </w:tcPr>
          <w:p>
            <w:pPr>
              <w:pStyle w:val="73"/>
              <w:jc w:val="center"/>
              <w:rPr>
                <w:rFonts w:hint="eastAsia" w:ascii="宋体" w:hAnsi="宋体" w:eastAsia="宋体" w:cs="宋体"/>
                <w:sz w:val="24"/>
                <w:szCs w:val="24"/>
              </w:rPr>
            </w:pPr>
          </w:p>
        </w:tc>
        <w:tc>
          <w:tcPr>
            <w:tcW w:w="923" w:type="pct"/>
            <w:vMerge w:val="continue"/>
            <w:tcBorders>
              <w:left w:val="single" w:color="auto" w:sz="4" w:space="0"/>
              <w:right w:val="single" w:color="auto" w:sz="4" w:space="0"/>
            </w:tcBorders>
            <w:vAlign w:val="center"/>
          </w:tcPr>
          <w:p>
            <w:pPr>
              <w:pStyle w:val="73"/>
              <w:jc w:val="center"/>
              <w:rPr>
                <w:rFonts w:hint="eastAsia" w:ascii="宋体" w:hAnsi="宋体" w:eastAsia="宋体" w:cs="宋体"/>
                <w:sz w:val="24"/>
                <w:szCs w:val="24"/>
              </w:rPr>
            </w:pPr>
          </w:p>
        </w:tc>
        <w:tc>
          <w:tcPr>
            <w:tcW w:w="2607" w:type="pct"/>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pPr>
              <w:pStyle w:val="73"/>
              <w:rPr>
                <w:rFonts w:hint="eastAsia" w:ascii="宋体" w:hAnsi="宋体" w:eastAsia="宋体" w:cs="宋体"/>
                <w:sz w:val="24"/>
                <w:szCs w:val="24"/>
              </w:rPr>
            </w:pPr>
            <w:r>
              <w:rPr>
                <w:rFonts w:hint="eastAsia" w:ascii="宋体" w:hAnsi="宋体" w:eastAsia="宋体" w:cs="宋体"/>
                <w:sz w:val="24"/>
                <w:szCs w:val="24"/>
              </w:rPr>
              <w:t>未提供试验检测原始数据（平整度检测数据、采集的路面图片）电子文档，</w:t>
            </w:r>
            <w:r>
              <w:rPr>
                <w:rFonts w:hint="eastAsia" w:ascii="宋体" w:hAnsi="宋体" w:eastAsia="宋体" w:cs="宋体"/>
                <w:b/>
                <w:bCs/>
                <w:sz w:val="24"/>
                <w:szCs w:val="24"/>
              </w:rPr>
              <w:t>扣10分；</w:t>
            </w:r>
          </w:p>
        </w:tc>
        <w:tc>
          <w:tcPr>
            <w:tcW w:w="464" w:type="pct"/>
            <w:gridSpan w:val="2"/>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pPr>
              <w:pStyle w:val="73"/>
              <w:jc w:val="center"/>
              <w:rPr>
                <w:rFonts w:hint="eastAsia" w:ascii="宋体" w:hAnsi="宋体" w:eastAsia="宋体" w:cs="宋体"/>
                <w:sz w:val="24"/>
                <w:szCs w:val="24"/>
              </w:rPr>
            </w:pPr>
          </w:p>
        </w:tc>
        <w:tc>
          <w:tcPr>
            <w:tcW w:w="728" w:type="pct"/>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pPr>
              <w:pStyle w:val="73"/>
              <w:jc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890" w:hRule="atLeast"/>
        </w:trPr>
        <w:tc>
          <w:tcPr>
            <w:tcW w:w="276" w:type="pct"/>
            <w:vMerge w:val="continue"/>
            <w:tcBorders>
              <w:top w:val="nil"/>
              <w:left w:val="single" w:color="auto" w:sz="4" w:space="0"/>
              <w:bottom w:val="single" w:color="000000" w:sz="4" w:space="0"/>
              <w:right w:val="single" w:color="auto" w:sz="4" w:space="0"/>
            </w:tcBorders>
            <w:vAlign w:val="center"/>
          </w:tcPr>
          <w:p>
            <w:pPr>
              <w:pStyle w:val="73"/>
              <w:jc w:val="center"/>
              <w:rPr>
                <w:rFonts w:hint="eastAsia" w:ascii="宋体" w:hAnsi="宋体" w:eastAsia="宋体" w:cs="宋体"/>
                <w:sz w:val="24"/>
                <w:szCs w:val="24"/>
              </w:rPr>
            </w:pPr>
          </w:p>
        </w:tc>
        <w:tc>
          <w:tcPr>
            <w:tcW w:w="923" w:type="pct"/>
            <w:vMerge w:val="continue"/>
            <w:tcBorders>
              <w:left w:val="single" w:color="auto" w:sz="4" w:space="0"/>
              <w:right w:val="single" w:color="auto" w:sz="4" w:space="0"/>
            </w:tcBorders>
            <w:vAlign w:val="center"/>
          </w:tcPr>
          <w:p>
            <w:pPr>
              <w:pStyle w:val="73"/>
              <w:jc w:val="center"/>
              <w:rPr>
                <w:rFonts w:hint="eastAsia" w:ascii="宋体" w:hAnsi="宋体" w:eastAsia="宋体" w:cs="宋体"/>
                <w:sz w:val="24"/>
                <w:szCs w:val="24"/>
              </w:rPr>
            </w:pPr>
          </w:p>
        </w:tc>
        <w:tc>
          <w:tcPr>
            <w:tcW w:w="2607" w:type="pct"/>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pPr>
              <w:pStyle w:val="73"/>
              <w:rPr>
                <w:rFonts w:hint="eastAsia" w:ascii="宋体" w:hAnsi="宋体" w:eastAsia="宋体" w:cs="宋体"/>
                <w:b/>
                <w:bCs/>
                <w:sz w:val="24"/>
                <w:szCs w:val="24"/>
              </w:rPr>
            </w:pPr>
            <w:r>
              <w:rPr>
                <w:rFonts w:hint="eastAsia" w:ascii="宋体" w:hAnsi="宋体" w:eastAsia="宋体" w:cs="宋体"/>
                <w:sz w:val="24"/>
                <w:szCs w:val="24"/>
              </w:rPr>
              <w:t>未按</w:t>
            </w:r>
            <w:r>
              <w:rPr>
                <w:rFonts w:hint="eastAsia" w:ascii="宋体" w:hAnsi="宋体" w:eastAsia="宋体" w:cs="宋体"/>
                <w:b w:val="0"/>
                <w:bCs w:val="0"/>
                <w:sz w:val="24"/>
                <w:szCs w:val="24"/>
                <w:lang w:val="en-US" w:eastAsia="zh-CN"/>
              </w:rPr>
              <w:t>执法总队</w:t>
            </w:r>
            <w:r>
              <w:rPr>
                <w:rFonts w:hint="eastAsia" w:ascii="宋体" w:hAnsi="宋体" w:eastAsia="宋体" w:cs="宋体"/>
                <w:sz w:val="24"/>
                <w:szCs w:val="24"/>
              </w:rPr>
              <w:t>选定的道路进行检测，</w:t>
            </w:r>
            <w:r>
              <w:rPr>
                <w:rFonts w:hint="eastAsia" w:ascii="宋体" w:hAnsi="宋体" w:eastAsia="宋体" w:cs="宋体"/>
                <w:b/>
                <w:bCs/>
                <w:sz w:val="24"/>
                <w:szCs w:val="24"/>
              </w:rPr>
              <w:t>每条路扣10分。</w:t>
            </w:r>
          </w:p>
          <w:p>
            <w:pPr>
              <w:pStyle w:val="73"/>
              <w:rPr>
                <w:rFonts w:hint="eastAsia" w:ascii="宋体" w:hAnsi="宋体" w:eastAsia="宋体" w:cs="宋体"/>
                <w:sz w:val="24"/>
                <w:szCs w:val="24"/>
              </w:rPr>
            </w:pPr>
            <w:r>
              <w:rPr>
                <w:rFonts w:hint="eastAsia" w:ascii="宋体" w:hAnsi="宋体" w:eastAsia="宋体" w:cs="宋体"/>
                <w:sz w:val="24"/>
                <w:szCs w:val="24"/>
              </w:rPr>
              <w:t>（若遇到大中修等无检测条件的道路，需提供充足的佐证依据细化）</w:t>
            </w:r>
          </w:p>
        </w:tc>
        <w:tc>
          <w:tcPr>
            <w:tcW w:w="464" w:type="pct"/>
            <w:gridSpan w:val="2"/>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pPr>
              <w:pStyle w:val="73"/>
              <w:jc w:val="center"/>
              <w:rPr>
                <w:rFonts w:hint="eastAsia" w:ascii="宋体" w:hAnsi="宋体" w:eastAsia="宋体" w:cs="宋体"/>
                <w:sz w:val="24"/>
                <w:szCs w:val="24"/>
              </w:rPr>
            </w:pPr>
          </w:p>
        </w:tc>
        <w:tc>
          <w:tcPr>
            <w:tcW w:w="728" w:type="pct"/>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pPr>
              <w:pStyle w:val="73"/>
              <w:jc w:val="center"/>
              <w:rPr>
                <w:rFonts w:hint="eastAsia" w:ascii="宋体" w:hAnsi="宋体" w:eastAsia="宋体" w:cs="宋体"/>
                <w:sz w:val="24"/>
                <w:szCs w:val="24"/>
              </w:rPr>
            </w:pPr>
          </w:p>
        </w:tc>
      </w:tr>
      <w:tr>
        <w:tblPrEx>
          <w:tblCellMar>
            <w:top w:w="0" w:type="dxa"/>
            <w:left w:w="0" w:type="dxa"/>
            <w:bottom w:w="0" w:type="dxa"/>
            <w:right w:w="0" w:type="dxa"/>
          </w:tblCellMar>
        </w:tblPrEx>
        <w:trPr>
          <w:trHeight w:val="890" w:hRule="atLeast"/>
        </w:trPr>
        <w:tc>
          <w:tcPr>
            <w:tcW w:w="276" w:type="pct"/>
            <w:vMerge w:val="continue"/>
            <w:tcBorders>
              <w:top w:val="nil"/>
              <w:left w:val="single" w:color="auto" w:sz="4" w:space="0"/>
              <w:bottom w:val="single" w:color="auto" w:sz="4" w:space="0"/>
              <w:right w:val="single" w:color="auto" w:sz="4" w:space="0"/>
            </w:tcBorders>
            <w:vAlign w:val="center"/>
          </w:tcPr>
          <w:p>
            <w:pPr>
              <w:pStyle w:val="73"/>
              <w:jc w:val="center"/>
              <w:rPr>
                <w:rFonts w:hint="eastAsia" w:ascii="宋体" w:hAnsi="宋体" w:eastAsia="宋体" w:cs="宋体"/>
                <w:sz w:val="24"/>
                <w:szCs w:val="24"/>
              </w:rPr>
            </w:pPr>
          </w:p>
        </w:tc>
        <w:tc>
          <w:tcPr>
            <w:tcW w:w="923" w:type="pct"/>
            <w:vMerge w:val="continue"/>
            <w:tcBorders>
              <w:left w:val="single" w:color="auto" w:sz="4" w:space="0"/>
              <w:bottom w:val="single" w:color="auto" w:sz="4" w:space="0"/>
              <w:right w:val="single" w:color="auto" w:sz="4" w:space="0"/>
            </w:tcBorders>
            <w:vAlign w:val="center"/>
          </w:tcPr>
          <w:p>
            <w:pPr>
              <w:pStyle w:val="73"/>
              <w:jc w:val="center"/>
              <w:rPr>
                <w:rFonts w:hint="eastAsia" w:ascii="宋体" w:hAnsi="宋体" w:eastAsia="宋体" w:cs="宋体"/>
                <w:sz w:val="24"/>
                <w:szCs w:val="24"/>
              </w:rPr>
            </w:pPr>
          </w:p>
        </w:tc>
        <w:tc>
          <w:tcPr>
            <w:tcW w:w="2607" w:type="pct"/>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pPr>
              <w:pStyle w:val="73"/>
              <w:rPr>
                <w:rFonts w:hint="eastAsia" w:ascii="宋体" w:hAnsi="宋体" w:eastAsia="宋体" w:cs="宋体"/>
                <w:sz w:val="24"/>
                <w:szCs w:val="24"/>
              </w:rPr>
            </w:pPr>
            <w:r>
              <w:rPr>
                <w:rFonts w:hint="eastAsia" w:ascii="宋体" w:hAnsi="宋体" w:eastAsia="宋体" w:cs="宋体"/>
                <w:sz w:val="24"/>
                <w:szCs w:val="24"/>
              </w:rPr>
              <w:t>出具虚假试验数据结果或报告，</w:t>
            </w:r>
            <w:r>
              <w:rPr>
                <w:rFonts w:hint="eastAsia" w:ascii="宋体" w:hAnsi="宋体" w:eastAsia="宋体" w:cs="宋体"/>
                <w:b/>
                <w:bCs/>
                <w:sz w:val="24"/>
                <w:szCs w:val="24"/>
              </w:rPr>
              <w:t>直接确定为不合格</w:t>
            </w:r>
            <w:r>
              <w:rPr>
                <w:rFonts w:hint="eastAsia" w:ascii="宋体" w:hAnsi="宋体" w:eastAsia="宋体" w:cs="宋体"/>
                <w:sz w:val="24"/>
                <w:szCs w:val="24"/>
              </w:rPr>
              <w:t>。</w:t>
            </w:r>
          </w:p>
        </w:tc>
        <w:tc>
          <w:tcPr>
            <w:tcW w:w="464" w:type="pct"/>
            <w:gridSpan w:val="2"/>
            <w:tcBorders>
              <w:left w:val="nil"/>
              <w:bottom w:val="single" w:color="auto" w:sz="4" w:space="0"/>
              <w:right w:val="single" w:color="auto" w:sz="4" w:space="0"/>
            </w:tcBorders>
            <w:tcMar>
              <w:top w:w="17" w:type="dxa"/>
              <w:left w:w="17" w:type="dxa"/>
              <w:bottom w:w="0" w:type="dxa"/>
              <w:right w:w="17" w:type="dxa"/>
            </w:tcMar>
            <w:vAlign w:val="center"/>
          </w:tcPr>
          <w:p>
            <w:pPr>
              <w:pStyle w:val="73"/>
              <w:jc w:val="center"/>
              <w:rPr>
                <w:rFonts w:hint="eastAsia" w:ascii="宋体" w:hAnsi="宋体" w:eastAsia="宋体" w:cs="宋体"/>
                <w:sz w:val="24"/>
                <w:szCs w:val="24"/>
              </w:rPr>
            </w:pPr>
          </w:p>
        </w:tc>
        <w:tc>
          <w:tcPr>
            <w:tcW w:w="728" w:type="pct"/>
            <w:tcBorders>
              <w:left w:val="nil"/>
              <w:bottom w:val="single" w:color="auto" w:sz="4" w:space="0"/>
              <w:right w:val="single" w:color="auto" w:sz="4" w:space="0"/>
            </w:tcBorders>
            <w:tcMar>
              <w:top w:w="17" w:type="dxa"/>
              <w:left w:w="17" w:type="dxa"/>
              <w:bottom w:w="0" w:type="dxa"/>
              <w:right w:w="17" w:type="dxa"/>
            </w:tcMar>
            <w:vAlign w:val="center"/>
          </w:tcPr>
          <w:p>
            <w:pPr>
              <w:pStyle w:val="73"/>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9" w:hRule="atLeast"/>
        </w:trPr>
        <w:tc>
          <w:tcPr>
            <w:tcW w:w="276" w:type="pct"/>
            <w:vAlign w:val="center"/>
          </w:tcPr>
          <w:p>
            <w:pPr>
              <w:pStyle w:val="73"/>
              <w:jc w:val="center"/>
              <w:rPr>
                <w:rFonts w:hint="eastAsia" w:ascii="宋体" w:hAnsi="宋体" w:eastAsia="宋体" w:cs="宋体"/>
                <w:sz w:val="24"/>
                <w:szCs w:val="24"/>
              </w:rPr>
            </w:pPr>
            <w:r>
              <w:rPr>
                <w:rFonts w:hint="eastAsia" w:ascii="宋体" w:hAnsi="宋体" w:eastAsia="宋体" w:cs="宋体"/>
                <w:sz w:val="24"/>
                <w:szCs w:val="24"/>
              </w:rPr>
              <w:t>4</w:t>
            </w:r>
          </w:p>
        </w:tc>
        <w:tc>
          <w:tcPr>
            <w:tcW w:w="923" w:type="pct"/>
            <w:vAlign w:val="center"/>
          </w:tcPr>
          <w:p>
            <w:pPr>
              <w:pStyle w:val="73"/>
              <w:jc w:val="center"/>
              <w:rPr>
                <w:rFonts w:hint="eastAsia" w:ascii="宋体" w:hAnsi="宋体" w:eastAsia="宋体" w:cs="宋体"/>
                <w:sz w:val="24"/>
                <w:szCs w:val="24"/>
              </w:rPr>
            </w:pPr>
            <w:r>
              <w:rPr>
                <w:rFonts w:hint="eastAsia" w:ascii="宋体" w:hAnsi="宋体" w:eastAsia="宋体" w:cs="宋体"/>
                <w:sz w:val="24"/>
                <w:szCs w:val="24"/>
              </w:rPr>
              <w:t>廉政建设</w:t>
            </w:r>
          </w:p>
        </w:tc>
        <w:tc>
          <w:tcPr>
            <w:tcW w:w="2607" w:type="pct"/>
            <w:tcMar>
              <w:top w:w="17" w:type="dxa"/>
              <w:left w:w="17" w:type="dxa"/>
              <w:bottom w:w="0" w:type="dxa"/>
              <w:right w:w="17" w:type="dxa"/>
            </w:tcMar>
            <w:vAlign w:val="center"/>
          </w:tcPr>
          <w:p>
            <w:pPr>
              <w:pStyle w:val="73"/>
              <w:rPr>
                <w:rFonts w:hint="eastAsia" w:ascii="宋体" w:hAnsi="宋体" w:eastAsia="宋体" w:cs="宋体"/>
                <w:sz w:val="24"/>
                <w:szCs w:val="24"/>
              </w:rPr>
            </w:pPr>
            <w:r>
              <w:rPr>
                <w:rFonts w:hint="eastAsia" w:ascii="宋体" w:hAnsi="宋体" w:eastAsia="宋体" w:cs="宋体"/>
                <w:sz w:val="24"/>
                <w:szCs w:val="24"/>
              </w:rPr>
              <w:t>检测人员有吃拿卡要等违反廉政的行为，但尚未触犯刑律的，收到举报并核实的，</w:t>
            </w:r>
            <w:r>
              <w:rPr>
                <w:rFonts w:hint="eastAsia" w:ascii="宋体" w:hAnsi="宋体" w:eastAsia="宋体" w:cs="宋体"/>
                <w:b/>
                <w:bCs/>
                <w:sz w:val="24"/>
                <w:szCs w:val="24"/>
              </w:rPr>
              <w:t>每次扣10分。</w:t>
            </w:r>
          </w:p>
        </w:tc>
        <w:tc>
          <w:tcPr>
            <w:tcW w:w="459" w:type="pct"/>
            <w:tcMar>
              <w:top w:w="17" w:type="dxa"/>
              <w:left w:w="17" w:type="dxa"/>
              <w:bottom w:w="0" w:type="dxa"/>
              <w:right w:w="17" w:type="dxa"/>
            </w:tcMar>
            <w:vAlign w:val="center"/>
          </w:tcPr>
          <w:p>
            <w:pPr>
              <w:pStyle w:val="73"/>
              <w:jc w:val="center"/>
              <w:rPr>
                <w:rFonts w:hint="eastAsia" w:ascii="宋体" w:hAnsi="宋体" w:eastAsia="宋体" w:cs="宋体"/>
                <w:sz w:val="24"/>
                <w:szCs w:val="24"/>
              </w:rPr>
            </w:pPr>
          </w:p>
        </w:tc>
        <w:tc>
          <w:tcPr>
            <w:tcW w:w="734" w:type="pct"/>
            <w:gridSpan w:val="2"/>
            <w:tcMar>
              <w:top w:w="17" w:type="dxa"/>
              <w:left w:w="17" w:type="dxa"/>
              <w:bottom w:w="0" w:type="dxa"/>
              <w:right w:w="17" w:type="dxa"/>
            </w:tcMar>
            <w:vAlign w:val="center"/>
          </w:tcPr>
          <w:p>
            <w:pPr>
              <w:pStyle w:val="73"/>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9" w:hRule="atLeast"/>
        </w:trPr>
        <w:tc>
          <w:tcPr>
            <w:tcW w:w="276" w:type="pct"/>
            <w:vMerge w:val="restart"/>
            <w:vAlign w:val="center"/>
          </w:tcPr>
          <w:p>
            <w:pPr>
              <w:pStyle w:val="73"/>
              <w:jc w:val="center"/>
              <w:rPr>
                <w:rFonts w:hint="eastAsia" w:ascii="宋体" w:hAnsi="宋体" w:eastAsia="宋体" w:cs="宋体"/>
                <w:sz w:val="24"/>
                <w:szCs w:val="24"/>
              </w:rPr>
            </w:pPr>
            <w:r>
              <w:rPr>
                <w:rFonts w:hint="eastAsia" w:ascii="宋体" w:hAnsi="宋体" w:eastAsia="宋体" w:cs="宋体"/>
                <w:sz w:val="24"/>
                <w:szCs w:val="24"/>
              </w:rPr>
              <w:t>5</w:t>
            </w:r>
          </w:p>
        </w:tc>
        <w:tc>
          <w:tcPr>
            <w:tcW w:w="923" w:type="pct"/>
            <w:vMerge w:val="restart"/>
            <w:vAlign w:val="center"/>
          </w:tcPr>
          <w:p>
            <w:pPr>
              <w:pStyle w:val="73"/>
              <w:jc w:val="center"/>
              <w:rPr>
                <w:rFonts w:hint="eastAsia" w:ascii="宋体" w:hAnsi="宋体" w:eastAsia="宋体" w:cs="宋体"/>
                <w:sz w:val="24"/>
                <w:szCs w:val="24"/>
              </w:rPr>
            </w:pPr>
            <w:r>
              <w:rPr>
                <w:rFonts w:hint="eastAsia" w:ascii="宋体" w:hAnsi="宋体" w:eastAsia="宋体" w:cs="宋体"/>
                <w:sz w:val="24"/>
                <w:szCs w:val="24"/>
              </w:rPr>
              <w:t>其它</w:t>
            </w:r>
          </w:p>
        </w:tc>
        <w:tc>
          <w:tcPr>
            <w:tcW w:w="2607" w:type="pct"/>
            <w:tcMar>
              <w:top w:w="17" w:type="dxa"/>
              <w:left w:w="17" w:type="dxa"/>
              <w:bottom w:w="0" w:type="dxa"/>
              <w:right w:w="17" w:type="dxa"/>
            </w:tcMar>
            <w:vAlign w:val="center"/>
          </w:tcPr>
          <w:p>
            <w:pPr>
              <w:pStyle w:val="73"/>
              <w:rPr>
                <w:rFonts w:hint="eastAsia" w:ascii="宋体" w:hAnsi="宋体" w:eastAsia="宋体" w:cs="宋体"/>
                <w:sz w:val="24"/>
                <w:szCs w:val="24"/>
              </w:rPr>
            </w:pPr>
            <w:r>
              <w:rPr>
                <w:rFonts w:hint="eastAsia" w:ascii="宋体" w:hAnsi="宋体" w:eastAsia="宋体" w:cs="宋体"/>
                <w:sz w:val="24"/>
                <w:szCs w:val="24"/>
              </w:rPr>
              <w:t>因检测失误造成损失或引发纠纷，</w:t>
            </w:r>
            <w:r>
              <w:rPr>
                <w:rFonts w:hint="eastAsia" w:ascii="宋体" w:hAnsi="宋体" w:eastAsia="宋体" w:cs="宋体"/>
                <w:b/>
                <w:bCs/>
                <w:sz w:val="24"/>
                <w:szCs w:val="24"/>
              </w:rPr>
              <w:t>每次扣5分；</w:t>
            </w:r>
          </w:p>
        </w:tc>
        <w:tc>
          <w:tcPr>
            <w:tcW w:w="459" w:type="pct"/>
            <w:tcMar>
              <w:top w:w="17" w:type="dxa"/>
              <w:left w:w="17" w:type="dxa"/>
              <w:bottom w:w="0" w:type="dxa"/>
              <w:right w:w="17" w:type="dxa"/>
            </w:tcMar>
            <w:vAlign w:val="center"/>
          </w:tcPr>
          <w:p>
            <w:pPr>
              <w:pStyle w:val="73"/>
              <w:jc w:val="center"/>
              <w:rPr>
                <w:rFonts w:hint="eastAsia" w:ascii="宋体" w:hAnsi="宋体" w:eastAsia="宋体" w:cs="宋体"/>
                <w:sz w:val="24"/>
                <w:szCs w:val="24"/>
              </w:rPr>
            </w:pPr>
          </w:p>
        </w:tc>
        <w:tc>
          <w:tcPr>
            <w:tcW w:w="734" w:type="pct"/>
            <w:gridSpan w:val="2"/>
            <w:tcMar>
              <w:top w:w="17" w:type="dxa"/>
              <w:left w:w="17" w:type="dxa"/>
              <w:bottom w:w="0" w:type="dxa"/>
              <w:right w:w="17" w:type="dxa"/>
            </w:tcMar>
            <w:vAlign w:val="center"/>
          </w:tcPr>
          <w:p>
            <w:pPr>
              <w:pStyle w:val="73"/>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8" w:hRule="atLeast"/>
        </w:trPr>
        <w:tc>
          <w:tcPr>
            <w:tcW w:w="276" w:type="pct"/>
            <w:vMerge w:val="continue"/>
            <w:vAlign w:val="center"/>
          </w:tcPr>
          <w:p>
            <w:pPr>
              <w:pStyle w:val="73"/>
              <w:jc w:val="center"/>
              <w:rPr>
                <w:rFonts w:hint="eastAsia" w:ascii="宋体" w:hAnsi="宋体" w:eastAsia="宋体" w:cs="宋体"/>
                <w:sz w:val="24"/>
                <w:szCs w:val="24"/>
              </w:rPr>
            </w:pPr>
          </w:p>
        </w:tc>
        <w:tc>
          <w:tcPr>
            <w:tcW w:w="923" w:type="pct"/>
            <w:vMerge w:val="continue"/>
            <w:vAlign w:val="center"/>
          </w:tcPr>
          <w:p>
            <w:pPr>
              <w:pStyle w:val="73"/>
              <w:jc w:val="center"/>
              <w:rPr>
                <w:rFonts w:hint="eastAsia" w:ascii="宋体" w:hAnsi="宋体" w:eastAsia="宋体" w:cs="宋体"/>
                <w:sz w:val="24"/>
                <w:szCs w:val="24"/>
              </w:rPr>
            </w:pPr>
          </w:p>
        </w:tc>
        <w:tc>
          <w:tcPr>
            <w:tcW w:w="2607" w:type="pct"/>
            <w:tcMar>
              <w:top w:w="17" w:type="dxa"/>
              <w:left w:w="17" w:type="dxa"/>
              <w:bottom w:w="0" w:type="dxa"/>
              <w:right w:w="17" w:type="dxa"/>
            </w:tcMar>
            <w:vAlign w:val="center"/>
          </w:tcPr>
          <w:p>
            <w:pPr>
              <w:pStyle w:val="73"/>
              <w:rPr>
                <w:rFonts w:hint="eastAsia" w:ascii="宋体" w:hAnsi="宋体" w:eastAsia="宋体" w:cs="宋体"/>
                <w:sz w:val="24"/>
                <w:szCs w:val="24"/>
              </w:rPr>
            </w:pPr>
            <w:r>
              <w:rPr>
                <w:rFonts w:hint="eastAsia" w:ascii="宋体" w:hAnsi="宋体" w:eastAsia="宋体" w:cs="宋体"/>
                <w:sz w:val="24"/>
                <w:szCs w:val="24"/>
              </w:rPr>
              <w:t>对</w:t>
            </w:r>
            <w:r>
              <w:rPr>
                <w:rFonts w:hint="eastAsia" w:ascii="宋体" w:hAnsi="宋体" w:eastAsia="宋体" w:cs="宋体"/>
                <w:b w:val="0"/>
                <w:bCs w:val="0"/>
                <w:sz w:val="24"/>
                <w:szCs w:val="24"/>
                <w:lang w:val="en-US" w:eastAsia="zh-CN"/>
              </w:rPr>
              <w:t>执法总队</w:t>
            </w:r>
            <w:r>
              <w:rPr>
                <w:rFonts w:hint="eastAsia" w:ascii="宋体" w:hAnsi="宋体" w:eastAsia="宋体" w:cs="宋体"/>
                <w:sz w:val="24"/>
                <w:szCs w:val="24"/>
              </w:rPr>
              <w:t>提出的意见整改不及时的，</w:t>
            </w:r>
            <w:r>
              <w:rPr>
                <w:rFonts w:hint="eastAsia" w:ascii="宋体" w:hAnsi="宋体" w:eastAsia="宋体" w:cs="宋体"/>
                <w:b/>
                <w:bCs/>
                <w:sz w:val="24"/>
                <w:szCs w:val="24"/>
              </w:rPr>
              <w:t>每次扣3分</w:t>
            </w:r>
            <w:r>
              <w:rPr>
                <w:rFonts w:hint="eastAsia" w:ascii="宋体" w:hAnsi="宋体" w:eastAsia="宋体" w:cs="宋体"/>
                <w:sz w:val="24"/>
                <w:szCs w:val="24"/>
              </w:rPr>
              <w:t>。拒不整改的，</w:t>
            </w:r>
            <w:r>
              <w:rPr>
                <w:rFonts w:hint="eastAsia" w:ascii="宋体" w:hAnsi="宋体" w:eastAsia="宋体" w:cs="宋体"/>
                <w:b/>
                <w:bCs/>
                <w:sz w:val="24"/>
                <w:szCs w:val="24"/>
              </w:rPr>
              <w:t>一次扣6分</w:t>
            </w:r>
            <w:r>
              <w:rPr>
                <w:rFonts w:hint="eastAsia" w:ascii="宋体" w:hAnsi="宋体" w:eastAsia="宋体" w:cs="宋体"/>
                <w:sz w:val="24"/>
                <w:szCs w:val="24"/>
              </w:rPr>
              <w:t>。</w:t>
            </w:r>
          </w:p>
        </w:tc>
        <w:tc>
          <w:tcPr>
            <w:tcW w:w="459" w:type="pct"/>
            <w:tcMar>
              <w:top w:w="17" w:type="dxa"/>
              <w:left w:w="17" w:type="dxa"/>
              <w:bottom w:w="0" w:type="dxa"/>
              <w:right w:w="17" w:type="dxa"/>
            </w:tcMar>
            <w:vAlign w:val="center"/>
          </w:tcPr>
          <w:p>
            <w:pPr>
              <w:pStyle w:val="73"/>
              <w:jc w:val="center"/>
              <w:rPr>
                <w:rFonts w:hint="eastAsia" w:ascii="宋体" w:hAnsi="宋体" w:eastAsia="宋体" w:cs="宋体"/>
                <w:sz w:val="24"/>
                <w:szCs w:val="24"/>
              </w:rPr>
            </w:pPr>
          </w:p>
        </w:tc>
        <w:tc>
          <w:tcPr>
            <w:tcW w:w="734" w:type="pct"/>
            <w:gridSpan w:val="2"/>
            <w:tcMar>
              <w:top w:w="17" w:type="dxa"/>
              <w:left w:w="17" w:type="dxa"/>
              <w:bottom w:w="0" w:type="dxa"/>
              <w:right w:w="17" w:type="dxa"/>
            </w:tcMar>
            <w:vAlign w:val="center"/>
          </w:tcPr>
          <w:p>
            <w:pPr>
              <w:pStyle w:val="73"/>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8" w:hRule="atLeast"/>
        </w:trPr>
        <w:tc>
          <w:tcPr>
            <w:tcW w:w="276" w:type="pct"/>
            <w:vAlign w:val="center"/>
          </w:tcPr>
          <w:p>
            <w:pPr>
              <w:pStyle w:val="73"/>
              <w:jc w:val="center"/>
              <w:rPr>
                <w:rFonts w:hint="eastAsia" w:ascii="宋体" w:hAnsi="宋体" w:eastAsia="宋体" w:cs="宋体"/>
                <w:sz w:val="24"/>
                <w:szCs w:val="24"/>
              </w:rPr>
            </w:pPr>
            <w:r>
              <w:rPr>
                <w:rFonts w:hint="eastAsia" w:ascii="宋体" w:hAnsi="宋体" w:eastAsia="宋体" w:cs="宋体"/>
                <w:sz w:val="24"/>
                <w:szCs w:val="24"/>
              </w:rPr>
              <w:t>6</w:t>
            </w:r>
          </w:p>
        </w:tc>
        <w:tc>
          <w:tcPr>
            <w:tcW w:w="923" w:type="pct"/>
            <w:vAlign w:val="center"/>
          </w:tcPr>
          <w:p>
            <w:pPr>
              <w:pStyle w:val="73"/>
              <w:jc w:val="center"/>
              <w:rPr>
                <w:rFonts w:hint="eastAsia" w:ascii="宋体" w:hAnsi="宋体" w:eastAsia="宋体" w:cs="宋体"/>
                <w:sz w:val="24"/>
                <w:szCs w:val="24"/>
              </w:rPr>
            </w:pPr>
            <w:r>
              <w:rPr>
                <w:rFonts w:hint="eastAsia" w:ascii="宋体" w:hAnsi="宋体" w:eastAsia="宋体" w:cs="宋体"/>
                <w:sz w:val="24"/>
                <w:szCs w:val="24"/>
              </w:rPr>
              <w:t>计量支付资料</w:t>
            </w:r>
          </w:p>
        </w:tc>
        <w:tc>
          <w:tcPr>
            <w:tcW w:w="2607" w:type="pct"/>
            <w:tcMar>
              <w:top w:w="17" w:type="dxa"/>
              <w:left w:w="17" w:type="dxa"/>
              <w:bottom w:w="0" w:type="dxa"/>
              <w:right w:w="17" w:type="dxa"/>
            </w:tcMar>
            <w:vAlign w:val="center"/>
          </w:tcPr>
          <w:p>
            <w:pPr>
              <w:pStyle w:val="73"/>
              <w:rPr>
                <w:rFonts w:hint="eastAsia" w:ascii="宋体" w:hAnsi="宋体" w:eastAsia="宋体" w:cs="宋体"/>
                <w:sz w:val="24"/>
                <w:szCs w:val="24"/>
              </w:rPr>
            </w:pPr>
            <w:r>
              <w:rPr>
                <w:rFonts w:hint="eastAsia" w:ascii="宋体" w:hAnsi="宋体" w:eastAsia="宋体" w:cs="宋体"/>
                <w:sz w:val="24"/>
                <w:szCs w:val="24"/>
              </w:rPr>
              <w:t>计量支付申请资料费用计算有错误的，发现</w:t>
            </w:r>
            <w:r>
              <w:rPr>
                <w:rFonts w:hint="eastAsia" w:ascii="宋体" w:hAnsi="宋体" w:eastAsia="宋体" w:cs="宋体"/>
                <w:b/>
                <w:bCs/>
                <w:sz w:val="24"/>
                <w:szCs w:val="24"/>
              </w:rPr>
              <w:t>一次扣5分</w:t>
            </w:r>
            <w:r>
              <w:rPr>
                <w:rFonts w:hint="eastAsia" w:ascii="宋体" w:hAnsi="宋体" w:eastAsia="宋体" w:cs="宋体"/>
                <w:sz w:val="24"/>
                <w:szCs w:val="24"/>
              </w:rPr>
              <w:t>，若存在恶意提供虚假计量支付费用资料的，</w:t>
            </w:r>
            <w:r>
              <w:rPr>
                <w:rFonts w:hint="eastAsia" w:ascii="宋体" w:hAnsi="宋体" w:eastAsia="宋体" w:cs="宋体"/>
                <w:b/>
                <w:bCs/>
                <w:sz w:val="24"/>
                <w:szCs w:val="24"/>
              </w:rPr>
              <w:t>直接评为不合格</w:t>
            </w:r>
            <w:r>
              <w:rPr>
                <w:rFonts w:hint="eastAsia" w:ascii="宋体" w:hAnsi="宋体" w:eastAsia="宋体" w:cs="宋体"/>
                <w:sz w:val="24"/>
                <w:szCs w:val="24"/>
              </w:rPr>
              <w:t>。</w:t>
            </w:r>
          </w:p>
        </w:tc>
        <w:tc>
          <w:tcPr>
            <w:tcW w:w="459" w:type="pct"/>
            <w:tcMar>
              <w:top w:w="17" w:type="dxa"/>
              <w:left w:w="17" w:type="dxa"/>
              <w:bottom w:w="0" w:type="dxa"/>
              <w:right w:w="17" w:type="dxa"/>
            </w:tcMar>
            <w:vAlign w:val="center"/>
          </w:tcPr>
          <w:p>
            <w:pPr>
              <w:pStyle w:val="73"/>
              <w:jc w:val="center"/>
              <w:rPr>
                <w:rFonts w:hint="eastAsia" w:ascii="宋体" w:hAnsi="宋体" w:eastAsia="宋体" w:cs="宋体"/>
                <w:sz w:val="24"/>
                <w:szCs w:val="24"/>
              </w:rPr>
            </w:pPr>
          </w:p>
        </w:tc>
        <w:tc>
          <w:tcPr>
            <w:tcW w:w="734" w:type="pct"/>
            <w:gridSpan w:val="2"/>
            <w:tcMar>
              <w:top w:w="17" w:type="dxa"/>
              <w:left w:w="17" w:type="dxa"/>
              <w:bottom w:w="0" w:type="dxa"/>
              <w:right w:w="17" w:type="dxa"/>
            </w:tcMar>
            <w:vAlign w:val="center"/>
          </w:tcPr>
          <w:p>
            <w:pPr>
              <w:pStyle w:val="73"/>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trPr>
        <w:tc>
          <w:tcPr>
            <w:tcW w:w="3806" w:type="pct"/>
            <w:gridSpan w:val="3"/>
            <w:vAlign w:val="center"/>
          </w:tcPr>
          <w:p>
            <w:pPr>
              <w:pStyle w:val="73"/>
              <w:jc w:val="center"/>
              <w:rPr>
                <w:rFonts w:hint="eastAsia" w:ascii="宋体" w:hAnsi="宋体" w:eastAsia="宋体" w:cs="宋体"/>
                <w:sz w:val="24"/>
                <w:szCs w:val="24"/>
              </w:rPr>
            </w:pPr>
            <w:r>
              <w:rPr>
                <w:rFonts w:hint="eastAsia" w:ascii="宋体" w:hAnsi="宋体" w:eastAsia="宋体" w:cs="宋体"/>
                <w:sz w:val="24"/>
                <w:szCs w:val="24"/>
              </w:rPr>
              <w:t>合计扣分</w:t>
            </w:r>
          </w:p>
        </w:tc>
        <w:tc>
          <w:tcPr>
            <w:tcW w:w="459" w:type="pct"/>
            <w:tcMar>
              <w:top w:w="17" w:type="dxa"/>
              <w:left w:w="17" w:type="dxa"/>
              <w:bottom w:w="0" w:type="dxa"/>
              <w:right w:w="17" w:type="dxa"/>
            </w:tcMar>
            <w:vAlign w:val="center"/>
          </w:tcPr>
          <w:p>
            <w:pPr>
              <w:pStyle w:val="73"/>
              <w:jc w:val="center"/>
              <w:rPr>
                <w:rFonts w:hint="eastAsia" w:ascii="宋体" w:hAnsi="宋体" w:eastAsia="宋体" w:cs="宋体"/>
                <w:sz w:val="24"/>
                <w:szCs w:val="24"/>
              </w:rPr>
            </w:pPr>
          </w:p>
        </w:tc>
        <w:tc>
          <w:tcPr>
            <w:tcW w:w="734" w:type="pct"/>
            <w:gridSpan w:val="2"/>
            <w:tcMar>
              <w:top w:w="17" w:type="dxa"/>
              <w:left w:w="17" w:type="dxa"/>
              <w:bottom w:w="0" w:type="dxa"/>
              <w:right w:w="17" w:type="dxa"/>
            </w:tcMar>
            <w:vAlign w:val="center"/>
          </w:tcPr>
          <w:p>
            <w:pPr>
              <w:pStyle w:val="73"/>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6" w:hRule="atLeast"/>
        </w:trPr>
        <w:tc>
          <w:tcPr>
            <w:tcW w:w="3806" w:type="pct"/>
            <w:gridSpan w:val="3"/>
            <w:vAlign w:val="center"/>
          </w:tcPr>
          <w:p>
            <w:pPr>
              <w:pStyle w:val="73"/>
              <w:jc w:val="center"/>
              <w:rPr>
                <w:rFonts w:hint="eastAsia" w:ascii="宋体" w:hAnsi="宋体" w:eastAsia="宋体" w:cs="宋体"/>
                <w:sz w:val="24"/>
                <w:szCs w:val="24"/>
              </w:rPr>
            </w:pPr>
            <w:r>
              <w:rPr>
                <w:rFonts w:hint="eastAsia" w:ascii="宋体" w:hAnsi="宋体" w:eastAsia="宋体" w:cs="宋体"/>
                <w:sz w:val="24"/>
                <w:szCs w:val="24"/>
              </w:rPr>
              <w:t>得分</w:t>
            </w:r>
          </w:p>
        </w:tc>
        <w:tc>
          <w:tcPr>
            <w:tcW w:w="459" w:type="pct"/>
            <w:tcMar>
              <w:top w:w="17" w:type="dxa"/>
              <w:left w:w="17" w:type="dxa"/>
              <w:bottom w:w="0" w:type="dxa"/>
              <w:right w:w="17" w:type="dxa"/>
            </w:tcMar>
            <w:vAlign w:val="center"/>
          </w:tcPr>
          <w:p>
            <w:pPr>
              <w:pStyle w:val="73"/>
              <w:jc w:val="center"/>
              <w:rPr>
                <w:rFonts w:hint="eastAsia" w:ascii="宋体" w:hAnsi="宋体" w:eastAsia="宋体" w:cs="宋体"/>
                <w:sz w:val="24"/>
                <w:szCs w:val="24"/>
              </w:rPr>
            </w:pPr>
          </w:p>
        </w:tc>
        <w:tc>
          <w:tcPr>
            <w:tcW w:w="734" w:type="pct"/>
            <w:gridSpan w:val="2"/>
            <w:tcMar>
              <w:top w:w="17" w:type="dxa"/>
              <w:left w:w="17" w:type="dxa"/>
              <w:bottom w:w="0" w:type="dxa"/>
              <w:right w:w="17" w:type="dxa"/>
            </w:tcMar>
            <w:vAlign w:val="center"/>
          </w:tcPr>
          <w:p>
            <w:pPr>
              <w:pStyle w:val="73"/>
              <w:jc w:val="center"/>
              <w:rPr>
                <w:rFonts w:hint="eastAsia" w:ascii="宋体" w:hAnsi="宋体" w:eastAsia="宋体" w:cs="宋体"/>
                <w:sz w:val="24"/>
                <w:szCs w:val="24"/>
              </w:rPr>
            </w:pPr>
          </w:p>
        </w:tc>
      </w:tr>
    </w:tbl>
    <w:p>
      <w:pPr>
        <w:spacing w:line="440" w:lineRule="exact"/>
        <w:ind w:firstLine="480" w:firstLineChars="200"/>
        <w:rPr>
          <w:rFonts w:hint="eastAsia"/>
        </w:rPr>
      </w:pPr>
      <w:r>
        <w:rPr>
          <w:rFonts w:hint="eastAsia"/>
        </w:rPr>
        <w:br w:type="page"/>
      </w:r>
    </w:p>
    <w:bookmarkEnd w:id="965"/>
    <w:bookmarkEnd w:id="966"/>
    <w:bookmarkEnd w:id="967"/>
    <w:p>
      <w:pPr>
        <w:pStyle w:val="46"/>
        <w:numPr>
          <w:ilvl w:val="0"/>
          <w:numId w:val="12"/>
        </w:numPr>
        <w:bidi w:val="0"/>
        <w:rPr>
          <w:rFonts w:hint="eastAsia"/>
        </w:rPr>
      </w:pPr>
      <w:bookmarkStart w:id="997" w:name="_Toc10570"/>
      <w:bookmarkStart w:id="998" w:name="_Toc32447"/>
      <w:bookmarkStart w:id="999" w:name="_Toc2822"/>
      <w:bookmarkStart w:id="1000" w:name="_Toc307501154"/>
      <w:bookmarkStart w:id="1001" w:name="_Toc183682415"/>
      <w:bookmarkStart w:id="1002" w:name="_Toc183582280"/>
      <w:bookmarkStart w:id="1003" w:name="_Toc217446097"/>
      <w:bookmarkStart w:id="1004" w:name="_Toc11039"/>
      <w:bookmarkStart w:id="1005" w:name="_Toc309897563"/>
      <w:bookmarkStart w:id="1006" w:name="_Toc1543"/>
      <w:bookmarkStart w:id="1007" w:name="_Toc483"/>
      <w:bookmarkStart w:id="1008" w:name="_Toc319439946"/>
      <w:bookmarkStart w:id="1009" w:name="_Toc26923"/>
      <w:bookmarkStart w:id="1010" w:name="_Toc319440188"/>
      <w:bookmarkStart w:id="1011" w:name="_Toc307564896"/>
      <w:bookmarkStart w:id="1012" w:name="_Toc25435"/>
      <w:bookmarkStart w:id="1013" w:name="_Toc21302"/>
      <w:bookmarkStart w:id="1014" w:name="_Toc2232"/>
      <w:bookmarkStart w:id="1015" w:name="_Toc4553"/>
      <w:bookmarkStart w:id="1016" w:name="_Toc308188198"/>
      <w:bookmarkStart w:id="1017" w:name="_Toc327196339"/>
      <w:bookmarkStart w:id="1018" w:name="_Toc208849007"/>
      <w:bookmarkStart w:id="1019" w:name="_Toc25959"/>
      <w:bookmarkStart w:id="1020" w:name="_Toc308084645"/>
      <w:bookmarkStart w:id="1021" w:name="_Toc3881"/>
      <w:r>
        <w:rPr>
          <w:rFonts w:hint="eastAsia"/>
        </w:rPr>
        <w:t>评标办法</w:t>
      </w:r>
      <w:bookmarkEnd w:id="997"/>
      <w:bookmarkEnd w:id="998"/>
      <w:bookmarkEnd w:id="999"/>
      <w:bookmarkStart w:id="1022" w:name="_Hlt101846155"/>
      <w:bookmarkEnd w:id="1022"/>
    </w:p>
    <w:p>
      <w:pPr>
        <w:pStyle w:val="32"/>
        <w:numPr>
          <w:ilvl w:val="1"/>
          <w:numId w:val="12"/>
        </w:numPr>
        <w:bidi w:val="0"/>
        <w:rPr>
          <w:rFonts w:hint="eastAsia"/>
        </w:rPr>
      </w:pPr>
      <w:bookmarkStart w:id="1023" w:name="_Toc3221"/>
      <w:bookmarkStart w:id="1024" w:name="_Toc16563"/>
      <w:r>
        <w:rPr>
          <w:rFonts w:hint="eastAsia"/>
        </w:rPr>
        <w:t>总则</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3"/>
      <w:bookmarkEnd w:id="1024"/>
    </w:p>
    <w:p>
      <w:pPr>
        <w:pStyle w:val="30"/>
        <w:numPr>
          <w:ilvl w:val="1"/>
          <w:numId w:val="30"/>
        </w:numPr>
        <w:bidi w:val="0"/>
        <w:rPr>
          <w:rFonts w:hint="eastAsia"/>
        </w:rPr>
      </w:pPr>
      <w:r>
        <w:rPr>
          <w:rFonts w:hint="eastAsia"/>
        </w:rPr>
        <w:t>根据《中华人民共和国政府采购法》、《中华人民共和国政府采购法实施条例》和《政府采购货物和服务招标投标管理办法》</w:t>
      </w:r>
      <w:r>
        <w:rPr>
          <w:rFonts w:hint="eastAsia"/>
          <w:lang w:eastAsia="zh-CN"/>
        </w:rPr>
        <w:t>(</w:t>
      </w:r>
      <w:r>
        <w:rPr>
          <w:rFonts w:hint="eastAsia"/>
        </w:rPr>
        <w:t>财政部令第</w:t>
      </w:r>
      <w:r>
        <w:rPr>
          <w:rFonts w:hint="eastAsia"/>
          <w:lang w:val="en-US" w:eastAsia="zh-CN"/>
        </w:rPr>
        <w:t>87</w:t>
      </w:r>
      <w:r>
        <w:rPr>
          <w:rFonts w:hint="eastAsia"/>
        </w:rPr>
        <w:t>号</w:t>
      </w:r>
      <w:r>
        <w:rPr>
          <w:rFonts w:hint="eastAsia"/>
          <w:lang w:eastAsia="zh-CN"/>
        </w:rPr>
        <w:t>)</w:t>
      </w:r>
      <w:r>
        <w:rPr>
          <w:rFonts w:hint="eastAsia"/>
        </w:rPr>
        <w:t>等法律规章，结合采购项目特点制定本评标办法。</w:t>
      </w:r>
    </w:p>
    <w:p>
      <w:pPr>
        <w:pStyle w:val="30"/>
        <w:numPr>
          <w:ilvl w:val="1"/>
          <w:numId w:val="30"/>
        </w:numPr>
        <w:bidi w:val="0"/>
        <w:rPr>
          <w:rFonts w:hint="eastAsia"/>
        </w:rPr>
      </w:pPr>
      <w:r>
        <w:rPr>
          <w:rFonts w:hint="eastAsia"/>
        </w:rPr>
        <w:t>评标工作由采购代理机构负责组织，具体评标事务由采购代理机构依法组建的评标委员会负责。评标委员会由采购人代表和有关技术、经济等方面的专家组成。</w:t>
      </w:r>
    </w:p>
    <w:p>
      <w:pPr>
        <w:pStyle w:val="30"/>
        <w:numPr>
          <w:ilvl w:val="1"/>
          <w:numId w:val="30"/>
        </w:numPr>
        <w:bidi w:val="0"/>
        <w:rPr>
          <w:rFonts w:hint="eastAsia"/>
        </w:rPr>
      </w:pPr>
      <w:r>
        <w:rPr>
          <w:rFonts w:hint="eastAsia"/>
        </w:rPr>
        <w:t>评标工作应遵循公平、公正、科学及择优的原则，并以相同的评标程序和标准对待所有的投标人。</w:t>
      </w:r>
    </w:p>
    <w:p>
      <w:pPr>
        <w:pStyle w:val="30"/>
        <w:numPr>
          <w:ilvl w:val="1"/>
          <w:numId w:val="30"/>
        </w:numPr>
        <w:bidi w:val="0"/>
        <w:rPr>
          <w:rFonts w:hint="eastAsia"/>
        </w:rPr>
      </w:pPr>
      <w:r>
        <w:rPr>
          <w:rFonts w:hint="eastAsia"/>
        </w:rPr>
        <w:t>评标委员会按照招标文件规定的评标方法和标准进行评标，并独立履行下列职责：</w:t>
      </w:r>
    </w:p>
    <w:p>
      <w:pPr>
        <w:pStyle w:val="33"/>
        <w:bidi w:val="0"/>
        <w:rPr>
          <w:rFonts w:hint="eastAsia"/>
        </w:rPr>
      </w:pPr>
      <w:bookmarkStart w:id="1025" w:name="_Toc217446098"/>
      <w:r>
        <w:rPr>
          <w:rFonts w:hint="eastAsia"/>
        </w:rPr>
        <w:t>审查、评价投标文件是否符合招标文件的商务、技术等实质性要求；</w:t>
      </w:r>
    </w:p>
    <w:p>
      <w:pPr>
        <w:pStyle w:val="33"/>
        <w:bidi w:val="0"/>
        <w:rPr>
          <w:rFonts w:hint="eastAsia"/>
        </w:rPr>
      </w:pPr>
      <w:r>
        <w:rPr>
          <w:rFonts w:hint="eastAsia"/>
        </w:rPr>
        <w:t>要求投标人对投标文件有关事项作出澄清或者说明；</w:t>
      </w:r>
    </w:p>
    <w:p>
      <w:pPr>
        <w:pStyle w:val="33"/>
        <w:bidi w:val="0"/>
        <w:rPr>
          <w:rFonts w:hint="eastAsia"/>
        </w:rPr>
      </w:pPr>
      <w:r>
        <w:rPr>
          <w:rFonts w:hint="eastAsia"/>
        </w:rPr>
        <w:t>对投标文件进行比较和评价；</w:t>
      </w:r>
    </w:p>
    <w:p>
      <w:pPr>
        <w:pStyle w:val="33"/>
        <w:bidi w:val="0"/>
        <w:rPr>
          <w:rFonts w:hint="eastAsia"/>
        </w:rPr>
      </w:pPr>
      <w:r>
        <w:rPr>
          <w:rFonts w:hint="eastAsia"/>
        </w:rPr>
        <w:t>确定中标候选人名单；</w:t>
      </w:r>
    </w:p>
    <w:p>
      <w:pPr>
        <w:pStyle w:val="33"/>
        <w:bidi w:val="0"/>
        <w:rPr>
          <w:rFonts w:hint="eastAsia"/>
        </w:rPr>
      </w:pPr>
      <w:r>
        <w:rPr>
          <w:rFonts w:hint="eastAsia"/>
        </w:rPr>
        <w:t>向采购人、采购代理机构或者有关部门报告评标中发现的违法行为。</w:t>
      </w:r>
    </w:p>
    <w:p>
      <w:pPr>
        <w:pStyle w:val="30"/>
        <w:bidi w:val="0"/>
        <w:rPr>
          <w:rFonts w:hint="eastAsia"/>
        </w:rPr>
      </w:pPr>
      <w:r>
        <w:rPr>
          <w:rFonts w:hint="eastAsia"/>
        </w:rPr>
        <w:t>评标过程独立、保密。投标人非法干预评标过程的行为将导致其投标文件作为无效处理。</w:t>
      </w:r>
    </w:p>
    <w:p>
      <w:pPr>
        <w:pStyle w:val="30"/>
        <w:bidi w:val="0"/>
        <w:rPr>
          <w:rFonts w:hint="eastAsia"/>
        </w:rPr>
      </w:pPr>
      <w:r>
        <w:rPr>
          <w:rFonts w:hint="eastAsia"/>
        </w:rPr>
        <w:t>评标委员会评价投标文件的响应性，对于投标人而言，除评标委员会要求其澄清、说明或者纠正而提供的资料外，仅依据投标文件本身的内容，不寻求其他外部证据。</w:t>
      </w:r>
    </w:p>
    <w:p>
      <w:pPr>
        <w:pStyle w:val="30"/>
        <w:bidi w:val="0"/>
        <w:rPr>
          <w:rFonts w:hint="eastAsia"/>
        </w:rPr>
      </w:pPr>
      <w:r>
        <w:rPr>
          <w:rFonts w:hint="eastAsia"/>
        </w:rPr>
        <w:t>评委会发现招标文件表述不明确或需要说明的事项，可提请招标采购单位书面解释说明。发现招标文件违反有关法律、法规和规章的，可以拒绝评标，并向招标采购单位书面说明情况</w:t>
      </w:r>
      <w:r>
        <w:rPr>
          <w:rFonts w:hint="eastAsia"/>
          <w:lang w:eastAsia="zh-CN"/>
        </w:rPr>
        <w:t>(</w:t>
      </w:r>
      <w:r>
        <w:rPr>
          <w:rFonts w:hint="eastAsia"/>
          <w:lang w:val="en-US" w:eastAsia="zh-CN"/>
        </w:rPr>
        <w:t>注明法律法规依据)</w:t>
      </w:r>
      <w:r>
        <w:rPr>
          <w:rFonts w:hint="eastAsia"/>
        </w:rPr>
        <w:t>。</w:t>
      </w:r>
    </w:p>
    <w:p>
      <w:pPr>
        <w:pStyle w:val="32"/>
        <w:numPr>
          <w:ilvl w:val="1"/>
          <w:numId w:val="12"/>
        </w:numPr>
        <w:bidi w:val="0"/>
        <w:rPr>
          <w:rFonts w:hint="eastAsia"/>
        </w:rPr>
      </w:pPr>
      <w:bookmarkStart w:id="1026" w:name="_Toc5152"/>
      <w:bookmarkStart w:id="1027" w:name="_Toc319440189"/>
      <w:bookmarkStart w:id="1028" w:name="_Toc12975"/>
      <w:bookmarkStart w:id="1029" w:name="_Toc8496"/>
      <w:bookmarkStart w:id="1030" w:name="_Toc14100"/>
      <w:bookmarkStart w:id="1031" w:name="_Toc5338"/>
      <w:bookmarkStart w:id="1032" w:name="_Toc23669"/>
      <w:bookmarkStart w:id="1033" w:name="_Toc3371"/>
      <w:bookmarkStart w:id="1034" w:name="_Toc7384"/>
      <w:bookmarkStart w:id="1035" w:name="_Toc327196340"/>
      <w:bookmarkStart w:id="1036" w:name="_Toc26792"/>
      <w:bookmarkStart w:id="1037" w:name="_Toc3915"/>
      <w:bookmarkStart w:id="1038" w:name="_Toc25612"/>
      <w:bookmarkStart w:id="1039" w:name="_Toc10398"/>
      <w:r>
        <w:rPr>
          <w:rFonts w:hint="eastAsia"/>
        </w:rPr>
        <w:t>评标方法</w:t>
      </w:r>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p>
    <w:p>
      <w:pPr>
        <w:pStyle w:val="44"/>
        <w:bidi w:val="0"/>
        <w:rPr>
          <w:rFonts w:hint="eastAsia"/>
        </w:rPr>
      </w:pPr>
      <w:r>
        <w:rPr>
          <w:rFonts w:hint="eastAsia"/>
        </w:rPr>
        <w:t>本项目评标方法为：综合评分法。</w:t>
      </w:r>
    </w:p>
    <w:p>
      <w:pPr>
        <w:pStyle w:val="32"/>
        <w:numPr>
          <w:ilvl w:val="1"/>
          <w:numId w:val="12"/>
        </w:numPr>
        <w:bidi w:val="0"/>
        <w:rPr>
          <w:rFonts w:hint="eastAsia"/>
        </w:rPr>
      </w:pPr>
      <w:bookmarkStart w:id="1040" w:name="_Toc27103"/>
      <w:bookmarkStart w:id="1041" w:name="_Toc31119"/>
      <w:bookmarkStart w:id="1042" w:name="_Toc25965"/>
      <w:bookmarkStart w:id="1043" w:name="_Toc7390"/>
      <w:bookmarkStart w:id="1044" w:name="_Toc5897"/>
      <w:bookmarkStart w:id="1045" w:name="_Toc5906"/>
      <w:bookmarkStart w:id="1046" w:name="_Toc17613"/>
      <w:bookmarkStart w:id="1047" w:name="_Toc9969"/>
      <w:bookmarkStart w:id="1048" w:name="_Toc23322"/>
      <w:bookmarkStart w:id="1049" w:name="_Toc17374"/>
      <w:bookmarkStart w:id="1050" w:name="_Toc319440190"/>
      <w:bookmarkStart w:id="1051" w:name="_Toc327196341"/>
      <w:bookmarkStart w:id="1052" w:name="_Toc12883"/>
      <w:bookmarkStart w:id="1053" w:name="_Toc19196"/>
      <w:r>
        <w:rPr>
          <w:rFonts w:hint="eastAsia"/>
        </w:rPr>
        <w:t>评标程序</w:t>
      </w:r>
      <w:bookmarkEnd w:id="1025"/>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pPr>
        <w:pStyle w:val="30"/>
        <w:numPr>
          <w:ilvl w:val="1"/>
          <w:numId w:val="31"/>
        </w:numPr>
        <w:bidi w:val="0"/>
        <w:rPr>
          <w:rFonts w:hint="eastAsia"/>
        </w:rPr>
      </w:pPr>
      <w:r>
        <w:rPr>
          <w:rFonts w:hint="eastAsia"/>
          <w:lang w:val="en-US" w:eastAsia="zh-CN"/>
        </w:rPr>
        <w:t>熟悉</w:t>
      </w:r>
      <w:r>
        <w:rPr>
          <w:rFonts w:hint="eastAsia"/>
        </w:rPr>
        <w:t>招标文件和停止评标</w:t>
      </w:r>
    </w:p>
    <w:p>
      <w:pPr>
        <w:pStyle w:val="33"/>
        <w:bidi w:val="0"/>
        <w:rPr>
          <w:rFonts w:hint="eastAsia"/>
        </w:rPr>
      </w:pPr>
      <w:r>
        <w:rPr>
          <w:rFonts w:hint="eastAsia"/>
        </w:rPr>
        <w:t>评标委员会正式评标前，应当</w:t>
      </w:r>
      <w:r>
        <w:rPr>
          <w:rFonts w:hint="eastAsia"/>
          <w:lang w:val="en-US" w:eastAsia="zh-CN"/>
        </w:rPr>
        <w:t>熟悉招标文件</w:t>
      </w:r>
      <w:r>
        <w:rPr>
          <w:rFonts w:hint="eastAsia"/>
        </w:rPr>
        <w:t>，主要包括招标文件中</w:t>
      </w:r>
      <w:r>
        <w:rPr>
          <w:rFonts w:hint="eastAsia"/>
          <w:lang w:val="en-US" w:eastAsia="zh-CN"/>
        </w:rPr>
        <w:t>符合性审查内容</w:t>
      </w:r>
      <w:r>
        <w:rPr>
          <w:rFonts w:hint="eastAsia"/>
        </w:rPr>
        <w:t>、采购项目技术、服务和商务要求、评标方法和标准以及政府采购合同主要条款等。</w:t>
      </w:r>
    </w:p>
    <w:p>
      <w:pPr>
        <w:pStyle w:val="33"/>
        <w:bidi w:val="0"/>
        <w:rPr>
          <w:rFonts w:hint="eastAsia"/>
        </w:rPr>
      </w:pPr>
      <w:r>
        <w:rPr>
          <w:rFonts w:hint="eastAsia"/>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r>
        <w:rPr>
          <w:rFonts w:hint="eastAsia"/>
          <w:lang w:eastAsia="zh-CN"/>
        </w:rPr>
        <w:t>。</w:t>
      </w:r>
    </w:p>
    <w:p>
      <w:pPr>
        <w:pStyle w:val="33"/>
        <w:bidi w:val="0"/>
        <w:rPr>
          <w:rFonts w:hint="eastAsia"/>
        </w:rPr>
      </w:pPr>
      <w:r>
        <w:rPr>
          <w:rFonts w:hint="eastAsia"/>
        </w:rPr>
        <w:t>评标过程中有下列情形之一的，评标委员会成员可以停止评标：</w:t>
      </w:r>
    </w:p>
    <w:p>
      <w:pPr>
        <w:pStyle w:val="34"/>
        <w:bidi w:val="0"/>
        <w:rPr>
          <w:rFonts w:hint="eastAsia"/>
        </w:rPr>
      </w:pPr>
      <w:r>
        <w:rPr>
          <w:rFonts w:hint="eastAsia"/>
        </w:rPr>
        <w:t>招标采购单位未提供必要的与采购项目有关的政策制度文件或者</w:t>
      </w:r>
      <w:r>
        <w:rPr>
          <w:rFonts w:hint="eastAsia"/>
          <w:lang w:val="en-US" w:eastAsia="zh-CN"/>
        </w:rPr>
        <w:t>招标</w:t>
      </w:r>
      <w:r>
        <w:rPr>
          <w:rFonts w:hint="eastAsia"/>
        </w:rPr>
        <w:t>文件，继续评标将导致违法或者错误评标的；</w:t>
      </w:r>
    </w:p>
    <w:p>
      <w:pPr>
        <w:pStyle w:val="34"/>
        <w:bidi w:val="0"/>
        <w:rPr>
          <w:rFonts w:hint="eastAsia"/>
        </w:rPr>
      </w:pPr>
      <w:r>
        <w:rPr>
          <w:rFonts w:hint="eastAsia"/>
        </w:rPr>
        <w:t>有关单位和个人非法干预评标委员会依法独立评标的；</w:t>
      </w:r>
    </w:p>
    <w:p>
      <w:pPr>
        <w:pStyle w:val="34"/>
        <w:bidi w:val="0"/>
        <w:rPr>
          <w:rFonts w:hint="eastAsia"/>
        </w:rPr>
      </w:pPr>
      <w:r>
        <w:rPr>
          <w:rFonts w:hint="eastAsia"/>
        </w:rPr>
        <w:t>其他导致评标委员会无法正常履职的情形。</w:t>
      </w:r>
    </w:p>
    <w:p>
      <w:pPr>
        <w:pStyle w:val="33"/>
        <w:bidi w:val="0"/>
        <w:rPr>
          <w:rFonts w:hint="eastAsia"/>
        </w:rPr>
      </w:pPr>
      <w:r>
        <w:rPr>
          <w:rFonts w:hint="eastAsia"/>
        </w:rPr>
        <w:t>出现本条规定应当停止评标或者可以停止评标情形的，评标委员会成员应当向招标采购单位书面说明情况。除本条规定的情形外，评标委员会成员不得以任何方式和理由停止评标。</w:t>
      </w:r>
    </w:p>
    <w:p>
      <w:pPr>
        <w:pStyle w:val="30"/>
        <w:bidi w:val="0"/>
        <w:rPr>
          <w:rFonts w:hint="eastAsia"/>
          <w:lang w:val="en-US" w:eastAsia="zh-CN"/>
        </w:rPr>
      </w:pPr>
      <w:r>
        <w:rPr>
          <w:rFonts w:hint="eastAsia"/>
          <w:lang w:val="en-US" w:eastAsia="zh-CN"/>
        </w:rPr>
        <w:t>符合性审查</w:t>
      </w:r>
    </w:p>
    <w:p>
      <w:pPr>
        <w:pStyle w:val="44"/>
        <w:bidi w:val="0"/>
        <w:rPr>
          <w:rFonts w:hint="eastAsia"/>
        </w:rPr>
      </w:pPr>
      <w:r>
        <w:rPr>
          <w:rFonts w:hint="eastAsia"/>
        </w:rPr>
        <w:t>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pStyle w:val="33"/>
        <w:bidi w:val="0"/>
        <w:rPr>
          <w:rFonts w:hint="eastAsia"/>
        </w:rPr>
      </w:pPr>
      <w:r>
        <w:rPr>
          <w:rFonts w:hint="eastAsia"/>
        </w:rPr>
        <w:t>除政府采购法律制度规定的情形外，本项目投标人或者其投标文件有下列情形之一的，作为无效投标处理：</w:t>
      </w:r>
    </w:p>
    <w:p>
      <w:pPr>
        <w:pStyle w:val="34"/>
        <w:bidi w:val="0"/>
        <w:rPr>
          <w:rFonts w:hint="eastAsia"/>
        </w:rPr>
      </w:pPr>
      <w:r>
        <w:rPr>
          <w:rFonts w:hint="eastAsia"/>
          <w:lang w:val="en-US" w:eastAsia="zh-CN"/>
        </w:rPr>
        <w:t>未</w:t>
      </w:r>
      <w:r>
        <w:rPr>
          <w:rFonts w:hint="eastAsia"/>
        </w:rPr>
        <w:t>按照招标文件的规定和要求编制投标文件</w:t>
      </w:r>
      <w:r>
        <w:rPr>
          <w:rFonts w:hint="eastAsia"/>
          <w:lang w:val="en-US" w:eastAsia="zh-CN"/>
        </w:rPr>
        <w:t>的</w:t>
      </w:r>
      <w:r>
        <w:rPr>
          <w:rFonts w:hint="eastAsia"/>
        </w:rPr>
        <w:t>；</w:t>
      </w:r>
    </w:p>
    <w:p>
      <w:pPr>
        <w:pStyle w:val="34"/>
        <w:bidi w:val="0"/>
        <w:rPr>
          <w:rFonts w:hint="eastAsia"/>
        </w:rPr>
      </w:pPr>
      <w:r>
        <w:rPr>
          <w:rFonts w:hint="eastAsia"/>
        </w:rPr>
        <w:t>投标文件组成明显不符合招标文件的规定要求，影响评标委员会评判的；</w:t>
      </w:r>
    </w:p>
    <w:p>
      <w:pPr>
        <w:pStyle w:val="34"/>
        <w:bidi w:val="0"/>
        <w:rPr>
          <w:rFonts w:hint="eastAsia"/>
        </w:rPr>
      </w:pPr>
      <w:r>
        <w:rPr>
          <w:rFonts w:hint="eastAsia"/>
        </w:rPr>
        <w:t>投标文件的格式、语言、计量单位、报价货币、知识产权、投标有效期等不符合招标文件的规定，影响评标委员会评判的；</w:t>
      </w:r>
    </w:p>
    <w:p>
      <w:pPr>
        <w:pStyle w:val="34"/>
        <w:bidi w:val="0"/>
        <w:rPr>
          <w:rFonts w:hint="eastAsia"/>
        </w:rPr>
      </w:pPr>
      <w:r>
        <w:rPr>
          <w:rFonts w:hint="eastAsia"/>
        </w:rPr>
        <w:t>投标报价不符合招标文件规定的价格标底和其他报价规定的；</w:t>
      </w:r>
    </w:p>
    <w:p>
      <w:pPr>
        <w:pStyle w:val="34"/>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rPr>
      </w:pPr>
      <w:r>
        <w:rPr>
          <w:rFonts w:hint="eastAsia"/>
        </w:rPr>
        <w:t>技术、服务应答内容没有完全响应招标文件的实质性要求的；</w:t>
      </w:r>
    </w:p>
    <w:p>
      <w:pPr>
        <w:pStyle w:val="34"/>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rPr>
      </w:pPr>
      <w:r>
        <w:rPr>
          <w:rFonts w:hint="eastAsia"/>
        </w:rPr>
        <w:t>招标文件有明确要求，但投标文件未载明或者载明的采购项目</w:t>
      </w:r>
      <w:r>
        <w:rPr>
          <w:rFonts w:hint="eastAsia"/>
          <w:lang w:eastAsia="zh-CN"/>
        </w:rPr>
        <w:t>服务期限</w:t>
      </w:r>
      <w:r>
        <w:rPr>
          <w:rFonts w:hint="eastAsia"/>
        </w:rPr>
        <w:t>、方式、数量与招标文件要求不一致的</w:t>
      </w:r>
      <w:r>
        <w:rPr>
          <w:rFonts w:hint="eastAsia"/>
          <w:lang w:eastAsia="zh-CN"/>
        </w:rPr>
        <w:t>；</w:t>
      </w:r>
    </w:p>
    <w:p>
      <w:pPr>
        <w:pStyle w:val="34"/>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rPr>
      </w:pPr>
      <w:r>
        <w:rPr>
          <w:rFonts w:hint="eastAsia"/>
        </w:rPr>
        <w:t>投标文件含有采购人不能接受的附加条件的</w:t>
      </w:r>
      <w:r>
        <w:rPr>
          <w:rFonts w:hint="eastAsia"/>
          <w:lang w:eastAsia="zh-CN"/>
        </w:rPr>
        <w:t>。</w:t>
      </w:r>
    </w:p>
    <w:p>
      <w:pPr>
        <w:keepNext w:val="0"/>
        <w:keepLines w:val="0"/>
        <w:pageBreakBefore w:val="0"/>
        <w:widowControl w:val="0"/>
        <w:tabs>
          <w:tab w:val="left" w:pos="851"/>
          <w:tab w:val="clear" w:pos="0"/>
        </w:tabs>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注：</w:t>
      </w:r>
      <w:r>
        <w:rPr>
          <w:rFonts w:hint="eastAsia" w:cstheme="minorBidi"/>
          <w:kern w:val="2"/>
          <w:sz w:val="24"/>
          <w:szCs w:val="24"/>
          <w:lang w:val="en-US" w:eastAsia="zh-CN" w:bidi="ar-SA"/>
        </w:rPr>
        <w:t>①</w:t>
      </w:r>
      <w:r>
        <w:rPr>
          <w:rFonts w:hint="eastAsia" w:ascii="宋体" w:hAnsi="宋体" w:eastAsia="宋体" w:cstheme="minorBidi"/>
          <w:kern w:val="2"/>
          <w:sz w:val="24"/>
          <w:szCs w:val="24"/>
          <w:lang w:val="en-US" w:eastAsia="zh-CN" w:bidi="ar-SA"/>
        </w:rPr>
        <w:t>投标人的投标文件应全部通过上述</w:t>
      </w:r>
      <w:r>
        <w:rPr>
          <w:rFonts w:hint="eastAsia" w:cstheme="minorBidi"/>
          <w:kern w:val="2"/>
          <w:sz w:val="24"/>
          <w:szCs w:val="24"/>
          <w:lang w:val="en-US" w:eastAsia="zh-CN" w:bidi="ar-SA"/>
        </w:rPr>
        <w:t>符合性审查内容</w:t>
      </w:r>
      <w:r>
        <w:rPr>
          <w:rFonts w:hint="eastAsia" w:ascii="宋体" w:hAnsi="宋体" w:eastAsia="宋体" w:cstheme="minorBidi"/>
          <w:kern w:val="2"/>
          <w:sz w:val="24"/>
          <w:szCs w:val="24"/>
          <w:lang w:val="en-US" w:eastAsia="zh-CN" w:bidi="ar-SA"/>
        </w:rPr>
        <w:t>；如有任意一项未通过的，应在符合性审查报告中载明</w:t>
      </w:r>
      <w:r>
        <w:rPr>
          <w:rFonts w:hint="eastAsia" w:cstheme="minorBidi"/>
          <w:kern w:val="2"/>
          <w:sz w:val="24"/>
          <w:szCs w:val="24"/>
          <w:lang w:val="en-US" w:eastAsia="zh-CN" w:bidi="ar-SA"/>
        </w:rPr>
        <w:t>未</w:t>
      </w:r>
      <w:r>
        <w:rPr>
          <w:rFonts w:hint="eastAsia" w:ascii="宋体" w:hAnsi="宋体" w:eastAsia="宋体" w:cstheme="minorBidi"/>
          <w:kern w:val="2"/>
          <w:sz w:val="24"/>
          <w:szCs w:val="24"/>
          <w:lang w:val="en-US" w:eastAsia="zh-CN" w:bidi="ar-SA"/>
        </w:rPr>
        <w:t>通过的具体原因，</w:t>
      </w:r>
      <w:r>
        <w:rPr>
          <w:rFonts w:hint="eastAsia" w:cstheme="minorBidi"/>
          <w:kern w:val="2"/>
          <w:sz w:val="24"/>
          <w:szCs w:val="24"/>
          <w:lang w:val="en-US" w:eastAsia="zh-CN" w:bidi="ar-SA"/>
        </w:rPr>
        <w:t>该</w:t>
      </w:r>
      <w:r>
        <w:rPr>
          <w:rFonts w:hint="eastAsia" w:ascii="宋体" w:hAnsi="宋体" w:eastAsia="宋体" w:cstheme="minorBidi"/>
          <w:kern w:val="2"/>
          <w:sz w:val="24"/>
          <w:szCs w:val="24"/>
          <w:lang w:val="en-US" w:eastAsia="zh-CN" w:bidi="ar-SA"/>
        </w:rPr>
        <w:t>投标人的投标文件按无效投标文件处理。</w:t>
      </w:r>
    </w:p>
    <w:p>
      <w:pPr>
        <w:keepNext w:val="0"/>
        <w:keepLines w:val="0"/>
        <w:pageBreakBefore w:val="0"/>
        <w:widowControl w:val="0"/>
        <w:tabs>
          <w:tab w:val="left" w:pos="851"/>
          <w:tab w:val="clear" w:pos="0"/>
        </w:tabs>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heme="minorBidi"/>
          <w:kern w:val="2"/>
          <w:sz w:val="24"/>
          <w:szCs w:val="24"/>
          <w:lang w:val="en-US" w:eastAsia="zh-CN" w:bidi="ar-SA"/>
        </w:rPr>
      </w:pPr>
      <w:r>
        <w:rPr>
          <w:rFonts w:hint="eastAsia" w:cstheme="minorBidi"/>
          <w:kern w:val="2"/>
          <w:sz w:val="24"/>
          <w:szCs w:val="24"/>
          <w:lang w:val="en-US" w:eastAsia="zh-CN" w:bidi="ar-SA"/>
        </w:rPr>
        <w:t>②</w:t>
      </w:r>
      <w:r>
        <w:rPr>
          <w:rFonts w:hint="eastAsia" w:ascii="宋体" w:hAnsi="宋体" w:eastAsia="宋体" w:cstheme="minorBidi"/>
          <w:kern w:val="2"/>
          <w:sz w:val="24"/>
          <w:szCs w:val="24"/>
          <w:lang w:val="en-US" w:eastAsia="zh-CN" w:bidi="ar-SA"/>
        </w:rPr>
        <w:t>投标人的投标文件符合性审查时被判定为</w:t>
      </w:r>
      <w:r>
        <w:rPr>
          <w:rFonts w:hint="eastAsia" w:cstheme="minorBidi"/>
          <w:kern w:val="2"/>
          <w:sz w:val="24"/>
          <w:szCs w:val="24"/>
          <w:lang w:val="en-US" w:eastAsia="zh-CN" w:bidi="ar-SA"/>
        </w:rPr>
        <w:t>未通过</w:t>
      </w:r>
      <w:r>
        <w:rPr>
          <w:rFonts w:hint="eastAsia" w:ascii="宋体" w:hAnsi="宋体" w:eastAsia="宋体" w:cstheme="minorBidi"/>
          <w:kern w:val="2"/>
          <w:sz w:val="24"/>
          <w:szCs w:val="24"/>
          <w:lang w:val="en-US" w:eastAsia="zh-CN" w:bidi="ar-SA"/>
        </w:rPr>
        <w:t>的，</w:t>
      </w:r>
      <w:r>
        <w:rPr>
          <w:rFonts w:hint="eastAsia" w:cstheme="minorBidi"/>
          <w:kern w:val="2"/>
          <w:sz w:val="24"/>
          <w:szCs w:val="24"/>
          <w:lang w:val="en-US" w:eastAsia="zh-CN" w:bidi="ar-SA"/>
        </w:rPr>
        <w:t>采购代理机构</w:t>
      </w:r>
      <w:r>
        <w:rPr>
          <w:rFonts w:hint="eastAsia" w:ascii="宋体" w:hAnsi="宋体" w:eastAsia="宋体" w:cstheme="minorBidi"/>
          <w:kern w:val="2"/>
          <w:sz w:val="24"/>
          <w:szCs w:val="24"/>
          <w:lang w:val="en-US" w:eastAsia="zh-CN" w:bidi="ar-SA"/>
        </w:rPr>
        <w:t>将通知投标人（以短信、电话、“政府采购云平台”等任一方式）。投标人如对评审结论有异议的，应及时向</w:t>
      </w:r>
      <w:r>
        <w:rPr>
          <w:rFonts w:hint="eastAsia" w:cstheme="minorBidi"/>
          <w:kern w:val="2"/>
          <w:sz w:val="24"/>
          <w:szCs w:val="24"/>
          <w:lang w:val="en-US" w:eastAsia="zh-CN" w:bidi="ar-SA"/>
        </w:rPr>
        <w:t>采购代理机构</w:t>
      </w:r>
      <w:r>
        <w:rPr>
          <w:rFonts w:hint="eastAsia" w:ascii="宋体" w:hAnsi="宋体" w:eastAsia="宋体" w:cstheme="minorBidi"/>
          <w:kern w:val="2"/>
          <w:sz w:val="24"/>
          <w:szCs w:val="24"/>
          <w:lang w:val="en-US" w:eastAsia="zh-CN" w:bidi="ar-SA"/>
        </w:rPr>
        <w:t>反馈意见。</w:t>
      </w:r>
      <w:r>
        <w:rPr>
          <w:rFonts w:hint="eastAsia" w:cstheme="minorBidi"/>
          <w:kern w:val="2"/>
          <w:sz w:val="24"/>
          <w:szCs w:val="24"/>
          <w:lang w:val="en-US" w:eastAsia="zh-CN" w:bidi="ar-SA"/>
        </w:rPr>
        <w:t>采购代理机构</w:t>
      </w:r>
      <w:r>
        <w:rPr>
          <w:rFonts w:hint="eastAsia" w:ascii="宋体" w:hAnsi="宋体" w:eastAsia="宋体" w:cstheme="minorBidi"/>
          <w:kern w:val="2"/>
          <w:sz w:val="24"/>
          <w:szCs w:val="24"/>
          <w:lang w:val="en-US" w:eastAsia="zh-CN" w:bidi="ar-SA"/>
        </w:rPr>
        <w:t>在评审结束前将收到的反馈意见及时告知评标委员会（说明：无论投标人是否收到通知或提供反馈意见，均不影响评标委员会的评标工作，且</w:t>
      </w:r>
      <w:r>
        <w:rPr>
          <w:rFonts w:hint="eastAsia" w:cstheme="minorBidi"/>
          <w:kern w:val="2"/>
          <w:sz w:val="24"/>
          <w:szCs w:val="24"/>
          <w:lang w:val="en-US" w:eastAsia="zh-CN" w:bidi="ar-SA"/>
        </w:rPr>
        <w:t>采购代理机构</w:t>
      </w:r>
      <w:r>
        <w:rPr>
          <w:rFonts w:hint="eastAsia" w:ascii="宋体" w:hAnsi="宋体" w:eastAsia="宋体" w:cstheme="minorBidi"/>
          <w:kern w:val="2"/>
          <w:sz w:val="24"/>
          <w:szCs w:val="24"/>
          <w:lang w:val="en-US" w:eastAsia="zh-CN" w:bidi="ar-SA"/>
        </w:rPr>
        <w:t>对此将不承担任何的责任。投标人对评审结论有异议的，其反馈意见仅限于评标委员会对评审结论的正确性进行复核，避免出现评审错误）。</w:t>
      </w:r>
    </w:p>
    <w:p>
      <w:pPr>
        <w:keepNext w:val="0"/>
        <w:keepLines w:val="0"/>
        <w:pageBreakBefore w:val="0"/>
        <w:widowControl w:val="0"/>
        <w:tabs>
          <w:tab w:val="left" w:pos="851"/>
          <w:tab w:val="clear" w:pos="0"/>
        </w:tabs>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theme="minorBidi"/>
          <w:kern w:val="2"/>
          <w:sz w:val="24"/>
          <w:szCs w:val="24"/>
          <w:lang w:val="en-US" w:eastAsia="zh-CN" w:bidi="ar-SA"/>
        </w:rPr>
      </w:pPr>
      <w:r>
        <w:rPr>
          <w:rFonts w:hint="eastAsia" w:cstheme="minorBidi"/>
          <w:kern w:val="2"/>
          <w:sz w:val="24"/>
          <w:szCs w:val="24"/>
          <w:lang w:val="en-US" w:eastAsia="zh-CN" w:bidi="ar-SA"/>
        </w:rPr>
        <w:t>③</w:t>
      </w:r>
      <w:r>
        <w:rPr>
          <w:rFonts w:hint="eastAsia" w:ascii="宋体" w:hAnsi="宋体" w:eastAsia="宋体" w:cstheme="minorBidi"/>
          <w:kern w:val="2"/>
          <w:sz w:val="24"/>
          <w:szCs w:val="24"/>
          <w:lang w:val="en-US" w:eastAsia="zh-CN" w:bidi="ar-SA"/>
        </w:rPr>
        <w:t>通过符合性审查的</w:t>
      </w:r>
      <w:r>
        <w:rPr>
          <w:rFonts w:hint="eastAsia" w:cstheme="minorBidi"/>
          <w:kern w:val="2"/>
          <w:sz w:val="24"/>
          <w:szCs w:val="24"/>
          <w:lang w:val="en-US" w:eastAsia="zh-CN" w:bidi="ar-SA"/>
        </w:rPr>
        <w:t>投标人</w:t>
      </w:r>
      <w:r>
        <w:rPr>
          <w:rFonts w:hint="eastAsia" w:ascii="宋体" w:hAnsi="宋体" w:eastAsia="宋体" w:cstheme="minorBidi"/>
          <w:kern w:val="2"/>
          <w:sz w:val="24"/>
          <w:szCs w:val="24"/>
          <w:lang w:val="en-US" w:eastAsia="zh-CN" w:bidi="ar-SA"/>
        </w:rPr>
        <w:t>＜3</w:t>
      </w:r>
      <w:r>
        <w:rPr>
          <w:rFonts w:hint="eastAsia" w:cstheme="minorBidi"/>
          <w:kern w:val="2"/>
          <w:sz w:val="24"/>
          <w:szCs w:val="24"/>
          <w:lang w:val="en-US" w:eastAsia="zh-CN" w:bidi="ar-SA"/>
        </w:rPr>
        <w:t>家</w:t>
      </w:r>
      <w:r>
        <w:rPr>
          <w:rFonts w:hint="eastAsia" w:ascii="宋体" w:hAnsi="宋体" w:eastAsia="宋体" w:cstheme="minorBidi"/>
          <w:kern w:val="2"/>
          <w:sz w:val="24"/>
          <w:szCs w:val="24"/>
          <w:lang w:val="en-US" w:eastAsia="zh-CN" w:bidi="ar-SA"/>
        </w:rPr>
        <w:t>，本项目采购失败</w:t>
      </w:r>
      <w:r>
        <w:rPr>
          <w:rFonts w:hint="eastAsia" w:cstheme="minorBidi"/>
          <w:kern w:val="2"/>
          <w:sz w:val="24"/>
          <w:szCs w:val="24"/>
          <w:lang w:val="en-US" w:eastAsia="zh-CN" w:bidi="ar-SA"/>
        </w:rPr>
        <w:t>。</w:t>
      </w:r>
    </w:p>
    <w:p>
      <w:pPr>
        <w:pStyle w:val="30"/>
        <w:bidi w:val="0"/>
        <w:rPr>
          <w:rFonts w:hint="eastAsia"/>
          <w:lang w:val="en-US" w:eastAsia="zh-CN"/>
        </w:rPr>
      </w:pPr>
      <w:r>
        <w:rPr>
          <w:rFonts w:hint="eastAsia"/>
          <w:lang w:val="en-US" w:eastAsia="zh-CN"/>
        </w:rPr>
        <w:t>比较与评价</w:t>
      </w:r>
    </w:p>
    <w:p>
      <w:pPr>
        <w:pStyle w:val="44"/>
        <w:bidi w:val="0"/>
        <w:rPr>
          <w:rFonts w:hint="eastAsia"/>
        </w:rPr>
      </w:pPr>
      <w:r>
        <w:rPr>
          <w:rFonts w:hint="eastAsia"/>
          <w:lang w:val="en-US" w:eastAsia="zh-CN"/>
        </w:rPr>
        <w:t>评标委员会应当按照</w:t>
      </w:r>
      <w:r>
        <w:rPr>
          <w:rFonts w:hint="eastAsia"/>
        </w:rPr>
        <w:t>招标文件中规定的评标方法和标准，对</w:t>
      </w:r>
      <w:r>
        <w:rPr>
          <w:rFonts w:hint="eastAsia"/>
          <w:lang w:val="en-US" w:eastAsia="zh-CN"/>
        </w:rPr>
        <w:t>符合性审查合格的</w:t>
      </w:r>
      <w:r>
        <w:rPr>
          <w:rFonts w:hint="eastAsia"/>
        </w:rPr>
        <w:t>投标文件进行商务</w:t>
      </w:r>
      <w:r>
        <w:rPr>
          <w:rFonts w:hint="eastAsia"/>
          <w:lang w:val="en-US" w:eastAsia="zh-CN"/>
        </w:rPr>
        <w:t>和技术</w:t>
      </w:r>
      <w:r>
        <w:rPr>
          <w:rFonts w:hint="eastAsia"/>
        </w:rPr>
        <w:t>评估，综合比较与评价。</w:t>
      </w:r>
    </w:p>
    <w:p>
      <w:pPr>
        <w:pStyle w:val="30"/>
        <w:bidi w:val="0"/>
        <w:rPr>
          <w:rFonts w:hint="eastAsia"/>
          <w:lang w:val="en-US" w:eastAsia="zh-CN"/>
        </w:rPr>
      </w:pPr>
      <w:r>
        <w:rPr>
          <w:rFonts w:hint="eastAsia"/>
          <w:lang w:val="en-US" w:eastAsia="zh-CN"/>
        </w:rPr>
        <w:t>评标争议处理规则</w:t>
      </w:r>
    </w:p>
    <w:p>
      <w:pPr>
        <w:pStyle w:val="44"/>
        <w:bidi w:val="0"/>
        <w:rPr>
          <w:rFonts w:hint="eastAsia"/>
        </w:rPr>
      </w:pPr>
      <w:r>
        <w:rPr>
          <w:rFonts w:hint="eastAsia"/>
        </w:rPr>
        <w:t>评标委员会成员在评标过程中，对于符合性</w:t>
      </w:r>
      <w:r>
        <w:rPr>
          <w:rFonts w:hint="eastAsia"/>
          <w:lang w:val="en-US" w:eastAsia="zh-CN"/>
        </w:rPr>
        <w:t>审</w:t>
      </w:r>
      <w:r>
        <w:rPr>
          <w:rFonts w:hint="eastAsia"/>
        </w:rPr>
        <w:t>查、对供应商投标文件做无效处理等需要共同认定的事项存在争议的，应当以少数服从多数的原则处理，但不得违背法律法规和招标文件规定。有不同意见的评标委员会成员认为认定过程和结果不符合法律法规或者招标文件规定的，应当及时向招标采购单位书面反映。</w:t>
      </w:r>
    </w:p>
    <w:p>
      <w:pPr>
        <w:pStyle w:val="30"/>
        <w:bidi w:val="0"/>
        <w:rPr>
          <w:rFonts w:hint="eastAsia"/>
          <w:lang w:val="en-US" w:eastAsia="zh-CN"/>
        </w:rPr>
      </w:pPr>
      <w:r>
        <w:rPr>
          <w:rFonts w:hint="eastAsia"/>
          <w:lang w:val="en-US" w:eastAsia="zh-CN"/>
        </w:rPr>
        <w:t>澄清、说明或者纠正</w:t>
      </w:r>
    </w:p>
    <w:p>
      <w:pPr>
        <w:pStyle w:val="33"/>
        <w:bidi w:val="0"/>
        <w:rPr>
          <w:rFonts w:hint="eastAsia"/>
        </w:rPr>
      </w:pPr>
      <w:r>
        <w:rPr>
          <w:rFonts w:hint="eastAsia"/>
        </w:rPr>
        <w:t>评标过程中，评标委员会认为招标文件有关事项表述不明确或需要说明的，可以提请</w:t>
      </w:r>
      <w:r>
        <w:rPr>
          <w:rFonts w:hint="eastAsia"/>
          <w:lang w:val="en-US" w:eastAsia="zh-CN"/>
        </w:rPr>
        <w:t>采购代理机构</w:t>
      </w:r>
      <w:r>
        <w:rPr>
          <w:rFonts w:hint="eastAsia"/>
        </w:rPr>
        <w:t>书面解释。</w:t>
      </w:r>
      <w:r>
        <w:rPr>
          <w:rFonts w:hint="eastAsia"/>
          <w:lang w:val="en-US" w:eastAsia="zh-CN"/>
        </w:rPr>
        <w:t>采购代理机构</w:t>
      </w:r>
      <w:r>
        <w:rPr>
          <w:rFonts w:hint="eastAsia"/>
        </w:rPr>
        <w:t>的解释不得改变招标文件的原义或者影响公平、公正，解释事项如果涉及投标人权益的以有利于投标人的原则进行解释。</w:t>
      </w:r>
    </w:p>
    <w:p>
      <w:pPr>
        <w:pStyle w:val="33"/>
        <w:bidi w:val="0"/>
        <w:rPr>
          <w:rFonts w:hint="eastAsia"/>
        </w:rPr>
      </w:pPr>
      <w:r>
        <w:rPr>
          <w:rFonts w:hint="eastAsia"/>
        </w:rPr>
        <w:t>在评标过程中，评标委员会对投标文件中含义不明确、同类问题表述不一致或者有明显文字和计算错误的内容，应当以书面形式</w:t>
      </w:r>
      <w:r>
        <w:rPr>
          <w:rFonts w:hint="eastAsia"/>
          <w:lang w:eastAsia="zh-CN"/>
        </w:rPr>
        <w:t>(</w:t>
      </w:r>
      <w:r>
        <w:rPr>
          <w:rFonts w:hint="eastAsia"/>
        </w:rPr>
        <w:t>须由评标委员会全体成员签字</w:t>
      </w:r>
      <w:r>
        <w:rPr>
          <w:rFonts w:hint="eastAsia"/>
          <w:lang w:eastAsia="zh-CN"/>
        </w:rPr>
        <w:t>)</w:t>
      </w:r>
      <w:r>
        <w:rPr>
          <w:rFonts w:hint="eastAsia"/>
        </w:rPr>
        <w:t>要求供应商作出必要的书面澄清、说明或者纠正，并给予供应商必要的反馈时间。</w:t>
      </w:r>
    </w:p>
    <w:p>
      <w:pPr>
        <w:pStyle w:val="33"/>
        <w:bidi w:val="0"/>
        <w:rPr>
          <w:rFonts w:hint="eastAsia"/>
        </w:rPr>
      </w:pPr>
      <w:r>
        <w:rPr>
          <w:rFonts w:hint="eastAsia"/>
        </w:rPr>
        <w:t>供应商应当书面澄清、说明或者纠正，并加盖</w:t>
      </w:r>
      <w:r>
        <w:rPr>
          <w:rFonts w:hint="eastAsia"/>
          <w:lang w:val="en-US" w:eastAsia="zh-CN"/>
        </w:rPr>
        <w:t>电子签章</w:t>
      </w:r>
      <w:r>
        <w:rPr>
          <w:rFonts w:hint="eastAsia"/>
        </w:rPr>
        <w:t>或签字确认</w:t>
      </w:r>
      <w:r>
        <w:rPr>
          <w:rFonts w:hint="eastAsia"/>
          <w:lang w:eastAsia="zh-CN"/>
        </w:rPr>
        <w:t>(</w:t>
      </w:r>
      <w:r>
        <w:rPr>
          <w:rFonts w:hint="eastAsia"/>
        </w:rPr>
        <w:t>供应商为法人的，应当由其法定代表人或者代理人签字确认；供应商为其他组织的，应当由其主要负责人或者代理人签字确认；供应商为自然人的，应当由其本人或者代理人签字确认</w:t>
      </w:r>
      <w:r>
        <w:rPr>
          <w:rFonts w:hint="eastAsia"/>
          <w:lang w:eastAsia="zh-CN"/>
        </w:rPr>
        <w:t>)</w:t>
      </w:r>
      <w:r>
        <w:rPr>
          <w:rFonts w:hint="eastAsia"/>
        </w:rPr>
        <w:t>，否则无效。澄清、说明或者纠正不影响投标文件的效力，有效的澄清、说明或者纠正材料，是投标文件的组成部分。</w:t>
      </w:r>
    </w:p>
    <w:p>
      <w:pPr>
        <w:pStyle w:val="33"/>
        <w:bidi w:val="0"/>
        <w:rPr>
          <w:rFonts w:hint="eastAsia"/>
        </w:rPr>
      </w:pPr>
      <w:r>
        <w:rPr>
          <w:rFonts w:hint="eastAsia"/>
        </w:rPr>
        <w:t>评标委员会要求供应商澄清、说明或者更正，不得超出招标文件的范围，不得以此让供应商实质改变投标文件的内容，不得影响供应商公平竞争。本项目下列内容不得澄清：</w:t>
      </w:r>
    </w:p>
    <w:p>
      <w:pPr>
        <w:pStyle w:val="34"/>
        <w:bidi w:val="0"/>
        <w:rPr>
          <w:rFonts w:hint="eastAsia"/>
        </w:rPr>
      </w:pPr>
      <w:r>
        <w:rPr>
          <w:rFonts w:hint="eastAsia"/>
        </w:rPr>
        <w:t>按财政部规定应当在评标时不予承认的投标文件内容事项；</w:t>
      </w:r>
    </w:p>
    <w:p>
      <w:pPr>
        <w:pStyle w:val="34"/>
        <w:bidi w:val="0"/>
        <w:rPr>
          <w:rFonts w:hint="eastAsia"/>
        </w:rPr>
      </w:pPr>
      <w:r>
        <w:rPr>
          <w:rFonts w:hint="eastAsia"/>
        </w:rPr>
        <w:t>投标文件中已经明确的内容事项；</w:t>
      </w:r>
    </w:p>
    <w:p>
      <w:pPr>
        <w:pStyle w:val="34"/>
        <w:bidi w:val="0"/>
        <w:rPr>
          <w:rFonts w:hint="eastAsia"/>
        </w:rPr>
      </w:pPr>
      <w:r>
        <w:rPr>
          <w:rFonts w:hint="eastAsia"/>
        </w:rPr>
        <w:t>投标文件未提供的材料。</w:t>
      </w:r>
    </w:p>
    <w:p>
      <w:pPr>
        <w:pStyle w:val="33"/>
        <w:bidi w:val="0"/>
        <w:rPr>
          <w:rFonts w:hint="eastAsia"/>
        </w:rPr>
      </w:pPr>
      <w:r>
        <w:rPr>
          <w:rFonts w:hint="eastAsia"/>
        </w:rPr>
        <w:t>本项目采购过程中，投标文件出现下列情况的，不需要供应商澄清、说明或者纠正，按照以下原则处理：</w:t>
      </w:r>
    </w:p>
    <w:p>
      <w:pPr>
        <w:pStyle w:val="34"/>
        <w:bidi w:val="0"/>
        <w:rPr>
          <w:rFonts w:hint="eastAsia"/>
        </w:rPr>
      </w:pPr>
      <w:r>
        <w:rPr>
          <w:rFonts w:hint="eastAsia"/>
        </w:rPr>
        <w:t>投标文件的大写金额和小写金额不一致的，以大写金额为准，但大写金额出现文字错误，导致金额无法判断的除外；</w:t>
      </w:r>
    </w:p>
    <w:p>
      <w:pPr>
        <w:pStyle w:val="34"/>
        <w:bidi w:val="0"/>
        <w:rPr>
          <w:rFonts w:hint="eastAsia"/>
        </w:rPr>
      </w:pPr>
      <w:r>
        <w:rPr>
          <w:rFonts w:hint="eastAsia"/>
        </w:rPr>
        <w:t>总价金额与按单价汇总金额不一致的，以单价汇总金额计算结果为准，但是单价金额出现计算错误、明显人为工作失误的除外；</w:t>
      </w:r>
    </w:p>
    <w:p>
      <w:pPr>
        <w:pStyle w:val="34"/>
        <w:bidi w:val="0"/>
        <w:rPr>
          <w:rFonts w:hint="eastAsia"/>
        </w:rPr>
      </w:pPr>
      <w:r>
        <w:rPr>
          <w:rFonts w:hint="eastAsia"/>
        </w:rPr>
        <w:t>单价金额小数点有明显错位的，应以总价为准，并修改单价；</w:t>
      </w:r>
    </w:p>
    <w:p>
      <w:pPr>
        <w:pStyle w:val="34"/>
        <w:bidi w:val="0"/>
        <w:rPr>
          <w:rFonts w:hint="eastAsia"/>
        </w:rPr>
      </w:pPr>
      <w:r>
        <w:rPr>
          <w:rFonts w:hint="eastAsia"/>
        </w:rPr>
        <w:t>对不同语言文本投标文件的解释发生异议的，以中文文本为准。</w:t>
      </w:r>
    </w:p>
    <w:p>
      <w:pPr>
        <w:pStyle w:val="44"/>
        <w:bidi w:val="0"/>
        <w:rPr>
          <w:rFonts w:hint="eastAsia"/>
        </w:rPr>
      </w:pPr>
      <w:r>
        <w:rPr>
          <w:rFonts w:hint="eastAsia"/>
        </w:rPr>
        <w:t>出现本条第</w:t>
      </w:r>
      <w:r>
        <w:rPr>
          <w:rFonts w:hint="eastAsia"/>
          <w:lang w:val="en-US" w:eastAsia="zh-CN"/>
        </w:rPr>
        <w:t>5.2</w:t>
      </w:r>
      <w:r>
        <w:rPr>
          <w:rFonts w:hint="eastAsia"/>
        </w:rPr>
        <w:t>项规定情形，单价汇总金额比总价金额高，且超过政府采购预算或者本项目最高限价的，供应商投标文件应作为无效投标处理；单价汇总金额比总价金额高，但未超过政府采购预算或者本项目最高限价的，应以单价汇总金额作为价格评分依据。</w:t>
      </w:r>
    </w:p>
    <w:p>
      <w:pPr>
        <w:pStyle w:val="44"/>
        <w:bidi w:val="0"/>
        <w:rPr>
          <w:rFonts w:hint="default" w:eastAsia="宋体"/>
          <w:lang w:val="en-US" w:eastAsia="zh-CN"/>
        </w:rPr>
      </w:pPr>
      <w:r>
        <w:rPr>
          <w:rFonts w:hint="eastAsia"/>
          <w:lang w:val="en-US" w:eastAsia="zh-CN"/>
        </w:rPr>
        <w:t>6.评标结束之前，投标人应随时关注“政府采购云平台”系统提示，及时通过“政府采购云平台”在线响应评标委员会发出的澄清、说明或补正要求，签章并确认提交成功。逾时回复将不能提交，视为投标人自行放弃，其损失由投标人承担。</w:t>
      </w:r>
    </w:p>
    <w:p>
      <w:pPr>
        <w:pStyle w:val="45"/>
        <w:bidi w:val="0"/>
        <w:rPr>
          <w:rFonts w:hint="eastAsia"/>
        </w:rPr>
      </w:pPr>
      <w:r>
        <w:rPr>
          <w:rFonts w:hint="eastAsia"/>
        </w:rPr>
        <w:t>注：评标委员会成员应当积极履行澄清、说明或者纠正的职责，不得将应当澄清、说明或者纠正的投标文件作无效投标处理。</w:t>
      </w:r>
    </w:p>
    <w:p>
      <w:pPr>
        <w:pStyle w:val="30"/>
        <w:bidi w:val="0"/>
        <w:rPr>
          <w:rFonts w:hint="eastAsia"/>
        </w:rPr>
      </w:pPr>
      <w:r>
        <w:rPr>
          <w:rFonts w:hint="eastAsia"/>
        </w:rPr>
        <w:t>投标文件报价出现前后不一致的，除招标文件另有规定外，按照下列规定修正：</w:t>
      </w:r>
    </w:p>
    <w:p>
      <w:pPr>
        <w:pStyle w:val="33"/>
        <w:bidi w:val="0"/>
        <w:rPr>
          <w:rFonts w:hint="eastAsia"/>
        </w:rPr>
      </w:pPr>
      <w:r>
        <w:rPr>
          <w:rFonts w:hint="eastAsia"/>
        </w:rPr>
        <w:t>投标文件中开标一览表</w:t>
      </w:r>
      <w:r>
        <w:rPr>
          <w:rFonts w:hint="eastAsia"/>
          <w:lang w:eastAsia="zh-CN"/>
        </w:rPr>
        <w:t>(</w:t>
      </w:r>
      <w:r>
        <w:rPr>
          <w:rFonts w:hint="eastAsia"/>
        </w:rPr>
        <w:t>报价表</w:t>
      </w:r>
      <w:r>
        <w:rPr>
          <w:rFonts w:hint="eastAsia"/>
          <w:lang w:eastAsia="zh-CN"/>
        </w:rPr>
        <w:t>)</w:t>
      </w:r>
      <w:r>
        <w:rPr>
          <w:rFonts w:hint="eastAsia"/>
        </w:rPr>
        <w:t>内容与投标文件中相应内容不一致的，以开标唱标</w:t>
      </w:r>
      <w:r>
        <w:rPr>
          <w:rFonts w:hint="eastAsia"/>
          <w:lang w:eastAsia="zh-CN"/>
        </w:rPr>
        <w:t>时</w:t>
      </w:r>
      <w:r>
        <w:rPr>
          <w:rFonts w:hint="eastAsia"/>
        </w:rPr>
        <w:t>单独提交的开标一览表</w:t>
      </w:r>
      <w:r>
        <w:rPr>
          <w:rFonts w:hint="eastAsia"/>
          <w:lang w:eastAsia="zh-CN"/>
        </w:rPr>
        <w:t>(</w:t>
      </w:r>
      <w:r>
        <w:rPr>
          <w:rFonts w:hint="eastAsia"/>
        </w:rPr>
        <w:t>报价表</w:t>
      </w:r>
      <w:r>
        <w:rPr>
          <w:rFonts w:hint="eastAsia"/>
          <w:lang w:eastAsia="zh-CN"/>
        </w:rPr>
        <w:t>)</w:t>
      </w:r>
      <w:r>
        <w:rPr>
          <w:rFonts w:hint="eastAsia"/>
        </w:rPr>
        <w:t>为准；</w:t>
      </w:r>
    </w:p>
    <w:p>
      <w:pPr>
        <w:pStyle w:val="33"/>
        <w:bidi w:val="0"/>
        <w:rPr>
          <w:rFonts w:hint="eastAsia"/>
        </w:rPr>
      </w:pPr>
      <w:r>
        <w:rPr>
          <w:rFonts w:hint="eastAsia"/>
        </w:rPr>
        <w:t>大写金额和小写金额不一致的，以大写金额为准；</w:t>
      </w:r>
    </w:p>
    <w:p>
      <w:pPr>
        <w:pStyle w:val="33"/>
        <w:bidi w:val="0"/>
        <w:rPr>
          <w:rFonts w:hint="eastAsia"/>
        </w:rPr>
      </w:pPr>
      <w:r>
        <w:rPr>
          <w:rFonts w:hint="eastAsia"/>
        </w:rPr>
        <w:t>单价金额小数点或者百分比有明显错位的，以开标一览表的总价为准，并修改单价；</w:t>
      </w:r>
    </w:p>
    <w:p>
      <w:pPr>
        <w:pStyle w:val="33"/>
        <w:bidi w:val="0"/>
        <w:rPr>
          <w:rFonts w:hint="eastAsia"/>
        </w:rPr>
      </w:pPr>
      <w:r>
        <w:rPr>
          <w:rFonts w:hint="eastAsia"/>
        </w:rPr>
        <w:t>总价金额与按单价汇总金额不一致的，以单价金额计算结果为准。</w:t>
      </w:r>
    </w:p>
    <w:p>
      <w:pPr>
        <w:pStyle w:val="45"/>
        <w:bidi w:val="0"/>
        <w:rPr>
          <w:rFonts w:hint="eastAsia"/>
          <w:lang w:val="en-US" w:eastAsia="zh-CN"/>
        </w:rPr>
      </w:pPr>
      <w:r>
        <w:rPr>
          <w:rFonts w:hint="eastAsia"/>
        </w:rPr>
        <w:t>同时出现两种以上不一致的，按照前款规定的顺序修正。修正后的报价按照《政府采购货物和服务招标投标管理办法》</w:t>
      </w:r>
      <w:r>
        <w:rPr>
          <w:rFonts w:hint="eastAsia"/>
          <w:lang w:eastAsia="zh-CN"/>
        </w:rPr>
        <w:t>(</w:t>
      </w:r>
      <w:r>
        <w:rPr>
          <w:rFonts w:hint="eastAsia"/>
        </w:rPr>
        <w:t>财政部令第</w:t>
      </w:r>
      <w:r>
        <w:rPr>
          <w:rFonts w:hint="eastAsia"/>
          <w:lang w:val="en-US" w:eastAsia="zh-CN"/>
        </w:rPr>
        <w:t>87</w:t>
      </w:r>
      <w:r>
        <w:rPr>
          <w:rFonts w:hint="eastAsia"/>
        </w:rPr>
        <w:t>号</w:t>
      </w:r>
      <w:r>
        <w:rPr>
          <w:rFonts w:hint="eastAsia"/>
          <w:lang w:eastAsia="zh-CN"/>
        </w:rPr>
        <w:t>)</w:t>
      </w:r>
      <w:r>
        <w:rPr>
          <w:rFonts w:hint="eastAsia"/>
        </w:rPr>
        <w:t>第五十一条第二款的规定经投标人确认后产生约束力，投标人不确认的，其投标无效。</w:t>
      </w:r>
    </w:p>
    <w:p>
      <w:pPr>
        <w:pStyle w:val="30"/>
        <w:bidi w:val="0"/>
        <w:rPr>
          <w:rFonts w:hint="eastAsia"/>
          <w:lang w:val="en-US" w:eastAsia="zh-CN"/>
        </w:rPr>
      </w:pPr>
      <w:r>
        <w:rPr>
          <w:rFonts w:hint="eastAsia"/>
          <w:lang w:val="en-US" w:eastAsia="zh-CN"/>
        </w:rPr>
        <w:t>低于成本价投标处理</w:t>
      </w:r>
    </w:p>
    <w:p>
      <w:pPr>
        <w:pStyle w:val="33"/>
        <w:numPr>
          <w:ilvl w:val="2"/>
          <w:numId w:val="0"/>
        </w:numPr>
        <w:bidi w:val="0"/>
        <w:ind w:firstLine="480" w:firstLineChars="200"/>
        <w:rPr>
          <w:rFonts w:hint="eastAsia"/>
          <w:lang w:val="en-US" w:eastAsia="zh-CN"/>
        </w:rPr>
      </w:pPr>
      <w:r>
        <w:rPr>
          <w:rFonts w:hint="eastAsia"/>
          <w:lang w:val="en-US" w:eastAsia="zh-CN"/>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33"/>
        <w:numPr>
          <w:ilvl w:val="2"/>
          <w:numId w:val="0"/>
        </w:numPr>
        <w:bidi w:val="0"/>
        <w:ind w:firstLine="480" w:firstLineChars="200"/>
        <w:rPr>
          <w:rFonts w:hint="eastAsia"/>
        </w:rPr>
      </w:pPr>
      <w:r>
        <w:rPr>
          <w:rFonts w:hint="eastAsia"/>
          <w:lang w:val="en-US" w:eastAsia="zh-CN"/>
        </w:rPr>
        <w:t>注：投标人提交的书面说明、相关证明材料（如涉及），应当加盖投标人（法定名称）电子签章，在评标委员会要求的时间内通过“政府采购云平台”进行递交，否则无效（给予供应商澄清、说明的时间不得少于30分钟，供应商已明确表示澄清、说明完毕的除外）。如因采购代理机构断电、断网、系统故障或其他不可抗力等因素，导致系统无法使用的，由投标人按评标委员会的要求进行澄清或者说明。</w:t>
      </w:r>
    </w:p>
    <w:p>
      <w:pPr>
        <w:pStyle w:val="32"/>
        <w:numPr>
          <w:ilvl w:val="1"/>
          <w:numId w:val="12"/>
        </w:numPr>
        <w:bidi w:val="0"/>
        <w:rPr>
          <w:rFonts w:hint="eastAsia"/>
        </w:rPr>
      </w:pPr>
      <w:bookmarkStart w:id="1054" w:name="_Toc26213"/>
      <w:bookmarkStart w:id="1055" w:name="_Toc307501155"/>
      <w:bookmarkStart w:id="1056" w:name="_Toc308084646"/>
      <w:bookmarkStart w:id="1057" w:name="_Toc23140"/>
      <w:bookmarkStart w:id="1058" w:name="_Toc14080"/>
      <w:bookmarkStart w:id="1059" w:name="_Toc309897564"/>
      <w:bookmarkStart w:id="1060" w:name="_Toc308188199"/>
      <w:bookmarkStart w:id="1061" w:name="_Toc30417"/>
      <w:bookmarkStart w:id="1062" w:name="_Toc25587"/>
      <w:bookmarkStart w:id="1063" w:name="_Toc327196342"/>
      <w:bookmarkStart w:id="1064" w:name="_Toc24902"/>
      <w:bookmarkStart w:id="1065" w:name="_Toc27402"/>
      <w:bookmarkStart w:id="1066" w:name="_Toc1756"/>
      <w:bookmarkStart w:id="1067" w:name="_Toc23187"/>
      <w:bookmarkStart w:id="1068" w:name="_Toc319440191"/>
      <w:bookmarkStart w:id="1069" w:name="_Toc217446103"/>
      <w:bookmarkStart w:id="1070" w:name="_Toc307564897"/>
      <w:bookmarkStart w:id="1071" w:name="_Toc22389"/>
      <w:bookmarkStart w:id="1072" w:name="_Toc2106"/>
      <w:bookmarkStart w:id="1073" w:name="_Toc21397"/>
      <w:bookmarkStart w:id="1074" w:name="_Toc319439947"/>
      <w:r>
        <w:rPr>
          <w:rFonts w:hint="eastAsia"/>
        </w:rPr>
        <w:t>评标细则及标准</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p>
    <w:p>
      <w:pPr>
        <w:pStyle w:val="30"/>
        <w:numPr>
          <w:ilvl w:val="1"/>
          <w:numId w:val="32"/>
        </w:numPr>
        <w:bidi w:val="0"/>
        <w:rPr>
          <w:rFonts w:hint="eastAsia"/>
        </w:rPr>
      </w:pPr>
      <w:r>
        <w:rPr>
          <w:rFonts w:hint="eastAsia"/>
        </w:rPr>
        <w:t>评委会只对通过</w:t>
      </w:r>
      <w:r>
        <w:rPr>
          <w:rFonts w:hint="eastAsia"/>
          <w:lang w:val="en-US" w:eastAsia="zh-CN"/>
        </w:rPr>
        <w:t>符合性检查</w:t>
      </w:r>
      <w:r>
        <w:rPr>
          <w:rFonts w:hint="eastAsia"/>
        </w:rPr>
        <w:t>的投标文件，根据招标文件的要求采用相同的评标程序、评分办法及标准进行评价和比较。</w:t>
      </w:r>
    </w:p>
    <w:p>
      <w:pPr>
        <w:pStyle w:val="30"/>
        <w:numPr>
          <w:ilvl w:val="1"/>
          <w:numId w:val="32"/>
        </w:numPr>
        <w:bidi w:val="0"/>
        <w:rPr>
          <w:rFonts w:hint="eastAsia"/>
        </w:rPr>
      </w:pPr>
      <w:r>
        <w:rPr>
          <w:rFonts w:hint="eastAsia"/>
        </w:rPr>
        <w:t>本次综合评分的因素是：</w:t>
      </w:r>
      <w:r>
        <w:rPr>
          <w:rFonts w:hint="eastAsia"/>
          <w:lang w:val="en-US" w:eastAsia="zh-CN"/>
        </w:rPr>
        <w:t>详见“</w:t>
      </w:r>
      <w:r>
        <w:rPr>
          <w:rFonts w:hint="eastAsia"/>
        </w:rPr>
        <w:t>综合评分明细表</w:t>
      </w:r>
      <w:r>
        <w:rPr>
          <w:rFonts w:hint="eastAsia"/>
          <w:lang w:val="en-US" w:eastAsia="zh-CN"/>
        </w:rPr>
        <w:t>中的评分因素及权重”。</w:t>
      </w:r>
    </w:p>
    <w:p>
      <w:pPr>
        <w:pStyle w:val="30"/>
        <w:numPr>
          <w:ilvl w:val="1"/>
          <w:numId w:val="32"/>
        </w:numPr>
        <w:bidi w:val="0"/>
        <w:rPr>
          <w:rFonts w:hint="eastAsia"/>
        </w:rPr>
      </w:pPr>
      <w:r>
        <w:rPr>
          <w:rFonts w:hint="eastAsia"/>
        </w:rPr>
        <w:t>除价格因素外，评标委员会成员应当根据自身专业情况独立对每个有效投标人的投标文件进行评价、打分。采购人代表原则上对技术、与技术有关的服务及其他技术类评分因素独立评分。价格及其他不能明确区分的评分因素由评标委员会成员共同评分。</w:t>
      </w:r>
    </w:p>
    <w:p>
      <w:pPr>
        <w:pStyle w:val="30"/>
        <w:numPr>
          <w:ilvl w:val="1"/>
          <w:numId w:val="32"/>
        </w:numPr>
        <w:bidi w:val="0"/>
        <w:rPr>
          <w:rFonts w:hint="eastAsia"/>
        </w:rPr>
      </w:pPr>
      <w:r>
        <w:rPr>
          <w:rFonts w:hint="eastAsia"/>
          <w:lang w:val="en-US" w:eastAsia="zh-CN"/>
        </w:rPr>
        <w:t>评审得分计算方法</w:t>
      </w:r>
    </w:p>
    <w:p>
      <w:pPr>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评审得分＝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A1＋A2＋……＋An</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/NA＋</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B1＋B2＋……＋Bn</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 NB＋</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C1＋C2＋……＋Cn</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 NC＋</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D1＋D2＋……＋Dn</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/ND</w:t>
      </w:r>
    </w:p>
    <w:p>
      <w:pPr>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rPr>
      </w:pPr>
      <w:r>
        <w:rPr>
          <w:rFonts w:hint="eastAsia" w:asciiTheme="minorEastAsia" w:hAnsiTheme="minorEastAsia" w:eastAsiaTheme="minorEastAsia" w:cstheme="minorEastAsia"/>
          <w:sz w:val="24"/>
          <w:szCs w:val="24"/>
        </w:rPr>
        <w:t>A1、A2……An分别为每个经济类评委</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经济类专家</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的打分，NA为经济类评委</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经济类专家</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人数；B1、B2＋……Bn 分别为每个技术类评委</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技术类专家和采购人代表</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的打分，NB为技术类评委</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技术类专家和采购人代表</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人数；C1、C2……Cn 分别为每个政策合同类评委</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法律类专家</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的打分，NC为政策合同类评委</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法律类专家</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人数；D1、D2……Dn 分别为评审委员会每个成员的打分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共同评分类</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，ND为评审委员会人数</w:t>
      </w:r>
      <w:r>
        <w:rPr>
          <w:rFonts w:hint="eastAsia" w:asciiTheme="minorEastAsia" w:hAnsiTheme="minorEastAsia" w:eastAsiaTheme="minorEastAsia" w:cstheme="minorEastAsia"/>
          <w:sz w:val="24"/>
          <w:szCs w:val="24"/>
          <w:lang w:eastAsia="zh-CN"/>
        </w:rPr>
        <w:t>。</w:t>
      </w:r>
    </w:p>
    <w:p>
      <w:pPr>
        <w:pStyle w:val="30"/>
        <w:bidi w:val="0"/>
        <w:rPr>
          <w:rFonts w:hint="eastAsia"/>
        </w:rPr>
      </w:pPr>
      <w:r>
        <w:rPr>
          <w:rFonts w:hint="eastAsia"/>
        </w:rPr>
        <w:t>综合评分明细表</w:t>
      </w:r>
    </w:p>
    <w:p>
      <w:pPr>
        <w:pStyle w:val="33"/>
        <w:bidi w:val="0"/>
        <w:rPr>
          <w:rFonts w:hint="eastAsia"/>
        </w:rPr>
      </w:pPr>
      <w:r>
        <w:rPr>
          <w:rFonts w:hint="eastAsia"/>
        </w:rPr>
        <w:t>综合评分明细表的制定以科学合理、降低评委会自由裁量权为原则。</w:t>
      </w:r>
    </w:p>
    <w:p>
      <w:pPr>
        <w:pStyle w:val="33"/>
        <w:bidi w:val="0"/>
        <w:rPr>
          <w:rFonts w:hint="eastAsia"/>
        </w:rPr>
      </w:pPr>
      <w:r>
        <w:rPr>
          <w:rFonts w:hint="eastAsia"/>
        </w:rPr>
        <w:t>综合评分明细表</w:t>
      </w:r>
    </w:p>
    <w:tbl>
      <w:tblPr>
        <w:tblStyle w:val="20"/>
        <w:tblW w:w="9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1293"/>
        <w:gridCol w:w="1292"/>
        <w:gridCol w:w="5413"/>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blHeader/>
          <w:jc w:val="center"/>
        </w:trPr>
        <w:tc>
          <w:tcPr>
            <w:tcW w:w="844" w:type="dxa"/>
            <w:vAlign w:val="center"/>
          </w:tcPr>
          <w:p>
            <w:pPr>
              <w:pStyle w:val="43"/>
              <w:rPr>
                <w:rFonts w:hint="eastAsia" w:ascii="宋体" w:hAnsi="宋体" w:eastAsia="宋体" w:cs="宋体"/>
                <w:b/>
                <w:bCs/>
                <w:sz w:val="21"/>
                <w:szCs w:val="21"/>
              </w:rPr>
            </w:pPr>
            <w:r>
              <w:rPr>
                <w:rFonts w:hint="eastAsia" w:ascii="宋体" w:hAnsi="宋体" w:eastAsia="宋体" w:cs="宋体"/>
                <w:b/>
                <w:bCs/>
                <w:sz w:val="21"/>
                <w:szCs w:val="21"/>
              </w:rPr>
              <w:t>序号</w:t>
            </w:r>
          </w:p>
        </w:tc>
        <w:tc>
          <w:tcPr>
            <w:tcW w:w="1293" w:type="dxa"/>
            <w:vAlign w:val="center"/>
          </w:tcPr>
          <w:p>
            <w:pPr>
              <w:pStyle w:val="43"/>
              <w:rPr>
                <w:rFonts w:hint="eastAsia" w:ascii="宋体" w:hAnsi="宋体" w:eastAsia="宋体" w:cs="宋体"/>
                <w:b/>
                <w:bCs/>
                <w:sz w:val="21"/>
                <w:szCs w:val="21"/>
              </w:rPr>
            </w:pPr>
            <w:r>
              <w:rPr>
                <w:rFonts w:hint="eastAsia" w:ascii="宋体" w:hAnsi="宋体" w:eastAsia="宋体" w:cs="宋体"/>
                <w:b/>
                <w:bCs/>
                <w:sz w:val="21"/>
                <w:szCs w:val="21"/>
              </w:rPr>
              <w:t>评分因素及权重</w:t>
            </w:r>
          </w:p>
        </w:tc>
        <w:tc>
          <w:tcPr>
            <w:tcW w:w="1292" w:type="dxa"/>
            <w:vAlign w:val="center"/>
          </w:tcPr>
          <w:p>
            <w:pPr>
              <w:pStyle w:val="43"/>
              <w:rPr>
                <w:rFonts w:hint="eastAsia" w:ascii="宋体" w:hAnsi="宋体" w:eastAsia="宋体" w:cs="宋体"/>
                <w:b/>
                <w:bCs/>
                <w:sz w:val="21"/>
                <w:szCs w:val="21"/>
              </w:rPr>
            </w:pPr>
            <w:r>
              <w:rPr>
                <w:rFonts w:hint="eastAsia" w:ascii="宋体" w:hAnsi="宋体" w:eastAsia="宋体" w:cs="宋体"/>
                <w:b/>
                <w:bCs/>
                <w:sz w:val="21"/>
                <w:szCs w:val="21"/>
              </w:rPr>
              <w:t>分值</w:t>
            </w:r>
          </w:p>
        </w:tc>
        <w:tc>
          <w:tcPr>
            <w:tcW w:w="5413" w:type="dxa"/>
            <w:vAlign w:val="center"/>
          </w:tcPr>
          <w:p>
            <w:pPr>
              <w:pStyle w:val="43"/>
              <w:rPr>
                <w:rFonts w:hint="eastAsia" w:ascii="宋体" w:hAnsi="宋体" w:eastAsia="宋体" w:cs="宋体"/>
                <w:b/>
                <w:bCs/>
                <w:sz w:val="21"/>
                <w:szCs w:val="21"/>
              </w:rPr>
            </w:pPr>
            <w:r>
              <w:rPr>
                <w:rFonts w:hint="eastAsia" w:ascii="宋体" w:hAnsi="宋体" w:eastAsia="宋体" w:cs="宋体"/>
                <w:b/>
                <w:bCs/>
                <w:sz w:val="21"/>
                <w:szCs w:val="21"/>
              </w:rPr>
              <w:t>评分标准</w:t>
            </w:r>
          </w:p>
        </w:tc>
        <w:tc>
          <w:tcPr>
            <w:tcW w:w="1056" w:type="dxa"/>
            <w:vAlign w:val="center"/>
          </w:tcPr>
          <w:p>
            <w:pPr>
              <w:pStyle w:val="43"/>
              <w:rPr>
                <w:rFonts w:hint="eastAsia" w:ascii="宋体" w:hAnsi="宋体" w:eastAsia="宋体" w:cs="宋体"/>
                <w:b/>
                <w:bCs/>
                <w:sz w:val="21"/>
                <w:szCs w:val="21"/>
              </w:rPr>
            </w:pPr>
            <w:r>
              <w:rPr>
                <w:rFonts w:hint="eastAsia" w:ascii="宋体" w:hAnsi="宋体" w:eastAsia="宋体" w:cs="宋体"/>
                <w:b/>
                <w:bCs/>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2" w:hRule="atLeast"/>
          <w:jc w:val="center"/>
        </w:trPr>
        <w:tc>
          <w:tcPr>
            <w:tcW w:w="844" w:type="dxa"/>
            <w:vAlign w:val="center"/>
          </w:tcPr>
          <w:p>
            <w:pPr>
              <w:pStyle w:val="43"/>
              <w:rPr>
                <w:rFonts w:hint="eastAsia" w:ascii="宋体" w:hAnsi="宋体" w:eastAsia="宋体" w:cs="宋体"/>
                <w:sz w:val="21"/>
                <w:szCs w:val="21"/>
              </w:rPr>
            </w:pPr>
            <w:r>
              <w:rPr>
                <w:rFonts w:hint="eastAsia" w:ascii="宋体" w:hAnsi="宋体" w:eastAsia="宋体" w:cs="宋体"/>
                <w:sz w:val="21"/>
                <w:szCs w:val="21"/>
              </w:rPr>
              <w:t>一</w:t>
            </w:r>
          </w:p>
        </w:tc>
        <w:tc>
          <w:tcPr>
            <w:tcW w:w="1293" w:type="dxa"/>
            <w:vAlign w:val="center"/>
          </w:tcPr>
          <w:p>
            <w:pPr>
              <w:pStyle w:val="43"/>
              <w:rPr>
                <w:rFonts w:hint="eastAsia" w:ascii="宋体" w:hAnsi="宋体" w:eastAsia="宋体" w:cs="宋体"/>
                <w:sz w:val="21"/>
                <w:szCs w:val="21"/>
              </w:rPr>
            </w:pPr>
            <w:r>
              <w:rPr>
                <w:rFonts w:hint="eastAsia" w:ascii="宋体" w:hAnsi="宋体" w:eastAsia="宋体" w:cs="宋体"/>
                <w:sz w:val="21"/>
                <w:szCs w:val="21"/>
              </w:rPr>
              <w:t>报价</w:t>
            </w:r>
          </w:p>
          <w:p>
            <w:pPr>
              <w:pStyle w:val="43"/>
              <w:rPr>
                <w:rFonts w:hint="eastAsia" w:ascii="宋体" w:hAnsi="宋体" w:eastAsia="宋体" w:cs="宋体"/>
                <w:sz w:val="21"/>
                <w:szCs w:val="21"/>
              </w:rPr>
            </w:pPr>
            <w:r>
              <w:rPr>
                <w:rFonts w:hint="eastAsia" w:ascii="宋体" w:hAnsi="宋体" w:eastAsia="宋体" w:cs="宋体"/>
                <w:sz w:val="21"/>
                <w:szCs w:val="21"/>
                <w:lang w:val="en-US" w:eastAsia="zh-CN"/>
              </w:rPr>
              <w:t>10</w:t>
            </w:r>
            <w:r>
              <w:rPr>
                <w:rFonts w:hint="eastAsia" w:ascii="宋体" w:hAnsi="宋体" w:eastAsia="宋体" w:cs="宋体"/>
                <w:sz w:val="21"/>
                <w:szCs w:val="21"/>
              </w:rPr>
              <w:t>%</w:t>
            </w:r>
          </w:p>
        </w:tc>
        <w:tc>
          <w:tcPr>
            <w:tcW w:w="1292" w:type="dxa"/>
            <w:vAlign w:val="center"/>
          </w:tcPr>
          <w:p>
            <w:pPr>
              <w:pStyle w:val="43"/>
              <w:rPr>
                <w:rFonts w:hint="eastAsia" w:ascii="宋体" w:hAnsi="宋体" w:eastAsia="宋体" w:cs="宋体"/>
                <w:sz w:val="21"/>
                <w:szCs w:val="21"/>
              </w:rPr>
            </w:pPr>
            <w:r>
              <w:rPr>
                <w:rFonts w:hint="eastAsia" w:ascii="宋体" w:hAnsi="宋体" w:eastAsia="宋体" w:cs="宋体"/>
                <w:sz w:val="21"/>
                <w:szCs w:val="21"/>
                <w:lang w:val="en-US" w:eastAsia="zh-CN"/>
              </w:rPr>
              <w:t>10</w:t>
            </w:r>
            <w:r>
              <w:rPr>
                <w:rFonts w:hint="eastAsia" w:ascii="宋体" w:hAnsi="宋体" w:eastAsia="宋体" w:cs="宋体"/>
                <w:sz w:val="21"/>
                <w:szCs w:val="21"/>
              </w:rPr>
              <w:t>分</w:t>
            </w:r>
          </w:p>
        </w:tc>
        <w:tc>
          <w:tcPr>
            <w:tcW w:w="5413" w:type="dxa"/>
            <w:vAlign w:val="center"/>
          </w:tcPr>
          <w:p>
            <w:pPr>
              <w:pStyle w:val="39"/>
              <w:ind w:left="42"/>
              <w:rPr>
                <w:rFonts w:hint="eastAsia" w:ascii="宋体" w:hAnsi="宋体" w:eastAsia="宋体" w:cs="宋体"/>
                <w:sz w:val="21"/>
                <w:szCs w:val="21"/>
              </w:rPr>
            </w:pPr>
            <w:r>
              <w:rPr>
                <w:rFonts w:hint="eastAsia" w:ascii="宋体" w:hAnsi="宋体" w:eastAsia="宋体" w:cs="宋体"/>
                <w:sz w:val="21"/>
                <w:szCs w:val="21"/>
              </w:rPr>
              <w:t>满足招标文件要求且投标价格最低的投标报价为评标基准价，其价格分为满分。其他投标人的价格分统一按照下列公式计算：</w:t>
            </w:r>
          </w:p>
          <w:p>
            <w:pPr>
              <w:pStyle w:val="39"/>
              <w:ind w:left="42"/>
              <w:rPr>
                <w:rFonts w:hint="eastAsia" w:ascii="宋体" w:hAnsi="宋体" w:eastAsia="宋体" w:cs="宋体"/>
                <w:sz w:val="21"/>
                <w:szCs w:val="21"/>
              </w:rPr>
            </w:pPr>
            <w:r>
              <w:rPr>
                <w:rFonts w:hint="eastAsia" w:ascii="宋体" w:hAnsi="宋体" w:eastAsia="宋体" w:cs="宋体"/>
                <w:sz w:val="21"/>
                <w:szCs w:val="21"/>
              </w:rPr>
              <w:t>投标报价得分=(评标基准价／投标报价)×</w:t>
            </w:r>
            <w:r>
              <w:rPr>
                <w:rFonts w:hint="eastAsia" w:ascii="宋体" w:hAnsi="宋体" w:eastAsia="宋体" w:cs="宋体"/>
                <w:sz w:val="21"/>
                <w:szCs w:val="21"/>
                <w:lang w:val="en-US" w:eastAsia="zh-CN"/>
              </w:rPr>
              <w:t>10</w:t>
            </w:r>
            <w:r>
              <w:rPr>
                <w:rFonts w:hint="eastAsia" w:ascii="宋体" w:hAnsi="宋体" w:eastAsia="宋体" w:cs="宋体"/>
                <w:sz w:val="21"/>
                <w:szCs w:val="21"/>
              </w:rPr>
              <w:t>%×100；</w:t>
            </w:r>
          </w:p>
          <w:p>
            <w:pPr>
              <w:pStyle w:val="39"/>
              <w:ind w:left="42"/>
              <w:rPr>
                <w:rFonts w:hint="eastAsia" w:ascii="宋体" w:hAnsi="宋体" w:eastAsia="宋体" w:cs="宋体"/>
                <w:sz w:val="21"/>
                <w:szCs w:val="21"/>
              </w:rPr>
            </w:pPr>
            <w:r>
              <w:rPr>
                <w:rFonts w:hint="eastAsia" w:ascii="宋体" w:hAnsi="宋体" w:eastAsia="宋体" w:cs="宋体"/>
                <w:sz w:val="21"/>
                <w:szCs w:val="21"/>
                <w:highlight w:val="none"/>
              </w:rPr>
              <w:t>注：评标过程中，不得去掉报价中的最高报价和最低报价。</w:t>
            </w:r>
          </w:p>
        </w:tc>
        <w:tc>
          <w:tcPr>
            <w:tcW w:w="1056" w:type="dxa"/>
            <w:vAlign w:val="center"/>
          </w:tcPr>
          <w:p>
            <w:pPr>
              <w:pStyle w:val="43"/>
              <w:rPr>
                <w:rFonts w:hint="eastAsia" w:ascii="宋体" w:hAnsi="宋体" w:eastAsia="宋体" w:cs="宋体"/>
                <w:sz w:val="21"/>
                <w:szCs w:val="21"/>
              </w:rPr>
            </w:pPr>
            <w:r>
              <w:rPr>
                <w:rFonts w:hint="eastAsia" w:ascii="宋体" w:hAnsi="宋体" w:eastAsia="宋体" w:cs="宋体"/>
                <w:sz w:val="21"/>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44" w:type="dxa"/>
            <w:vMerge w:val="restart"/>
            <w:vAlign w:val="center"/>
          </w:tcPr>
          <w:p>
            <w:pPr>
              <w:pStyle w:val="43"/>
              <w:rPr>
                <w:rFonts w:hint="eastAsia" w:ascii="宋体" w:hAnsi="宋体" w:eastAsia="宋体" w:cs="宋体"/>
                <w:sz w:val="21"/>
                <w:szCs w:val="21"/>
              </w:rPr>
            </w:pPr>
            <w:r>
              <w:rPr>
                <w:rFonts w:hint="eastAsia" w:ascii="宋体" w:hAnsi="宋体" w:eastAsia="宋体" w:cs="宋体"/>
                <w:sz w:val="21"/>
                <w:szCs w:val="21"/>
              </w:rPr>
              <w:t>二</w:t>
            </w:r>
          </w:p>
        </w:tc>
        <w:tc>
          <w:tcPr>
            <w:tcW w:w="1293" w:type="dxa"/>
            <w:vMerge w:val="restart"/>
            <w:vAlign w:val="center"/>
          </w:tcPr>
          <w:p>
            <w:pPr>
              <w:pStyle w:val="43"/>
              <w:rPr>
                <w:rFonts w:hint="eastAsia" w:ascii="宋体" w:hAnsi="宋体" w:eastAsia="宋体" w:cs="宋体"/>
                <w:sz w:val="21"/>
                <w:szCs w:val="21"/>
              </w:rPr>
            </w:pPr>
            <w:r>
              <w:rPr>
                <w:rFonts w:hint="eastAsia" w:ascii="宋体" w:hAnsi="宋体" w:eastAsia="宋体" w:cs="宋体"/>
                <w:sz w:val="21"/>
                <w:szCs w:val="21"/>
              </w:rPr>
              <w:t>服务方案</w:t>
            </w:r>
          </w:p>
          <w:p>
            <w:pPr>
              <w:pStyle w:val="43"/>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val="en-US" w:eastAsia="zh-CN"/>
              </w:rPr>
              <w:t>2</w:t>
            </w:r>
            <w:r>
              <w:rPr>
                <w:rFonts w:hint="eastAsia" w:ascii="宋体" w:hAnsi="宋体" w:eastAsia="宋体" w:cs="宋体"/>
                <w:sz w:val="21"/>
                <w:szCs w:val="21"/>
              </w:rPr>
              <w:t>%</w:t>
            </w:r>
          </w:p>
        </w:tc>
        <w:tc>
          <w:tcPr>
            <w:tcW w:w="1292"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需求分析</w:t>
            </w:r>
            <w:r>
              <w:rPr>
                <w:rFonts w:hint="eastAsia" w:ascii="宋体" w:hAnsi="宋体" w:eastAsia="宋体" w:cs="宋体"/>
                <w:sz w:val="21"/>
                <w:szCs w:val="21"/>
                <w:lang w:val="en-US" w:eastAsia="zh-CN"/>
              </w:rPr>
              <w:t>10</w:t>
            </w:r>
            <w:r>
              <w:rPr>
                <w:rFonts w:hint="eastAsia" w:ascii="宋体" w:hAnsi="宋体" w:eastAsia="宋体" w:cs="宋体"/>
                <w:sz w:val="21"/>
                <w:szCs w:val="21"/>
              </w:rPr>
              <w:t>分</w:t>
            </w:r>
          </w:p>
        </w:tc>
        <w:tc>
          <w:tcPr>
            <w:tcW w:w="5413" w:type="dxa"/>
            <w:vAlign w:val="center"/>
          </w:tcPr>
          <w:p>
            <w:pPr>
              <w:rPr>
                <w:rFonts w:hint="eastAsia" w:ascii="宋体" w:hAnsi="宋体" w:eastAsia="宋体" w:cs="宋体"/>
                <w:sz w:val="21"/>
                <w:szCs w:val="21"/>
              </w:rPr>
            </w:pPr>
            <w:r>
              <w:rPr>
                <w:rFonts w:hint="eastAsia" w:ascii="宋体" w:hAnsi="宋体" w:eastAsia="宋体" w:cs="宋体"/>
                <w:sz w:val="21"/>
                <w:szCs w:val="21"/>
              </w:rPr>
              <w:t>根据供应商针对本项目提供的需求分析（①项目基本情况</w:t>
            </w:r>
            <w:r>
              <w:rPr>
                <w:rFonts w:hint="eastAsia" w:cs="宋体"/>
                <w:sz w:val="21"/>
                <w:szCs w:val="21"/>
                <w:lang w:eastAsia="zh-CN"/>
              </w:rPr>
              <w:t>；</w:t>
            </w:r>
            <w:r>
              <w:rPr>
                <w:rFonts w:hint="eastAsia" w:ascii="宋体" w:hAnsi="宋体" w:eastAsia="宋体" w:cs="宋体"/>
                <w:sz w:val="21"/>
                <w:szCs w:val="21"/>
              </w:rPr>
              <w:t>②项目内容</w:t>
            </w:r>
            <w:bookmarkStart w:id="1169" w:name="_GoBack"/>
            <w:bookmarkEnd w:id="1169"/>
            <w:r>
              <w:rPr>
                <w:rFonts w:hint="eastAsia" w:ascii="宋体" w:hAnsi="宋体" w:eastAsia="宋体" w:cs="宋体"/>
                <w:sz w:val="21"/>
                <w:szCs w:val="21"/>
              </w:rPr>
              <w:t>及问题识别</w:t>
            </w:r>
            <w:r>
              <w:rPr>
                <w:rFonts w:hint="eastAsia" w:cs="宋体"/>
                <w:sz w:val="21"/>
                <w:szCs w:val="21"/>
                <w:lang w:eastAsia="zh-CN"/>
              </w:rPr>
              <w:t>；</w:t>
            </w:r>
            <w:r>
              <w:rPr>
                <w:rFonts w:hint="eastAsia" w:ascii="宋体" w:hAnsi="宋体" w:eastAsia="宋体" w:cs="宋体"/>
                <w:sz w:val="21"/>
                <w:szCs w:val="21"/>
              </w:rPr>
              <w:t>③目标任务分析与综合</w:t>
            </w:r>
            <w:r>
              <w:rPr>
                <w:rFonts w:hint="eastAsia" w:cs="宋体"/>
                <w:sz w:val="21"/>
                <w:szCs w:val="21"/>
                <w:lang w:eastAsia="zh-CN"/>
              </w:rPr>
              <w:t>；</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 4 \* GB3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④</w:t>
            </w:r>
            <w:r>
              <w:rPr>
                <w:rFonts w:hint="eastAsia" w:ascii="宋体" w:hAnsi="宋体" w:eastAsia="宋体" w:cs="宋体"/>
                <w:sz w:val="21"/>
                <w:szCs w:val="21"/>
              </w:rPr>
              <w:fldChar w:fldCharType="end"/>
            </w:r>
            <w:r>
              <w:rPr>
                <w:rFonts w:hint="eastAsia" w:ascii="宋体" w:hAnsi="宋体" w:eastAsia="宋体" w:cs="宋体"/>
                <w:sz w:val="21"/>
                <w:szCs w:val="21"/>
              </w:rPr>
              <w:t>项目流程、</w:t>
            </w:r>
            <w:r>
              <w:rPr>
                <w:rFonts w:hint="eastAsia" w:ascii="宋体" w:hAnsi="宋体" w:eastAsia="宋体" w:cs="宋体"/>
                <w:sz w:val="21"/>
                <w:szCs w:val="21"/>
                <w:lang w:val="en-US" w:eastAsia="zh-CN"/>
              </w:rPr>
              <w:t>执行</w:t>
            </w:r>
            <w:r>
              <w:rPr>
                <w:rFonts w:hint="eastAsia" w:ascii="宋体" w:hAnsi="宋体" w:eastAsia="宋体" w:cs="宋体"/>
                <w:sz w:val="21"/>
                <w:szCs w:val="21"/>
              </w:rPr>
              <w:t>标准</w:t>
            </w:r>
            <w:r>
              <w:rPr>
                <w:rFonts w:hint="eastAsia" w:cs="宋体"/>
                <w:sz w:val="21"/>
                <w:szCs w:val="21"/>
                <w:lang w:eastAsia="zh-CN"/>
              </w:rPr>
              <w:t>；</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 5 \* GB3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⑤</w:t>
            </w:r>
            <w:r>
              <w:rPr>
                <w:rFonts w:hint="eastAsia" w:ascii="宋体" w:hAnsi="宋体" w:eastAsia="宋体" w:cs="宋体"/>
                <w:sz w:val="21"/>
                <w:szCs w:val="21"/>
              </w:rPr>
              <w:fldChar w:fldCharType="end"/>
            </w:r>
            <w:r>
              <w:rPr>
                <w:rFonts w:hint="eastAsia" w:ascii="宋体" w:hAnsi="宋体" w:eastAsia="宋体" w:cs="宋体"/>
                <w:sz w:val="21"/>
                <w:szCs w:val="21"/>
              </w:rPr>
              <w:t>项目总体控制等内容）进行综合评分：需求分析内容齐全，方法模型严谨，层次结构细化，准确理解用户和项目的服务功能、质量、可靠性等要求</w:t>
            </w:r>
            <w:r>
              <w:rPr>
                <w:rFonts w:hint="eastAsia" w:cs="宋体"/>
                <w:sz w:val="21"/>
                <w:szCs w:val="21"/>
                <w:lang w:val="en-US" w:eastAsia="zh-CN"/>
              </w:rPr>
              <w:t>的</w:t>
            </w:r>
            <w:r>
              <w:rPr>
                <w:rFonts w:hint="eastAsia" w:ascii="宋体" w:hAnsi="宋体" w:eastAsia="宋体" w:cs="宋体"/>
                <w:sz w:val="21"/>
                <w:szCs w:val="21"/>
              </w:rPr>
              <w:t>得</w:t>
            </w:r>
            <w:r>
              <w:rPr>
                <w:rFonts w:hint="eastAsia" w:ascii="宋体" w:hAnsi="宋体" w:eastAsia="宋体" w:cs="宋体"/>
                <w:sz w:val="21"/>
                <w:szCs w:val="21"/>
                <w:lang w:val="en-US" w:eastAsia="zh-CN"/>
              </w:rPr>
              <w:t>10</w:t>
            </w:r>
            <w:r>
              <w:rPr>
                <w:rFonts w:hint="eastAsia" w:ascii="宋体" w:hAnsi="宋体" w:eastAsia="宋体" w:cs="宋体"/>
                <w:sz w:val="21"/>
                <w:szCs w:val="21"/>
              </w:rPr>
              <w:t>分，每缺少一项内容或内容不满足要求的扣2分，每有一处项目内容与本项目不匹配的或项目名称</w:t>
            </w:r>
            <w:r>
              <w:rPr>
                <w:rFonts w:hint="eastAsia" w:ascii="宋体" w:hAnsi="宋体" w:eastAsia="宋体" w:cs="宋体"/>
                <w:sz w:val="21"/>
                <w:szCs w:val="21"/>
                <w:lang w:eastAsia="zh-CN"/>
              </w:rPr>
              <w:t>、</w:t>
            </w:r>
            <w:r>
              <w:rPr>
                <w:rFonts w:hint="eastAsia" w:ascii="宋体" w:hAnsi="宋体" w:eastAsia="宋体" w:cs="宋体"/>
                <w:sz w:val="21"/>
                <w:szCs w:val="21"/>
              </w:rPr>
              <w:t>履约地点与技术服务要求不一致或内容脱落实际等情形扣1分，扣完为止。</w:t>
            </w:r>
          </w:p>
        </w:tc>
        <w:tc>
          <w:tcPr>
            <w:tcW w:w="1056" w:type="dxa"/>
            <w:vMerge w:val="restart"/>
            <w:vAlign w:val="center"/>
          </w:tcPr>
          <w:p>
            <w:pPr>
              <w:pStyle w:val="43"/>
              <w:rPr>
                <w:rFonts w:hint="eastAsia" w:ascii="宋体" w:hAnsi="宋体" w:eastAsia="宋体" w:cs="宋体"/>
                <w:sz w:val="21"/>
                <w:szCs w:val="21"/>
              </w:rPr>
            </w:pPr>
            <w:r>
              <w:rPr>
                <w:rFonts w:hint="eastAsia" w:ascii="宋体" w:hAnsi="宋体" w:eastAsia="宋体" w:cs="宋体"/>
                <w:sz w:val="21"/>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9" w:hRule="atLeast"/>
          <w:jc w:val="center"/>
        </w:trPr>
        <w:tc>
          <w:tcPr>
            <w:tcW w:w="844" w:type="dxa"/>
            <w:vMerge w:val="continue"/>
            <w:vAlign w:val="center"/>
          </w:tcPr>
          <w:p>
            <w:pPr>
              <w:pStyle w:val="43"/>
              <w:rPr>
                <w:rFonts w:hint="eastAsia" w:ascii="宋体" w:hAnsi="宋体" w:eastAsia="宋体" w:cs="宋体"/>
                <w:sz w:val="21"/>
                <w:szCs w:val="21"/>
              </w:rPr>
            </w:pPr>
          </w:p>
        </w:tc>
        <w:tc>
          <w:tcPr>
            <w:tcW w:w="1293" w:type="dxa"/>
            <w:vMerge w:val="continue"/>
            <w:vAlign w:val="center"/>
          </w:tcPr>
          <w:p>
            <w:pPr>
              <w:pStyle w:val="43"/>
              <w:rPr>
                <w:rFonts w:hint="eastAsia" w:ascii="宋体" w:hAnsi="宋体" w:eastAsia="宋体" w:cs="宋体"/>
                <w:sz w:val="21"/>
                <w:szCs w:val="21"/>
              </w:rPr>
            </w:pPr>
          </w:p>
        </w:tc>
        <w:tc>
          <w:tcPr>
            <w:tcW w:w="1292"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项目实施</w:t>
            </w:r>
          </w:p>
          <w:p>
            <w:pPr>
              <w:jc w:val="center"/>
              <w:rPr>
                <w:rFonts w:hint="eastAsia" w:ascii="宋体" w:hAnsi="宋体" w:eastAsia="宋体" w:cs="宋体"/>
                <w:sz w:val="21"/>
                <w:szCs w:val="21"/>
              </w:rPr>
            </w:pPr>
            <w:r>
              <w:rPr>
                <w:rFonts w:hint="eastAsia" w:ascii="宋体" w:hAnsi="宋体" w:eastAsia="宋体" w:cs="宋体"/>
                <w:sz w:val="21"/>
                <w:szCs w:val="21"/>
              </w:rPr>
              <w:t>计划</w:t>
            </w:r>
            <w:r>
              <w:rPr>
                <w:rFonts w:hint="eastAsia" w:ascii="宋体" w:hAnsi="宋体" w:eastAsia="宋体" w:cs="宋体"/>
                <w:sz w:val="21"/>
                <w:szCs w:val="21"/>
                <w:lang w:val="en-US" w:eastAsia="zh-CN"/>
              </w:rPr>
              <w:t>8</w:t>
            </w:r>
            <w:r>
              <w:rPr>
                <w:rFonts w:hint="eastAsia" w:ascii="宋体" w:hAnsi="宋体" w:eastAsia="宋体" w:cs="宋体"/>
                <w:sz w:val="21"/>
                <w:szCs w:val="21"/>
              </w:rPr>
              <w:t>分</w:t>
            </w:r>
          </w:p>
        </w:tc>
        <w:tc>
          <w:tcPr>
            <w:tcW w:w="5413" w:type="dxa"/>
            <w:vAlign w:val="center"/>
          </w:tcPr>
          <w:p>
            <w:pPr>
              <w:rPr>
                <w:rFonts w:hint="eastAsia" w:ascii="宋体" w:hAnsi="宋体" w:eastAsia="宋体" w:cs="宋体"/>
                <w:sz w:val="21"/>
                <w:szCs w:val="21"/>
              </w:rPr>
            </w:pPr>
            <w:r>
              <w:rPr>
                <w:rFonts w:hint="eastAsia" w:ascii="宋体" w:hAnsi="宋体" w:eastAsia="宋体" w:cs="宋体"/>
                <w:sz w:val="21"/>
                <w:szCs w:val="21"/>
              </w:rPr>
              <w:t>根据投标人提供的项目实施计划，</w:t>
            </w:r>
            <w:r>
              <w:rPr>
                <w:rFonts w:hint="eastAsia" w:ascii="宋体" w:hAnsi="宋体" w:eastAsia="宋体" w:cs="宋体"/>
                <w:color w:val="000000"/>
                <w:sz w:val="21"/>
                <w:szCs w:val="21"/>
              </w:rPr>
              <w:t>包含但不限于</w:t>
            </w:r>
            <w:r>
              <w:rPr>
                <w:rFonts w:hint="eastAsia" w:ascii="宋体" w:hAnsi="宋体" w:eastAsia="宋体" w:cs="宋体"/>
                <w:sz w:val="21"/>
                <w:szCs w:val="21"/>
              </w:rPr>
              <w:t>①设备配置计划；②人员配置计划及进出场计划；</w:t>
            </w:r>
            <w:r>
              <w:rPr>
                <w:rFonts w:hint="eastAsia" w:ascii="宋体" w:hAnsi="宋体" w:eastAsia="宋体" w:cs="宋体"/>
                <w:color w:val="000000"/>
                <w:kern w:val="0"/>
                <w:sz w:val="21"/>
                <w:szCs w:val="21"/>
              </w:rPr>
              <w:t>③</w:t>
            </w:r>
            <w:r>
              <w:rPr>
                <w:rFonts w:hint="eastAsia" w:ascii="宋体" w:hAnsi="宋体" w:eastAsia="宋体" w:cs="宋体"/>
                <w:color w:val="000000"/>
                <w:kern w:val="0"/>
                <w:sz w:val="21"/>
                <w:szCs w:val="21"/>
                <w:lang w:val="en-US" w:eastAsia="zh-CN"/>
              </w:rPr>
              <w:t>专业知识准备、</w:t>
            </w:r>
            <w:r>
              <w:rPr>
                <w:rFonts w:hint="eastAsia" w:ascii="宋体" w:hAnsi="宋体" w:eastAsia="宋体" w:cs="宋体"/>
                <w:color w:val="000000"/>
                <w:kern w:val="0"/>
                <w:sz w:val="21"/>
                <w:szCs w:val="21"/>
              </w:rPr>
              <w:t>检测进度计划与过程质控；④质量控制措施等内容进行综合评审：</w:t>
            </w:r>
            <w:r>
              <w:rPr>
                <w:rFonts w:hint="eastAsia" w:ascii="宋体" w:hAnsi="宋体" w:eastAsia="宋体" w:cs="宋体"/>
                <w:color w:val="000000"/>
                <w:kern w:val="0"/>
                <w:sz w:val="21"/>
                <w:szCs w:val="21"/>
                <w:lang w:val="en-US" w:eastAsia="zh-CN"/>
              </w:rPr>
              <w:t>实施计划内容齐全，</w:t>
            </w:r>
            <w:r>
              <w:rPr>
                <w:rFonts w:hint="eastAsia" w:ascii="宋体" w:hAnsi="宋体" w:eastAsia="宋体" w:cs="宋体"/>
                <w:sz w:val="21"/>
                <w:szCs w:val="21"/>
              </w:rPr>
              <w:t>各工作岗位的人员配备科学，设备配置先进完善、与采购单位工作流程的配合密切的</w:t>
            </w:r>
            <w:r>
              <w:rPr>
                <w:rFonts w:hint="eastAsia" w:cs="宋体"/>
                <w:sz w:val="21"/>
                <w:szCs w:val="21"/>
                <w:lang w:val="en-US" w:eastAsia="zh-CN"/>
              </w:rPr>
              <w:t>得</w:t>
            </w:r>
            <w:r>
              <w:rPr>
                <w:rFonts w:hint="eastAsia" w:ascii="宋体" w:hAnsi="宋体" w:eastAsia="宋体" w:cs="宋体"/>
                <w:sz w:val="21"/>
                <w:szCs w:val="21"/>
                <w:lang w:val="en-US" w:eastAsia="zh-CN"/>
              </w:rPr>
              <w:t>8</w:t>
            </w:r>
            <w:r>
              <w:rPr>
                <w:rFonts w:hint="eastAsia" w:ascii="宋体" w:hAnsi="宋体" w:eastAsia="宋体" w:cs="宋体"/>
                <w:sz w:val="21"/>
                <w:szCs w:val="21"/>
              </w:rPr>
              <w:t>分，每缺少一项内容或内容不满足要求的扣</w:t>
            </w:r>
            <w:r>
              <w:rPr>
                <w:rFonts w:hint="eastAsia" w:ascii="宋体" w:hAnsi="宋体" w:eastAsia="宋体" w:cs="宋体"/>
                <w:sz w:val="21"/>
                <w:szCs w:val="21"/>
                <w:lang w:val="en-US" w:eastAsia="zh-CN"/>
              </w:rPr>
              <w:t>2</w:t>
            </w:r>
            <w:r>
              <w:rPr>
                <w:rFonts w:hint="eastAsia" w:ascii="宋体" w:hAnsi="宋体" w:eastAsia="宋体" w:cs="宋体"/>
                <w:sz w:val="21"/>
                <w:szCs w:val="21"/>
              </w:rPr>
              <w:t>分，每有一处项目内容与本项目不匹配的或项目名称、履约地点与技术服务要求不一致或内容脱落实际等情形扣1分，扣完为止。</w:t>
            </w:r>
          </w:p>
        </w:tc>
        <w:tc>
          <w:tcPr>
            <w:tcW w:w="1056" w:type="dxa"/>
            <w:vMerge w:val="continue"/>
            <w:vAlign w:val="center"/>
          </w:tcPr>
          <w:p>
            <w:pPr>
              <w:pStyle w:val="43"/>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1" w:hRule="atLeast"/>
          <w:jc w:val="center"/>
        </w:trPr>
        <w:tc>
          <w:tcPr>
            <w:tcW w:w="844" w:type="dxa"/>
            <w:vMerge w:val="continue"/>
            <w:vAlign w:val="center"/>
          </w:tcPr>
          <w:p>
            <w:pPr>
              <w:pStyle w:val="43"/>
              <w:rPr>
                <w:rFonts w:hint="eastAsia" w:ascii="宋体" w:hAnsi="宋体" w:eastAsia="宋体" w:cs="宋体"/>
                <w:sz w:val="21"/>
                <w:szCs w:val="21"/>
              </w:rPr>
            </w:pPr>
          </w:p>
        </w:tc>
        <w:tc>
          <w:tcPr>
            <w:tcW w:w="1293" w:type="dxa"/>
            <w:vMerge w:val="continue"/>
            <w:vAlign w:val="center"/>
          </w:tcPr>
          <w:p>
            <w:pPr>
              <w:pStyle w:val="43"/>
              <w:rPr>
                <w:rFonts w:hint="eastAsia" w:ascii="宋体" w:hAnsi="宋体" w:eastAsia="宋体" w:cs="宋体"/>
                <w:sz w:val="21"/>
                <w:szCs w:val="21"/>
              </w:rPr>
            </w:pPr>
          </w:p>
        </w:tc>
        <w:tc>
          <w:tcPr>
            <w:tcW w:w="1292"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项目重、难点分析</w:t>
            </w:r>
            <w:r>
              <w:rPr>
                <w:rFonts w:hint="eastAsia" w:ascii="宋体" w:hAnsi="宋体" w:eastAsia="宋体" w:cs="宋体"/>
                <w:sz w:val="21"/>
                <w:szCs w:val="21"/>
                <w:lang w:val="en-US" w:eastAsia="zh-CN"/>
              </w:rPr>
              <w:t>6</w:t>
            </w:r>
            <w:r>
              <w:rPr>
                <w:rFonts w:hint="eastAsia" w:ascii="宋体" w:hAnsi="宋体" w:eastAsia="宋体" w:cs="宋体"/>
                <w:sz w:val="21"/>
                <w:szCs w:val="21"/>
              </w:rPr>
              <w:t>分</w:t>
            </w:r>
          </w:p>
        </w:tc>
        <w:tc>
          <w:tcPr>
            <w:tcW w:w="5413" w:type="dxa"/>
            <w:vAlign w:val="center"/>
          </w:tcPr>
          <w:p>
            <w:pPr>
              <w:rPr>
                <w:rFonts w:hint="eastAsia" w:ascii="宋体" w:hAnsi="宋体" w:eastAsia="宋体" w:cs="宋体"/>
                <w:sz w:val="21"/>
                <w:szCs w:val="21"/>
              </w:rPr>
            </w:pPr>
            <w:r>
              <w:rPr>
                <w:rFonts w:hint="eastAsia" w:ascii="宋体" w:hAnsi="宋体" w:eastAsia="宋体" w:cs="宋体"/>
                <w:sz w:val="21"/>
                <w:szCs w:val="21"/>
              </w:rPr>
              <w:t>根据投标人对项目重、难点分析及应对措施是否完善、匹配项目要求进行综合评审：包括①项目重、难点分析；②针对本项目应对措施。前述2项</w:t>
            </w:r>
            <w:r>
              <w:rPr>
                <w:rFonts w:hint="eastAsia" w:cs="宋体"/>
                <w:sz w:val="21"/>
                <w:szCs w:val="21"/>
                <w:lang w:val="en-US" w:eastAsia="zh-CN"/>
              </w:rPr>
              <w:t>内容齐全，</w:t>
            </w:r>
            <w:r>
              <w:rPr>
                <w:rFonts w:hint="eastAsia" w:ascii="宋体" w:hAnsi="宋体" w:eastAsia="宋体" w:cs="宋体"/>
                <w:sz w:val="21"/>
                <w:szCs w:val="21"/>
              </w:rPr>
              <w:t>均满足项目需求的得</w:t>
            </w:r>
            <w:r>
              <w:rPr>
                <w:rFonts w:hint="eastAsia" w:ascii="宋体" w:hAnsi="宋体" w:eastAsia="宋体" w:cs="宋体"/>
                <w:sz w:val="21"/>
                <w:szCs w:val="21"/>
                <w:lang w:val="en-US" w:eastAsia="zh-CN"/>
              </w:rPr>
              <w:t>6</w:t>
            </w:r>
            <w:r>
              <w:rPr>
                <w:rFonts w:hint="eastAsia" w:ascii="宋体" w:hAnsi="宋体" w:eastAsia="宋体" w:cs="宋体"/>
                <w:sz w:val="21"/>
                <w:szCs w:val="21"/>
              </w:rPr>
              <w:t>分，每缺少一项内容或内容不满足要求的扣</w:t>
            </w:r>
            <w:r>
              <w:rPr>
                <w:rFonts w:hint="eastAsia" w:ascii="宋体" w:hAnsi="宋体" w:eastAsia="宋体" w:cs="宋体"/>
                <w:sz w:val="21"/>
                <w:szCs w:val="21"/>
                <w:lang w:val="en-US" w:eastAsia="zh-CN"/>
              </w:rPr>
              <w:t>3</w:t>
            </w:r>
            <w:r>
              <w:rPr>
                <w:rFonts w:hint="eastAsia" w:ascii="宋体" w:hAnsi="宋体" w:eastAsia="宋体" w:cs="宋体"/>
                <w:sz w:val="21"/>
                <w:szCs w:val="21"/>
              </w:rPr>
              <w:t>分，每有一处项目内容与本项目不匹配的或项目名称、履约地点与技术服务要求不一致或内容脱落实际等情形扣</w:t>
            </w:r>
            <w:r>
              <w:rPr>
                <w:rFonts w:hint="eastAsia" w:ascii="宋体" w:hAnsi="宋体" w:eastAsia="宋体" w:cs="宋体"/>
                <w:sz w:val="21"/>
                <w:szCs w:val="21"/>
                <w:lang w:val="en-US" w:eastAsia="zh-CN"/>
              </w:rPr>
              <w:t>1.5</w:t>
            </w:r>
            <w:r>
              <w:rPr>
                <w:rFonts w:hint="eastAsia" w:ascii="宋体" w:hAnsi="宋体" w:eastAsia="宋体" w:cs="宋体"/>
                <w:sz w:val="21"/>
                <w:szCs w:val="21"/>
              </w:rPr>
              <w:t>分，扣完为止。</w:t>
            </w:r>
          </w:p>
        </w:tc>
        <w:tc>
          <w:tcPr>
            <w:tcW w:w="1056" w:type="dxa"/>
            <w:vMerge w:val="continue"/>
            <w:vAlign w:val="center"/>
          </w:tcPr>
          <w:p>
            <w:pPr>
              <w:pStyle w:val="43"/>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1" w:hRule="atLeast"/>
          <w:jc w:val="center"/>
        </w:trPr>
        <w:tc>
          <w:tcPr>
            <w:tcW w:w="844" w:type="dxa"/>
            <w:vMerge w:val="continue"/>
            <w:vAlign w:val="center"/>
          </w:tcPr>
          <w:p>
            <w:pPr>
              <w:pStyle w:val="43"/>
              <w:rPr>
                <w:rFonts w:hint="eastAsia" w:ascii="宋体" w:hAnsi="宋体" w:eastAsia="宋体" w:cs="宋体"/>
                <w:sz w:val="21"/>
                <w:szCs w:val="21"/>
              </w:rPr>
            </w:pPr>
          </w:p>
        </w:tc>
        <w:tc>
          <w:tcPr>
            <w:tcW w:w="1293" w:type="dxa"/>
            <w:vMerge w:val="continue"/>
            <w:vAlign w:val="center"/>
          </w:tcPr>
          <w:p>
            <w:pPr>
              <w:pStyle w:val="43"/>
              <w:rPr>
                <w:rFonts w:hint="eastAsia" w:ascii="宋体" w:hAnsi="宋体" w:eastAsia="宋体" w:cs="宋体"/>
                <w:sz w:val="21"/>
                <w:szCs w:val="21"/>
              </w:rPr>
            </w:pPr>
          </w:p>
        </w:tc>
        <w:tc>
          <w:tcPr>
            <w:tcW w:w="1292"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项目安全保障方案</w:t>
            </w:r>
            <w:r>
              <w:rPr>
                <w:rFonts w:hint="eastAsia" w:ascii="宋体" w:hAnsi="宋体" w:eastAsia="宋体" w:cs="宋体"/>
                <w:sz w:val="21"/>
                <w:szCs w:val="21"/>
                <w:lang w:val="en-US" w:eastAsia="zh-CN"/>
              </w:rPr>
              <w:t>6</w:t>
            </w:r>
            <w:r>
              <w:rPr>
                <w:rFonts w:hint="eastAsia" w:ascii="宋体" w:hAnsi="宋体" w:eastAsia="宋体" w:cs="宋体"/>
                <w:sz w:val="21"/>
                <w:szCs w:val="21"/>
              </w:rPr>
              <w:t>分</w:t>
            </w:r>
          </w:p>
        </w:tc>
        <w:tc>
          <w:tcPr>
            <w:tcW w:w="5413" w:type="dxa"/>
            <w:vAlign w:val="center"/>
          </w:tcPr>
          <w:p>
            <w:pPr>
              <w:rPr>
                <w:rFonts w:hint="eastAsia" w:ascii="宋体" w:hAnsi="宋体" w:eastAsia="宋体" w:cs="宋体"/>
                <w:sz w:val="21"/>
                <w:szCs w:val="21"/>
              </w:rPr>
            </w:pPr>
            <w:r>
              <w:rPr>
                <w:rFonts w:hint="eastAsia" w:ascii="宋体" w:hAnsi="宋体" w:eastAsia="宋体" w:cs="宋体"/>
                <w:color w:val="000000"/>
                <w:sz w:val="21"/>
                <w:szCs w:val="21"/>
              </w:rPr>
              <w:t>根据投标人提供的项目安全保障方案，包含但不限于①检测人员安全保障措施；②通行安全保证措施；③档案安全管理制度等进行</w:t>
            </w:r>
            <w:r>
              <w:rPr>
                <w:rFonts w:hint="eastAsia" w:ascii="宋体" w:hAnsi="宋体" w:eastAsia="宋体" w:cs="宋体"/>
                <w:sz w:val="21"/>
                <w:szCs w:val="21"/>
              </w:rPr>
              <w:t>综合评审</w:t>
            </w:r>
            <w:r>
              <w:rPr>
                <w:rFonts w:hint="eastAsia" w:ascii="宋体" w:hAnsi="宋体" w:eastAsia="宋体" w:cs="宋体"/>
                <w:color w:val="000000"/>
                <w:sz w:val="21"/>
                <w:szCs w:val="21"/>
              </w:rPr>
              <w:t>：方案内容齐全，措施健全、完全满足项目需求</w:t>
            </w:r>
            <w:r>
              <w:rPr>
                <w:rFonts w:hint="eastAsia" w:ascii="宋体" w:hAnsi="宋体" w:eastAsia="宋体" w:cs="宋体"/>
                <w:color w:val="000000"/>
                <w:kern w:val="0"/>
                <w:sz w:val="21"/>
                <w:szCs w:val="21"/>
              </w:rPr>
              <w:t>的得</w:t>
            </w:r>
            <w:r>
              <w:rPr>
                <w:rFonts w:hint="eastAsia" w:ascii="宋体" w:hAnsi="宋体" w:eastAsia="宋体" w:cs="宋体"/>
                <w:color w:val="000000"/>
                <w:kern w:val="0"/>
                <w:sz w:val="21"/>
                <w:szCs w:val="21"/>
                <w:lang w:val="en-US" w:eastAsia="zh-CN"/>
              </w:rPr>
              <w:t>6</w:t>
            </w:r>
            <w:r>
              <w:rPr>
                <w:rFonts w:hint="eastAsia" w:ascii="宋体" w:hAnsi="宋体" w:eastAsia="宋体" w:cs="宋体"/>
                <w:color w:val="000000"/>
                <w:kern w:val="0"/>
                <w:sz w:val="21"/>
                <w:szCs w:val="21"/>
              </w:rPr>
              <w:t>分，</w:t>
            </w:r>
            <w:r>
              <w:rPr>
                <w:rFonts w:hint="eastAsia" w:ascii="宋体" w:hAnsi="宋体" w:eastAsia="宋体" w:cs="宋体"/>
                <w:sz w:val="21"/>
                <w:szCs w:val="21"/>
              </w:rPr>
              <w:t>每缺少一项内容</w:t>
            </w:r>
            <w:r>
              <w:rPr>
                <w:rFonts w:hint="eastAsia" w:ascii="宋体" w:hAnsi="宋体" w:eastAsia="宋体" w:cs="宋体"/>
                <w:color w:val="000000"/>
                <w:kern w:val="0"/>
                <w:sz w:val="21"/>
                <w:szCs w:val="21"/>
              </w:rPr>
              <w:t>或内容不满足要求的扣2分，</w:t>
            </w:r>
            <w:r>
              <w:rPr>
                <w:rFonts w:hint="eastAsia" w:ascii="宋体" w:hAnsi="宋体" w:eastAsia="宋体" w:cs="宋体"/>
                <w:sz w:val="21"/>
                <w:szCs w:val="21"/>
              </w:rPr>
              <w:t>每有一处项目内容与本项目不匹配的或项目名称、履约地点与技术服务要求不一致或内容脱落实际等情形扣1分，扣完为止</w:t>
            </w:r>
            <w:r>
              <w:rPr>
                <w:rFonts w:hint="eastAsia" w:ascii="宋体" w:hAnsi="宋体" w:eastAsia="宋体" w:cs="宋体"/>
                <w:color w:val="000000"/>
                <w:kern w:val="0"/>
                <w:sz w:val="21"/>
                <w:szCs w:val="21"/>
              </w:rPr>
              <w:t>。</w:t>
            </w:r>
          </w:p>
        </w:tc>
        <w:tc>
          <w:tcPr>
            <w:tcW w:w="1056" w:type="dxa"/>
            <w:vMerge w:val="continue"/>
            <w:vAlign w:val="center"/>
          </w:tcPr>
          <w:p>
            <w:pPr>
              <w:pStyle w:val="43"/>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844" w:type="dxa"/>
            <w:vMerge w:val="continue"/>
            <w:vAlign w:val="center"/>
          </w:tcPr>
          <w:p>
            <w:pPr>
              <w:pStyle w:val="43"/>
              <w:rPr>
                <w:rFonts w:hint="eastAsia" w:ascii="宋体" w:hAnsi="宋体" w:eastAsia="宋体" w:cs="宋体"/>
                <w:sz w:val="21"/>
                <w:szCs w:val="21"/>
              </w:rPr>
            </w:pPr>
          </w:p>
        </w:tc>
        <w:tc>
          <w:tcPr>
            <w:tcW w:w="1293" w:type="dxa"/>
            <w:vMerge w:val="continue"/>
            <w:vAlign w:val="center"/>
          </w:tcPr>
          <w:p>
            <w:pPr>
              <w:pStyle w:val="43"/>
              <w:rPr>
                <w:rFonts w:hint="eastAsia" w:ascii="宋体" w:hAnsi="宋体" w:eastAsia="宋体" w:cs="宋体"/>
                <w:sz w:val="21"/>
                <w:szCs w:val="21"/>
              </w:rPr>
            </w:pPr>
          </w:p>
        </w:tc>
        <w:tc>
          <w:tcPr>
            <w:tcW w:w="1292"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其他服务</w:t>
            </w:r>
          </w:p>
          <w:p>
            <w:pPr>
              <w:jc w:val="center"/>
              <w:rPr>
                <w:rFonts w:hint="eastAsia" w:ascii="宋体" w:hAnsi="宋体" w:eastAsia="宋体" w:cs="宋体"/>
                <w:sz w:val="21"/>
                <w:szCs w:val="21"/>
              </w:rPr>
            </w:pPr>
            <w:r>
              <w:rPr>
                <w:rFonts w:hint="eastAsia" w:ascii="宋体" w:hAnsi="宋体" w:eastAsia="宋体" w:cs="宋体"/>
                <w:sz w:val="21"/>
                <w:szCs w:val="21"/>
              </w:rPr>
              <w:t>2分</w:t>
            </w:r>
          </w:p>
        </w:tc>
        <w:tc>
          <w:tcPr>
            <w:tcW w:w="5413" w:type="dxa"/>
            <w:vAlign w:val="center"/>
          </w:tcPr>
          <w:p>
            <w:pPr>
              <w:rPr>
                <w:rFonts w:hint="eastAsia" w:ascii="宋体" w:hAnsi="宋体" w:eastAsia="宋体" w:cs="宋体"/>
                <w:sz w:val="21"/>
                <w:szCs w:val="21"/>
              </w:rPr>
            </w:pPr>
            <w:r>
              <w:rPr>
                <w:rFonts w:hint="eastAsia" w:ascii="宋体" w:hAnsi="宋体" w:eastAsia="宋体" w:cs="宋体"/>
                <w:color w:val="000000"/>
                <w:kern w:val="0"/>
                <w:sz w:val="21"/>
                <w:szCs w:val="21"/>
              </w:rPr>
              <w:t>根据投标人针对本项目提供的增值服务，每有一项有利于项目实施的内容、措施或承诺被评审委员会认可的加1分，最多加2分。</w:t>
            </w:r>
          </w:p>
        </w:tc>
        <w:tc>
          <w:tcPr>
            <w:tcW w:w="1056" w:type="dxa"/>
            <w:vMerge w:val="continue"/>
            <w:vAlign w:val="center"/>
          </w:tcPr>
          <w:p>
            <w:pPr>
              <w:pStyle w:val="43"/>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8" w:hRule="atLeast"/>
          <w:jc w:val="center"/>
        </w:trPr>
        <w:tc>
          <w:tcPr>
            <w:tcW w:w="844" w:type="dxa"/>
            <w:vAlign w:val="center"/>
          </w:tcPr>
          <w:p>
            <w:pPr>
              <w:pStyle w:val="43"/>
              <w:rPr>
                <w:rFonts w:hint="eastAsia" w:ascii="宋体" w:hAnsi="宋体" w:eastAsia="宋体" w:cs="宋体"/>
                <w:snapToGrid w:val="0"/>
                <w:sz w:val="21"/>
                <w:szCs w:val="21"/>
              </w:rPr>
            </w:pPr>
            <w:r>
              <w:rPr>
                <w:rFonts w:hint="eastAsia" w:ascii="宋体" w:hAnsi="宋体" w:eastAsia="宋体" w:cs="宋体"/>
                <w:snapToGrid w:val="0"/>
                <w:sz w:val="21"/>
                <w:szCs w:val="21"/>
              </w:rPr>
              <w:t>三</w:t>
            </w:r>
          </w:p>
        </w:tc>
        <w:tc>
          <w:tcPr>
            <w:tcW w:w="1293" w:type="dxa"/>
            <w:vAlign w:val="center"/>
          </w:tcPr>
          <w:p>
            <w:pPr>
              <w:pStyle w:val="43"/>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人员配置</w:t>
            </w:r>
          </w:p>
          <w:p>
            <w:pPr>
              <w:pStyle w:val="43"/>
              <w:rPr>
                <w:rFonts w:hint="eastAsia" w:ascii="宋体" w:hAnsi="宋体" w:eastAsia="宋体" w:cs="宋体"/>
                <w:sz w:val="21"/>
                <w:szCs w:val="21"/>
              </w:rPr>
            </w:pPr>
            <w:r>
              <w:rPr>
                <w:rFonts w:hint="eastAsia" w:ascii="宋体" w:hAnsi="宋体" w:eastAsia="宋体" w:cs="宋体"/>
                <w:sz w:val="21"/>
                <w:szCs w:val="21"/>
                <w:lang w:val="en-US" w:eastAsia="zh-CN"/>
              </w:rPr>
              <w:t>20%</w:t>
            </w:r>
          </w:p>
        </w:tc>
        <w:tc>
          <w:tcPr>
            <w:tcW w:w="1292" w:type="dxa"/>
            <w:vAlign w:val="center"/>
          </w:tcPr>
          <w:p>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20分</w:t>
            </w:r>
          </w:p>
        </w:tc>
        <w:tc>
          <w:tcPr>
            <w:tcW w:w="5413" w:type="dxa"/>
            <w:vAlign w:val="center"/>
          </w:tcPr>
          <w:p>
            <w:pPr>
              <w:adjustRightInd w:val="0"/>
              <w:snapToGrid w:val="0"/>
              <w:spacing w:line="300" w:lineRule="exact"/>
              <w:rPr>
                <w:rFonts w:hint="eastAsia" w:ascii="宋体" w:hAnsi="宋体" w:eastAsia="宋体" w:cs="宋体"/>
                <w:sz w:val="21"/>
                <w:szCs w:val="21"/>
              </w:rPr>
            </w:pPr>
            <w:r>
              <w:rPr>
                <w:rFonts w:hint="eastAsia" w:ascii="宋体" w:hAnsi="宋体" w:eastAsia="宋体" w:cs="宋体"/>
                <w:sz w:val="21"/>
                <w:szCs w:val="21"/>
              </w:rPr>
              <w:t>1、项目负责人：具有交通运输</w:t>
            </w:r>
            <w:r>
              <w:rPr>
                <w:rFonts w:hint="eastAsia" w:ascii="宋体" w:hAnsi="宋体" w:eastAsia="宋体" w:cs="宋体"/>
                <w:sz w:val="21"/>
                <w:szCs w:val="21"/>
                <w:lang w:val="en-US" w:eastAsia="zh-CN"/>
              </w:rPr>
              <w:t>主管</w:t>
            </w:r>
            <w:r>
              <w:rPr>
                <w:rFonts w:hint="eastAsia" w:ascii="宋体" w:hAnsi="宋体" w:eastAsia="宋体" w:cs="宋体"/>
                <w:sz w:val="21"/>
                <w:szCs w:val="21"/>
              </w:rPr>
              <w:t>部门颁发的试验检测工程师证书（公路或</w:t>
            </w:r>
            <w:r>
              <w:rPr>
                <w:rFonts w:hint="eastAsia" w:ascii="宋体" w:hAnsi="宋体" w:eastAsia="宋体" w:cs="宋体"/>
                <w:color w:val="auto"/>
                <w:sz w:val="21"/>
                <w:szCs w:val="21"/>
              </w:rPr>
              <w:t>道路</w:t>
            </w:r>
            <w:r>
              <w:rPr>
                <w:rFonts w:hint="eastAsia" w:ascii="宋体" w:hAnsi="宋体" w:eastAsia="宋体" w:cs="宋体"/>
                <w:color w:val="auto"/>
                <w:sz w:val="21"/>
                <w:szCs w:val="21"/>
                <w:lang w:val="en-US" w:eastAsia="zh-CN"/>
              </w:rPr>
              <w:t>工程</w:t>
            </w:r>
            <w:r>
              <w:rPr>
                <w:rFonts w:hint="eastAsia" w:ascii="宋体" w:hAnsi="宋体" w:eastAsia="宋体" w:cs="宋体"/>
                <w:color w:val="auto"/>
                <w:sz w:val="21"/>
                <w:szCs w:val="21"/>
              </w:rPr>
              <w:t>专</w:t>
            </w:r>
            <w:r>
              <w:rPr>
                <w:rFonts w:hint="eastAsia" w:ascii="宋体" w:hAnsi="宋体" w:eastAsia="宋体" w:cs="宋体"/>
                <w:sz w:val="21"/>
                <w:szCs w:val="21"/>
              </w:rPr>
              <w:t>业），且取得公路相关专业高级</w:t>
            </w:r>
            <w:r>
              <w:rPr>
                <w:rFonts w:hint="eastAsia" w:ascii="宋体" w:hAnsi="宋体" w:eastAsia="宋体" w:cs="宋体"/>
                <w:sz w:val="21"/>
                <w:szCs w:val="21"/>
                <w:lang w:val="en-US" w:eastAsia="zh-CN"/>
              </w:rPr>
              <w:t>及以上</w:t>
            </w:r>
            <w:r>
              <w:rPr>
                <w:rFonts w:hint="eastAsia" w:ascii="宋体" w:hAnsi="宋体" w:eastAsia="宋体" w:cs="宋体"/>
                <w:sz w:val="21"/>
                <w:szCs w:val="21"/>
              </w:rPr>
              <w:t>职称的，得</w:t>
            </w:r>
            <w:r>
              <w:rPr>
                <w:rFonts w:hint="eastAsia" w:ascii="宋体" w:hAnsi="宋体" w:eastAsia="宋体" w:cs="宋体"/>
                <w:color w:val="auto"/>
                <w:sz w:val="21"/>
                <w:szCs w:val="21"/>
              </w:rPr>
              <w:t>4分。201</w:t>
            </w: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年1</w:t>
            </w:r>
            <w:r>
              <w:rPr>
                <w:rFonts w:hint="eastAsia" w:ascii="宋体" w:hAnsi="宋体" w:eastAsia="宋体" w:cs="宋体"/>
                <w:sz w:val="21"/>
                <w:szCs w:val="21"/>
              </w:rPr>
              <w:t>月至今，每在1个公路路况检测评定项目中担任项目负责人的，加2分，最多加6分。此项最多得10分；</w:t>
            </w:r>
          </w:p>
          <w:p>
            <w:pPr>
              <w:adjustRightInd w:val="0"/>
              <w:snapToGrid w:val="0"/>
              <w:spacing w:line="300" w:lineRule="exact"/>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bCs/>
                <w:sz w:val="21"/>
                <w:szCs w:val="21"/>
              </w:rPr>
              <w:t>除项目负责人外，具有交通主管部门颁发的公路或道路工程专业试验检测工程师资格证书的人数为2人的，得6分，在此基础上每多1人加2分，此项最多得10分。</w:t>
            </w:r>
          </w:p>
        </w:tc>
        <w:tc>
          <w:tcPr>
            <w:tcW w:w="1056" w:type="dxa"/>
            <w:vAlign w:val="center"/>
          </w:tcPr>
          <w:p>
            <w:pPr>
              <w:pStyle w:val="43"/>
              <w:rPr>
                <w:rFonts w:hint="eastAsia" w:ascii="宋体" w:hAnsi="宋体" w:eastAsia="宋体" w:cs="宋体"/>
                <w:sz w:val="21"/>
                <w:szCs w:val="21"/>
              </w:rPr>
            </w:pPr>
            <w:r>
              <w:rPr>
                <w:rFonts w:hint="eastAsia" w:ascii="宋体" w:hAnsi="宋体" w:eastAsia="宋体" w:cs="宋体"/>
                <w:sz w:val="21"/>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844" w:type="dxa"/>
            <w:vAlign w:val="center"/>
          </w:tcPr>
          <w:p>
            <w:pPr>
              <w:pStyle w:val="43"/>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四</w:t>
            </w:r>
          </w:p>
        </w:tc>
        <w:tc>
          <w:tcPr>
            <w:tcW w:w="1293" w:type="dxa"/>
            <w:vAlign w:val="center"/>
          </w:tcPr>
          <w:p>
            <w:pPr>
              <w:pStyle w:val="43"/>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实力</w:t>
            </w:r>
          </w:p>
          <w:p>
            <w:pPr>
              <w:pStyle w:val="43"/>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1292" w:type="dxa"/>
            <w:vAlign w:val="center"/>
          </w:tcPr>
          <w:p>
            <w:pPr>
              <w:adjustRightInd w:val="0"/>
              <w:snapToGrid w:val="0"/>
              <w:spacing w:line="300" w:lineRule="exact"/>
              <w:jc w:val="center"/>
              <w:rPr>
                <w:rFonts w:hint="eastAsia" w:ascii="宋体" w:hAnsi="宋体" w:eastAsia="宋体" w:cs="宋体"/>
                <w:color w:val="000000"/>
                <w:kern w:val="0"/>
                <w:sz w:val="21"/>
                <w:szCs w:val="21"/>
                <w:lang w:val="en-US" w:eastAsia="zh-CN"/>
              </w:rPr>
            </w:pPr>
            <w:r>
              <w:rPr>
                <w:rFonts w:hint="eastAsia" w:ascii="宋体" w:hAnsi="宋体" w:eastAsia="宋体" w:cs="宋体"/>
                <w:sz w:val="21"/>
                <w:szCs w:val="21"/>
                <w:lang w:val="en-US" w:eastAsia="zh-CN"/>
              </w:rPr>
              <w:t>6</w:t>
            </w:r>
            <w:r>
              <w:rPr>
                <w:rFonts w:hint="eastAsia" w:ascii="宋体" w:hAnsi="宋体" w:eastAsia="宋体" w:cs="宋体"/>
                <w:sz w:val="21"/>
                <w:szCs w:val="21"/>
              </w:rPr>
              <w:t>分</w:t>
            </w:r>
          </w:p>
        </w:tc>
        <w:tc>
          <w:tcPr>
            <w:tcW w:w="5413" w:type="dxa"/>
            <w:vAlign w:val="center"/>
          </w:tcPr>
          <w:p>
            <w:pPr>
              <w:adjustRightInd w:val="0"/>
              <w:snapToGrid w:val="0"/>
              <w:spacing w:line="300" w:lineRule="exact"/>
              <w:rPr>
                <w:rFonts w:hint="eastAsia" w:ascii="宋体" w:hAnsi="宋体" w:eastAsia="宋体" w:cs="宋体"/>
                <w:sz w:val="21"/>
                <w:szCs w:val="21"/>
              </w:rPr>
            </w:pPr>
            <w:r>
              <w:rPr>
                <w:rFonts w:hint="eastAsia" w:ascii="宋体" w:hAnsi="宋体" w:eastAsia="宋体" w:cs="宋体"/>
                <w:sz w:val="21"/>
                <w:szCs w:val="21"/>
                <w:u w:val="none"/>
              </w:rPr>
              <w:t>根据投标人在</w:t>
            </w:r>
            <w:r>
              <w:rPr>
                <w:rFonts w:hint="eastAsia" w:ascii="宋体" w:hAnsi="宋体" w:eastAsia="宋体" w:cs="宋体"/>
                <w:sz w:val="21"/>
                <w:szCs w:val="21"/>
                <w:u w:val="none"/>
                <w:lang w:val="en-US" w:eastAsia="zh-CN"/>
              </w:rPr>
              <w:t>四川省交通运输厅</w:t>
            </w:r>
            <w:r>
              <w:rPr>
                <w:rFonts w:hint="eastAsia" w:ascii="宋体" w:hAnsi="宋体" w:eastAsia="宋体" w:cs="宋体"/>
                <w:b w:val="0"/>
                <w:bCs w:val="0"/>
                <w:sz w:val="21"/>
                <w:szCs w:val="21"/>
              </w:rPr>
              <w:t>“</w:t>
            </w:r>
            <w:r>
              <w:rPr>
                <w:rFonts w:hint="eastAsia" w:ascii="宋体" w:hAnsi="宋体" w:eastAsia="宋体" w:cs="宋体"/>
                <w:b w:val="0"/>
                <w:bCs w:val="0"/>
                <w:sz w:val="21"/>
                <w:szCs w:val="21"/>
                <w:lang w:val="en-US" w:eastAsia="zh-CN"/>
              </w:rPr>
              <w:t>信用交通·四川</w:t>
            </w:r>
            <w:r>
              <w:rPr>
                <w:rFonts w:hint="eastAsia" w:ascii="宋体" w:hAnsi="宋体" w:eastAsia="宋体" w:cs="宋体"/>
                <w:b w:val="0"/>
                <w:bCs w:val="0"/>
                <w:sz w:val="21"/>
                <w:szCs w:val="21"/>
              </w:rPr>
              <w:t>”（http://</w:t>
            </w:r>
            <w:r>
              <w:rPr>
                <w:rFonts w:hint="eastAsia" w:ascii="宋体" w:hAnsi="宋体" w:eastAsia="宋体" w:cs="宋体"/>
                <w:b w:val="0"/>
                <w:bCs w:val="0"/>
                <w:sz w:val="21"/>
                <w:szCs w:val="21"/>
                <w:lang w:val="en-US" w:eastAsia="zh-CN"/>
              </w:rPr>
              <w:t>jtt.sc.gov.cn</w:t>
            </w:r>
            <w:r>
              <w:rPr>
                <w:rFonts w:hint="eastAsia" w:ascii="宋体" w:hAnsi="宋体" w:eastAsia="宋体" w:cs="宋体"/>
                <w:b w:val="0"/>
                <w:bCs w:val="0"/>
                <w:sz w:val="21"/>
                <w:szCs w:val="21"/>
              </w:rPr>
              <w:t>/）</w:t>
            </w:r>
            <w:r>
              <w:rPr>
                <w:rFonts w:hint="eastAsia" w:ascii="宋体" w:hAnsi="宋体" w:eastAsia="宋体" w:cs="宋体"/>
                <w:b w:val="0"/>
                <w:bCs w:val="0"/>
                <w:sz w:val="21"/>
                <w:szCs w:val="21"/>
                <w:lang w:val="en-US" w:eastAsia="zh-CN"/>
              </w:rPr>
              <w:t>网站上</w:t>
            </w:r>
            <w:r>
              <w:rPr>
                <w:rFonts w:hint="eastAsia" w:ascii="宋体" w:hAnsi="宋体" w:eastAsia="宋体" w:cs="宋体"/>
                <w:sz w:val="21"/>
                <w:szCs w:val="21"/>
                <w:u w:val="none"/>
                <w:lang w:val="en-US" w:eastAsia="zh-CN"/>
              </w:rPr>
              <w:t>公布的建设从业单位为准</w:t>
            </w:r>
            <w:r>
              <w:rPr>
                <w:rFonts w:hint="eastAsia" w:ascii="宋体" w:hAnsi="宋体" w:eastAsia="宋体" w:cs="宋体"/>
                <w:sz w:val="21"/>
                <w:szCs w:val="21"/>
                <w:u w:val="none"/>
                <w:lang w:eastAsia="zh-CN"/>
              </w:rPr>
              <w:t>，</w:t>
            </w:r>
            <w:r>
              <w:rPr>
                <w:rFonts w:hint="eastAsia" w:ascii="宋体" w:hAnsi="宋体" w:eastAsia="宋体" w:cs="宋体"/>
                <w:sz w:val="21"/>
                <w:szCs w:val="21"/>
                <w:u w:val="none"/>
                <w:lang w:val="en-US" w:eastAsia="zh-CN"/>
              </w:rPr>
              <w:t>信用等级</w:t>
            </w:r>
            <w:r>
              <w:rPr>
                <w:rFonts w:hint="eastAsia" w:ascii="宋体" w:hAnsi="宋体" w:eastAsia="宋体" w:cs="宋体"/>
                <w:sz w:val="21"/>
                <w:szCs w:val="21"/>
                <w:u w:val="none"/>
              </w:rPr>
              <w:t>B级</w:t>
            </w:r>
            <w:r>
              <w:rPr>
                <w:rFonts w:hint="eastAsia" w:ascii="宋体" w:hAnsi="宋体" w:eastAsia="宋体" w:cs="宋体"/>
                <w:sz w:val="21"/>
                <w:szCs w:val="21"/>
                <w:u w:val="none"/>
                <w:lang w:val="en-US" w:eastAsia="zh-CN"/>
              </w:rPr>
              <w:t>得4</w:t>
            </w:r>
            <w:r>
              <w:rPr>
                <w:rFonts w:hint="eastAsia" w:ascii="宋体" w:hAnsi="宋体" w:eastAsia="宋体" w:cs="宋体"/>
                <w:sz w:val="21"/>
                <w:szCs w:val="21"/>
                <w:u w:val="none"/>
              </w:rPr>
              <w:t>分，A级</w:t>
            </w:r>
            <w:r>
              <w:rPr>
                <w:rFonts w:hint="eastAsia" w:ascii="宋体" w:hAnsi="宋体" w:eastAsia="宋体" w:cs="宋体"/>
                <w:sz w:val="21"/>
                <w:szCs w:val="21"/>
                <w:u w:val="none"/>
                <w:lang w:val="en-US" w:eastAsia="zh-CN"/>
              </w:rPr>
              <w:t>得5</w:t>
            </w:r>
            <w:r>
              <w:rPr>
                <w:rFonts w:hint="eastAsia" w:ascii="宋体" w:hAnsi="宋体" w:eastAsia="宋体" w:cs="宋体"/>
                <w:sz w:val="21"/>
                <w:szCs w:val="21"/>
                <w:u w:val="none"/>
              </w:rPr>
              <w:t>分</w:t>
            </w:r>
            <w:r>
              <w:rPr>
                <w:rFonts w:hint="eastAsia" w:ascii="宋体" w:hAnsi="宋体" w:eastAsia="宋体" w:cs="宋体"/>
                <w:sz w:val="21"/>
                <w:szCs w:val="21"/>
                <w:u w:val="none"/>
                <w:lang w:val="en-US" w:eastAsia="zh-CN"/>
              </w:rPr>
              <w:t>,</w:t>
            </w:r>
            <w:r>
              <w:rPr>
                <w:rFonts w:hint="eastAsia" w:ascii="宋体" w:hAnsi="宋体" w:eastAsia="宋体" w:cs="宋体"/>
                <w:sz w:val="21"/>
                <w:szCs w:val="21"/>
                <w:u w:val="none"/>
              </w:rPr>
              <w:t>AA级</w:t>
            </w:r>
            <w:r>
              <w:rPr>
                <w:rFonts w:hint="eastAsia" w:ascii="宋体" w:hAnsi="宋体" w:eastAsia="宋体" w:cs="宋体"/>
                <w:sz w:val="21"/>
                <w:szCs w:val="21"/>
                <w:u w:val="none"/>
                <w:lang w:val="en-US" w:eastAsia="zh-CN"/>
              </w:rPr>
              <w:t>得6</w:t>
            </w:r>
            <w:r>
              <w:rPr>
                <w:rFonts w:hint="eastAsia" w:ascii="宋体" w:hAnsi="宋体" w:eastAsia="宋体" w:cs="宋体"/>
                <w:sz w:val="21"/>
                <w:szCs w:val="21"/>
                <w:u w:val="none"/>
              </w:rPr>
              <w:t>分，其他等级不</w:t>
            </w:r>
            <w:r>
              <w:rPr>
                <w:rFonts w:hint="eastAsia" w:ascii="宋体" w:hAnsi="宋体" w:eastAsia="宋体" w:cs="宋体"/>
                <w:sz w:val="21"/>
                <w:szCs w:val="21"/>
                <w:u w:val="none"/>
                <w:lang w:val="en-US" w:eastAsia="zh-CN"/>
              </w:rPr>
              <w:t>得</w:t>
            </w:r>
            <w:r>
              <w:rPr>
                <w:rFonts w:hint="eastAsia" w:ascii="宋体" w:hAnsi="宋体" w:eastAsia="宋体" w:cs="宋体"/>
                <w:sz w:val="21"/>
                <w:szCs w:val="21"/>
                <w:u w:val="none"/>
              </w:rPr>
              <w:t>分。</w:t>
            </w:r>
          </w:p>
        </w:tc>
        <w:tc>
          <w:tcPr>
            <w:tcW w:w="1056" w:type="dxa"/>
            <w:vAlign w:val="center"/>
          </w:tcPr>
          <w:p>
            <w:pPr>
              <w:pStyle w:val="43"/>
              <w:jc w:val="center"/>
              <w:rPr>
                <w:rFonts w:hint="eastAsia" w:ascii="宋体" w:hAnsi="宋体" w:eastAsia="宋体" w:cs="宋体"/>
                <w:sz w:val="21"/>
                <w:szCs w:val="21"/>
              </w:rPr>
            </w:pPr>
            <w:r>
              <w:rPr>
                <w:rFonts w:hint="eastAsia" w:ascii="宋体" w:hAnsi="宋体" w:eastAsia="宋体" w:cs="宋体"/>
                <w:sz w:val="21"/>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2" w:hRule="atLeast"/>
          <w:jc w:val="center"/>
        </w:trPr>
        <w:tc>
          <w:tcPr>
            <w:tcW w:w="844" w:type="dxa"/>
            <w:vAlign w:val="center"/>
          </w:tcPr>
          <w:p>
            <w:pPr>
              <w:pStyle w:val="43"/>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五</w:t>
            </w:r>
          </w:p>
        </w:tc>
        <w:tc>
          <w:tcPr>
            <w:tcW w:w="1293" w:type="dxa"/>
            <w:vAlign w:val="center"/>
          </w:tcPr>
          <w:p>
            <w:pPr>
              <w:pStyle w:val="43"/>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履约经验</w:t>
            </w:r>
          </w:p>
          <w:p>
            <w:pPr>
              <w:pStyle w:val="43"/>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2</w:t>
            </w:r>
            <w:r>
              <w:rPr>
                <w:rFonts w:hint="eastAsia" w:ascii="宋体" w:hAnsi="宋体" w:eastAsia="宋体" w:cs="宋体"/>
                <w:sz w:val="21"/>
                <w:szCs w:val="21"/>
                <w:lang w:val="en-US" w:eastAsia="zh-CN"/>
              </w:rPr>
              <w:t>4%</w:t>
            </w:r>
          </w:p>
        </w:tc>
        <w:tc>
          <w:tcPr>
            <w:tcW w:w="1292" w:type="dxa"/>
            <w:vAlign w:val="center"/>
          </w:tcPr>
          <w:p>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4</w:t>
            </w:r>
            <w:r>
              <w:rPr>
                <w:rFonts w:hint="eastAsia" w:ascii="宋体" w:hAnsi="宋体" w:eastAsia="宋体" w:cs="宋体"/>
                <w:sz w:val="21"/>
                <w:szCs w:val="21"/>
              </w:rPr>
              <w:t>分</w:t>
            </w:r>
          </w:p>
        </w:tc>
        <w:tc>
          <w:tcPr>
            <w:tcW w:w="5413" w:type="dxa"/>
            <w:vAlign w:val="center"/>
          </w:tcPr>
          <w:p>
            <w:pPr>
              <w:spacing w:line="30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投标人提供20</w:t>
            </w:r>
            <w:r>
              <w:rPr>
                <w:rFonts w:hint="eastAsia" w:ascii="宋体" w:hAnsi="宋体" w:eastAsia="宋体" w:cs="宋体"/>
                <w:color w:val="000000" w:themeColor="text1"/>
                <w:sz w:val="21"/>
                <w:szCs w:val="21"/>
                <w:highlight w:val="none"/>
                <w14:textFill>
                  <w14:solidFill>
                    <w14:schemeClr w14:val="tx1"/>
                  </w14:solidFill>
                </w14:textFill>
              </w:rPr>
              <w:t>18年1月</w:t>
            </w:r>
            <w:r>
              <w:rPr>
                <w:rFonts w:hint="eastAsia" w:ascii="宋体" w:hAnsi="宋体" w:eastAsia="宋体" w:cs="宋体"/>
                <w:color w:val="000000" w:themeColor="text1"/>
                <w:sz w:val="21"/>
                <w:szCs w:val="21"/>
                <w:highlight w:val="none"/>
                <w:lang w:val="en-US" w:eastAsia="zh-CN"/>
                <w14:textFill>
                  <w14:solidFill>
                    <w14:schemeClr w14:val="tx1"/>
                  </w14:solidFill>
                </w14:textFill>
              </w:rPr>
              <w:t>1日（含）</w:t>
            </w:r>
            <w:r>
              <w:rPr>
                <w:rFonts w:hint="eastAsia" w:ascii="宋体" w:hAnsi="宋体" w:eastAsia="宋体" w:cs="宋体"/>
                <w:color w:val="000000" w:themeColor="text1"/>
                <w:sz w:val="21"/>
                <w:szCs w:val="21"/>
                <w:highlight w:val="none"/>
                <w14:textFill>
                  <w14:solidFill>
                    <w14:schemeClr w14:val="tx1"/>
                  </w14:solidFill>
                </w14:textFill>
              </w:rPr>
              <w:t>至今类似项目履约经验（单个项目须同时包含破损和平整度两项指标），每提供一个履约经验得4分，此项最多得24分。</w:t>
            </w:r>
          </w:p>
          <w:p>
            <w:pPr>
              <w:adjustRightInd w:val="0"/>
              <w:snapToGrid w:val="0"/>
              <w:spacing w:line="300" w:lineRule="exact"/>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注：类似公路路况检测评定，包含农村公路项目、普通国省干线项目。</w:t>
            </w:r>
          </w:p>
        </w:tc>
        <w:tc>
          <w:tcPr>
            <w:tcW w:w="1056" w:type="dxa"/>
            <w:vAlign w:val="center"/>
          </w:tcPr>
          <w:p>
            <w:pPr>
              <w:pStyle w:val="43"/>
              <w:jc w:val="center"/>
              <w:rPr>
                <w:rFonts w:hint="eastAsia" w:ascii="宋体" w:hAnsi="宋体" w:eastAsia="宋体" w:cs="宋体"/>
                <w:sz w:val="21"/>
                <w:szCs w:val="21"/>
              </w:rPr>
            </w:pPr>
            <w:r>
              <w:rPr>
                <w:rFonts w:hint="eastAsia" w:ascii="宋体" w:hAnsi="宋体" w:eastAsia="宋体" w:cs="宋体"/>
                <w:sz w:val="21"/>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0" w:hRule="atLeast"/>
          <w:jc w:val="center"/>
        </w:trPr>
        <w:tc>
          <w:tcPr>
            <w:tcW w:w="844" w:type="dxa"/>
            <w:vAlign w:val="center"/>
          </w:tcPr>
          <w:p>
            <w:pPr>
              <w:pStyle w:val="43"/>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六</w:t>
            </w:r>
          </w:p>
        </w:tc>
        <w:tc>
          <w:tcPr>
            <w:tcW w:w="1293" w:type="dxa"/>
            <w:vAlign w:val="center"/>
          </w:tcPr>
          <w:p>
            <w:pPr>
              <w:pStyle w:val="43"/>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设备配置7%</w:t>
            </w:r>
          </w:p>
        </w:tc>
        <w:tc>
          <w:tcPr>
            <w:tcW w:w="1292" w:type="dxa"/>
            <w:vAlign w:val="center"/>
          </w:tcPr>
          <w:p>
            <w:pPr>
              <w:adjustRightInd w:val="0"/>
              <w:snapToGrid w:val="0"/>
              <w:spacing w:line="3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7分</w:t>
            </w:r>
          </w:p>
        </w:tc>
        <w:tc>
          <w:tcPr>
            <w:tcW w:w="5413" w:type="dxa"/>
            <w:vAlign w:val="center"/>
          </w:tcPr>
          <w:p>
            <w:pPr>
              <w:pStyle w:val="43"/>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投标人拟投入1</w:t>
            </w:r>
            <w:r>
              <w:rPr>
                <w:rFonts w:hint="eastAsia" w:ascii="宋体" w:hAnsi="宋体" w:eastAsia="宋体" w:cs="宋体"/>
                <w:color w:val="000000" w:themeColor="text1"/>
                <w:sz w:val="21"/>
                <w:szCs w:val="21"/>
                <w:highlight w:val="none"/>
                <w14:textFill>
                  <w14:solidFill>
                    <w14:schemeClr w14:val="tx1"/>
                  </w14:solidFill>
                </w14:textFill>
              </w:rPr>
              <w:t>台自有多功能路况快速检测设备，得3分；每增加1台自有或租赁同型号多</w:t>
            </w:r>
            <w:r>
              <w:rPr>
                <w:rFonts w:hint="eastAsia" w:ascii="宋体" w:hAnsi="宋体" w:eastAsia="宋体" w:cs="宋体"/>
                <w:color w:val="000000" w:themeColor="text1"/>
                <w:sz w:val="21"/>
                <w:szCs w:val="21"/>
                <w14:textFill>
                  <w14:solidFill>
                    <w14:schemeClr w14:val="tx1"/>
                  </w14:solidFill>
                </w14:textFill>
              </w:rPr>
              <w:t>功能路况快速检测设备加1分，最多加4分。（此项最多得7分）</w:t>
            </w:r>
          </w:p>
          <w:p>
            <w:pPr>
              <w:pStyle w:val="43"/>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说明：自有设备提供购买设备的发票复印件（发票上清晰显示单位名称、金额、日期）或上级单位的划拨证明材料复印件。租赁设备提供租赁协议（有效期需覆盖本项目服务期限）复印件。</w:t>
            </w:r>
          </w:p>
        </w:tc>
        <w:tc>
          <w:tcPr>
            <w:tcW w:w="1056" w:type="dxa"/>
            <w:vAlign w:val="center"/>
          </w:tcPr>
          <w:p>
            <w:pPr>
              <w:pStyle w:val="43"/>
              <w:jc w:val="center"/>
              <w:rPr>
                <w:rFonts w:hint="eastAsia" w:ascii="宋体" w:hAnsi="宋体" w:eastAsia="宋体" w:cs="宋体"/>
                <w:sz w:val="21"/>
                <w:szCs w:val="21"/>
              </w:rPr>
            </w:pPr>
            <w:r>
              <w:rPr>
                <w:rFonts w:hint="eastAsia" w:ascii="宋体" w:hAnsi="宋体" w:eastAsia="宋体" w:cs="宋体"/>
                <w:sz w:val="21"/>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jc w:val="center"/>
        </w:trPr>
        <w:tc>
          <w:tcPr>
            <w:tcW w:w="844" w:type="dxa"/>
            <w:vAlign w:val="center"/>
          </w:tcPr>
          <w:p>
            <w:pPr>
              <w:pStyle w:val="43"/>
              <w:bidi w:val="0"/>
              <w:rPr>
                <w:rFonts w:hint="eastAsia" w:ascii="宋体" w:hAnsi="宋体" w:eastAsia="宋体" w:cs="宋体"/>
                <w:sz w:val="21"/>
                <w:szCs w:val="21"/>
                <w:lang w:val="en-US" w:eastAsia="zh-CN"/>
              </w:rPr>
            </w:pPr>
            <w:r>
              <w:rPr>
                <w:rFonts w:hint="eastAsia" w:ascii="宋体" w:hAnsi="宋体" w:eastAsia="宋体" w:cs="宋体"/>
                <w:color w:val="auto"/>
                <w:sz w:val="21"/>
                <w:szCs w:val="21"/>
                <w:highlight w:val="none"/>
                <w:lang w:val="en-US" w:eastAsia="zh-CN"/>
              </w:rPr>
              <w:t>七</w:t>
            </w:r>
          </w:p>
        </w:tc>
        <w:tc>
          <w:tcPr>
            <w:tcW w:w="1293"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color w:val="auto"/>
                <w:sz w:val="21"/>
                <w:szCs w:val="21"/>
                <w:highlight w:val="none"/>
              </w:rPr>
              <w:t>扶持少数民族地区</w:t>
            </w: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rPr>
              <w:t>%</w:t>
            </w:r>
          </w:p>
        </w:tc>
        <w:tc>
          <w:tcPr>
            <w:tcW w:w="1292" w:type="dxa"/>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color w:val="auto"/>
                <w:sz w:val="21"/>
                <w:szCs w:val="21"/>
                <w:highlight w:val="none"/>
                <w:u w:val="none"/>
                <w:lang w:eastAsia="zh-CN"/>
              </w:rPr>
              <w:t>1</w:t>
            </w:r>
            <w:r>
              <w:rPr>
                <w:rFonts w:hint="eastAsia" w:ascii="宋体" w:hAnsi="宋体" w:eastAsia="宋体" w:cs="宋体"/>
                <w:color w:val="auto"/>
                <w:sz w:val="21"/>
                <w:szCs w:val="21"/>
                <w:highlight w:val="none"/>
                <w:u w:val="none"/>
              </w:rPr>
              <w:t>分</w:t>
            </w:r>
          </w:p>
        </w:tc>
        <w:tc>
          <w:tcPr>
            <w:tcW w:w="5413" w:type="dxa"/>
            <w:vAlign w:val="center"/>
          </w:tcPr>
          <w:p>
            <w:pPr>
              <w:pStyle w:val="40"/>
              <w:keepNext w:val="0"/>
              <w:keepLines w:val="0"/>
              <w:pageBreakBefore w:val="0"/>
              <w:widowControl w:val="0"/>
              <w:kinsoku/>
              <w:wordWrap w:val="0"/>
              <w:overflowPunct/>
              <w:autoSpaceDE/>
              <w:autoSpaceDN/>
              <w:bidi w:val="0"/>
              <w:adjustRightInd w:val="0"/>
              <w:snapToGrid w:val="0"/>
              <w:spacing w:line="320" w:lineRule="exact"/>
              <w:ind w:left="0" w:leftChars="0" w:right="0" w:rightChars="0" w:firstLine="0"/>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val="en-US" w:eastAsia="zh-CN"/>
              </w:rPr>
              <w:t>投标人注册在</w:t>
            </w:r>
            <w:r>
              <w:rPr>
                <w:rFonts w:hint="eastAsia" w:ascii="宋体" w:hAnsi="宋体" w:eastAsia="宋体" w:cs="宋体"/>
                <w:color w:val="auto"/>
                <w:sz w:val="21"/>
                <w:szCs w:val="21"/>
                <w:highlight w:val="none"/>
                <w:u w:val="none"/>
              </w:rPr>
              <w:t>少数民族地区的得</w:t>
            </w:r>
            <w:r>
              <w:rPr>
                <w:rFonts w:hint="eastAsia" w:ascii="宋体" w:hAnsi="宋体" w:eastAsia="宋体" w:cs="宋体"/>
                <w:color w:val="auto"/>
                <w:sz w:val="21"/>
                <w:szCs w:val="21"/>
                <w:highlight w:val="none"/>
                <w:u w:val="none"/>
                <w:lang w:val="en-US" w:eastAsia="zh-CN"/>
              </w:rPr>
              <w:t>1</w:t>
            </w:r>
            <w:r>
              <w:rPr>
                <w:rFonts w:hint="eastAsia" w:ascii="宋体" w:hAnsi="宋体" w:eastAsia="宋体" w:cs="宋体"/>
                <w:color w:val="auto"/>
                <w:sz w:val="21"/>
                <w:szCs w:val="21"/>
                <w:highlight w:val="none"/>
                <w:u w:val="none"/>
              </w:rPr>
              <w:t>分。</w:t>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textAlignment w:val="auto"/>
              <w:rPr>
                <w:rFonts w:hint="eastAsia" w:ascii="宋体" w:hAnsi="宋体" w:eastAsia="宋体" w:cs="宋体"/>
                <w:sz w:val="21"/>
                <w:szCs w:val="21"/>
              </w:rPr>
            </w:pPr>
            <w:r>
              <w:rPr>
                <w:rFonts w:hint="eastAsia" w:ascii="宋体" w:hAnsi="宋体" w:eastAsia="宋体" w:cs="宋体"/>
                <w:color w:val="auto"/>
                <w:sz w:val="21"/>
                <w:szCs w:val="21"/>
                <w:highlight w:val="none"/>
                <w:u w:val="none"/>
              </w:rPr>
              <w:t>注：</w:t>
            </w:r>
            <w:r>
              <w:rPr>
                <w:rFonts w:hint="eastAsia" w:ascii="宋体" w:hAnsi="宋体" w:eastAsia="宋体" w:cs="宋体"/>
                <w:color w:val="auto"/>
                <w:sz w:val="21"/>
                <w:szCs w:val="21"/>
                <w:highlight w:val="none"/>
                <w:u w:val="none"/>
                <w:lang w:val="en-US" w:eastAsia="zh-CN"/>
              </w:rPr>
              <w:t>指投标人</w:t>
            </w:r>
            <w:r>
              <w:rPr>
                <w:rFonts w:hint="eastAsia" w:ascii="宋体" w:hAnsi="宋体" w:eastAsia="宋体" w:cs="宋体"/>
                <w:color w:val="auto"/>
                <w:sz w:val="21"/>
                <w:szCs w:val="21"/>
                <w:highlight w:val="none"/>
                <w:u w:val="none"/>
              </w:rPr>
              <w:t>注册地在民族</w:t>
            </w:r>
            <w:r>
              <w:rPr>
                <w:rFonts w:hint="eastAsia" w:ascii="宋体" w:hAnsi="宋体" w:eastAsia="宋体" w:cs="宋体"/>
                <w:color w:val="auto"/>
                <w:sz w:val="21"/>
                <w:szCs w:val="21"/>
                <w:highlight w:val="none"/>
                <w:u w:val="none"/>
                <w:lang w:val="en-US" w:eastAsia="zh-CN"/>
              </w:rPr>
              <w:t>自治区、</w:t>
            </w:r>
            <w:r>
              <w:rPr>
                <w:rFonts w:hint="eastAsia" w:ascii="宋体" w:hAnsi="宋体" w:eastAsia="宋体" w:cs="宋体"/>
                <w:color w:val="auto"/>
                <w:sz w:val="21"/>
                <w:szCs w:val="21"/>
                <w:highlight w:val="none"/>
                <w:u w:val="none"/>
              </w:rPr>
              <w:t>自治州、自治县</w:t>
            </w:r>
            <w:r>
              <w:rPr>
                <w:rFonts w:hint="eastAsia" w:ascii="宋体" w:hAnsi="宋体" w:eastAsia="宋体" w:cs="宋体"/>
                <w:color w:val="auto"/>
                <w:sz w:val="21"/>
                <w:szCs w:val="21"/>
                <w:highlight w:val="none"/>
                <w:u w:val="none"/>
                <w:lang w:val="en-US" w:eastAsia="zh-CN"/>
              </w:rPr>
              <w:t>(含享受少数民族待遇的区县)</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none"/>
                <w:lang w:val="en-US" w:eastAsia="zh-CN"/>
              </w:rPr>
              <w:t>民族</w:t>
            </w:r>
            <w:r>
              <w:rPr>
                <w:rFonts w:hint="eastAsia" w:ascii="宋体" w:hAnsi="宋体" w:eastAsia="宋体" w:cs="宋体"/>
                <w:color w:val="auto"/>
                <w:sz w:val="21"/>
                <w:szCs w:val="21"/>
                <w:highlight w:val="none"/>
                <w:u w:val="none"/>
              </w:rPr>
              <w:t>乡的</w:t>
            </w:r>
            <w:r>
              <w:rPr>
                <w:rFonts w:hint="eastAsia" w:ascii="宋体" w:hAnsi="宋体" w:eastAsia="宋体" w:cs="宋体"/>
                <w:color w:val="auto"/>
                <w:sz w:val="21"/>
                <w:szCs w:val="21"/>
                <w:highlight w:val="none"/>
                <w:u w:val="none"/>
                <w:lang w:val="en-US" w:eastAsia="zh-CN"/>
              </w:rPr>
              <w:t>供应商</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rPr>
              <w:t>提供营业执照</w:t>
            </w:r>
            <w:r>
              <w:rPr>
                <w:rFonts w:hint="eastAsia" w:ascii="宋体" w:hAnsi="宋体" w:eastAsia="宋体" w:cs="宋体"/>
                <w:color w:val="auto"/>
                <w:sz w:val="21"/>
                <w:szCs w:val="21"/>
                <w:highlight w:val="none"/>
                <w:u w:val="none"/>
                <w:lang w:val="en-US" w:eastAsia="zh-CN"/>
              </w:rPr>
              <w:t>副本</w:t>
            </w:r>
            <w:r>
              <w:rPr>
                <w:rFonts w:hint="eastAsia" w:ascii="宋体" w:hAnsi="宋体" w:eastAsia="宋体" w:cs="宋体"/>
                <w:color w:val="auto"/>
                <w:sz w:val="21"/>
                <w:szCs w:val="21"/>
                <w:highlight w:val="none"/>
                <w:u w:val="none"/>
              </w:rPr>
              <w:t>复印件。</w:t>
            </w:r>
          </w:p>
        </w:tc>
        <w:tc>
          <w:tcPr>
            <w:tcW w:w="1056" w:type="dxa"/>
            <w:vAlign w:val="center"/>
          </w:tcPr>
          <w:p>
            <w:pPr>
              <w:pStyle w:val="43"/>
              <w:bidi w:val="0"/>
              <w:rPr>
                <w:rFonts w:hint="eastAsia" w:ascii="宋体" w:hAnsi="宋体" w:eastAsia="宋体" w:cs="宋体"/>
                <w:sz w:val="21"/>
                <w:szCs w:val="21"/>
              </w:rPr>
            </w:pPr>
            <w:r>
              <w:rPr>
                <w:rFonts w:hint="eastAsia" w:ascii="宋体" w:hAnsi="宋体" w:eastAsia="宋体" w:cs="宋体"/>
                <w:color w:val="auto"/>
                <w:sz w:val="21"/>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9898" w:type="dxa"/>
            <w:gridSpan w:val="5"/>
            <w:tcBorders>
              <w:top w:val="single" w:color="auto" w:sz="4" w:space="0"/>
              <w:left w:val="single" w:color="auto" w:sz="4" w:space="0"/>
              <w:bottom w:val="single" w:color="auto" w:sz="4" w:space="0"/>
              <w:right w:val="single" w:color="auto" w:sz="4" w:space="0"/>
            </w:tcBorders>
            <w:vAlign w:val="center"/>
          </w:tcPr>
          <w:p>
            <w:pPr>
              <w:pStyle w:val="43"/>
              <w:jc w:val="both"/>
              <w:rPr>
                <w:rFonts w:hint="eastAsia" w:ascii="宋体" w:hAnsi="宋体" w:eastAsia="宋体" w:cs="宋体"/>
                <w:sz w:val="21"/>
                <w:szCs w:val="21"/>
              </w:rPr>
            </w:pPr>
            <w:r>
              <w:rPr>
                <w:rFonts w:hint="eastAsia" w:ascii="宋体" w:hAnsi="宋体" w:eastAsia="宋体" w:cs="宋体"/>
                <w:sz w:val="21"/>
                <w:szCs w:val="21"/>
              </w:rPr>
              <w:t>注：</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 1 \* GB3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①</w:t>
            </w:r>
            <w:r>
              <w:rPr>
                <w:rFonts w:hint="eastAsia" w:ascii="宋体" w:hAnsi="宋体" w:eastAsia="宋体" w:cs="宋体"/>
                <w:sz w:val="21"/>
                <w:szCs w:val="21"/>
              </w:rPr>
              <w:fldChar w:fldCharType="end"/>
            </w:r>
            <w:r>
              <w:rPr>
                <w:rFonts w:hint="eastAsia" w:ascii="宋体" w:hAnsi="宋体" w:eastAsia="宋体" w:cs="宋体"/>
                <w:sz w:val="21"/>
                <w:szCs w:val="21"/>
              </w:rPr>
              <w:t>评分的取值按四舍五入法，小数点后保留两位。</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 2 \* GB3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②</w:t>
            </w:r>
            <w:r>
              <w:rPr>
                <w:rFonts w:hint="eastAsia" w:ascii="宋体" w:hAnsi="宋体" w:eastAsia="宋体" w:cs="宋体"/>
                <w:sz w:val="21"/>
                <w:szCs w:val="21"/>
              </w:rPr>
              <w:fldChar w:fldCharType="end"/>
            </w:r>
            <w:r>
              <w:rPr>
                <w:rFonts w:hint="eastAsia" w:ascii="宋体" w:hAnsi="宋体" w:eastAsia="宋体" w:cs="宋体"/>
                <w:sz w:val="21"/>
                <w:szCs w:val="21"/>
              </w:rPr>
              <w:t>本表中要求提供各类证明</w:t>
            </w:r>
            <w:r>
              <w:rPr>
                <w:rFonts w:hint="eastAsia" w:ascii="宋体" w:hAnsi="宋体" w:eastAsia="宋体" w:cs="宋体"/>
                <w:sz w:val="21"/>
                <w:szCs w:val="21"/>
                <w:highlight w:val="none"/>
              </w:rPr>
              <w:t>材料</w:t>
            </w:r>
            <w:r>
              <w:rPr>
                <w:rFonts w:hint="eastAsia" w:cs="宋体"/>
                <w:sz w:val="21"/>
                <w:szCs w:val="21"/>
                <w:highlight w:val="none"/>
                <w:lang w:val="en-US" w:eastAsia="zh-CN"/>
              </w:rPr>
              <w:t>须清晰可辨</w:t>
            </w:r>
            <w:r>
              <w:rPr>
                <w:rFonts w:hint="eastAsia" w:ascii="宋体" w:hAnsi="宋体" w:eastAsia="宋体" w:cs="宋体"/>
                <w:sz w:val="21"/>
                <w:szCs w:val="21"/>
                <w:highlight w:val="none"/>
              </w:rPr>
              <w:t>，否则将不认可该项材料的有效性。</w:t>
            </w:r>
          </w:p>
        </w:tc>
      </w:tr>
    </w:tbl>
    <w:p>
      <w:pPr>
        <w:pStyle w:val="32"/>
        <w:numPr>
          <w:ilvl w:val="1"/>
          <w:numId w:val="12"/>
        </w:numPr>
        <w:bidi w:val="0"/>
        <w:rPr>
          <w:rFonts w:hint="eastAsia"/>
          <w:lang w:val="en-US" w:eastAsia="zh-CN"/>
        </w:rPr>
      </w:pPr>
      <w:bookmarkStart w:id="1075" w:name="_Toc14849"/>
      <w:bookmarkStart w:id="1076" w:name="_Toc13245"/>
      <w:bookmarkStart w:id="1077" w:name="_Toc21671"/>
      <w:bookmarkStart w:id="1078" w:name="_Toc4648"/>
      <w:bookmarkStart w:id="1079" w:name="_Toc21363"/>
      <w:bookmarkStart w:id="1080" w:name="_Toc13513"/>
      <w:r>
        <w:rPr>
          <w:rFonts w:hint="eastAsia"/>
          <w:lang w:val="en-US" w:eastAsia="zh-CN"/>
        </w:rPr>
        <w:t>复核</w:t>
      </w:r>
      <w:bookmarkEnd w:id="1075"/>
      <w:bookmarkEnd w:id="1076"/>
    </w:p>
    <w:p>
      <w:pPr>
        <w:pStyle w:val="30"/>
        <w:numPr>
          <w:ilvl w:val="1"/>
          <w:numId w:val="33"/>
        </w:numPr>
        <w:bidi w:val="0"/>
        <w:rPr>
          <w:rFonts w:hint="eastAsia"/>
          <w:lang w:eastAsia="zh-CN"/>
        </w:rPr>
      </w:pPr>
      <w:r>
        <w:rPr>
          <w:rFonts w:hint="eastAsia"/>
        </w:rPr>
        <w:t>评标委员会复核</w:t>
      </w:r>
    </w:p>
    <w:p>
      <w:pPr>
        <w:pStyle w:val="40"/>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rPr>
      </w:pPr>
      <w:r>
        <w:rPr>
          <w:rFonts w:hint="eastAsia"/>
        </w:rPr>
        <w:t>评分汇总结束后，评标委员会应当进行复核，特别要对拟推荐为中标候选供应商的、报价最低的、投标文件被认定为无效的进行重点复核。</w:t>
      </w:r>
    </w:p>
    <w:p>
      <w:pPr>
        <w:pStyle w:val="30"/>
        <w:bidi w:val="0"/>
        <w:rPr>
          <w:rFonts w:hint="eastAsia"/>
        </w:rPr>
      </w:pPr>
      <w:r>
        <w:rPr>
          <w:rFonts w:hint="eastAsia"/>
        </w:rPr>
        <w:t>采购代理机构现场复核评审结果</w:t>
      </w:r>
    </w:p>
    <w:p>
      <w:pPr>
        <w:pStyle w:val="33"/>
        <w:bidi w:val="0"/>
        <w:rPr>
          <w:rFonts w:hint="eastAsia"/>
        </w:rPr>
      </w:pPr>
      <w:r>
        <w:rPr>
          <w:rFonts w:hint="eastAsia"/>
        </w:rPr>
        <w:t>评审结果汇总完成后，评</w:t>
      </w:r>
      <w:r>
        <w:rPr>
          <w:rFonts w:hint="eastAsia"/>
          <w:lang w:val="en-US" w:eastAsia="zh-CN"/>
        </w:rPr>
        <w:t>标</w:t>
      </w:r>
      <w:r>
        <w:rPr>
          <w:rFonts w:hint="eastAsia"/>
        </w:rPr>
        <w:t>委员会拟出具</w:t>
      </w:r>
      <w:r>
        <w:rPr>
          <w:rFonts w:hint="eastAsia"/>
          <w:lang w:eastAsia="zh-CN"/>
        </w:rPr>
        <w:t>评标报告</w:t>
      </w:r>
      <w:r>
        <w:rPr>
          <w:rFonts w:hint="eastAsia"/>
        </w:rPr>
        <w:t>前，采购代理机构应当组织2名以上的本单位工作人员，在采购现场监督人员的监督之下，依据有关的法律制度和采购文件对评审结果进行复核，出具复核报告，存在下列情形之一的，应当根据情况要求评标委员会现场修改评标结果或者重新评标：</w:t>
      </w:r>
    </w:p>
    <w:p>
      <w:pPr>
        <w:pStyle w:val="34"/>
        <w:bidi w:val="0"/>
        <w:rPr>
          <w:rFonts w:hint="eastAsia"/>
        </w:rPr>
      </w:pPr>
      <w:r>
        <w:rPr>
          <w:rFonts w:hint="eastAsia"/>
        </w:rPr>
        <w:t>分值汇总计算错误的；</w:t>
      </w:r>
    </w:p>
    <w:p>
      <w:pPr>
        <w:pStyle w:val="34"/>
        <w:bidi w:val="0"/>
        <w:rPr>
          <w:rFonts w:hint="eastAsia"/>
        </w:rPr>
      </w:pPr>
      <w:r>
        <w:rPr>
          <w:rFonts w:hint="eastAsia"/>
        </w:rPr>
        <w:t>分项评分超出评分标准范围的；</w:t>
      </w:r>
    </w:p>
    <w:p>
      <w:pPr>
        <w:pStyle w:val="34"/>
        <w:bidi w:val="0"/>
        <w:rPr>
          <w:rFonts w:hint="eastAsia"/>
        </w:rPr>
      </w:pPr>
      <w:r>
        <w:rPr>
          <w:rFonts w:hint="eastAsia"/>
        </w:rPr>
        <w:t>评标委员会成员对客观评审因素评分不一致的；</w:t>
      </w:r>
    </w:p>
    <w:p>
      <w:pPr>
        <w:pStyle w:val="34"/>
        <w:bidi w:val="0"/>
        <w:rPr>
          <w:rFonts w:hint="eastAsia"/>
        </w:rPr>
      </w:pPr>
      <w:r>
        <w:rPr>
          <w:rFonts w:hint="eastAsia"/>
        </w:rPr>
        <w:t>经评标委员会认定评分畸高、畸低的。</w:t>
      </w:r>
    </w:p>
    <w:p>
      <w:pPr>
        <w:pStyle w:val="44"/>
        <w:bidi w:val="0"/>
        <w:rPr>
          <w:rFonts w:hint="eastAsia"/>
        </w:rPr>
      </w:pPr>
      <w:r>
        <w:rPr>
          <w:rFonts w:hint="eastAsia"/>
        </w:rPr>
        <w:t>存在本条上述规定情形的，由评标委员会自主决定是否采纳采购代理机构的书面建议，并承担独立评审责任。评标委员会采纳采购代理机构书面建议的，应当按照规定现场修改评标结果或者重新评标，并在评标报告中详细记载有关事宜；不采纳采购代理机构书面建议的，应当书面说明理由。采购代理机构书面建议未被评标委员会采纳的，应当按照规定程序要求继续组织实施采购活动，不得擅自中止采购活动。采购代理机构认为评标委员会评标结果不合法的，应当书面报告采购项目同级财政部门依法处理。</w:t>
      </w:r>
    </w:p>
    <w:p>
      <w:pPr>
        <w:pStyle w:val="44"/>
        <w:bidi w:val="0"/>
        <w:rPr>
          <w:rFonts w:hint="eastAsia"/>
        </w:rPr>
      </w:pPr>
      <w:r>
        <w:rPr>
          <w:rFonts w:hint="eastAsia"/>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pStyle w:val="33"/>
        <w:bidi w:val="0"/>
        <w:rPr>
          <w:rFonts w:hint="eastAsia"/>
        </w:rPr>
      </w:pPr>
      <w:r>
        <w:rPr>
          <w:rFonts w:hint="eastAsia"/>
        </w:rPr>
        <w:t>采购代理机构复核过程中，评标委员会不得离开评标现场。</w:t>
      </w:r>
    </w:p>
    <w:p>
      <w:pPr>
        <w:pStyle w:val="33"/>
        <w:bidi w:val="0"/>
        <w:rPr>
          <w:rFonts w:hint="eastAsia"/>
        </w:rPr>
      </w:pPr>
      <w:r>
        <w:rPr>
          <w:rFonts w:hint="eastAsia"/>
        </w:rPr>
        <w:t>有下列情形之一的，不得修改评标结果或者重新评标：</w:t>
      </w:r>
    </w:p>
    <w:p>
      <w:pPr>
        <w:pStyle w:val="34"/>
        <w:bidi w:val="0"/>
        <w:rPr>
          <w:rFonts w:hint="eastAsia"/>
        </w:rPr>
      </w:pPr>
      <w:r>
        <w:rPr>
          <w:rFonts w:hint="eastAsia"/>
        </w:rPr>
        <w:t>评标委员会已经出具评标报告并且离开评标现场的；</w:t>
      </w:r>
    </w:p>
    <w:p>
      <w:pPr>
        <w:pStyle w:val="34"/>
        <w:bidi w:val="0"/>
        <w:rPr>
          <w:rFonts w:hint="eastAsia"/>
        </w:rPr>
      </w:pPr>
      <w:r>
        <w:rPr>
          <w:rFonts w:hint="eastAsia"/>
        </w:rPr>
        <w:t>采购代理机构现场复核时，复核工作人员数量不足的；</w:t>
      </w:r>
    </w:p>
    <w:p>
      <w:pPr>
        <w:pStyle w:val="34"/>
        <w:bidi w:val="0"/>
        <w:rPr>
          <w:rFonts w:hint="eastAsia"/>
        </w:rPr>
      </w:pPr>
      <w:r>
        <w:rPr>
          <w:rFonts w:hint="eastAsia"/>
        </w:rPr>
        <w:t>采购代理机构现场复核时，没有采购监督人员现场监督的；</w:t>
      </w:r>
    </w:p>
    <w:p>
      <w:pPr>
        <w:pStyle w:val="34"/>
        <w:bidi w:val="0"/>
        <w:rPr>
          <w:rFonts w:hint="eastAsia"/>
        </w:rPr>
      </w:pPr>
      <w:r>
        <w:rPr>
          <w:rFonts w:hint="eastAsia"/>
        </w:rPr>
        <w:t>采购代理机构现场复核内容超出规定范围的；</w:t>
      </w:r>
    </w:p>
    <w:p>
      <w:pPr>
        <w:pStyle w:val="34"/>
        <w:bidi w:val="0"/>
        <w:rPr>
          <w:rFonts w:hint="eastAsia"/>
        </w:rPr>
      </w:pPr>
      <w:r>
        <w:rPr>
          <w:rFonts w:hint="eastAsia"/>
        </w:rPr>
        <w:t>采购代理机构未提供书面建议的。</w:t>
      </w:r>
    </w:p>
    <w:p>
      <w:pPr>
        <w:pStyle w:val="32"/>
        <w:numPr>
          <w:ilvl w:val="1"/>
          <w:numId w:val="12"/>
        </w:numPr>
        <w:bidi w:val="0"/>
        <w:rPr>
          <w:rFonts w:hint="eastAsia"/>
          <w:lang w:val="en-US" w:eastAsia="zh-CN"/>
        </w:rPr>
      </w:pPr>
      <w:bookmarkStart w:id="1081" w:name="_Toc31256"/>
      <w:bookmarkStart w:id="1082" w:name="_Toc7365"/>
      <w:r>
        <w:rPr>
          <w:rFonts w:hint="eastAsia"/>
          <w:lang w:val="en-US" w:eastAsia="zh-CN"/>
        </w:rPr>
        <w:t>推荐中标候选供应商</w:t>
      </w:r>
      <w:bookmarkEnd w:id="1081"/>
      <w:bookmarkEnd w:id="1082"/>
    </w:p>
    <w:p>
      <w:pPr>
        <w:pStyle w:val="44"/>
        <w:bidi w:val="0"/>
        <w:rPr>
          <w:rFonts w:hint="eastAsia"/>
        </w:rPr>
      </w:pPr>
      <w:r>
        <w:rPr>
          <w:rFonts w:hint="eastAsia"/>
        </w:rPr>
        <w:t>中标候选供应商数量应当根据招标文件的规定确定，但必须按顺序排列中标候选供应商。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pStyle w:val="44"/>
        <w:bidi w:val="0"/>
        <w:rPr>
          <w:rFonts w:hint="eastAsia"/>
        </w:rPr>
      </w:pPr>
      <w:r>
        <w:rPr>
          <w:rFonts w:hint="eastAsia"/>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不予认可。</w:t>
      </w:r>
    </w:p>
    <w:p>
      <w:pPr>
        <w:pStyle w:val="32"/>
        <w:numPr>
          <w:ilvl w:val="1"/>
          <w:numId w:val="12"/>
        </w:numPr>
        <w:bidi w:val="0"/>
        <w:rPr>
          <w:rFonts w:hint="eastAsia"/>
          <w:lang w:val="en-US" w:eastAsia="zh-CN"/>
        </w:rPr>
      </w:pPr>
      <w:bookmarkStart w:id="1083" w:name="_Toc30801"/>
      <w:bookmarkStart w:id="1084" w:name="_Toc7685"/>
      <w:r>
        <w:rPr>
          <w:rFonts w:hint="eastAsia"/>
          <w:lang w:val="en-US" w:eastAsia="zh-CN"/>
        </w:rPr>
        <w:t>出具评标报告</w:t>
      </w:r>
      <w:bookmarkEnd w:id="1083"/>
      <w:bookmarkEnd w:id="1084"/>
    </w:p>
    <w:p>
      <w:pPr>
        <w:pStyle w:val="44"/>
        <w:bidi w:val="0"/>
        <w:rPr>
          <w:rFonts w:hint="eastAsia"/>
        </w:rPr>
      </w:pPr>
      <w:r>
        <w:rPr>
          <w:rFonts w:hint="eastAsia"/>
        </w:rPr>
        <w:t>评标委员会推荐中标候选供应商后，应当向招标采购单位出具评标报告。评标报告应当包括下列内容：</w:t>
      </w:r>
    </w:p>
    <w:p>
      <w:pPr>
        <w:pStyle w:val="30"/>
        <w:numPr>
          <w:ilvl w:val="1"/>
          <w:numId w:val="34"/>
        </w:numPr>
        <w:bidi w:val="0"/>
        <w:rPr>
          <w:rFonts w:hint="eastAsia"/>
        </w:rPr>
      </w:pPr>
      <w:r>
        <w:rPr>
          <w:rFonts w:hint="eastAsia"/>
        </w:rPr>
        <w:t>招标公告刊登的媒体名称、开标日期和地点；</w:t>
      </w:r>
    </w:p>
    <w:p>
      <w:pPr>
        <w:pStyle w:val="30"/>
        <w:numPr>
          <w:ilvl w:val="1"/>
          <w:numId w:val="34"/>
        </w:numPr>
        <w:bidi w:val="0"/>
        <w:rPr>
          <w:rFonts w:hint="eastAsia"/>
        </w:rPr>
      </w:pPr>
      <w:r>
        <w:rPr>
          <w:rFonts w:hint="eastAsia"/>
        </w:rPr>
        <w:t>投标人名单和评标委员会成员名单；</w:t>
      </w:r>
    </w:p>
    <w:p>
      <w:pPr>
        <w:pStyle w:val="30"/>
        <w:numPr>
          <w:ilvl w:val="1"/>
          <w:numId w:val="34"/>
        </w:numPr>
        <w:bidi w:val="0"/>
        <w:rPr>
          <w:rFonts w:hint="eastAsia"/>
        </w:rPr>
      </w:pPr>
      <w:r>
        <w:rPr>
          <w:rFonts w:hint="eastAsia"/>
        </w:rPr>
        <w:t>评标方法和标准；</w:t>
      </w:r>
    </w:p>
    <w:p>
      <w:pPr>
        <w:pStyle w:val="30"/>
        <w:numPr>
          <w:ilvl w:val="1"/>
          <w:numId w:val="34"/>
        </w:numPr>
        <w:bidi w:val="0"/>
        <w:rPr>
          <w:rFonts w:hint="eastAsia"/>
        </w:rPr>
      </w:pPr>
      <w:r>
        <w:rPr>
          <w:rFonts w:hint="eastAsia"/>
        </w:rPr>
        <w:t>开标记录和评标情况及说明，包括无效投标人名单及原因；</w:t>
      </w:r>
    </w:p>
    <w:p>
      <w:pPr>
        <w:pStyle w:val="30"/>
        <w:numPr>
          <w:ilvl w:val="1"/>
          <w:numId w:val="34"/>
        </w:numPr>
        <w:bidi w:val="0"/>
        <w:rPr>
          <w:rFonts w:hint="eastAsia"/>
        </w:rPr>
      </w:pPr>
      <w:r>
        <w:rPr>
          <w:rFonts w:hint="eastAsia"/>
        </w:rPr>
        <w:t>评标结果，确定的中标候选人名单或者经采购人委托直接确定的中标人；</w:t>
      </w:r>
    </w:p>
    <w:p>
      <w:pPr>
        <w:pStyle w:val="30"/>
        <w:numPr>
          <w:ilvl w:val="1"/>
          <w:numId w:val="34"/>
        </w:numPr>
        <w:bidi w:val="0"/>
        <w:rPr>
          <w:rFonts w:hint="eastAsia"/>
          <w:lang w:val="en-US" w:eastAsia="zh-CN"/>
        </w:rPr>
      </w:pPr>
      <w:r>
        <w:rPr>
          <w:rFonts w:hint="eastAsia"/>
          <w:lang w:val="en-US" w:eastAsia="zh-CN"/>
        </w:rPr>
        <w:t>其他需要说明的情况，包括评标过程中投标人根据评标委员会要求进行的澄清、说明或者补正，评标委员会成员的更换等。</w:t>
      </w:r>
    </w:p>
    <w:p>
      <w:pPr>
        <w:pStyle w:val="45"/>
        <w:bidi w:val="0"/>
        <w:rPr>
          <w:rFonts w:hint="eastAsia"/>
          <w:lang w:val="en-US" w:eastAsia="zh-CN"/>
        </w:rPr>
      </w:pPr>
      <w:r>
        <w:rPr>
          <w:rFonts w:hint="eastAsia"/>
          <w:lang w:val="en-US" w:eastAsia="zh-CN"/>
        </w:rPr>
        <w:t>注：评标委员会成员应当在评标报告中签字确认，对评标过程和结果有不同意见的，应当在评标报告中写明并说明理由。签字但不写明不同意见或者不说明理由的，视同无意见。拒不签字又不另行书面说明其不同意见和理由的，视为同意评标结果。</w:t>
      </w:r>
    </w:p>
    <w:p>
      <w:pPr>
        <w:pStyle w:val="32"/>
        <w:numPr>
          <w:ilvl w:val="1"/>
          <w:numId w:val="12"/>
        </w:numPr>
        <w:bidi w:val="0"/>
        <w:rPr>
          <w:rFonts w:hint="eastAsia"/>
        </w:rPr>
      </w:pPr>
      <w:bookmarkStart w:id="1085" w:name="_Toc17073"/>
      <w:bookmarkStart w:id="1086" w:name="_Toc17342"/>
      <w:r>
        <w:rPr>
          <w:rFonts w:hint="eastAsia"/>
        </w:rPr>
        <w:t>废标</w:t>
      </w:r>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1077"/>
      <w:bookmarkEnd w:id="1078"/>
      <w:bookmarkEnd w:id="1079"/>
      <w:bookmarkEnd w:id="1080"/>
      <w:bookmarkEnd w:id="1085"/>
      <w:bookmarkEnd w:id="1086"/>
    </w:p>
    <w:p>
      <w:pPr>
        <w:pStyle w:val="44"/>
        <w:bidi w:val="0"/>
        <w:rPr>
          <w:rFonts w:hint="eastAsia"/>
        </w:rPr>
      </w:pPr>
      <w:r>
        <w:rPr>
          <w:rFonts w:hint="eastAsia"/>
        </w:rPr>
        <w:t>本次政府采购活动中，出现下列情形之一的，予以废标：</w:t>
      </w:r>
    </w:p>
    <w:p>
      <w:pPr>
        <w:pStyle w:val="33"/>
        <w:bidi w:val="0"/>
        <w:rPr>
          <w:rFonts w:hint="eastAsia"/>
        </w:rPr>
      </w:pPr>
      <w:r>
        <w:rPr>
          <w:rFonts w:hint="eastAsia"/>
        </w:rPr>
        <w:t>符合专业条件的供应商或者对招标文件作实质响应的供应商不足三家的；</w:t>
      </w:r>
    </w:p>
    <w:p>
      <w:pPr>
        <w:pStyle w:val="33"/>
        <w:bidi w:val="0"/>
        <w:rPr>
          <w:rFonts w:hint="eastAsia"/>
        </w:rPr>
      </w:pPr>
      <w:r>
        <w:rPr>
          <w:rFonts w:hint="eastAsia"/>
        </w:rPr>
        <w:t>出现影响采购公正的违法、违规行为的；</w:t>
      </w:r>
    </w:p>
    <w:p>
      <w:pPr>
        <w:pStyle w:val="33"/>
        <w:bidi w:val="0"/>
        <w:rPr>
          <w:rFonts w:hint="eastAsia"/>
        </w:rPr>
      </w:pPr>
      <w:r>
        <w:rPr>
          <w:rFonts w:hint="eastAsia"/>
        </w:rPr>
        <w:t>投标人的报价均超过了采购预算</w:t>
      </w:r>
      <w:r>
        <w:rPr>
          <w:rFonts w:hint="eastAsia"/>
          <w:lang w:val="en-US" w:eastAsia="zh-CN"/>
        </w:rPr>
        <w:t>或单价最高限价</w:t>
      </w:r>
      <w:r>
        <w:rPr>
          <w:rFonts w:hint="eastAsia"/>
        </w:rPr>
        <w:t>，采购人不能支付的；</w:t>
      </w:r>
    </w:p>
    <w:p>
      <w:pPr>
        <w:pStyle w:val="33"/>
        <w:bidi w:val="0"/>
        <w:rPr>
          <w:rFonts w:hint="eastAsia"/>
        </w:rPr>
      </w:pPr>
      <w:r>
        <w:rPr>
          <w:rFonts w:hint="eastAsia"/>
        </w:rPr>
        <w:t>因重大变故，采购任务取消的。</w:t>
      </w:r>
    </w:p>
    <w:p>
      <w:pPr>
        <w:pStyle w:val="44"/>
        <w:bidi w:val="0"/>
        <w:rPr>
          <w:rFonts w:hint="eastAsia"/>
        </w:rPr>
      </w:pPr>
      <w:r>
        <w:rPr>
          <w:rFonts w:hint="eastAsia"/>
        </w:rPr>
        <w:t>废标后，采购代理机构应在</w:t>
      </w:r>
      <w:r>
        <w:rPr>
          <w:rFonts w:hint="eastAsia"/>
          <w:lang w:eastAsia="zh-CN"/>
        </w:rPr>
        <w:t>“四川政府采购网”</w:t>
      </w:r>
      <w:r>
        <w:rPr>
          <w:rFonts w:hint="eastAsia"/>
        </w:rPr>
        <w:t>公告，并公告废标的理由。</w:t>
      </w:r>
    </w:p>
    <w:p>
      <w:pPr>
        <w:pStyle w:val="32"/>
        <w:numPr>
          <w:ilvl w:val="1"/>
          <w:numId w:val="12"/>
        </w:numPr>
        <w:bidi w:val="0"/>
        <w:rPr>
          <w:rFonts w:hint="eastAsia"/>
        </w:rPr>
      </w:pPr>
      <w:bookmarkStart w:id="1087" w:name="_Toc327196344"/>
      <w:bookmarkStart w:id="1088" w:name="_Toc24655"/>
      <w:bookmarkStart w:id="1089" w:name="_Toc31281"/>
      <w:bookmarkStart w:id="1090" w:name="_Toc768"/>
      <w:bookmarkStart w:id="1091" w:name="_Toc319439949"/>
      <w:bookmarkStart w:id="1092" w:name="_Toc10846"/>
      <w:bookmarkStart w:id="1093" w:name="_Toc13169"/>
      <w:bookmarkStart w:id="1094" w:name="_Toc4794"/>
      <w:bookmarkStart w:id="1095" w:name="_Toc2453"/>
      <w:bookmarkStart w:id="1096" w:name="_Toc309897567"/>
      <w:bookmarkStart w:id="1097" w:name="_Toc307501158"/>
      <w:bookmarkStart w:id="1098" w:name="_Toc308188202"/>
      <w:bookmarkStart w:id="1099" w:name="_Toc7121"/>
      <w:bookmarkStart w:id="1100" w:name="_Toc4475"/>
      <w:bookmarkStart w:id="1101" w:name="_Toc21352"/>
      <w:bookmarkStart w:id="1102" w:name="_Toc25875"/>
      <w:bookmarkStart w:id="1103" w:name="_Toc308084649"/>
      <w:bookmarkStart w:id="1104" w:name="_Toc319440193"/>
      <w:bookmarkStart w:id="1105" w:name="_Toc307564900"/>
      <w:bookmarkStart w:id="1106" w:name="_Toc22608"/>
      <w:r>
        <w:rPr>
          <w:rFonts w:hint="eastAsia"/>
        </w:rPr>
        <w:t>定标</w:t>
      </w:r>
      <w:bookmarkEnd w:id="982"/>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Start w:id="1107" w:name="_Toc217446061"/>
    </w:p>
    <w:p>
      <w:pPr>
        <w:pStyle w:val="30"/>
        <w:numPr>
          <w:ilvl w:val="1"/>
          <w:numId w:val="35"/>
        </w:numPr>
        <w:bidi w:val="0"/>
        <w:rPr>
          <w:rFonts w:hint="eastAsia"/>
        </w:rPr>
      </w:pPr>
      <w:r>
        <w:rPr>
          <w:rFonts w:hint="eastAsia"/>
        </w:rPr>
        <w:t>定标原则</w:t>
      </w:r>
      <w:bookmarkEnd w:id="1107"/>
      <w:r>
        <w:rPr>
          <w:rFonts w:hint="eastAsia"/>
        </w:rPr>
        <w:t>：本项目根据评委会推荐的中标候选人名单，按顺序确定</w:t>
      </w:r>
      <w:r>
        <w:rPr>
          <w:rFonts w:hint="eastAsia"/>
          <w:lang w:val="en-US" w:eastAsia="zh-CN"/>
        </w:rPr>
        <w:t>第1名为</w:t>
      </w:r>
      <w:r>
        <w:rPr>
          <w:rFonts w:hint="eastAsia"/>
        </w:rPr>
        <w:t>中标人。</w:t>
      </w:r>
    </w:p>
    <w:p>
      <w:pPr>
        <w:pStyle w:val="30"/>
        <w:numPr>
          <w:ilvl w:val="1"/>
          <w:numId w:val="35"/>
        </w:numPr>
        <w:bidi w:val="0"/>
        <w:rPr>
          <w:rFonts w:hint="eastAsia"/>
        </w:rPr>
      </w:pPr>
      <w:bookmarkStart w:id="1108" w:name="_Toc217446062"/>
      <w:r>
        <w:rPr>
          <w:rFonts w:hint="eastAsia"/>
        </w:rPr>
        <w:t>定标程序</w:t>
      </w:r>
      <w:bookmarkEnd w:id="1108"/>
    </w:p>
    <w:p>
      <w:pPr>
        <w:pStyle w:val="33"/>
        <w:bidi w:val="0"/>
        <w:rPr>
          <w:rFonts w:hint="eastAsia"/>
        </w:rPr>
      </w:pPr>
      <w:r>
        <w:rPr>
          <w:rFonts w:hint="eastAsia"/>
          <w:lang w:val="en-US" w:eastAsia="zh-CN"/>
        </w:rPr>
        <w:t>评标委员会根据全体评标成员签字的原始评标记录和评标结果编写评标报告</w:t>
      </w:r>
      <w:r>
        <w:rPr>
          <w:rFonts w:hint="eastAsia"/>
        </w:rPr>
        <w:t>，推荐</w:t>
      </w:r>
      <w:r>
        <w:rPr>
          <w:rFonts w:hint="eastAsia"/>
          <w:lang w:val="en-US" w:eastAsia="zh-CN"/>
        </w:rPr>
        <w:t>不少于三名</w:t>
      </w:r>
      <w:r>
        <w:rPr>
          <w:rFonts w:hint="eastAsia"/>
        </w:rPr>
        <w:t>中标候选人，并按照综合得分高低标明排列顺序。</w:t>
      </w:r>
    </w:p>
    <w:p>
      <w:pPr>
        <w:pStyle w:val="33"/>
        <w:bidi w:val="0"/>
        <w:rPr>
          <w:rFonts w:hint="eastAsia"/>
        </w:rPr>
      </w:pPr>
      <w:r>
        <w:rPr>
          <w:rFonts w:hint="eastAsia"/>
        </w:rPr>
        <w:t>采购代理机构在评标结束后2个工作日内将评标报告送采购人。</w:t>
      </w:r>
    </w:p>
    <w:p>
      <w:pPr>
        <w:pStyle w:val="33"/>
        <w:bidi w:val="0"/>
        <w:rPr>
          <w:rFonts w:hint="eastAsia"/>
        </w:rPr>
      </w:pPr>
      <w:r>
        <w:rPr>
          <w:rFonts w:hint="eastAsia"/>
        </w:rPr>
        <w:t>采购人应当自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如果中标候选人及其现任法定代表人、主要负责人存在行贿犯罪记录，采购人将不确定其为中标人。采购人在确认</w:t>
      </w:r>
      <w:r>
        <w:rPr>
          <w:rFonts w:hint="eastAsia"/>
          <w:lang w:val="en-US" w:eastAsia="zh-CN"/>
        </w:rPr>
        <w:t>中标</w:t>
      </w:r>
      <w:r>
        <w:rPr>
          <w:rFonts w:hint="eastAsia"/>
        </w:rPr>
        <w:t>供应商前，应到中国裁判文书网（https://wenshu.court.gov.cn）查询</w:t>
      </w:r>
      <w:r>
        <w:rPr>
          <w:rFonts w:hint="eastAsia"/>
          <w:lang w:val="en-US" w:eastAsia="zh-CN"/>
        </w:rPr>
        <w:t>中标</w:t>
      </w:r>
      <w:r>
        <w:rPr>
          <w:rFonts w:hint="eastAsia"/>
        </w:rPr>
        <w:t>候选供应商及其现任法定代表人、主要负责人是否存在行贿犯罪记录</w:t>
      </w:r>
      <w:r>
        <w:rPr>
          <w:rFonts w:hint="eastAsia"/>
          <w:lang w:eastAsia="zh-CN"/>
        </w:rPr>
        <w:t>。</w:t>
      </w:r>
    </w:p>
    <w:p>
      <w:pPr>
        <w:pStyle w:val="44"/>
        <w:bidi w:val="0"/>
        <w:rPr>
          <w:rFonts w:hint="eastAsia"/>
        </w:rPr>
      </w:pPr>
      <w:r>
        <w:rPr>
          <w:rFonts w:hint="eastAsia"/>
          <w:lang w:val="en-US" w:eastAsia="zh-CN"/>
        </w:rPr>
        <w:t>采</w:t>
      </w:r>
      <w:r>
        <w:rPr>
          <w:rFonts w:hint="eastAsia"/>
        </w:rPr>
        <w:t>购人在收到评标报告5个工作日内未按评标报告推荐的中标候选人顺序确定中标人，又不能说明合法理由的，视同按评标报告推荐的顺序确定排名第一的中标候选人为中标人。</w:t>
      </w:r>
    </w:p>
    <w:p>
      <w:pPr>
        <w:pStyle w:val="33"/>
        <w:bidi w:val="0"/>
        <w:rPr>
          <w:rFonts w:hint="eastAsia"/>
        </w:rPr>
      </w:pPr>
      <w:r>
        <w:rPr>
          <w:rFonts w:hint="eastAsia"/>
          <w:highlight w:val="none"/>
        </w:rPr>
        <w:t>采用综合评分法的，评标结果按评审后得分由高到低顺序排列；得分相同的，按投标报</w:t>
      </w:r>
      <w:r>
        <w:rPr>
          <w:rFonts w:hint="eastAsia"/>
        </w:rPr>
        <w:t>价由低到高顺序排列；得分且投标报价相同的并列，投标文件满足招标文件全部实质性要求且按照评审因素的量化指标评审得分最高的供应商为中标候选供应商；报价相同且满足招标文件全部实质性要求且按照评审因素的量化指标评审得分也相同的并列，由采购人自主采取公平、择优的方式选择</w:t>
      </w:r>
      <w:r>
        <w:rPr>
          <w:rFonts w:hint="eastAsia"/>
          <w:lang w:eastAsia="zh-CN"/>
        </w:rPr>
        <w:t>中标人</w:t>
      </w:r>
      <w:r>
        <w:rPr>
          <w:rFonts w:hint="eastAsia"/>
        </w:rPr>
        <w:t>。</w:t>
      </w:r>
    </w:p>
    <w:p>
      <w:pPr>
        <w:pStyle w:val="33"/>
        <w:bidi w:val="0"/>
        <w:rPr>
          <w:rFonts w:hint="eastAsia"/>
        </w:rPr>
      </w:pPr>
      <w:r>
        <w:rPr>
          <w:rFonts w:hint="eastAsia"/>
        </w:rPr>
        <w:t>采购代理机构在</w:t>
      </w:r>
      <w:r>
        <w:rPr>
          <w:rFonts w:hint="eastAsia"/>
          <w:lang w:eastAsia="zh-CN"/>
        </w:rPr>
        <w:t>中标人</w:t>
      </w:r>
      <w:r>
        <w:rPr>
          <w:rFonts w:hint="eastAsia"/>
        </w:rPr>
        <w:t>确定后2个工作日内，在</w:t>
      </w:r>
      <w:r>
        <w:rPr>
          <w:rFonts w:hint="eastAsia"/>
          <w:lang w:eastAsia="zh-CN"/>
        </w:rPr>
        <w:t>“四川政府采购网”</w:t>
      </w:r>
      <w:r>
        <w:rPr>
          <w:rFonts w:hint="eastAsia"/>
        </w:rPr>
        <w:t>发布中标公告，同时向</w:t>
      </w:r>
      <w:r>
        <w:rPr>
          <w:rFonts w:hint="eastAsia"/>
          <w:lang w:eastAsia="zh-CN"/>
        </w:rPr>
        <w:t>中标人</w:t>
      </w:r>
      <w:r>
        <w:rPr>
          <w:rFonts w:hint="eastAsia"/>
        </w:rPr>
        <w:t>发出中标通知书</w:t>
      </w:r>
      <w:r>
        <w:rPr>
          <w:rFonts w:hint="eastAsia"/>
          <w:lang w:eastAsia="zh-CN"/>
        </w:rPr>
        <w:t>，</w:t>
      </w:r>
      <w:r>
        <w:rPr>
          <w:rFonts w:hint="eastAsia"/>
          <w:lang w:val="zh-CN" w:eastAsia="zh-CN"/>
        </w:rPr>
        <w:t>中标供应商自行登录“政府采购云平台”下载中标通知书</w:t>
      </w:r>
      <w:r>
        <w:rPr>
          <w:rFonts w:hint="eastAsia"/>
        </w:rPr>
        <w:t>。</w:t>
      </w:r>
    </w:p>
    <w:p>
      <w:pPr>
        <w:pStyle w:val="33"/>
        <w:bidi w:val="0"/>
        <w:rPr>
          <w:rFonts w:hint="eastAsia"/>
        </w:rPr>
      </w:pPr>
      <w:r>
        <w:rPr>
          <w:rFonts w:hint="eastAsia"/>
        </w:rPr>
        <w:t>采购人、</w:t>
      </w:r>
      <w:r>
        <w:rPr>
          <w:rFonts w:hint="eastAsia"/>
          <w:lang w:val="en-US" w:eastAsia="zh-CN"/>
        </w:rPr>
        <w:t>采购代理机构</w:t>
      </w:r>
      <w:r>
        <w:rPr>
          <w:rFonts w:hint="eastAsia"/>
        </w:rPr>
        <w:t>不解释中标或未中标原因</w:t>
      </w:r>
      <w:r>
        <w:rPr>
          <w:rFonts w:hint="eastAsia"/>
          <w:lang w:eastAsia="zh-CN"/>
        </w:rPr>
        <w:t>，</w:t>
      </w:r>
      <w:r>
        <w:rPr>
          <w:rFonts w:hint="eastAsia"/>
        </w:rPr>
        <w:t>招标采购单位不退回投标人投标文件和其他投标资料。</w:t>
      </w:r>
    </w:p>
    <w:bookmarkEnd w:id="983"/>
    <w:p>
      <w:pPr>
        <w:pStyle w:val="32"/>
        <w:numPr>
          <w:ilvl w:val="1"/>
          <w:numId w:val="12"/>
        </w:numPr>
        <w:bidi w:val="0"/>
        <w:rPr>
          <w:rFonts w:hint="eastAsia"/>
        </w:rPr>
      </w:pPr>
      <w:bookmarkStart w:id="1109" w:name="_Toc319440194"/>
      <w:bookmarkStart w:id="1110" w:name="_Toc309897568"/>
      <w:bookmarkStart w:id="1111" w:name="_Toc25198"/>
      <w:bookmarkStart w:id="1112" w:name="_Toc10903"/>
      <w:bookmarkStart w:id="1113" w:name="_Toc16879"/>
      <w:bookmarkStart w:id="1114" w:name="_Toc308188203"/>
      <w:bookmarkStart w:id="1115" w:name="_Toc32114"/>
      <w:bookmarkStart w:id="1116" w:name="_Toc307501159"/>
      <w:bookmarkStart w:id="1117" w:name="_Toc15982"/>
      <w:bookmarkStart w:id="1118" w:name="_Toc307564901"/>
      <w:bookmarkStart w:id="1119" w:name="_Toc327196345"/>
      <w:bookmarkStart w:id="1120" w:name="_Toc27662"/>
      <w:bookmarkStart w:id="1121" w:name="_Toc25084"/>
      <w:bookmarkStart w:id="1122" w:name="_Toc319439950"/>
      <w:bookmarkStart w:id="1123" w:name="_Toc308084650"/>
      <w:bookmarkStart w:id="1124" w:name="_Toc14102"/>
      <w:bookmarkStart w:id="1125" w:name="_Toc8099"/>
      <w:bookmarkStart w:id="1126" w:name="_Toc27423"/>
      <w:bookmarkStart w:id="1127" w:name="_Toc22537"/>
      <w:bookmarkStart w:id="1128" w:name="_Toc27303"/>
      <w:r>
        <w:rPr>
          <w:rFonts w:hint="eastAsia"/>
          <w:lang w:eastAsia="zh-CN"/>
        </w:rPr>
        <w:t>评标专家</w:t>
      </w:r>
      <w:r>
        <w:rPr>
          <w:rFonts w:hint="eastAsia"/>
        </w:rPr>
        <w:t>在政府采购活动中承担以下义务</w:t>
      </w:r>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p>
    <w:p>
      <w:pPr>
        <w:pStyle w:val="30"/>
        <w:numPr>
          <w:ilvl w:val="1"/>
          <w:numId w:val="36"/>
        </w:numPr>
        <w:bidi w:val="0"/>
        <w:rPr>
          <w:rFonts w:hint="eastAsia"/>
        </w:rPr>
      </w:pPr>
      <w:r>
        <w:rPr>
          <w:rFonts w:hint="eastAsia"/>
        </w:rPr>
        <w:t>遵守评标工作纪律；</w:t>
      </w:r>
    </w:p>
    <w:p>
      <w:pPr>
        <w:pStyle w:val="30"/>
        <w:numPr>
          <w:ilvl w:val="1"/>
          <w:numId w:val="36"/>
        </w:numPr>
        <w:bidi w:val="0"/>
        <w:rPr>
          <w:rFonts w:hint="eastAsia"/>
        </w:rPr>
      </w:pPr>
      <w:r>
        <w:rPr>
          <w:rFonts w:hint="eastAsia"/>
        </w:rPr>
        <w:t>按照客观、公正、审慎的原则，根据招标文件规定的评标程序、评标方法和评标标准进行独立评标；</w:t>
      </w:r>
    </w:p>
    <w:p>
      <w:pPr>
        <w:pStyle w:val="30"/>
        <w:numPr>
          <w:ilvl w:val="1"/>
          <w:numId w:val="36"/>
        </w:numPr>
        <w:bidi w:val="0"/>
        <w:rPr>
          <w:rFonts w:hint="eastAsia"/>
        </w:rPr>
      </w:pPr>
      <w:r>
        <w:rPr>
          <w:rFonts w:hint="eastAsia"/>
        </w:rPr>
        <w:t>不得泄露评标文件、评标情况和在评标过程中获悉的商业秘密；</w:t>
      </w:r>
    </w:p>
    <w:p>
      <w:pPr>
        <w:pStyle w:val="30"/>
        <w:numPr>
          <w:ilvl w:val="1"/>
          <w:numId w:val="36"/>
        </w:numPr>
        <w:bidi w:val="0"/>
        <w:rPr>
          <w:rFonts w:hint="eastAsia"/>
        </w:rPr>
      </w:pPr>
      <w:r>
        <w:rPr>
          <w:rFonts w:hint="eastAsia"/>
        </w:rPr>
        <w:t>及时向财政部门报告评标过程中发现的采购人、采购代理机构向评标专家做倾向性、误导性的解释或者说明，以及供应商行贿、提供虚假材料或者串通等违法行为；</w:t>
      </w:r>
    </w:p>
    <w:p>
      <w:pPr>
        <w:pStyle w:val="30"/>
        <w:numPr>
          <w:ilvl w:val="1"/>
          <w:numId w:val="36"/>
        </w:numPr>
        <w:bidi w:val="0"/>
        <w:rPr>
          <w:rFonts w:hint="eastAsia"/>
        </w:rPr>
      </w:pPr>
      <w:r>
        <w:rPr>
          <w:rFonts w:hint="eastAsia"/>
        </w:rPr>
        <w:t>发现招标文件内容违反国家有关强制性规定或者采购文件存在歧义、重大缺陷导致评标工作无法进行时，停止评标并向采购人或者采购代理机构书面说明情况；</w:t>
      </w:r>
    </w:p>
    <w:p>
      <w:pPr>
        <w:pStyle w:val="30"/>
        <w:numPr>
          <w:ilvl w:val="1"/>
          <w:numId w:val="36"/>
        </w:numPr>
        <w:bidi w:val="0"/>
        <w:rPr>
          <w:rFonts w:hint="eastAsia"/>
        </w:rPr>
      </w:pPr>
      <w:r>
        <w:rPr>
          <w:rFonts w:hint="eastAsia"/>
        </w:rPr>
        <w:t>及时向财政、监察等部门举报在评标过程中受到的非法干预情况；</w:t>
      </w:r>
    </w:p>
    <w:p>
      <w:pPr>
        <w:pStyle w:val="30"/>
        <w:numPr>
          <w:ilvl w:val="1"/>
          <w:numId w:val="36"/>
        </w:numPr>
        <w:bidi w:val="0"/>
        <w:rPr>
          <w:rFonts w:hint="eastAsia"/>
        </w:rPr>
      </w:pPr>
      <w:r>
        <w:rPr>
          <w:rFonts w:hint="eastAsia"/>
        </w:rPr>
        <w:t>配合答复处理供应商的询问、质疑和投诉等事项；</w:t>
      </w:r>
    </w:p>
    <w:p>
      <w:pPr>
        <w:pStyle w:val="30"/>
        <w:numPr>
          <w:ilvl w:val="1"/>
          <w:numId w:val="36"/>
        </w:numPr>
        <w:bidi w:val="0"/>
        <w:rPr>
          <w:rFonts w:hint="eastAsia"/>
        </w:rPr>
      </w:pPr>
      <w:r>
        <w:rPr>
          <w:rFonts w:hint="eastAsia"/>
        </w:rPr>
        <w:t>法律、法规和规章规定的其他义务。</w:t>
      </w:r>
    </w:p>
    <w:p>
      <w:pPr>
        <w:pStyle w:val="32"/>
        <w:numPr>
          <w:ilvl w:val="1"/>
          <w:numId w:val="12"/>
        </w:numPr>
        <w:bidi w:val="0"/>
        <w:rPr>
          <w:rFonts w:hint="eastAsia"/>
        </w:rPr>
      </w:pPr>
      <w:bookmarkStart w:id="1129" w:name="_Toc1690"/>
      <w:bookmarkStart w:id="1130" w:name="_Toc319440195"/>
      <w:bookmarkStart w:id="1131" w:name="_Toc27047"/>
      <w:bookmarkStart w:id="1132" w:name="_Toc19071"/>
      <w:bookmarkStart w:id="1133" w:name="_Toc327196346"/>
      <w:bookmarkStart w:id="1134" w:name="_Toc28428"/>
      <w:bookmarkStart w:id="1135" w:name="_Toc24913"/>
      <w:bookmarkStart w:id="1136" w:name="_Toc28909"/>
      <w:bookmarkStart w:id="1137" w:name="_Toc30872"/>
      <w:bookmarkStart w:id="1138" w:name="_Toc3688"/>
      <w:bookmarkStart w:id="1139" w:name="_Toc22368"/>
      <w:bookmarkStart w:id="1140" w:name="_Toc29759"/>
      <w:bookmarkStart w:id="1141" w:name="_Toc4379"/>
      <w:bookmarkStart w:id="1142" w:name="_Toc12088"/>
      <w:r>
        <w:rPr>
          <w:rFonts w:hint="eastAsia"/>
          <w:lang w:eastAsia="zh-CN"/>
        </w:rPr>
        <w:t>评标专家</w:t>
      </w:r>
      <w:r>
        <w:rPr>
          <w:rFonts w:hint="eastAsia"/>
        </w:rPr>
        <w:t>在政府采购活动中应当遵守以下工作纪律</w:t>
      </w:r>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p>
    <w:p>
      <w:pPr>
        <w:pStyle w:val="30"/>
        <w:numPr>
          <w:ilvl w:val="1"/>
          <w:numId w:val="37"/>
        </w:numPr>
        <w:bidi w:val="0"/>
        <w:rPr>
          <w:rFonts w:hint="eastAsia"/>
        </w:rPr>
      </w:pPr>
      <w:bookmarkStart w:id="1143" w:name="_Toc28956"/>
      <w:r>
        <w:rPr>
          <w:rFonts w:hint="eastAsia"/>
        </w:rPr>
        <w:t>遵行《</w:t>
      </w:r>
      <w:r>
        <w:rPr>
          <w:rFonts w:hint="eastAsia"/>
          <w:lang w:val="en-US" w:eastAsia="zh-CN"/>
        </w:rPr>
        <w:t>中华人民共和国</w:t>
      </w:r>
      <w:r>
        <w:rPr>
          <w:rFonts w:hint="eastAsia"/>
        </w:rPr>
        <w:t>政府采购法》第十二条和《</w:t>
      </w:r>
      <w:r>
        <w:rPr>
          <w:rFonts w:hint="eastAsia"/>
          <w:lang w:val="en-US" w:eastAsia="zh-CN"/>
        </w:rPr>
        <w:t>中华人民共和国</w:t>
      </w:r>
      <w:r>
        <w:rPr>
          <w:rFonts w:hint="eastAsia"/>
        </w:rPr>
        <w:t>政府采购法实施条例》第九条及财政部关于回避的规定；</w:t>
      </w:r>
    </w:p>
    <w:p>
      <w:pPr>
        <w:pStyle w:val="30"/>
        <w:numPr>
          <w:ilvl w:val="1"/>
          <w:numId w:val="37"/>
        </w:numPr>
        <w:bidi w:val="0"/>
        <w:rPr>
          <w:rFonts w:hint="eastAsia"/>
        </w:rPr>
      </w:pPr>
      <w:r>
        <w:rPr>
          <w:rFonts w:hint="eastAsia"/>
        </w:rPr>
        <w:t>评标前，应当将通讯工具或者相关电子设备交由招标采购单位统一保管；</w:t>
      </w:r>
    </w:p>
    <w:p>
      <w:pPr>
        <w:pStyle w:val="30"/>
        <w:numPr>
          <w:ilvl w:val="1"/>
          <w:numId w:val="37"/>
        </w:numPr>
        <w:bidi w:val="0"/>
        <w:rPr>
          <w:rFonts w:hint="eastAsia"/>
        </w:rPr>
      </w:pPr>
      <w:r>
        <w:rPr>
          <w:rFonts w:hint="eastAsia"/>
        </w:rPr>
        <w:t>评标过程中，不得与外界联系，因发生不可预见情况，确实需要与外界联系的，应当在监督人员监督之下办理；</w:t>
      </w:r>
    </w:p>
    <w:p>
      <w:pPr>
        <w:pStyle w:val="30"/>
        <w:numPr>
          <w:ilvl w:val="1"/>
          <w:numId w:val="37"/>
        </w:numPr>
        <w:bidi w:val="0"/>
        <w:rPr>
          <w:rFonts w:hint="eastAsia"/>
        </w:rPr>
      </w:pPr>
      <w:r>
        <w:rPr>
          <w:rFonts w:hint="eastAsia"/>
        </w:rPr>
        <w:t>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pStyle w:val="30"/>
        <w:numPr>
          <w:ilvl w:val="1"/>
          <w:numId w:val="37"/>
        </w:numPr>
        <w:bidi w:val="0"/>
        <w:rPr>
          <w:rFonts w:hint="eastAsia"/>
        </w:rPr>
      </w:pPr>
      <w:r>
        <w:rPr>
          <w:rFonts w:hint="eastAsia"/>
        </w:rPr>
        <w:t>在评标过程中和评标结束后，不得记录、复制或带走任何评标资料，除因规定的义务外，不得向外界透露评标内容；</w:t>
      </w:r>
    </w:p>
    <w:p>
      <w:pPr>
        <w:pStyle w:val="30"/>
        <w:numPr>
          <w:ilvl w:val="1"/>
          <w:numId w:val="37"/>
        </w:numPr>
        <w:bidi w:val="0"/>
        <w:rPr>
          <w:rFonts w:hint="eastAsia"/>
          <w:lang w:eastAsia="zh-CN"/>
        </w:rPr>
      </w:pPr>
      <w:r>
        <w:rPr>
          <w:rFonts w:hint="eastAsia"/>
        </w:rPr>
        <w:t>服从评标现场招标采购单位的现场秩序管理，接受评标现场监督人员的合法监督</w:t>
      </w:r>
      <w:r>
        <w:rPr>
          <w:rFonts w:hint="eastAsia"/>
          <w:lang w:eastAsia="zh-CN"/>
        </w:rPr>
        <w:t>；</w:t>
      </w:r>
    </w:p>
    <w:p>
      <w:pPr>
        <w:pStyle w:val="30"/>
        <w:numPr>
          <w:ilvl w:val="1"/>
          <w:numId w:val="37"/>
        </w:numPr>
        <w:bidi w:val="0"/>
        <w:rPr>
          <w:rFonts w:hint="eastAsia"/>
        </w:rPr>
      </w:pPr>
      <w:r>
        <w:rPr>
          <w:rFonts w:hint="eastAsia"/>
        </w:rPr>
        <w:t>遵守有关廉洁自律规定，不得私下接触供应商，不得收受供应商及有关业务单位和个人的财物或好处，不得接受招标采购单位的请托。</w:t>
      </w:r>
    </w:p>
    <w:p>
      <w:pPr>
        <w:pStyle w:val="30"/>
        <w:numPr>
          <w:ilvl w:val="1"/>
          <w:numId w:val="37"/>
        </w:numPr>
        <w:bidi w:val="0"/>
        <w:rPr>
          <w:rFonts w:hint="eastAsia"/>
          <w:lang w:eastAsia="zh-CN"/>
        </w:rPr>
      </w:pPr>
      <w:r>
        <w:rPr>
          <w:rFonts w:hint="eastAsia"/>
        </w:rPr>
        <w:t>有关部门(机构)制定的其他评审工作纪律</w:t>
      </w:r>
      <w:r>
        <w:rPr>
          <w:rFonts w:hint="eastAsia"/>
          <w:lang w:eastAsia="zh-CN"/>
        </w:rPr>
        <w:t>。</w:t>
      </w:r>
    </w:p>
    <w:p>
      <w:pPr>
        <w:pStyle w:val="32"/>
        <w:numPr>
          <w:ilvl w:val="1"/>
          <w:numId w:val="12"/>
        </w:numPr>
        <w:bidi w:val="0"/>
        <w:rPr>
          <w:rFonts w:hint="eastAsia"/>
        </w:rPr>
      </w:pPr>
      <w:bookmarkStart w:id="1144" w:name="_Toc26220"/>
      <w:bookmarkStart w:id="1145" w:name="_Toc30239"/>
      <w:bookmarkStart w:id="1146" w:name="_Toc8256"/>
      <w:bookmarkStart w:id="1147" w:name="_Toc24043"/>
      <w:r>
        <w:rPr>
          <w:rFonts w:hint="eastAsia"/>
        </w:rPr>
        <w:t>评标委员会及其成员不得有下列行为</w:t>
      </w:r>
      <w:bookmarkEnd w:id="1144"/>
      <w:bookmarkEnd w:id="1145"/>
      <w:bookmarkEnd w:id="1146"/>
      <w:bookmarkEnd w:id="1147"/>
    </w:p>
    <w:p>
      <w:pPr>
        <w:pStyle w:val="30"/>
        <w:numPr>
          <w:ilvl w:val="1"/>
          <w:numId w:val="38"/>
        </w:numPr>
        <w:bidi w:val="0"/>
        <w:rPr>
          <w:rFonts w:hint="eastAsia"/>
        </w:rPr>
      </w:pPr>
      <w:r>
        <w:rPr>
          <w:rFonts w:hint="eastAsia"/>
        </w:rPr>
        <w:t>确定参与评标至评标结束前私自接触投标人；</w:t>
      </w:r>
    </w:p>
    <w:p>
      <w:pPr>
        <w:pStyle w:val="30"/>
        <w:numPr>
          <w:ilvl w:val="1"/>
          <w:numId w:val="38"/>
        </w:numPr>
        <w:bidi w:val="0"/>
        <w:rPr>
          <w:rFonts w:hint="eastAsia"/>
        </w:rPr>
      </w:pPr>
      <w:r>
        <w:rPr>
          <w:rFonts w:hint="eastAsia"/>
        </w:rPr>
        <w:t>接受投标人提出的与投标文件不一致的澄清或者说明，《政府采购货物和服务招标投标管理办法》</w:t>
      </w:r>
      <w:r>
        <w:rPr>
          <w:rFonts w:hint="eastAsia"/>
          <w:lang w:eastAsia="zh-CN"/>
        </w:rPr>
        <w:t>(</w:t>
      </w:r>
      <w:r>
        <w:rPr>
          <w:rFonts w:hint="eastAsia"/>
        </w:rPr>
        <w:t>财政部令第87号</w:t>
      </w:r>
      <w:r>
        <w:rPr>
          <w:rFonts w:hint="eastAsia"/>
          <w:lang w:eastAsia="zh-CN"/>
        </w:rPr>
        <w:t>)</w:t>
      </w:r>
      <w:r>
        <w:rPr>
          <w:rFonts w:hint="eastAsia"/>
        </w:rPr>
        <w:t>第五十一条规定的情形除外；</w:t>
      </w:r>
    </w:p>
    <w:p>
      <w:pPr>
        <w:pStyle w:val="30"/>
        <w:numPr>
          <w:ilvl w:val="1"/>
          <w:numId w:val="38"/>
        </w:numPr>
        <w:bidi w:val="0"/>
        <w:rPr>
          <w:rFonts w:hint="eastAsia"/>
        </w:rPr>
      </w:pPr>
      <w:r>
        <w:rPr>
          <w:rFonts w:hint="eastAsia"/>
        </w:rPr>
        <w:t>违反评标纪律发表倾向性意见或者征询采购人的倾向性意见；</w:t>
      </w:r>
    </w:p>
    <w:p>
      <w:pPr>
        <w:pStyle w:val="30"/>
        <w:numPr>
          <w:ilvl w:val="1"/>
          <w:numId w:val="38"/>
        </w:numPr>
        <w:bidi w:val="0"/>
        <w:rPr>
          <w:rFonts w:hint="eastAsia"/>
        </w:rPr>
      </w:pPr>
      <w:r>
        <w:rPr>
          <w:rFonts w:hint="eastAsia"/>
        </w:rPr>
        <w:t>对需要专业判断的主观评审因素协商评分；</w:t>
      </w:r>
    </w:p>
    <w:p>
      <w:pPr>
        <w:pStyle w:val="30"/>
        <w:numPr>
          <w:ilvl w:val="1"/>
          <w:numId w:val="38"/>
        </w:numPr>
        <w:bidi w:val="0"/>
        <w:rPr>
          <w:rFonts w:hint="eastAsia"/>
        </w:rPr>
      </w:pPr>
      <w:r>
        <w:rPr>
          <w:rFonts w:hint="eastAsia"/>
        </w:rPr>
        <w:t>在评标过程中擅离职守，影响评标程序正常进行的；</w:t>
      </w:r>
    </w:p>
    <w:p>
      <w:pPr>
        <w:pStyle w:val="30"/>
        <w:numPr>
          <w:ilvl w:val="1"/>
          <w:numId w:val="38"/>
        </w:numPr>
        <w:bidi w:val="0"/>
        <w:rPr>
          <w:rFonts w:hint="eastAsia"/>
        </w:rPr>
      </w:pPr>
      <w:r>
        <w:rPr>
          <w:rFonts w:hint="eastAsia"/>
        </w:rPr>
        <w:t>记录、复制或者带走任何评标资料；</w:t>
      </w:r>
    </w:p>
    <w:p>
      <w:pPr>
        <w:pStyle w:val="30"/>
        <w:numPr>
          <w:ilvl w:val="1"/>
          <w:numId w:val="38"/>
        </w:numPr>
        <w:bidi w:val="0"/>
        <w:rPr>
          <w:rFonts w:hint="eastAsia"/>
        </w:rPr>
      </w:pPr>
      <w:r>
        <w:rPr>
          <w:rFonts w:hint="eastAsia"/>
        </w:rPr>
        <w:t>其他不遵守评标纪律的行为。</w:t>
      </w:r>
    </w:p>
    <w:p>
      <w:pPr>
        <w:pStyle w:val="44"/>
        <w:bidi w:val="0"/>
        <w:rPr>
          <w:rFonts w:hint="eastAsia"/>
        </w:rPr>
      </w:pPr>
      <w:r>
        <w:rPr>
          <w:rFonts w:hint="eastAsia"/>
        </w:rPr>
        <w:t>评标委员会成员有前款第一至五项行为之一的，其评审意见无效，并不得获取评审劳务报酬和报销异地评审差旅费。</w:t>
      </w:r>
    </w:p>
    <w:p>
      <w:pPr>
        <w:pStyle w:val="32"/>
        <w:numPr>
          <w:ilvl w:val="1"/>
          <w:numId w:val="12"/>
        </w:numPr>
        <w:bidi w:val="0"/>
        <w:rPr>
          <w:rFonts w:hint="eastAsia"/>
        </w:rPr>
      </w:pPr>
      <w:bookmarkStart w:id="1148" w:name="_Toc13225"/>
      <w:bookmarkStart w:id="1149" w:name="_Toc12396"/>
      <w:r>
        <w:rPr>
          <w:rFonts w:hint="eastAsia"/>
          <w:lang w:val="en-US" w:eastAsia="zh-CN"/>
        </w:rPr>
        <w:t>评标委员会及其成员不得有下列违约情形</w:t>
      </w:r>
      <w:bookmarkEnd w:id="1148"/>
      <w:bookmarkEnd w:id="1149"/>
    </w:p>
    <w:p>
      <w:pPr>
        <w:pStyle w:val="30"/>
        <w:numPr>
          <w:ilvl w:val="1"/>
          <w:numId w:val="39"/>
        </w:numPr>
        <w:bidi w:val="0"/>
        <w:rPr>
          <w:rFonts w:hint="eastAsia"/>
        </w:rPr>
      </w:pPr>
      <w:r>
        <w:rPr>
          <w:rFonts w:hint="eastAsia"/>
        </w:rPr>
        <w:t>答应参加评审活动后，无正当理由不参加或者迟到，且不及时告知抽取终端工作人员，导致评审活动无法正常进行的；</w:t>
      </w:r>
    </w:p>
    <w:p>
      <w:pPr>
        <w:pStyle w:val="30"/>
        <w:numPr>
          <w:ilvl w:val="1"/>
          <w:numId w:val="39"/>
        </w:numPr>
        <w:bidi w:val="0"/>
        <w:rPr>
          <w:rFonts w:hint="eastAsia"/>
        </w:rPr>
      </w:pPr>
      <w:r>
        <w:rPr>
          <w:rFonts w:hint="eastAsia"/>
        </w:rPr>
        <w:t>不遵守评审现场工作纪律的；</w:t>
      </w:r>
    </w:p>
    <w:p>
      <w:pPr>
        <w:pStyle w:val="30"/>
        <w:numPr>
          <w:ilvl w:val="1"/>
          <w:numId w:val="39"/>
        </w:numPr>
        <w:bidi w:val="0"/>
        <w:rPr>
          <w:rFonts w:hint="eastAsia"/>
        </w:rPr>
      </w:pPr>
      <w:r>
        <w:rPr>
          <w:rFonts w:hint="eastAsia"/>
        </w:rPr>
        <w:t>明显故意拖延评审时间的；</w:t>
      </w:r>
    </w:p>
    <w:p>
      <w:pPr>
        <w:pStyle w:val="30"/>
        <w:numPr>
          <w:ilvl w:val="1"/>
          <w:numId w:val="39"/>
        </w:numPr>
        <w:bidi w:val="0"/>
        <w:rPr>
          <w:rFonts w:hint="eastAsia"/>
        </w:rPr>
      </w:pPr>
      <w:r>
        <w:rPr>
          <w:rFonts w:hint="eastAsia"/>
        </w:rPr>
        <w:t>抄袭其他评审委员会成员的评审意见的；</w:t>
      </w:r>
    </w:p>
    <w:p>
      <w:pPr>
        <w:pStyle w:val="30"/>
        <w:numPr>
          <w:ilvl w:val="1"/>
          <w:numId w:val="39"/>
        </w:numPr>
        <w:bidi w:val="0"/>
        <w:rPr>
          <w:rFonts w:hint="eastAsia"/>
        </w:rPr>
      </w:pPr>
      <w:r>
        <w:rPr>
          <w:rFonts w:hint="eastAsia"/>
        </w:rPr>
        <w:t>不按照政府采购法律制度和采购文件的规定进行评审，导致评审过程、评审结果违法违规，情节轻微不构成行政处罚的；</w:t>
      </w:r>
    </w:p>
    <w:p>
      <w:pPr>
        <w:pStyle w:val="30"/>
        <w:numPr>
          <w:ilvl w:val="1"/>
          <w:numId w:val="39"/>
        </w:numPr>
        <w:bidi w:val="0"/>
        <w:rPr>
          <w:rFonts w:hint="eastAsia"/>
        </w:rPr>
      </w:pPr>
      <w:r>
        <w:rPr>
          <w:rFonts w:hint="eastAsia"/>
        </w:rPr>
        <w:t>索取高于规定的劳务报酬，或者要求先给付报酬再进行评审，或者因劳务报酬低而拒绝评审、拒绝签署评审报告的；</w:t>
      </w:r>
    </w:p>
    <w:p>
      <w:pPr>
        <w:pStyle w:val="30"/>
        <w:numPr>
          <w:ilvl w:val="1"/>
          <w:numId w:val="39"/>
        </w:numPr>
        <w:bidi w:val="0"/>
        <w:rPr>
          <w:rFonts w:hint="eastAsia"/>
        </w:rPr>
      </w:pPr>
      <w:r>
        <w:rPr>
          <w:rFonts w:hint="eastAsia"/>
        </w:rPr>
        <w:t>不按照《四川省政府采购评审专家管理实施办法》的规定记录或者反馈采购人或者采购代理机构的职责履行情况的；</w:t>
      </w:r>
    </w:p>
    <w:p>
      <w:pPr>
        <w:pStyle w:val="30"/>
        <w:numPr>
          <w:ilvl w:val="1"/>
          <w:numId w:val="39"/>
        </w:numPr>
        <w:bidi w:val="0"/>
        <w:rPr>
          <w:rFonts w:hint="eastAsia"/>
        </w:rPr>
      </w:pPr>
      <w:r>
        <w:rPr>
          <w:rFonts w:hint="eastAsia"/>
        </w:rPr>
        <w:t>存在其他违反政府采购法规制度，但不构成行政处罚行为的。</w:t>
      </w:r>
    </w:p>
    <w:p>
      <w:pPr>
        <w:pStyle w:val="40"/>
        <w:bidi w:val="0"/>
        <w:rPr>
          <w:rFonts w:hint="eastAsia"/>
        </w:rPr>
      </w:pPr>
    </w:p>
    <w:p>
      <w:pPr>
        <w:pStyle w:val="46"/>
        <w:numPr>
          <w:ilvl w:val="0"/>
          <w:numId w:val="12"/>
        </w:numPr>
        <w:bidi w:val="0"/>
        <w:rPr>
          <w:rFonts w:hint="eastAsia"/>
        </w:rPr>
      </w:pPr>
      <w:r>
        <w:rPr>
          <w:rFonts w:hint="eastAsia"/>
        </w:rPr>
        <w:br w:type="page"/>
      </w:r>
      <w:bookmarkEnd w:id="1143"/>
      <w:bookmarkStart w:id="1150" w:name="_Toc229"/>
      <w:bookmarkStart w:id="1151" w:name="_Toc13264"/>
      <w:bookmarkStart w:id="1152" w:name="_Toc7547"/>
      <w:bookmarkStart w:id="1153" w:name="_Toc18908"/>
      <w:bookmarkStart w:id="1154" w:name="_Toc24999"/>
      <w:r>
        <w:rPr>
          <w:rFonts w:hint="eastAsia"/>
        </w:rPr>
        <w:t>政府采购合同</w:t>
      </w:r>
      <w:bookmarkEnd w:id="1150"/>
      <w:bookmarkEnd w:id="1151"/>
      <w:bookmarkEnd w:id="1152"/>
      <w:bookmarkEnd w:id="1153"/>
      <w:r>
        <w:rPr>
          <w:rFonts w:hint="eastAsia"/>
          <w:lang w:val="en-US" w:eastAsia="zh-CN"/>
        </w:rPr>
        <w:t>(参考文本)</w:t>
      </w:r>
      <w:bookmarkEnd w:id="1154"/>
    </w:p>
    <w:p>
      <w:pPr>
        <w:pStyle w:val="40"/>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ascii="宋体" w:hAnsi="宋体" w:eastAsia="宋体" w:cs="宋体"/>
        </w:rPr>
      </w:pPr>
    </w:p>
    <w:p>
      <w:pPr>
        <w:pStyle w:val="40"/>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合同编号：          (与项目编号一致)</w:t>
      </w:r>
    </w:p>
    <w:p>
      <w:pPr>
        <w:pStyle w:val="40"/>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 xml:space="preserve">计划号/备案号：                </w:t>
      </w:r>
    </w:p>
    <w:p>
      <w:pPr>
        <w:pStyle w:val="40"/>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 xml:space="preserve">签订地点：                     </w:t>
      </w:r>
    </w:p>
    <w:p>
      <w:pPr>
        <w:pStyle w:val="40"/>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 xml:space="preserve">签订时间：                     </w:t>
      </w:r>
    </w:p>
    <w:p>
      <w:pPr>
        <w:pStyle w:val="40"/>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 xml:space="preserve">采购人名称(甲方)：                              </w:t>
      </w:r>
    </w:p>
    <w:p>
      <w:pPr>
        <w:pStyle w:val="40"/>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 xml:space="preserve">中标人名称(乙方)：                          </w:t>
      </w:r>
    </w:p>
    <w:p>
      <w:pPr>
        <w:pStyle w:val="40"/>
        <w:bidi w:val="0"/>
        <w:ind w:firstLine="482" w:firstLineChars="200"/>
        <w:rPr>
          <w:rFonts w:hint="default" w:ascii="宋体" w:hAnsi="宋体" w:eastAsia="宋体" w:cs="宋体"/>
          <w:b/>
          <w:bCs/>
          <w:snapToGrid/>
          <w:color w:val="000000"/>
          <w:kern w:val="2"/>
          <w:sz w:val="24"/>
          <w:szCs w:val="24"/>
          <w:lang w:val="en-US" w:eastAsia="zh-CN" w:bidi="ar-SA"/>
        </w:rPr>
      </w:pPr>
      <w:r>
        <w:rPr>
          <w:rFonts w:hint="eastAsia" w:cs="宋体"/>
          <w:b/>
          <w:bCs/>
          <w:snapToGrid/>
          <w:color w:val="000000"/>
          <w:kern w:val="2"/>
          <w:sz w:val="24"/>
          <w:szCs w:val="24"/>
          <w:lang w:val="en-US" w:eastAsia="zh-CN" w:bidi="ar-SA"/>
        </w:rPr>
        <w:t>合同类型：</w:t>
      </w:r>
      <w:r>
        <w:rPr>
          <w:rFonts w:hint="eastAsia" w:cs="宋体"/>
          <w:b/>
          <w:bCs/>
          <w:snapToGrid/>
          <w:color w:val="000000"/>
          <w:u w:val="none"/>
          <w:lang w:val="en-US" w:eastAsia="zh-CN"/>
        </w:rPr>
        <w:t>本合同为中小企业预留合同</w:t>
      </w:r>
    </w:p>
    <w:p>
      <w:pPr>
        <w:pStyle w:val="40"/>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根据《中华人民共和国民法典》、《中华人民共和国政府采购法》、《中华人民共和国政府采购法实施条例》、《政府采购货物和服务招标投标管理办法》(财政部令第87号)及</w:t>
      </w:r>
      <w:r>
        <w:rPr>
          <w:rFonts w:hint="eastAsia" w:ascii="宋体" w:hAnsi="宋体" w:eastAsia="宋体" w:cs="宋体"/>
          <w:snapToGrid/>
          <w:color w:val="000000"/>
          <w:kern w:val="2"/>
          <w:sz w:val="24"/>
          <w:szCs w:val="24"/>
          <w:u w:val="single"/>
          <w:lang w:val="en-US" w:eastAsia="zh-CN" w:bidi="ar-SA"/>
        </w:rPr>
        <w:t xml:space="preserve">          </w:t>
      </w:r>
      <w:r>
        <w:rPr>
          <w:rFonts w:hint="eastAsia" w:ascii="宋体" w:hAnsi="宋体" w:eastAsia="宋体" w:cs="宋体"/>
          <w:snapToGrid/>
          <w:color w:val="000000"/>
          <w:kern w:val="2"/>
          <w:sz w:val="24"/>
          <w:szCs w:val="24"/>
          <w:lang w:val="en-US" w:eastAsia="zh-CN" w:bidi="ar-SA"/>
        </w:rPr>
        <w:t xml:space="preserve"> (采购项目的名称)(项目编号：</w:t>
      </w:r>
      <w:r>
        <w:rPr>
          <w:rFonts w:hint="eastAsia" w:ascii="宋体" w:hAnsi="宋体" w:eastAsia="宋体" w:cs="宋体"/>
          <w:snapToGrid/>
          <w:color w:val="000000"/>
          <w:kern w:val="2"/>
          <w:sz w:val="24"/>
          <w:szCs w:val="24"/>
          <w:u w:val="single"/>
          <w:lang w:val="en-US" w:eastAsia="zh-CN" w:bidi="ar-SA"/>
        </w:rPr>
        <w:t xml:space="preserve">      </w:t>
      </w:r>
      <w:r>
        <w:rPr>
          <w:rFonts w:hint="eastAsia" w:ascii="宋体" w:hAnsi="宋体" w:eastAsia="宋体" w:cs="宋体"/>
          <w:snapToGrid/>
          <w:color w:val="000000"/>
          <w:kern w:val="2"/>
          <w:sz w:val="24"/>
          <w:szCs w:val="24"/>
          <w:lang w:val="en-US" w:eastAsia="zh-CN" w:bidi="ar-SA"/>
        </w:rPr>
        <w:t xml:space="preserve"> (采购项目的编号))的《招标文件》、乙方的《投标文件》及《中标通知书》，甲、乙双方同意签订本合同。详细技术说明及其他有关合同项目的特定信息由合同附件予以说明，合同附件及本项目的采购文件、投标文件、《中标通知书》等均为本合同不可分割的部分。双方同意共同遵守如下条款：</w:t>
      </w:r>
    </w:p>
    <w:p>
      <w:pPr>
        <w:widowControl w:val="0"/>
        <w:autoSpaceDE w:val="0"/>
        <w:autoSpaceDN w:val="0"/>
        <w:snapToGrid/>
        <w:spacing w:after="0" w:line="360" w:lineRule="auto"/>
        <w:ind w:firstLine="482" w:firstLineChars="200"/>
        <w:rPr>
          <w:rFonts w:hint="eastAsia" w:ascii="宋体" w:hAnsi="宋体" w:eastAsia="宋体" w:cs="宋体"/>
          <w:b/>
          <w:color w:val="000000"/>
          <w:sz w:val="24"/>
          <w:szCs w:val="24"/>
        </w:rPr>
      </w:pPr>
      <w:bookmarkStart w:id="1155" w:name="_Toc32461"/>
    </w:p>
    <w:p>
      <w:pPr>
        <w:widowControl w:val="0"/>
        <w:autoSpaceDE w:val="0"/>
        <w:autoSpaceDN w:val="0"/>
        <w:snapToGrid/>
        <w:spacing w:after="0"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 xml:space="preserve">第一条 项目基本情况 </w:t>
      </w:r>
    </w:p>
    <w:p>
      <w:pPr>
        <w:keepNext w:val="0"/>
        <w:keepLines w:val="0"/>
        <w:pageBreakBefore w:val="0"/>
        <w:widowControl w:val="0"/>
        <w:numPr>
          <w:ilvl w:val="0"/>
          <w:numId w:val="0"/>
        </w:numPr>
        <w:kinsoku/>
        <w:wordWrap/>
        <w:overflowPunct/>
        <w:topLinePunct w:val="0"/>
        <w:autoSpaceDE/>
        <w:autoSpaceDN/>
        <w:bidi w:val="0"/>
        <w:adjustRightInd/>
        <w:spacing w:line="360" w:lineRule="auto"/>
        <w:ind w:leftChars="0" w:firstLine="480" w:firstLineChars="200"/>
        <w:jc w:val="left"/>
        <w:textAlignment w:val="auto"/>
        <w:rPr>
          <w:rFonts w:hint="eastAsia"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 xml:space="preserve">根据成都市交通运输委员会、中共成都市委督查室、成都市人民政府督查室、成都市财政局《关于印发〈成都市农村公路养护目标管理和考核奖励办法〉的通知》(成交发〔2015〕144号）要求，将农村公路路面使用性能指数（PQI）纳入对区（市）县、成都天府新区管委会和成都高新区管委会年度公路养护管理工作目标进行管理。 </w:t>
      </w:r>
    </w:p>
    <w:p>
      <w:pPr>
        <w:keepNext w:val="0"/>
        <w:keepLines w:val="0"/>
        <w:pageBreakBefore w:val="0"/>
        <w:widowControl w:val="0"/>
        <w:numPr>
          <w:ilvl w:val="0"/>
          <w:numId w:val="0"/>
        </w:numPr>
        <w:kinsoku/>
        <w:wordWrap/>
        <w:overflowPunct/>
        <w:topLinePunct w:val="0"/>
        <w:autoSpaceDE/>
        <w:autoSpaceDN/>
        <w:bidi w:val="0"/>
        <w:adjustRightInd/>
        <w:spacing w:line="360" w:lineRule="auto"/>
        <w:ind w:leftChars="0" w:firstLine="480" w:firstLineChars="200"/>
        <w:jc w:val="left"/>
        <w:textAlignment w:val="auto"/>
        <w:rPr>
          <w:rFonts w:hint="default" w:ascii="宋体" w:hAnsi="宋体" w:eastAsia="宋体" w:cs="宋体"/>
          <w:snapToGrid/>
          <w:color w:val="000000"/>
          <w:kern w:val="2"/>
          <w:sz w:val="24"/>
          <w:szCs w:val="24"/>
          <w:lang w:val="en-US" w:eastAsia="zh-CN" w:bidi="ar-SA"/>
        </w:rPr>
      </w:pPr>
      <w:r>
        <w:rPr>
          <w:rFonts w:hint="eastAsia" w:ascii="宋体" w:hAnsi="宋体" w:eastAsia="宋体" w:cs="宋体"/>
          <w:snapToGrid/>
          <w:color w:val="000000"/>
          <w:kern w:val="2"/>
          <w:sz w:val="24"/>
          <w:szCs w:val="24"/>
          <w:lang w:val="en-US" w:eastAsia="zh-CN" w:bidi="ar-SA"/>
        </w:rPr>
        <w:t>对成都市辖区内各区（市）县的县道公路、三级及以上等级乡村公路进行路面使用性能指标（PQI）检测评定，总里程约4500公里，主要检测指标为路面平整度（RQI）、路面损坏（PCI），并出具检测报告。</w:t>
      </w:r>
    </w:p>
    <w:p>
      <w:pPr>
        <w:widowControl w:val="0"/>
        <w:autoSpaceDE w:val="0"/>
        <w:autoSpaceDN w:val="0"/>
        <w:snapToGrid/>
        <w:spacing w:after="0"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 xml:space="preserve">第二条 服务期限 </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根据本项目《招标文件》的规定，本合同为单价合同，具体合同金额以完成的实际工作量计算。</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服务期限</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2021年度成都市农村公路路况PQI检测工作计划于2021年9月初正式开始，正式检测结果须在2021年11月30日前提交至成都市交通运输综合行政执法总队</w:t>
      </w:r>
      <w:r>
        <w:rPr>
          <w:rFonts w:hint="eastAsia" w:ascii="宋体" w:hAnsi="宋体" w:eastAsia="宋体" w:cs="宋体"/>
          <w:color w:val="000000"/>
          <w:sz w:val="24"/>
          <w:szCs w:val="24"/>
        </w:rPr>
        <w:t xml:space="preserve">。 </w:t>
      </w:r>
    </w:p>
    <w:p>
      <w:pPr>
        <w:widowControl w:val="0"/>
        <w:autoSpaceDE w:val="0"/>
        <w:autoSpaceDN w:val="0"/>
        <w:snapToGrid/>
        <w:spacing w:after="0"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 xml:space="preserve">第三条 服务内容与工作要求 </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b/>
          <w:color w:val="000000"/>
          <w:sz w:val="24"/>
          <w:szCs w:val="24"/>
        </w:rPr>
        <w:t>服务内容</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lang w:val="en-US" w:eastAsia="zh-CN"/>
        </w:rPr>
      </w:pPr>
      <w:r>
        <w:rPr>
          <w:rFonts w:hint="eastAsia" w:cs="宋体"/>
          <w:color w:val="000000"/>
          <w:sz w:val="24"/>
          <w:szCs w:val="24"/>
          <w:lang w:val="en-US" w:eastAsia="zh-CN"/>
        </w:rPr>
        <w:t>(1)</w:t>
      </w:r>
      <w:r>
        <w:rPr>
          <w:rFonts w:hint="eastAsia" w:ascii="宋体" w:hAnsi="宋体" w:eastAsia="宋体" w:cs="宋体"/>
          <w:color w:val="000000"/>
          <w:sz w:val="24"/>
          <w:szCs w:val="24"/>
          <w:lang w:val="en-US" w:eastAsia="zh-CN"/>
        </w:rPr>
        <w:t>检测的各项技术标准、规范应符合国家、四川省、成都市各级政府、行业主管部门等标准或规范要求。</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cs="宋体"/>
          <w:color w:val="000000"/>
          <w:sz w:val="24"/>
          <w:szCs w:val="24"/>
          <w:lang w:val="en-US" w:eastAsia="zh-CN"/>
        </w:rPr>
        <w:t>(2)</w:t>
      </w:r>
      <w:r>
        <w:rPr>
          <w:rFonts w:hint="eastAsia" w:ascii="宋体" w:hAnsi="宋体" w:eastAsia="宋体" w:cs="宋体"/>
          <w:color w:val="000000"/>
          <w:sz w:val="24"/>
          <w:szCs w:val="24"/>
        </w:rPr>
        <w:t>检测内容：按照交通运输部《公路技术状况评定标准》（JTG 5210-2018）对农村公路路面破损PCI、路面平整度RQI两项指标进行检测（被检农村公路路面使用性能指标PQI值按PQI=0.7×PCI+0.3×RQI计算）。路面破损PCI、路面平整度RQI检测结果须满足《公路路面技术状况自动化检测规程》中“数据处理”的要求，检测结果数据能够完整导入中工云的公路基础数据库，且能在系统中正常使用。</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cs="宋体"/>
          <w:color w:val="000000"/>
          <w:sz w:val="24"/>
          <w:szCs w:val="24"/>
          <w:lang w:val="en-US" w:eastAsia="zh-CN"/>
        </w:rPr>
        <w:t>(3)</w:t>
      </w:r>
      <w:r>
        <w:rPr>
          <w:rFonts w:hint="eastAsia" w:ascii="宋体" w:hAnsi="宋体" w:eastAsia="宋体" w:cs="宋体"/>
          <w:color w:val="000000"/>
          <w:sz w:val="24"/>
          <w:szCs w:val="24"/>
        </w:rPr>
        <w:t>检测里程：县道公路全部检测评定、三级及以上等级乡村公路随机抽取20%的里程进行检测评定。202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年总里程约为</w:t>
      </w:r>
      <w:r>
        <w:rPr>
          <w:rFonts w:hint="eastAsia" w:ascii="宋体" w:hAnsi="宋体" w:eastAsia="宋体" w:cs="宋体"/>
          <w:color w:val="000000"/>
          <w:sz w:val="24"/>
          <w:szCs w:val="24"/>
          <w:lang w:val="en-US" w:eastAsia="zh-CN"/>
        </w:rPr>
        <w:t>4500公里</w:t>
      </w:r>
      <w:r>
        <w:rPr>
          <w:rFonts w:hint="eastAsia" w:ascii="宋体" w:hAnsi="宋体" w:eastAsia="宋体" w:cs="宋体"/>
          <w:color w:val="000000"/>
          <w:sz w:val="24"/>
          <w:szCs w:val="24"/>
        </w:rPr>
        <w:t xml:space="preserve">。 </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2、服务要求 </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1）乙方须在资质范围内开展监督抽检工作，检测过程中，遵循“质量为本、科技领先、科学公正、诚信廉洁”的质量方针，遵守法律、法规、规章和技术规范，公正、独立、科学地进行监督抽检，不违规操作、不伪造数据，保证试验检测数据的真实性和判断的独立性，严格按照检测结果进行统计，保证各类统计结果的真实性及准确性； </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（2）根据《公路水运工程试验检测管理办法》规定，乙方在同一公路工程项目合同段中若已承担业主、监理、施工等其中一方的试验检测委托，乙方应主动提出对该合同段的抽查检测工作回避； </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（3）有权拒绝参建单位不正当的要求，严格规范检测人员的行为，确保检测人员的廉政； </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（4）严格按照甲方的要求和布置的任务进行工程质量监督抽检； </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（5）及时安排抽检并提交检测报告等相关资料，接受甲方的监督、管理； </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（6）建立检测留样制度，做好试验定期留样； </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（7）乙方对工程实体质量进行检测的同时，还需根据甲方要求对工程外观质量进行检查，并将外观检查结果写入检测报告，外观检测不另行报价和收费； </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（8）乙方应建立健全监督抽检的相关资料，并单独归档，主要包括： </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①监督抽检任务通知单、抽检原始记录和任务签认单， </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②监督抽检台账（含电子台账）， </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③监督抽检报告及汇总统计； </w:t>
      </w:r>
    </w:p>
    <w:p>
      <w:pPr>
        <w:widowControl w:val="0"/>
        <w:autoSpaceDE w:val="0"/>
        <w:autoSpaceDN w:val="0"/>
        <w:snapToGrid/>
        <w:spacing w:after="0"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 xml:space="preserve">第四条 服务费用及支付方式 </w:t>
      </w:r>
    </w:p>
    <w:p>
      <w:pPr>
        <w:pStyle w:val="61"/>
        <w:keepNext w:val="0"/>
        <w:keepLines w:val="0"/>
        <w:pageBreakBefore w:val="0"/>
        <w:numPr>
          <w:ilvl w:val="3"/>
          <w:numId w:val="0"/>
        </w:numPr>
        <w:kinsoku/>
        <w:overflowPunct/>
        <w:autoSpaceDE/>
        <w:autoSpaceDN/>
        <w:bidi w:val="0"/>
        <w:spacing w:line="440" w:lineRule="exact"/>
        <w:ind w:firstLine="480" w:firstLineChars="200"/>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签订采购合同生效后支付检测总里程（4500公里）的40%×中标单价的金额做为预付款，按合同约定完成检测等各项工作后，按实际完成的检测量（检测总里程）和中标单价（元/公里）据实支付剩余服务费。超出预算资金的检测项目，中标方仍负有检测义务，采购人不再另行支付费用。</w:t>
      </w:r>
    </w:p>
    <w:p>
      <w:pPr>
        <w:pStyle w:val="61"/>
        <w:keepNext w:val="0"/>
        <w:keepLines w:val="0"/>
        <w:pageBreakBefore w:val="0"/>
        <w:numPr>
          <w:ilvl w:val="3"/>
          <w:numId w:val="0"/>
        </w:numPr>
        <w:kinsoku/>
        <w:overflowPunct/>
        <w:autoSpaceDE/>
        <w:autoSpaceDN/>
        <w:bidi w:val="0"/>
        <w:spacing w:line="440" w:lineRule="exact"/>
        <w:ind w:firstLine="480" w:firstLineChars="200"/>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2、供应商须向采购人出具合法有效完整的完税发票及凭证资料进行支付结算。</w:t>
      </w:r>
    </w:p>
    <w:p>
      <w:pPr>
        <w:widowControl w:val="0"/>
        <w:autoSpaceDE w:val="0"/>
        <w:autoSpaceDN w:val="0"/>
        <w:snapToGrid/>
        <w:spacing w:after="0"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 xml:space="preserve">第五条 知识产权 </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乙方应保证所提供的服务或其任何一部分均不会侵犯任何第三方的专利权、商标权或著作权。 </w:t>
      </w:r>
    </w:p>
    <w:p>
      <w:pPr>
        <w:widowControl w:val="0"/>
        <w:autoSpaceDE w:val="0"/>
        <w:autoSpaceDN w:val="0"/>
        <w:snapToGrid/>
        <w:spacing w:after="0"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 xml:space="preserve">第六条 无产权瑕疵条款 </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乙方保证所提供的服务的所有权完全属于乙方且无任何抵押、查封等产权瑕疵。如有产权瑕疵的，视为乙方违约。乙方应负担由此而产生的一切损失。 </w:t>
      </w:r>
    </w:p>
    <w:p>
      <w:pPr>
        <w:widowControl w:val="0"/>
        <w:autoSpaceDE w:val="0"/>
        <w:autoSpaceDN w:val="0"/>
        <w:snapToGrid/>
        <w:spacing w:after="0"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第</w:t>
      </w:r>
      <w:r>
        <w:rPr>
          <w:rFonts w:hint="eastAsia" w:ascii="宋体" w:hAnsi="宋体" w:eastAsia="宋体" w:cs="宋体"/>
          <w:b/>
          <w:color w:val="000000"/>
          <w:sz w:val="24"/>
          <w:szCs w:val="24"/>
          <w:lang w:val="en-US" w:eastAsia="zh-CN"/>
        </w:rPr>
        <w:t>七</w:t>
      </w:r>
      <w:r>
        <w:rPr>
          <w:rFonts w:hint="eastAsia" w:ascii="宋体" w:hAnsi="宋体" w:eastAsia="宋体" w:cs="宋体"/>
          <w:b/>
          <w:color w:val="000000"/>
          <w:sz w:val="24"/>
          <w:szCs w:val="24"/>
        </w:rPr>
        <w:t xml:space="preserve">条 甲方的权利和义务 </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1、甲方有权对合同规定范围内乙方的服务行为进行监督和检查，拥有监管权。有权定期核对乙方提供服务所配备的人员数量。对甲方认为不合理的部分有权要求乙方限期整改。 </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2、甲方有权依据招标文件确定的考评办法对乙方提供的服务进行定期考评。当考评结果未达到标准时，有权依据招标文件对乙方进行考核和处罚，有权扣除履约保证金；直至终止或取消合同。 </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3、负责检查监督乙方管理工作的实施及制度的执行情况。 </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4、根据本合同规定，按时向乙方支付应付服务费用。</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5、国家法律、法规所规定由甲方承担的其它责任。 </w:t>
      </w:r>
    </w:p>
    <w:p>
      <w:pPr>
        <w:widowControl w:val="0"/>
        <w:autoSpaceDE w:val="0"/>
        <w:autoSpaceDN w:val="0"/>
        <w:snapToGrid/>
        <w:spacing w:after="0"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第</w:t>
      </w:r>
      <w:r>
        <w:rPr>
          <w:rFonts w:hint="eastAsia" w:ascii="宋体" w:hAnsi="宋体" w:eastAsia="宋体" w:cs="宋体"/>
          <w:b/>
          <w:color w:val="000000"/>
          <w:sz w:val="24"/>
          <w:szCs w:val="24"/>
          <w:lang w:val="en-US" w:eastAsia="zh-CN"/>
        </w:rPr>
        <w:t>八</w:t>
      </w:r>
      <w:r>
        <w:rPr>
          <w:rFonts w:hint="eastAsia" w:ascii="宋体" w:hAnsi="宋体" w:eastAsia="宋体" w:cs="宋体"/>
          <w:b/>
          <w:color w:val="000000"/>
          <w:sz w:val="24"/>
          <w:szCs w:val="24"/>
        </w:rPr>
        <w:t xml:space="preserve">条 乙方的权利和义务 </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1、对本合同规定的委托服务范围内的项目享有管理权及服务义务。 </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2、根据本合同的规定向甲方收取相关服务费用，并有权在本项目管理范围内管理及合理使用。 </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3、及时向甲方通告本项目服务范围内有关服务的重大事项，及时配合处理投诉。 </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4、乙方应严格遵守《中华人民共和国安全生产法》、《中华人民共和国特种设备安全法》、《四川省安全生产条例》及《四川省道路安全条例》等法律法规的规定，严格按照安全标准检测，采取必要的安全防护措施并对检测单位人员进行安全生产教育和管理，确保作业人员和车辆、设备的安全。检测单位在检测过程中发生的任何交通、生产事故造成财产损失或人员伤亡的，以及与其他第三方发生的任何纠纷或事故，甲方概不承担任何责任和费用。 </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5、接受项目行业管理部门及政府有关部门的指导，接受甲方的监督。 </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6、遵守各项廉政规定要求。 </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7、国家法律、法规所规定由乙方承担的其它责任。 </w:t>
      </w:r>
    </w:p>
    <w:p>
      <w:pPr>
        <w:widowControl w:val="0"/>
        <w:autoSpaceDE w:val="0"/>
        <w:autoSpaceDN w:val="0"/>
        <w:snapToGrid/>
        <w:spacing w:after="0"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第</w:t>
      </w:r>
      <w:r>
        <w:rPr>
          <w:rFonts w:hint="eastAsia" w:ascii="宋体" w:hAnsi="宋体" w:eastAsia="宋体" w:cs="宋体"/>
          <w:b/>
          <w:color w:val="000000"/>
          <w:sz w:val="24"/>
          <w:szCs w:val="24"/>
          <w:lang w:val="en-US" w:eastAsia="zh-CN"/>
        </w:rPr>
        <w:t>九</w:t>
      </w:r>
      <w:r>
        <w:rPr>
          <w:rFonts w:hint="eastAsia" w:ascii="宋体" w:hAnsi="宋体" w:eastAsia="宋体" w:cs="宋体"/>
          <w:b/>
          <w:color w:val="000000"/>
          <w:sz w:val="24"/>
          <w:szCs w:val="24"/>
        </w:rPr>
        <w:t xml:space="preserve">条 违约责任 </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1、乙方在本年度履约过程中具有以下任何一项情形的，甲方有权直接单方解除本合同： </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（1）检测机构资质等级降低或取消； </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（2）检测机构正受到责令停产、停业的行政处罚或正处于财务被接管、冻结、破产状态； </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（3）检测机构出具虚假报告； </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（4）检测机构在本合同履行期限内在</w:t>
      </w:r>
      <w:r>
        <w:rPr>
          <w:rFonts w:hint="eastAsia" w:cs="宋体"/>
          <w:color w:val="000000"/>
          <w:sz w:val="24"/>
          <w:szCs w:val="24"/>
          <w:lang w:val="en-US" w:eastAsia="zh-CN"/>
        </w:rPr>
        <w:t>被</w:t>
      </w:r>
      <w:r>
        <w:rPr>
          <w:rFonts w:hint="eastAsia" w:ascii="宋体" w:hAnsi="宋体" w:eastAsia="宋体" w:cs="宋体"/>
          <w:color w:val="000000"/>
          <w:sz w:val="24"/>
          <w:szCs w:val="24"/>
        </w:rPr>
        <w:t>交通运输部、四川省交通运输厅</w:t>
      </w:r>
      <w:r>
        <w:rPr>
          <w:rFonts w:hint="eastAsia" w:cs="宋体"/>
          <w:color w:val="000000"/>
          <w:sz w:val="24"/>
          <w:szCs w:val="24"/>
          <w:lang w:eastAsia="zh-CN"/>
        </w:rPr>
        <w:t>、</w:t>
      </w:r>
      <w:r>
        <w:rPr>
          <w:rFonts w:hint="eastAsia" w:ascii="宋体" w:hAnsi="宋体" w:eastAsia="宋体" w:cs="宋体"/>
          <w:color w:val="000000"/>
          <w:sz w:val="24"/>
          <w:szCs w:val="24"/>
          <w:lang w:val="en-US" w:eastAsia="zh-CN"/>
        </w:rPr>
        <w:t>成都市</w:t>
      </w:r>
      <w:r>
        <w:rPr>
          <w:rFonts w:hint="eastAsia" w:cs="宋体"/>
          <w:color w:val="000000"/>
          <w:sz w:val="24"/>
          <w:szCs w:val="24"/>
          <w:lang w:val="en-US" w:eastAsia="zh-CN"/>
        </w:rPr>
        <w:t>交通运输局任一信用评价系统信用</w:t>
      </w:r>
      <w:r>
        <w:rPr>
          <w:rFonts w:hint="eastAsia" w:ascii="宋体" w:hAnsi="宋体" w:eastAsia="宋体" w:cs="宋体"/>
          <w:color w:val="000000"/>
          <w:sz w:val="24"/>
          <w:szCs w:val="24"/>
        </w:rPr>
        <w:t xml:space="preserve">等级被评为C、D级； </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（5）年度考核不合格。 </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2、甲乙双方必须遵守本合同并执行合同中的各项规定，保证本合同的正常履行。 </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3、如因乙方工作人员在履行职务过程中的的疏忽、失职、过错等故意或者过失原因给甲方造成损失或侵害，包括但不限于甲方本身的财产损失、由此而导致的甲方对任何第三方的法律责任等，乙方对此均应承担全部的赔偿责任。 </w:t>
      </w:r>
    </w:p>
    <w:p>
      <w:pPr>
        <w:widowControl w:val="0"/>
        <w:autoSpaceDE w:val="0"/>
        <w:autoSpaceDN w:val="0"/>
        <w:snapToGrid/>
        <w:spacing w:after="0"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 xml:space="preserve">第十条 不可抗力事件处理 </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1、在合同有效期内，任何一方因不可抗力事件导致不能履行合同，则合同履行期可延长，其延长期与不可抗力影响期相同。 </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2、不可抗力事件发生后，应立即通知对方，并寄送有关权威机构出具的证明。 </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3、因不可抗力导致合同不能继续履行的，双方应通过友好协商，确定是否继续履行合同。 </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4、因上级部门有关政策变化导致合同不能继续履行的，可提前终止本合同。 </w:t>
      </w:r>
    </w:p>
    <w:p>
      <w:pPr>
        <w:widowControl w:val="0"/>
        <w:autoSpaceDE w:val="0"/>
        <w:autoSpaceDN w:val="0"/>
        <w:snapToGrid/>
        <w:spacing w:after="0"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第十</w:t>
      </w:r>
      <w:r>
        <w:rPr>
          <w:rFonts w:hint="eastAsia" w:ascii="宋体" w:hAnsi="宋体" w:eastAsia="宋体" w:cs="宋体"/>
          <w:b/>
          <w:color w:val="000000"/>
          <w:sz w:val="24"/>
          <w:szCs w:val="24"/>
          <w:lang w:val="en-US" w:eastAsia="zh-CN"/>
        </w:rPr>
        <w:t>一</w:t>
      </w:r>
      <w:r>
        <w:rPr>
          <w:rFonts w:hint="eastAsia" w:ascii="宋体" w:hAnsi="宋体" w:eastAsia="宋体" w:cs="宋体"/>
          <w:b/>
          <w:color w:val="000000"/>
          <w:sz w:val="24"/>
          <w:szCs w:val="24"/>
        </w:rPr>
        <w:t xml:space="preserve">条 解决合同纠纷的方式 </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ascii="宋体" w:hAnsi="宋体" w:eastAsia="宋体" w:cs="宋体"/>
          <w:sz w:val="24"/>
          <w:szCs w:val="24"/>
        </w:rPr>
        <w:t>在执行本合同中发生的或与本合同有关的争端，双方应通过友好协商解决，经协商在30天内不能达成协议时，应提交甲方住所地人民法院诉讼</w:t>
      </w:r>
      <w:r>
        <w:rPr>
          <w:rFonts w:hint="eastAsia" w:ascii="宋体" w:hAnsi="宋体" w:eastAsia="宋体" w:cs="宋体"/>
          <w:color w:val="000000"/>
          <w:sz w:val="24"/>
          <w:szCs w:val="24"/>
        </w:rPr>
        <w:t xml:space="preserve">。 </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ascii="宋体" w:hAnsi="宋体" w:eastAsia="宋体" w:cs="宋体"/>
          <w:sz w:val="24"/>
          <w:szCs w:val="24"/>
        </w:rPr>
        <w:t>诉讼</w:t>
      </w:r>
      <w:r>
        <w:rPr>
          <w:rFonts w:hint="eastAsia" w:cs="宋体"/>
          <w:sz w:val="24"/>
          <w:szCs w:val="24"/>
          <w:lang w:val="en-US" w:eastAsia="zh-CN"/>
        </w:rPr>
        <w:t>判决结果</w:t>
      </w:r>
      <w:r>
        <w:rPr>
          <w:rFonts w:hint="eastAsia" w:ascii="宋体" w:hAnsi="宋体" w:eastAsia="宋体" w:cs="宋体"/>
          <w:color w:val="000000"/>
          <w:sz w:val="24"/>
          <w:szCs w:val="24"/>
        </w:rPr>
        <w:t xml:space="preserve">对双方具有约束力。 </w:t>
      </w:r>
    </w:p>
    <w:p>
      <w:pPr>
        <w:widowControl w:val="0"/>
        <w:autoSpaceDE w:val="0"/>
        <w:autoSpaceDN w:val="0"/>
        <w:snapToGrid/>
        <w:spacing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cs="宋体"/>
          <w:color w:val="000000"/>
          <w:sz w:val="24"/>
          <w:szCs w:val="24"/>
          <w:lang w:val="en-US" w:eastAsia="zh-CN"/>
        </w:rPr>
        <w:t>诉讼</w:t>
      </w:r>
      <w:r>
        <w:rPr>
          <w:rFonts w:hint="eastAsia" w:ascii="宋体" w:hAnsi="宋体" w:eastAsia="宋体" w:cs="宋体"/>
          <w:color w:val="000000"/>
          <w:sz w:val="24"/>
          <w:szCs w:val="24"/>
        </w:rPr>
        <w:t xml:space="preserve">费应由败诉方负担。 </w:t>
      </w:r>
    </w:p>
    <w:p>
      <w:pPr>
        <w:widowControl w:val="0"/>
        <w:autoSpaceDE w:val="0"/>
        <w:autoSpaceDN w:val="0"/>
        <w:snapToGrid/>
        <w:spacing w:after="0"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第十</w:t>
      </w:r>
      <w:r>
        <w:rPr>
          <w:rFonts w:hint="eastAsia" w:ascii="宋体" w:hAnsi="宋体" w:eastAsia="宋体" w:cs="宋体"/>
          <w:b/>
          <w:color w:val="000000"/>
          <w:sz w:val="24"/>
          <w:szCs w:val="24"/>
          <w:lang w:val="en-US" w:eastAsia="zh-CN"/>
        </w:rPr>
        <w:t>二</w:t>
      </w:r>
      <w:r>
        <w:rPr>
          <w:rFonts w:hint="eastAsia" w:ascii="宋体" w:hAnsi="宋体" w:eastAsia="宋体" w:cs="宋体"/>
          <w:b/>
          <w:color w:val="000000"/>
          <w:sz w:val="24"/>
          <w:szCs w:val="24"/>
        </w:rPr>
        <w:t xml:space="preserve">条 合同生效及其他 </w:t>
      </w:r>
    </w:p>
    <w:p>
      <w:pPr>
        <w:keepNext w:val="0"/>
        <w:keepLines w:val="0"/>
        <w:pageBreakBefore w:val="0"/>
        <w:widowControl w:val="0"/>
        <w:kinsoku/>
        <w:overflowPunct/>
        <w:autoSpaceDE w:val="0"/>
        <w:autoSpaceDN w:val="0"/>
        <w:bidi w:val="0"/>
        <w:adjustRightInd w:val="0"/>
        <w:snapToGrid/>
        <w:spacing w:after="0" w:line="360" w:lineRule="auto"/>
        <w:ind w:firstLine="480" w:firstLineChars="20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1、合同经双方法定代表人或授权委托代理人签字并加盖单位公章后生效；本合同未尽事宜，由双方另行协商约定，签订补充协议。 </w:t>
      </w:r>
    </w:p>
    <w:p>
      <w:pPr>
        <w:keepNext w:val="0"/>
        <w:keepLines w:val="0"/>
        <w:pageBreakBefore w:val="0"/>
        <w:widowControl w:val="0"/>
        <w:kinsoku/>
        <w:overflowPunct/>
        <w:autoSpaceDE w:val="0"/>
        <w:autoSpaceDN w:val="0"/>
        <w:bidi w:val="0"/>
        <w:adjustRightInd w:val="0"/>
        <w:snapToGrid/>
        <w:spacing w:after="0" w:line="360" w:lineRule="auto"/>
        <w:ind w:firstLine="480" w:firstLineChars="20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2、合同执行中涉及采购资金和采购内容修改或补充的，须经政府采购监管部门审批，并签书面补充协议报政府采购监督管理部门备案，方可作为主合同不可分割的一部分。 </w:t>
      </w:r>
    </w:p>
    <w:p>
      <w:pPr>
        <w:keepNext w:val="0"/>
        <w:keepLines w:val="0"/>
        <w:pageBreakBefore w:val="0"/>
        <w:widowControl w:val="0"/>
        <w:kinsoku/>
        <w:overflowPunct/>
        <w:autoSpaceDE w:val="0"/>
        <w:autoSpaceDN w:val="0"/>
        <w:bidi w:val="0"/>
        <w:adjustRightInd w:val="0"/>
        <w:snapToGrid/>
        <w:spacing w:after="0" w:line="360" w:lineRule="auto"/>
        <w:ind w:firstLine="480" w:firstLineChars="20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3、本合同一式7份，自双方签章之日起起效。甲方3份，乙方3份，采购代理机构1份，具有同等法律效力。 </w:t>
      </w:r>
    </w:p>
    <w:p>
      <w:pPr>
        <w:keepNext w:val="0"/>
        <w:keepLines w:val="0"/>
        <w:pageBreakBefore w:val="0"/>
        <w:widowControl w:val="0"/>
        <w:kinsoku/>
        <w:overflowPunct/>
        <w:autoSpaceDE w:val="0"/>
        <w:autoSpaceDN w:val="0"/>
        <w:bidi w:val="0"/>
        <w:adjustRightInd w:val="0"/>
        <w:snapToGrid/>
        <w:spacing w:after="0" w:line="360" w:lineRule="auto"/>
        <w:ind w:firstLine="482" w:firstLineChars="200"/>
        <w:textAlignment w:val="auto"/>
        <w:outlineLvl w:val="9"/>
        <w:rPr>
          <w:rFonts w:hint="eastAsia" w:ascii="宋体" w:hAnsi="宋体" w:eastAsia="宋体" w:cs="宋体"/>
          <w:b/>
          <w:color w:val="000000"/>
          <w:sz w:val="24"/>
          <w:szCs w:val="24"/>
        </w:rPr>
      </w:pPr>
      <w:r>
        <w:rPr>
          <w:rFonts w:hint="eastAsia" w:ascii="宋体" w:hAnsi="宋体" w:eastAsia="宋体" w:cs="宋体"/>
          <w:b/>
          <w:color w:val="000000"/>
          <w:sz w:val="24"/>
          <w:szCs w:val="24"/>
        </w:rPr>
        <w:t>第十</w:t>
      </w:r>
      <w:r>
        <w:rPr>
          <w:rFonts w:hint="eastAsia" w:ascii="宋体" w:hAnsi="宋体" w:eastAsia="宋体" w:cs="宋体"/>
          <w:b/>
          <w:color w:val="000000"/>
          <w:sz w:val="24"/>
          <w:szCs w:val="24"/>
          <w:lang w:val="en-US" w:eastAsia="zh-CN"/>
        </w:rPr>
        <w:t>三</w:t>
      </w:r>
      <w:r>
        <w:rPr>
          <w:rFonts w:hint="eastAsia" w:ascii="宋体" w:hAnsi="宋体" w:eastAsia="宋体" w:cs="宋体"/>
          <w:b/>
          <w:color w:val="000000"/>
          <w:sz w:val="24"/>
          <w:szCs w:val="24"/>
        </w:rPr>
        <w:t>条</w:t>
      </w:r>
      <w:r>
        <w:rPr>
          <w:rFonts w:hint="eastAsia" w:ascii="宋体" w:hAnsi="宋体" w:eastAsia="宋体" w:cs="宋体"/>
          <w:b/>
          <w:color w:val="000000"/>
          <w:sz w:val="24"/>
          <w:szCs w:val="24"/>
          <w:lang w:val="en-US" w:eastAsia="zh-CN"/>
        </w:rPr>
        <w:t xml:space="preserve"> </w:t>
      </w:r>
      <w:r>
        <w:rPr>
          <w:rFonts w:hint="eastAsia" w:ascii="宋体" w:hAnsi="宋体" w:eastAsia="宋体" w:cs="宋体"/>
          <w:b/>
          <w:color w:val="000000"/>
          <w:sz w:val="24"/>
          <w:szCs w:val="24"/>
        </w:rPr>
        <w:t>附件</w:t>
      </w:r>
      <w:bookmarkEnd w:id="1155"/>
    </w:p>
    <w:p>
      <w:pPr>
        <w:keepNext w:val="0"/>
        <w:keepLines w:val="0"/>
        <w:pageBreakBefore w:val="0"/>
        <w:widowControl w:val="0"/>
        <w:kinsoku/>
        <w:overflowPunct/>
        <w:autoSpaceDE w:val="0"/>
        <w:autoSpaceDN w:val="0"/>
        <w:bidi w:val="0"/>
        <w:adjustRightInd w:val="0"/>
        <w:snapToGrid/>
        <w:spacing w:after="0" w:line="360" w:lineRule="auto"/>
        <w:ind w:firstLine="480" w:firstLineChars="200"/>
        <w:textAlignment w:val="auto"/>
        <w:outlineLvl w:val="9"/>
        <w:rPr>
          <w:rFonts w:hint="eastAsia" w:ascii="宋体" w:hAnsi="宋体" w:eastAsia="宋体" w:cs="宋体"/>
          <w:color w:val="000000"/>
          <w:sz w:val="24"/>
          <w:szCs w:val="24"/>
          <w:lang w:val="en-US" w:eastAsia="zh-CN"/>
        </w:rPr>
      </w:pPr>
      <w:bookmarkStart w:id="1156" w:name="_Toc20191"/>
      <w:bookmarkStart w:id="1157" w:name="_Toc29863"/>
      <w:r>
        <w:rPr>
          <w:rFonts w:hint="eastAsia" w:cs="宋体"/>
          <w:color w:val="000000"/>
          <w:sz w:val="24"/>
          <w:szCs w:val="24"/>
          <w:lang w:val="en-US" w:eastAsia="zh-CN"/>
        </w:rPr>
        <w:t>1、</w:t>
      </w:r>
      <w:r>
        <w:rPr>
          <w:rFonts w:hint="eastAsia" w:ascii="宋体" w:hAnsi="宋体" w:eastAsia="宋体" w:cs="宋体"/>
          <w:color w:val="000000"/>
          <w:sz w:val="24"/>
          <w:szCs w:val="24"/>
          <w:lang w:val="en-US" w:eastAsia="zh-CN"/>
        </w:rPr>
        <w:t>《招标文件》；</w:t>
      </w:r>
      <w:bookmarkEnd w:id="1156"/>
      <w:bookmarkEnd w:id="1157"/>
    </w:p>
    <w:p>
      <w:pPr>
        <w:keepNext w:val="0"/>
        <w:keepLines w:val="0"/>
        <w:pageBreakBefore w:val="0"/>
        <w:widowControl w:val="0"/>
        <w:kinsoku/>
        <w:overflowPunct/>
        <w:autoSpaceDE w:val="0"/>
        <w:autoSpaceDN w:val="0"/>
        <w:bidi w:val="0"/>
        <w:adjustRightInd w:val="0"/>
        <w:snapToGrid/>
        <w:spacing w:after="0" w:line="360" w:lineRule="auto"/>
        <w:ind w:firstLine="480" w:firstLineChars="200"/>
        <w:textAlignment w:val="auto"/>
        <w:outlineLvl w:val="9"/>
        <w:rPr>
          <w:rFonts w:hint="eastAsia" w:ascii="宋体" w:hAnsi="宋体" w:eastAsia="宋体" w:cs="宋体"/>
          <w:color w:val="000000"/>
          <w:sz w:val="24"/>
          <w:szCs w:val="24"/>
          <w:lang w:val="en-US" w:eastAsia="zh-CN"/>
        </w:rPr>
      </w:pPr>
      <w:bookmarkStart w:id="1158" w:name="_Toc16175"/>
      <w:bookmarkStart w:id="1159" w:name="_Toc11584"/>
      <w:r>
        <w:rPr>
          <w:rFonts w:hint="eastAsia" w:cs="宋体"/>
          <w:color w:val="000000"/>
          <w:sz w:val="24"/>
          <w:szCs w:val="24"/>
          <w:lang w:val="en-US" w:eastAsia="zh-CN"/>
        </w:rPr>
        <w:t>2、</w:t>
      </w:r>
      <w:r>
        <w:rPr>
          <w:rFonts w:hint="eastAsia" w:ascii="宋体" w:hAnsi="宋体" w:eastAsia="宋体" w:cs="宋体"/>
          <w:color w:val="000000"/>
          <w:sz w:val="24"/>
          <w:szCs w:val="24"/>
          <w:lang w:val="en-US" w:eastAsia="zh-CN"/>
        </w:rPr>
        <w:t>项目修改澄清文件；</w:t>
      </w:r>
      <w:bookmarkEnd w:id="1158"/>
      <w:bookmarkEnd w:id="1159"/>
    </w:p>
    <w:p>
      <w:pPr>
        <w:keepNext w:val="0"/>
        <w:keepLines w:val="0"/>
        <w:pageBreakBefore w:val="0"/>
        <w:widowControl w:val="0"/>
        <w:kinsoku/>
        <w:overflowPunct/>
        <w:autoSpaceDE w:val="0"/>
        <w:autoSpaceDN w:val="0"/>
        <w:bidi w:val="0"/>
        <w:adjustRightInd w:val="0"/>
        <w:snapToGrid/>
        <w:spacing w:after="0" w:line="360" w:lineRule="auto"/>
        <w:ind w:firstLine="480" w:firstLineChars="200"/>
        <w:textAlignment w:val="auto"/>
        <w:outlineLvl w:val="9"/>
        <w:rPr>
          <w:rFonts w:hint="eastAsia" w:ascii="宋体" w:hAnsi="宋体" w:eastAsia="宋体" w:cs="宋体"/>
          <w:color w:val="000000"/>
          <w:sz w:val="24"/>
          <w:szCs w:val="24"/>
          <w:lang w:val="en-US" w:eastAsia="zh-CN"/>
        </w:rPr>
      </w:pPr>
      <w:bookmarkStart w:id="1160" w:name="_Toc6657"/>
      <w:bookmarkStart w:id="1161" w:name="_Toc27996"/>
      <w:r>
        <w:rPr>
          <w:rFonts w:hint="eastAsia" w:cs="宋体"/>
          <w:color w:val="000000"/>
          <w:sz w:val="24"/>
          <w:szCs w:val="24"/>
          <w:lang w:val="en-US" w:eastAsia="zh-CN"/>
        </w:rPr>
        <w:t>3、</w:t>
      </w:r>
      <w:r>
        <w:rPr>
          <w:rFonts w:hint="eastAsia" w:ascii="宋体" w:hAnsi="宋体" w:eastAsia="宋体" w:cs="宋体"/>
          <w:color w:val="000000"/>
          <w:sz w:val="24"/>
          <w:szCs w:val="24"/>
          <w:lang w:val="en-US" w:eastAsia="zh-CN"/>
        </w:rPr>
        <w:t>《投标文件》；</w:t>
      </w:r>
      <w:bookmarkEnd w:id="1160"/>
      <w:bookmarkEnd w:id="1161"/>
    </w:p>
    <w:p>
      <w:pPr>
        <w:keepNext w:val="0"/>
        <w:keepLines w:val="0"/>
        <w:pageBreakBefore w:val="0"/>
        <w:widowControl w:val="0"/>
        <w:kinsoku/>
        <w:overflowPunct/>
        <w:autoSpaceDE w:val="0"/>
        <w:autoSpaceDN w:val="0"/>
        <w:bidi w:val="0"/>
        <w:adjustRightInd w:val="0"/>
        <w:snapToGrid/>
        <w:spacing w:after="0" w:line="360" w:lineRule="auto"/>
        <w:ind w:firstLine="480" w:firstLineChars="200"/>
        <w:textAlignment w:val="auto"/>
        <w:outlineLvl w:val="9"/>
        <w:rPr>
          <w:rFonts w:hint="eastAsia" w:ascii="宋体" w:hAnsi="宋体" w:eastAsia="宋体" w:cs="宋体"/>
          <w:color w:val="000000"/>
          <w:sz w:val="24"/>
          <w:szCs w:val="24"/>
          <w:lang w:val="en-US" w:eastAsia="zh-CN"/>
        </w:rPr>
      </w:pPr>
      <w:bookmarkStart w:id="1162" w:name="_Toc22142"/>
      <w:bookmarkStart w:id="1163" w:name="_Toc9469"/>
      <w:r>
        <w:rPr>
          <w:rFonts w:hint="eastAsia" w:cs="宋体"/>
          <w:color w:val="000000"/>
          <w:sz w:val="24"/>
          <w:szCs w:val="24"/>
          <w:lang w:val="en-US" w:eastAsia="zh-CN"/>
        </w:rPr>
        <w:t>4、</w:t>
      </w:r>
      <w:r>
        <w:rPr>
          <w:rFonts w:hint="eastAsia" w:ascii="宋体" w:hAnsi="宋体" w:eastAsia="宋体" w:cs="宋体"/>
          <w:color w:val="000000"/>
          <w:sz w:val="24"/>
          <w:szCs w:val="24"/>
          <w:lang w:val="en-US" w:eastAsia="zh-CN"/>
        </w:rPr>
        <w:t>《中标通知书》；</w:t>
      </w:r>
      <w:bookmarkEnd w:id="1162"/>
      <w:bookmarkEnd w:id="1163"/>
    </w:p>
    <w:p>
      <w:pPr>
        <w:keepNext w:val="0"/>
        <w:keepLines w:val="0"/>
        <w:pageBreakBefore w:val="0"/>
        <w:widowControl w:val="0"/>
        <w:kinsoku/>
        <w:overflowPunct/>
        <w:autoSpaceDE w:val="0"/>
        <w:autoSpaceDN w:val="0"/>
        <w:bidi w:val="0"/>
        <w:adjustRightInd w:val="0"/>
        <w:snapToGrid/>
        <w:spacing w:after="0" w:line="360" w:lineRule="auto"/>
        <w:ind w:firstLine="480" w:firstLineChars="200"/>
        <w:textAlignment w:val="auto"/>
        <w:outlineLvl w:val="9"/>
        <w:rPr>
          <w:rFonts w:hint="eastAsia" w:ascii="宋体" w:hAnsi="宋体" w:eastAsia="宋体" w:cs="宋体"/>
          <w:color w:val="000000"/>
          <w:sz w:val="24"/>
          <w:szCs w:val="24"/>
          <w:lang w:val="en-US" w:eastAsia="zh-CN"/>
        </w:rPr>
      </w:pPr>
      <w:bookmarkStart w:id="1164" w:name="_Toc31384"/>
      <w:bookmarkStart w:id="1165" w:name="_Toc3039"/>
      <w:r>
        <w:rPr>
          <w:rFonts w:hint="eastAsia" w:cs="宋体"/>
          <w:color w:val="000000"/>
          <w:sz w:val="24"/>
          <w:szCs w:val="24"/>
          <w:lang w:val="en-US" w:eastAsia="zh-CN"/>
        </w:rPr>
        <w:t>5、</w:t>
      </w:r>
      <w:r>
        <w:rPr>
          <w:rFonts w:hint="eastAsia" w:ascii="宋体" w:hAnsi="宋体" w:eastAsia="宋体" w:cs="宋体"/>
          <w:color w:val="000000"/>
          <w:sz w:val="24"/>
          <w:szCs w:val="24"/>
          <w:lang w:val="en-US" w:eastAsia="zh-CN"/>
        </w:rPr>
        <w:t>其他。</w:t>
      </w:r>
      <w:bookmarkEnd w:id="1164"/>
      <w:bookmarkEnd w:id="1165"/>
    </w:p>
    <w:p>
      <w:pPr>
        <w:rPr>
          <w:rFonts w:hint="eastAsia" w:ascii="宋体" w:hAnsi="宋体" w:eastAsia="宋体" w:cs="宋体"/>
          <w:b/>
          <w:bCs/>
          <w:lang w:val="en-US" w:eastAsia="zh-CN"/>
        </w:rPr>
      </w:pPr>
      <w:r>
        <w:rPr>
          <w:rFonts w:hint="eastAsia" w:ascii="宋体" w:hAnsi="宋体" w:eastAsia="宋体" w:cs="宋体"/>
          <w:b/>
          <w:bCs/>
          <w:lang w:val="en-US" w:eastAsia="zh-CN"/>
        </w:rPr>
        <w:br w:type="page"/>
      </w:r>
    </w:p>
    <w:p>
      <w:pPr>
        <w:keepNext w:val="0"/>
        <w:keepLines w:val="0"/>
        <w:pageBreakBefore w:val="0"/>
        <w:widowControl w:val="0"/>
        <w:kinsoku/>
        <w:overflowPunct/>
        <w:autoSpaceDE w:val="0"/>
        <w:autoSpaceDN w:val="0"/>
        <w:bidi w:val="0"/>
        <w:adjustRightInd w:val="0"/>
        <w:snapToGrid/>
        <w:spacing w:after="0" w:line="360" w:lineRule="auto"/>
        <w:ind w:firstLine="482" w:firstLineChars="200"/>
        <w:textAlignment w:val="auto"/>
        <w:outlineLvl w:val="9"/>
        <w:rPr>
          <w:rFonts w:hint="eastAsia" w:ascii="宋体" w:hAnsi="宋体" w:eastAsia="宋体" w:cs="宋体"/>
          <w:b/>
          <w:bCs/>
        </w:rPr>
      </w:pPr>
      <w:r>
        <w:rPr>
          <w:rFonts w:hint="eastAsia" w:ascii="宋体" w:hAnsi="宋体" w:eastAsia="宋体" w:cs="宋体"/>
          <w:b/>
          <w:bCs/>
          <w:lang w:val="en-US" w:eastAsia="zh-CN"/>
        </w:rPr>
        <w:t>(本页无正文)</w:t>
      </w:r>
    </w:p>
    <w:tbl>
      <w:tblPr>
        <w:tblStyle w:val="21"/>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40"/>
              <w:bidi w:val="0"/>
              <w:rPr>
                <w:rFonts w:hint="eastAsia" w:ascii="宋体" w:hAnsi="宋体" w:eastAsia="宋体" w:cs="宋体"/>
              </w:rPr>
            </w:pPr>
            <w:r>
              <w:rPr>
                <w:rFonts w:hint="eastAsia" w:ascii="宋体" w:hAnsi="宋体" w:eastAsia="宋体" w:cs="宋体"/>
              </w:rPr>
              <w:t>甲方：   (盖章)</w:t>
            </w:r>
          </w:p>
        </w:tc>
        <w:tc>
          <w:tcPr>
            <w:tcW w:w="4981" w:type="dxa"/>
            <w:vAlign w:val="center"/>
          </w:tcPr>
          <w:p>
            <w:pPr>
              <w:pStyle w:val="40"/>
              <w:bidi w:val="0"/>
              <w:rPr>
                <w:rFonts w:hint="eastAsia" w:ascii="宋体" w:hAnsi="宋体" w:eastAsia="宋体" w:cs="宋体"/>
              </w:rPr>
            </w:pPr>
            <w:r>
              <w:rPr>
                <w:rFonts w:hint="eastAsia" w:ascii="宋体" w:hAnsi="宋体" w:eastAsia="宋体" w:cs="宋体"/>
              </w:rPr>
              <w:t>乙方：   (盖章)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40"/>
              <w:bidi w:val="0"/>
              <w:rPr>
                <w:rFonts w:hint="eastAsia" w:ascii="宋体" w:hAnsi="宋体" w:eastAsia="宋体" w:cs="宋体"/>
              </w:rPr>
            </w:pPr>
            <w:r>
              <w:rPr>
                <w:rFonts w:hint="eastAsia" w:ascii="宋体" w:hAnsi="宋体" w:eastAsia="宋体" w:cs="宋体"/>
              </w:rPr>
              <w:t>法定代表人(授权代表)：</w:t>
            </w:r>
          </w:p>
        </w:tc>
        <w:tc>
          <w:tcPr>
            <w:tcW w:w="4981" w:type="dxa"/>
            <w:vAlign w:val="center"/>
          </w:tcPr>
          <w:p>
            <w:pPr>
              <w:pStyle w:val="40"/>
              <w:bidi w:val="0"/>
              <w:rPr>
                <w:rFonts w:hint="eastAsia" w:ascii="宋体" w:hAnsi="宋体" w:eastAsia="宋体" w:cs="宋体"/>
              </w:rPr>
            </w:pPr>
            <w:r>
              <w:rPr>
                <w:rFonts w:hint="eastAsia" w:ascii="宋体" w:hAnsi="宋体" w:eastAsia="宋体" w:cs="宋体"/>
              </w:rPr>
              <w:t>法定代表人(授权代表)：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40"/>
              <w:bidi w:val="0"/>
              <w:rPr>
                <w:rFonts w:hint="eastAsia" w:ascii="宋体" w:hAnsi="宋体" w:eastAsia="宋体" w:cs="宋体"/>
              </w:rPr>
            </w:pPr>
            <w:r>
              <w:rPr>
                <w:rFonts w:hint="eastAsia" w:ascii="宋体" w:hAnsi="宋体" w:eastAsia="宋体" w:cs="宋体"/>
              </w:rPr>
              <w:t>地址</w:t>
            </w:r>
            <w:r>
              <w:rPr>
                <w:rFonts w:hint="eastAsia" w:ascii="宋体" w:hAnsi="宋体" w:eastAsia="宋体" w:cs="宋体"/>
                <w:lang w:eastAsia="zh-CN"/>
              </w:rPr>
              <w:t>(</w:t>
            </w:r>
            <w:r>
              <w:rPr>
                <w:rFonts w:hint="eastAsia" w:ascii="宋体" w:hAnsi="宋体" w:eastAsia="宋体" w:cs="宋体"/>
              </w:rPr>
              <w:t>住所</w:t>
            </w:r>
            <w:r>
              <w:rPr>
                <w:rFonts w:hint="eastAsia" w:ascii="宋体" w:hAnsi="宋体" w:eastAsia="宋体" w:cs="宋体"/>
                <w:lang w:eastAsia="zh-CN"/>
              </w:rPr>
              <w:t>)</w:t>
            </w:r>
            <w:r>
              <w:rPr>
                <w:rFonts w:hint="eastAsia" w:ascii="宋体" w:hAnsi="宋体" w:eastAsia="宋体" w:cs="宋体"/>
              </w:rPr>
              <w:t>：</w:t>
            </w:r>
          </w:p>
        </w:tc>
        <w:tc>
          <w:tcPr>
            <w:tcW w:w="4981" w:type="dxa"/>
            <w:vAlign w:val="center"/>
          </w:tcPr>
          <w:p>
            <w:pPr>
              <w:pStyle w:val="40"/>
              <w:bidi w:val="0"/>
              <w:rPr>
                <w:rFonts w:hint="eastAsia" w:ascii="宋体" w:hAnsi="宋体" w:eastAsia="宋体" w:cs="宋体"/>
              </w:rPr>
            </w:pPr>
            <w:r>
              <w:rPr>
                <w:rFonts w:hint="eastAsia" w:ascii="宋体" w:hAnsi="宋体" w:eastAsia="宋体" w:cs="宋体"/>
              </w:rPr>
              <w:t>地址</w:t>
            </w:r>
            <w:r>
              <w:rPr>
                <w:rFonts w:hint="eastAsia" w:ascii="宋体" w:hAnsi="宋体" w:eastAsia="宋体" w:cs="宋体"/>
                <w:lang w:eastAsia="zh-CN"/>
              </w:rPr>
              <w:t>(</w:t>
            </w:r>
            <w:r>
              <w:rPr>
                <w:rFonts w:hint="eastAsia" w:ascii="宋体" w:hAnsi="宋体" w:eastAsia="宋体" w:cs="宋体"/>
              </w:rPr>
              <w:t>住所</w:t>
            </w:r>
            <w:r>
              <w:rPr>
                <w:rFonts w:hint="eastAsia" w:ascii="宋体" w:hAnsi="宋体" w:eastAsia="宋体" w:cs="宋体"/>
                <w:lang w:eastAsia="zh-CN"/>
              </w:rPr>
              <w:t>)</w:t>
            </w:r>
            <w:r>
              <w:rPr>
                <w:rFonts w:hint="eastAsia" w:ascii="宋体" w:hAnsi="宋体" w:eastAsia="宋体" w:cs="宋体"/>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40"/>
              <w:bidi w:val="0"/>
              <w:rPr>
                <w:rFonts w:hint="eastAsia" w:ascii="宋体" w:hAnsi="宋体" w:eastAsia="宋体" w:cs="宋体"/>
              </w:rPr>
            </w:pPr>
            <w:r>
              <w:rPr>
                <w:rFonts w:hint="eastAsia" w:ascii="宋体" w:hAnsi="宋体" w:eastAsia="宋体" w:cs="宋体"/>
              </w:rPr>
              <w:t>开户银行：</w:t>
            </w:r>
          </w:p>
        </w:tc>
        <w:tc>
          <w:tcPr>
            <w:tcW w:w="4981" w:type="dxa"/>
            <w:vAlign w:val="center"/>
          </w:tcPr>
          <w:p>
            <w:pPr>
              <w:pStyle w:val="40"/>
              <w:bidi w:val="0"/>
              <w:rPr>
                <w:rFonts w:hint="eastAsia" w:ascii="宋体" w:hAnsi="宋体" w:eastAsia="宋体" w:cs="宋体"/>
              </w:rPr>
            </w:pPr>
            <w:r>
              <w:rPr>
                <w:rFonts w:hint="eastAsia" w:ascii="宋体" w:hAnsi="宋体" w:eastAsia="宋体" w:cs="宋体"/>
              </w:rPr>
              <w:t>开户银行：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40"/>
              <w:bidi w:val="0"/>
              <w:rPr>
                <w:rFonts w:hint="eastAsia" w:ascii="宋体" w:hAnsi="宋体" w:eastAsia="宋体" w:cs="宋体"/>
              </w:rPr>
            </w:pPr>
            <w:r>
              <w:rPr>
                <w:rFonts w:hint="eastAsia" w:ascii="宋体" w:hAnsi="宋体" w:eastAsia="宋体" w:cs="宋体"/>
              </w:rPr>
              <w:t>账号：</w:t>
            </w:r>
          </w:p>
        </w:tc>
        <w:tc>
          <w:tcPr>
            <w:tcW w:w="4981" w:type="dxa"/>
            <w:vAlign w:val="center"/>
          </w:tcPr>
          <w:p>
            <w:pPr>
              <w:pStyle w:val="40"/>
              <w:bidi w:val="0"/>
              <w:rPr>
                <w:rFonts w:hint="eastAsia" w:ascii="宋体" w:hAnsi="宋体" w:eastAsia="宋体" w:cs="宋体"/>
              </w:rPr>
            </w:pPr>
            <w:r>
              <w:rPr>
                <w:rFonts w:hint="eastAsia" w:ascii="宋体" w:hAnsi="宋体" w:eastAsia="宋体" w:cs="宋体"/>
              </w:rPr>
              <w:t>账号：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40"/>
              <w:bidi w:val="0"/>
              <w:rPr>
                <w:rFonts w:hint="eastAsia" w:ascii="宋体" w:hAnsi="宋体" w:eastAsia="宋体" w:cs="宋体"/>
              </w:rPr>
            </w:pPr>
            <w:r>
              <w:rPr>
                <w:rFonts w:hint="eastAsia" w:ascii="宋体" w:hAnsi="宋体" w:eastAsia="宋体" w:cs="宋体"/>
              </w:rPr>
              <w:t xml:space="preserve">电话： </w:t>
            </w:r>
          </w:p>
        </w:tc>
        <w:tc>
          <w:tcPr>
            <w:tcW w:w="4981" w:type="dxa"/>
            <w:vAlign w:val="center"/>
          </w:tcPr>
          <w:p>
            <w:pPr>
              <w:pStyle w:val="40"/>
              <w:bidi w:val="0"/>
              <w:rPr>
                <w:rFonts w:hint="eastAsia" w:ascii="宋体" w:hAnsi="宋体" w:eastAsia="宋体" w:cs="宋体"/>
              </w:rPr>
            </w:pPr>
            <w:r>
              <w:rPr>
                <w:rFonts w:hint="eastAsia" w:ascii="宋体" w:hAnsi="宋体" w:eastAsia="宋体" w:cs="宋体"/>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4981" w:type="dxa"/>
            <w:vAlign w:val="center"/>
          </w:tcPr>
          <w:p>
            <w:pPr>
              <w:pStyle w:val="40"/>
              <w:bidi w:val="0"/>
              <w:rPr>
                <w:rFonts w:hint="eastAsia" w:ascii="宋体" w:hAnsi="宋体" w:eastAsia="宋体" w:cs="宋体"/>
              </w:rPr>
            </w:pPr>
            <w:r>
              <w:rPr>
                <w:rFonts w:hint="eastAsia" w:ascii="宋体" w:hAnsi="宋体" w:eastAsia="宋体" w:cs="宋体"/>
              </w:rPr>
              <w:t>传真：</w:t>
            </w:r>
          </w:p>
        </w:tc>
        <w:tc>
          <w:tcPr>
            <w:tcW w:w="4981" w:type="dxa"/>
            <w:vAlign w:val="center"/>
          </w:tcPr>
          <w:p>
            <w:pPr>
              <w:pStyle w:val="40"/>
              <w:bidi w:val="0"/>
              <w:rPr>
                <w:rFonts w:hint="eastAsia" w:ascii="宋体" w:hAnsi="宋体" w:eastAsia="宋体" w:cs="宋体"/>
              </w:rPr>
            </w:pPr>
            <w:r>
              <w:rPr>
                <w:rFonts w:hint="eastAsia" w:ascii="宋体" w:hAnsi="宋体" w:eastAsia="宋体" w:cs="宋体"/>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4981" w:type="dxa"/>
            <w:vAlign w:val="center"/>
          </w:tcPr>
          <w:p>
            <w:pPr>
              <w:pStyle w:val="40"/>
              <w:bidi w:val="0"/>
              <w:rPr>
                <w:rFonts w:hint="eastAsia" w:ascii="宋体" w:hAnsi="宋体" w:eastAsia="宋体" w:cs="宋体"/>
              </w:rPr>
            </w:pPr>
            <w:r>
              <w:rPr>
                <w:rFonts w:hint="eastAsia" w:ascii="宋体" w:hAnsi="宋体" w:eastAsia="宋体" w:cs="宋体"/>
              </w:rPr>
              <w:t>签约日期：XX年XX月XX日</w:t>
            </w:r>
          </w:p>
        </w:tc>
        <w:tc>
          <w:tcPr>
            <w:tcW w:w="4981" w:type="dxa"/>
            <w:vAlign w:val="center"/>
          </w:tcPr>
          <w:p>
            <w:pPr>
              <w:pStyle w:val="40"/>
              <w:bidi w:val="0"/>
              <w:rPr>
                <w:rFonts w:hint="eastAsia" w:ascii="宋体" w:hAnsi="宋体" w:eastAsia="宋体" w:cs="宋体"/>
              </w:rPr>
            </w:pPr>
            <w:r>
              <w:rPr>
                <w:rFonts w:hint="eastAsia" w:ascii="宋体" w:hAnsi="宋体" w:eastAsia="宋体" w:cs="宋体"/>
              </w:rPr>
              <w:t>签约日期：XX年XX月XX日</w:t>
            </w:r>
          </w:p>
        </w:tc>
      </w:tr>
    </w:tbl>
    <w:p>
      <w:pPr>
        <w:pStyle w:val="40"/>
        <w:bidi w:val="0"/>
        <w:rPr>
          <w:rFonts w:hint="eastAsia"/>
        </w:rPr>
      </w:pPr>
      <w:r>
        <w:rPr>
          <w:rFonts w:hint="eastAsia"/>
        </w:rPr>
        <w:br w:type="page"/>
      </w:r>
    </w:p>
    <w:p>
      <w:pPr>
        <w:pStyle w:val="46"/>
        <w:numPr>
          <w:ilvl w:val="0"/>
          <w:numId w:val="12"/>
        </w:numPr>
        <w:bidi w:val="0"/>
        <w:rPr>
          <w:rFonts w:hint="eastAsia"/>
          <w:lang w:val="en-US" w:eastAsia="zh-CN"/>
        </w:rPr>
      </w:pPr>
      <w:bookmarkStart w:id="1166" w:name="_Toc13359"/>
      <w:bookmarkStart w:id="1167" w:name="_Toc28848"/>
      <w:r>
        <w:rPr>
          <w:rFonts w:hint="eastAsia"/>
          <w:lang w:val="en-US" w:eastAsia="zh-CN"/>
        </w:rPr>
        <w:t>附件</w:t>
      </w:r>
      <w:bookmarkEnd w:id="1166"/>
      <w:bookmarkEnd w:id="1167"/>
    </w:p>
    <w:p>
      <w:pPr>
        <w:pStyle w:val="40"/>
        <w:bidi w:val="0"/>
        <w:jc w:val="both"/>
        <w:rPr>
          <w:rFonts w:hint="eastAsia" w:cs="宋体"/>
          <w:b/>
          <w:bCs/>
          <w:sz w:val="24"/>
          <w:szCs w:val="24"/>
          <w:lang w:val="en-US" w:eastAsia="zh-CN"/>
        </w:rPr>
      </w:pPr>
      <w:r>
        <w:rPr>
          <w:rFonts w:hint="eastAsia" w:cs="宋体"/>
          <w:b/>
          <w:bCs/>
          <w:sz w:val="24"/>
          <w:szCs w:val="24"/>
          <w:lang w:val="en-US" w:eastAsia="zh-CN"/>
        </w:rPr>
        <w:t>附件一：政府采购云平台使用介绍</w:t>
      </w:r>
    </w:p>
    <w:p>
      <w:pPr>
        <w:adjustRightInd/>
        <w:snapToGrid/>
        <w:spacing w:after="160" w:line="259" w:lineRule="auto"/>
        <w:ind w:firstLine="0" w:firstLineChars="0"/>
        <w:jc w:val="both"/>
        <w:rPr>
          <w:rFonts w:ascii="宋体" w:hAnsi="宋体" w:cs="宋体"/>
          <w:b/>
          <w:bCs/>
          <w:sz w:val="24"/>
          <w:szCs w:val="32"/>
          <w:highlight w:val="yellow"/>
        </w:rPr>
      </w:pPr>
      <w:r>
        <w:rPr>
          <w:rFonts w:hint="eastAsia" w:ascii="宋体" w:hAnsi="宋体" w:cs="宋体"/>
          <w:b/>
          <w:bCs/>
          <w:sz w:val="24"/>
          <w:szCs w:val="32"/>
          <w:highlight w:val="yellow"/>
        </w:rPr>
        <w:t>1.输入网址：</w:t>
      </w:r>
      <w:r>
        <w:rPr>
          <w:rFonts w:ascii="Calibri" w:hAnsi="Calibri" w:cs="Times New Roman"/>
          <w:sz w:val="21"/>
        </w:rPr>
        <w:fldChar w:fldCharType="begin"/>
      </w:r>
      <w:r>
        <w:rPr>
          <w:rFonts w:ascii="Calibri" w:hAnsi="Calibri" w:cs="Times New Roman"/>
          <w:sz w:val="21"/>
        </w:rPr>
        <w:instrText xml:space="preserve"> HYPERLINK "https://www.zcygov.cn" </w:instrText>
      </w:r>
      <w:r>
        <w:rPr>
          <w:rFonts w:ascii="Calibri" w:hAnsi="Calibri" w:cs="Times New Roman"/>
          <w:sz w:val="21"/>
        </w:rPr>
        <w:fldChar w:fldCharType="separate"/>
      </w:r>
      <w:r>
        <w:rPr>
          <w:rFonts w:hint="eastAsia" w:ascii="宋体" w:hAnsi="宋体" w:cs="宋体"/>
          <w:b/>
          <w:bCs/>
          <w:color w:val="0563C1"/>
          <w:sz w:val="24"/>
          <w:szCs w:val="32"/>
          <w:highlight w:val="yellow"/>
          <w:u w:val="single"/>
        </w:rPr>
        <w:t>https://www.zcygov.cn</w:t>
      </w:r>
      <w:r>
        <w:rPr>
          <w:rFonts w:hint="eastAsia" w:ascii="宋体" w:hAnsi="宋体" w:cs="宋体"/>
          <w:b/>
          <w:bCs/>
          <w:color w:val="0563C1"/>
          <w:sz w:val="24"/>
          <w:szCs w:val="32"/>
          <w:highlight w:val="yellow"/>
          <w:u w:val="single"/>
        </w:rPr>
        <w:fldChar w:fldCharType="end"/>
      </w:r>
    </w:p>
    <w:p>
      <w:pPr>
        <w:adjustRightInd/>
        <w:snapToGrid/>
        <w:spacing w:after="160" w:line="259" w:lineRule="auto"/>
        <w:ind w:firstLine="0" w:firstLineChars="0"/>
        <w:jc w:val="both"/>
        <w:rPr>
          <w:rFonts w:ascii="宋体" w:hAnsi="宋体" w:cs="宋体"/>
          <w:b/>
          <w:bCs/>
          <w:sz w:val="24"/>
          <w:szCs w:val="32"/>
          <w:highlight w:val="yellow"/>
        </w:rPr>
      </w:pPr>
      <w:r>
        <w:rPr>
          <w:rFonts w:hint="eastAsia" w:ascii="宋体" w:hAnsi="宋体" w:cs="宋体"/>
          <w:b/>
          <w:bCs/>
          <w:sz w:val="24"/>
          <w:szCs w:val="32"/>
          <w:highlight w:val="yellow"/>
        </w:rPr>
        <w:t>2.选择与项目对应的行政区域如：四川省-成都市-成都市本级</w:t>
      </w:r>
    </w:p>
    <w:p>
      <w:pPr>
        <w:adjustRightInd/>
        <w:snapToGrid/>
        <w:spacing w:after="160" w:line="259" w:lineRule="auto"/>
        <w:ind w:firstLine="0" w:firstLineChars="0"/>
        <w:jc w:val="both"/>
        <w:rPr>
          <w:rFonts w:ascii="Calibri" w:hAnsi="Calibri" w:cs="Times New Roman"/>
          <w:sz w:val="21"/>
          <w:highlight w:val="yellow"/>
        </w:rPr>
      </w:pPr>
      <w:r>
        <w:rPr>
          <w:rFonts w:ascii="Calibri" w:hAnsi="Calibri" w:cs="Times New Roman"/>
          <w:sz w:val="21"/>
          <w:highlight w:val="yellow"/>
        </w:rPr>
        <w:drawing>
          <wp:inline distT="0" distB="0" distL="114300" distR="114300">
            <wp:extent cx="6314440" cy="3949065"/>
            <wp:effectExtent l="0" t="0" r="10160" b="63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9"/>
                    <a:stretch>
                      <a:fillRect/>
                    </a:stretch>
                  </pic:blipFill>
                  <pic:spPr>
                    <a:xfrm>
                      <a:off x="0" y="0"/>
                      <a:ext cx="6314440" cy="3949065"/>
                    </a:xfrm>
                    <a:prstGeom prst="rect">
                      <a:avLst/>
                    </a:prstGeom>
                    <a:noFill/>
                    <a:ln>
                      <a:noFill/>
                    </a:ln>
                  </pic:spPr>
                </pic:pic>
              </a:graphicData>
            </a:graphic>
          </wp:inline>
        </w:drawing>
      </w:r>
    </w:p>
    <w:p>
      <w:pPr>
        <w:numPr>
          <w:ilvl w:val="0"/>
          <w:numId w:val="40"/>
        </w:numPr>
        <w:tabs>
          <w:tab w:val="clear" w:pos="0"/>
        </w:tabs>
        <w:adjustRightInd/>
        <w:snapToGrid/>
        <w:spacing w:after="160" w:line="259" w:lineRule="auto"/>
        <w:ind w:firstLine="0" w:firstLineChars="0"/>
        <w:jc w:val="both"/>
        <w:rPr>
          <w:rFonts w:ascii="宋体" w:hAnsi="宋体" w:cs="宋体"/>
          <w:b/>
          <w:bCs/>
          <w:sz w:val="24"/>
          <w:szCs w:val="32"/>
          <w:highlight w:val="yellow"/>
        </w:rPr>
      </w:pPr>
      <w:r>
        <w:rPr>
          <w:rFonts w:hint="eastAsia" w:ascii="宋体" w:hAnsi="宋体" w:cs="宋体"/>
          <w:b/>
          <w:bCs/>
          <w:sz w:val="24"/>
          <w:szCs w:val="32"/>
          <w:highlight w:val="yellow"/>
        </w:rPr>
        <w:t>点击操作指南-供应商</w:t>
      </w:r>
    </w:p>
    <w:p>
      <w:pPr>
        <w:adjustRightInd/>
        <w:snapToGrid/>
        <w:spacing w:after="160" w:line="259" w:lineRule="auto"/>
        <w:ind w:firstLine="0" w:firstLineChars="0"/>
        <w:jc w:val="both"/>
        <w:rPr>
          <w:rFonts w:ascii="Calibri" w:hAnsi="Calibri" w:cs="Times New Roman"/>
          <w:b/>
          <w:bCs/>
          <w:sz w:val="21"/>
          <w:highlight w:val="yellow"/>
        </w:rPr>
      </w:pPr>
      <w:r>
        <w:rPr>
          <w:rFonts w:ascii="Calibri" w:hAnsi="Calibri" w:cs="Times New Roman"/>
          <w:sz w:val="21"/>
          <w:highlight w:val="yellow"/>
        </w:rPr>
        <w:drawing>
          <wp:inline distT="0" distB="0" distL="114300" distR="114300">
            <wp:extent cx="6551930" cy="3392805"/>
            <wp:effectExtent l="0" t="0" r="1270" b="1079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0"/>
                    <a:stretch>
                      <a:fillRect/>
                    </a:stretch>
                  </pic:blipFill>
                  <pic:spPr>
                    <a:xfrm>
                      <a:off x="0" y="0"/>
                      <a:ext cx="6551930" cy="3392805"/>
                    </a:xfrm>
                    <a:prstGeom prst="rect">
                      <a:avLst/>
                    </a:prstGeom>
                    <a:noFill/>
                    <a:ln>
                      <a:noFill/>
                    </a:ln>
                  </pic:spPr>
                </pic:pic>
              </a:graphicData>
            </a:graphic>
          </wp:inline>
        </w:drawing>
      </w:r>
      <w:r>
        <w:rPr>
          <w:rFonts w:ascii="Calibri" w:hAnsi="Calibri" w:cs="Times New Roman"/>
          <w:sz w:val="21"/>
          <w:highlight w:val="yellow"/>
        </w:rPr>
        <w:br w:type="page"/>
      </w:r>
      <w:r>
        <w:rPr>
          <w:rFonts w:hint="eastAsia" w:ascii="宋体" w:hAnsi="宋体" w:cs="宋体"/>
          <w:b/>
          <w:bCs/>
          <w:sz w:val="24"/>
          <w:szCs w:val="32"/>
          <w:highlight w:val="yellow"/>
        </w:rPr>
        <w:t>4.进入政采云供应商学习专题页面</w:t>
      </w:r>
      <w:r>
        <w:rPr>
          <w:rFonts w:hint="eastAsia" w:ascii="Calibri" w:hAnsi="Calibri" w:cs="Times New Roman"/>
          <w:b/>
          <w:bCs/>
          <w:sz w:val="21"/>
          <w:highlight w:val="yellow"/>
        </w:rPr>
        <w:t>（https://edu.zcygov.cn/luban/xxzt-chengdu-gys?utm=a0017.b1347.cl50.5.0917bc90b7bb11eb807c353645758db6）</w:t>
      </w:r>
    </w:p>
    <w:p>
      <w:pPr>
        <w:adjustRightInd/>
        <w:snapToGrid/>
        <w:spacing w:after="160" w:line="259" w:lineRule="auto"/>
        <w:ind w:firstLine="0" w:firstLineChars="0"/>
        <w:jc w:val="both"/>
        <w:rPr>
          <w:rFonts w:ascii="Calibri" w:hAnsi="Calibri" w:cs="Times New Roman"/>
          <w:sz w:val="21"/>
          <w:highlight w:val="yellow"/>
        </w:rPr>
      </w:pPr>
      <w:r>
        <w:rPr>
          <w:rFonts w:ascii="Calibri" w:hAnsi="Calibri" w:cs="Times New Roman"/>
          <w:sz w:val="21"/>
          <w:highlight w:val="yellow"/>
        </w:rPr>
        <w:drawing>
          <wp:inline distT="0" distB="0" distL="114300" distR="114300">
            <wp:extent cx="6285230" cy="3128010"/>
            <wp:effectExtent l="0" t="0" r="1270" b="889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1"/>
                    <a:stretch>
                      <a:fillRect/>
                    </a:stretch>
                  </pic:blipFill>
                  <pic:spPr>
                    <a:xfrm>
                      <a:off x="0" y="0"/>
                      <a:ext cx="6285230" cy="3128010"/>
                    </a:xfrm>
                    <a:prstGeom prst="rect">
                      <a:avLst/>
                    </a:prstGeom>
                    <a:noFill/>
                    <a:ln>
                      <a:noFill/>
                    </a:ln>
                  </pic:spPr>
                </pic:pic>
              </a:graphicData>
            </a:graphic>
          </wp:inline>
        </w:drawing>
      </w:r>
    </w:p>
    <w:p>
      <w:pPr>
        <w:adjustRightInd/>
        <w:snapToGrid/>
        <w:spacing w:after="160" w:line="259" w:lineRule="auto"/>
        <w:ind w:firstLine="0" w:firstLineChars="0"/>
        <w:jc w:val="both"/>
        <w:rPr>
          <w:rFonts w:ascii="宋体" w:hAnsi="宋体" w:cs="宋体"/>
          <w:b/>
          <w:bCs/>
          <w:sz w:val="24"/>
          <w:szCs w:val="32"/>
          <w:highlight w:val="yellow"/>
        </w:rPr>
      </w:pPr>
      <w:r>
        <w:rPr>
          <w:rFonts w:hint="eastAsia" w:ascii="Calibri" w:hAnsi="Calibri" w:cs="Times New Roman"/>
          <w:sz w:val="21"/>
          <w:highlight w:val="yellow"/>
        </w:rPr>
        <w:br w:type="page"/>
      </w:r>
      <w:r>
        <w:rPr>
          <w:rFonts w:hint="eastAsia" w:ascii="宋体" w:hAnsi="宋体" w:cs="宋体"/>
          <w:b/>
          <w:bCs/>
          <w:sz w:val="24"/>
          <w:szCs w:val="32"/>
          <w:highlight w:val="yellow"/>
        </w:rPr>
        <w:t>5.供应商资讯服务渠道</w:t>
      </w:r>
    </w:p>
    <w:p>
      <w:pPr>
        <w:adjustRightInd/>
        <w:snapToGrid/>
        <w:spacing w:after="160" w:line="259" w:lineRule="auto"/>
        <w:ind w:firstLine="0" w:firstLineChars="0"/>
        <w:jc w:val="both"/>
        <w:rPr>
          <w:rFonts w:ascii="Calibri" w:hAnsi="Calibri" w:cs="Times New Roman"/>
          <w:sz w:val="21"/>
          <w:highlight w:val="yellow"/>
        </w:rPr>
      </w:pPr>
      <w:r>
        <w:rPr>
          <w:rFonts w:ascii="Calibri" w:hAnsi="Calibri" w:cs="Times New Roman"/>
          <w:sz w:val="21"/>
          <w:highlight w:val="yellow"/>
        </w:rPr>
        <w:drawing>
          <wp:inline distT="0" distB="0" distL="114300" distR="114300">
            <wp:extent cx="6577330" cy="2733040"/>
            <wp:effectExtent l="0" t="0" r="1270" b="1016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2"/>
                    <a:stretch>
                      <a:fillRect/>
                    </a:stretch>
                  </pic:blipFill>
                  <pic:spPr>
                    <a:xfrm>
                      <a:off x="0" y="0"/>
                      <a:ext cx="6577330" cy="2733040"/>
                    </a:xfrm>
                    <a:prstGeom prst="rect">
                      <a:avLst/>
                    </a:prstGeom>
                    <a:noFill/>
                    <a:ln>
                      <a:noFill/>
                    </a:ln>
                  </pic:spPr>
                </pic:pic>
              </a:graphicData>
            </a:graphic>
          </wp:inline>
        </w:drawing>
      </w:r>
    </w:p>
    <w:p>
      <w:pPr>
        <w:adjustRightInd/>
        <w:snapToGrid/>
        <w:spacing w:after="160" w:line="259" w:lineRule="auto"/>
        <w:ind w:firstLine="0" w:firstLineChars="0"/>
        <w:jc w:val="both"/>
        <w:rPr>
          <w:rFonts w:ascii="Calibri" w:hAnsi="Calibri" w:cs="Times New Roman"/>
          <w:sz w:val="21"/>
          <w:highlight w:val="yellow"/>
        </w:rPr>
      </w:pPr>
      <w:r>
        <w:rPr>
          <w:rFonts w:ascii="Calibri" w:hAnsi="Calibri" w:cs="Times New Roman"/>
          <w:sz w:val="21"/>
          <w:highlight w:val="yellow"/>
        </w:rPr>
        <w:br w:type="page"/>
      </w:r>
      <w:r>
        <w:rPr>
          <w:rFonts w:hint="eastAsia" w:ascii="宋体" w:hAnsi="宋体" w:cs="宋体"/>
          <w:b/>
          <w:bCs/>
          <w:sz w:val="24"/>
          <w:szCs w:val="32"/>
          <w:highlight w:val="yellow"/>
        </w:rPr>
        <w:t>6.入驻政府采购云平台（注册）</w:t>
      </w:r>
    </w:p>
    <w:p>
      <w:pPr>
        <w:adjustRightInd/>
        <w:snapToGrid/>
        <w:spacing w:after="160" w:line="259" w:lineRule="auto"/>
        <w:ind w:firstLine="0" w:firstLineChars="0"/>
        <w:jc w:val="both"/>
        <w:rPr>
          <w:rFonts w:ascii="Calibri" w:hAnsi="Calibri" w:cs="Times New Roman"/>
          <w:sz w:val="21"/>
          <w:highlight w:val="yellow"/>
        </w:rPr>
      </w:pPr>
      <w:r>
        <w:rPr>
          <w:rFonts w:ascii="Calibri" w:hAnsi="Calibri" w:cs="Times New Roman"/>
          <w:sz w:val="21"/>
          <w:highlight w:val="yellow"/>
        </w:rPr>
        <w:drawing>
          <wp:inline distT="0" distB="0" distL="114300" distR="114300">
            <wp:extent cx="6449060" cy="2626360"/>
            <wp:effectExtent l="0" t="0" r="2540" b="254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3"/>
                    <a:stretch>
                      <a:fillRect/>
                    </a:stretch>
                  </pic:blipFill>
                  <pic:spPr>
                    <a:xfrm>
                      <a:off x="0" y="0"/>
                      <a:ext cx="6449060" cy="2626360"/>
                    </a:xfrm>
                    <a:prstGeom prst="rect">
                      <a:avLst/>
                    </a:prstGeom>
                    <a:noFill/>
                    <a:ln>
                      <a:noFill/>
                    </a:ln>
                  </pic:spPr>
                </pic:pic>
              </a:graphicData>
            </a:graphic>
          </wp:inline>
        </w:drawing>
      </w:r>
    </w:p>
    <w:p>
      <w:pPr>
        <w:adjustRightInd/>
        <w:snapToGrid/>
        <w:spacing w:after="160" w:line="259" w:lineRule="auto"/>
        <w:ind w:firstLine="0" w:firstLineChars="0"/>
        <w:jc w:val="both"/>
        <w:rPr>
          <w:rFonts w:ascii="Calibri" w:hAnsi="Calibri" w:cs="Times New Roman"/>
          <w:sz w:val="21"/>
          <w:highlight w:val="yellow"/>
        </w:rPr>
      </w:pPr>
    </w:p>
    <w:p>
      <w:pPr>
        <w:adjustRightInd/>
        <w:snapToGrid/>
        <w:spacing w:after="160" w:line="259" w:lineRule="auto"/>
        <w:ind w:firstLine="0" w:firstLineChars="0"/>
        <w:jc w:val="both"/>
        <w:rPr>
          <w:rFonts w:ascii="Calibri" w:hAnsi="Calibri" w:cs="Times New Roman"/>
          <w:sz w:val="21"/>
          <w:highlight w:val="yellow"/>
        </w:rPr>
      </w:pPr>
    </w:p>
    <w:p>
      <w:pPr>
        <w:adjustRightInd/>
        <w:snapToGrid/>
        <w:spacing w:after="160" w:line="259" w:lineRule="auto"/>
        <w:ind w:firstLine="0" w:firstLineChars="0"/>
        <w:jc w:val="both"/>
        <w:rPr>
          <w:rFonts w:ascii="Calibri" w:hAnsi="Calibri" w:cs="Times New Roman"/>
          <w:sz w:val="21"/>
          <w:highlight w:val="yellow"/>
        </w:rPr>
      </w:pPr>
    </w:p>
    <w:p>
      <w:pPr>
        <w:adjustRightInd/>
        <w:snapToGrid/>
        <w:spacing w:after="160" w:line="259" w:lineRule="auto"/>
        <w:ind w:firstLine="0" w:firstLineChars="0"/>
        <w:jc w:val="both"/>
        <w:rPr>
          <w:rFonts w:ascii="Calibri" w:hAnsi="Calibri" w:cs="Times New Roman"/>
          <w:sz w:val="21"/>
          <w:highlight w:val="yellow"/>
        </w:rPr>
      </w:pPr>
    </w:p>
    <w:p>
      <w:pPr>
        <w:adjustRightInd/>
        <w:snapToGrid/>
        <w:spacing w:after="160" w:line="259" w:lineRule="auto"/>
        <w:ind w:firstLine="0" w:firstLineChars="0"/>
        <w:jc w:val="both"/>
        <w:rPr>
          <w:rFonts w:ascii="Calibri" w:hAnsi="Calibri" w:cs="Times New Roman"/>
          <w:sz w:val="21"/>
          <w:highlight w:val="yellow"/>
        </w:rPr>
      </w:pPr>
    </w:p>
    <w:p>
      <w:pPr>
        <w:adjustRightInd/>
        <w:snapToGrid/>
        <w:spacing w:after="160" w:line="259" w:lineRule="auto"/>
        <w:ind w:firstLine="0" w:firstLineChars="0"/>
        <w:jc w:val="both"/>
        <w:rPr>
          <w:rFonts w:ascii="Calibri" w:hAnsi="Calibri" w:cs="Times New Roman"/>
          <w:sz w:val="21"/>
          <w:highlight w:val="yellow"/>
        </w:rPr>
      </w:pPr>
    </w:p>
    <w:p>
      <w:pPr>
        <w:adjustRightInd/>
        <w:snapToGrid/>
        <w:spacing w:after="160" w:line="259" w:lineRule="auto"/>
        <w:ind w:firstLine="0" w:firstLineChars="0"/>
        <w:jc w:val="both"/>
        <w:rPr>
          <w:rFonts w:ascii="Calibri" w:hAnsi="Calibri" w:cs="Times New Roman"/>
          <w:sz w:val="21"/>
          <w:highlight w:val="yellow"/>
        </w:rPr>
      </w:pPr>
    </w:p>
    <w:p>
      <w:pPr>
        <w:adjustRightInd/>
        <w:snapToGrid/>
        <w:spacing w:after="160" w:line="259" w:lineRule="auto"/>
        <w:ind w:firstLine="0" w:firstLineChars="0"/>
        <w:jc w:val="both"/>
        <w:rPr>
          <w:rFonts w:ascii="Calibri" w:hAnsi="Calibri" w:cs="Times New Roman"/>
          <w:sz w:val="21"/>
          <w:highlight w:val="yellow"/>
        </w:rPr>
      </w:pPr>
    </w:p>
    <w:p>
      <w:pPr>
        <w:adjustRightInd/>
        <w:snapToGrid/>
        <w:spacing w:after="160" w:line="259" w:lineRule="auto"/>
        <w:ind w:firstLine="0" w:firstLineChars="0"/>
        <w:jc w:val="both"/>
        <w:rPr>
          <w:rFonts w:ascii="Calibri" w:hAnsi="Calibri" w:cs="Times New Roman"/>
          <w:sz w:val="21"/>
          <w:highlight w:val="yellow"/>
        </w:rPr>
      </w:pPr>
    </w:p>
    <w:p>
      <w:pPr>
        <w:adjustRightInd/>
        <w:snapToGrid/>
        <w:spacing w:after="160" w:line="259" w:lineRule="auto"/>
        <w:ind w:firstLine="0" w:firstLineChars="0"/>
        <w:jc w:val="both"/>
        <w:rPr>
          <w:rFonts w:ascii="Calibri" w:hAnsi="Calibri" w:cs="Times New Roman"/>
          <w:sz w:val="21"/>
          <w:highlight w:val="yellow"/>
        </w:rPr>
      </w:pPr>
    </w:p>
    <w:p>
      <w:pPr>
        <w:adjustRightInd/>
        <w:snapToGrid/>
        <w:spacing w:after="160" w:line="259" w:lineRule="auto"/>
        <w:ind w:firstLine="0" w:firstLineChars="0"/>
        <w:jc w:val="both"/>
        <w:rPr>
          <w:rFonts w:ascii="Calibri" w:hAnsi="Calibri" w:cs="Times New Roman"/>
          <w:sz w:val="21"/>
          <w:highlight w:val="yellow"/>
        </w:rPr>
      </w:pPr>
    </w:p>
    <w:p>
      <w:pPr>
        <w:adjustRightInd/>
        <w:snapToGrid/>
        <w:spacing w:after="160" w:line="259" w:lineRule="auto"/>
        <w:ind w:firstLine="0" w:firstLineChars="0"/>
        <w:jc w:val="both"/>
        <w:rPr>
          <w:rFonts w:ascii="Calibri" w:hAnsi="Calibri" w:cs="Times New Roman"/>
          <w:sz w:val="21"/>
          <w:highlight w:val="yellow"/>
        </w:rPr>
      </w:pPr>
    </w:p>
    <w:p>
      <w:pPr>
        <w:adjustRightInd/>
        <w:snapToGrid/>
        <w:spacing w:after="160" w:line="259" w:lineRule="auto"/>
        <w:ind w:firstLine="0" w:firstLineChars="0"/>
        <w:jc w:val="both"/>
        <w:rPr>
          <w:rFonts w:ascii="Calibri" w:hAnsi="Calibri" w:cs="Times New Roman"/>
          <w:sz w:val="21"/>
          <w:highlight w:val="yellow"/>
        </w:rPr>
      </w:pPr>
    </w:p>
    <w:p>
      <w:pPr>
        <w:adjustRightInd/>
        <w:snapToGrid/>
        <w:spacing w:after="160" w:line="259" w:lineRule="auto"/>
        <w:ind w:firstLine="0" w:firstLineChars="0"/>
        <w:jc w:val="both"/>
        <w:rPr>
          <w:rFonts w:ascii="Calibri" w:hAnsi="Calibri" w:cs="Times New Roman"/>
          <w:sz w:val="21"/>
          <w:highlight w:val="yellow"/>
        </w:rPr>
      </w:pPr>
    </w:p>
    <w:p>
      <w:pPr>
        <w:adjustRightInd/>
        <w:snapToGrid/>
        <w:spacing w:after="160" w:line="259" w:lineRule="auto"/>
        <w:ind w:firstLine="0" w:firstLineChars="0"/>
        <w:jc w:val="both"/>
        <w:rPr>
          <w:rFonts w:ascii="Calibri" w:hAnsi="Calibri" w:cs="Times New Roman"/>
          <w:sz w:val="21"/>
          <w:highlight w:val="yellow"/>
        </w:rPr>
      </w:pPr>
    </w:p>
    <w:p>
      <w:pPr>
        <w:adjustRightInd/>
        <w:snapToGrid/>
        <w:spacing w:after="160" w:line="259" w:lineRule="auto"/>
        <w:ind w:firstLine="0" w:firstLineChars="0"/>
        <w:jc w:val="both"/>
        <w:rPr>
          <w:rFonts w:ascii="Calibri" w:hAnsi="Calibri" w:cs="Times New Roman"/>
          <w:sz w:val="21"/>
          <w:highlight w:val="yellow"/>
        </w:rPr>
      </w:pPr>
    </w:p>
    <w:p>
      <w:pPr>
        <w:adjustRightInd/>
        <w:snapToGrid/>
        <w:spacing w:after="160" w:line="259" w:lineRule="auto"/>
        <w:ind w:firstLine="0" w:firstLineChars="0"/>
        <w:jc w:val="both"/>
        <w:rPr>
          <w:rFonts w:ascii="Calibri" w:hAnsi="Calibri" w:cs="Times New Roman"/>
          <w:sz w:val="21"/>
          <w:highlight w:val="yellow"/>
        </w:rPr>
      </w:pPr>
    </w:p>
    <w:p>
      <w:pPr>
        <w:adjustRightInd/>
        <w:snapToGrid/>
        <w:spacing w:after="160" w:line="259" w:lineRule="auto"/>
        <w:ind w:firstLine="0" w:firstLineChars="0"/>
        <w:jc w:val="both"/>
        <w:rPr>
          <w:rFonts w:ascii="Calibri" w:hAnsi="Calibri" w:cs="Times New Roman"/>
          <w:sz w:val="21"/>
          <w:highlight w:val="yellow"/>
        </w:rPr>
      </w:pPr>
    </w:p>
    <w:p>
      <w:pPr>
        <w:adjustRightInd/>
        <w:snapToGrid/>
        <w:spacing w:after="160" w:line="259" w:lineRule="auto"/>
        <w:ind w:firstLine="0" w:firstLineChars="0"/>
        <w:jc w:val="both"/>
        <w:rPr>
          <w:rFonts w:ascii="Calibri" w:hAnsi="Calibri" w:cs="Times New Roman"/>
          <w:sz w:val="21"/>
          <w:highlight w:val="yellow"/>
        </w:rPr>
      </w:pPr>
    </w:p>
    <w:p>
      <w:pPr>
        <w:adjustRightInd/>
        <w:snapToGrid/>
        <w:spacing w:after="160" w:line="259" w:lineRule="auto"/>
        <w:ind w:firstLine="0" w:firstLineChars="0"/>
        <w:jc w:val="both"/>
        <w:rPr>
          <w:rFonts w:hint="eastAsia" w:ascii="宋体" w:hAnsi="宋体" w:cs="宋体"/>
          <w:b/>
          <w:bCs/>
          <w:sz w:val="24"/>
          <w:szCs w:val="32"/>
          <w:highlight w:val="yellow"/>
        </w:rPr>
      </w:pPr>
      <w:r>
        <w:rPr>
          <w:rFonts w:ascii="Calibri" w:hAnsi="Calibri" w:cs="Times New Roman"/>
          <w:sz w:val="21"/>
          <w:highlight w:val="yellow"/>
        </w:rPr>
        <w:br w:type="page"/>
      </w:r>
      <w:r>
        <w:rPr>
          <w:rFonts w:hint="eastAsia" w:ascii="宋体" w:hAnsi="宋体" w:cs="宋体"/>
          <w:b/>
          <w:bCs/>
          <w:sz w:val="24"/>
          <w:szCs w:val="32"/>
          <w:highlight w:val="yellow"/>
        </w:rPr>
        <w:t>7.下载《供应商政府采购项目电子交易操作指南》</w:t>
      </w:r>
    </w:p>
    <w:p>
      <w:pPr>
        <w:adjustRightInd/>
        <w:snapToGrid/>
        <w:spacing w:after="160" w:line="259" w:lineRule="auto"/>
        <w:ind w:firstLine="0" w:firstLineChars="0"/>
        <w:jc w:val="both"/>
        <w:rPr>
          <w:rFonts w:ascii="Calibri" w:hAnsi="Calibri" w:cs="Times New Roman"/>
          <w:sz w:val="21"/>
        </w:rPr>
      </w:pPr>
      <w:r>
        <w:rPr>
          <w:rFonts w:ascii="Calibri" w:hAnsi="Calibri" w:cs="Times New Roman"/>
          <w:sz w:val="21"/>
          <w:highlight w:val="yellow"/>
        </w:rPr>
        <w:drawing>
          <wp:inline distT="0" distB="0" distL="114300" distR="114300">
            <wp:extent cx="6394450" cy="3542665"/>
            <wp:effectExtent l="0" t="0" r="6350" b="63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4"/>
                    <a:stretch>
                      <a:fillRect/>
                    </a:stretch>
                  </pic:blipFill>
                  <pic:spPr>
                    <a:xfrm>
                      <a:off x="0" y="0"/>
                      <a:ext cx="6394450" cy="3542665"/>
                    </a:xfrm>
                    <a:prstGeom prst="rect">
                      <a:avLst/>
                    </a:prstGeom>
                    <a:noFill/>
                    <a:ln>
                      <a:noFill/>
                    </a:ln>
                  </pic:spPr>
                </pic:pic>
              </a:graphicData>
            </a:graphic>
          </wp:inline>
        </w:drawing>
      </w:r>
    </w:p>
    <w:p>
      <w:pPr>
        <w:keepNext/>
        <w:keepLines/>
        <w:pageBreakBefore w:val="0"/>
        <w:widowControl w:val="0"/>
        <w:kinsoku/>
        <w:wordWrap/>
        <w:overflowPunct/>
        <w:topLinePunct w:val="0"/>
        <w:autoSpaceDE/>
        <w:autoSpaceDN/>
        <w:bidi w:val="0"/>
        <w:adjustRightInd w:val="0"/>
        <w:snapToGrid w:val="0"/>
        <w:textAlignment w:val="auto"/>
        <w:outlineLvl w:val="9"/>
      </w:pPr>
    </w:p>
    <w:p>
      <w:pPr>
        <w:pStyle w:val="40"/>
        <w:bidi w:val="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br w:type="page"/>
      </w:r>
    </w:p>
    <w:p>
      <w:pPr>
        <w:pStyle w:val="40"/>
        <w:bidi w:val="0"/>
        <w:jc w:val="both"/>
        <w:rPr>
          <w:rFonts w:hint="eastAsia"/>
          <w:b/>
          <w:bCs/>
          <w:sz w:val="36"/>
          <w:szCs w:val="36"/>
          <w:lang w:val="en-US" w:eastAsia="zh-CN"/>
        </w:rPr>
      </w:pPr>
      <w:r>
        <w:rPr>
          <w:rFonts w:hint="eastAsia" w:cs="宋体"/>
          <w:b/>
          <w:bCs/>
          <w:sz w:val="24"/>
          <w:szCs w:val="24"/>
          <w:lang w:val="en-US" w:eastAsia="zh-CN"/>
        </w:rPr>
        <w:t>附件二</w:t>
      </w:r>
      <w:r>
        <w:rPr>
          <w:rFonts w:hint="eastAsia" w:ascii="宋体" w:hAnsi="宋体" w:eastAsia="宋体" w:cs="宋体"/>
          <w:b/>
          <w:bCs/>
          <w:sz w:val="24"/>
          <w:szCs w:val="24"/>
          <w:lang w:val="en-US" w:eastAsia="zh-CN"/>
        </w:rPr>
        <w:t>：《20</w:t>
      </w:r>
      <w:r>
        <w:rPr>
          <w:rFonts w:hint="eastAsia" w:cs="宋体"/>
          <w:b/>
          <w:bCs/>
          <w:sz w:val="24"/>
          <w:szCs w:val="24"/>
          <w:lang w:val="en-US" w:eastAsia="zh-CN"/>
        </w:rPr>
        <w:t>21</w:t>
      </w:r>
      <w:r>
        <w:rPr>
          <w:rFonts w:hint="eastAsia" w:ascii="宋体" w:hAnsi="宋体" w:eastAsia="宋体" w:cs="宋体"/>
          <w:b/>
          <w:bCs/>
          <w:sz w:val="24"/>
          <w:szCs w:val="24"/>
          <w:lang w:val="en-US" w:eastAsia="zh-CN"/>
        </w:rPr>
        <w:t>年度信用评价服务效果调查表(供应商)》</w:t>
      </w:r>
    </w:p>
    <w:p>
      <w:pPr>
        <w:pStyle w:val="40"/>
        <w:bidi w:val="0"/>
        <w:jc w:val="center"/>
        <w:rPr>
          <w:rFonts w:hint="eastAsia"/>
          <w:b/>
          <w:bCs/>
          <w:sz w:val="36"/>
          <w:szCs w:val="36"/>
          <w:lang w:val="en-US" w:eastAsia="zh-CN"/>
        </w:rPr>
      </w:pPr>
      <w:r>
        <w:rPr>
          <w:rFonts w:hint="eastAsia"/>
          <w:b/>
          <w:bCs/>
          <w:sz w:val="36"/>
          <w:szCs w:val="36"/>
          <w:lang w:val="en-US" w:eastAsia="zh-CN"/>
        </w:rPr>
        <w:t>2021年度信用评价服务效果调查表(供应商)</w:t>
      </w:r>
    </w:p>
    <w:p>
      <w:pPr>
        <w:pStyle w:val="40"/>
        <w:bidi w:val="0"/>
        <w:rPr>
          <w:rFonts w:hint="eastAsia"/>
          <w:u w:val="single"/>
          <w:lang w:val="en-US" w:eastAsia="zh-CN"/>
        </w:rPr>
      </w:pPr>
      <w:r>
        <w:rPr>
          <w:rFonts w:hint="eastAsia"/>
          <w:lang w:val="en-US" w:eastAsia="zh-CN"/>
        </w:rPr>
        <w:t>项目名称：</w:t>
      </w:r>
      <w:r>
        <w:rPr>
          <w:rFonts w:hint="eastAsia"/>
          <w:u w:val="single"/>
          <w:lang w:val="en-US" w:eastAsia="zh-CN"/>
        </w:rPr>
        <w:t xml:space="preserve">                               </w:t>
      </w:r>
    </w:p>
    <w:p>
      <w:pPr>
        <w:pStyle w:val="40"/>
        <w:bidi w:val="0"/>
        <w:rPr>
          <w:rFonts w:hint="eastAsia"/>
          <w:u w:val="single"/>
          <w:lang w:val="en-US" w:eastAsia="zh-CN"/>
        </w:rPr>
      </w:pPr>
      <w:r>
        <w:rPr>
          <w:rFonts w:hint="eastAsia"/>
          <w:lang w:val="en-US" w:eastAsia="zh-CN"/>
        </w:rPr>
        <w:t>项目编号：</w:t>
      </w:r>
      <w:r>
        <w:rPr>
          <w:rFonts w:hint="eastAsia"/>
          <w:u w:val="single"/>
          <w:lang w:val="en-US" w:eastAsia="zh-CN"/>
        </w:rPr>
        <w:t xml:space="preserve">                               </w:t>
      </w:r>
    </w:p>
    <w:p>
      <w:pPr>
        <w:pStyle w:val="40"/>
        <w:bidi w:val="0"/>
        <w:rPr>
          <w:rFonts w:hint="eastAsia"/>
          <w:lang w:val="en-US" w:eastAsia="zh-CN"/>
        </w:rPr>
      </w:pPr>
      <w:r>
        <w:rPr>
          <w:rFonts w:hint="eastAsia"/>
          <w:lang w:val="en-US" w:eastAsia="zh-CN"/>
        </w:rPr>
        <w:t>被评价代理机构名称：四川乾新招投标代理有限公司</w:t>
      </w:r>
    </w:p>
    <w:tbl>
      <w:tblPr>
        <w:tblStyle w:val="20"/>
        <w:tblW w:w="97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219"/>
        <w:gridCol w:w="2430"/>
        <w:gridCol w:w="1530"/>
        <w:gridCol w:w="1530"/>
        <w:gridCol w:w="1530"/>
        <w:gridCol w:w="15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eastAsia"/>
                <w:b/>
                <w:bCs/>
              </w:rPr>
            </w:pPr>
            <w:r>
              <w:rPr>
                <w:rFonts w:hint="eastAsia"/>
                <w:b/>
                <w:bCs/>
                <w:lang w:val="en-US" w:eastAsia="zh-CN"/>
              </w:rPr>
              <w:t>序号</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eastAsia"/>
                <w:b/>
                <w:bCs/>
              </w:rPr>
            </w:pPr>
            <w:r>
              <w:rPr>
                <w:rFonts w:hint="eastAsia"/>
                <w:b/>
                <w:bCs/>
                <w:lang w:val="en-US" w:eastAsia="zh-CN"/>
              </w:rPr>
              <w:t>测评内容</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eastAsia"/>
                <w:b/>
                <w:bCs/>
                <w:lang w:val="en-US" w:eastAsia="zh-CN"/>
              </w:rPr>
            </w:pPr>
            <w:r>
              <w:rPr>
                <w:rFonts w:hint="eastAsia"/>
                <w:b/>
                <w:bCs/>
                <w:lang w:val="en-US" w:eastAsia="zh-CN"/>
              </w:rPr>
              <w:t xml:space="preserve">满意 </w:t>
            </w:r>
          </w:p>
          <w:p>
            <w:pPr>
              <w:pStyle w:val="43"/>
              <w:bidi w:val="0"/>
              <w:rPr>
                <w:rFonts w:hint="eastAsia"/>
                <w:b/>
                <w:bCs/>
              </w:rPr>
            </w:pPr>
            <w:r>
              <w:rPr>
                <w:rFonts w:hint="eastAsia"/>
                <w:b/>
                <w:bCs/>
                <w:lang w:val="en-US" w:eastAsia="zh-CN"/>
              </w:rPr>
              <w:t>(3分)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eastAsia"/>
                <w:b/>
                <w:bCs/>
                <w:lang w:val="en-US" w:eastAsia="zh-CN"/>
              </w:rPr>
            </w:pPr>
            <w:r>
              <w:rPr>
                <w:rFonts w:hint="eastAsia"/>
                <w:b/>
                <w:bCs/>
                <w:lang w:val="en-US" w:eastAsia="zh-CN"/>
              </w:rPr>
              <w:t xml:space="preserve">基本满意 </w:t>
            </w:r>
          </w:p>
          <w:p>
            <w:pPr>
              <w:pStyle w:val="43"/>
              <w:bidi w:val="0"/>
              <w:rPr>
                <w:rFonts w:hint="eastAsia"/>
                <w:b/>
                <w:bCs/>
              </w:rPr>
            </w:pPr>
            <w:r>
              <w:rPr>
                <w:rFonts w:hint="eastAsia"/>
                <w:b/>
                <w:bCs/>
                <w:lang w:val="en-US" w:eastAsia="zh-CN"/>
              </w:rPr>
              <w:t>(2分)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eastAsia"/>
                <w:b/>
                <w:bCs/>
                <w:lang w:val="en-US" w:eastAsia="zh-CN"/>
              </w:rPr>
            </w:pPr>
            <w:r>
              <w:rPr>
                <w:rFonts w:hint="eastAsia"/>
                <w:b/>
                <w:bCs/>
                <w:lang w:val="en-US" w:eastAsia="zh-CN"/>
              </w:rPr>
              <w:t xml:space="preserve">一般 </w:t>
            </w:r>
          </w:p>
          <w:p>
            <w:pPr>
              <w:pStyle w:val="43"/>
              <w:bidi w:val="0"/>
              <w:rPr>
                <w:rFonts w:hint="eastAsia"/>
                <w:b/>
                <w:bCs/>
              </w:rPr>
            </w:pPr>
            <w:r>
              <w:rPr>
                <w:rFonts w:hint="eastAsia"/>
                <w:b/>
                <w:bCs/>
                <w:lang w:val="en-US" w:eastAsia="zh-CN"/>
              </w:rPr>
              <w:t>(1分)</w:t>
            </w: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eastAsia"/>
                <w:b/>
                <w:bCs/>
                <w:lang w:val="en-US" w:eastAsia="zh-CN"/>
              </w:rPr>
            </w:pPr>
            <w:r>
              <w:rPr>
                <w:rFonts w:hint="eastAsia"/>
                <w:b/>
                <w:bCs/>
                <w:lang w:val="en-US" w:eastAsia="zh-CN"/>
              </w:rPr>
              <w:t>不满意</w:t>
            </w:r>
          </w:p>
          <w:p>
            <w:pPr>
              <w:pStyle w:val="43"/>
              <w:bidi w:val="0"/>
              <w:rPr>
                <w:rFonts w:hint="eastAsia"/>
                <w:b/>
                <w:bCs/>
              </w:rPr>
            </w:pPr>
            <w:r>
              <w:rPr>
                <w:rFonts w:hint="eastAsia"/>
                <w:b/>
                <w:bCs/>
                <w:lang w:val="en-US" w:eastAsia="zh-CN"/>
              </w:rPr>
              <w:t>(0分)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eastAsia"/>
                <w:b/>
                <w:bCs/>
              </w:rPr>
            </w:pPr>
            <w:r>
              <w:rPr>
                <w:rFonts w:hint="eastAsia"/>
                <w:b/>
                <w:bCs/>
                <w:lang w:val="en-US" w:eastAsia="zh-CN"/>
              </w:rPr>
              <w:t>1</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eastAsia"/>
                <w:b/>
                <w:bCs/>
              </w:rPr>
            </w:pPr>
            <w:r>
              <w:rPr>
                <w:rFonts w:hint="eastAsia"/>
                <w:b/>
                <w:bCs/>
                <w:lang w:val="en-US" w:eastAsia="zh-CN"/>
              </w:rPr>
              <w:t>政府采购信息公告</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eastAsia"/>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eastAsia"/>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eastAsia"/>
                <w:b/>
                <w:bCs/>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eastAsia"/>
                <w:b/>
                <w:bC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eastAsia"/>
                <w:b/>
                <w:bCs/>
              </w:rPr>
            </w:pPr>
            <w:r>
              <w:rPr>
                <w:rFonts w:hint="eastAsia"/>
                <w:b/>
                <w:bCs/>
                <w:lang w:val="en-US" w:eastAsia="zh-CN"/>
              </w:rPr>
              <w:t>2</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eastAsia"/>
                <w:b/>
                <w:bCs/>
              </w:rPr>
            </w:pPr>
            <w:r>
              <w:rPr>
                <w:rFonts w:hint="eastAsia"/>
                <w:b/>
                <w:bCs/>
                <w:lang w:val="en-US" w:eastAsia="zh-CN"/>
              </w:rPr>
              <w:t>询问答复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eastAsia"/>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eastAsia"/>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eastAsia"/>
                <w:b/>
                <w:bCs/>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eastAsia"/>
                <w:b/>
                <w:bC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eastAsia"/>
                <w:b/>
                <w:bCs/>
              </w:rPr>
            </w:pPr>
            <w:r>
              <w:rPr>
                <w:rFonts w:hint="eastAsia"/>
                <w:b/>
                <w:bCs/>
                <w:lang w:val="en-US" w:eastAsia="zh-CN"/>
              </w:rPr>
              <w:t>3</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eastAsia"/>
                <w:b/>
                <w:bCs/>
              </w:rPr>
            </w:pPr>
            <w:r>
              <w:rPr>
                <w:rFonts w:hint="eastAsia"/>
                <w:b/>
                <w:bCs/>
                <w:lang w:val="en-US" w:eastAsia="zh-CN"/>
              </w:rPr>
              <w:t>质疑答复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eastAsia"/>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eastAsia"/>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eastAsia"/>
                <w:b/>
                <w:bCs/>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eastAsia"/>
                <w:b/>
                <w:bC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eastAsia"/>
                <w:b/>
                <w:bCs/>
              </w:rPr>
            </w:pPr>
            <w:r>
              <w:rPr>
                <w:rFonts w:hint="eastAsia"/>
                <w:b/>
                <w:bCs/>
                <w:lang w:val="en-US" w:eastAsia="zh-CN"/>
              </w:rPr>
              <w:t>4</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eastAsia"/>
                <w:b/>
                <w:bCs/>
              </w:rPr>
            </w:pPr>
            <w:r>
              <w:rPr>
                <w:rFonts w:hint="eastAsia"/>
                <w:b/>
                <w:bCs/>
                <w:lang w:val="en-US" w:eastAsia="zh-CN"/>
              </w:rPr>
              <w:t>服务态度</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eastAsia"/>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eastAsia"/>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eastAsia"/>
                <w:b/>
                <w:bCs/>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eastAsia"/>
                <w:b/>
                <w:bC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39"/>
              <w:bidi w:val="0"/>
              <w:rPr>
                <w:rFonts w:hint="eastAsia"/>
                <w:b/>
                <w:bCs/>
              </w:rPr>
            </w:pPr>
            <w:r>
              <w:rPr>
                <w:rFonts w:hint="eastAsia"/>
                <w:b/>
                <w:bCs/>
                <w:lang w:val="en-US" w:eastAsia="zh-CN"/>
              </w:rPr>
              <w:t>对代理机构工作的其他建议：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06"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39"/>
              <w:bidi w:val="0"/>
              <w:rPr>
                <w:rFonts w:hint="eastAsia"/>
                <w:b/>
                <w:bC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1"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39"/>
              <w:bidi w:val="0"/>
              <w:rPr>
                <w:rFonts w:hint="eastAsia"/>
                <w:b/>
                <w:bCs/>
                <w:lang w:val="en-US" w:eastAsia="zh-CN"/>
              </w:rPr>
            </w:pPr>
            <w:r>
              <w:rPr>
                <w:rFonts w:hint="eastAsia"/>
                <w:b/>
                <w:bCs/>
                <w:lang w:val="en-US" w:eastAsia="zh-CN"/>
              </w:rPr>
              <w:t>供应商名称：</w:t>
            </w:r>
            <w:r>
              <w:rPr>
                <w:rFonts w:hint="eastAsia"/>
                <w:b/>
                <w:bCs/>
                <w:u w:val="single"/>
                <w:lang w:val="en-US" w:eastAsia="zh-CN"/>
              </w:rPr>
              <w:t xml:space="preserve">                     </w:t>
            </w:r>
            <w:r>
              <w:rPr>
                <w:rFonts w:hint="eastAsia"/>
                <w:b/>
                <w:bCs/>
                <w:lang w:val="en-US" w:eastAsia="zh-CN"/>
              </w:rPr>
              <w:t>(加盖鲜章)</w:t>
            </w:r>
          </w:p>
        </w:tc>
      </w:tr>
    </w:tbl>
    <w:p>
      <w:pPr>
        <w:pStyle w:val="45"/>
        <w:bidi w:val="0"/>
        <w:rPr>
          <w:rFonts w:hint="eastAsia"/>
          <w:lang w:val="en-US" w:eastAsia="zh-CN"/>
        </w:rPr>
      </w:pPr>
      <w:r>
        <w:rPr>
          <w:rFonts w:hint="eastAsia"/>
          <w:lang w:val="en-US" w:eastAsia="zh-CN"/>
        </w:rPr>
        <w:t>说明：请贵公司根据政府采购代理机构2021年度政府采购项目的实际情况，在“满意”、“基本满意”、“一般”、“不满意”四个评价档次栏中选取一栏打“√”，并加盖鲜章。</w:t>
      </w:r>
    </w:p>
    <w:p>
      <w:pPr>
        <w:rPr>
          <w:rFonts w:hint="eastAsia"/>
          <w:lang w:val="en-US" w:eastAsia="zh-CN"/>
        </w:rPr>
      </w:pPr>
      <w:r>
        <w:rPr>
          <w:rFonts w:hint="eastAsia"/>
          <w:lang w:val="en-US" w:eastAsia="zh-CN"/>
        </w:rPr>
        <w:br w:type="page"/>
      </w:r>
    </w:p>
    <w:p>
      <w:pPr>
        <w:pStyle w:val="40"/>
        <w:bidi w:val="0"/>
        <w:jc w:val="both"/>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附件</w:t>
      </w:r>
      <w:r>
        <w:rPr>
          <w:rFonts w:hint="eastAsia" w:cs="宋体"/>
          <w:b/>
          <w:bCs/>
          <w:sz w:val="24"/>
          <w:szCs w:val="24"/>
          <w:lang w:val="en-US" w:eastAsia="zh-CN"/>
        </w:rPr>
        <w:t>三：</w:t>
      </w:r>
    </w:p>
    <w:p>
      <w:pPr>
        <w:widowControl/>
        <w:spacing w:line="330" w:lineRule="atLeast"/>
        <w:jc w:val="center"/>
        <w:rPr>
          <w:rFonts w:hint="eastAsia" w:ascii="宋体" w:hAnsi="宋体" w:eastAsia="宋体" w:cs="宋体"/>
          <w:color w:val="000000"/>
          <w:kern w:val="0"/>
          <w:sz w:val="32"/>
          <w:szCs w:val="32"/>
        </w:rPr>
      </w:pPr>
      <w:r>
        <w:rPr>
          <w:rFonts w:hint="eastAsia" w:ascii="宋体" w:hAnsi="宋体" w:eastAsia="宋体" w:cs="宋体"/>
          <w:color w:val="000000"/>
          <w:kern w:val="0"/>
          <w:sz w:val="32"/>
          <w:szCs w:val="32"/>
        </w:rPr>
        <w:t>统计上大中小微型企业划分标准</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2"/>
        <w:gridCol w:w="1445"/>
        <w:gridCol w:w="747"/>
        <w:gridCol w:w="1186"/>
        <w:gridCol w:w="1796"/>
        <w:gridCol w:w="1505"/>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1120" w:type="pct"/>
            <w:noWrap w:val="0"/>
            <w:vAlign w:val="center"/>
          </w:tcPr>
          <w:p>
            <w:pPr>
              <w:widowControl/>
              <w:spacing w:line="240" w:lineRule="exact"/>
              <w:jc w:val="center"/>
              <w:rPr>
                <w:rFonts w:ascii="宋体" w:hAnsi="宋体" w:cs="宋体"/>
                <w:b/>
                <w:bCs/>
                <w:color w:val="000000"/>
                <w:kern w:val="0"/>
                <w:sz w:val="15"/>
                <w:szCs w:val="15"/>
              </w:rPr>
            </w:pPr>
            <w:r>
              <w:rPr>
                <w:rFonts w:hint="eastAsia" w:ascii="宋体" w:hAnsi="宋体" w:cs="宋体"/>
                <w:b/>
                <w:bCs/>
                <w:color w:val="000000"/>
                <w:kern w:val="0"/>
                <w:sz w:val="15"/>
                <w:szCs w:val="15"/>
              </w:rPr>
              <w:t>行业名称</w:t>
            </w:r>
          </w:p>
        </w:tc>
        <w:tc>
          <w:tcPr>
            <w:tcW w:w="725" w:type="pct"/>
            <w:noWrap w:val="0"/>
            <w:vAlign w:val="center"/>
          </w:tcPr>
          <w:p>
            <w:pPr>
              <w:widowControl/>
              <w:jc w:val="center"/>
              <w:rPr>
                <w:rFonts w:ascii="宋体" w:hAnsi="宋体" w:cs="宋体"/>
                <w:b/>
                <w:bCs/>
                <w:color w:val="000000"/>
                <w:kern w:val="0"/>
                <w:sz w:val="15"/>
                <w:szCs w:val="15"/>
              </w:rPr>
            </w:pPr>
            <w:r>
              <w:rPr>
                <w:rFonts w:hint="eastAsia" w:ascii="宋体" w:hAnsi="宋体" w:cs="宋体"/>
                <w:b/>
                <w:bCs/>
                <w:color w:val="000000"/>
                <w:kern w:val="0"/>
                <w:sz w:val="15"/>
                <w:szCs w:val="15"/>
              </w:rPr>
              <w:t>指标名称</w:t>
            </w:r>
          </w:p>
        </w:tc>
        <w:tc>
          <w:tcPr>
            <w:tcW w:w="375" w:type="pct"/>
            <w:noWrap w:val="0"/>
            <w:vAlign w:val="center"/>
          </w:tcPr>
          <w:p>
            <w:pPr>
              <w:widowControl/>
              <w:jc w:val="center"/>
              <w:rPr>
                <w:rFonts w:ascii="宋体" w:hAnsi="宋体" w:cs="宋体"/>
                <w:b/>
                <w:bCs/>
                <w:color w:val="000000"/>
                <w:kern w:val="0"/>
                <w:sz w:val="15"/>
                <w:szCs w:val="15"/>
              </w:rPr>
            </w:pPr>
            <w:r>
              <w:rPr>
                <w:rFonts w:hint="eastAsia" w:ascii="宋体" w:hAnsi="宋体" w:cs="宋体"/>
                <w:b/>
                <w:bCs/>
                <w:color w:val="000000"/>
                <w:kern w:val="0"/>
                <w:sz w:val="15"/>
                <w:szCs w:val="15"/>
              </w:rPr>
              <w:t>计量</w:t>
            </w:r>
            <w:r>
              <w:rPr>
                <w:rFonts w:hint="eastAsia" w:ascii="宋体" w:hAnsi="宋体" w:cs="宋体"/>
                <w:b/>
                <w:bCs/>
                <w:color w:val="000000"/>
                <w:kern w:val="0"/>
                <w:sz w:val="15"/>
                <w:szCs w:val="15"/>
              </w:rPr>
              <w:br w:type="textWrapping"/>
            </w:r>
            <w:r>
              <w:rPr>
                <w:rFonts w:hint="eastAsia" w:ascii="宋体" w:hAnsi="宋体" w:cs="宋体"/>
                <w:b/>
                <w:bCs/>
                <w:color w:val="000000"/>
                <w:kern w:val="0"/>
                <w:sz w:val="15"/>
                <w:szCs w:val="15"/>
              </w:rPr>
              <w:t>单位</w:t>
            </w:r>
          </w:p>
        </w:tc>
        <w:tc>
          <w:tcPr>
            <w:tcW w:w="595" w:type="pct"/>
            <w:noWrap w:val="0"/>
            <w:vAlign w:val="center"/>
          </w:tcPr>
          <w:p>
            <w:pPr>
              <w:widowControl/>
              <w:jc w:val="center"/>
              <w:rPr>
                <w:rFonts w:ascii="宋体" w:hAnsi="宋体" w:cs="宋体"/>
                <w:b/>
                <w:bCs/>
                <w:color w:val="000000"/>
                <w:kern w:val="0"/>
                <w:sz w:val="15"/>
                <w:szCs w:val="15"/>
              </w:rPr>
            </w:pPr>
            <w:r>
              <w:rPr>
                <w:rFonts w:hint="eastAsia" w:ascii="宋体" w:hAnsi="宋体" w:cs="宋体"/>
                <w:b/>
                <w:bCs/>
                <w:color w:val="000000"/>
                <w:kern w:val="0"/>
                <w:sz w:val="15"/>
                <w:szCs w:val="15"/>
              </w:rPr>
              <w:t>大型</w:t>
            </w:r>
          </w:p>
        </w:tc>
        <w:tc>
          <w:tcPr>
            <w:tcW w:w="901" w:type="pct"/>
            <w:noWrap w:val="0"/>
            <w:vAlign w:val="center"/>
          </w:tcPr>
          <w:p>
            <w:pPr>
              <w:widowControl/>
              <w:jc w:val="center"/>
              <w:rPr>
                <w:rFonts w:ascii="宋体" w:hAnsi="宋体" w:cs="宋体"/>
                <w:b/>
                <w:bCs/>
                <w:color w:val="000000"/>
                <w:kern w:val="0"/>
                <w:sz w:val="15"/>
                <w:szCs w:val="15"/>
              </w:rPr>
            </w:pPr>
            <w:r>
              <w:rPr>
                <w:rFonts w:hint="eastAsia" w:ascii="宋体" w:hAnsi="宋体" w:cs="宋体"/>
                <w:b/>
                <w:bCs/>
                <w:color w:val="000000"/>
                <w:kern w:val="0"/>
                <w:sz w:val="15"/>
                <w:szCs w:val="15"/>
              </w:rPr>
              <w:t>中型</w:t>
            </w:r>
          </w:p>
        </w:tc>
        <w:tc>
          <w:tcPr>
            <w:tcW w:w="755" w:type="pct"/>
            <w:noWrap w:val="0"/>
            <w:vAlign w:val="center"/>
          </w:tcPr>
          <w:p>
            <w:pPr>
              <w:widowControl/>
              <w:jc w:val="center"/>
              <w:rPr>
                <w:rFonts w:ascii="宋体" w:hAnsi="宋体" w:cs="宋体"/>
                <w:b/>
                <w:bCs/>
                <w:color w:val="000000"/>
                <w:kern w:val="0"/>
                <w:sz w:val="15"/>
                <w:szCs w:val="15"/>
              </w:rPr>
            </w:pPr>
            <w:r>
              <w:rPr>
                <w:rFonts w:hint="eastAsia" w:ascii="宋体" w:hAnsi="宋体" w:cs="宋体"/>
                <w:b/>
                <w:bCs/>
                <w:color w:val="000000"/>
                <w:kern w:val="0"/>
                <w:sz w:val="15"/>
                <w:szCs w:val="15"/>
              </w:rPr>
              <w:t>小型</w:t>
            </w:r>
          </w:p>
        </w:tc>
        <w:tc>
          <w:tcPr>
            <w:tcW w:w="525" w:type="pct"/>
            <w:noWrap w:val="0"/>
            <w:vAlign w:val="center"/>
          </w:tcPr>
          <w:p>
            <w:pPr>
              <w:widowControl/>
              <w:jc w:val="center"/>
              <w:rPr>
                <w:rFonts w:ascii="宋体" w:hAnsi="宋体" w:cs="宋体"/>
                <w:b/>
                <w:bCs/>
                <w:color w:val="000000"/>
                <w:kern w:val="0"/>
                <w:sz w:val="15"/>
                <w:szCs w:val="15"/>
              </w:rPr>
            </w:pPr>
            <w:r>
              <w:rPr>
                <w:rFonts w:hint="eastAsia" w:ascii="宋体" w:hAnsi="宋体" w:cs="宋体"/>
                <w:b/>
                <w:bCs/>
                <w:color w:val="000000"/>
                <w:kern w:val="0"/>
                <w:sz w:val="15"/>
                <w:szCs w:val="15"/>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noWrap w:val="0"/>
            <w:vAlign w:val="center"/>
          </w:tcPr>
          <w:p>
            <w:pPr>
              <w:widowControl/>
              <w:spacing w:line="240" w:lineRule="exact"/>
              <w:jc w:val="left"/>
              <w:rPr>
                <w:rFonts w:ascii="宋体" w:hAnsi="宋体" w:cs="宋体"/>
                <w:color w:val="000000"/>
                <w:kern w:val="0"/>
                <w:sz w:val="15"/>
                <w:szCs w:val="15"/>
              </w:rPr>
            </w:pPr>
            <w:r>
              <w:rPr>
                <w:rFonts w:hint="eastAsia" w:ascii="宋体" w:hAnsi="宋体" w:cs="宋体"/>
                <w:color w:val="000000"/>
                <w:kern w:val="0"/>
                <w:sz w:val="15"/>
                <w:szCs w:val="15"/>
              </w:rPr>
              <w:t>农、林、牧、渔业</w:t>
            </w:r>
          </w:p>
        </w:tc>
        <w:tc>
          <w:tcPr>
            <w:tcW w:w="7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营业收入(Y)</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万元</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Y≥20000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500≤Y＜20000</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50≤Y＜500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widowControl/>
              <w:spacing w:line="240" w:lineRule="exact"/>
              <w:jc w:val="left"/>
              <w:rPr>
                <w:rFonts w:ascii="宋体" w:hAnsi="宋体" w:cs="宋体"/>
                <w:color w:val="000000"/>
                <w:kern w:val="0"/>
                <w:sz w:val="15"/>
                <w:szCs w:val="15"/>
              </w:rPr>
            </w:pPr>
            <w:r>
              <w:rPr>
                <w:rFonts w:hint="eastAsia" w:ascii="宋体" w:hAnsi="宋体" w:cs="宋体"/>
                <w:color w:val="000000"/>
                <w:kern w:val="0"/>
                <w:sz w:val="15"/>
                <w:szCs w:val="15"/>
              </w:rPr>
              <w:t>工业 *</w:t>
            </w:r>
          </w:p>
        </w:tc>
        <w:tc>
          <w:tcPr>
            <w:tcW w:w="7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从业人员(X)</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人</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X≥1000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300≤X＜1000</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20≤X＜300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widowControl/>
              <w:jc w:val="left"/>
              <w:rPr>
                <w:rFonts w:ascii="宋体" w:hAnsi="宋体" w:cs="宋体"/>
                <w:color w:val="000000"/>
                <w:kern w:val="0"/>
                <w:sz w:val="15"/>
                <w:szCs w:val="15"/>
              </w:rPr>
            </w:pPr>
          </w:p>
        </w:tc>
        <w:tc>
          <w:tcPr>
            <w:tcW w:w="725" w:type="pct"/>
            <w:noWrap w:val="0"/>
            <w:vAlign w:val="center"/>
          </w:tcPr>
          <w:p>
            <w:pPr>
              <w:widowControl/>
              <w:spacing w:line="240" w:lineRule="exact"/>
              <w:jc w:val="center"/>
              <w:rPr>
                <w:rFonts w:ascii="宋体" w:hAnsi="宋体" w:cs="宋体"/>
                <w:color w:val="000000"/>
                <w:kern w:val="0"/>
                <w:sz w:val="15"/>
                <w:szCs w:val="15"/>
              </w:rPr>
            </w:pPr>
            <w:r>
              <w:rPr>
                <w:rFonts w:hint="eastAsia" w:ascii="宋体" w:hAnsi="宋体" w:cs="宋体"/>
                <w:color w:val="000000"/>
                <w:kern w:val="0"/>
                <w:sz w:val="15"/>
                <w:szCs w:val="15"/>
              </w:rPr>
              <w:t>营业收入(Y)</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万元</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Y≥40000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2000≤Y＜40000</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300≤Y＜2000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widowControl/>
              <w:spacing w:line="240" w:lineRule="exact"/>
              <w:jc w:val="left"/>
              <w:rPr>
                <w:rFonts w:ascii="宋体" w:hAnsi="宋体" w:cs="宋体"/>
                <w:color w:val="000000"/>
                <w:kern w:val="0"/>
                <w:sz w:val="15"/>
                <w:szCs w:val="15"/>
              </w:rPr>
            </w:pPr>
            <w:r>
              <w:rPr>
                <w:rFonts w:hint="eastAsia" w:ascii="宋体" w:hAnsi="宋体" w:cs="宋体"/>
                <w:color w:val="000000"/>
                <w:kern w:val="0"/>
                <w:sz w:val="15"/>
                <w:szCs w:val="15"/>
              </w:rPr>
              <w:t>建筑业</w:t>
            </w:r>
          </w:p>
        </w:tc>
        <w:tc>
          <w:tcPr>
            <w:tcW w:w="7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营业收入(Y)</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万元</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Y≥80000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6000≤Y＜80000</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300≤Y＜6000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widowControl/>
              <w:jc w:val="left"/>
              <w:rPr>
                <w:rFonts w:ascii="宋体" w:hAnsi="宋体" w:cs="宋体"/>
                <w:color w:val="000000"/>
                <w:kern w:val="0"/>
                <w:sz w:val="15"/>
                <w:szCs w:val="15"/>
              </w:rPr>
            </w:pPr>
          </w:p>
        </w:tc>
        <w:tc>
          <w:tcPr>
            <w:tcW w:w="725" w:type="pct"/>
            <w:noWrap w:val="0"/>
            <w:vAlign w:val="center"/>
          </w:tcPr>
          <w:p>
            <w:pPr>
              <w:widowControl/>
              <w:spacing w:line="240" w:lineRule="exact"/>
              <w:jc w:val="center"/>
              <w:rPr>
                <w:rFonts w:ascii="宋体" w:hAnsi="宋体" w:cs="宋体"/>
                <w:color w:val="000000"/>
                <w:kern w:val="0"/>
                <w:sz w:val="15"/>
                <w:szCs w:val="15"/>
              </w:rPr>
            </w:pPr>
            <w:r>
              <w:rPr>
                <w:rFonts w:hint="eastAsia" w:ascii="宋体" w:hAnsi="宋体" w:cs="宋体"/>
                <w:color w:val="000000"/>
                <w:kern w:val="0"/>
                <w:sz w:val="15"/>
                <w:szCs w:val="15"/>
              </w:rPr>
              <w:t>资产总额(Z)</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万元</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Z≥80000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5000≤Z＜80000</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300≤Z＜5000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Z＜300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widowControl/>
              <w:spacing w:line="240" w:lineRule="exact"/>
              <w:jc w:val="left"/>
              <w:rPr>
                <w:rFonts w:ascii="宋体" w:hAnsi="宋体" w:cs="宋体"/>
                <w:color w:val="000000"/>
                <w:kern w:val="0"/>
                <w:sz w:val="15"/>
                <w:szCs w:val="15"/>
              </w:rPr>
            </w:pPr>
            <w:r>
              <w:rPr>
                <w:rFonts w:hint="eastAsia" w:ascii="宋体" w:hAnsi="宋体" w:cs="宋体"/>
                <w:color w:val="000000"/>
                <w:kern w:val="0"/>
                <w:sz w:val="15"/>
                <w:szCs w:val="15"/>
              </w:rPr>
              <w:t>批发业</w:t>
            </w:r>
          </w:p>
        </w:tc>
        <w:tc>
          <w:tcPr>
            <w:tcW w:w="7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从业人员(X)</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人</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X≥200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20≤X＜200</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5≤X＜20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widowControl/>
              <w:jc w:val="left"/>
              <w:rPr>
                <w:rFonts w:ascii="宋体" w:hAnsi="宋体" w:cs="宋体"/>
                <w:color w:val="000000"/>
                <w:kern w:val="0"/>
                <w:sz w:val="15"/>
                <w:szCs w:val="15"/>
              </w:rPr>
            </w:pPr>
          </w:p>
        </w:tc>
        <w:tc>
          <w:tcPr>
            <w:tcW w:w="725" w:type="pct"/>
            <w:noWrap w:val="0"/>
            <w:vAlign w:val="center"/>
          </w:tcPr>
          <w:p>
            <w:pPr>
              <w:widowControl/>
              <w:spacing w:line="240" w:lineRule="exact"/>
              <w:jc w:val="center"/>
              <w:rPr>
                <w:rFonts w:ascii="宋体" w:hAnsi="宋体" w:cs="宋体"/>
                <w:color w:val="000000"/>
                <w:kern w:val="0"/>
                <w:sz w:val="15"/>
                <w:szCs w:val="15"/>
              </w:rPr>
            </w:pPr>
            <w:r>
              <w:rPr>
                <w:rFonts w:hint="eastAsia" w:ascii="宋体" w:hAnsi="宋体" w:cs="宋体"/>
                <w:color w:val="000000"/>
                <w:kern w:val="0"/>
                <w:sz w:val="15"/>
                <w:szCs w:val="15"/>
              </w:rPr>
              <w:t>营业收入(Y)</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万元</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Y≥40000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5000≤Y＜40000</w:t>
            </w:r>
          </w:p>
        </w:tc>
        <w:tc>
          <w:tcPr>
            <w:tcW w:w="755" w:type="pct"/>
            <w:noWrap w:val="0"/>
            <w:vAlign w:val="center"/>
          </w:tcPr>
          <w:p>
            <w:pPr>
              <w:widowControl/>
              <w:ind w:left="-1" w:leftChars="-1" w:hanging="1"/>
              <w:jc w:val="center"/>
              <w:rPr>
                <w:rFonts w:ascii="宋体" w:hAnsi="宋体" w:cs="宋体"/>
                <w:color w:val="000000"/>
                <w:kern w:val="0"/>
                <w:sz w:val="15"/>
                <w:szCs w:val="15"/>
              </w:rPr>
            </w:pPr>
            <w:r>
              <w:rPr>
                <w:rFonts w:hint="eastAsia" w:ascii="宋体" w:hAnsi="宋体" w:cs="宋体"/>
                <w:color w:val="000000"/>
                <w:kern w:val="0"/>
                <w:sz w:val="15"/>
                <w:szCs w:val="15"/>
              </w:rPr>
              <w:t>1000≤Y＜5000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widowControl/>
              <w:spacing w:line="240" w:lineRule="exact"/>
              <w:jc w:val="left"/>
              <w:rPr>
                <w:rFonts w:ascii="宋体" w:hAnsi="宋体" w:cs="宋体"/>
                <w:color w:val="000000"/>
                <w:kern w:val="0"/>
                <w:sz w:val="15"/>
                <w:szCs w:val="15"/>
              </w:rPr>
            </w:pPr>
            <w:r>
              <w:rPr>
                <w:rFonts w:hint="eastAsia" w:ascii="宋体" w:hAnsi="宋体" w:cs="宋体"/>
                <w:color w:val="000000"/>
                <w:kern w:val="0"/>
                <w:sz w:val="15"/>
                <w:szCs w:val="15"/>
              </w:rPr>
              <w:t>零售业</w:t>
            </w:r>
          </w:p>
        </w:tc>
        <w:tc>
          <w:tcPr>
            <w:tcW w:w="7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从业人员(X)</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人</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X≥300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50≤X＜300</w:t>
            </w:r>
          </w:p>
        </w:tc>
        <w:tc>
          <w:tcPr>
            <w:tcW w:w="755" w:type="pct"/>
            <w:noWrap w:val="0"/>
            <w:vAlign w:val="center"/>
          </w:tcPr>
          <w:p>
            <w:pPr>
              <w:widowControl/>
              <w:ind w:left="-1" w:leftChars="-1" w:hanging="1"/>
              <w:jc w:val="center"/>
              <w:rPr>
                <w:rFonts w:ascii="宋体" w:hAnsi="宋体" w:cs="宋体"/>
                <w:color w:val="000000"/>
                <w:kern w:val="0"/>
                <w:sz w:val="15"/>
                <w:szCs w:val="15"/>
              </w:rPr>
            </w:pPr>
            <w:r>
              <w:rPr>
                <w:rFonts w:hint="eastAsia" w:ascii="宋体" w:hAnsi="宋体" w:cs="宋体"/>
                <w:color w:val="000000"/>
                <w:kern w:val="0"/>
                <w:sz w:val="15"/>
                <w:szCs w:val="15"/>
              </w:rPr>
              <w:t xml:space="preserve">10≤X＜50 </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widowControl/>
              <w:jc w:val="left"/>
              <w:rPr>
                <w:rFonts w:ascii="宋体" w:hAnsi="宋体" w:cs="宋体"/>
                <w:color w:val="000000"/>
                <w:kern w:val="0"/>
                <w:sz w:val="15"/>
                <w:szCs w:val="15"/>
              </w:rPr>
            </w:pPr>
          </w:p>
        </w:tc>
        <w:tc>
          <w:tcPr>
            <w:tcW w:w="725" w:type="pct"/>
            <w:noWrap w:val="0"/>
            <w:vAlign w:val="center"/>
          </w:tcPr>
          <w:p>
            <w:pPr>
              <w:widowControl/>
              <w:spacing w:line="240" w:lineRule="exact"/>
              <w:jc w:val="center"/>
              <w:rPr>
                <w:rFonts w:ascii="宋体" w:hAnsi="宋体" w:cs="宋体"/>
                <w:color w:val="000000"/>
                <w:kern w:val="0"/>
                <w:sz w:val="15"/>
                <w:szCs w:val="15"/>
              </w:rPr>
            </w:pPr>
            <w:r>
              <w:rPr>
                <w:rFonts w:hint="eastAsia" w:ascii="宋体" w:hAnsi="宋体" w:cs="宋体"/>
                <w:color w:val="000000"/>
                <w:kern w:val="0"/>
                <w:sz w:val="15"/>
                <w:szCs w:val="15"/>
              </w:rPr>
              <w:t>营业收入(Y)</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万元</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Y≥20000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500≤Y＜20000</w:t>
            </w:r>
          </w:p>
        </w:tc>
        <w:tc>
          <w:tcPr>
            <w:tcW w:w="755" w:type="pct"/>
            <w:noWrap w:val="0"/>
            <w:vAlign w:val="center"/>
          </w:tcPr>
          <w:p>
            <w:pPr>
              <w:widowControl/>
              <w:ind w:left="-1" w:leftChars="-1" w:hanging="1"/>
              <w:jc w:val="center"/>
              <w:rPr>
                <w:rFonts w:ascii="宋体" w:hAnsi="宋体" w:cs="宋体"/>
                <w:color w:val="000000"/>
                <w:kern w:val="0"/>
                <w:sz w:val="15"/>
                <w:szCs w:val="15"/>
              </w:rPr>
            </w:pPr>
            <w:r>
              <w:rPr>
                <w:rFonts w:hint="eastAsia" w:ascii="宋体" w:hAnsi="宋体" w:cs="宋体"/>
                <w:color w:val="000000"/>
                <w:kern w:val="0"/>
                <w:sz w:val="15"/>
                <w:szCs w:val="15"/>
              </w:rPr>
              <w:t xml:space="preserve">100≤Y＜500 </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widowControl/>
              <w:spacing w:line="240" w:lineRule="exact"/>
              <w:jc w:val="left"/>
              <w:rPr>
                <w:rFonts w:ascii="宋体" w:hAnsi="宋体" w:cs="宋体"/>
                <w:color w:val="000000"/>
                <w:kern w:val="0"/>
                <w:sz w:val="15"/>
                <w:szCs w:val="15"/>
              </w:rPr>
            </w:pPr>
            <w:r>
              <w:rPr>
                <w:rFonts w:hint="eastAsia" w:ascii="宋体" w:hAnsi="宋体" w:cs="宋体"/>
                <w:color w:val="000000"/>
                <w:kern w:val="0"/>
                <w:sz w:val="15"/>
                <w:szCs w:val="15"/>
              </w:rPr>
              <w:t>交通运输业 *</w:t>
            </w:r>
          </w:p>
        </w:tc>
        <w:tc>
          <w:tcPr>
            <w:tcW w:w="7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从业人员(X)</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人</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X≥1000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300≤X＜1000</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20≤X＜300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widowControl/>
              <w:jc w:val="left"/>
              <w:rPr>
                <w:rFonts w:ascii="宋体" w:hAnsi="宋体" w:cs="宋体"/>
                <w:color w:val="000000"/>
                <w:kern w:val="0"/>
                <w:sz w:val="15"/>
                <w:szCs w:val="15"/>
              </w:rPr>
            </w:pPr>
          </w:p>
        </w:tc>
        <w:tc>
          <w:tcPr>
            <w:tcW w:w="725" w:type="pct"/>
            <w:noWrap w:val="0"/>
            <w:vAlign w:val="center"/>
          </w:tcPr>
          <w:p>
            <w:pPr>
              <w:widowControl/>
              <w:spacing w:line="240" w:lineRule="exact"/>
              <w:jc w:val="center"/>
              <w:rPr>
                <w:rFonts w:ascii="宋体" w:hAnsi="宋体" w:cs="宋体"/>
                <w:color w:val="000000"/>
                <w:kern w:val="0"/>
                <w:sz w:val="15"/>
                <w:szCs w:val="15"/>
              </w:rPr>
            </w:pPr>
            <w:r>
              <w:rPr>
                <w:rFonts w:hint="eastAsia" w:ascii="宋体" w:hAnsi="宋体" w:cs="宋体"/>
                <w:color w:val="000000"/>
                <w:kern w:val="0"/>
                <w:sz w:val="15"/>
                <w:szCs w:val="15"/>
              </w:rPr>
              <w:t>营业收入(Y)</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万元</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Y≥30000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3000≤Y＜30000</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200≤Y＜3000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widowControl/>
              <w:spacing w:line="240" w:lineRule="exact"/>
              <w:jc w:val="left"/>
              <w:rPr>
                <w:rFonts w:ascii="宋体" w:hAnsi="宋体" w:cs="宋体"/>
                <w:color w:val="000000"/>
                <w:kern w:val="0"/>
                <w:sz w:val="15"/>
                <w:szCs w:val="15"/>
              </w:rPr>
            </w:pPr>
            <w:r>
              <w:rPr>
                <w:rFonts w:hint="eastAsia" w:ascii="宋体" w:hAnsi="宋体" w:cs="宋体"/>
                <w:color w:val="000000"/>
                <w:kern w:val="0"/>
                <w:sz w:val="15"/>
                <w:szCs w:val="15"/>
              </w:rPr>
              <w:t>仓储业*</w:t>
            </w:r>
          </w:p>
        </w:tc>
        <w:tc>
          <w:tcPr>
            <w:tcW w:w="7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从业人员(X)</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人</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X≥200</w:t>
            </w:r>
          </w:p>
        </w:tc>
        <w:tc>
          <w:tcPr>
            <w:tcW w:w="901" w:type="pct"/>
            <w:noWrap w:val="0"/>
            <w:vAlign w:val="center"/>
          </w:tcPr>
          <w:p>
            <w:pPr>
              <w:widowControl/>
              <w:ind w:left="-32" w:leftChars="-51" w:hanging="90" w:hangingChars="60"/>
              <w:jc w:val="center"/>
              <w:rPr>
                <w:rFonts w:ascii="宋体" w:hAnsi="宋体" w:cs="宋体"/>
                <w:color w:val="000000"/>
                <w:kern w:val="0"/>
                <w:sz w:val="15"/>
                <w:szCs w:val="15"/>
              </w:rPr>
            </w:pPr>
            <w:r>
              <w:rPr>
                <w:rFonts w:hint="eastAsia" w:ascii="宋体" w:hAnsi="宋体" w:cs="宋体"/>
                <w:color w:val="000000"/>
                <w:kern w:val="0"/>
                <w:sz w:val="15"/>
                <w:szCs w:val="15"/>
              </w:rPr>
              <w:t>100≤X＜200</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20≤X＜100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widowControl/>
              <w:jc w:val="left"/>
              <w:rPr>
                <w:rFonts w:ascii="宋体" w:hAnsi="宋体" w:cs="宋体"/>
                <w:color w:val="000000"/>
                <w:kern w:val="0"/>
                <w:sz w:val="15"/>
                <w:szCs w:val="15"/>
              </w:rPr>
            </w:pPr>
          </w:p>
        </w:tc>
        <w:tc>
          <w:tcPr>
            <w:tcW w:w="725" w:type="pct"/>
            <w:noWrap w:val="0"/>
            <w:vAlign w:val="center"/>
          </w:tcPr>
          <w:p>
            <w:pPr>
              <w:widowControl/>
              <w:spacing w:line="240" w:lineRule="exact"/>
              <w:jc w:val="center"/>
              <w:rPr>
                <w:rFonts w:ascii="宋体" w:hAnsi="宋体" w:cs="宋体"/>
                <w:color w:val="000000"/>
                <w:kern w:val="0"/>
                <w:sz w:val="15"/>
                <w:szCs w:val="15"/>
              </w:rPr>
            </w:pPr>
            <w:r>
              <w:rPr>
                <w:rFonts w:hint="eastAsia" w:ascii="宋体" w:hAnsi="宋体" w:cs="宋体"/>
                <w:color w:val="000000"/>
                <w:kern w:val="0"/>
                <w:sz w:val="15"/>
                <w:szCs w:val="15"/>
              </w:rPr>
              <w:t>营业收入(Y)</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万元</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Y≥30000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1000≤Y＜30000</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100≤Y＜1000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widowControl/>
              <w:spacing w:line="240" w:lineRule="exact"/>
              <w:jc w:val="left"/>
              <w:rPr>
                <w:rFonts w:ascii="宋体" w:hAnsi="宋体" w:cs="宋体"/>
                <w:color w:val="000000"/>
                <w:kern w:val="0"/>
                <w:sz w:val="15"/>
                <w:szCs w:val="15"/>
              </w:rPr>
            </w:pPr>
            <w:r>
              <w:rPr>
                <w:rFonts w:hint="eastAsia" w:ascii="宋体" w:hAnsi="宋体" w:cs="宋体"/>
                <w:color w:val="000000"/>
                <w:kern w:val="0"/>
                <w:sz w:val="15"/>
                <w:szCs w:val="15"/>
              </w:rPr>
              <w:t>邮政业</w:t>
            </w:r>
          </w:p>
        </w:tc>
        <w:tc>
          <w:tcPr>
            <w:tcW w:w="7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从业人员(X)</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人</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X≥1000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300≤X＜1000</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20≤X＜300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widowControl/>
              <w:jc w:val="left"/>
              <w:rPr>
                <w:rFonts w:ascii="宋体" w:hAnsi="宋体" w:cs="宋体"/>
                <w:color w:val="000000"/>
                <w:kern w:val="0"/>
                <w:sz w:val="15"/>
                <w:szCs w:val="15"/>
              </w:rPr>
            </w:pPr>
          </w:p>
        </w:tc>
        <w:tc>
          <w:tcPr>
            <w:tcW w:w="725" w:type="pct"/>
            <w:noWrap w:val="0"/>
            <w:vAlign w:val="center"/>
          </w:tcPr>
          <w:p>
            <w:pPr>
              <w:widowControl/>
              <w:spacing w:line="240" w:lineRule="exact"/>
              <w:jc w:val="center"/>
              <w:rPr>
                <w:rFonts w:ascii="宋体" w:hAnsi="宋体" w:cs="宋体"/>
                <w:color w:val="000000"/>
                <w:kern w:val="0"/>
                <w:sz w:val="15"/>
                <w:szCs w:val="15"/>
              </w:rPr>
            </w:pPr>
            <w:r>
              <w:rPr>
                <w:rFonts w:hint="eastAsia" w:ascii="宋体" w:hAnsi="宋体" w:cs="宋体"/>
                <w:color w:val="000000"/>
                <w:kern w:val="0"/>
                <w:sz w:val="15"/>
                <w:szCs w:val="15"/>
              </w:rPr>
              <w:t>营业收入(Y)</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万元</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Y≥30000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2000≤Y＜30000</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100≤Y＜2000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widowControl/>
              <w:spacing w:line="240" w:lineRule="exact"/>
              <w:jc w:val="left"/>
              <w:rPr>
                <w:rFonts w:ascii="宋体" w:hAnsi="宋体" w:cs="宋体"/>
                <w:color w:val="000000"/>
                <w:kern w:val="0"/>
                <w:sz w:val="15"/>
                <w:szCs w:val="15"/>
              </w:rPr>
            </w:pPr>
            <w:r>
              <w:rPr>
                <w:rFonts w:hint="eastAsia" w:ascii="宋体" w:hAnsi="宋体" w:cs="宋体"/>
                <w:color w:val="000000"/>
                <w:kern w:val="0"/>
                <w:sz w:val="15"/>
                <w:szCs w:val="15"/>
              </w:rPr>
              <w:t>住宿业</w:t>
            </w:r>
          </w:p>
        </w:tc>
        <w:tc>
          <w:tcPr>
            <w:tcW w:w="7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从业人员(X)</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人</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X≥300</w:t>
            </w:r>
          </w:p>
        </w:tc>
        <w:tc>
          <w:tcPr>
            <w:tcW w:w="901" w:type="pct"/>
            <w:noWrap w:val="0"/>
            <w:vAlign w:val="center"/>
          </w:tcPr>
          <w:p>
            <w:pPr>
              <w:widowControl/>
              <w:ind w:left="-32" w:leftChars="-51" w:hanging="90" w:hangingChars="60"/>
              <w:jc w:val="center"/>
              <w:rPr>
                <w:rFonts w:ascii="宋体" w:hAnsi="宋体" w:cs="宋体"/>
                <w:color w:val="000000"/>
                <w:kern w:val="0"/>
                <w:sz w:val="15"/>
                <w:szCs w:val="15"/>
              </w:rPr>
            </w:pPr>
            <w:r>
              <w:rPr>
                <w:rFonts w:hint="eastAsia" w:ascii="宋体" w:hAnsi="宋体" w:cs="宋体"/>
                <w:color w:val="000000"/>
                <w:kern w:val="0"/>
                <w:sz w:val="15"/>
                <w:szCs w:val="15"/>
              </w:rPr>
              <w:t xml:space="preserve">100≤X＜300 </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10≤X＜100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widowControl/>
              <w:jc w:val="left"/>
              <w:rPr>
                <w:rFonts w:ascii="宋体" w:hAnsi="宋体" w:cs="宋体"/>
                <w:color w:val="000000"/>
                <w:kern w:val="0"/>
                <w:sz w:val="15"/>
                <w:szCs w:val="15"/>
              </w:rPr>
            </w:pPr>
          </w:p>
        </w:tc>
        <w:tc>
          <w:tcPr>
            <w:tcW w:w="725" w:type="pct"/>
            <w:noWrap w:val="0"/>
            <w:vAlign w:val="center"/>
          </w:tcPr>
          <w:p>
            <w:pPr>
              <w:widowControl/>
              <w:spacing w:line="240" w:lineRule="exact"/>
              <w:jc w:val="center"/>
              <w:rPr>
                <w:rFonts w:ascii="宋体" w:hAnsi="宋体" w:cs="宋体"/>
                <w:color w:val="000000"/>
                <w:kern w:val="0"/>
                <w:sz w:val="15"/>
                <w:szCs w:val="15"/>
              </w:rPr>
            </w:pPr>
            <w:r>
              <w:rPr>
                <w:rFonts w:hint="eastAsia" w:ascii="宋体" w:hAnsi="宋体" w:cs="宋体"/>
                <w:color w:val="000000"/>
                <w:kern w:val="0"/>
                <w:sz w:val="15"/>
                <w:szCs w:val="15"/>
              </w:rPr>
              <w:t>营业收入(Y)</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万元</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Y≥10000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2000≤Y＜10000</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100≤Y＜2000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widowControl/>
              <w:spacing w:line="240" w:lineRule="exact"/>
              <w:jc w:val="left"/>
              <w:rPr>
                <w:rFonts w:ascii="宋体" w:hAnsi="宋体" w:cs="宋体"/>
                <w:color w:val="000000"/>
                <w:kern w:val="0"/>
                <w:sz w:val="15"/>
                <w:szCs w:val="15"/>
              </w:rPr>
            </w:pPr>
            <w:r>
              <w:rPr>
                <w:rFonts w:hint="eastAsia" w:ascii="宋体" w:hAnsi="宋体" w:cs="宋体"/>
                <w:color w:val="000000"/>
                <w:kern w:val="0"/>
                <w:sz w:val="15"/>
                <w:szCs w:val="15"/>
              </w:rPr>
              <w:t>餐饮业</w:t>
            </w:r>
          </w:p>
        </w:tc>
        <w:tc>
          <w:tcPr>
            <w:tcW w:w="7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从业人员(X)</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人</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X≥300</w:t>
            </w:r>
          </w:p>
        </w:tc>
        <w:tc>
          <w:tcPr>
            <w:tcW w:w="901" w:type="pct"/>
            <w:noWrap w:val="0"/>
            <w:vAlign w:val="center"/>
          </w:tcPr>
          <w:p>
            <w:pPr>
              <w:widowControl/>
              <w:ind w:left="-32" w:leftChars="-51" w:hanging="90" w:hangingChars="60"/>
              <w:jc w:val="center"/>
              <w:rPr>
                <w:rFonts w:ascii="宋体" w:hAnsi="宋体" w:cs="宋体"/>
                <w:color w:val="000000"/>
                <w:kern w:val="0"/>
                <w:sz w:val="15"/>
                <w:szCs w:val="15"/>
              </w:rPr>
            </w:pPr>
            <w:r>
              <w:rPr>
                <w:rFonts w:hint="eastAsia" w:ascii="宋体" w:hAnsi="宋体" w:cs="宋体"/>
                <w:color w:val="000000"/>
                <w:kern w:val="0"/>
                <w:sz w:val="15"/>
                <w:szCs w:val="15"/>
              </w:rPr>
              <w:t xml:space="preserve">100≤X＜300 </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10≤X＜100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widowControl/>
              <w:jc w:val="left"/>
              <w:rPr>
                <w:rFonts w:ascii="宋体" w:hAnsi="宋体" w:cs="宋体"/>
                <w:color w:val="000000"/>
                <w:kern w:val="0"/>
                <w:sz w:val="15"/>
                <w:szCs w:val="15"/>
              </w:rPr>
            </w:pPr>
          </w:p>
        </w:tc>
        <w:tc>
          <w:tcPr>
            <w:tcW w:w="725" w:type="pct"/>
            <w:noWrap w:val="0"/>
            <w:vAlign w:val="center"/>
          </w:tcPr>
          <w:p>
            <w:pPr>
              <w:widowControl/>
              <w:spacing w:line="240" w:lineRule="exact"/>
              <w:jc w:val="center"/>
              <w:rPr>
                <w:rFonts w:ascii="宋体" w:hAnsi="宋体" w:cs="宋体"/>
                <w:color w:val="000000"/>
                <w:kern w:val="0"/>
                <w:sz w:val="15"/>
                <w:szCs w:val="15"/>
              </w:rPr>
            </w:pPr>
            <w:r>
              <w:rPr>
                <w:rFonts w:hint="eastAsia" w:ascii="宋体" w:hAnsi="宋体" w:cs="宋体"/>
                <w:color w:val="000000"/>
                <w:kern w:val="0"/>
                <w:sz w:val="15"/>
                <w:szCs w:val="15"/>
              </w:rPr>
              <w:t>营业收入(Y)</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万元</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Y≥10000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2000≤Y＜10000</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100≤Y＜2000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widowControl/>
              <w:spacing w:line="240" w:lineRule="exact"/>
              <w:jc w:val="left"/>
              <w:rPr>
                <w:rFonts w:ascii="宋体" w:hAnsi="宋体" w:cs="宋体"/>
                <w:color w:val="000000"/>
                <w:kern w:val="0"/>
                <w:sz w:val="15"/>
                <w:szCs w:val="15"/>
              </w:rPr>
            </w:pPr>
            <w:r>
              <w:rPr>
                <w:rFonts w:hint="eastAsia" w:ascii="宋体" w:hAnsi="宋体" w:cs="宋体"/>
                <w:color w:val="000000"/>
                <w:kern w:val="0"/>
                <w:sz w:val="15"/>
                <w:szCs w:val="15"/>
              </w:rPr>
              <w:t>信息传输业 *</w:t>
            </w:r>
          </w:p>
        </w:tc>
        <w:tc>
          <w:tcPr>
            <w:tcW w:w="7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从业人员(X)</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人</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X≥2000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100≤X＜2000</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10≤X＜100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exact"/>
          <w:jc w:val="center"/>
        </w:trPr>
        <w:tc>
          <w:tcPr>
            <w:tcW w:w="1120" w:type="pct"/>
            <w:vMerge w:val="continue"/>
            <w:noWrap w:val="0"/>
            <w:vAlign w:val="center"/>
          </w:tcPr>
          <w:p>
            <w:pPr>
              <w:widowControl/>
              <w:jc w:val="left"/>
              <w:rPr>
                <w:rFonts w:ascii="宋体" w:hAnsi="宋体" w:cs="宋体"/>
                <w:color w:val="000000"/>
                <w:kern w:val="0"/>
                <w:sz w:val="15"/>
                <w:szCs w:val="15"/>
              </w:rPr>
            </w:pPr>
          </w:p>
        </w:tc>
        <w:tc>
          <w:tcPr>
            <w:tcW w:w="725" w:type="pct"/>
            <w:noWrap w:val="0"/>
            <w:vAlign w:val="center"/>
          </w:tcPr>
          <w:p>
            <w:pPr>
              <w:widowControl/>
              <w:spacing w:line="240" w:lineRule="exact"/>
              <w:jc w:val="center"/>
              <w:rPr>
                <w:rFonts w:ascii="宋体" w:hAnsi="宋体" w:cs="宋体"/>
                <w:color w:val="000000"/>
                <w:kern w:val="0"/>
                <w:sz w:val="15"/>
                <w:szCs w:val="15"/>
              </w:rPr>
            </w:pPr>
            <w:r>
              <w:rPr>
                <w:rFonts w:hint="eastAsia" w:ascii="宋体" w:hAnsi="宋体" w:cs="宋体"/>
                <w:color w:val="000000"/>
                <w:kern w:val="0"/>
                <w:sz w:val="15"/>
                <w:szCs w:val="15"/>
              </w:rPr>
              <w:t>营业收入(Y)</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万元</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Y≥100000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1000≤Y＜100000</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100≤Y＜1000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exact"/>
          <w:jc w:val="center"/>
        </w:trPr>
        <w:tc>
          <w:tcPr>
            <w:tcW w:w="1120" w:type="pct"/>
            <w:vMerge w:val="restart"/>
            <w:noWrap w:val="0"/>
            <w:vAlign w:val="center"/>
          </w:tcPr>
          <w:p>
            <w:pPr>
              <w:widowControl/>
              <w:spacing w:line="240" w:lineRule="exact"/>
              <w:jc w:val="left"/>
              <w:rPr>
                <w:rFonts w:ascii="宋体" w:hAnsi="宋体" w:cs="宋体"/>
                <w:color w:val="000000"/>
                <w:spacing w:val="-12"/>
                <w:kern w:val="0"/>
                <w:sz w:val="15"/>
                <w:szCs w:val="15"/>
              </w:rPr>
            </w:pPr>
            <w:r>
              <w:rPr>
                <w:rFonts w:hint="eastAsia" w:ascii="宋体" w:hAnsi="宋体" w:cs="宋体"/>
                <w:color w:val="000000"/>
                <w:spacing w:val="-12"/>
                <w:kern w:val="0"/>
                <w:sz w:val="15"/>
                <w:szCs w:val="15"/>
              </w:rPr>
              <w:t>软件和信息技术服</w:t>
            </w:r>
            <w:r>
              <w:rPr>
                <w:rFonts w:hint="eastAsia" w:ascii="宋体" w:hAnsi="宋体" w:cs="宋体"/>
                <w:color w:val="000000"/>
                <w:kern w:val="0"/>
                <w:sz w:val="15"/>
                <w:szCs w:val="15"/>
              </w:rPr>
              <w:t>务业</w:t>
            </w:r>
          </w:p>
        </w:tc>
        <w:tc>
          <w:tcPr>
            <w:tcW w:w="7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从业人员(X)</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人</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X≥300</w:t>
            </w:r>
          </w:p>
        </w:tc>
        <w:tc>
          <w:tcPr>
            <w:tcW w:w="901" w:type="pct"/>
            <w:noWrap w:val="0"/>
            <w:vAlign w:val="center"/>
          </w:tcPr>
          <w:p>
            <w:pPr>
              <w:widowControl/>
              <w:ind w:left="-32" w:leftChars="-51" w:hanging="90" w:hangingChars="60"/>
              <w:jc w:val="center"/>
              <w:rPr>
                <w:rFonts w:ascii="宋体" w:hAnsi="宋体" w:cs="宋体"/>
                <w:color w:val="000000"/>
                <w:kern w:val="0"/>
                <w:sz w:val="15"/>
                <w:szCs w:val="15"/>
              </w:rPr>
            </w:pPr>
            <w:r>
              <w:rPr>
                <w:rFonts w:hint="eastAsia" w:ascii="宋体" w:hAnsi="宋体" w:cs="宋体"/>
                <w:color w:val="000000"/>
                <w:kern w:val="0"/>
                <w:sz w:val="15"/>
                <w:szCs w:val="15"/>
              </w:rPr>
              <w:t xml:space="preserve">100≤X＜300 </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10≤X＜100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jc w:val="center"/>
        </w:trPr>
        <w:tc>
          <w:tcPr>
            <w:tcW w:w="1120" w:type="pct"/>
            <w:vMerge w:val="continue"/>
            <w:noWrap w:val="0"/>
            <w:vAlign w:val="center"/>
          </w:tcPr>
          <w:p>
            <w:pPr>
              <w:widowControl/>
              <w:jc w:val="left"/>
              <w:rPr>
                <w:rFonts w:ascii="宋体" w:hAnsi="宋体" w:cs="宋体"/>
                <w:color w:val="000000"/>
                <w:spacing w:val="-12"/>
                <w:kern w:val="0"/>
                <w:sz w:val="15"/>
                <w:szCs w:val="15"/>
              </w:rPr>
            </w:pPr>
          </w:p>
        </w:tc>
        <w:tc>
          <w:tcPr>
            <w:tcW w:w="7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营业收入(Y)</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万元</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Y≥10000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1000≤Y＜10000</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50≤Y＜1000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1120" w:type="pct"/>
            <w:vMerge w:val="restart"/>
            <w:noWrap w:val="0"/>
            <w:vAlign w:val="center"/>
          </w:tcPr>
          <w:p>
            <w:pPr>
              <w:widowControl/>
              <w:spacing w:line="240" w:lineRule="exact"/>
              <w:jc w:val="left"/>
              <w:rPr>
                <w:rFonts w:ascii="宋体" w:hAnsi="宋体" w:cs="宋体"/>
                <w:color w:val="000000"/>
                <w:kern w:val="0"/>
                <w:sz w:val="15"/>
                <w:szCs w:val="15"/>
              </w:rPr>
            </w:pPr>
            <w:r>
              <w:rPr>
                <w:rFonts w:hint="eastAsia" w:ascii="宋体" w:hAnsi="宋体" w:cs="宋体"/>
                <w:color w:val="000000"/>
                <w:kern w:val="0"/>
                <w:sz w:val="15"/>
                <w:szCs w:val="15"/>
              </w:rPr>
              <w:t>房地产开发经营</w:t>
            </w:r>
          </w:p>
        </w:tc>
        <w:tc>
          <w:tcPr>
            <w:tcW w:w="7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营业收入(Y)</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万元</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Y≥200000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1000≤Y＜200000</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100≤Y＜1000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20" w:type="pct"/>
            <w:vMerge w:val="continue"/>
            <w:noWrap w:val="0"/>
            <w:vAlign w:val="center"/>
          </w:tcPr>
          <w:p>
            <w:pPr>
              <w:widowControl/>
              <w:jc w:val="left"/>
              <w:rPr>
                <w:rFonts w:ascii="宋体" w:hAnsi="宋体" w:cs="宋体"/>
                <w:color w:val="000000"/>
                <w:kern w:val="0"/>
                <w:sz w:val="15"/>
                <w:szCs w:val="15"/>
              </w:rPr>
            </w:pPr>
          </w:p>
        </w:tc>
        <w:tc>
          <w:tcPr>
            <w:tcW w:w="725" w:type="pct"/>
            <w:noWrap w:val="0"/>
            <w:vAlign w:val="center"/>
          </w:tcPr>
          <w:p>
            <w:pPr>
              <w:widowControl/>
              <w:spacing w:line="240" w:lineRule="exact"/>
              <w:jc w:val="center"/>
              <w:rPr>
                <w:rFonts w:ascii="宋体" w:hAnsi="宋体" w:cs="宋体"/>
                <w:color w:val="000000"/>
                <w:kern w:val="0"/>
                <w:sz w:val="15"/>
                <w:szCs w:val="15"/>
              </w:rPr>
            </w:pPr>
            <w:r>
              <w:rPr>
                <w:rFonts w:hint="eastAsia" w:ascii="宋体" w:hAnsi="宋体" w:cs="宋体"/>
                <w:color w:val="000000"/>
                <w:kern w:val="0"/>
                <w:sz w:val="15"/>
                <w:szCs w:val="15"/>
              </w:rPr>
              <w:t>资产总额(Z)</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万元</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Z≥10000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5000≤Z＜10000</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2000≤Z＜5000   </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Z＜2000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exact"/>
          <w:jc w:val="center"/>
        </w:trPr>
        <w:tc>
          <w:tcPr>
            <w:tcW w:w="1120" w:type="pct"/>
            <w:vMerge w:val="restart"/>
            <w:noWrap w:val="0"/>
            <w:vAlign w:val="center"/>
          </w:tcPr>
          <w:p>
            <w:pPr>
              <w:widowControl/>
              <w:spacing w:line="240" w:lineRule="exact"/>
              <w:jc w:val="left"/>
              <w:rPr>
                <w:rFonts w:ascii="宋体" w:hAnsi="宋体" w:cs="宋体"/>
                <w:color w:val="000000"/>
                <w:kern w:val="0"/>
                <w:sz w:val="15"/>
                <w:szCs w:val="15"/>
              </w:rPr>
            </w:pPr>
            <w:r>
              <w:rPr>
                <w:rFonts w:hint="eastAsia" w:ascii="宋体" w:hAnsi="宋体" w:cs="宋体"/>
                <w:color w:val="000000"/>
                <w:kern w:val="0"/>
                <w:sz w:val="15"/>
                <w:szCs w:val="15"/>
              </w:rPr>
              <w:t>物业管理</w:t>
            </w:r>
          </w:p>
        </w:tc>
        <w:tc>
          <w:tcPr>
            <w:tcW w:w="7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从业人员(X)</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人</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X≥1000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300≤X＜1000</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100≤X＜300 </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exact"/>
          <w:jc w:val="center"/>
        </w:trPr>
        <w:tc>
          <w:tcPr>
            <w:tcW w:w="1120" w:type="pct"/>
            <w:vMerge w:val="continue"/>
            <w:noWrap w:val="0"/>
            <w:vAlign w:val="center"/>
          </w:tcPr>
          <w:p>
            <w:pPr>
              <w:widowControl/>
              <w:jc w:val="left"/>
              <w:rPr>
                <w:rFonts w:ascii="宋体" w:hAnsi="宋体" w:cs="宋体"/>
                <w:color w:val="000000"/>
                <w:kern w:val="0"/>
                <w:sz w:val="15"/>
                <w:szCs w:val="15"/>
              </w:rPr>
            </w:pPr>
          </w:p>
        </w:tc>
        <w:tc>
          <w:tcPr>
            <w:tcW w:w="725" w:type="pct"/>
            <w:noWrap w:val="0"/>
            <w:vAlign w:val="center"/>
          </w:tcPr>
          <w:p>
            <w:pPr>
              <w:widowControl/>
              <w:spacing w:line="240" w:lineRule="exact"/>
              <w:jc w:val="center"/>
              <w:rPr>
                <w:rFonts w:ascii="宋体" w:hAnsi="宋体" w:cs="宋体"/>
                <w:color w:val="000000"/>
                <w:kern w:val="0"/>
                <w:sz w:val="15"/>
                <w:szCs w:val="15"/>
              </w:rPr>
            </w:pPr>
            <w:r>
              <w:rPr>
                <w:rFonts w:hint="eastAsia" w:ascii="宋体" w:hAnsi="宋体" w:cs="宋体"/>
                <w:color w:val="000000"/>
                <w:kern w:val="0"/>
                <w:sz w:val="15"/>
                <w:szCs w:val="15"/>
              </w:rPr>
              <w:t>营业收入(Y)</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万元</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Y≥5000</w:t>
            </w:r>
          </w:p>
        </w:tc>
        <w:tc>
          <w:tcPr>
            <w:tcW w:w="901" w:type="pct"/>
            <w:noWrap w:val="0"/>
            <w:vAlign w:val="center"/>
          </w:tcPr>
          <w:p>
            <w:pPr>
              <w:widowControl/>
              <w:ind w:left="-32" w:leftChars="-51" w:hanging="90" w:hangingChars="60"/>
              <w:jc w:val="center"/>
              <w:rPr>
                <w:rFonts w:ascii="宋体" w:hAnsi="宋体" w:cs="宋体"/>
                <w:color w:val="000000"/>
                <w:kern w:val="0"/>
                <w:sz w:val="15"/>
                <w:szCs w:val="15"/>
              </w:rPr>
            </w:pPr>
            <w:r>
              <w:rPr>
                <w:rFonts w:hint="eastAsia" w:ascii="宋体" w:hAnsi="宋体" w:cs="宋体"/>
                <w:color w:val="000000"/>
                <w:kern w:val="0"/>
                <w:sz w:val="15"/>
                <w:szCs w:val="15"/>
              </w:rPr>
              <w:t xml:space="preserve">1000≤Y＜5000 </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500≤Y＜1000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Y＜500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exact"/>
          <w:jc w:val="center"/>
        </w:trPr>
        <w:tc>
          <w:tcPr>
            <w:tcW w:w="1120" w:type="pct"/>
            <w:vMerge w:val="restart"/>
            <w:noWrap w:val="0"/>
            <w:vAlign w:val="center"/>
          </w:tcPr>
          <w:p>
            <w:pPr>
              <w:widowControl/>
              <w:spacing w:line="240" w:lineRule="exact"/>
              <w:jc w:val="left"/>
              <w:rPr>
                <w:rFonts w:ascii="宋体" w:hAnsi="宋体" w:cs="宋体"/>
                <w:color w:val="000000"/>
                <w:kern w:val="0"/>
                <w:sz w:val="15"/>
                <w:szCs w:val="15"/>
              </w:rPr>
            </w:pPr>
            <w:r>
              <w:rPr>
                <w:rFonts w:hint="eastAsia" w:ascii="宋体" w:hAnsi="宋体" w:cs="宋体"/>
                <w:color w:val="000000"/>
                <w:kern w:val="0"/>
                <w:sz w:val="15"/>
                <w:szCs w:val="15"/>
              </w:rPr>
              <w:t>租赁和商务服务业</w:t>
            </w:r>
          </w:p>
        </w:tc>
        <w:tc>
          <w:tcPr>
            <w:tcW w:w="7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从业人员(X)</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人</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X≥300</w:t>
            </w:r>
          </w:p>
        </w:tc>
        <w:tc>
          <w:tcPr>
            <w:tcW w:w="901" w:type="pct"/>
            <w:noWrap w:val="0"/>
            <w:vAlign w:val="center"/>
          </w:tcPr>
          <w:p>
            <w:pPr>
              <w:widowControl/>
              <w:ind w:left="-32" w:leftChars="-51" w:hanging="90" w:hangingChars="60"/>
              <w:jc w:val="center"/>
              <w:rPr>
                <w:rFonts w:ascii="宋体" w:hAnsi="宋体" w:cs="宋体"/>
                <w:color w:val="000000"/>
                <w:kern w:val="0"/>
                <w:sz w:val="15"/>
                <w:szCs w:val="15"/>
              </w:rPr>
            </w:pPr>
            <w:r>
              <w:rPr>
                <w:rFonts w:hint="eastAsia" w:ascii="宋体" w:hAnsi="宋体" w:cs="宋体"/>
                <w:color w:val="000000"/>
                <w:kern w:val="0"/>
                <w:sz w:val="15"/>
                <w:szCs w:val="15"/>
              </w:rPr>
              <w:t xml:space="preserve">100≤X＜300 </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10≤X＜100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exact"/>
          <w:jc w:val="center"/>
        </w:trPr>
        <w:tc>
          <w:tcPr>
            <w:tcW w:w="1120" w:type="pct"/>
            <w:vMerge w:val="continue"/>
            <w:noWrap w:val="0"/>
            <w:vAlign w:val="center"/>
          </w:tcPr>
          <w:p>
            <w:pPr>
              <w:widowControl/>
              <w:jc w:val="left"/>
              <w:rPr>
                <w:rFonts w:ascii="宋体" w:hAnsi="宋体" w:cs="宋体"/>
                <w:color w:val="000000"/>
                <w:kern w:val="0"/>
                <w:sz w:val="15"/>
                <w:szCs w:val="15"/>
              </w:rPr>
            </w:pPr>
          </w:p>
        </w:tc>
        <w:tc>
          <w:tcPr>
            <w:tcW w:w="725" w:type="pct"/>
            <w:noWrap w:val="0"/>
            <w:vAlign w:val="center"/>
          </w:tcPr>
          <w:p>
            <w:pPr>
              <w:widowControl/>
              <w:spacing w:line="240" w:lineRule="exact"/>
              <w:jc w:val="center"/>
              <w:rPr>
                <w:rFonts w:ascii="宋体" w:hAnsi="宋体" w:cs="宋体"/>
                <w:color w:val="000000"/>
                <w:kern w:val="0"/>
                <w:sz w:val="15"/>
                <w:szCs w:val="15"/>
              </w:rPr>
            </w:pPr>
            <w:r>
              <w:rPr>
                <w:rFonts w:hint="eastAsia" w:ascii="宋体" w:hAnsi="宋体" w:cs="宋体"/>
                <w:color w:val="000000"/>
                <w:kern w:val="0"/>
                <w:sz w:val="15"/>
                <w:szCs w:val="15"/>
              </w:rPr>
              <w:t>资产总额(Z)</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万元</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Z≥120000</w:t>
            </w:r>
          </w:p>
        </w:tc>
        <w:tc>
          <w:tcPr>
            <w:tcW w:w="901"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8000≤Z＜120000</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100≤Z＜8000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Z＜100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noWrap w:val="0"/>
            <w:vAlign w:val="center"/>
          </w:tcPr>
          <w:p>
            <w:pPr>
              <w:widowControl/>
              <w:spacing w:line="240" w:lineRule="exact"/>
              <w:jc w:val="left"/>
              <w:rPr>
                <w:rFonts w:ascii="宋体" w:hAnsi="宋体" w:cs="宋体"/>
                <w:color w:val="000000"/>
                <w:kern w:val="0"/>
                <w:sz w:val="15"/>
                <w:szCs w:val="15"/>
              </w:rPr>
            </w:pPr>
            <w:r>
              <w:rPr>
                <w:rFonts w:hint="eastAsia" w:ascii="宋体" w:hAnsi="宋体" w:cs="宋体"/>
                <w:color w:val="000000"/>
                <w:kern w:val="0"/>
                <w:sz w:val="15"/>
                <w:szCs w:val="15"/>
              </w:rPr>
              <w:t>其他未列明行业 *</w:t>
            </w:r>
          </w:p>
        </w:tc>
        <w:tc>
          <w:tcPr>
            <w:tcW w:w="7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从业人员(X)</w:t>
            </w:r>
          </w:p>
        </w:tc>
        <w:tc>
          <w:tcPr>
            <w:tcW w:w="37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人</w:t>
            </w:r>
          </w:p>
        </w:tc>
        <w:tc>
          <w:tcPr>
            <w:tcW w:w="59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X≥300</w:t>
            </w:r>
          </w:p>
        </w:tc>
        <w:tc>
          <w:tcPr>
            <w:tcW w:w="901" w:type="pct"/>
            <w:noWrap w:val="0"/>
            <w:vAlign w:val="center"/>
          </w:tcPr>
          <w:p>
            <w:pPr>
              <w:widowControl/>
              <w:ind w:left="-32" w:leftChars="-51" w:hanging="90" w:hangingChars="60"/>
              <w:jc w:val="center"/>
              <w:rPr>
                <w:rFonts w:ascii="宋体" w:hAnsi="宋体" w:cs="宋体"/>
                <w:color w:val="000000"/>
                <w:kern w:val="0"/>
                <w:sz w:val="15"/>
                <w:szCs w:val="15"/>
              </w:rPr>
            </w:pPr>
            <w:r>
              <w:rPr>
                <w:rFonts w:hint="eastAsia" w:ascii="宋体" w:hAnsi="宋体" w:cs="宋体"/>
                <w:color w:val="000000"/>
                <w:kern w:val="0"/>
                <w:sz w:val="15"/>
                <w:szCs w:val="15"/>
              </w:rPr>
              <w:t xml:space="preserve">100≤X＜300 </w:t>
            </w:r>
          </w:p>
        </w:tc>
        <w:tc>
          <w:tcPr>
            <w:tcW w:w="75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 xml:space="preserve"> 10≤X＜100</w:t>
            </w:r>
          </w:p>
        </w:tc>
        <w:tc>
          <w:tcPr>
            <w:tcW w:w="525" w:type="pct"/>
            <w:noWrap w:val="0"/>
            <w:vAlign w:val="center"/>
          </w:tcPr>
          <w:p>
            <w:pPr>
              <w:widowControl/>
              <w:jc w:val="center"/>
              <w:rPr>
                <w:rFonts w:ascii="宋体" w:hAnsi="宋体" w:cs="宋体"/>
                <w:color w:val="000000"/>
                <w:kern w:val="0"/>
                <w:sz w:val="15"/>
                <w:szCs w:val="15"/>
              </w:rPr>
            </w:pPr>
            <w:r>
              <w:rPr>
                <w:rFonts w:hint="eastAsia" w:ascii="宋体" w:hAnsi="宋体" w:cs="宋体"/>
                <w:color w:val="000000"/>
                <w:kern w:val="0"/>
                <w:sz w:val="15"/>
                <w:szCs w:val="15"/>
              </w:rPr>
              <w:t>X＜10</w:t>
            </w:r>
          </w:p>
        </w:tc>
      </w:tr>
    </w:tbl>
    <w:p>
      <w:pPr>
        <w:keepNext w:val="0"/>
        <w:keepLines w:val="0"/>
        <w:pageBreakBefore w:val="0"/>
        <w:widowControl/>
        <w:kinsoku/>
        <w:wordWrap/>
        <w:overflowPunct/>
        <w:topLinePunct w:val="0"/>
        <w:autoSpaceDE/>
        <w:autoSpaceDN/>
        <w:bidi w:val="0"/>
        <w:adjustRightInd/>
        <w:snapToGrid/>
        <w:spacing w:line="440" w:lineRule="exact"/>
        <w:ind w:left="0" w:firstLine="512" w:firstLineChars="200"/>
        <w:textAlignment w:val="auto"/>
        <w:rPr>
          <w:rFonts w:hint="eastAsia" w:ascii="宋体" w:hAnsi="宋体" w:eastAsia="宋体" w:cs="宋体"/>
          <w:color w:val="000000"/>
          <w:spacing w:val="8"/>
          <w:kern w:val="0"/>
          <w:sz w:val="24"/>
          <w:szCs w:val="24"/>
        </w:rPr>
      </w:pPr>
      <w:r>
        <w:rPr>
          <w:rFonts w:hint="eastAsia" w:ascii="宋体" w:hAnsi="宋体" w:eastAsia="宋体" w:cs="宋体"/>
          <w:color w:val="000000"/>
          <w:spacing w:val="8"/>
          <w:kern w:val="0"/>
          <w:sz w:val="24"/>
          <w:szCs w:val="24"/>
        </w:rPr>
        <w:t>说明：</w:t>
      </w:r>
    </w:p>
    <w:p>
      <w:pPr>
        <w:keepNext w:val="0"/>
        <w:keepLines w:val="0"/>
        <w:pageBreakBefore w:val="0"/>
        <w:kinsoku/>
        <w:wordWrap/>
        <w:overflowPunct/>
        <w:topLinePunct w:val="0"/>
        <w:autoSpaceDE/>
        <w:autoSpaceDN/>
        <w:bidi w:val="0"/>
        <w:adjustRightInd/>
        <w:snapToGrid/>
        <w:spacing w:line="440" w:lineRule="exact"/>
        <w:ind w:left="0" w:firstLine="512" w:firstLineChars="200"/>
        <w:textAlignment w:val="auto"/>
        <w:rPr>
          <w:rFonts w:hint="eastAsia" w:ascii="宋体" w:hAnsi="宋体" w:eastAsia="宋体" w:cs="宋体"/>
          <w:color w:val="000000"/>
          <w:spacing w:val="8"/>
          <w:kern w:val="0"/>
          <w:sz w:val="24"/>
          <w:szCs w:val="24"/>
        </w:rPr>
      </w:pPr>
      <w:r>
        <w:rPr>
          <w:rFonts w:hint="eastAsia" w:ascii="宋体" w:hAnsi="宋体" w:eastAsia="宋体" w:cs="宋体"/>
          <w:color w:val="000000"/>
          <w:spacing w:val="8"/>
          <w:kern w:val="0"/>
          <w:sz w:val="24"/>
          <w:szCs w:val="24"/>
        </w:rPr>
        <w:t>1.大型、中型和小型企业须同时满足所列指标的下限，否则下划一档；微型企业只须满足所列指标中的一项即可。</w:t>
      </w:r>
    </w:p>
    <w:p>
      <w:pPr>
        <w:keepNext w:val="0"/>
        <w:keepLines w:val="0"/>
        <w:pageBreakBefore w:val="0"/>
        <w:kinsoku/>
        <w:wordWrap/>
        <w:overflowPunct/>
        <w:topLinePunct w:val="0"/>
        <w:autoSpaceDE/>
        <w:autoSpaceDN/>
        <w:bidi w:val="0"/>
        <w:adjustRightInd/>
        <w:snapToGrid/>
        <w:spacing w:line="440" w:lineRule="exact"/>
        <w:ind w:left="0" w:firstLine="512" w:firstLineChars="200"/>
        <w:textAlignment w:val="auto"/>
        <w:rPr>
          <w:rFonts w:hint="eastAsia" w:ascii="宋体" w:hAnsi="宋体" w:eastAsia="宋体" w:cs="宋体"/>
          <w:color w:val="000000"/>
          <w:spacing w:val="8"/>
          <w:kern w:val="0"/>
          <w:sz w:val="24"/>
          <w:szCs w:val="24"/>
        </w:rPr>
      </w:pPr>
      <w:r>
        <w:rPr>
          <w:rFonts w:hint="eastAsia" w:ascii="宋体" w:hAnsi="宋体" w:eastAsia="宋体" w:cs="宋体"/>
          <w:color w:val="000000"/>
          <w:spacing w:val="8"/>
          <w:kern w:val="0"/>
          <w:sz w:val="24"/>
          <w:szCs w:val="24"/>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keepNext w:val="0"/>
        <w:keepLines w:val="0"/>
        <w:pageBreakBefore w:val="0"/>
        <w:kinsoku/>
        <w:wordWrap/>
        <w:overflowPunct/>
        <w:topLinePunct w:val="0"/>
        <w:autoSpaceDE/>
        <w:autoSpaceDN/>
        <w:bidi w:val="0"/>
        <w:ind w:left="0" w:firstLine="512" w:firstLineChars="200"/>
        <w:textAlignment w:val="auto"/>
        <w:rPr>
          <w:rFonts w:hint="eastAsia" w:ascii="宋体" w:hAnsi="宋体" w:eastAsia="宋体" w:cs="宋体"/>
          <w:b/>
          <w:bCs/>
          <w:sz w:val="24"/>
          <w:szCs w:val="24"/>
          <w:lang w:val="en-US" w:eastAsia="zh-CN"/>
        </w:rPr>
      </w:pPr>
      <w:r>
        <w:rPr>
          <w:rFonts w:hint="eastAsia" w:ascii="宋体" w:hAnsi="宋体" w:eastAsia="宋体" w:cs="宋体"/>
          <w:color w:val="000000"/>
          <w:spacing w:val="8"/>
          <w:kern w:val="0"/>
          <w:sz w:val="24"/>
          <w:szCs w:val="24"/>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r>
        <w:rPr>
          <w:rFonts w:hint="eastAsia" w:ascii="宋体" w:hAnsi="宋体" w:eastAsia="宋体" w:cs="宋体"/>
          <w:b/>
          <w:bCs/>
          <w:sz w:val="24"/>
          <w:szCs w:val="24"/>
          <w:lang w:val="en-US" w:eastAsia="zh-CN"/>
        </w:rPr>
        <w:br w:type="page"/>
      </w:r>
    </w:p>
    <w:p>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b/>
          <w:bCs/>
          <w:lang w:val="en-US" w:eastAsia="zh-CN"/>
        </w:rPr>
      </w:pPr>
      <w:r>
        <w:rPr>
          <w:rFonts w:hint="eastAsia" w:ascii="宋体" w:hAnsi="宋体" w:eastAsia="宋体" w:cs="宋体"/>
          <w:b/>
          <w:bCs/>
          <w:sz w:val="24"/>
          <w:szCs w:val="24"/>
          <w:lang w:val="en-US" w:eastAsia="zh-CN"/>
        </w:rPr>
        <w:t>附件</w:t>
      </w:r>
      <w:r>
        <w:rPr>
          <w:rFonts w:hint="eastAsia" w:cs="宋体"/>
          <w:b/>
          <w:bCs/>
          <w:sz w:val="24"/>
          <w:szCs w:val="24"/>
          <w:lang w:val="en-US" w:eastAsia="zh-CN"/>
        </w:rPr>
        <w:t>四</w:t>
      </w:r>
      <w:r>
        <w:rPr>
          <w:rFonts w:hint="eastAsia" w:ascii="宋体" w:hAnsi="宋体" w:eastAsia="宋体" w:cs="宋体"/>
          <w:b/>
          <w:bCs/>
          <w:sz w:val="24"/>
          <w:szCs w:val="24"/>
          <w:lang w:val="en-US" w:eastAsia="zh-CN"/>
        </w:rPr>
        <w:t>：</w:t>
      </w:r>
      <w:r>
        <w:rPr>
          <w:rFonts w:hint="eastAsia"/>
          <w:b/>
          <w:bCs/>
          <w:lang w:val="en-US" w:eastAsia="zh-CN"/>
        </w:rPr>
        <w:t>《四川省财政厅关于推进四川省政府采购供应商信用融资工作的通知》(川财采〔2018〕123号文)</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40" w:lineRule="exact"/>
        <w:ind w:right="0"/>
        <w:jc w:val="left"/>
        <w:textAlignment w:val="auto"/>
        <w:rPr>
          <w:rFonts w:hint="default" w:ascii="宋体" w:hAnsi="宋体" w:eastAsia="宋体" w:cs="宋体"/>
          <w:b/>
          <w:bCs/>
          <w:i w:val="0"/>
          <w:caps w:val="0"/>
          <w:color w:val="auto"/>
          <w:spacing w:val="0"/>
          <w:sz w:val="24"/>
          <w:szCs w:val="24"/>
          <w:lang w:val="en-US" w:eastAsia="zh-CN"/>
        </w:rPr>
      </w:pPr>
      <w:r>
        <w:rPr>
          <w:rFonts w:hint="eastAsia"/>
          <w:b/>
          <w:bCs/>
          <w:color w:val="auto"/>
          <w:lang w:val="en-US" w:eastAsia="zh-CN"/>
        </w:rPr>
        <w:t>查询链接：</w:t>
      </w:r>
      <w:r>
        <w:rPr>
          <w:rFonts w:hint="eastAsia" w:ascii="宋体" w:hAnsi="宋体" w:eastAsia="宋体" w:cs="宋体"/>
          <w:b/>
          <w:bCs/>
          <w:i w:val="0"/>
          <w:caps w:val="0"/>
          <w:color w:val="auto"/>
          <w:spacing w:val="0"/>
          <w:sz w:val="24"/>
          <w:szCs w:val="24"/>
          <w:lang w:val="en-US" w:eastAsia="zh-CN"/>
        </w:rPr>
        <w:t>http</w:t>
      </w:r>
      <w:r>
        <w:rPr>
          <w:rFonts w:hint="eastAsia" w:cs="宋体"/>
          <w:b/>
          <w:bCs/>
          <w:i w:val="0"/>
          <w:caps w:val="0"/>
          <w:color w:val="auto"/>
          <w:spacing w:val="0"/>
          <w:sz w:val="24"/>
          <w:szCs w:val="24"/>
          <w:lang w:val="en-US" w:eastAsia="zh-CN"/>
        </w:rPr>
        <w:t>：</w:t>
      </w:r>
      <w:r>
        <w:rPr>
          <w:rFonts w:hint="eastAsia" w:ascii="宋体" w:hAnsi="宋体" w:eastAsia="宋体" w:cs="宋体"/>
          <w:b/>
          <w:bCs/>
          <w:i w:val="0"/>
          <w:caps w:val="0"/>
          <w:color w:val="auto"/>
          <w:spacing w:val="0"/>
          <w:sz w:val="24"/>
          <w:szCs w:val="24"/>
          <w:lang w:val="en-US" w:eastAsia="zh-CN"/>
        </w:rPr>
        <w:t>//www.ccgp-sichuan.gov.cn/view/staticpags/sjzcfg/40288687657ff75501672fd954532414.html</w:t>
      </w:r>
    </w:p>
    <w:p>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302250" cy="1859915"/>
            <wp:effectExtent l="0" t="0" r="6350" b="698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25"/>
                    <a:stretch>
                      <a:fillRect/>
                    </a:stretch>
                  </pic:blipFill>
                  <pic:spPr>
                    <a:xfrm>
                      <a:off x="0" y="0"/>
                      <a:ext cx="5302250" cy="1859915"/>
                    </a:xfrm>
                    <a:prstGeom prst="rect">
                      <a:avLst/>
                    </a:prstGeom>
                    <a:noFill/>
                    <a:ln w="9525">
                      <a:noFill/>
                    </a:ln>
                  </pic:spPr>
                </pic:pic>
              </a:graphicData>
            </a:graphic>
          </wp:inline>
        </w:drawing>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各市</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州</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、扩权县</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市</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财政局，各省直机关、事业单位、团体组织，各金融机构，各采购代理机构，各政府采购供应商：</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为贯彻落实党的十九大精神、国务院“放管服”改革决策部署、省委十一届三次全会“大力推进创新驱动发展战略”精神，助力解决政府采购中标、</w:t>
      </w:r>
      <w:r>
        <w:rPr>
          <w:rFonts w:hint="eastAsia" w:cs="宋体"/>
          <w:b w:val="0"/>
          <w:i w:val="0"/>
          <w:caps w:val="0"/>
          <w:color w:val="auto"/>
          <w:spacing w:val="0"/>
          <w:sz w:val="24"/>
          <w:szCs w:val="24"/>
          <w:lang w:eastAsia="zh-CN"/>
        </w:rPr>
        <w:t>中标人</w:t>
      </w:r>
      <w:r>
        <w:rPr>
          <w:rFonts w:hint="eastAsia" w:ascii="宋体" w:hAnsi="宋体" w:eastAsia="宋体" w:cs="宋体"/>
          <w:b w:val="0"/>
          <w:i w:val="0"/>
          <w:caps w:val="0"/>
          <w:color w:val="auto"/>
          <w:spacing w:val="0"/>
          <w:sz w:val="24"/>
          <w:szCs w:val="24"/>
        </w:rPr>
        <w:t>资金不足、融资难、融资贵的困难，促进供应商依法诚信参加政府采购活动，根据《中华人民共和国政府采购法》、《四川省人民政府关于印发进一步规范政府采购监管和执行若干规定的通知》</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川府发〔2018〕14号</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等有关规定，现就推进四川省政府采购供应商信用融资工作有关事项通知如下。</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一、融资概念</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政府采购供应商信用融资</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以下简称“政采贷”</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，是指银行以政府采购供应商信用审查和政府采购信誉为基础，依托政府采购合同，按优于一般企业的贷款程序和利率，直接向申请贷款的供应商发放无财产抵押贷款的一种融资模式。</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二、基本原则</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一</w:t>
      </w: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财政引导，市场运行</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财政部门推进“政采贷”，银行和供应商按照自愿原则参与。供应商自愿选择是否申请“政采贷”，银行依据其内部审查制度和决策程序决定是否为供应商提供融资，自担风险。</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二</w:t>
      </w: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建立机制，服务银企</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财政部门与银行建立“政采贷”工作机制，推动政府采购政策功能和金融资源的有机结合，拓宽银行的融资业务，助力解决政府采购中标、</w:t>
      </w:r>
      <w:r>
        <w:rPr>
          <w:rFonts w:hint="eastAsia" w:cs="宋体"/>
          <w:b w:val="0"/>
          <w:i w:val="0"/>
          <w:caps w:val="0"/>
          <w:color w:val="auto"/>
          <w:spacing w:val="0"/>
          <w:sz w:val="24"/>
          <w:szCs w:val="24"/>
          <w:lang w:eastAsia="zh-CN"/>
        </w:rPr>
        <w:t>中标人</w:t>
      </w:r>
      <w:r>
        <w:rPr>
          <w:rFonts w:hint="eastAsia" w:ascii="宋体" w:hAnsi="宋体" w:eastAsia="宋体" w:cs="宋体"/>
          <w:b w:val="0"/>
          <w:i w:val="0"/>
          <w:caps w:val="0"/>
          <w:color w:val="auto"/>
          <w:spacing w:val="0"/>
          <w:sz w:val="24"/>
          <w:szCs w:val="24"/>
        </w:rPr>
        <w:t>资金不足、融资难、融资贵的困难，促进企业健康发展。</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三</w:t>
      </w: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优质优惠，加强扶持</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银行按优于同期一般企业的贷款利率，向政府采购供应商提供信用贷款，贷款额度由银行根据政府采购合同的具体情况确定，不要求申请融资的供应商提供财产抵押或第三方担保，不收取融资利息之外的额外费用。</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三、基本条件</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一</w:t>
      </w: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银行暨“政采贷”金融产品</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rPr>
        <w:t>1、征集。</w:t>
      </w:r>
      <w:r>
        <w:rPr>
          <w:rFonts w:hint="eastAsia" w:ascii="宋体" w:hAnsi="宋体" w:eastAsia="宋体" w:cs="宋体"/>
          <w:b w:val="0"/>
          <w:i w:val="0"/>
          <w:caps w:val="0"/>
          <w:color w:val="auto"/>
          <w:spacing w:val="0"/>
          <w:sz w:val="24"/>
          <w:szCs w:val="24"/>
        </w:rPr>
        <w:t>在四川省行政区域内，有意向开展“政采贷”工作的银行，可以于2018年12月21日前，直接向四川省财政厅</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政府采购监督管理处</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提交书面申请。四川省财政厅可以根据情况每年征集一次有意向开展“政采贷”工作的银行。</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申请材料应当包括银行基本情况、“政采贷”产品名称、申请贷款条件、申请贷款方式、申请贷款程序、贷款审查流程、贷款额度、发放贷款时间、收款方式及其他优质服务和优惠承诺等。</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银行提供的“政采贷”产品应当满足“无抵押担保、程序简便、利率优惠、放款及时”的基本条件以及本通知其他相关规定。</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银行申请材料中应当载明其自愿提供“政采贷”产品，自担风险，不得要求或者变相要求财政部门和采购人为其提供风险担保、承诺。</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rPr>
        <w:t>2、公示。</w:t>
      </w:r>
      <w:r>
        <w:rPr>
          <w:rFonts w:hint="eastAsia" w:ascii="宋体" w:hAnsi="宋体" w:eastAsia="宋体" w:cs="宋体"/>
          <w:b w:val="0"/>
          <w:i w:val="0"/>
          <w:caps w:val="0"/>
          <w:color w:val="auto"/>
          <w:spacing w:val="0"/>
          <w:sz w:val="24"/>
          <w:szCs w:val="24"/>
        </w:rPr>
        <w:t>四川省财政厅收到银行提交的书面申请后，对满足本通知要求的银行及其“政采贷”产品具体信息，及时在</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四川政府采购网</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向社会公示。银行申请材料中提供的“政采贷”产品不满足本通知要求的，四川省财政厅将退回申请，并告知理由。</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二</w:t>
      </w: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供应商</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政府采购供应商向银行申请“政采贷”，应当满足下列基本条件：</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rPr>
        <w:t>1、</w:t>
      </w:r>
      <w:r>
        <w:rPr>
          <w:rFonts w:hint="eastAsia" w:ascii="宋体" w:hAnsi="宋体" w:eastAsia="宋体" w:cs="宋体"/>
          <w:b w:val="0"/>
          <w:i w:val="0"/>
          <w:caps w:val="0"/>
          <w:color w:val="auto"/>
          <w:spacing w:val="0"/>
          <w:sz w:val="24"/>
          <w:szCs w:val="24"/>
        </w:rPr>
        <w:t>具有依法承担民事责任的能力；</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rPr>
        <w:t>2、</w:t>
      </w:r>
      <w:r>
        <w:rPr>
          <w:rFonts w:hint="eastAsia" w:ascii="宋体" w:hAnsi="宋体" w:eastAsia="宋体" w:cs="宋体"/>
          <w:b w:val="0"/>
          <w:i w:val="0"/>
          <w:caps w:val="0"/>
          <w:color w:val="auto"/>
          <w:spacing w:val="0"/>
          <w:sz w:val="24"/>
          <w:szCs w:val="24"/>
        </w:rPr>
        <w:t>具有依法履行政府采购合同的能力；</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rPr>
        <w:t>3、</w:t>
      </w:r>
      <w:r>
        <w:rPr>
          <w:rFonts w:hint="eastAsia" w:ascii="宋体" w:hAnsi="宋体" w:eastAsia="宋体" w:cs="宋体"/>
          <w:b w:val="0"/>
          <w:i w:val="0"/>
          <w:caps w:val="0"/>
          <w:color w:val="auto"/>
          <w:spacing w:val="0"/>
          <w:sz w:val="24"/>
          <w:szCs w:val="24"/>
        </w:rPr>
        <w:t>参加的政府采购活动未被财政部门依法暂停、责令重新开展或者认定中标、成交无效；</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rPr>
        <w:t>4、</w:t>
      </w:r>
      <w:r>
        <w:rPr>
          <w:rFonts w:hint="eastAsia" w:ascii="宋体" w:hAnsi="宋体" w:eastAsia="宋体" w:cs="宋体"/>
          <w:b w:val="0"/>
          <w:i w:val="0"/>
          <w:caps w:val="0"/>
          <w:color w:val="auto"/>
          <w:spacing w:val="0"/>
          <w:sz w:val="24"/>
          <w:szCs w:val="24"/>
        </w:rPr>
        <w:t>无《政府采购法》第二十二条第一款第</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五</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项所称的重大违法记录；</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rPr>
        <w:t>5、</w:t>
      </w:r>
      <w:r>
        <w:rPr>
          <w:rFonts w:hint="eastAsia" w:ascii="宋体" w:hAnsi="宋体" w:eastAsia="宋体" w:cs="宋体"/>
          <w:b w:val="0"/>
          <w:i w:val="0"/>
          <w:caps w:val="0"/>
          <w:color w:val="auto"/>
          <w:spacing w:val="0"/>
          <w:sz w:val="24"/>
          <w:szCs w:val="24"/>
        </w:rPr>
        <w:t>未被法院、市场监管、税务、银行等部门单位纳入失信名单且在有效期内；</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rPr>
        <w:t>6、</w:t>
      </w:r>
      <w:r>
        <w:rPr>
          <w:rFonts w:hint="eastAsia" w:ascii="宋体" w:hAnsi="宋体" w:eastAsia="宋体" w:cs="宋体"/>
          <w:b w:val="0"/>
          <w:i w:val="0"/>
          <w:caps w:val="0"/>
          <w:color w:val="auto"/>
          <w:spacing w:val="0"/>
          <w:sz w:val="24"/>
          <w:szCs w:val="24"/>
        </w:rPr>
        <w:t>在一定期限内的</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银行可以具体确定</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政府采购合同履约过程中或者其他经营活动履约过程中，无不依法履约被有关行政部门行政处罚的或者产生法律纠纷被法院、仲裁机构判决、裁决败诉的；</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rPr>
        <w:t>7、</w:t>
      </w:r>
      <w:r>
        <w:rPr>
          <w:rFonts w:hint="eastAsia" w:ascii="宋体" w:hAnsi="宋体" w:eastAsia="宋体" w:cs="宋体"/>
          <w:b w:val="0"/>
          <w:i w:val="0"/>
          <w:caps w:val="0"/>
          <w:color w:val="auto"/>
          <w:spacing w:val="0"/>
          <w:sz w:val="24"/>
          <w:szCs w:val="24"/>
        </w:rPr>
        <w:t>其他银行要求的不属于提供财产抵押或第三方担保的条件。</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四、构建平台</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四川省财政厅将在</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四川政府采购网</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统一构建四川省“政采贷”信息化服务平台，推进四川省“政采贷”工作信息化建设。</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五、财金互动</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各级财政部门应当按照《四川省政府采购促进中小企业发展的若干规定》</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川财采[2016]35号</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等有关规定，对金融机构向小微企业提供“政采贷”贷款产生的损失，纳入财政金融互动政策范围给予风险补贴。</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六、基本流程</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一</w:t>
      </w: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意向申请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b w:val="0"/>
          <w:i w:val="0"/>
          <w:caps w:val="0"/>
          <w:color w:val="auto"/>
          <w:spacing w:val="0"/>
          <w:sz w:val="24"/>
          <w:szCs w:val="24"/>
        </w:rPr>
      </w:pPr>
      <w:r>
        <w:rPr>
          <w:rFonts w:hint="eastAsia" w:ascii="宋体" w:hAnsi="宋体" w:eastAsia="宋体" w:cs="宋体"/>
          <w:b w:val="0"/>
          <w:i w:val="0"/>
          <w:caps w:val="0"/>
          <w:color w:val="auto"/>
          <w:spacing w:val="0"/>
          <w:sz w:val="24"/>
          <w:szCs w:val="24"/>
        </w:rPr>
        <w:t>有融资需求的供应商可根据</w:t>
      </w:r>
      <w:r>
        <w:rPr>
          <w:rFonts w:hint="eastAsia" w:cs="宋体"/>
          <w:b w:val="0"/>
          <w:i w:val="0"/>
          <w:caps w:val="0"/>
          <w:color w:val="auto"/>
          <w:spacing w:val="0"/>
          <w:sz w:val="24"/>
          <w:szCs w:val="24"/>
          <w:lang w:eastAsia="zh-CN"/>
        </w:rPr>
        <w:t>“四川政府采购网”</w:t>
      </w:r>
      <w:r>
        <w:rPr>
          <w:rFonts w:hint="eastAsia" w:ascii="宋体" w:hAnsi="宋体" w:eastAsia="宋体" w:cs="宋体"/>
          <w:b w:val="0"/>
          <w:i w:val="0"/>
          <w:caps w:val="0"/>
          <w:color w:val="auto"/>
          <w:spacing w:val="0"/>
          <w:sz w:val="24"/>
          <w:szCs w:val="24"/>
        </w:rPr>
        <w:t>公示的银行及其“政采贷”产品，自行选择符合自身情况的“政采贷”银行及其产品，凭中标</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成交</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通知书向银行提出贷款意向申请。银行应及时按照有关规定完成对供应商的信用审查以及开设账户等相关工作。</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b/>
          <w:i w:val="0"/>
          <w:caps w:val="0"/>
          <w:color w:val="auto"/>
          <w:spacing w:val="0"/>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二</w:t>
      </w: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正式申请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供应商与采购人在法定时间依法签订政府采购合同</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政府采购合同签订后，应当依法在7个工作日内向同级财政部门备案，2个工作日内在</w:t>
      </w:r>
      <w:r>
        <w:rPr>
          <w:rFonts w:hint="eastAsia" w:cs="宋体"/>
          <w:b w:val="0"/>
          <w:i w:val="0"/>
          <w:caps w:val="0"/>
          <w:color w:val="auto"/>
          <w:spacing w:val="0"/>
          <w:sz w:val="24"/>
          <w:szCs w:val="24"/>
          <w:lang w:eastAsia="zh-CN"/>
        </w:rPr>
        <w:t>“四川政府采购网”</w:t>
      </w:r>
      <w:r>
        <w:rPr>
          <w:rFonts w:hint="eastAsia" w:ascii="宋体" w:hAnsi="宋体" w:eastAsia="宋体" w:cs="宋体"/>
          <w:b w:val="0"/>
          <w:i w:val="0"/>
          <w:caps w:val="0"/>
          <w:color w:val="auto"/>
          <w:spacing w:val="0"/>
          <w:sz w:val="24"/>
          <w:szCs w:val="24"/>
        </w:rPr>
        <w:t>公告</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后，可凭政府采购合同向银行提出“政采贷”正式申请。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对拟用于“政采贷”的政府采购合同，应在合同中注明贷款银行名称及账号，作为供应商本次采购的唯一收款账号。因发生特殊情况需要在还款前变更收款账号的，供应商应当事前书面告知采购人和放款银行，并获得采购人和放款银行同意。采购人和放款银行同意后，采购人与供应商应当就该条款重新签订政府采购合同或者签订补充协议作为原政府采购合同的一部分，并在签订后依法在7个工作日内向同级财政部门备案，2个工作日内在</w:t>
      </w:r>
      <w:r>
        <w:rPr>
          <w:rFonts w:hint="eastAsia" w:cs="宋体"/>
          <w:b w:val="0"/>
          <w:i w:val="0"/>
          <w:caps w:val="0"/>
          <w:color w:val="auto"/>
          <w:spacing w:val="0"/>
          <w:sz w:val="24"/>
          <w:szCs w:val="24"/>
          <w:lang w:eastAsia="zh-CN"/>
        </w:rPr>
        <w:t>“四川政府采购网”</w:t>
      </w:r>
      <w:r>
        <w:rPr>
          <w:rFonts w:hint="eastAsia" w:ascii="宋体" w:hAnsi="宋体" w:eastAsia="宋体" w:cs="宋体"/>
          <w:b w:val="0"/>
          <w:i w:val="0"/>
          <w:caps w:val="0"/>
          <w:color w:val="auto"/>
          <w:spacing w:val="0"/>
          <w:sz w:val="24"/>
          <w:szCs w:val="24"/>
        </w:rPr>
        <w:t>公告。</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三</w:t>
      </w: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贷款审查</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银行按规定对申请“政采贷”的供应商及其提供的政府采购合同等信息进行审查。审查过程中，银行认为有必要的，可以到采购人、采购代理机构或者财政部门对该政府采购合同的书面信息与备案信息进行核实，有关单位应当配合。银行审查通过后，应当按照其在</w:t>
      </w:r>
      <w:r>
        <w:rPr>
          <w:rFonts w:hint="eastAsia" w:cs="宋体"/>
          <w:b w:val="0"/>
          <w:i w:val="0"/>
          <w:caps w:val="0"/>
          <w:color w:val="auto"/>
          <w:spacing w:val="0"/>
          <w:sz w:val="24"/>
          <w:szCs w:val="24"/>
          <w:lang w:eastAsia="zh-CN"/>
        </w:rPr>
        <w:t>“四川政府采购网”</w:t>
      </w:r>
      <w:r>
        <w:rPr>
          <w:rFonts w:hint="eastAsia" w:ascii="宋体" w:hAnsi="宋体" w:eastAsia="宋体" w:cs="宋体"/>
          <w:b w:val="0"/>
          <w:i w:val="0"/>
          <w:caps w:val="0"/>
          <w:color w:val="auto"/>
          <w:spacing w:val="0"/>
          <w:sz w:val="24"/>
          <w:szCs w:val="24"/>
        </w:rPr>
        <w:t>公示的“政采贷”产品服务承诺事项及时放款。</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四</w:t>
      </w: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信息报送</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银行完成放款后，应当通过四川省“政采贷”信息化服务平台，填写《四川省“政采贷”信息统计表》</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详见附件</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，每季度终了5个工作日内，向四川省财政厅</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政府采购监督管理处</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报送，以便相关部门及时掌握和分析“政采贷”信息，不断推进“政采贷”工作。</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五</w:t>
      </w: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资金支付</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政府采购资金支付时，采购人必须将采购资金支付到政府采购合同中注明的贷款银行名称及账号，以保障贷款资金的安全回收。采购人不得将采购资金支付在政府采购合同约定以外的收款账号。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政府采购资金支付过程中，银行需要查询采购资金支付进程有关信息的，财政部门和采购人应当支持。</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七、职责要求</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一</w:t>
      </w:r>
      <w:r>
        <w:rPr>
          <w:rFonts w:hint="eastAsia" w:cs="宋体"/>
          <w:b/>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各级财政部门应当高度重视“政采贷”工作，提高认识，充分发挥自身职能作用。不断完善政策措施，加强对“政采贷”采购项目的跟踪监督，对于银行向采购人、采购代理机构核实或者获取合法范围内的相关政府采购信息有困难的，可以积极进行协调。财政部门不得为“政采贷”提供任何形式的担保和承诺。</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二</w:t>
      </w:r>
      <w:r>
        <w:rPr>
          <w:rFonts w:hint="eastAsia" w:cs="宋体"/>
          <w:b/>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银行应当切实转变注重抵押担保的传统信贷理念，积极服务经济社会发展的大局，不断完善“政采贷”产品，优化贷款审查流程，简化贷款审查手续，提供更多优质服务，同时做好风险防控工作。银行对于供应商是否如期还款情况及未如期还款的主要原因等信息，应当及时向财政部门反馈。</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三</w:t>
      </w:r>
      <w:r>
        <w:rPr>
          <w:rFonts w:hint="eastAsia" w:cs="宋体"/>
          <w:b/>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采购人应当积极支持“政采贷”工作，对于银行、供应商提出的合理需求，应当支持。对于已融资采购项目，供应商履约完成后，要及时开展履约验收工作，及时支付采购资金，不得无故拖延和拒付采购资金。</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四</w:t>
      </w:r>
      <w:r>
        <w:rPr>
          <w:rFonts w:hint="eastAsia" w:cs="宋体"/>
          <w:b/>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采购代理机构在组织实施政府采购活动中，应当采取有效方式，向供应商宣传“政采贷”政策。银行需要借用采购代理机构的场所直接向供应商介绍其“政采贷”产品的，采购代理机构应当支持。</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五</w:t>
      </w:r>
      <w:r>
        <w:rPr>
          <w:rFonts w:hint="eastAsia" w:cs="宋体"/>
          <w:b/>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供应商应当依法参加政府采购活动，公平竞争，诚实守信，严格按照政府采购合同履约，严格按照借款合同偿还债务。</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六</w:t>
      </w:r>
      <w:r>
        <w:rPr>
          <w:rFonts w:hint="eastAsia" w:cs="宋体"/>
          <w:b/>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财政部门、采购人、采购代理机构及其他有关单位和个人不得违规干预供应商选择“政采贷”银行及其产品，也不得违规干预银行向供应商进行贷款。</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七</w:t>
      </w:r>
      <w:r>
        <w:rPr>
          <w:rFonts w:hint="eastAsia" w:cs="宋体"/>
          <w:b/>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相关单位和个人在开展“政采贷”工作过程中，发现新问题、新情况或者有意见建议的，请及时向四川省财政厅反馈。</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八、违规处理</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一</w:t>
      </w: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银行违规处理</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银行不按照其在</w:t>
      </w:r>
      <w:r>
        <w:rPr>
          <w:rFonts w:hint="eastAsia" w:cs="宋体"/>
          <w:b w:val="0"/>
          <w:i w:val="0"/>
          <w:caps w:val="0"/>
          <w:color w:val="auto"/>
          <w:spacing w:val="0"/>
          <w:sz w:val="24"/>
          <w:szCs w:val="24"/>
          <w:lang w:eastAsia="zh-CN"/>
        </w:rPr>
        <w:t>“四川政府采购网”</w:t>
      </w:r>
      <w:r>
        <w:rPr>
          <w:rFonts w:hint="eastAsia" w:ascii="宋体" w:hAnsi="宋体" w:eastAsia="宋体" w:cs="宋体"/>
          <w:b w:val="0"/>
          <w:i w:val="0"/>
          <w:caps w:val="0"/>
          <w:color w:val="auto"/>
          <w:spacing w:val="0"/>
          <w:sz w:val="24"/>
          <w:szCs w:val="24"/>
        </w:rPr>
        <w:t>公示的“政采贷”产品服务承诺事项办理供应商信用融资贷款申请的，由四川省财政厅进行约谈，责令限期整改；拒不整改或者变相拒不整改的，撤销其在</w:t>
      </w:r>
      <w:r>
        <w:rPr>
          <w:rFonts w:hint="eastAsia" w:cs="宋体"/>
          <w:b w:val="0"/>
          <w:i w:val="0"/>
          <w:caps w:val="0"/>
          <w:color w:val="auto"/>
          <w:spacing w:val="0"/>
          <w:sz w:val="24"/>
          <w:szCs w:val="24"/>
          <w:lang w:eastAsia="zh-CN"/>
        </w:rPr>
        <w:t>“四川政府采购网”</w:t>
      </w:r>
      <w:r>
        <w:rPr>
          <w:rFonts w:hint="eastAsia" w:ascii="宋体" w:hAnsi="宋体" w:eastAsia="宋体" w:cs="宋体"/>
          <w:b w:val="0"/>
          <w:i w:val="0"/>
          <w:caps w:val="0"/>
          <w:color w:val="auto"/>
          <w:spacing w:val="0"/>
          <w:sz w:val="24"/>
          <w:szCs w:val="24"/>
        </w:rPr>
        <w:t>的公示信息，取消其资格，并在1-3年内拒绝接收其再次申请。</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二</w:t>
      </w: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供应商违规处理</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供应商以政府采购合同造假或者其他造假方式违规申请信用融资的，或者违反有关规定或者约定，导致无法偿还信用融资贷款的，或者拒绝或无故拖延还款付息的，由有关部门单位依法处理，纳入“不具备《中华人民共和国政府采购法》第二十二条第一款第</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二</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项规定的具有良好的商业信誉条件”名单，并在</w:t>
      </w:r>
      <w:r>
        <w:rPr>
          <w:rFonts w:hint="eastAsia" w:cs="宋体"/>
          <w:b w:val="0"/>
          <w:i w:val="0"/>
          <w:caps w:val="0"/>
          <w:color w:val="auto"/>
          <w:spacing w:val="0"/>
          <w:sz w:val="24"/>
          <w:szCs w:val="24"/>
          <w:lang w:eastAsia="zh-CN"/>
        </w:rPr>
        <w:t>“四川政府采购网”</w:t>
      </w:r>
      <w:r>
        <w:rPr>
          <w:rFonts w:hint="eastAsia" w:ascii="宋体" w:hAnsi="宋体" w:eastAsia="宋体" w:cs="宋体"/>
          <w:b w:val="0"/>
          <w:i w:val="0"/>
          <w:caps w:val="0"/>
          <w:color w:val="auto"/>
          <w:spacing w:val="0"/>
          <w:sz w:val="24"/>
          <w:szCs w:val="24"/>
        </w:rPr>
        <w:t>公示。</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三</w:t>
      </w: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其他违规处理</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采购人无正当理由拖延和拒付采购资金的，或者采购代理机构拒绝支持银行借用场所向供应商介绍其“政采贷”产品的，或者有关单位或个人违规干预供应商选择“政采贷”银行及其产品的，或者有关单位或个人违规干预银行向供应商进行贷款的，由采购项目同级财政部门进行约谈，责令限期整改；拒不整改或者变相拒不整改的，按照有关规定依法处理。</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b w:val="0"/>
          <w:i w:val="0"/>
          <w:caps w:val="0"/>
          <w:color w:val="auto"/>
          <w:spacing w:val="0"/>
          <w:sz w:val="24"/>
          <w:szCs w:val="24"/>
        </w:rPr>
      </w:pPr>
      <w:r>
        <w:rPr>
          <w:rFonts w:hint="eastAsia" w:ascii="宋体" w:hAnsi="宋体" w:eastAsia="宋体" w:cs="宋体"/>
          <w:b w:val="0"/>
          <w:i w:val="0"/>
          <w:caps w:val="0"/>
          <w:color w:val="auto"/>
          <w:spacing w:val="0"/>
          <w:sz w:val="24"/>
          <w:szCs w:val="24"/>
        </w:rPr>
        <w:t> </w:t>
      </w:r>
    </w:p>
    <w:p>
      <w:pPr>
        <w:rPr>
          <w:rFonts w:hint="eastAsia" w:ascii="宋体" w:hAnsi="宋体" w:eastAsia="宋体" w:cs="宋体"/>
          <w:sz w:val="24"/>
          <w:szCs w:val="24"/>
          <w:lang w:val="en-US" w:eastAsia="zh-CN"/>
        </w:rPr>
      </w:pPr>
      <w:r>
        <w:rPr>
          <w:rFonts w:hint="eastAsia" w:ascii="宋体" w:hAnsi="宋体" w:eastAsia="宋体" w:cs="宋体"/>
          <w:kern w:val="0"/>
          <w:sz w:val="24"/>
          <w:szCs w:val="24"/>
          <w:lang w:val="en-US" w:eastAsia="zh-CN" w:bidi="ar"/>
        </w:rPr>
        <w:drawing>
          <wp:anchor distT="0" distB="0" distL="114300" distR="114300" simplePos="0" relativeHeight="251662336" behindDoc="0" locked="0" layoutInCell="1" allowOverlap="1">
            <wp:simplePos x="0" y="0"/>
            <wp:positionH relativeFrom="column">
              <wp:posOffset>3808095</wp:posOffset>
            </wp:positionH>
            <wp:positionV relativeFrom="paragraph">
              <wp:posOffset>1694180</wp:posOffset>
            </wp:positionV>
            <wp:extent cx="1771650" cy="1781175"/>
            <wp:effectExtent l="0" t="0" r="6350" b="9525"/>
            <wp:wrapSquare wrapText="bothSides"/>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26"/>
                    <a:stretch>
                      <a:fillRect/>
                    </a:stretch>
                  </pic:blipFill>
                  <pic:spPr>
                    <a:xfrm>
                      <a:off x="0" y="0"/>
                      <a:ext cx="1771650" cy="1781175"/>
                    </a:xfrm>
                    <a:prstGeom prst="rect">
                      <a:avLst/>
                    </a:prstGeom>
                    <a:noFill/>
                    <a:ln w="9525">
                      <a:noFill/>
                    </a:ln>
                  </pic:spPr>
                </pic:pic>
              </a:graphicData>
            </a:graphic>
          </wp:anchor>
        </w:drawing>
      </w:r>
      <w:r>
        <w:rPr>
          <w:rFonts w:hint="eastAsia" w:ascii="宋体" w:hAnsi="宋体" w:eastAsia="宋体" w:cs="宋体"/>
          <w:sz w:val="24"/>
          <w:szCs w:val="24"/>
          <w:lang w:val="en-US" w:eastAsia="zh-CN"/>
        </w:rPr>
        <w:br w:type="page"/>
      </w:r>
    </w:p>
    <w:p>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附件</w:t>
      </w:r>
      <w:r>
        <w:rPr>
          <w:rFonts w:hint="eastAsia" w:cs="宋体"/>
          <w:b/>
          <w:bCs/>
          <w:sz w:val="24"/>
          <w:szCs w:val="24"/>
          <w:lang w:val="en-US" w:eastAsia="zh-CN"/>
        </w:rPr>
        <w:t>五</w:t>
      </w:r>
      <w:r>
        <w:rPr>
          <w:rFonts w:hint="eastAsia" w:ascii="宋体" w:hAnsi="宋体" w:eastAsia="宋体" w:cs="宋体"/>
          <w:b/>
          <w:bCs/>
          <w:sz w:val="24"/>
          <w:szCs w:val="24"/>
          <w:lang w:val="en-US" w:eastAsia="zh-CN"/>
        </w:rPr>
        <w:t>：成都市财政局  中国人民银行成都分行营业管理部关于印发《成都市中小企业政府采购信用融资暂行办法》和《成都市级支持中小企业政府采购信用融资实施方案》的通知</w:t>
      </w:r>
      <w:r>
        <w:rPr>
          <w:rFonts w:hint="eastAsia" w:cs="宋体"/>
          <w:b/>
          <w:bCs/>
          <w:sz w:val="24"/>
          <w:szCs w:val="24"/>
          <w:lang w:val="en-US" w:eastAsia="zh-CN"/>
        </w:rPr>
        <w:t>(</w:t>
      </w:r>
      <w:r>
        <w:rPr>
          <w:rFonts w:hint="eastAsia" w:ascii="宋体" w:hAnsi="宋体" w:eastAsia="宋体" w:cs="宋体"/>
          <w:b/>
          <w:bCs/>
          <w:sz w:val="24"/>
          <w:szCs w:val="24"/>
          <w:lang w:val="en-US" w:eastAsia="zh-CN"/>
        </w:rPr>
        <w:t>成财采〔2019〕17号</w:t>
      </w:r>
      <w:r>
        <w:rPr>
          <w:rFonts w:hint="eastAsia" w:cs="宋体"/>
          <w:b/>
          <w:bCs/>
          <w:sz w:val="24"/>
          <w:szCs w:val="24"/>
          <w:lang w:val="en-US" w:eastAsia="zh-CN"/>
        </w:rPr>
        <w:t>)</w:t>
      </w:r>
    </w:p>
    <w:p>
      <w:pPr>
        <w:keepNext w:val="0"/>
        <w:keepLines w:val="0"/>
        <w:pageBreakBefore w:val="0"/>
        <w:widowControl/>
        <w:kinsoku/>
        <w:wordWrap w:val="0"/>
        <w:overflowPunct/>
        <w:topLinePunct w:val="0"/>
        <w:autoSpaceDE/>
        <w:autoSpaceDN/>
        <w:bidi w:val="0"/>
        <w:adjustRightInd/>
        <w:snapToGrid/>
        <w:spacing w:line="440" w:lineRule="exac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查询链接：</w:t>
      </w:r>
      <w:r>
        <w:rPr>
          <w:rFonts w:hint="eastAsia" w:ascii="宋体" w:hAnsi="宋体" w:eastAsia="宋体" w:cs="宋体"/>
          <w:b/>
          <w:bCs/>
          <w:sz w:val="24"/>
          <w:szCs w:val="24"/>
          <w:lang w:val="en-US" w:eastAsia="zh-CN"/>
        </w:rPr>
        <w:fldChar w:fldCharType="begin"/>
      </w:r>
      <w:r>
        <w:rPr>
          <w:rFonts w:hint="eastAsia" w:ascii="宋体" w:hAnsi="宋体" w:eastAsia="宋体" w:cs="宋体"/>
          <w:b/>
          <w:bCs/>
          <w:sz w:val="24"/>
          <w:szCs w:val="24"/>
          <w:lang w:val="en-US" w:eastAsia="zh-CN"/>
        </w:rPr>
        <w:instrText xml:space="preserve"> HYPERLINK "http://cdcz.chengdu.gov.cn/cdsczj/c116726/2019-03/13/content_7d81ae9c2a1e48968c7839a9c5b88ccd.shtml" </w:instrText>
      </w:r>
      <w:r>
        <w:rPr>
          <w:rFonts w:hint="eastAsia" w:ascii="宋体" w:hAnsi="宋体" w:eastAsia="宋体" w:cs="宋体"/>
          <w:b/>
          <w:bCs/>
          <w:sz w:val="24"/>
          <w:szCs w:val="24"/>
          <w:lang w:val="en-US" w:eastAsia="zh-CN"/>
        </w:rPr>
        <w:fldChar w:fldCharType="separate"/>
      </w:r>
      <w:r>
        <w:rPr>
          <w:rStyle w:val="24"/>
          <w:rFonts w:hint="eastAsia" w:ascii="宋体" w:hAnsi="宋体" w:eastAsia="宋体" w:cs="宋体"/>
          <w:b/>
          <w:bCs/>
          <w:sz w:val="24"/>
          <w:szCs w:val="24"/>
          <w:lang w:val="en-US" w:eastAsia="zh-CN"/>
        </w:rPr>
        <w:t>http</w:t>
      </w:r>
      <w:r>
        <w:rPr>
          <w:rStyle w:val="24"/>
          <w:rFonts w:hint="eastAsia" w:cs="宋体"/>
          <w:b/>
          <w:bCs/>
          <w:sz w:val="24"/>
          <w:szCs w:val="24"/>
          <w:lang w:val="en-US" w:eastAsia="zh-CN"/>
        </w:rPr>
        <w:t>：</w:t>
      </w:r>
      <w:r>
        <w:rPr>
          <w:rStyle w:val="24"/>
          <w:rFonts w:hint="eastAsia" w:ascii="宋体" w:hAnsi="宋体" w:eastAsia="宋体" w:cs="宋体"/>
          <w:b/>
          <w:bCs/>
          <w:sz w:val="24"/>
          <w:szCs w:val="24"/>
          <w:lang w:val="en-US" w:eastAsia="zh-CN"/>
        </w:rPr>
        <w:t>//cdcz.chengdu.gov.cn/cdsczj/c116726/2019-03/13/content_7d81ae9c2a1e48968c7839a9c5b88ccd.shtml</w:t>
      </w:r>
      <w:r>
        <w:rPr>
          <w:rFonts w:hint="eastAsia" w:ascii="宋体" w:hAnsi="宋体" w:eastAsia="宋体" w:cs="宋体"/>
          <w:b/>
          <w:bCs/>
          <w:sz w:val="24"/>
          <w:szCs w:val="24"/>
          <w:lang w:val="en-US" w:eastAsia="zh-CN"/>
        </w:rPr>
        <w:fldChar w:fldCharType="end"/>
      </w:r>
    </w:p>
    <w:p>
      <w:pPr>
        <w:keepNext w:val="0"/>
        <w:keepLines w:val="0"/>
        <w:pageBreakBefore w:val="0"/>
        <w:widowControl/>
        <w:kinsoku/>
        <w:wordWrap w:val="0"/>
        <w:overflowPunct/>
        <w:topLinePunct w:val="0"/>
        <w:autoSpaceDE/>
        <w:autoSpaceDN/>
        <w:bidi w:val="0"/>
        <w:adjustRightInd/>
        <w:snapToGrid/>
        <w:spacing w:line="440" w:lineRule="exact"/>
        <w:textAlignment w:val="auto"/>
        <w:rPr>
          <w:rFonts w:hint="eastAsia" w:ascii="宋体" w:hAnsi="宋体" w:eastAsia="宋体" w:cs="宋体"/>
          <w:b/>
          <w:bCs/>
          <w:sz w:val="24"/>
          <w:szCs w:val="24"/>
          <w:lang w:val="en-US" w:eastAsia="zh-CN"/>
        </w:rPr>
      </w:pPr>
    </w:p>
    <w:tbl>
      <w:tblPr>
        <w:tblStyle w:val="20"/>
        <w:tblW w:w="9062" w:type="dxa"/>
        <w:jc w:val="center"/>
        <w:tblLayout w:type="fixed"/>
        <w:tblCellMar>
          <w:top w:w="0" w:type="dxa"/>
          <w:left w:w="108" w:type="dxa"/>
          <w:bottom w:w="0" w:type="dxa"/>
          <w:right w:w="108" w:type="dxa"/>
        </w:tblCellMar>
      </w:tblPr>
      <w:tblGrid>
        <w:gridCol w:w="7482"/>
        <w:gridCol w:w="1580"/>
      </w:tblGrid>
      <w:tr>
        <w:tblPrEx>
          <w:tblCellMar>
            <w:top w:w="0" w:type="dxa"/>
            <w:left w:w="108" w:type="dxa"/>
            <w:bottom w:w="0" w:type="dxa"/>
            <w:right w:w="108" w:type="dxa"/>
          </w:tblCellMar>
        </w:tblPrEx>
        <w:trPr>
          <w:cantSplit/>
          <w:trHeight w:val="1156" w:hRule="atLeast"/>
          <w:jc w:val="center"/>
        </w:trPr>
        <w:tc>
          <w:tcPr>
            <w:tcW w:w="74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distribute"/>
              <w:textAlignment w:val="auto"/>
              <w:rPr>
                <w:rFonts w:hint="eastAsia" w:eastAsia="方正小标宋简体"/>
                <w:color w:val="FF0000"/>
                <w:sz w:val="66"/>
                <w:szCs w:val="66"/>
              </w:rPr>
            </w:pPr>
            <w:r>
              <w:rPr>
                <w:rFonts w:hint="eastAsia" w:eastAsia="方正小标宋简体"/>
                <w:color w:val="FF0000"/>
                <w:sz w:val="66"/>
                <w:szCs w:val="66"/>
              </w:rPr>
              <w:t>成都市财政局</w:t>
            </w:r>
          </w:p>
        </w:tc>
        <w:tc>
          <w:tcPr>
            <w:tcW w:w="158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方正小标宋简体"/>
                <w:color w:val="FF0000"/>
                <w:sz w:val="66"/>
                <w:szCs w:val="66"/>
              </w:rPr>
            </w:pPr>
            <w:r>
              <w:rPr>
                <w:rFonts w:hint="eastAsia" w:eastAsia="方正小标宋简体"/>
                <w:color w:val="FF0000"/>
                <w:sz w:val="66"/>
                <w:szCs w:val="66"/>
              </w:rPr>
              <w:t>文件</w:t>
            </w:r>
          </w:p>
        </w:tc>
      </w:tr>
      <w:tr>
        <w:tblPrEx>
          <w:tblCellMar>
            <w:top w:w="0" w:type="dxa"/>
            <w:left w:w="108" w:type="dxa"/>
            <w:bottom w:w="0" w:type="dxa"/>
            <w:right w:w="108" w:type="dxa"/>
          </w:tblCellMar>
        </w:tblPrEx>
        <w:trPr>
          <w:cantSplit/>
          <w:trHeight w:val="1335" w:hRule="atLeast"/>
          <w:jc w:val="center"/>
        </w:trPr>
        <w:tc>
          <w:tcPr>
            <w:tcW w:w="74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distribute"/>
              <w:textAlignment w:val="auto"/>
              <w:rPr>
                <w:rFonts w:hint="eastAsia" w:eastAsia="方正小标宋简体"/>
                <w:color w:val="FF0000"/>
                <w:spacing w:val="-20"/>
                <w:w w:val="82"/>
                <w:sz w:val="62"/>
                <w:szCs w:val="62"/>
              </w:rPr>
            </w:pPr>
            <w:r>
              <w:rPr>
                <w:rFonts w:hint="eastAsia" w:eastAsia="方正小标宋简体"/>
                <w:color w:val="FF0000"/>
                <w:spacing w:val="-20"/>
                <w:w w:val="82"/>
                <w:sz w:val="62"/>
                <w:szCs w:val="62"/>
              </w:rPr>
              <w:t>中国人民银行成都分行营业管理部</w:t>
            </w:r>
          </w:p>
        </w:tc>
        <w:tc>
          <w:tcPr>
            <w:tcW w:w="158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方正小标宋简体"/>
                <w:color w:val="FF0000"/>
                <w:sz w:val="66"/>
                <w:szCs w:val="66"/>
              </w:rPr>
            </w:pPr>
          </w:p>
        </w:tc>
      </w:tr>
    </w:tbl>
    <w:p>
      <w:pPr>
        <w:snapToGrid w:val="0"/>
        <w:jc w:val="center"/>
        <w:rPr>
          <w:rFonts w:hint="eastAsia" w:eastAsia="方正仿宋_GBK"/>
        </w:rPr>
      </w:pPr>
    </w:p>
    <w:p>
      <w:pPr>
        <w:jc w:val="center"/>
        <w:rPr>
          <w:rFonts w:eastAsia="方正仿宋_GBK"/>
          <w:color w:val="000000"/>
        </w:rPr>
      </w:pPr>
      <w:r>
        <w:rPr>
          <w:rFonts w:eastAsia="方正仿宋_GBK"/>
          <w:color w:val="FF0000"/>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320675</wp:posOffset>
                </wp:positionV>
                <wp:extent cx="5618480" cy="0"/>
                <wp:effectExtent l="0" t="9525" r="7620" b="15875"/>
                <wp:wrapNone/>
                <wp:docPr id="9" name="直接连接符 9"/>
                <wp:cNvGraphicFramePr/>
                <a:graphic xmlns:a="http://schemas.openxmlformats.org/drawingml/2006/main">
                  <a:graphicData uri="http://schemas.microsoft.com/office/word/2010/wordprocessingShape">
                    <wps:wsp>
                      <wps:cNvCnPr/>
                      <wps:spPr>
                        <a:xfrm>
                          <a:off x="0" y="0"/>
                          <a:ext cx="5618480" cy="0"/>
                        </a:xfrm>
                        <a:prstGeom prst="line">
                          <a:avLst/>
                        </a:prstGeom>
                        <a:ln w="1905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25.25pt;height:0pt;width:442.4pt;z-index:251663360;mso-width-relative:page;mso-height-relative:page;" filled="f" stroked="t" coordsize="21600,21600" o:gfxdata="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O/uPvWAAAABgEAAA8AAAAAAAAAAQAgAAAAIgAAAGRycy9kb3ducmV2LnhtbFBL&#10;AQIUABQAAAAIAIdO4kD5Dvo0+AEAAOUDAAAOAAAAAAAAAAEAIAAAACUBAABkcnMvZTJvRG9jLnht&#10;bFBLBQYAAAAABgAGAFkBAACPBQAAAAA=&#10;">
                <v:fill on="f" focussize="0,0"/>
                <v:stroke weight="1.5pt" color="#FF0000" joinstyle="round"/>
                <v:imagedata o:title=""/>
                <o:lock v:ext="edit" aspectratio="f"/>
              </v:line>
            </w:pict>
          </mc:Fallback>
        </mc:AlternateContent>
      </w:r>
      <w:r>
        <w:rPr>
          <w:rFonts w:eastAsia="方正仿宋_GBK"/>
        </w:rPr>
        <w:t>成财</w:t>
      </w:r>
      <w:r>
        <w:rPr>
          <w:rFonts w:hint="eastAsia" w:eastAsia="方正仿宋_GBK"/>
        </w:rPr>
        <w:t>采</w:t>
      </w:r>
      <w:r>
        <w:rPr>
          <w:rFonts w:eastAsia="方正仿宋_GBK"/>
        </w:rPr>
        <w:t>〔201</w:t>
      </w:r>
      <w:r>
        <w:rPr>
          <w:rFonts w:hint="eastAsia" w:eastAsia="方正仿宋_GBK"/>
        </w:rPr>
        <w:t>9</w:t>
      </w:r>
      <w:r>
        <w:rPr>
          <w:rFonts w:eastAsia="方正仿宋_GBK"/>
        </w:rPr>
        <w:t>〕</w:t>
      </w:r>
      <w:r>
        <w:rPr>
          <w:rFonts w:hint="eastAsia" w:eastAsia="方正仿宋_GBK"/>
        </w:rPr>
        <w:t>17</w:t>
      </w:r>
      <w:r>
        <w:rPr>
          <w:rFonts w:eastAsia="方正仿宋_GBK"/>
        </w:rPr>
        <w:t>号</w:t>
      </w:r>
    </w:p>
    <w:p>
      <w:pPr>
        <w:topLinePunct/>
        <w:jc w:val="center"/>
        <w:rPr>
          <w:rFonts w:hint="eastAsia" w:ascii="方正小标宋_GBK" w:hAnsi="方正小标宋_GBK" w:eastAsia="方正小标宋_GBK"/>
        </w:rPr>
      </w:pPr>
    </w:p>
    <w:p>
      <w:pPr>
        <w:topLinePunct/>
        <w:snapToGrid w:val="0"/>
        <w:jc w:val="center"/>
        <w:rPr>
          <w:rFonts w:hint="eastAsia" w:ascii="方正小标宋_GBK" w:hAnsi="方正小标宋_GBK" w:eastAsia="方正小标宋_GBK"/>
          <w:spacing w:val="-18"/>
          <w:sz w:val="44"/>
          <w:szCs w:val="44"/>
        </w:rPr>
      </w:pPr>
      <w:r>
        <w:rPr>
          <w:rFonts w:hint="eastAsia" w:ascii="方正小标宋_GBK" w:hAnsi="方正小标宋_GBK" w:eastAsia="方正小标宋_GBK"/>
          <w:spacing w:val="-18"/>
          <w:sz w:val="44"/>
          <w:szCs w:val="44"/>
        </w:rPr>
        <w:t>成都市财政局  中国人民银行成都分行营业管理部</w:t>
      </w:r>
    </w:p>
    <w:p>
      <w:pPr>
        <w:topLinePunct/>
        <w:snapToGrid w:val="0"/>
        <w:jc w:val="center"/>
        <w:rPr>
          <w:rFonts w:hint="eastAsia" w:ascii="方正小标宋_GBK" w:hAnsi="方正小标宋_GBK" w:eastAsia="方正小标宋_GBK"/>
          <w:sz w:val="44"/>
          <w:szCs w:val="44"/>
        </w:rPr>
      </w:pPr>
      <w:r>
        <w:rPr>
          <w:rFonts w:hint="eastAsia" w:ascii="方正小标宋_GBK" w:hAnsi="方正小标宋_GBK" w:eastAsia="方正小标宋_GBK"/>
          <w:sz w:val="44"/>
          <w:szCs w:val="44"/>
        </w:rPr>
        <w:t>关于印发《成都市中小企业政府采购信用融资</w:t>
      </w:r>
    </w:p>
    <w:p>
      <w:pPr>
        <w:topLinePunct/>
        <w:snapToGrid w:val="0"/>
        <w:jc w:val="center"/>
        <w:rPr>
          <w:rFonts w:hint="eastAsia" w:ascii="方正小标宋_GBK" w:hAnsi="方正小标宋_GBK" w:eastAsia="方正小标宋_GBK"/>
          <w:sz w:val="44"/>
          <w:szCs w:val="44"/>
        </w:rPr>
      </w:pPr>
      <w:r>
        <w:rPr>
          <w:rFonts w:hint="eastAsia" w:ascii="方正小标宋_GBK" w:hAnsi="方正小标宋_GBK" w:eastAsia="方正小标宋_GBK"/>
          <w:sz w:val="44"/>
          <w:szCs w:val="44"/>
        </w:rPr>
        <w:t>暂行办法》和《成都市级支持中小企业</w:t>
      </w:r>
    </w:p>
    <w:p>
      <w:pPr>
        <w:topLinePunct/>
        <w:snapToGrid w:val="0"/>
        <w:jc w:val="center"/>
        <w:rPr>
          <w:rFonts w:ascii="方正小标宋_GBK" w:hAnsi="方正小标宋_GBK" w:eastAsia="方正小标宋_GBK"/>
          <w:sz w:val="44"/>
          <w:szCs w:val="44"/>
        </w:rPr>
      </w:pPr>
      <w:r>
        <w:rPr>
          <w:rFonts w:hint="eastAsia" w:ascii="方正小标宋_GBK" w:hAnsi="方正小标宋_GBK" w:eastAsia="方正小标宋_GBK"/>
          <w:sz w:val="44"/>
          <w:szCs w:val="44"/>
        </w:rPr>
        <w:t>政府采购信用融资实施方案》的通知</w:t>
      </w:r>
    </w:p>
    <w:p>
      <w:pPr>
        <w:jc w:val="center"/>
        <w:rPr>
          <w:rFonts w:hint="eastAsia" w:eastAsia="方正仿宋_GBK"/>
        </w:rPr>
      </w:pP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成都天府新区、高新区财政金融局，各区</w:t>
      </w:r>
      <w:r>
        <w:rPr>
          <w:rFonts w:hint="eastAsia" w:cs="宋体"/>
          <w:sz w:val="24"/>
          <w:szCs w:val="24"/>
          <w:lang w:eastAsia="zh-CN"/>
        </w:rPr>
        <w:t>(</w:t>
      </w:r>
      <w:r>
        <w:rPr>
          <w:rFonts w:hint="eastAsia" w:ascii="宋体" w:hAnsi="宋体" w:eastAsia="宋体" w:cs="宋体"/>
          <w:sz w:val="24"/>
          <w:szCs w:val="24"/>
        </w:rPr>
        <w:t>市</w:t>
      </w:r>
      <w:r>
        <w:rPr>
          <w:rFonts w:hint="eastAsia" w:cs="宋体"/>
          <w:sz w:val="24"/>
          <w:szCs w:val="24"/>
          <w:lang w:eastAsia="zh-CN"/>
        </w:rPr>
        <w:t>)</w:t>
      </w:r>
      <w:r>
        <w:rPr>
          <w:rFonts w:hint="eastAsia" w:ascii="宋体" w:hAnsi="宋体" w:eastAsia="宋体" w:cs="宋体"/>
          <w:sz w:val="24"/>
          <w:szCs w:val="24"/>
        </w:rPr>
        <w:t>县财政局，市级各部门、单位，各银行业金融机构：</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深入贯彻落实中央、省、市关于支持民营经济健康发展有关精神，进一步发挥政府采购在促进中小企业发展中的政策引导作用，有效缓解中小企业融资难、融资贵问题，市财政局、中国人民银行成都分行营业管理部制定了《成都市中小企业政府采购信用融资暂行办法》和《成都市级支持中小企业政府采购信用融资实施方案》</w:t>
      </w:r>
      <w:r>
        <w:rPr>
          <w:rFonts w:hint="eastAsia" w:cs="宋体"/>
          <w:sz w:val="24"/>
          <w:szCs w:val="24"/>
          <w:lang w:eastAsia="zh-CN"/>
        </w:rPr>
        <w:t>(</w:t>
      </w:r>
      <w:r>
        <w:rPr>
          <w:rFonts w:hint="eastAsia" w:ascii="宋体" w:hAnsi="宋体" w:eastAsia="宋体" w:cs="宋体"/>
          <w:sz w:val="24"/>
          <w:szCs w:val="24"/>
        </w:rPr>
        <w:t>以下简称《暂行办法》和《实施方案》</w:t>
      </w:r>
      <w:r>
        <w:rPr>
          <w:rFonts w:hint="eastAsia" w:cs="宋体"/>
          <w:sz w:val="24"/>
          <w:szCs w:val="24"/>
          <w:lang w:eastAsia="zh-CN"/>
        </w:rPr>
        <w:t>)</w:t>
      </w:r>
      <w:r>
        <w:rPr>
          <w:rFonts w:hint="eastAsia" w:ascii="宋体" w:hAnsi="宋体" w:eastAsia="宋体" w:cs="宋体"/>
          <w:sz w:val="24"/>
          <w:szCs w:val="24"/>
        </w:rPr>
        <w:t>，现印发给你们，请按要求贯彻执行。</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一、高度重视、迅速行动</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政府采购信用融资是缓解中小企业资金短缺压力，优化中小企业发展环境，促进经济发展的重要举措，各相关单位要统一思想，充分认识政府采购信用融资工作的重要意义，结合政府采购工作实际精心组织、周密部署，赓即推进政府采购信用融资工作，支持有融资需求、符合条件的中小微企业实现高效融资。</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二、明确责任、压茬推进</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市级各部门、单位即日起严格按照《暂行办法》和《实施方案》相关规定和工作要求，结合职能职责认真抓好贯彻执行。各区</w:t>
      </w:r>
      <w:r>
        <w:rPr>
          <w:rFonts w:hint="eastAsia" w:cs="宋体"/>
          <w:sz w:val="24"/>
          <w:szCs w:val="24"/>
          <w:lang w:eastAsia="zh-CN"/>
        </w:rPr>
        <w:t>(</w:t>
      </w:r>
      <w:r>
        <w:rPr>
          <w:rFonts w:hint="eastAsia" w:ascii="宋体" w:hAnsi="宋体" w:eastAsia="宋体" w:cs="宋体"/>
          <w:sz w:val="24"/>
          <w:szCs w:val="24"/>
        </w:rPr>
        <w:t>市</w:t>
      </w:r>
      <w:r>
        <w:rPr>
          <w:rFonts w:hint="eastAsia" w:cs="宋体"/>
          <w:sz w:val="24"/>
          <w:szCs w:val="24"/>
          <w:lang w:eastAsia="zh-CN"/>
        </w:rPr>
        <w:t>)</w:t>
      </w:r>
      <w:r>
        <w:rPr>
          <w:rFonts w:hint="eastAsia" w:ascii="宋体" w:hAnsi="宋体" w:eastAsia="宋体" w:cs="宋体"/>
          <w:sz w:val="24"/>
          <w:szCs w:val="24"/>
        </w:rPr>
        <w:t>县财政部门要根据《暂行办法》，结合本地实际制定具体实施方案，在涵盖市级确定的融资机构基础上明确融资机构名单，并于2019年6月30日前全面推进政府采购信用融资工作。</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三、优化服务、营造氛围</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各相关单位要充分发挥市场在资源配置中的决定性作用，强化宣传引导、优化工作机制、加强跟踪问效，积极创造条件主动服务，为融资双方提供优质高效的服务，让政府采购信用融资政策惠及更多中小微企业，并将工作落实的经验做法及时形成信息反馈市财政局，为推动中小微企业高质量发展营造法治化、国际化、便利化的营商环境。</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附件：1．成都市中小企业政府采购信用融资暂行办法 </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2．成都市级支持中小企业政府采购信用融资实施方案</w:t>
      </w:r>
    </w:p>
    <w:p>
      <w:pPr>
        <w:pStyle w:val="12"/>
        <w:keepNext w:val="0"/>
        <w:keepLines w:val="0"/>
        <w:pageBreakBefore w:val="0"/>
        <w:widowControl/>
        <w:kinsoku/>
        <w:wordWrap/>
        <w:overflowPunct/>
        <w:topLine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p>
    <w:p>
      <w:pPr>
        <w:pStyle w:val="12"/>
        <w:keepNext w:val="0"/>
        <w:keepLines w:val="0"/>
        <w:pageBreakBefore w:val="0"/>
        <w:widowControl/>
        <w:kinsoku/>
        <w:wordWrap/>
        <w:overflowPunct/>
        <w:topLine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p>
    <w:p>
      <w:pPr>
        <w:pStyle w:val="12"/>
        <w:keepNext w:val="0"/>
        <w:keepLines w:val="0"/>
        <w:pageBreakBefore w:val="0"/>
        <w:widowControl/>
        <w:kinsoku/>
        <w:wordWrap/>
        <w:overflowPunct/>
        <w:topLine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p>
    <w:p>
      <w:pPr>
        <w:keepNext w:val="0"/>
        <w:keepLines w:val="0"/>
        <w:pageBreakBefore w:val="0"/>
        <w:widowControl/>
        <w:tabs>
          <w:tab w:val="left" w:pos="7584"/>
          <w:tab w:val="clear" w:pos="0"/>
        </w:tabs>
        <w:kinsoku/>
        <w:wordWrap/>
        <w:overflowPunct/>
        <w:topLinePunct/>
        <w:autoSpaceDE/>
        <w:autoSpaceDN/>
        <w:bidi w:val="0"/>
        <w:adjustRightInd/>
        <w:snapToGrid/>
        <w:spacing w:line="440" w:lineRule="exact"/>
        <w:ind w:left="0" w:right="0" w:firstLine="480" w:firstLineChars="200"/>
        <w:jc w:val="right"/>
        <w:textAlignment w:val="auto"/>
        <w:rPr>
          <w:rFonts w:hint="eastAsia" w:ascii="宋体" w:hAnsi="宋体" w:eastAsia="宋体" w:cs="宋体"/>
          <w:sz w:val="24"/>
          <w:szCs w:val="24"/>
        </w:rPr>
      </w:pPr>
      <w:r>
        <w:rPr>
          <w:rFonts w:hint="eastAsia" w:ascii="宋体" w:hAnsi="宋体" w:eastAsia="宋体" w:cs="宋体"/>
          <w:sz w:val="24"/>
          <w:szCs w:val="24"/>
        </w:rPr>
        <w:t>成都市财政局         中国人民银行成都分行营业管理部</w:t>
      </w:r>
    </w:p>
    <w:p>
      <w:pPr>
        <w:keepNext w:val="0"/>
        <w:keepLines w:val="0"/>
        <w:pageBreakBefore w:val="0"/>
        <w:widowControl/>
        <w:tabs>
          <w:tab w:val="left" w:pos="7584"/>
          <w:tab w:val="clear" w:pos="0"/>
        </w:tabs>
        <w:kinsoku/>
        <w:wordWrap/>
        <w:overflowPunct/>
        <w:topLinePunct/>
        <w:autoSpaceDE/>
        <w:autoSpaceDN/>
        <w:bidi w:val="0"/>
        <w:adjustRightInd/>
        <w:snapToGrid/>
        <w:spacing w:line="440" w:lineRule="exact"/>
        <w:ind w:left="0" w:right="0" w:firstLine="480" w:firstLineChars="200"/>
        <w:jc w:val="right"/>
        <w:textAlignment w:val="auto"/>
        <w:rPr>
          <w:rFonts w:hint="eastAsia" w:ascii="宋体" w:hAnsi="宋体" w:eastAsia="宋体" w:cs="宋体"/>
          <w:sz w:val="24"/>
          <w:szCs w:val="24"/>
        </w:rPr>
      </w:pPr>
      <w:r>
        <w:rPr>
          <w:rFonts w:hint="eastAsia" w:ascii="宋体" w:hAnsi="宋体" w:eastAsia="宋体" w:cs="宋体"/>
          <w:sz w:val="24"/>
          <w:szCs w:val="24"/>
        </w:rPr>
        <w:t>2019年2月26日</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pPr>
        <w:keepNext w:val="0"/>
        <w:keepLines w:val="0"/>
        <w:pageBreakBefore w:val="0"/>
        <w:widowControl w:val="0"/>
        <w:kinsoku/>
        <w:wordWrap/>
        <w:overflowPunct/>
        <w:topLinePunct/>
        <w:autoSpaceDE/>
        <w:autoSpaceDN/>
        <w:bidi w:val="0"/>
        <w:adjustRightIn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附件1</w:t>
      </w:r>
    </w:p>
    <w:p>
      <w:pPr>
        <w:keepNext w:val="0"/>
        <w:keepLines w:val="0"/>
        <w:pageBreakBefore w:val="0"/>
        <w:widowControl w:val="0"/>
        <w:kinsoku/>
        <w:wordWrap/>
        <w:overflowPunct/>
        <w:topLinePunct/>
        <w:autoSpaceDE/>
        <w:autoSpaceDN/>
        <w:bidi w:val="0"/>
        <w:adjustRightInd/>
        <w:spacing w:line="440" w:lineRule="exact"/>
        <w:ind w:firstLine="0" w:firstLineChars="0"/>
        <w:textAlignment w:val="auto"/>
        <w:rPr>
          <w:rFonts w:hint="eastAsia" w:ascii="宋体" w:hAnsi="宋体" w:eastAsia="宋体" w:cs="宋体"/>
          <w:sz w:val="24"/>
          <w:szCs w:val="24"/>
        </w:rPr>
      </w:pPr>
    </w:p>
    <w:p>
      <w:pPr>
        <w:keepNext w:val="0"/>
        <w:keepLines w:val="0"/>
        <w:pageBreakBefore w:val="0"/>
        <w:widowControl w:val="0"/>
        <w:kinsoku/>
        <w:wordWrap/>
        <w:overflowPunct/>
        <w:topLinePunct/>
        <w:autoSpaceDE/>
        <w:autoSpaceDN/>
        <w:bidi w:val="0"/>
        <w:adjustRightInd/>
        <w:snapToGrid w:val="0"/>
        <w:spacing w:line="44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成都市中小企业</w:t>
      </w:r>
      <w:r>
        <w:rPr>
          <w:rFonts w:hint="eastAsia" w:ascii="宋体" w:hAnsi="宋体" w:eastAsia="宋体" w:cs="宋体"/>
          <w:color w:val="000000"/>
          <w:sz w:val="24"/>
          <w:szCs w:val="24"/>
        </w:rPr>
        <w:t>政府采购信用融资暂行</w:t>
      </w:r>
      <w:r>
        <w:rPr>
          <w:rFonts w:hint="eastAsia" w:ascii="宋体" w:hAnsi="宋体" w:eastAsia="宋体" w:cs="宋体"/>
          <w:sz w:val="24"/>
          <w:szCs w:val="24"/>
        </w:rPr>
        <w:t>办法</w:t>
      </w:r>
    </w:p>
    <w:p>
      <w:pPr>
        <w:keepNext w:val="0"/>
        <w:keepLines w:val="0"/>
        <w:pageBreakBefore w:val="0"/>
        <w:widowControl w:val="0"/>
        <w:kinsoku/>
        <w:wordWrap/>
        <w:overflowPunct/>
        <w:topLinePunct/>
        <w:autoSpaceDE/>
        <w:autoSpaceDN/>
        <w:bidi w:val="0"/>
        <w:adjustRightInd/>
        <w:spacing w:line="44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第一章  总  则</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第一条</w:t>
      </w:r>
      <w:r>
        <w:rPr>
          <w:rFonts w:hint="eastAsia" w:cs="宋体"/>
          <w:sz w:val="24"/>
          <w:szCs w:val="24"/>
          <w:lang w:eastAsia="zh-CN"/>
        </w:rPr>
        <w:t>(</w:t>
      </w:r>
      <w:r>
        <w:rPr>
          <w:rFonts w:hint="eastAsia" w:ascii="宋体" w:hAnsi="宋体" w:eastAsia="宋体" w:cs="宋体"/>
          <w:sz w:val="24"/>
          <w:szCs w:val="24"/>
        </w:rPr>
        <w:t>政策依据</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进一步贯彻落实国务院、四川省、成都市关于支持和促进中小企业发展的政策措施，充分发挥政府采购政策导向作用，有效缓解中小企业融资难、融资贵问题，支持中小企业参与政府采购活动，根据《政府采购法》《四川省政府采购促进中小企业发展的若干规定》</w:t>
      </w:r>
      <w:r>
        <w:rPr>
          <w:rFonts w:hint="eastAsia" w:cs="宋体"/>
          <w:sz w:val="24"/>
          <w:szCs w:val="24"/>
          <w:lang w:eastAsia="zh-CN"/>
        </w:rPr>
        <w:t>(</w:t>
      </w:r>
      <w:r>
        <w:rPr>
          <w:rFonts w:hint="eastAsia" w:ascii="宋体" w:hAnsi="宋体" w:eastAsia="宋体" w:cs="宋体"/>
          <w:sz w:val="24"/>
          <w:szCs w:val="24"/>
        </w:rPr>
        <w:t>川财采〔2016〕35号</w:t>
      </w:r>
      <w:r>
        <w:rPr>
          <w:rFonts w:hint="eastAsia" w:cs="宋体"/>
          <w:sz w:val="24"/>
          <w:szCs w:val="24"/>
          <w:lang w:eastAsia="zh-CN"/>
        </w:rPr>
        <w:t>)</w:t>
      </w:r>
      <w:r>
        <w:rPr>
          <w:rFonts w:hint="eastAsia" w:ascii="宋体" w:hAnsi="宋体" w:eastAsia="宋体" w:cs="宋体"/>
          <w:sz w:val="24"/>
          <w:szCs w:val="24"/>
        </w:rPr>
        <w:t>和《四川省财政厅关于推进四川省政府采购供应商信用融资工作的通知》</w:t>
      </w:r>
      <w:r>
        <w:rPr>
          <w:rFonts w:hint="eastAsia" w:cs="宋体"/>
          <w:sz w:val="24"/>
          <w:szCs w:val="24"/>
          <w:lang w:eastAsia="zh-CN"/>
        </w:rPr>
        <w:t>(</w:t>
      </w:r>
      <w:r>
        <w:rPr>
          <w:rFonts w:hint="eastAsia" w:ascii="宋体" w:hAnsi="宋体" w:eastAsia="宋体" w:cs="宋体"/>
          <w:sz w:val="24"/>
          <w:szCs w:val="24"/>
        </w:rPr>
        <w:t>川财采〔2018〕123号</w:t>
      </w:r>
      <w:r>
        <w:rPr>
          <w:rFonts w:hint="eastAsia" w:cs="宋体"/>
          <w:sz w:val="24"/>
          <w:szCs w:val="24"/>
          <w:lang w:eastAsia="zh-CN"/>
        </w:rPr>
        <w:t>)</w:t>
      </w:r>
      <w:r>
        <w:rPr>
          <w:rFonts w:hint="eastAsia" w:ascii="宋体" w:hAnsi="宋体" w:eastAsia="宋体" w:cs="宋体"/>
          <w:sz w:val="24"/>
          <w:szCs w:val="24"/>
        </w:rPr>
        <w:t>有关精神，结合我市实际，制定本办法。</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第二条</w:t>
      </w:r>
      <w:r>
        <w:rPr>
          <w:rFonts w:hint="eastAsia" w:cs="宋体"/>
          <w:sz w:val="24"/>
          <w:szCs w:val="24"/>
          <w:lang w:eastAsia="zh-CN"/>
        </w:rPr>
        <w:t>(</w:t>
      </w:r>
      <w:r>
        <w:rPr>
          <w:rFonts w:hint="eastAsia" w:ascii="宋体" w:hAnsi="宋体" w:eastAsia="宋体" w:cs="宋体"/>
          <w:sz w:val="24"/>
          <w:szCs w:val="24"/>
        </w:rPr>
        <w:t>适用范围</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成都市行政区域内政府采购信用融资适用本办法。</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第三条</w:t>
      </w:r>
      <w:r>
        <w:rPr>
          <w:rFonts w:hint="eastAsia" w:cs="宋体"/>
          <w:sz w:val="24"/>
          <w:szCs w:val="24"/>
          <w:lang w:eastAsia="zh-CN"/>
        </w:rPr>
        <w:t>(</w:t>
      </w:r>
      <w:r>
        <w:rPr>
          <w:rFonts w:hint="eastAsia" w:ascii="宋体" w:hAnsi="宋体" w:eastAsia="宋体" w:cs="宋体"/>
          <w:sz w:val="24"/>
          <w:szCs w:val="24"/>
        </w:rPr>
        <w:t>术语定义</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本办法所称政府采购信用融资，是指融资机构以信用审查为基础，依据政府采购合同，按相应的优惠政策向申请融资的中小企业</w:t>
      </w:r>
      <w:r>
        <w:rPr>
          <w:rFonts w:hint="eastAsia" w:cs="宋体"/>
          <w:sz w:val="24"/>
          <w:szCs w:val="24"/>
          <w:lang w:eastAsia="zh-CN"/>
        </w:rPr>
        <w:t>(</w:t>
      </w:r>
      <w:r>
        <w:rPr>
          <w:rFonts w:hint="eastAsia" w:ascii="宋体" w:hAnsi="宋体" w:eastAsia="宋体" w:cs="宋体"/>
          <w:sz w:val="24"/>
          <w:szCs w:val="24"/>
        </w:rPr>
        <w:t>以下简称供应商</w:t>
      </w:r>
      <w:r>
        <w:rPr>
          <w:rFonts w:hint="eastAsia" w:cs="宋体"/>
          <w:sz w:val="24"/>
          <w:szCs w:val="24"/>
          <w:lang w:eastAsia="zh-CN"/>
        </w:rPr>
        <w:t>)</w:t>
      </w:r>
      <w:r>
        <w:rPr>
          <w:rFonts w:hint="eastAsia" w:ascii="宋体" w:hAnsi="宋体" w:eastAsia="宋体" w:cs="宋体"/>
          <w:sz w:val="24"/>
          <w:szCs w:val="24"/>
        </w:rPr>
        <w:t>提供资金支持的融资模式。</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本办法所称融资机构，是指在成都市属地注册或设立分支机构，有意向按照本办法开展政府采购信用融资业务，经同级财政部门确定的银行机构。</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本办法所称中小企业，包括中型、小型及微型企业，其划型标准按照国家相关规定执行。</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第四条</w:t>
      </w:r>
      <w:r>
        <w:rPr>
          <w:rFonts w:hint="eastAsia" w:cs="宋体"/>
          <w:sz w:val="24"/>
          <w:szCs w:val="24"/>
          <w:lang w:eastAsia="zh-CN"/>
        </w:rPr>
        <w:t>(</w:t>
      </w:r>
      <w:r>
        <w:rPr>
          <w:rFonts w:hint="eastAsia" w:ascii="宋体" w:hAnsi="宋体" w:eastAsia="宋体" w:cs="宋体"/>
          <w:sz w:val="24"/>
          <w:szCs w:val="24"/>
        </w:rPr>
        <w:t>基本原则</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政府采购信用融资工作坚持政府引导、市场主导，自愿选择、自担风险，诚实信用、互惠共赢的原则，切实发挥市场在资源配置中的决定性作用。</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t>第二章  融资优惠</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第五条</w:t>
      </w:r>
      <w:r>
        <w:rPr>
          <w:rFonts w:hint="eastAsia" w:cs="宋体"/>
          <w:sz w:val="24"/>
          <w:szCs w:val="24"/>
          <w:lang w:eastAsia="zh-CN"/>
        </w:rPr>
        <w:t>(</w:t>
      </w:r>
      <w:r>
        <w:rPr>
          <w:rFonts w:hint="eastAsia" w:ascii="宋体" w:hAnsi="宋体" w:eastAsia="宋体" w:cs="宋体"/>
          <w:sz w:val="24"/>
          <w:szCs w:val="24"/>
        </w:rPr>
        <w:t>融资方式</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供应商无需提供财产抵押或第三方担保，凭借政府采购合同向融资机构申请融资，融资机构根据其授信政策为供应商提供信用贷款。</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第六条</w:t>
      </w:r>
      <w:r>
        <w:rPr>
          <w:rFonts w:hint="eastAsia" w:cs="宋体"/>
          <w:sz w:val="24"/>
          <w:szCs w:val="24"/>
          <w:lang w:eastAsia="zh-CN"/>
        </w:rPr>
        <w:t>(</w:t>
      </w:r>
      <w:r>
        <w:rPr>
          <w:rFonts w:hint="eastAsia" w:ascii="宋体" w:hAnsi="宋体" w:eastAsia="宋体" w:cs="宋体"/>
          <w:sz w:val="24"/>
          <w:szCs w:val="24"/>
        </w:rPr>
        <w:t>融资额度</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融资额度原则上不超过政府采购合同金额。</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第七条</w:t>
      </w:r>
      <w:r>
        <w:rPr>
          <w:rFonts w:hint="eastAsia" w:cs="宋体"/>
          <w:sz w:val="24"/>
          <w:szCs w:val="24"/>
          <w:lang w:eastAsia="zh-CN"/>
        </w:rPr>
        <w:t>(</w:t>
      </w:r>
      <w:r>
        <w:rPr>
          <w:rFonts w:hint="eastAsia" w:ascii="宋体" w:hAnsi="宋体" w:eastAsia="宋体" w:cs="宋体"/>
          <w:sz w:val="24"/>
          <w:szCs w:val="24"/>
        </w:rPr>
        <w:t>融资利率</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融资机构向供应商提供融资的利率应低于同期一般中小企业的贷款利率。融资利率上浮比例原则上不超过中国人民银行公布的同期贷款基准利率的30%。</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第八条</w:t>
      </w:r>
      <w:r>
        <w:rPr>
          <w:rFonts w:hint="eastAsia" w:cs="宋体"/>
          <w:sz w:val="24"/>
          <w:szCs w:val="24"/>
          <w:lang w:eastAsia="zh-CN"/>
        </w:rPr>
        <w:t>(</w:t>
      </w:r>
      <w:r>
        <w:rPr>
          <w:rFonts w:hint="eastAsia" w:ascii="宋体" w:hAnsi="宋体" w:eastAsia="宋体" w:cs="宋体"/>
          <w:sz w:val="24"/>
          <w:szCs w:val="24"/>
        </w:rPr>
        <w:t>融资期限</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融资期限原则上与政府采购合同履行期限一致。</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第九条</w:t>
      </w:r>
      <w:r>
        <w:rPr>
          <w:rFonts w:hint="eastAsia" w:cs="宋体"/>
          <w:sz w:val="24"/>
          <w:szCs w:val="24"/>
          <w:lang w:eastAsia="zh-CN"/>
        </w:rPr>
        <w:t>(</w:t>
      </w:r>
      <w:r>
        <w:rPr>
          <w:rFonts w:hint="eastAsia" w:ascii="宋体" w:hAnsi="宋体" w:eastAsia="宋体" w:cs="宋体"/>
          <w:sz w:val="24"/>
          <w:szCs w:val="24"/>
        </w:rPr>
        <w:t>融资效率</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融资机构应当建立政府采购信用融资绿色通道，配备专业人员定向服务，简化融资审批程序。对申报材料齐全完备的供应商，原则上应在5个工作日内完成审批，对审批通过且具备放款条件的供应商，原则上应在5个工作日内完成放款。</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第十条</w:t>
      </w:r>
      <w:r>
        <w:rPr>
          <w:rFonts w:hint="eastAsia" w:cs="宋体"/>
          <w:sz w:val="24"/>
          <w:szCs w:val="24"/>
          <w:lang w:eastAsia="zh-CN"/>
        </w:rPr>
        <w:t>(</w:t>
      </w:r>
      <w:r>
        <w:rPr>
          <w:rFonts w:hint="eastAsia" w:ascii="宋体" w:hAnsi="宋体" w:eastAsia="宋体" w:cs="宋体"/>
          <w:sz w:val="24"/>
          <w:szCs w:val="24"/>
        </w:rPr>
        <w:t>融资业务升级</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对履约记录良好、诚信资质高的供应商，融资机构应当在授信额度、融资审查、融资利率等方面给予更大支持，促进供应商依法诚信经营。</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第十一条</w:t>
      </w:r>
      <w:r>
        <w:rPr>
          <w:rFonts w:hint="eastAsia" w:cs="宋体"/>
          <w:sz w:val="24"/>
          <w:szCs w:val="24"/>
          <w:lang w:eastAsia="zh-CN"/>
        </w:rPr>
        <w:t>(</w:t>
      </w:r>
      <w:r>
        <w:rPr>
          <w:rFonts w:hint="eastAsia" w:ascii="宋体" w:hAnsi="宋体" w:eastAsia="宋体" w:cs="宋体"/>
          <w:sz w:val="24"/>
          <w:szCs w:val="24"/>
        </w:rPr>
        <w:t>贷款风险补贴</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对银行业金融机构向小微企业发放的贷款</w:t>
      </w:r>
      <w:r>
        <w:rPr>
          <w:rFonts w:hint="eastAsia" w:cs="宋体"/>
          <w:sz w:val="24"/>
          <w:szCs w:val="24"/>
          <w:lang w:eastAsia="zh-CN"/>
        </w:rPr>
        <w:t>(</w:t>
      </w:r>
      <w:r>
        <w:rPr>
          <w:rFonts w:hint="eastAsia" w:ascii="宋体" w:hAnsi="宋体" w:eastAsia="宋体" w:cs="宋体"/>
          <w:sz w:val="24"/>
          <w:szCs w:val="24"/>
        </w:rPr>
        <w:t>无需抵押、质押或担保的贷款</w:t>
      </w:r>
      <w:r>
        <w:rPr>
          <w:rFonts w:hint="eastAsia" w:cs="宋体"/>
          <w:sz w:val="24"/>
          <w:szCs w:val="24"/>
          <w:lang w:eastAsia="zh-CN"/>
        </w:rPr>
        <w:t>)</w:t>
      </w:r>
      <w:r>
        <w:rPr>
          <w:rFonts w:hint="eastAsia" w:ascii="宋体" w:hAnsi="宋体" w:eastAsia="宋体" w:cs="宋体"/>
          <w:sz w:val="24"/>
          <w:szCs w:val="24"/>
        </w:rPr>
        <w:t>损失，财政部门按最高不超过年度新增损失类贷款额的60%予以风险补贴，具体分担比例由各地根据金融机构小微企业贷款发放总量、损失情况、财力状况等因素综合确定。</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t>第三章  融资流程</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第十二条</w:t>
      </w:r>
      <w:r>
        <w:rPr>
          <w:rFonts w:hint="eastAsia" w:cs="宋体"/>
          <w:sz w:val="24"/>
          <w:szCs w:val="24"/>
          <w:lang w:eastAsia="zh-CN"/>
        </w:rPr>
        <w:t>(</w:t>
      </w:r>
      <w:r>
        <w:rPr>
          <w:rFonts w:hint="eastAsia" w:ascii="宋体" w:hAnsi="宋体" w:eastAsia="宋体" w:cs="宋体"/>
          <w:sz w:val="24"/>
          <w:szCs w:val="24"/>
        </w:rPr>
        <w:t>融资流程</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w:t>
      </w:r>
      <w:r>
        <w:rPr>
          <w:rFonts w:hint="eastAsia" w:ascii="宋体" w:hAnsi="宋体" w:eastAsia="宋体" w:cs="宋体"/>
          <w:sz w:val="24"/>
          <w:szCs w:val="24"/>
        </w:rPr>
        <w:t>一</w:t>
      </w:r>
      <w:r>
        <w:rPr>
          <w:rFonts w:hint="eastAsia" w:cs="宋体"/>
          <w:sz w:val="24"/>
          <w:szCs w:val="24"/>
          <w:lang w:eastAsia="zh-CN"/>
        </w:rPr>
        <w:t>)</w:t>
      </w:r>
      <w:r>
        <w:rPr>
          <w:rFonts w:hint="eastAsia" w:ascii="宋体" w:hAnsi="宋体" w:eastAsia="宋体" w:cs="宋体"/>
          <w:sz w:val="24"/>
          <w:szCs w:val="24"/>
        </w:rPr>
        <w:t>信息发布。采购人应当在发布的采购公告和采购文件中载明采购项目可提供信用融资的信息。</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w:t>
      </w:r>
      <w:r>
        <w:rPr>
          <w:rFonts w:hint="eastAsia" w:ascii="宋体" w:hAnsi="宋体" w:eastAsia="宋体" w:cs="宋体"/>
          <w:sz w:val="24"/>
          <w:szCs w:val="24"/>
        </w:rPr>
        <w:t>二</w:t>
      </w:r>
      <w:r>
        <w:rPr>
          <w:rFonts w:hint="eastAsia" w:cs="宋体"/>
          <w:sz w:val="24"/>
          <w:szCs w:val="24"/>
          <w:lang w:eastAsia="zh-CN"/>
        </w:rPr>
        <w:t>)</w:t>
      </w:r>
      <w:r>
        <w:rPr>
          <w:rFonts w:hint="eastAsia" w:ascii="宋体" w:hAnsi="宋体" w:eastAsia="宋体" w:cs="宋体"/>
          <w:sz w:val="24"/>
          <w:szCs w:val="24"/>
        </w:rPr>
        <w:t>融资申请。有融资需求的供应商自主选择提供政府采购信用融资服务的融资机构及产品，并按要求提供申请资料。</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w:t>
      </w:r>
      <w:r>
        <w:rPr>
          <w:rFonts w:hint="eastAsia" w:ascii="宋体" w:hAnsi="宋体" w:eastAsia="宋体" w:cs="宋体"/>
          <w:sz w:val="24"/>
          <w:szCs w:val="24"/>
        </w:rPr>
        <w:t>三</w:t>
      </w:r>
      <w:r>
        <w:rPr>
          <w:rFonts w:hint="eastAsia" w:cs="宋体"/>
          <w:sz w:val="24"/>
          <w:szCs w:val="24"/>
          <w:lang w:eastAsia="zh-CN"/>
        </w:rPr>
        <w:t>)</w:t>
      </w:r>
      <w:r>
        <w:rPr>
          <w:rFonts w:hint="eastAsia" w:ascii="宋体" w:hAnsi="宋体" w:eastAsia="宋体" w:cs="宋体"/>
          <w:sz w:val="24"/>
          <w:szCs w:val="24"/>
        </w:rPr>
        <w:t>融资审查。融资机构对供应商的融资申请进行审查，并向供应商反馈审查及融资额度等情况。</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w:t>
      </w:r>
      <w:r>
        <w:rPr>
          <w:rFonts w:hint="eastAsia" w:ascii="宋体" w:hAnsi="宋体" w:eastAsia="宋体" w:cs="宋体"/>
          <w:sz w:val="24"/>
          <w:szCs w:val="24"/>
        </w:rPr>
        <w:t>四</w:t>
      </w:r>
      <w:r>
        <w:rPr>
          <w:rFonts w:hint="eastAsia" w:cs="宋体"/>
          <w:sz w:val="24"/>
          <w:szCs w:val="24"/>
          <w:lang w:eastAsia="zh-CN"/>
        </w:rPr>
        <w:t>)</w:t>
      </w:r>
      <w:r>
        <w:rPr>
          <w:rFonts w:hint="eastAsia" w:ascii="宋体" w:hAnsi="宋体" w:eastAsia="宋体" w:cs="宋体"/>
          <w:sz w:val="24"/>
          <w:szCs w:val="24"/>
        </w:rPr>
        <w:t>账户确认。供应商须在合作融资机构开立结算账户，并与采购人在政府采购合同中或通过签订补充协议的方式约定唯一收款账户，融资机构对唯一收款账户进行确认和锁定。</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w:t>
      </w:r>
      <w:r>
        <w:rPr>
          <w:rFonts w:hint="eastAsia" w:ascii="宋体" w:hAnsi="宋体" w:eastAsia="宋体" w:cs="宋体"/>
          <w:sz w:val="24"/>
          <w:szCs w:val="24"/>
        </w:rPr>
        <w:t>五</w:t>
      </w:r>
      <w:r>
        <w:rPr>
          <w:rFonts w:hint="eastAsia" w:cs="宋体"/>
          <w:sz w:val="24"/>
          <w:szCs w:val="24"/>
          <w:lang w:eastAsia="zh-CN"/>
        </w:rPr>
        <w:t>)</w:t>
      </w:r>
      <w:r>
        <w:rPr>
          <w:rFonts w:hint="eastAsia" w:ascii="宋体" w:hAnsi="宋体" w:eastAsia="宋体" w:cs="宋体"/>
          <w:sz w:val="24"/>
          <w:szCs w:val="24"/>
        </w:rPr>
        <w:t>放款。融资机构对政府采购合同及融资相关信息进行确认，并向供应商提供相应的融资产品。</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w:t>
      </w:r>
      <w:r>
        <w:rPr>
          <w:rFonts w:hint="eastAsia" w:ascii="宋体" w:hAnsi="宋体" w:eastAsia="宋体" w:cs="宋体"/>
          <w:sz w:val="24"/>
          <w:szCs w:val="24"/>
        </w:rPr>
        <w:t>六</w:t>
      </w:r>
      <w:r>
        <w:rPr>
          <w:rFonts w:hint="eastAsia" w:cs="宋体"/>
          <w:sz w:val="24"/>
          <w:szCs w:val="24"/>
          <w:lang w:eastAsia="zh-CN"/>
        </w:rPr>
        <w:t>)</w:t>
      </w:r>
      <w:r>
        <w:rPr>
          <w:rFonts w:hint="eastAsia" w:ascii="宋体" w:hAnsi="宋体" w:eastAsia="宋体" w:cs="宋体"/>
          <w:sz w:val="24"/>
          <w:szCs w:val="24"/>
        </w:rPr>
        <w:t>贷款归还。采购人按相关规定和合同约定将合同资金支付至约定的唯一收款账户。</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t>第四章  职责分工</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第十三条</w:t>
      </w:r>
      <w:r>
        <w:rPr>
          <w:rFonts w:hint="eastAsia" w:cs="宋体"/>
          <w:sz w:val="24"/>
          <w:szCs w:val="24"/>
          <w:lang w:eastAsia="zh-CN"/>
        </w:rPr>
        <w:t>(</w:t>
      </w:r>
      <w:r>
        <w:rPr>
          <w:rFonts w:hint="eastAsia" w:ascii="宋体" w:hAnsi="宋体" w:eastAsia="宋体" w:cs="宋体"/>
          <w:sz w:val="24"/>
          <w:szCs w:val="24"/>
        </w:rPr>
        <w:t>财政部门职责</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牵头政府采购信用融资工作，做好政策引导和支持协调，为开展政府采购信用融资提供便利。向融资机构提供相关必要信息，推进政府采购中标</w:t>
      </w:r>
      <w:r>
        <w:rPr>
          <w:rFonts w:hint="eastAsia" w:cs="宋体"/>
          <w:sz w:val="24"/>
          <w:szCs w:val="24"/>
          <w:lang w:eastAsia="zh-CN"/>
        </w:rPr>
        <w:t>(</w:t>
      </w:r>
      <w:r>
        <w:rPr>
          <w:rFonts w:hint="eastAsia" w:ascii="宋体" w:hAnsi="宋体" w:eastAsia="宋体" w:cs="宋体"/>
          <w:sz w:val="24"/>
          <w:szCs w:val="24"/>
        </w:rPr>
        <w:t>成交</w:t>
      </w:r>
      <w:r>
        <w:rPr>
          <w:rFonts w:hint="eastAsia" w:cs="宋体"/>
          <w:sz w:val="24"/>
          <w:szCs w:val="24"/>
          <w:lang w:eastAsia="zh-CN"/>
        </w:rPr>
        <w:t>)</w:t>
      </w:r>
      <w:r>
        <w:rPr>
          <w:rFonts w:hint="eastAsia" w:ascii="宋体" w:hAnsi="宋体" w:eastAsia="宋体" w:cs="宋体"/>
          <w:sz w:val="24"/>
          <w:szCs w:val="24"/>
        </w:rPr>
        <w:t>信息、合同信息、融资信息和信用信息等信息资源共享。适时调整开展政府采购信用融资业务的融资机构名单。但在政府采购信用融资工作中，财政部门不得提供任何形式的担保和承诺。</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第十四条</w:t>
      </w:r>
      <w:r>
        <w:rPr>
          <w:rFonts w:hint="eastAsia" w:cs="宋体"/>
          <w:sz w:val="24"/>
          <w:szCs w:val="24"/>
          <w:lang w:eastAsia="zh-CN"/>
        </w:rPr>
        <w:t>(</w:t>
      </w:r>
      <w:r>
        <w:rPr>
          <w:rFonts w:hint="eastAsia" w:ascii="宋体" w:hAnsi="宋体" w:eastAsia="宋体" w:cs="宋体"/>
          <w:sz w:val="24"/>
          <w:szCs w:val="24"/>
        </w:rPr>
        <w:t>融资机构主管部门职责</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引导融资机构依法依规开展政府采购信用融资。推动成都市政府采购监督管理系统与中征应收账款融资服务平台直联，实现政府采购信用融资线上办理，加强与财政部门的信息共享。</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第十五条</w:t>
      </w:r>
      <w:r>
        <w:rPr>
          <w:rFonts w:hint="eastAsia" w:cs="宋体"/>
          <w:sz w:val="24"/>
          <w:szCs w:val="24"/>
          <w:lang w:eastAsia="zh-CN"/>
        </w:rPr>
        <w:t>(</w:t>
      </w:r>
      <w:r>
        <w:rPr>
          <w:rFonts w:hint="eastAsia" w:ascii="宋体" w:hAnsi="宋体" w:eastAsia="宋体" w:cs="宋体"/>
          <w:sz w:val="24"/>
          <w:szCs w:val="24"/>
        </w:rPr>
        <w:t>采购人职责</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执行并宣传政府采购信用融资政策，在采购公告和采购文件中载明政府采购信用融资政策。在采购代理机构委托协议中明确政府采购信用融资工作相关要求。畅通银企对接渠道，支持供应商开展政府采购信用融资。依法及时公开政府采购合同信息，协助融资机构确认或更改合同支付信息。及时开展履约验收和资金支付工作，不得无故拖延和拒付采购资金。</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第十六条</w:t>
      </w:r>
      <w:r>
        <w:rPr>
          <w:rFonts w:hint="eastAsia" w:cs="宋体"/>
          <w:sz w:val="24"/>
          <w:szCs w:val="24"/>
          <w:lang w:eastAsia="zh-CN"/>
        </w:rPr>
        <w:t>(</w:t>
      </w:r>
      <w:r>
        <w:rPr>
          <w:rFonts w:hint="eastAsia" w:ascii="宋体" w:hAnsi="宋体" w:eastAsia="宋体" w:cs="宋体"/>
          <w:sz w:val="24"/>
          <w:szCs w:val="24"/>
        </w:rPr>
        <w:t>融资机构职责</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宣传和推广政府采购信用融资政策，开发符合政府采购信用融资政策的产品。在做好授信调查的基础上合理确定授信额度。做好融资业务与政府采购业务的系统对接。制定业务管理规范，做好相关风险防控工作。定期向同级财政部门反馈业务开展情况。</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第十七条</w:t>
      </w:r>
      <w:r>
        <w:rPr>
          <w:rFonts w:hint="eastAsia" w:cs="宋体"/>
          <w:sz w:val="24"/>
          <w:szCs w:val="24"/>
          <w:lang w:eastAsia="zh-CN"/>
        </w:rPr>
        <w:t>(</w:t>
      </w:r>
      <w:r>
        <w:rPr>
          <w:rFonts w:hint="eastAsia" w:ascii="宋体" w:hAnsi="宋体" w:eastAsia="宋体" w:cs="宋体"/>
          <w:sz w:val="24"/>
          <w:szCs w:val="24"/>
        </w:rPr>
        <w:t>供应商职责</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依法诚信参与政府采购活动，严格遵守国家法律、法规和政府采购合同约定，对投标</w:t>
      </w:r>
      <w:r>
        <w:rPr>
          <w:rFonts w:hint="eastAsia" w:cs="宋体"/>
          <w:sz w:val="24"/>
          <w:szCs w:val="24"/>
          <w:lang w:eastAsia="zh-CN"/>
        </w:rPr>
        <w:t>(</w:t>
      </w:r>
      <w:r>
        <w:rPr>
          <w:rFonts w:hint="eastAsia" w:ascii="宋体" w:hAnsi="宋体" w:eastAsia="宋体" w:cs="宋体"/>
          <w:sz w:val="24"/>
          <w:szCs w:val="24"/>
        </w:rPr>
        <w:t>响应</w:t>
      </w:r>
      <w:r>
        <w:rPr>
          <w:rFonts w:hint="eastAsia" w:cs="宋体"/>
          <w:sz w:val="24"/>
          <w:szCs w:val="24"/>
          <w:lang w:eastAsia="zh-CN"/>
        </w:rPr>
        <w:t>)</w:t>
      </w:r>
      <w:r>
        <w:rPr>
          <w:rFonts w:hint="eastAsia" w:ascii="宋体" w:hAnsi="宋体" w:eastAsia="宋体" w:cs="宋体"/>
          <w:sz w:val="24"/>
          <w:szCs w:val="24"/>
        </w:rPr>
        <w:t>文件的真实性和相关承诺承担法律责任。真实、完整、准确地向融资机构提供信用融资审查所需相关资料。遵照融资约定及时还本付息。</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t>第五章 监督管理</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第十八条</w:t>
      </w:r>
      <w:r>
        <w:rPr>
          <w:rFonts w:hint="eastAsia" w:cs="宋体"/>
          <w:sz w:val="24"/>
          <w:szCs w:val="24"/>
          <w:lang w:eastAsia="zh-CN"/>
        </w:rPr>
        <w:t>(</w:t>
      </w:r>
      <w:r>
        <w:rPr>
          <w:rFonts w:hint="eastAsia" w:ascii="宋体" w:hAnsi="宋体" w:eastAsia="宋体" w:cs="宋体"/>
          <w:sz w:val="24"/>
          <w:szCs w:val="24"/>
        </w:rPr>
        <w:t>采购人监管</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采购人不执行政府采购信用融资政策，或不正当干预供应商选择合作融资机构，或无故拖延和拒付采购资金的，财政部门视情节进行约谈、通报直至暂停拨付财政资金。</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第十九条</w:t>
      </w:r>
      <w:r>
        <w:rPr>
          <w:rFonts w:hint="eastAsia" w:cs="宋体"/>
          <w:sz w:val="24"/>
          <w:szCs w:val="24"/>
          <w:lang w:eastAsia="zh-CN"/>
        </w:rPr>
        <w:t>(</w:t>
      </w:r>
      <w:r>
        <w:rPr>
          <w:rFonts w:hint="eastAsia" w:ascii="宋体" w:hAnsi="宋体" w:eastAsia="宋体" w:cs="宋体"/>
          <w:sz w:val="24"/>
          <w:szCs w:val="24"/>
        </w:rPr>
        <w:t>融资机构监管</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融资机构违反规定开展政府采购信用融资业务，对政府采购造成负面影响的，财政部门视情节取消其参与政府采购信用融资的业务权限。</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第二十条</w:t>
      </w:r>
      <w:r>
        <w:rPr>
          <w:rFonts w:hint="eastAsia" w:cs="宋体"/>
          <w:sz w:val="24"/>
          <w:szCs w:val="24"/>
          <w:lang w:eastAsia="zh-CN"/>
        </w:rPr>
        <w:t>(</w:t>
      </w:r>
      <w:r>
        <w:rPr>
          <w:rFonts w:hint="eastAsia" w:ascii="宋体" w:hAnsi="宋体" w:eastAsia="宋体" w:cs="宋体"/>
          <w:sz w:val="24"/>
          <w:szCs w:val="24"/>
        </w:rPr>
        <w:t>供应商监管</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供应商弄虚作假或以伪造政府采购合同等方式违规获取政府采购信用融资，或不按约定按时还款付息的，融资机构依法追究相关责任。财政部门将其纳入“不具备《政府采购法》第二十二条第一款第</w:t>
      </w:r>
      <w:r>
        <w:rPr>
          <w:rFonts w:hint="eastAsia" w:cs="宋体"/>
          <w:sz w:val="24"/>
          <w:szCs w:val="24"/>
          <w:lang w:eastAsia="zh-CN"/>
        </w:rPr>
        <w:t>(</w:t>
      </w:r>
      <w:r>
        <w:rPr>
          <w:rFonts w:hint="eastAsia" w:ascii="宋体" w:hAnsi="宋体" w:eastAsia="宋体" w:cs="宋体"/>
          <w:sz w:val="24"/>
          <w:szCs w:val="24"/>
        </w:rPr>
        <w:t>二</w:t>
      </w:r>
      <w:r>
        <w:rPr>
          <w:rFonts w:hint="eastAsia" w:cs="宋体"/>
          <w:sz w:val="24"/>
          <w:szCs w:val="24"/>
          <w:lang w:eastAsia="zh-CN"/>
        </w:rPr>
        <w:t>)</w:t>
      </w:r>
      <w:r>
        <w:rPr>
          <w:rFonts w:hint="eastAsia" w:ascii="宋体" w:hAnsi="宋体" w:eastAsia="宋体" w:cs="宋体"/>
          <w:sz w:val="24"/>
          <w:szCs w:val="24"/>
        </w:rPr>
        <w:t>项规定的具有良好的商业信誉条件”名单并予以公示。</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第二十一条</w:t>
      </w:r>
      <w:bookmarkStart w:id="1168" w:name="BM24558847_25425864_3"/>
      <w:bookmarkEnd w:id="1168"/>
      <w:r>
        <w:rPr>
          <w:rFonts w:hint="eastAsia" w:cs="宋体"/>
          <w:sz w:val="24"/>
          <w:szCs w:val="24"/>
          <w:lang w:eastAsia="zh-CN"/>
        </w:rPr>
        <w:t>(</w:t>
      </w:r>
      <w:r>
        <w:rPr>
          <w:rFonts w:hint="eastAsia" w:ascii="宋体" w:hAnsi="宋体" w:eastAsia="宋体" w:cs="宋体"/>
          <w:sz w:val="24"/>
          <w:szCs w:val="24"/>
        </w:rPr>
        <w:t>相关单位及工作人员监管</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各相关单位及其工作人员在履行职责中存在滥用职权、玩忽职守、徇私舞弊等违法违纪行为的，依照有关规定处理，涉嫌犯罪的，移送司法机关处理。</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t>第六章  附  则</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第二十二条</w:t>
      </w:r>
      <w:r>
        <w:rPr>
          <w:rFonts w:hint="eastAsia" w:cs="宋体"/>
          <w:sz w:val="24"/>
          <w:szCs w:val="24"/>
          <w:lang w:eastAsia="zh-CN"/>
        </w:rPr>
        <w:t>(</w:t>
      </w:r>
      <w:r>
        <w:rPr>
          <w:rFonts w:hint="eastAsia" w:ascii="宋体" w:hAnsi="宋体" w:eastAsia="宋体" w:cs="宋体"/>
          <w:sz w:val="24"/>
          <w:szCs w:val="24"/>
        </w:rPr>
        <w:t>解释相关</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本办法由市财政局会同中国人民银行成都分行营业管理部负责解释。</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第二十三条</w:t>
      </w:r>
      <w:r>
        <w:rPr>
          <w:rFonts w:hint="eastAsia" w:cs="宋体"/>
          <w:sz w:val="24"/>
          <w:szCs w:val="24"/>
          <w:lang w:eastAsia="zh-CN"/>
        </w:rPr>
        <w:t>(</w:t>
      </w:r>
      <w:r>
        <w:rPr>
          <w:rFonts w:hint="eastAsia" w:ascii="宋体" w:hAnsi="宋体" w:eastAsia="宋体" w:cs="宋体"/>
          <w:sz w:val="24"/>
          <w:szCs w:val="24"/>
        </w:rPr>
        <w:t>施行相关</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本办法自印发之日起施行。市财政局、市金融办2013年12月9日印发的《关于开展中小企业政府采购信用担保及融资试点工作的通知》</w:t>
      </w:r>
      <w:r>
        <w:rPr>
          <w:rFonts w:hint="eastAsia" w:cs="宋体"/>
          <w:sz w:val="24"/>
          <w:szCs w:val="24"/>
          <w:lang w:eastAsia="zh-CN"/>
        </w:rPr>
        <w:t>(</w:t>
      </w:r>
      <w:r>
        <w:rPr>
          <w:rFonts w:hint="eastAsia" w:ascii="宋体" w:hAnsi="宋体" w:eastAsia="宋体" w:cs="宋体"/>
          <w:sz w:val="24"/>
          <w:szCs w:val="24"/>
        </w:rPr>
        <w:t>成财采〔2013〕200号</w:t>
      </w:r>
      <w:r>
        <w:rPr>
          <w:rFonts w:hint="eastAsia" w:cs="宋体"/>
          <w:sz w:val="24"/>
          <w:szCs w:val="24"/>
          <w:lang w:eastAsia="zh-CN"/>
        </w:rPr>
        <w:t>)</w:t>
      </w:r>
      <w:r>
        <w:rPr>
          <w:rFonts w:hint="eastAsia" w:ascii="宋体" w:hAnsi="宋体" w:eastAsia="宋体" w:cs="宋体"/>
          <w:sz w:val="24"/>
          <w:szCs w:val="24"/>
        </w:rPr>
        <w:t>同时废止。</w:t>
      </w:r>
    </w:p>
    <w:p>
      <w:pPr>
        <w:rPr>
          <w:rFonts w:hint="eastAsia" w:ascii="宋体" w:hAnsi="宋体" w:eastAsia="宋体" w:cs="宋体"/>
          <w:sz w:val="24"/>
          <w:szCs w:val="24"/>
        </w:rPr>
      </w:pPr>
      <w:r>
        <w:rPr>
          <w:rFonts w:hint="eastAsia" w:ascii="宋体" w:hAnsi="宋体" w:eastAsia="宋体" w:cs="宋体"/>
          <w:sz w:val="24"/>
          <w:szCs w:val="24"/>
        </w:rPr>
        <w:br w:type="page"/>
      </w:r>
    </w:p>
    <w:p>
      <w:pPr>
        <w:keepNext w:val="0"/>
        <w:keepLines w:val="0"/>
        <w:pageBreakBefore w:val="0"/>
        <w:widowControl w:val="0"/>
        <w:kinsoku/>
        <w:wordWrap/>
        <w:overflowPunct/>
        <w:topLinePunct/>
        <w:autoSpaceDE/>
        <w:autoSpaceDN/>
        <w:bidi w:val="0"/>
        <w:adjustRightIn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附件2</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autoSpaceDE/>
        <w:autoSpaceDN/>
        <w:bidi w:val="0"/>
        <w:adjustRightInd/>
        <w:snapToGrid w:val="0"/>
        <w:spacing w:line="44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成都市级支持中小企业政府采购</w:t>
      </w:r>
    </w:p>
    <w:p>
      <w:pPr>
        <w:keepNext w:val="0"/>
        <w:keepLines w:val="0"/>
        <w:pageBreakBefore w:val="0"/>
        <w:widowControl w:val="0"/>
        <w:kinsoku/>
        <w:wordWrap/>
        <w:overflowPunct/>
        <w:topLinePunct/>
        <w:autoSpaceDE/>
        <w:autoSpaceDN/>
        <w:bidi w:val="0"/>
        <w:adjustRightInd/>
        <w:snapToGrid w:val="0"/>
        <w:spacing w:line="44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信用融资实施方案</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贯彻落实中央、省、市关于支持民营经济健康发展相关精神和政府采购支持中小企业发展政策，有效缓解中小企业融资难、融资贵问题，支持中小企业参与政府采购活动，促进中小企业发展，根据《成都市中小企业政府采购信用融资暂行办法》</w:t>
      </w:r>
      <w:r>
        <w:rPr>
          <w:rFonts w:hint="eastAsia" w:cs="宋体"/>
          <w:sz w:val="24"/>
          <w:szCs w:val="24"/>
          <w:lang w:eastAsia="zh-CN"/>
        </w:rPr>
        <w:t>(</w:t>
      </w:r>
      <w:r>
        <w:rPr>
          <w:rFonts w:hint="eastAsia" w:ascii="宋体" w:hAnsi="宋体" w:eastAsia="宋体" w:cs="宋体"/>
          <w:sz w:val="24"/>
          <w:szCs w:val="24"/>
        </w:rPr>
        <w:t>以下简称《暂行办法》</w:t>
      </w:r>
      <w:r>
        <w:rPr>
          <w:rFonts w:hint="eastAsia" w:cs="宋体"/>
          <w:sz w:val="24"/>
          <w:szCs w:val="24"/>
          <w:lang w:eastAsia="zh-CN"/>
        </w:rPr>
        <w:t>)</w:t>
      </w:r>
      <w:r>
        <w:rPr>
          <w:rFonts w:hint="eastAsia" w:ascii="宋体" w:hAnsi="宋体" w:eastAsia="宋体" w:cs="宋体"/>
          <w:sz w:val="24"/>
          <w:szCs w:val="24"/>
        </w:rPr>
        <w:t>，制定本实施方案</w:t>
      </w:r>
      <w:r>
        <w:rPr>
          <w:rFonts w:hint="eastAsia" w:cs="宋体"/>
          <w:sz w:val="24"/>
          <w:szCs w:val="24"/>
          <w:lang w:eastAsia="zh-CN"/>
        </w:rPr>
        <w:t>(</w:t>
      </w:r>
      <w:r>
        <w:rPr>
          <w:rFonts w:hint="eastAsia" w:ascii="宋体" w:hAnsi="宋体" w:eastAsia="宋体" w:cs="宋体"/>
          <w:sz w:val="24"/>
          <w:szCs w:val="24"/>
        </w:rPr>
        <w:t>以下简称《实施方案》</w:t>
      </w:r>
      <w:r>
        <w:rPr>
          <w:rFonts w:hint="eastAsia" w:cs="宋体"/>
          <w:sz w:val="24"/>
          <w:szCs w:val="24"/>
          <w:lang w:eastAsia="zh-CN"/>
        </w:rPr>
        <w:t>)</w:t>
      </w:r>
      <w:r>
        <w:rPr>
          <w:rFonts w:hint="eastAsia" w:ascii="宋体" w:hAnsi="宋体" w:eastAsia="宋体" w:cs="宋体"/>
          <w:sz w:val="24"/>
          <w:szCs w:val="24"/>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一、目标任务</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全面贯彻落实国务院、四川省、成都市关于支持中小企业发展精神，充分发挥政府采购扶持中小企业发展的政策功能，持续推进和完善政府采购诚信体系建设，引导融资机构扩大对政府采购中标</w:t>
      </w:r>
      <w:r>
        <w:rPr>
          <w:rFonts w:hint="eastAsia" w:cs="宋体"/>
          <w:sz w:val="24"/>
          <w:szCs w:val="24"/>
          <w:lang w:eastAsia="zh-CN"/>
        </w:rPr>
        <w:t>(</w:t>
      </w:r>
      <w:r>
        <w:rPr>
          <w:rFonts w:hint="eastAsia" w:ascii="宋体" w:hAnsi="宋体" w:eastAsia="宋体" w:cs="宋体"/>
          <w:sz w:val="24"/>
          <w:szCs w:val="24"/>
        </w:rPr>
        <w:t>成交</w:t>
      </w:r>
      <w:r>
        <w:rPr>
          <w:rFonts w:hint="eastAsia" w:cs="宋体"/>
          <w:sz w:val="24"/>
          <w:szCs w:val="24"/>
          <w:lang w:eastAsia="zh-CN"/>
        </w:rPr>
        <w:t>)</w:t>
      </w:r>
      <w:r>
        <w:rPr>
          <w:rFonts w:hint="eastAsia" w:ascii="宋体" w:hAnsi="宋体" w:eastAsia="宋体" w:cs="宋体"/>
          <w:sz w:val="24"/>
          <w:szCs w:val="24"/>
        </w:rPr>
        <w:t>中小企业供应商</w:t>
      </w:r>
      <w:r>
        <w:rPr>
          <w:rFonts w:hint="eastAsia" w:cs="宋体"/>
          <w:sz w:val="24"/>
          <w:szCs w:val="24"/>
          <w:lang w:eastAsia="zh-CN"/>
        </w:rPr>
        <w:t>(</w:t>
      </w:r>
      <w:r>
        <w:rPr>
          <w:rFonts w:hint="eastAsia" w:ascii="宋体" w:hAnsi="宋体" w:eastAsia="宋体" w:cs="宋体"/>
          <w:sz w:val="24"/>
          <w:szCs w:val="24"/>
        </w:rPr>
        <w:t>以下简称供应商</w:t>
      </w:r>
      <w:r>
        <w:rPr>
          <w:rFonts w:hint="eastAsia" w:cs="宋体"/>
          <w:sz w:val="24"/>
          <w:szCs w:val="24"/>
          <w:lang w:eastAsia="zh-CN"/>
        </w:rPr>
        <w:t>)</w:t>
      </w:r>
      <w:r>
        <w:rPr>
          <w:rFonts w:hint="eastAsia" w:ascii="宋体" w:hAnsi="宋体" w:eastAsia="宋体" w:cs="宋体"/>
          <w:sz w:val="24"/>
          <w:szCs w:val="24"/>
        </w:rPr>
        <w:t>的融资规模，积极营造良好的营商环境，促进中小企业高质量发展。</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二、适用范围</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本《实施方案》适用于成都市本级政府采购信用融资工作。</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三、基本原则 </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w:t>
      </w:r>
      <w:r>
        <w:rPr>
          <w:rFonts w:hint="eastAsia" w:ascii="宋体" w:hAnsi="宋体" w:eastAsia="宋体" w:cs="宋体"/>
          <w:sz w:val="24"/>
          <w:szCs w:val="24"/>
        </w:rPr>
        <w:t>一</w:t>
      </w:r>
      <w:r>
        <w:rPr>
          <w:rFonts w:hint="eastAsia" w:cs="宋体"/>
          <w:sz w:val="24"/>
          <w:szCs w:val="24"/>
          <w:lang w:eastAsia="zh-CN"/>
        </w:rPr>
        <w:t>)</w:t>
      </w:r>
      <w:r>
        <w:rPr>
          <w:rFonts w:hint="eastAsia" w:ascii="宋体" w:hAnsi="宋体" w:eastAsia="宋体" w:cs="宋体"/>
          <w:sz w:val="24"/>
          <w:szCs w:val="24"/>
        </w:rPr>
        <w:t>政府引导、市场主导。坚持政采搭台、市场运作，市财政局、中国人民银行成都分行营业管理部牵头组织并指导市级政府采购信用融资工作，但不参与政府采购信用融资具体业务。融资机构和供应商通过市场化运作的方式开展政府采购信用融资工作。</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w:t>
      </w:r>
      <w:r>
        <w:rPr>
          <w:rFonts w:hint="eastAsia" w:ascii="宋体" w:hAnsi="宋体" w:eastAsia="宋体" w:cs="宋体"/>
          <w:sz w:val="24"/>
          <w:szCs w:val="24"/>
        </w:rPr>
        <w:t>二</w:t>
      </w:r>
      <w:r>
        <w:rPr>
          <w:rFonts w:hint="eastAsia" w:cs="宋体"/>
          <w:sz w:val="24"/>
          <w:szCs w:val="24"/>
          <w:lang w:eastAsia="zh-CN"/>
        </w:rPr>
        <w:t>)</w:t>
      </w:r>
      <w:r>
        <w:rPr>
          <w:rFonts w:hint="eastAsia" w:ascii="宋体" w:hAnsi="宋体" w:eastAsia="宋体" w:cs="宋体"/>
          <w:sz w:val="24"/>
          <w:szCs w:val="24"/>
        </w:rPr>
        <w:t>自愿选择、自担风险。融资机构自愿选择是否开展政府采购信用融资业务。供应商自主决定是否享受政府采购信用融资政策，并自由选择信用融资合作方。融资机构与供应商自行承担政府采购信用融资的业务风险。</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w:t>
      </w:r>
      <w:r>
        <w:rPr>
          <w:rFonts w:hint="eastAsia" w:ascii="宋体" w:hAnsi="宋体" w:eastAsia="宋体" w:cs="宋体"/>
          <w:sz w:val="24"/>
          <w:szCs w:val="24"/>
        </w:rPr>
        <w:t>三</w:t>
      </w:r>
      <w:r>
        <w:rPr>
          <w:rFonts w:hint="eastAsia" w:cs="宋体"/>
          <w:sz w:val="24"/>
          <w:szCs w:val="24"/>
          <w:lang w:eastAsia="zh-CN"/>
        </w:rPr>
        <w:t>)</w:t>
      </w:r>
      <w:r>
        <w:rPr>
          <w:rFonts w:hint="eastAsia" w:ascii="宋体" w:hAnsi="宋体" w:eastAsia="宋体" w:cs="宋体"/>
          <w:sz w:val="24"/>
          <w:szCs w:val="24"/>
        </w:rPr>
        <w:t>诚实信用、互惠共赢。引导供应商树立“诚信创造价值”的理念，通过政府采购信用融资支持供应商依法、诚信经营。利用信息化技术搭建信息互通平台，在诚实信用、互惠互利基础上，促进供应商与融资机构实现良性互动、合作共赢。</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四、组织实施</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w:t>
      </w:r>
      <w:r>
        <w:rPr>
          <w:rFonts w:hint="eastAsia" w:ascii="宋体" w:hAnsi="宋体" w:eastAsia="宋体" w:cs="宋体"/>
          <w:sz w:val="24"/>
          <w:szCs w:val="24"/>
        </w:rPr>
        <w:t>一</w:t>
      </w:r>
      <w:r>
        <w:rPr>
          <w:rFonts w:hint="eastAsia" w:cs="宋体"/>
          <w:sz w:val="24"/>
          <w:szCs w:val="24"/>
          <w:lang w:eastAsia="zh-CN"/>
        </w:rPr>
        <w:t>)</w:t>
      </w:r>
      <w:r>
        <w:rPr>
          <w:rFonts w:hint="eastAsia" w:ascii="宋体" w:hAnsi="宋体" w:eastAsia="宋体" w:cs="宋体"/>
          <w:sz w:val="24"/>
          <w:szCs w:val="24"/>
        </w:rPr>
        <w:t>宣传动员</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sz w:val="24"/>
          <w:szCs w:val="24"/>
        </w:rPr>
        <w:t>相关部门和单位采取多种方式积极宣传《暂行办法》和《实</w:t>
      </w:r>
      <w:r>
        <w:rPr>
          <w:rFonts w:hint="eastAsia" w:ascii="宋体" w:hAnsi="宋体" w:eastAsia="宋体" w:cs="宋体"/>
          <w:color w:val="000000"/>
          <w:sz w:val="24"/>
          <w:szCs w:val="24"/>
        </w:rPr>
        <w:t>施方案》，落实财政部门、融资机构主管部门、采购人、融资机构等职责任务，明确各项工作目标任务，确保成都市级政府采购信用融资工作有序推进。</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w:t>
      </w:r>
      <w:r>
        <w:rPr>
          <w:rFonts w:hint="eastAsia" w:ascii="宋体" w:hAnsi="宋体" w:eastAsia="宋体" w:cs="宋体"/>
          <w:sz w:val="24"/>
          <w:szCs w:val="24"/>
        </w:rPr>
        <w:t>二</w:t>
      </w:r>
      <w:r>
        <w:rPr>
          <w:rFonts w:hint="eastAsia" w:cs="宋体"/>
          <w:sz w:val="24"/>
          <w:szCs w:val="24"/>
          <w:lang w:eastAsia="zh-CN"/>
        </w:rPr>
        <w:t>)</w:t>
      </w:r>
      <w:r>
        <w:rPr>
          <w:rFonts w:hint="eastAsia" w:ascii="宋体" w:hAnsi="宋体" w:eastAsia="宋体" w:cs="宋体"/>
          <w:sz w:val="24"/>
          <w:szCs w:val="24"/>
        </w:rPr>
        <w:t>融资机构选择</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1．报名。有意向按照《暂行办法》和《实施方案》开展政府采购信用融资业务的融资机构，由其在蓉最高机构或在蓉最高机构指定的分支机构在市财政局政府采购监督管理处报名。报名需提供以下材料：</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000000"/>
          <w:sz w:val="24"/>
          <w:szCs w:val="24"/>
        </w:rPr>
      </w:pPr>
      <w:r>
        <w:rPr>
          <w:rFonts w:hint="eastAsia" w:cs="宋体"/>
          <w:color w:val="000000"/>
          <w:sz w:val="24"/>
          <w:szCs w:val="24"/>
          <w:lang w:eastAsia="zh-CN"/>
        </w:rPr>
        <w:t>(</w:t>
      </w:r>
      <w:r>
        <w:rPr>
          <w:rFonts w:hint="eastAsia" w:ascii="宋体" w:hAnsi="宋体" w:eastAsia="宋体" w:cs="宋体"/>
          <w:color w:val="000000"/>
          <w:sz w:val="24"/>
          <w:szCs w:val="24"/>
        </w:rPr>
        <w:t>1</w:t>
      </w:r>
      <w:r>
        <w:rPr>
          <w:rFonts w:hint="eastAsia" w:cs="宋体"/>
          <w:color w:val="000000"/>
          <w:sz w:val="24"/>
          <w:szCs w:val="24"/>
          <w:lang w:eastAsia="zh-CN"/>
        </w:rPr>
        <w:t>)</w:t>
      </w:r>
      <w:r>
        <w:rPr>
          <w:rFonts w:hint="eastAsia" w:ascii="宋体" w:hAnsi="宋体" w:eastAsia="宋体" w:cs="宋体"/>
          <w:color w:val="000000"/>
          <w:sz w:val="24"/>
          <w:szCs w:val="24"/>
        </w:rPr>
        <w:t>融资机构基本情况；</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000000"/>
          <w:sz w:val="24"/>
          <w:szCs w:val="24"/>
        </w:rPr>
      </w:pPr>
      <w:r>
        <w:rPr>
          <w:rFonts w:hint="eastAsia" w:cs="宋体"/>
          <w:color w:val="000000"/>
          <w:sz w:val="24"/>
          <w:szCs w:val="24"/>
          <w:lang w:eastAsia="zh-CN"/>
        </w:rPr>
        <w:t>(</w:t>
      </w:r>
      <w:r>
        <w:rPr>
          <w:rFonts w:hint="eastAsia" w:ascii="宋体" w:hAnsi="宋体" w:eastAsia="宋体" w:cs="宋体"/>
          <w:color w:val="000000"/>
          <w:sz w:val="24"/>
          <w:szCs w:val="24"/>
        </w:rPr>
        <w:t>2</w:t>
      </w:r>
      <w:r>
        <w:rPr>
          <w:rFonts w:hint="eastAsia" w:cs="宋体"/>
          <w:color w:val="000000"/>
          <w:sz w:val="24"/>
          <w:szCs w:val="24"/>
          <w:lang w:eastAsia="zh-CN"/>
        </w:rPr>
        <w:t>)</w:t>
      </w:r>
      <w:r>
        <w:rPr>
          <w:rFonts w:hint="eastAsia" w:ascii="宋体" w:hAnsi="宋体" w:eastAsia="宋体" w:cs="宋体"/>
          <w:color w:val="000000"/>
          <w:sz w:val="24"/>
          <w:szCs w:val="24"/>
        </w:rPr>
        <w:t>政府采购信用融资实施方案</w:t>
      </w:r>
      <w:r>
        <w:rPr>
          <w:rFonts w:hint="eastAsia" w:cs="宋体"/>
          <w:color w:val="000000"/>
          <w:sz w:val="24"/>
          <w:szCs w:val="24"/>
          <w:lang w:eastAsia="zh-CN"/>
        </w:rPr>
        <w:t>(</w:t>
      </w:r>
      <w:r>
        <w:rPr>
          <w:rFonts w:hint="eastAsia" w:ascii="宋体" w:hAnsi="宋体" w:eastAsia="宋体" w:cs="宋体"/>
          <w:color w:val="000000"/>
          <w:sz w:val="24"/>
          <w:szCs w:val="24"/>
        </w:rPr>
        <w:t>包括授信政策、融资产品、贷款利率及其它优惠措施、业务流程及各环节办结时间、联系方式等</w:t>
      </w:r>
      <w:r>
        <w:rPr>
          <w:rFonts w:hint="eastAsia" w:cs="宋体"/>
          <w:color w:val="000000"/>
          <w:sz w:val="24"/>
          <w:szCs w:val="24"/>
          <w:lang w:eastAsia="zh-CN"/>
        </w:rPr>
        <w:t>)</w:t>
      </w:r>
      <w:r>
        <w:rPr>
          <w:rFonts w:hint="eastAsia" w:ascii="宋体" w:hAnsi="宋体" w:eastAsia="宋体" w:cs="宋体"/>
          <w:color w:val="000000"/>
          <w:sz w:val="24"/>
          <w:szCs w:val="24"/>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000000"/>
          <w:sz w:val="24"/>
          <w:szCs w:val="24"/>
        </w:rPr>
      </w:pPr>
      <w:r>
        <w:rPr>
          <w:rFonts w:hint="eastAsia" w:cs="宋体"/>
          <w:color w:val="000000"/>
          <w:sz w:val="24"/>
          <w:szCs w:val="24"/>
          <w:lang w:eastAsia="zh-CN"/>
        </w:rPr>
        <w:t>(</w:t>
      </w:r>
      <w:r>
        <w:rPr>
          <w:rFonts w:hint="eastAsia" w:ascii="宋体" w:hAnsi="宋体" w:eastAsia="宋体" w:cs="宋体"/>
          <w:color w:val="000000"/>
          <w:sz w:val="24"/>
          <w:szCs w:val="24"/>
        </w:rPr>
        <w:t>3</w:t>
      </w:r>
      <w:r>
        <w:rPr>
          <w:rFonts w:hint="eastAsia" w:cs="宋体"/>
          <w:color w:val="000000"/>
          <w:sz w:val="24"/>
          <w:szCs w:val="24"/>
          <w:lang w:eastAsia="zh-CN"/>
        </w:rPr>
        <w:t>)</w:t>
      </w:r>
      <w:r>
        <w:rPr>
          <w:rFonts w:hint="eastAsia" w:ascii="宋体" w:hAnsi="宋体" w:eastAsia="宋体" w:cs="宋体"/>
          <w:color w:val="000000"/>
          <w:sz w:val="24"/>
          <w:szCs w:val="24"/>
        </w:rPr>
        <w:t>关于遵照《暂行办法》和《实施方案》开展政府采购信用融资业务的承诺；</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000000"/>
          <w:sz w:val="24"/>
          <w:szCs w:val="24"/>
        </w:rPr>
      </w:pPr>
      <w:r>
        <w:rPr>
          <w:rFonts w:hint="eastAsia" w:cs="宋体"/>
          <w:color w:val="000000"/>
          <w:sz w:val="24"/>
          <w:szCs w:val="24"/>
          <w:lang w:eastAsia="zh-CN"/>
        </w:rPr>
        <w:t>(</w:t>
      </w:r>
      <w:r>
        <w:rPr>
          <w:rFonts w:hint="eastAsia" w:ascii="宋体" w:hAnsi="宋体" w:eastAsia="宋体" w:cs="宋体"/>
          <w:color w:val="000000"/>
          <w:sz w:val="24"/>
          <w:szCs w:val="24"/>
        </w:rPr>
        <w:t>4</w:t>
      </w:r>
      <w:r>
        <w:rPr>
          <w:rFonts w:hint="eastAsia" w:cs="宋体"/>
          <w:color w:val="000000"/>
          <w:sz w:val="24"/>
          <w:szCs w:val="24"/>
          <w:lang w:eastAsia="zh-CN"/>
        </w:rPr>
        <w:t>)</w:t>
      </w:r>
      <w:r>
        <w:rPr>
          <w:rFonts w:hint="eastAsia" w:ascii="宋体" w:hAnsi="宋体" w:eastAsia="宋体" w:cs="宋体"/>
          <w:color w:val="000000"/>
          <w:sz w:val="24"/>
          <w:szCs w:val="24"/>
        </w:rPr>
        <w:t>关于政府采购信用融资业务风险及系统对接研发费用自行承担的承诺。</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2．系统对接。融资机构成功报名后，须按要求完成政府采购信用融资业务与成都市政府采购监督管理系统的技术对接。</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3．确定融资机构。市财政局将完成系统对接的融资机构确定为我市开展政府采购信用融资业务的融资机构，并在成都市政府采购监督管理系统集中展示，为供应商开展融资提供指引。</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w:t>
      </w:r>
      <w:r>
        <w:rPr>
          <w:rFonts w:hint="eastAsia" w:ascii="宋体" w:hAnsi="宋体" w:eastAsia="宋体" w:cs="宋体"/>
          <w:sz w:val="24"/>
          <w:szCs w:val="24"/>
        </w:rPr>
        <w:t>三</w:t>
      </w:r>
      <w:r>
        <w:rPr>
          <w:rFonts w:hint="eastAsia" w:cs="宋体"/>
          <w:sz w:val="24"/>
          <w:szCs w:val="24"/>
          <w:lang w:eastAsia="zh-CN"/>
        </w:rPr>
        <w:t>)</w:t>
      </w:r>
      <w:r>
        <w:rPr>
          <w:rFonts w:hint="eastAsia" w:ascii="宋体" w:hAnsi="宋体" w:eastAsia="宋体" w:cs="宋体"/>
          <w:sz w:val="24"/>
          <w:szCs w:val="24"/>
        </w:rPr>
        <w:t>其他事项</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成都市级政府采购信用融资工作通过成都市政府采购监督管理系统实行全流程在线管理。成都市政府采购监督管理系统启用前或升级维护期间，市级政府采购信用融资业务按照《暂行办法》相关规定进行离线办理，并在系统正常运行后上传相关信息。</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五、相关要求</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w:t>
      </w:r>
      <w:r>
        <w:rPr>
          <w:rFonts w:hint="eastAsia" w:ascii="宋体" w:hAnsi="宋体" w:eastAsia="宋体" w:cs="宋体"/>
          <w:sz w:val="24"/>
          <w:szCs w:val="24"/>
        </w:rPr>
        <w:t>一</w:t>
      </w:r>
      <w:r>
        <w:rPr>
          <w:rFonts w:hint="eastAsia" w:cs="宋体"/>
          <w:sz w:val="24"/>
          <w:szCs w:val="24"/>
          <w:lang w:eastAsia="zh-CN"/>
        </w:rPr>
        <w:t>)</w:t>
      </w:r>
      <w:r>
        <w:rPr>
          <w:rFonts w:hint="eastAsia" w:ascii="宋体" w:hAnsi="宋体" w:eastAsia="宋体" w:cs="宋体"/>
          <w:sz w:val="24"/>
          <w:szCs w:val="24"/>
        </w:rPr>
        <w:t>加强组织领导。</w:t>
      </w:r>
      <w:r>
        <w:rPr>
          <w:rFonts w:hint="eastAsia" w:ascii="宋体" w:hAnsi="宋体" w:eastAsia="宋体" w:cs="宋体"/>
          <w:color w:val="000000"/>
          <w:kern w:val="0"/>
          <w:sz w:val="24"/>
          <w:szCs w:val="24"/>
        </w:rPr>
        <w:t>政府采购信用融资是缓解中小企业资金短缺压力，优化中小企业发展环境，促进我市经济发展的重要举措。市级各部门、单位要统一思想，充分认识此项工作的重要意义，认真抓好政策落实，</w:t>
      </w:r>
      <w:r>
        <w:rPr>
          <w:rFonts w:hint="eastAsia" w:ascii="宋体" w:hAnsi="宋体" w:eastAsia="宋体" w:cs="宋体"/>
          <w:sz w:val="24"/>
          <w:szCs w:val="24"/>
        </w:rPr>
        <w:t>全面、有序、科学推进政府采购信用融资工作。</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w:t>
      </w:r>
      <w:r>
        <w:rPr>
          <w:rFonts w:hint="eastAsia" w:ascii="宋体" w:hAnsi="宋体" w:eastAsia="宋体" w:cs="宋体"/>
          <w:sz w:val="24"/>
          <w:szCs w:val="24"/>
        </w:rPr>
        <w:t>二</w:t>
      </w:r>
      <w:r>
        <w:rPr>
          <w:rFonts w:hint="eastAsia" w:cs="宋体"/>
          <w:sz w:val="24"/>
          <w:szCs w:val="24"/>
          <w:lang w:eastAsia="zh-CN"/>
        </w:rPr>
        <w:t>)</w:t>
      </w:r>
      <w:r>
        <w:rPr>
          <w:rFonts w:hint="eastAsia" w:ascii="宋体" w:hAnsi="宋体" w:eastAsia="宋体" w:cs="宋体"/>
          <w:sz w:val="24"/>
          <w:szCs w:val="24"/>
        </w:rPr>
        <w:t>注重协调配合。</w:t>
      </w:r>
      <w:r>
        <w:rPr>
          <w:rFonts w:hint="eastAsia" w:ascii="宋体" w:hAnsi="宋体" w:eastAsia="宋体" w:cs="宋体"/>
          <w:color w:val="000000"/>
          <w:kern w:val="0"/>
          <w:sz w:val="24"/>
          <w:szCs w:val="24"/>
        </w:rPr>
        <w:t>市财政局、中国人民银行成都分行营业管理部及采购人</w:t>
      </w:r>
      <w:r>
        <w:rPr>
          <w:rFonts w:hint="eastAsia" w:ascii="宋体" w:hAnsi="宋体" w:eastAsia="宋体" w:cs="宋体"/>
          <w:sz w:val="24"/>
          <w:szCs w:val="24"/>
        </w:rPr>
        <w:t>等有关单位要根据职责任务，及时协调解决工作中遇到的困难和问题，积极</w:t>
      </w:r>
      <w:r>
        <w:rPr>
          <w:rFonts w:hint="eastAsia" w:ascii="宋体" w:hAnsi="宋体" w:eastAsia="宋体" w:cs="宋体"/>
          <w:color w:val="000000"/>
          <w:kern w:val="0"/>
          <w:sz w:val="24"/>
          <w:szCs w:val="24"/>
        </w:rPr>
        <w:t>创造条件主动服务，帮助有融资需求、符合条件的供应商实现政府采购信用融资，促进中小企业又好又快发展</w:t>
      </w:r>
      <w:r>
        <w:rPr>
          <w:rFonts w:hint="eastAsia" w:ascii="宋体" w:hAnsi="宋体" w:eastAsia="宋体" w:cs="宋体"/>
          <w:sz w:val="24"/>
          <w:szCs w:val="24"/>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lang w:val="en-US" w:eastAsia="zh-CN"/>
        </w:rPr>
      </w:pPr>
      <w:r>
        <w:rPr>
          <w:rFonts w:hint="eastAsia" w:cs="宋体"/>
          <w:sz w:val="24"/>
          <w:szCs w:val="24"/>
          <w:lang w:eastAsia="zh-CN"/>
        </w:rPr>
        <w:t>(</w:t>
      </w:r>
      <w:r>
        <w:rPr>
          <w:rFonts w:hint="eastAsia" w:ascii="宋体" w:hAnsi="宋体" w:eastAsia="宋体" w:cs="宋体"/>
          <w:sz w:val="24"/>
          <w:szCs w:val="24"/>
        </w:rPr>
        <w:t>三</w:t>
      </w:r>
      <w:r>
        <w:rPr>
          <w:rFonts w:hint="eastAsia" w:cs="宋体"/>
          <w:sz w:val="24"/>
          <w:szCs w:val="24"/>
          <w:lang w:eastAsia="zh-CN"/>
        </w:rPr>
        <w:t>)</w:t>
      </w:r>
      <w:r>
        <w:rPr>
          <w:rFonts w:hint="eastAsia" w:ascii="宋体" w:hAnsi="宋体" w:eastAsia="宋体" w:cs="宋体"/>
          <w:sz w:val="24"/>
          <w:szCs w:val="24"/>
        </w:rPr>
        <w:t>强化宣传引导。各相关部门、单位要不断优化工作机制，为中小企业供应商提供优质服务。强化宣传引导，不断扩大政府采购信用融资政策的知晓度。加强跟踪问效，让政府采购信用融资惠及更多中小企业，积极营造良好的营商环境。</w:t>
      </w:r>
    </w:p>
    <w:p>
      <w:pPr>
        <w:pStyle w:val="45"/>
        <w:bidi w:val="0"/>
      </w:pPr>
    </w:p>
    <w:sectPr>
      <w:headerReference r:id="rId15" w:type="first"/>
      <w:footerReference r:id="rId17" w:type="first"/>
      <w:headerReference r:id="rId14" w:type="default"/>
      <w:footerReference r:id="rId16" w:type="default"/>
      <w:pgSz w:w="11906" w:h="16838"/>
      <w:pgMar w:top="1440" w:right="1080" w:bottom="1440" w:left="1080" w:header="851" w:footer="992" w:gutter="0"/>
      <w:pgNumType w:fmt="decimal"/>
      <w:cols w:space="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5E2B7D8-3FBA-4CDC-A7AB-9C48D0D4A55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59790C0E-6A95-483A-BABB-7C67FF6583B9}"/>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方正小标宋简体">
    <w:panose1 w:val="02000000000000000000"/>
    <w:charset w:val="86"/>
    <w:family w:val="auto"/>
    <w:pitch w:val="default"/>
    <w:sig w:usb0="A00002BF" w:usb1="184F6CFA" w:usb2="00000012" w:usb3="00000000" w:csb0="00040001" w:csb1="00000000"/>
    <w:embedRegular r:id="rId3" w:fontKey="{072BBE87-9AF6-4E8F-85C5-895C05FA4C7B}"/>
  </w:font>
  <w:font w:name="方正仿宋_GBK">
    <w:panose1 w:val="03000509000000000000"/>
    <w:charset w:val="86"/>
    <w:family w:val="script"/>
    <w:pitch w:val="default"/>
    <w:sig w:usb0="00000000" w:usb1="00000000" w:usb2="00000000" w:usb3="00000000" w:csb0="00000000" w:csb1="00000000"/>
    <w:embedRegular r:id="rId4" w:fontKey="{D3878398-0B69-4ED4-B7BF-F8516CB27614}"/>
  </w:font>
  <w:font w:name="方正小标宋_GBK">
    <w:panose1 w:val="02000000000000000000"/>
    <w:charset w:val="86"/>
    <w:family w:val="script"/>
    <w:pitch w:val="default"/>
    <w:sig w:usb0="00000000" w:usb1="00000000" w:usb2="00000000" w:usb3="00000000" w:csb0="00000000" w:csb1="00000000"/>
    <w:embedRegular r:id="rId5" w:fontKey="{DBC500D4-E715-4209-87D8-8EA510BA9B68}"/>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ind w:right="360"/>
      <w:rPr>
        <w:rFonts w:hint="eastAsia"/>
        <w:sz w:val="15"/>
        <w:szCs w:val="15"/>
      </w:rPr>
    </w:pPr>
    <w:r>
      <w:rPr>
        <w:rFonts w:ascii="宋体" w:hAnsi="Calibri" w:eastAsia="宋体" w:cs="黑体"/>
        <w:sz w:val="15"/>
        <w:szCs w:val="20"/>
        <w:lang w:val="en-US" w:eastAsia="zh-CN" w:bidi="ar-SA"/>
      </w:rPr>
      <mc:AlternateContent>
        <mc:Choice Requires="wps">
          <w:drawing>
            <wp:anchor distT="0" distB="0" distL="114300" distR="114300" simplePos="0" relativeHeight="251661312" behindDoc="0" locked="0" layoutInCell="1" allowOverlap="1">
              <wp:simplePos x="0" y="0"/>
              <wp:positionH relativeFrom="margin">
                <wp:posOffset>3034665</wp:posOffset>
              </wp:positionH>
              <wp:positionV relativeFrom="paragraph">
                <wp:posOffset>0</wp:posOffset>
              </wp:positionV>
              <wp:extent cx="114935" cy="147955"/>
              <wp:effectExtent l="0" t="0" r="0" b="0"/>
              <wp:wrapNone/>
              <wp:docPr id="4" name="矩形 4"/>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rFonts w:hint="eastAsia"/>
                              <w:sz w:val="18"/>
                            </w:rPr>
                          </w:pPr>
                        </w:p>
                      </w:txbxContent>
                    </wps:txbx>
                    <wps:bodyPr wrap="none" lIns="0" tIns="0" rIns="0" bIns="0" upright="1">
                      <a:spAutoFit/>
                    </wps:bodyPr>
                  </wps:wsp>
                </a:graphicData>
              </a:graphic>
            </wp:anchor>
          </w:drawing>
        </mc:Choice>
        <mc:Fallback>
          <w:pict>
            <v:rect id="_x0000_s1026" o:spid="_x0000_s1026" o:spt="1" style="position:absolute;left:0pt;margin-left:238.95pt;margin-top:0pt;height:11.65pt;width:9.05pt;mso-position-horizontal-relative:margin;mso-wrap-style:none;z-index:251661312;mso-width-relative:page;mso-height-relative:page;" filled="f" stroked="f" coordsize="21600,21600" o:gfxdata="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M/edfWAAAABwEAAA8AAAAAAAAAAQAgAAAAIgAAAGRycy9kb3ducmV2&#10;LnhtbFBLAQIUABQAAAAIAIdO4kBuI/RkxQEAAIoDAAAOAAAAAAAAAAEAIAAAACUBAABkcnMvZTJv&#10;RG9jLnhtbFBLBQYAAAAABgAGAFkBAABcBQAAAAA=&#10;">
              <v:fill on="f" focussize="0,0"/>
              <v:stroke on="f"/>
              <v:imagedata o:title=""/>
              <o:lock v:ext="edit" aspectratio="f"/>
              <v:textbox inset="0mm,0mm,0mm,0mm" style="mso-fit-shape-to-text:t;">
                <w:txbxContent>
                  <w:p>
                    <w:pPr>
                      <w:snapToGrid w:val="0"/>
                      <w:rPr>
                        <w:rFonts w:hint="eastAsia"/>
                        <w:sz w:val="18"/>
                      </w:rPr>
                    </w:pPr>
                  </w:p>
                </w:txbxContent>
              </v:textbox>
            </v:rect>
          </w:pict>
        </mc:Fallback>
      </mc:AlternateContent>
    </w:r>
    <w:r>
      <w:rPr>
        <w:rFonts w:hint="eastAsia"/>
        <w:sz w:val="15"/>
        <w:szCs w:val="15"/>
      </w:rPr>
      <w:t>地址：</w:t>
    </w:r>
    <w:r>
      <w:rPr>
        <w:rFonts w:hint="eastAsia"/>
        <w:sz w:val="15"/>
        <w:szCs w:val="15"/>
        <w:lang w:eastAsia="zh-CN"/>
      </w:rPr>
      <w:t>成都市高新区吉庆三路333号蜀都中心二期一号楼一单元401号</w:t>
    </w:r>
    <w:r>
      <w:rPr>
        <w:rFonts w:hint="eastAsia"/>
        <w:sz w:val="15"/>
        <w:szCs w:val="15"/>
      </w:rPr>
      <w:t xml:space="preserve">                                  </w:t>
    </w:r>
    <w:r>
      <w:rPr>
        <w:rFonts w:hint="eastAsia"/>
        <w:sz w:val="15"/>
        <w:szCs w:val="15"/>
        <w:lang w:val="en-US" w:eastAsia="zh-CN"/>
      </w:rPr>
      <w:t xml:space="preserve">      </w:t>
    </w:r>
    <w:r>
      <w:rPr>
        <w:rFonts w:hint="eastAsia"/>
        <w:sz w:val="15"/>
        <w:szCs w:val="15"/>
      </w:rPr>
      <w:t xml:space="preserve"> 邮政编码：610041</w:t>
    </w:r>
  </w:p>
  <w:p>
    <w:pPr>
      <w:pStyle w:val="14"/>
      <w:tabs>
        <w:tab w:val="center" w:pos="4153"/>
        <w:tab w:val="right" w:pos="8306"/>
        <w:tab w:val="clear" w:pos="0"/>
      </w:tabs>
      <w:ind w:right="360"/>
      <w:rPr>
        <w:rFonts w:hint="eastAsia"/>
        <w:lang w:val="en-US" w:eastAsia="zh-CN"/>
      </w:rPr>
    </w:pPr>
    <w:r>
      <w:rPr>
        <w:rFonts w:hint="eastAsia"/>
        <w:sz w:val="15"/>
        <w:szCs w:val="15"/>
      </w:rPr>
      <w:t>电话(TEL)</w:t>
    </w:r>
    <w:r>
      <w:rPr>
        <w:rFonts w:hint="eastAsia"/>
        <w:sz w:val="15"/>
        <w:szCs w:val="15"/>
        <w:lang w:eastAsia="zh-CN"/>
      </w:rPr>
      <w:t>：</w:t>
    </w:r>
    <w:r>
      <w:rPr>
        <w:rFonts w:hint="eastAsia"/>
        <w:sz w:val="15"/>
        <w:szCs w:val="15"/>
      </w:rPr>
      <w:t>86-028-6137557</w:t>
    </w:r>
    <w:r>
      <w:rPr>
        <w:rFonts w:hint="eastAsia"/>
        <w:sz w:val="15"/>
        <w:szCs w:val="15"/>
        <w:lang w:eastAsia="zh-CN"/>
      </w:rPr>
      <w:t>5、</w:t>
    </w:r>
    <w:r>
      <w:rPr>
        <w:rFonts w:hint="eastAsia"/>
        <w:sz w:val="15"/>
        <w:szCs w:val="15"/>
      </w:rPr>
      <w:t xml:space="preserve">62600820、62630990                                           </w:t>
    </w:r>
    <w:r>
      <w:rPr>
        <w:rFonts w:hint="eastAsia"/>
        <w:sz w:val="15"/>
        <w:szCs w:val="15"/>
        <w:lang w:val="en-US" w:eastAsia="zh-CN"/>
      </w:rPr>
      <w:t xml:space="preserve">          </w:t>
    </w:r>
    <w:r>
      <w:rPr>
        <w:rFonts w:hint="eastAsia"/>
        <w:sz w:val="15"/>
        <w:szCs w:val="15"/>
      </w:rPr>
      <w:t xml:space="preserve"> </w:t>
    </w:r>
    <w:r>
      <w:rPr>
        <w:rFonts w:hint="eastAsia"/>
        <w:sz w:val="15"/>
        <w:szCs w:val="15"/>
        <w:lang w:val="en-US" w:eastAsia="zh-CN"/>
      </w:rPr>
      <w:t xml:space="preserve">      </w:t>
    </w:r>
    <w:r>
      <w:rPr>
        <w:rFonts w:hint="eastAsia"/>
        <w:sz w:val="15"/>
        <w:szCs w:val="15"/>
      </w:rPr>
      <w:t>传真(FAX)</w:t>
    </w:r>
    <w:r>
      <w:rPr>
        <w:rFonts w:hint="eastAsia"/>
        <w:sz w:val="15"/>
        <w:szCs w:val="15"/>
        <w:lang w:eastAsia="zh-CN"/>
      </w:rPr>
      <w:t>：</w:t>
    </w:r>
    <w:r>
      <w:rPr>
        <w:rFonts w:hint="eastAsia"/>
        <w:sz w:val="15"/>
        <w:szCs w:val="15"/>
        <w:lang w:val="en-US" w:eastAsia="zh-CN"/>
      </w:rPr>
      <w:t>028-</w:t>
    </w:r>
    <w:r>
      <w:rPr>
        <w:rFonts w:hint="eastAsia"/>
        <w:sz w:val="15"/>
        <w:szCs w:val="15"/>
      </w:rPr>
      <w:t>83381</w:t>
    </w:r>
    <w:r>
      <w:rPr>
        <w:rFonts w:hint="eastAsia"/>
        <w:sz w:val="15"/>
        <w:szCs w:val="15"/>
        <w:lang w:val="en-US" w:eastAsia="zh-CN"/>
      </w:rPr>
      <w:t>268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tabs>
                              <w:tab w:val="center" w:pos="4153"/>
                              <w:tab w:val="right" w:pos="8306"/>
                              <w:tab w:val="clear" w:pos="0"/>
                            </w:tabs>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4"/>
                      <w:tabs>
                        <w:tab w:val="center" w:pos="4153"/>
                        <w:tab w:val="right" w:pos="8306"/>
                        <w:tab w:val="clear" w:pos="0"/>
                      </w:tabs>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3"/>
        <w:tab w:val="right" w:pos="8306"/>
        <w:tab w:val="clear" w:pos="0"/>
      </w:tabs>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tabs>
                              <w:tab w:val="center" w:pos="4153"/>
                              <w:tab w:val="right" w:pos="8306"/>
                              <w:tab w:val="clear" w:pos="0"/>
                            </w:tabs>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4"/>
                      <w:tabs>
                        <w:tab w:val="center" w:pos="4153"/>
                        <w:tab w:val="right" w:pos="8306"/>
                        <w:tab w:val="clear" w:pos="0"/>
                      </w:tabs>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tabs>
        <w:tab w:val="center" w:pos="4153"/>
        <w:tab w:val="right" w:pos="8306"/>
        <w:tab w:val="clear" w:pos="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153"/>
        <w:tab w:val="right" w:pos="8306"/>
        <w:tab w:val="clear" w:pos="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center" w:pos="4153"/>
        <w:tab w:val="right" w:pos="8306"/>
        <w:tab w:val="clear" w:pos="0"/>
      </w:tabs>
      <w:jc w:val="left"/>
      <w:rPr>
        <w:rFonts w:hint="eastAsia"/>
        <w:b/>
        <w:bCs/>
        <w:szCs w:val="18"/>
      </w:rPr>
    </w:pPr>
    <w:r>
      <w:rPr>
        <w:rFonts w:ascii="宋体" w:hAnsi="Calibri" w:eastAsia="宋体" w:cs="黑体"/>
        <w:sz w:val="20"/>
        <w:szCs w:val="11"/>
        <w:lang w:val="zh-CN" w:eastAsia="zh-CN" w:bidi="ar-SA"/>
      </w:rPr>
      <w:drawing>
        <wp:anchor distT="0" distB="0" distL="114300" distR="114300" simplePos="0" relativeHeight="251659264" behindDoc="0" locked="0" layoutInCell="1" allowOverlap="1">
          <wp:simplePos x="0" y="0"/>
          <wp:positionH relativeFrom="column">
            <wp:posOffset>102235</wp:posOffset>
          </wp:positionH>
          <wp:positionV relativeFrom="paragraph">
            <wp:posOffset>-29210</wp:posOffset>
          </wp:positionV>
          <wp:extent cx="317500" cy="336550"/>
          <wp:effectExtent l="0" t="0" r="2540" b="13970"/>
          <wp:wrapSquare wrapText="bothSides"/>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
                    <a:lum/>
                  </a:blip>
                  <a:srcRect l="25160" r="25117"/>
                  <a:stretch>
                    <a:fillRect/>
                  </a:stretch>
                </pic:blipFill>
                <pic:spPr>
                  <a:xfrm>
                    <a:off x="0" y="0"/>
                    <a:ext cx="317500" cy="336550"/>
                  </a:xfrm>
                  <a:prstGeom prst="rect">
                    <a:avLst/>
                  </a:prstGeom>
                  <a:noFill/>
                  <a:ln>
                    <a:noFill/>
                  </a:ln>
                </pic:spPr>
              </pic:pic>
            </a:graphicData>
          </a:graphic>
        </wp:anchor>
      </w:drawing>
    </w:r>
    <w:r>
      <w:rPr>
        <w:rFonts w:hint="eastAsia"/>
        <w:sz w:val="21"/>
        <w:szCs w:val="21"/>
      </w:rPr>
      <w:t xml:space="preserve">       </w:t>
    </w:r>
    <w:r>
      <w:rPr>
        <w:rFonts w:hint="eastAsia"/>
        <w:b/>
        <w:bCs/>
        <w:szCs w:val="18"/>
      </w:rPr>
      <w:t>四川乾新招投标代理有限公司</w:t>
    </w:r>
  </w:p>
  <w:p>
    <w:pPr>
      <w:pStyle w:val="15"/>
      <w:pBdr>
        <w:bottom w:val="single" w:color="auto" w:sz="4" w:space="1"/>
      </w:pBdr>
      <w:tabs>
        <w:tab w:val="center" w:pos="4153"/>
        <w:tab w:val="right" w:pos="8306"/>
        <w:tab w:val="clear" w:pos="0"/>
      </w:tabs>
      <w:jc w:val="left"/>
      <w:rPr>
        <w:rFonts w:hint="eastAsia"/>
        <w:szCs w:val="18"/>
      </w:rPr>
    </w:pPr>
    <w:r>
      <w:rPr>
        <w:rFonts w:hint="eastAsia"/>
        <w:b/>
        <w:bCs/>
        <w:szCs w:val="18"/>
      </w:rPr>
      <w:t xml:space="preserve">        Si Chuan Qian Xin Tendering and Bidding Agency Co.Ltd                     </w:t>
    </w:r>
    <w:r>
      <w:rPr>
        <w:rFonts w:hint="eastAsia"/>
        <w:b/>
        <w:bCs/>
        <w:szCs w:val="18"/>
        <w:lang w:val="en-US" w:eastAsia="zh-CN"/>
      </w:rPr>
      <w:t xml:space="preserve">        不止专注 更懂托付</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tabs>
        <w:tab w:val="center" w:pos="4153"/>
        <w:tab w:val="right" w:pos="8306"/>
        <w:tab w:val="clear" w:pos="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center" w:pos="4153"/>
        <w:tab w:val="right" w:pos="8306"/>
        <w:tab w:val="clear" w:pos="0"/>
      </w:tabs>
      <w:jc w:val="left"/>
      <w:rPr>
        <w:rFonts w:hint="eastAsia"/>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center" w:pos="4153"/>
        <w:tab w:val="right" w:pos="8306"/>
        <w:tab w:val="clear" w:pos="0"/>
      </w:tabs>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center" w:pos="4153"/>
        <w:tab w:val="right" w:pos="8306"/>
        <w:tab w:val="clear" w:pos="0"/>
      </w:tabs>
      <w:jc w:val="left"/>
      <w:rPr>
        <w:rFonts w:asciiTheme="minorEastAsia" w:hAnsiTheme="minorEastAsia" w:cstheme="minor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A947B3"/>
    <w:multiLevelType w:val="singleLevel"/>
    <w:tmpl w:val="84A947B3"/>
    <w:lvl w:ilvl="0" w:tentative="0">
      <w:start w:val="1"/>
      <w:numFmt w:val="decimal"/>
      <w:lvlText w:val="%1."/>
      <w:lvlJc w:val="left"/>
      <w:pPr>
        <w:tabs>
          <w:tab w:val="left" w:pos="312"/>
        </w:tabs>
      </w:pPr>
    </w:lvl>
  </w:abstractNum>
  <w:abstractNum w:abstractNumId="1">
    <w:nsid w:val="B04D8E0A"/>
    <w:multiLevelType w:val="multilevel"/>
    <w:tmpl w:val="B04D8E0A"/>
    <w:lvl w:ilvl="0" w:tentative="0">
      <w:start w:val="1"/>
      <w:numFmt w:val="chineseCounting"/>
      <w:pStyle w:val="46"/>
      <w:suff w:val="nothing"/>
      <w:lvlText w:val="第%1章 "/>
      <w:lvlJc w:val="left"/>
      <w:pPr>
        <w:tabs>
          <w:tab w:val="left" w:pos="0"/>
        </w:tabs>
        <w:ind w:left="0" w:firstLine="0"/>
      </w:pPr>
      <w:rPr>
        <w:rFonts w:hint="eastAsia" w:ascii="宋体" w:hAnsi="宋体" w:eastAsia="宋体" w:cs="宋体"/>
      </w:rPr>
    </w:lvl>
    <w:lvl w:ilvl="1" w:tentative="0">
      <w:start w:val="1"/>
      <w:numFmt w:val="chineseCounting"/>
      <w:pStyle w:val="32"/>
      <w:suff w:val="nothing"/>
      <w:lvlText w:val="%2、"/>
      <w:lvlJc w:val="left"/>
      <w:pPr>
        <w:ind w:left="0" w:firstLine="0"/>
      </w:pPr>
      <w:rPr>
        <w:rFonts w:hint="eastAsia" w:ascii="宋体" w:hAnsi="宋体" w:eastAsia="宋体" w:cs="宋体"/>
      </w:rPr>
    </w:lvl>
    <w:lvl w:ilvl="2" w:tentative="0">
      <w:start w:val="1"/>
      <w:numFmt w:val="chineseCounting"/>
      <w:pStyle w:val="47"/>
      <w:suff w:val="nothing"/>
      <w:lvlText w:val="(%3)"/>
      <w:lvlJc w:val="left"/>
      <w:pPr>
        <w:tabs>
          <w:tab w:val="left" w:pos="0"/>
        </w:tabs>
        <w:ind w:left="0" w:firstLine="0"/>
      </w:pPr>
      <w:rPr>
        <w:rFonts w:hint="eastAsia" w:ascii="宋体" w:hAnsi="宋体" w:eastAsia="宋体" w:cs="宋体"/>
      </w:rPr>
    </w:lvl>
    <w:lvl w:ilvl="3" w:tentative="0">
      <w:start w:val="1"/>
      <w:numFmt w:val="decimal"/>
      <w:pStyle w:val="61"/>
      <w:suff w:val="nothing"/>
      <w:lvlText w:val="%4."/>
      <w:lvlJc w:val="left"/>
      <w:pPr>
        <w:tabs>
          <w:tab w:val="left" w:pos="0"/>
        </w:tabs>
        <w:ind w:left="0" w:firstLine="0"/>
      </w:pPr>
      <w:rPr>
        <w:rFonts w:hint="eastAsia" w:ascii="宋体" w:hAnsi="宋体" w:eastAsia="宋体" w:cs="宋体"/>
      </w:rPr>
    </w:lvl>
    <w:lvl w:ilvl="4" w:tentative="0">
      <w:start w:val="1"/>
      <w:numFmt w:val="decimal"/>
      <w:pStyle w:val="62"/>
      <w:suff w:val="nothing"/>
      <w:lvlText w:val="%4.%5"/>
      <w:lvlJc w:val="left"/>
      <w:pPr>
        <w:ind w:left="0" w:firstLine="0"/>
      </w:pPr>
      <w:rPr>
        <w:rFonts w:hint="eastAsia" w:ascii="宋体" w:hAnsi="宋体" w:eastAsia="宋体" w:cs="宋体"/>
      </w:rPr>
    </w:lvl>
    <w:lvl w:ilvl="5" w:tentative="0">
      <w:start w:val="1"/>
      <w:numFmt w:val="decimal"/>
      <w:pStyle w:val="63"/>
      <w:suff w:val="nothing"/>
      <w:lvlText w:val="(%6)"/>
      <w:lvlJc w:val="left"/>
      <w:pPr>
        <w:ind w:left="0" w:firstLine="0"/>
      </w:pPr>
      <w:rPr>
        <w:rFonts w:hint="eastAsia" w:ascii="宋体" w:hAnsi="宋体" w:eastAsia="宋体" w:cs="宋体"/>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2">
    <w:nsid w:val="B9894B17"/>
    <w:multiLevelType w:val="singleLevel"/>
    <w:tmpl w:val="B9894B17"/>
    <w:lvl w:ilvl="0" w:tentative="0">
      <w:start w:val="1"/>
      <w:numFmt w:val="decimal"/>
      <w:suff w:val="nothing"/>
      <w:lvlText w:val="%1、"/>
      <w:lvlJc w:val="left"/>
    </w:lvl>
  </w:abstractNum>
  <w:abstractNum w:abstractNumId="3">
    <w:nsid w:val="C7F53590"/>
    <w:multiLevelType w:val="multilevel"/>
    <w:tmpl w:val="C7F53590"/>
    <w:lvl w:ilvl="0" w:tentative="0">
      <w:start w:val="1"/>
      <w:numFmt w:val="decimal"/>
      <w:pStyle w:val="36"/>
      <w:suff w:val="nothing"/>
      <w:lvlText w:val="%1."/>
      <w:lvlJc w:val="left"/>
      <w:pPr>
        <w:tabs>
          <w:tab w:val="left" w:pos="420"/>
        </w:tabs>
        <w:ind w:left="0" w:leftChars="0" w:firstLine="0" w:firstLineChars="0"/>
      </w:pPr>
      <w:rPr>
        <w:rFonts w:hint="default" w:ascii="宋体" w:hAnsi="宋体" w:eastAsia="宋体" w:cs="宋体"/>
      </w:rPr>
    </w:lvl>
    <w:lvl w:ilvl="1" w:tentative="0">
      <w:start w:val="1"/>
      <w:numFmt w:val="decimal"/>
      <w:pStyle w:val="37"/>
      <w:suff w:val="nothing"/>
      <w:lvlText w:val="%1.%2"/>
      <w:lvlJc w:val="left"/>
      <w:pPr>
        <w:tabs>
          <w:tab w:val="left" w:pos="420"/>
        </w:tabs>
        <w:ind w:left="0" w:leftChars="0" w:firstLine="0" w:firstLineChars="0"/>
      </w:pPr>
      <w:rPr>
        <w:rFonts w:hint="default" w:ascii="宋体" w:hAnsi="宋体" w:eastAsia="宋体" w:cs="宋体"/>
      </w:rPr>
    </w:lvl>
    <w:lvl w:ilvl="2" w:tentative="0">
      <w:start w:val="1"/>
      <w:numFmt w:val="decimal"/>
      <w:pStyle w:val="38"/>
      <w:suff w:val="nothing"/>
      <w:lvlText w:val="%1.%2.%3"/>
      <w:lvlJc w:val="left"/>
      <w:pPr>
        <w:tabs>
          <w:tab w:val="left" w:pos="420"/>
        </w:tabs>
        <w:ind w:left="0" w:leftChars="0" w:firstLine="0" w:firstLineChars="0"/>
      </w:pPr>
      <w:rPr>
        <w:rFonts w:hint="default" w:ascii="宋体" w:hAnsi="宋体" w:eastAsia="宋体" w:cs="宋体"/>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CA240A61"/>
    <w:multiLevelType w:val="singleLevel"/>
    <w:tmpl w:val="CA240A61"/>
    <w:lvl w:ilvl="0" w:tentative="0">
      <w:start w:val="1"/>
      <w:numFmt w:val="chineseCounting"/>
      <w:pStyle w:val="71"/>
      <w:suff w:val="nothing"/>
      <w:lvlText w:val="(%1)"/>
      <w:lvlJc w:val="left"/>
      <w:pPr>
        <w:ind w:left="0" w:firstLine="0"/>
      </w:pPr>
      <w:rPr>
        <w:rFonts w:hint="eastAsia"/>
      </w:rPr>
    </w:lvl>
  </w:abstractNum>
  <w:abstractNum w:abstractNumId="5">
    <w:nsid w:val="D2F3B81A"/>
    <w:multiLevelType w:val="singleLevel"/>
    <w:tmpl w:val="D2F3B81A"/>
    <w:lvl w:ilvl="0" w:tentative="0">
      <w:start w:val="1"/>
      <w:numFmt w:val="chineseCounting"/>
      <w:pStyle w:val="41"/>
      <w:suff w:val="nothing"/>
      <w:lvlText w:val="%1、"/>
      <w:lvlJc w:val="left"/>
      <w:pPr>
        <w:ind w:left="0" w:firstLine="0"/>
      </w:pPr>
      <w:rPr>
        <w:rFonts w:hint="eastAsia"/>
      </w:rPr>
    </w:lvl>
  </w:abstractNum>
  <w:abstractNum w:abstractNumId="6">
    <w:nsid w:val="DCCDE3B6"/>
    <w:multiLevelType w:val="singleLevel"/>
    <w:tmpl w:val="DCCDE3B6"/>
    <w:lvl w:ilvl="0" w:tentative="0">
      <w:start w:val="1"/>
      <w:numFmt w:val="decimal"/>
      <w:lvlText w:val="%1"/>
      <w:lvlJc w:val="left"/>
      <w:pPr>
        <w:tabs>
          <w:tab w:val="left" w:pos="0"/>
        </w:tabs>
        <w:ind w:left="0" w:leftChars="0" w:firstLine="0" w:firstLineChars="0"/>
      </w:pPr>
      <w:rPr>
        <w:rFonts w:hint="default"/>
      </w:rPr>
    </w:lvl>
  </w:abstractNum>
  <w:abstractNum w:abstractNumId="7">
    <w:nsid w:val="E1C6327C"/>
    <w:multiLevelType w:val="multilevel"/>
    <w:tmpl w:val="E1C6327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chineseCounting"/>
      <w:pStyle w:val="30"/>
      <w:suff w:val="nothing"/>
      <w:lvlText w:val="(%2)"/>
      <w:lvlJc w:val="left"/>
      <w:pPr>
        <w:ind w:left="0" w:firstLine="0"/>
      </w:pPr>
      <w:rPr>
        <w:rFonts w:hint="eastAsia" w:ascii="宋体" w:hAnsi="宋体" w:eastAsia="宋体" w:cs="宋体"/>
      </w:rPr>
    </w:lvl>
    <w:lvl w:ilvl="2" w:tentative="0">
      <w:start w:val="1"/>
      <w:numFmt w:val="decimal"/>
      <w:pStyle w:val="33"/>
      <w:suff w:val="nothing"/>
      <w:lvlText w:val="%3."/>
      <w:lvlJc w:val="left"/>
      <w:pPr>
        <w:ind w:left="0" w:firstLine="0"/>
      </w:pPr>
      <w:rPr>
        <w:rFonts w:hint="eastAsia" w:ascii="宋体" w:hAnsi="宋体" w:eastAsia="宋体" w:cs="宋体"/>
      </w:rPr>
    </w:lvl>
    <w:lvl w:ilvl="3" w:tentative="0">
      <w:start w:val="1"/>
      <w:numFmt w:val="decimal"/>
      <w:pStyle w:val="34"/>
      <w:suff w:val="nothing"/>
      <w:lvlText w:val="%3.%4"/>
      <w:lvlJc w:val="left"/>
      <w:pPr>
        <w:ind w:left="0" w:firstLine="0"/>
      </w:pPr>
      <w:rPr>
        <w:rFonts w:hint="eastAsia" w:ascii="宋体" w:hAnsi="宋体" w:eastAsia="宋体" w:cs="宋体"/>
      </w:rPr>
    </w:lvl>
    <w:lvl w:ilvl="4" w:tentative="0">
      <w:start w:val="1"/>
      <w:numFmt w:val="decimal"/>
      <w:pStyle w:val="35"/>
      <w:suff w:val="nothing"/>
      <w:lvlText w:val="(%5)"/>
      <w:lvlJc w:val="left"/>
      <w:pPr>
        <w:ind w:left="0" w:firstLine="0"/>
      </w:pPr>
      <w:rPr>
        <w:rFonts w:hint="eastAsia" w:ascii="宋体" w:hAnsi="宋体" w:eastAsia="宋体" w:cs="宋体"/>
      </w:rPr>
    </w:lvl>
    <w:lvl w:ilvl="5" w:tentative="0">
      <w:start w:val="1"/>
      <w:numFmt w:val="decimal"/>
      <w:pStyle w:val="6"/>
      <w:suff w:val="nothing"/>
      <w:lvlText w:val="%6）"/>
      <w:lvlJc w:val="left"/>
      <w:pPr>
        <w:ind w:left="0" w:firstLine="402"/>
      </w:pPr>
      <w:rPr>
        <w:rFonts w:hint="eastAsia"/>
      </w:rPr>
    </w:lvl>
    <w:lvl w:ilvl="6" w:tentative="0">
      <w:start w:val="1"/>
      <w:numFmt w:val="lowerLetter"/>
      <w:pStyle w:val="7"/>
      <w:suff w:val="nothing"/>
      <w:lvlText w:val="%7．"/>
      <w:lvlJc w:val="left"/>
      <w:pPr>
        <w:ind w:left="0" w:firstLine="402"/>
      </w:pPr>
      <w:rPr>
        <w:rFonts w:hint="eastAsia"/>
      </w:rPr>
    </w:lvl>
    <w:lvl w:ilvl="7" w:tentative="0">
      <w:start w:val="1"/>
      <w:numFmt w:val="lowerLetter"/>
      <w:pStyle w:val="8"/>
      <w:suff w:val="nothing"/>
      <w:lvlText w:val="%8）"/>
      <w:lvlJc w:val="left"/>
      <w:pPr>
        <w:ind w:left="0" w:firstLine="402"/>
      </w:pPr>
      <w:rPr>
        <w:rFonts w:hint="eastAsia"/>
      </w:rPr>
    </w:lvl>
    <w:lvl w:ilvl="8" w:tentative="0">
      <w:start w:val="1"/>
      <w:numFmt w:val="lowerRoman"/>
      <w:pStyle w:val="9"/>
      <w:suff w:val="nothing"/>
      <w:lvlText w:val="%9 "/>
      <w:lvlJc w:val="left"/>
      <w:pPr>
        <w:ind w:left="0" w:firstLine="402"/>
      </w:pPr>
      <w:rPr>
        <w:rFonts w:hint="eastAsia"/>
      </w:rPr>
    </w:lvl>
  </w:abstractNum>
  <w:abstractNum w:abstractNumId="8">
    <w:nsid w:val="FABA3C29"/>
    <w:multiLevelType w:val="singleLevel"/>
    <w:tmpl w:val="FABA3C29"/>
    <w:lvl w:ilvl="0" w:tentative="0">
      <w:start w:val="1"/>
      <w:numFmt w:val="chineseCounting"/>
      <w:suff w:val="nothing"/>
      <w:lvlText w:val="%1、"/>
      <w:lvlJc w:val="left"/>
      <w:pPr>
        <w:ind w:left="0" w:firstLine="420"/>
      </w:pPr>
      <w:rPr>
        <w:rFonts w:hint="eastAsia"/>
      </w:rPr>
    </w:lvl>
  </w:abstractNum>
  <w:abstractNum w:abstractNumId="9">
    <w:nsid w:val="FD312932"/>
    <w:multiLevelType w:val="singleLevel"/>
    <w:tmpl w:val="FD312932"/>
    <w:lvl w:ilvl="0" w:tentative="0">
      <w:start w:val="3"/>
      <w:numFmt w:val="chineseCounting"/>
      <w:lvlText w:val="(%1)"/>
      <w:lvlJc w:val="left"/>
      <w:pPr>
        <w:tabs>
          <w:tab w:val="left" w:pos="312"/>
        </w:tabs>
      </w:pPr>
      <w:rPr>
        <w:rFonts w:hint="eastAsia"/>
      </w:rPr>
    </w:lvl>
  </w:abstractNum>
  <w:abstractNum w:abstractNumId="10">
    <w:nsid w:val="07C0D5F4"/>
    <w:multiLevelType w:val="singleLevel"/>
    <w:tmpl w:val="07C0D5F4"/>
    <w:lvl w:ilvl="0" w:tentative="0">
      <w:start w:val="1"/>
      <w:numFmt w:val="chineseCounting"/>
      <w:suff w:val="nothing"/>
      <w:lvlText w:val="%1、"/>
      <w:lvlJc w:val="left"/>
      <w:pPr>
        <w:ind w:left="0" w:firstLine="420"/>
      </w:pPr>
      <w:rPr>
        <w:rFonts w:hint="eastAsia"/>
      </w:rPr>
    </w:lvl>
  </w:abstractNum>
  <w:abstractNum w:abstractNumId="11">
    <w:nsid w:val="0D3DD0CB"/>
    <w:multiLevelType w:val="singleLevel"/>
    <w:tmpl w:val="0D3DD0CB"/>
    <w:lvl w:ilvl="0" w:tentative="0">
      <w:start w:val="1"/>
      <w:numFmt w:val="decimal"/>
      <w:lvlText w:val="%1."/>
      <w:lvlJc w:val="left"/>
      <w:pPr>
        <w:tabs>
          <w:tab w:val="left" w:pos="312"/>
        </w:tabs>
      </w:pPr>
    </w:lvl>
  </w:abstractNum>
  <w:abstractNum w:abstractNumId="12">
    <w:nsid w:val="1517B247"/>
    <w:multiLevelType w:val="singleLevel"/>
    <w:tmpl w:val="1517B247"/>
    <w:lvl w:ilvl="0" w:tentative="0">
      <w:start w:val="3"/>
      <w:numFmt w:val="decimal"/>
      <w:lvlText w:val="%1."/>
      <w:lvlJc w:val="left"/>
      <w:pPr>
        <w:tabs>
          <w:tab w:val="left" w:pos="312"/>
        </w:tabs>
      </w:pPr>
    </w:lvl>
  </w:abstractNum>
  <w:abstractNum w:abstractNumId="13">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5"/>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4">
    <w:nsid w:val="5912557E"/>
    <w:multiLevelType w:val="singleLevel"/>
    <w:tmpl w:val="5912557E"/>
    <w:lvl w:ilvl="0" w:tentative="0">
      <w:start w:val="1"/>
      <w:numFmt w:val="chineseCounting"/>
      <w:suff w:val="nothing"/>
      <w:lvlText w:val="%1、"/>
      <w:lvlJc w:val="left"/>
      <w:rPr>
        <w:rFonts w:hint="eastAsia"/>
      </w:rPr>
    </w:lvl>
  </w:abstractNum>
  <w:abstractNum w:abstractNumId="15">
    <w:nsid w:val="5D053081"/>
    <w:multiLevelType w:val="singleLevel"/>
    <w:tmpl w:val="5D053081"/>
    <w:lvl w:ilvl="0" w:tentative="0">
      <w:start w:val="1"/>
      <w:numFmt w:val="chineseCounting"/>
      <w:suff w:val="nothing"/>
      <w:lvlText w:val="%1、"/>
      <w:lvlJc w:val="left"/>
      <w:pPr>
        <w:ind w:left="0" w:firstLine="420"/>
      </w:pPr>
      <w:rPr>
        <w:rFonts w:hint="eastAsia"/>
      </w:rPr>
    </w:lvl>
  </w:abstractNum>
  <w:abstractNum w:abstractNumId="16">
    <w:nsid w:val="5E5DF5A1"/>
    <w:multiLevelType w:val="singleLevel"/>
    <w:tmpl w:val="5E5DF5A1"/>
    <w:lvl w:ilvl="0" w:tentative="0">
      <w:start w:val="1"/>
      <w:numFmt w:val="chineseCounting"/>
      <w:suff w:val="nothing"/>
      <w:lvlText w:val="%1、"/>
      <w:lvlJc w:val="left"/>
      <w:rPr>
        <w:rFonts w:hint="eastAsia" w:ascii="宋体" w:hAnsi="宋体" w:eastAsia="宋体" w:cs="宋体"/>
      </w:rPr>
    </w:lvl>
  </w:abstractNum>
  <w:num w:numId="1">
    <w:abstractNumId w:val="7"/>
  </w:num>
  <w:num w:numId="2">
    <w:abstractNumId w:val="13"/>
  </w:num>
  <w:num w:numId="3">
    <w:abstractNumId w:val="1"/>
  </w:num>
  <w:num w:numId="4">
    <w:abstractNumId w:val="3"/>
  </w:num>
  <w:num w:numId="5">
    <w:abstractNumId w:val="5"/>
  </w:num>
  <w:num w:numId="6">
    <w:abstractNumId w:val="4"/>
  </w:num>
  <w:num w:numId="7">
    <w:abstractNumId w:val="10"/>
  </w:num>
  <w:num w:numId="8">
    <w:abstractNumId w:val="6"/>
  </w:num>
  <w:num w:numId="9">
    <w:abstractNumId w:val="0"/>
  </w:num>
  <w:num w:numId="10">
    <w:abstractNumId w:val="14"/>
  </w:num>
  <w:num w:numId="11">
    <w:abstractNumId w:val="1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9"/>
  </w:num>
  <w:num w:numId="29">
    <w:abstractNumId w:val="2"/>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0"/>
  <w:drawingGridHorizontalSpacing w:val="21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400A"/>
    <w:rsid w:val="000168D4"/>
    <w:rsid w:val="00037BD4"/>
    <w:rsid w:val="000504D4"/>
    <w:rsid w:val="00050929"/>
    <w:rsid w:val="00064EEB"/>
    <w:rsid w:val="00071F90"/>
    <w:rsid w:val="00080967"/>
    <w:rsid w:val="00083410"/>
    <w:rsid w:val="00083A85"/>
    <w:rsid w:val="000A22EE"/>
    <w:rsid w:val="000D7DD0"/>
    <w:rsid w:val="0010191C"/>
    <w:rsid w:val="001025A9"/>
    <w:rsid w:val="0010309E"/>
    <w:rsid w:val="0012071D"/>
    <w:rsid w:val="00127F82"/>
    <w:rsid w:val="00151C44"/>
    <w:rsid w:val="00152049"/>
    <w:rsid w:val="00157B5B"/>
    <w:rsid w:val="00172A27"/>
    <w:rsid w:val="001747EE"/>
    <w:rsid w:val="001776D1"/>
    <w:rsid w:val="00177915"/>
    <w:rsid w:val="00180AAC"/>
    <w:rsid w:val="00190708"/>
    <w:rsid w:val="001B6050"/>
    <w:rsid w:val="001B7BB6"/>
    <w:rsid w:val="001C42C5"/>
    <w:rsid w:val="001E2AED"/>
    <w:rsid w:val="001E6880"/>
    <w:rsid w:val="001E6888"/>
    <w:rsid w:val="002214E7"/>
    <w:rsid w:val="00225683"/>
    <w:rsid w:val="00234073"/>
    <w:rsid w:val="002435A0"/>
    <w:rsid w:val="00243FF7"/>
    <w:rsid w:val="00247B38"/>
    <w:rsid w:val="0025536B"/>
    <w:rsid w:val="002565E2"/>
    <w:rsid w:val="00267611"/>
    <w:rsid w:val="00274A24"/>
    <w:rsid w:val="00282CD9"/>
    <w:rsid w:val="00290AF1"/>
    <w:rsid w:val="002B5D9A"/>
    <w:rsid w:val="002B6AE7"/>
    <w:rsid w:val="002B79CA"/>
    <w:rsid w:val="002C53EF"/>
    <w:rsid w:val="002D2B0F"/>
    <w:rsid w:val="002E06BF"/>
    <w:rsid w:val="002E1A1C"/>
    <w:rsid w:val="002E5F48"/>
    <w:rsid w:val="002F05A6"/>
    <w:rsid w:val="002F3BB7"/>
    <w:rsid w:val="00315B60"/>
    <w:rsid w:val="003274CB"/>
    <w:rsid w:val="00346B27"/>
    <w:rsid w:val="00347724"/>
    <w:rsid w:val="00350C14"/>
    <w:rsid w:val="00353E82"/>
    <w:rsid w:val="003726D1"/>
    <w:rsid w:val="003750BD"/>
    <w:rsid w:val="00396369"/>
    <w:rsid w:val="003B2228"/>
    <w:rsid w:val="003C13E4"/>
    <w:rsid w:val="003D21F1"/>
    <w:rsid w:val="003E1DCC"/>
    <w:rsid w:val="003F4651"/>
    <w:rsid w:val="00410967"/>
    <w:rsid w:val="00411E40"/>
    <w:rsid w:val="00415E21"/>
    <w:rsid w:val="00445ADF"/>
    <w:rsid w:val="004621F9"/>
    <w:rsid w:val="0046727E"/>
    <w:rsid w:val="00482071"/>
    <w:rsid w:val="00483674"/>
    <w:rsid w:val="004861AE"/>
    <w:rsid w:val="00486D20"/>
    <w:rsid w:val="00495036"/>
    <w:rsid w:val="004A6781"/>
    <w:rsid w:val="004A7D40"/>
    <w:rsid w:val="004B4092"/>
    <w:rsid w:val="004C0D15"/>
    <w:rsid w:val="004D37D9"/>
    <w:rsid w:val="004E0FDD"/>
    <w:rsid w:val="004F2F95"/>
    <w:rsid w:val="004F4409"/>
    <w:rsid w:val="00506600"/>
    <w:rsid w:val="00526D76"/>
    <w:rsid w:val="00535703"/>
    <w:rsid w:val="00551430"/>
    <w:rsid w:val="00554499"/>
    <w:rsid w:val="00557A19"/>
    <w:rsid w:val="00570E40"/>
    <w:rsid w:val="00573162"/>
    <w:rsid w:val="005B21E3"/>
    <w:rsid w:val="005F0C9C"/>
    <w:rsid w:val="005F3F05"/>
    <w:rsid w:val="0060449E"/>
    <w:rsid w:val="006058A4"/>
    <w:rsid w:val="006109FE"/>
    <w:rsid w:val="00614BF4"/>
    <w:rsid w:val="00616B6E"/>
    <w:rsid w:val="00633858"/>
    <w:rsid w:val="00651388"/>
    <w:rsid w:val="0065581B"/>
    <w:rsid w:val="00670841"/>
    <w:rsid w:val="006708EE"/>
    <w:rsid w:val="006934B4"/>
    <w:rsid w:val="00694C4F"/>
    <w:rsid w:val="006A21E2"/>
    <w:rsid w:val="006A532B"/>
    <w:rsid w:val="006B1D4C"/>
    <w:rsid w:val="006C21DD"/>
    <w:rsid w:val="006E1794"/>
    <w:rsid w:val="006F6EF3"/>
    <w:rsid w:val="00722E70"/>
    <w:rsid w:val="00735F80"/>
    <w:rsid w:val="0074524D"/>
    <w:rsid w:val="00784579"/>
    <w:rsid w:val="00795B4D"/>
    <w:rsid w:val="007B1F36"/>
    <w:rsid w:val="007D09EC"/>
    <w:rsid w:val="007F300C"/>
    <w:rsid w:val="008003F4"/>
    <w:rsid w:val="008016F9"/>
    <w:rsid w:val="008062AE"/>
    <w:rsid w:val="00811328"/>
    <w:rsid w:val="00815C57"/>
    <w:rsid w:val="00815F35"/>
    <w:rsid w:val="0082614F"/>
    <w:rsid w:val="00850B71"/>
    <w:rsid w:val="0085639C"/>
    <w:rsid w:val="0087454D"/>
    <w:rsid w:val="00890D7F"/>
    <w:rsid w:val="008A0EB1"/>
    <w:rsid w:val="008A2076"/>
    <w:rsid w:val="008E659E"/>
    <w:rsid w:val="008F1529"/>
    <w:rsid w:val="008F1CB6"/>
    <w:rsid w:val="008F4AED"/>
    <w:rsid w:val="008F717E"/>
    <w:rsid w:val="008F74EB"/>
    <w:rsid w:val="00902627"/>
    <w:rsid w:val="00931981"/>
    <w:rsid w:val="00932AFD"/>
    <w:rsid w:val="00942ED3"/>
    <w:rsid w:val="00945986"/>
    <w:rsid w:val="00946F94"/>
    <w:rsid w:val="00970E63"/>
    <w:rsid w:val="00990893"/>
    <w:rsid w:val="009C43E6"/>
    <w:rsid w:val="009D01D2"/>
    <w:rsid w:val="009E1E4F"/>
    <w:rsid w:val="009F4A8A"/>
    <w:rsid w:val="009F5992"/>
    <w:rsid w:val="00A23AFB"/>
    <w:rsid w:val="00A3273B"/>
    <w:rsid w:val="00A466E6"/>
    <w:rsid w:val="00A47F1F"/>
    <w:rsid w:val="00A75A1A"/>
    <w:rsid w:val="00A837A5"/>
    <w:rsid w:val="00A95C07"/>
    <w:rsid w:val="00AA51C1"/>
    <w:rsid w:val="00AB65CA"/>
    <w:rsid w:val="00AB67D8"/>
    <w:rsid w:val="00AC2F78"/>
    <w:rsid w:val="00AC5E59"/>
    <w:rsid w:val="00AE67F6"/>
    <w:rsid w:val="00AF3998"/>
    <w:rsid w:val="00B07B2E"/>
    <w:rsid w:val="00B31CC3"/>
    <w:rsid w:val="00B6648B"/>
    <w:rsid w:val="00B72CB9"/>
    <w:rsid w:val="00BA69F4"/>
    <w:rsid w:val="00BA6D13"/>
    <w:rsid w:val="00BB299F"/>
    <w:rsid w:val="00BE1766"/>
    <w:rsid w:val="00BF4E9E"/>
    <w:rsid w:val="00C00F81"/>
    <w:rsid w:val="00C03ED3"/>
    <w:rsid w:val="00C17A63"/>
    <w:rsid w:val="00C35487"/>
    <w:rsid w:val="00C37C9E"/>
    <w:rsid w:val="00C43BC1"/>
    <w:rsid w:val="00C7526C"/>
    <w:rsid w:val="00C9386B"/>
    <w:rsid w:val="00CA0AAA"/>
    <w:rsid w:val="00CC0388"/>
    <w:rsid w:val="00CD401B"/>
    <w:rsid w:val="00CD437E"/>
    <w:rsid w:val="00CD43B3"/>
    <w:rsid w:val="00CD58A7"/>
    <w:rsid w:val="00CE226F"/>
    <w:rsid w:val="00CF53F3"/>
    <w:rsid w:val="00D174EB"/>
    <w:rsid w:val="00D23AEC"/>
    <w:rsid w:val="00D373B2"/>
    <w:rsid w:val="00D37D24"/>
    <w:rsid w:val="00D80201"/>
    <w:rsid w:val="00D827D3"/>
    <w:rsid w:val="00D87B92"/>
    <w:rsid w:val="00D87C93"/>
    <w:rsid w:val="00DA65C9"/>
    <w:rsid w:val="00DB5C76"/>
    <w:rsid w:val="00DC4298"/>
    <w:rsid w:val="00DC68DD"/>
    <w:rsid w:val="00DD654B"/>
    <w:rsid w:val="00DE5C5F"/>
    <w:rsid w:val="00DF10BC"/>
    <w:rsid w:val="00E04823"/>
    <w:rsid w:val="00E057B6"/>
    <w:rsid w:val="00E2173D"/>
    <w:rsid w:val="00E26D0D"/>
    <w:rsid w:val="00E374A6"/>
    <w:rsid w:val="00E419A4"/>
    <w:rsid w:val="00E52593"/>
    <w:rsid w:val="00E53568"/>
    <w:rsid w:val="00E74CE9"/>
    <w:rsid w:val="00E7539A"/>
    <w:rsid w:val="00E83C3F"/>
    <w:rsid w:val="00E86078"/>
    <w:rsid w:val="00E87BB1"/>
    <w:rsid w:val="00E93F48"/>
    <w:rsid w:val="00E965F8"/>
    <w:rsid w:val="00EB31E1"/>
    <w:rsid w:val="00EE2E61"/>
    <w:rsid w:val="00EE2E62"/>
    <w:rsid w:val="00EF4699"/>
    <w:rsid w:val="00F025B2"/>
    <w:rsid w:val="00F0340D"/>
    <w:rsid w:val="00F140D0"/>
    <w:rsid w:val="00F2183F"/>
    <w:rsid w:val="00F22D2F"/>
    <w:rsid w:val="00F23715"/>
    <w:rsid w:val="00F32329"/>
    <w:rsid w:val="00F4295B"/>
    <w:rsid w:val="00F714C7"/>
    <w:rsid w:val="00F9177B"/>
    <w:rsid w:val="00FE3AAB"/>
    <w:rsid w:val="01010150"/>
    <w:rsid w:val="01051DA8"/>
    <w:rsid w:val="010C0096"/>
    <w:rsid w:val="012B7796"/>
    <w:rsid w:val="013D1C8A"/>
    <w:rsid w:val="013F0F7C"/>
    <w:rsid w:val="014135A2"/>
    <w:rsid w:val="01464694"/>
    <w:rsid w:val="014B394A"/>
    <w:rsid w:val="01504160"/>
    <w:rsid w:val="015258FF"/>
    <w:rsid w:val="015265DB"/>
    <w:rsid w:val="0156446F"/>
    <w:rsid w:val="01665C29"/>
    <w:rsid w:val="016A18CE"/>
    <w:rsid w:val="01782F69"/>
    <w:rsid w:val="0186780C"/>
    <w:rsid w:val="01876A1F"/>
    <w:rsid w:val="018A13E8"/>
    <w:rsid w:val="018C6501"/>
    <w:rsid w:val="018F03FE"/>
    <w:rsid w:val="01934417"/>
    <w:rsid w:val="019377A3"/>
    <w:rsid w:val="01A20663"/>
    <w:rsid w:val="01A252D7"/>
    <w:rsid w:val="01A96BB6"/>
    <w:rsid w:val="01AA6553"/>
    <w:rsid w:val="01B21178"/>
    <w:rsid w:val="01B763DC"/>
    <w:rsid w:val="01BC53AC"/>
    <w:rsid w:val="01C25093"/>
    <w:rsid w:val="01C43DE1"/>
    <w:rsid w:val="01C91C5F"/>
    <w:rsid w:val="01E366FD"/>
    <w:rsid w:val="01E578B7"/>
    <w:rsid w:val="01F24E0B"/>
    <w:rsid w:val="01FE754D"/>
    <w:rsid w:val="02052202"/>
    <w:rsid w:val="02132164"/>
    <w:rsid w:val="02151D4A"/>
    <w:rsid w:val="02195753"/>
    <w:rsid w:val="02273FA3"/>
    <w:rsid w:val="02286712"/>
    <w:rsid w:val="0229654E"/>
    <w:rsid w:val="02326A09"/>
    <w:rsid w:val="023372E3"/>
    <w:rsid w:val="02362CC5"/>
    <w:rsid w:val="023E2792"/>
    <w:rsid w:val="0241752C"/>
    <w:rsid w:val="024211F3"/>
    <w:rsid w:val="0243067C"/>
    <w:rsid w:val="024E7B1D"/>
    <w:rsid w:val="02504227"/>
    <w:rsid w:val="02567FAA"/>
    <w:rsid w:val="02612347"/>
    <w:rsid w:val="026153C1"/>
    <w:rsid w:val="02676F4A"/>
    <w:rsid w:val="026D704D"/>
    <w:rsid w:val="02735026"/>
    <w:rsid w:val="027655B6"/>
    <w:rsid w:val="02792F82"/>
    <w:rsid w:val="02825F13"/>
    <w:rsid w:val="028430AA"/>
    <w:rsid w:val="02864898"/>
    <w:rsid w:val="028879D9"/>
    <w:rsid w:val="02932615"/>
    <w:rsid w:val="02975CDD"/>
    <w:rsid w:val="02A14D74"/>
    <w:rsid w:val="02A9227A"/>
    <w:rsid w:val="02AA5D42"/>
    <w:rsid w:val="02AB3E64"/>
    <w:rsid w:val="02AD1D16"/>
    <w:rsid w:val="02AE7975"/>
    <w:rsid w:val="02B30428"/>
    <w:rsid w:val="02B43DAD"/>
    <w:rsid w:val="02BB62A0"/>
    <w:rsid w:val="02C8779F"/>
    <w:rsid w:val="02D904A0"/>
    <w:rsid w:val="02DC1FED"/>
    <w:rsid w:val="02DD3DF1"/>
    <w:rsid w:val="02E02D5C"/>
    <w:rsid w:val="02E213EC"/>
    <w:rsid w:val="02E247AD"/>
    <w:rsid w:val="02E3266E"/>
    <w:rsid w:val="02F71628"/>
    <w:rsid w:val="03023D5A"/>
    <w:rsid w:val="0302424D"/>
    <w:rsid w:val="030514DF"/>
    <w:rsid w:val="030662A1"/>
    <w:rsid w:val="0307291B"/>
    <w:rsid w:val="03081CDB"/>
    <w:rsid w:val="0312038B"/>
    <w:rsid w:val="03132B33"/>
    <w:rsid w:val="03173D8F"/>
    <w:rsid w:val="031C70D4"/>
    <w:rsid w:val="03200E37"/>
    <w:rsid w:val="0321449C"/>
    <w:rsid w:val="03262BDB"/>
    <w:rsid w:val="03343D8F"/>
    <w:rsid w:val="033D10F3"/>
    <w:rsid w:val="03422841"/>
    <w:rsid w:val="03486A36"/>
    <w:rsid w:val="0350391F"/>
    <w:rsid w:val="03532C0C"/>
    <w:rsid w:val="035B6560"/>
    <w:rsid w:val="036B65D2"/>
    <w:rsid w:val="036E54D5"/>
    <w:rsid w:val="036E7CB0"/>
    <w:rsid w:val="036F45AC"/>
    <w:rsid w:val="03704344"/>
    <w:rsid w:val="03761169"/>
    <w:rsid w:val="03770FAA"/>
    <w:rsid w:val="03780BD6"/>
    <w:rsid w:val="039261BA"/>
    <w:rsid w:val="0399335B"/>
    <w:rsid w:val="039F6658"/>
    <w:rsid w:val="03A1062D"/>
    <w:rsid w:val="03AA4C9A"/>
    <w:rsid w:val="03B25307"/>
    <w:rsid w:val="03C23BAF"/>
    <w:rsid w:val="03C30D13"/>
    <w:rsid w:val="03C40ABE"/>
    <w:rsid w:val="03D3535E"/>
    <w:rsid w:val="03D50437"/>
    <w:rsid w:val="03D60077"/>
    <w:rsid w:val="03D942A6"/>
    <w:rsid w:val="03E3449B"/>
    <w:rsid w:val="03ED7A5F"/>
    <w:rsid w:val="03F050BD"/>
    <w:rsid w:val="03F22B46"/>
    <w:rsid w:val="03F33A48"/>
    <w:rsid w:val="03F7077E"/>
    <w:rsid w:val="03FA616E"/>
    <w:rsid w:val="03FB00F1"/>
    <w:rsid w:val="03FD5B02"/>
    <w:rsid w:val="03FF78BC"/>
    <w:rsid w:val="04031007"/>
    <w:rsid w:val="04031AEE"/>
    <w:rsid w:val="04053316"/>
    <w:rsid w:val="040A2EB9"/>
    <w:rsid w:val="041E23EC"/>
    <w:rsid w:val="04200D5F"/>
    <w:rsid w:val="04213047"/>
    <w:rsid w:val="04232E7B"/>
    <w:rsid w:val="04237D4F"/>
    <w:rsid w:val="042D2739"/>
    <w:rsid w:val="042E0EC7"/>
    <w:rsid w:val="0431295A"/>
    <w:rsid w:val="04331E2A"/>
    <w:rsid w:val="043C7F61"/>
    <w:rsid w:val="04444056"/>
    <w:rsid w:val="04486833"/>
    <w:rsid w:val="044D771D"/>
    <w:rsid w:val="044F225E"/>
    <w:rsid w:val="0453127A"/>
    <w:rsid w:val="04532E9E"/>
    <w:rsid w:val="045800BE"/>
    <w:rsid w:val="045C025A"/>
    <w:rsid w:val="04652152"/>
    <w:rsid w:val="04663310"/>
    <w:rsid w:val="04671AF4"/>
    <w:rsid w:val="0467789F"/>
    <w:rsid w:val="04683FDD"/>
    <w:rsid w:val="046D5C58"/>
    <w:rsid w:val="046F52E9"/>
    <w:rsid w:val="04713B41"/>
    <w:rsid w:val="047212F9"/>
    <w:rsid w:val="047B1E84"/>
    <w:rsid w:val="047E0822"/>
    <w:rsid w:val="04802939"/>
    <w:rsid w:val="04813AF2"/>
    <w:rsid w:val="04841778"/>
    <w:rsid w:val="04892F7A"/>
    <w:rsid w:val="04926F8F"/>
    <w:rsid w:val="049B0B0C"/>
    <w:rsid w:val="049C59A1"/>
    <w:rsid w:val="049F46AC"/>
    <w:rsid w:val="04A111B3"/>
    <w:rsid w:val="04B830C1"/>
    <w:rsid w:val="04BC54CF"/>
    <w:rsid w:val="04C70C4C"/>
    <w:rsid w:val="04C756B4"/>
    <w:rsid w:val="04C81FF0"/>
    <w:rsid w:val="04CC53B1"/>
    <w:rsid w:val="04D34B26"/>
    <w:rsid w:val="04D56A9B"/>
    <w:rsid w:val="04D74681"/>
    <w:rsid w:val="04DE5CC1"/>
    <w:rsid w:val="04E027CC"/>
    <w:rsid w:val="04E43DBE"/>
    <w:rsid w:val="04F51041"/>
    <w:rsid w:val="04FB1D50"/>
    <w:rsid w:val="04FB6CA5"/>
    <w:rsid w:val="04FD3B9E"/>
    <w:rsid w:val="04FF4175"/>
    <w:rsid w:val="05091CD0"/>
    <w:rsid w:val="05204AF2"/>
    <w:rsid w:val="05232BB3"/>
    <w:rsid w:val="05291A4F"/>
    <w:rsid w:val="052A62FE"/>
    <w:rsid w:val="0534658F"/>
    <w:rsid w:val="05373A82"/>
    <w:rsid w:val="053C2598"/>
    <w:rsid w:val="05416966"/>
    <w:rsid w:val="054A2BA3"/>
    <w:rsid w:val="05533444"/>
    <w:rsid w:val="055C36F3"/>
    <w:rsid w:val="056D77F4"/>
    <w:rsid w:val="056E36D8"/>
    <w:rsid w:val="05763C17"/>
    <w:rsid w:val="057C1154"/>
    <w:rsid w:val="05845294"/>
    <w:rsid w:val="0586026D"/>
    <w:rsid w:val="0591675E"/>
    <w:rsid w:val="059A3579"/>
    <w:rsid w:val="05A74ED3"/>
    <w:rsid w:val="05AA6ECF"/>
    <w:rsid w:val="05AE2116"/>
    <w:rsid w:val="05B55267"/>
    <w:rsid w:val="05C14E93"/>
    <w:rsid w:val="05C47331"/>
    <w:rsid w:val="05D51C25"/>
    <w:rsid w:val="05D65E1E"/>
    <w:rsid w:val="05DD280F"/>
    <w:rsid w:val="05E67F5F"/>
    <w:rsid w:val="05EE7A21"/>
    <w:rsid w:val="05F54774"/>
    <w:rsid w:val="05F74FD6"/>
    <w:rsid w:val="05FA4E29"/>
    <w:rsid w:val="06015BFD"/>
    <w:rsid w:val="060516BF"/>
    <w:rsid w:val="060D7A54"/>
    <w:rsid w:val="06205349"/>
    <w:rsid w:val="06274A2C"/>
    <w:rsid w:val="062B4BFA"/>
    <w:rsid w:val="062E1A31"/>
    <w:rsid w:val="06322E81"/>
    <w:rsid w:val="06341AEA"/>
    <w:rsid w:val="063D7723"/>
    <w:rsid w:val="063E5B1C"/>
    <w:rsid w:val="064411DA"/>
    <w:rsid w:val="0644691C"/>
    <w:rsid w:val="06473E71"/>
    <w:rsid w:val="064C13DA"/>
    <w:rsid w:val="064E2053"/>
    <w:rsid w:val="064E6F75"/>
    <w:rsid w:val="06556CDE"/>
    <w:rsid w:val="065B2732"/>
    <w:rsid w:val="06607022"/>
    <w:rsid w:val="06621D45"/>
    <w:rsid w:val="06640B64"/>
    <w:rsid w:val="06657762"/>
    <w:rsid w:val="06681512"/>
    <w:rsid w:val="066D09E8"/>
    <w:rsid w:val="066D20E0"/>
    <w:rsid w:val="067418DA"/>
    <w:rsid w:val="06756DF3"/>
    <w:rsid w:val="06791870"/>
    <w:rsid w:val="067A10A3"/>
    <w:rsid w:val="0680083C"/>
    <w:rsid w:val="068B4BC1"/>
    <w:rsid w:val="068E17EB"/>
    <w:rsid w:val="068E4102"/>
    <w:rsid w:val="069B7D6F"/>
    <w:rsid w:val="06AB7088"/>
    <w:rsid w:val="06AF398F"/>
    <w:rsid w:val="06B1202E"/>
    <w:rsid w:val="06C14990"/>
    <w:rsid w:val="06C255FB"/>
    <w:rsid w:val="06C27DB7"/>
    <w:rsid w:val="06C466BB"/>
    <w:rsid w:val="06CC4655"/>
    <w:rsid w:val="06CF005C"/>
    <w:rsid w:val="06D2689F"/>
    <w:rsid w:val="06DC4238"/>
    <w:rsid w:val="06DE266F"/>
    <w:rsid w:val="06E16933"/>
    <w:rsid w:val="06E554EF"/>
    <w:rsid w:val="06E63574"/>
    <w:rsid w:val="06E66FD9"/>
    <w:rsid w:val="06E77A99"/>
    <w:rsid w:val="06E91B3A"/>
    <w:rsid w:val="06E95FFC"/>
    <w:rsid w:val="06F23D1E"/>
    <w:rsid w:val="06FF392B"/>
    <w:rsid w:val="07057562"/>
    <w:rsid w:val="07065AD5"/>
    <w:rsid w:val="070B2EDA"/>
    <w:rsid w:val="070D1E13"/>
    <w:rsid w:val="070F00B4"/>
    <w:rsid w:val="071119D0"/>
    <w:rsid w:val="07144A09"/>
    <w:rsid w:val="072209DC"/>
    <w:rsid w:val="07282D9A"/>
    <w:rsid w:val="072A238A"/>
    <w:rsid w:val="072F4D58"/>
    <w:rsid w:val="073561EB"/>
    <w:rsid w:val="07392BD0"/>
    <w:rsid w:val="073B634E"/>
    <w:rsid w:val="073C2D1E"/>
    <w:rsid w:val="07476F00"/>
    <w:rsid w:val="074B7BE8"/>
    <w:rsid w:val="074C58DC"/>
    <w:rsid w:val="075615A8"/>
    <w:rsid w:val="07572B35"/>
    <w:rsid w:val="075F0056"/>
    <w:rsid w:val="07601DA2"/>
    <w:rsid w:val="07637BF2"/>
    <w:rsid w:val="07641D0D"/>
    <w:rsid w:val="07662674"/>
    <w:rsid w:val="0767483A"/>
    <w:rsid w:val="076B78D7"/>
    <w:rsid w:val="07796593"/>
    <w:rsid w:val="07821D74"/>
    <w:rsid w:val="078A55D3"/>
    <w:rsid w:val="078B4AA2"/>
    <w:rsid w:val="078C436E"/>
    <w:rsid w:val="07997645"/>
    <w:rsid w:val="079E1EE3"/>
    <w:rsid w:val="07A31B05"/>
    <w:rsid w:val="07B70EEF"/>
    <w:rsid w:val="07BC1F7E"/>
    <w:rsid w:val="07C36603"/>
    <w:rsid w:val="07C40FCD"/>
    <w:rsid w:val="07C621AC"/>
    <w:rsid w:val="07C65804"/>
    <w:rsid w:val="07CF1AD1"/>
    <w:rsid w:val="07D7335A"/>
    <w:rsid w:val="07D879E1"/>
    <w:rsid w:val="07E0507A"/>
    <w:rsid w:val="07E72C90"/>
    <w:rsid w:val="07E761B7"/>
    <w:rsid w:val="07EC46E7"/>
    <w:rsid w:val="07EC69FC"/>
    <w:rsid w:val="0808738E"/>
    <w:rsid w:val="080E6C62"/>
    <w:rsid w:val="080F372F"/>
    <w:rsid w:val="081A6BAD"/>
    <w:rsid w:val="08273974"/>
    <w:rsid w:val="082A73B9"/>
    <w:rsid w:val="082F56F4"/>
    <w:rsid w:val="082F787D"/>
    <w:rsid w:val="08372ED5"/>
    <w:rsid w:val="08395E4B"/>
    <w:rsid w:val="08400F85"/>
    <w:rsid w:val="08472010"/>
    <w:rsid w:val="084D1037"/>
    <w:rsid w:val="085049F9"/>
    <w:rsid w:val="08512C09"/>
    <w:rsid w:val="085170BD"/>
    <w:rsid w:val="08541F2D"/>
    <w:rsid w:val="086379DD"/>
    <w:rsid w:val="08701848"/>
    <w:rsid w:val="08705D89"/>
    <w:rsid w:val="08744098"/>
    <w:rsid w:val="087729D7"/>
    <w:rsid w:val="08795873"/>
    <w:rsid w:val="08872D9E"/>
    <w:rsid w:val="08876620"/>
    <w:rsid w:val="08885FE3"/>
    <w:rsid w:val="088F09A7"/>
    <w:rsid w:val="08903BD8"/>
    <w:rsid w:val="0896544A"/>
    <w:rsid w:val="08972CCF"/>
    <w:rsid w:val="089C3924"/>
    <w:rsid w:val="089F19BB"/>
    <w:rsid w:val="08A1451C"/>
    <w:rsid w:val="08A23037"/>
    <w:rsid w:val="08A4283A"/>
    <w:rsid w:val="08AC6D8D"/>
    <w:rsid w:val="08B0513C"/>
    <w:rsid w:val="08BE07C4"/>
    <w:rsid w:val="08C0336E"/>
    <w:rsid w:val="08C11B37"/>
    <w:rsid w:val="08C203AB"/>
    <w:rsid w:val="08C747D4"/>
    <w:rsid w:val="08CA18EB"/>
    <w:rsid w:val="08CC26EA"/>
    <w:rsid w:val="08CC365A"/>
    <w:rsid w:val="08D15D62"/>
    <w:rsid w:val="08D305D4"/>
    <w:rsid w:val="08D539E3"/>
    <w:rsid w:val="08DB73B0"/>
    <w:rsid w:val="08DE1C47"/>
    <w:rsid w:val="08E720D9"/>
    <w:rsid w:val="08E86909"/>
    <w:rsid w:val="08EC63BA"/>
    <w:rsid w:val="08EE6DAF"/>
    <w:rsid w:val="08F93267"/>
    <w:rsid w:val="08FD0364"/>
    <w:rsid w:val="08FD58BD"/>
    <w:rsid w:val="08FF075B"/>
    <w:rsid w:val="08FF50B6"/>
    <w:rsid w:val="090B75C9"/>
    <w:rsid w:val="090C6E58"/>
    <w:rsid w:val="090F7AAC"/>
    <w:rsid w:val="09102109"/>
    <w:rsid w:val="09117007"/>
    <w:rsid w:val="09143183"/>
    <w:rsid w:val="091D71CF"/>
    <w:rsid w:val="0920075C"/>
    <w:rsid w:val="09203EE5"/>
    <w:rsid w:val="09341893"/>
    <w:rsid w:val="093B5F9E"/>
    <w:rsid w:val="094477B4"/>
    <w:rsid w:val="09474FBC"/>
    <w:rsid w:val="09482F14"/>
    <w:rsid w:val="094D4667"/>
    <w:rsid w:val="0953752F"/>
    <w:rsid w:val="09582B36"/>
    <w:rsid w:val="095B104A"/>
    <w:rsid w:val="09622569"/>
    <w:rsid w:val="096B0AA9"/>
    <w:rsid w:val="096B20A4"/>
    <w:rsid w:val="097D51FC"/>
    <w:rsid w:val="09837C82"/>
    <w:rsid w:val="09894AE2"/>
    <w:rsid w:val="098E57E7"/>
    <w:rsid w:val="09900B66"/>
    <w:rsid w:val="09994596"/>
    <w:rsid w:val="099B0E28"/>
    <w:rsid w:val="09AF0A75"/>
    <w:rsid w:val="09B024F6"/>
    <w:rsid w:val="09B927C7"/>
    <w:rsid w:val="09CB591E"/>
    <w:rsid w:val="09CC3BAD"/>
    <w:rsid w:val="09CC461B"/>
    <w:rsid w:val="09D12789"/>
    <w:rsid w:val="09D33B7F"/>
    <w:rsid w:val="09E05714"/>
    <w:rsid w:val="09E244D3"/>
    <w:rsid w:val="09E44204"/>
    <w:rsid w:val="09E55530"/>
    <w:rsid w:val="09EE22B5"/>
    <w:rsid w:val="09EF6217"/>
    <w:rsid w:val="09F410FD"/>
    <w:rsid w:val="09F568C1"/>
    <w:rsid w:val="0A031C30"/>
    <w:rsid w:val="0A0E02AF"/>
    <w:rsid w:val="0A0F0F43"/>
    <w:rsid w:val="0A141092"/>
    <w:rsid w:val="0A18215B"/>
    <w:rsid w:val="0A1822F6"/>
    <w:rsid w:val="0A197DF4"/>
    <w:rsid w:val="0A1C206E"/>
    <w:rsid w:val="0A1F3AFB"/>
    <w:rsid w:val="0A247DB4"/>
    <w:rsid w:val="0A2763EA"/>
    <w:rsid w:val="0A3D4730"/>
    <w:rsid w:val="0A406793"/>
    <w:rsid w:val="0A4F2112"/>
    <w:rsid w:val="0A562EAD"/>
    <w:rsid w:val="0A5839AB"/>
    <w:rsid w:val="0A5F1943"/>
    <w:rsid w:val="0A633055"/>
    <w:rsid w:val="0A765489"/>
    <w:rsid w:val="0A81733B"/>
    <w:rsid w:val="0A88671B"/>
    <w:rsid w:val="0A8C7940"/>
    <w:rsid w:val="0A941E7B"/>
    <w:rsid w:val="0A9E49D0"/>
    <w:rsid w:val="0ABF45E0"/>
    <w:rsid w:val="0AC2238D"/>
    <w:rsid w:val="0AC55D93"/>
    <w:rsid w:val="0AD029E3"/>
    <w:rsid w:val="0AD20D78"/>
    <w:rsid w:val="0AD30562"/>
    <w:rsid w:val="0AD95FEE"/>
    <w:rsid w:val="0AEB1D55"/>
    <w:rsid w:val="0AEC273E"/>
    <w:rsid w:val="0AED1A7F"/>
    <w:rsid w:val="0AEF28BE"/>
    <w:rsid w:val="0AF237D0"/>
    <w:rsid w:val="0AFB7D33"/>
    <w:rsid w:val="0AFC62D2"/>
    <w:rsid w:val="0AFC7C75"/>
    <w:rsid w:val="0AFD2BCB"/>
    <w:rsid w:val="0B030A0E"/>
    <w:rsid w:val="0B0A3DFD"/>
    <w:rsid w:val="0B165FCB"/>
    <w:rsid w:val="0B180ECD"/>
    <w:rsid w:val="0B1C1A41"/>
    <w:rsid w:val="0B27068D"/>
    <w:rsid w:val="0B27778B"/>
    <w:rsid w:val="0B373A25"/>
    <w:rsid w:val="0B3839BB"/>
    <w:rsid w:val="0B3B4B4B"/>
    <w:rsid w:val="0B490628"/>
    <w:rsid w:val="0B4D084E"/>
    <w:rsid w:val="0B5001FD"/>
    <w:rsid w:val="0B52083E"/>
    <w:rsid w:val="0B52682D"/>
    <w:rsid w:val="0B5D62E7"/>
    <w:rsid w:val="0B5E6C1B"/>
    <w:rsid w:val="0B6F3C3D"/>
    <w:rsid w:val="0B781E3E"/>
    <w:rsid w:val="0B787300"/>
    <w:rsid w:val="0B7C78A1"/>
    <w:rsid w:val="0B8A2E8C"/>
    <w:rsid w:val="0B8D31DB"/>
    <w:rsid w:val="0B904C54"/>
    <w:rsid w:val="0B94665C"/>
    <w:rsid w:val="0B9B3CCE"/>
    <w:rsid w:val="0B9D46C6"/>
    <w:rsid w:val="0BA26BC5"/>
    <w:rsid w:val="0BA527D4"/>
    <w:rsid w:val="0BA62356"/>
    <w:rsid w:val="0BA81572"/>
    <w:rsid w:val="0BAC7AD9"/>
    <w:rsid w:val="0BAE5439"/>
    <w:rsid w:val="0BBC1588"/>
    <w:rsid w:val="0BBC6AE2"/>
    <w:rsid w:val="0BC134C0"/>
    <w:rsid w:val="0BCC2203"/>
    <w:rsid w:val="0BCF0D6E"/>
    <w:rsid w:val="0BD85517"/>
    <w:rsid w:val="0BDB7F83"/>
    <w:rsid w:val="0BDD0790"/>
    <w:rsid w:val="0BDD4638"/>
    <w:rsid w:val="0BE87530"/>
    <w:rsid w:val="0BF012E6"/>
    <w:rsid w:val="0BF05CF9"/>
    <w:rsid w:val="0BF4355E"/>
    <w:rsid w:val="0BF5093F"/>
    <w:rsid w:val="0BF740B1"/>
    <w:rsid w:val="0C005F9F"/>
    <w:rsid w:val="0C095932"/>
    <w:rsid w:val="0C0A1605"/>
    <w:rsid w:val="0C0A2C10"/>
    <w:rsid w:val="0C0D7E74"/>
    <w:rsid w:val="0C0E3CFD"/>
    <w:rsid w:val="0C154760"/>
    <w:rsid w:val="0C156ACE"/>
    <w:rsid w:val="0C166DCE"/>
    <w:rsid w:val="0C1715EB"/>
    <w:rsid w:val="0C2474B4"/>
    <w:rsid w:val="0C281D81"/>
    <w:rsid w:val="0C283CA3"/>
    <w:rsid w:val="0C3628E9"/>
    <w:rsid w:val="0C372E4D"/>
    <w:rsid w:val="0C3D3005"/>
    <w:rsid w:val="0C403EFC"/>
    <w:rsid w:val="0C41087A"/>
    <w:rsid w:val="0C5815BD"/>
    <w:rsid w:val="0C593A85"/>
    <w:rsid w:val="0C617D18"/>
    <w:rsid w:val="0C653220"/>
    <w:rsid w:val="0C6658D4"/>
    <w:rsid w:val="0C695D30"/>
    <w:rsid w:val="0C6F3B75"/>
    <w:rsid w:val="0C833C3C"/>
    <w:rsid w:val="0C866B45"/>
    <w:rsid w:val="0C8C56BB"/>
    <w:rsid w:val="0C9A6A4C"/>
    <w:rsid w:val="0C9F74EE"/>
    <w:rsid w:val="0CA23648"/>
    <w:rsid w:val="0CA53F3A"/>
    <w:rsid w:val="0CA87886"/>
    <w:rsid w:val="0CAF57CC"/>
    <w:rsid w:val="0CB0086B"/>
    <w:rsid w:val="0CB72517"/>
    <w:rsid w:val="0CC06DC6"/>
    <w:rsid w:val="0CC12374"/>
    <w:rsid w:val="0CC37006"/>
    <w:rsid w:val="0CC5099D"/>
    <w:rsid w:val="0CC5486C"/>
    <w:rsid w:val="0CCC2DA7"/>
    <w:rsid w:val="0CD057B3"/>
    <w:rsid w:val="0CDC30C8"/>
    <w:rsid w:val="0CE94F94"/>
    <w:rsid w:val="0CED067B"/>
    <w:rsid w:val="0CF73B8F"/>
    <w:rsid w:val="0CFC6488"/>
    <w:rsid w:val="0D0D7437"/>
    <w:rsid w:val="0D1158BC"/>
    <w:rsid w:val="0D1D5BF4"/>
    <w:rsid w:val="0D1E59D9"/>
    <w:rsid w:val="0D216FAC"/>
    <w:rsid w:val="0D237F04"/>
    <w:rsid w:val="0D2474FB"/>
    <w:rsid w:val="0D270F1D"/>
    <w:rsid w:val="0D2B109F"/>
    <w:rsid w:val="0D2E7CDA"/>
    <w:rsid w:val="0D30538D"/>
    <w:rsid w:val="0D344BC9"/>
    <w:rsid w:val="0D440162"/>
    <w:rsid w:val="0D4A61F6"/>
    <w:rsid w:val="0D5A3280"/>
    <w:rsid w:val="0D5A4C9D"/>
    <w:rsid w:val="0D5E127F"/>
    <w:rsid w:val="0D6147B8"/>
    <w:rsid w:val="0D636535"/>
    <w:rsid w:val="0D6C0EAE"/>
    <w:rsid w:val="0D6E0969"/>
    <w:rsid w:val="0D741C11"/>
    <w:rsid w:val="0D742AA6"/>
    <w:rsid w:val="0D755F31"/>
    <w:rsid w:val="0D775043"/>
    <w:rsid w:val="0D790005"/>
    <w:rsid w:val="0D793F75"/>
    <w:rsid w:val="0D7F0B9C"/>
    <w:rsid w:val="0D8243B7"/>
    <w:rsid w:val="0D8323B8"/>
    <w:rsid w:val="0D895568"/>
    <w:rsid w:val="0D8D3FD0"/>
    <w:rsid w:val="0D9174C8"/>
    <w:rsid w:val="0D947DEF"/>
    <w:rsid w:val="0D962F70"/>
    <w:rsid w:val="0D977123"/>
    <w:rsid w:val="0D9960F6"/>
    <w:rsid w:val="0D9B3836"/>
    <w:rsid w:val="0D9D017D"/>
    <w:rsid w:val="0DA02ADC"/>
    <w:rsid w:val="0DA15BB8"/>
    <w:rsid w:val="0DB87064"/>
    <w:rsid w:val="0DBC1C2A"/>
    <w:rsid w:val="0DC220C6"/>
    <w:rsid w:val="0DC952C4"/>
    <w:rsid w:val="0DD1316E"/>
    <w:rsid w:val="0DD37D4F"/>
    <w:rsid w:val="0DD4573A"/>
    <w:rsid w:val="0DDE2D32"/>
    <w:rsid w:val="0DDF0C55"/>
    <w:rsid w:val="0DEF7094"/>
    <w:rsid w:val="0DF01807"/>
    <w:rsid w:val="0DF10AAF"/>
    <w:rsid w:val="0DFB590C"/>
    <w:rsid w:val="0E0D7FD1"/>
    <w:rsid w:val="0E105F97"/>
    <w:rsid w:val="0E195920"/>
    <w:rsid w:val="0E1B160F"/>
    <w:rsid w:val="0E1D4C94"/>
    <w:rsid w:val="0E1E0143"/>
    <w:rsid w:val="0E1E01D2"/>
    <w:rsid w:val="0E237ECF"/>
    <w:rsid w:val="0E2C57A6"/>
    <w:rsid w:val="0E315CB6"/>
    <w:rsid w:val="0E3B4AAC"/>
    <w:rsid w:val="0E3D45E7"/>
    <w:rsid w:val="0E3D63C6"/>
    <w:rsid w:val="0E444E25"/>
    <w:rsid w:val="0E4528EE"/>
    <w:rsid w:val="0E463F6A"/>
    <w:rsid w:val="0E4E095A"/>
    <w:rsid w:val="0E533A22"/>
    <w:rsid w:val="0E53602B"/>
    <w:rsid w:val="0E5400D2"/>
    <w:rsid w:val="0E5D50FC"/>
    <w:rsid w:val="0E5E0B3E"/>
    <w:rsid w:val="0E6B2F67"/>
    <w:rsid w:val="0E6C2D82"/>
    <w:rsid w:val="0E6D4448"/>
    <w:rsid w:val="0E767DF8"/>
    <w:rsid w:val="0E8D2FCC"/>
    <w:rsid w:val="0E902B4B"/>
    <w:rsid w:val="0E9944EA"/>
    <w:rsid w:val="0E9E7DA9"/>
    <w:rsid w:val="0EA40702"/>
    <w:rsid w:val="0EA9127C"/>
    <w:rsid w:val="0EB11864"/>
    <w:rsid w:val="0EB331E4"/>
    <w:rsid w:val="0EB5186D"/>
    <w:rsid w:val="0EB968BD"/>
    <w:rsid w:val="0EBC0876"/>
    <w:rsid w:val="0EBC1880"/>
    <w:rsid w:val="0EBC72A0"/>
    <w:rsid w:val="0ECF6E99"/>
    <w:rsid w:val="0ED30BA5"/>
    <w:rsid w:val="0ED36EE4"/>
    <w:rsid w:val="0ED45063"/>
    <w:rsid w:val="0ED57EB9"/>
    <w:rsid w:val="0ED923CE"/>
    <w:rsid w:val="0EE95301"/>
    <w:rsid w:val="0EED64E5"/>
    <w:rsid w:val="0F060E4D"/>
    <w:rsid w:val="0F090320"/>
    <w:rsid w:val="0F155C7F"/>
    <w:rsid w:val="0F1F7A81"/>
    <w:rsid w:val="0F23174E"/>
    <w:rsid w:val="0F237959"/>
    <w:rsid w:val="0F261433"/>
    <w:rsid w:val="0F3B168C"/>
    <w:rsid w:val="0F3E4FBF"/>
    <w:rsid w:val="0F3F2856"/>
    <w:rsid w:val="0F4449CF"/>
    <w:rsid w:val="0F4527B9"/>
    <w:rsid w:val="0F456F43"/>
    <w:rsid w:val="0F4F7F5C"/>
    <w:rsid w:val="0F523FEC"/>
    <w:rsid w:val="0F552295"/>
    <w:rsid w:val="0F555D3E"/>
    <w:rsid w:val="0F5D5585"/>
    <w:rsid w:val="0F60088C"/>
    <w:rsid w:val="0F6A6084"/>
    <w:rsid w:val="0F7331B1"/>
    <w:rsid w:val="0F7D24A1"/>
    <w:rsid w:val="0F830CF9"/>
    <w:rsid w:val="0F845AA7"/>
    <w:rsid w:val="0F8807D3"/>
    <w:rsid w:val="0F8E5A77"/>
    <w:rsid w:val="0F8F7B01"/>
    <w:rsid w:val="0F9170A3"/>
    <w:rsid w:val="0F954A4C"/>
    <w:rsid w:val="0F985025"/>
    <w:rsid w:val="0F9B2701"/>
    <w:rsid w:val="0F9F38A1"/>
    <w:rsid w:val="0FA16B4B"/>
    <w:rsid w:val="0FA355C9"/>
    <w:rsid w:val="0FA715B7"/>
    <w:rsid w:val="0FAA2BE2"/>
    <w:rsid w:val="0FAB0735"/>
    <w:rsid w:val="0FAB73CF"/>
    <w:rsid w:val="0FB02E75"/>
    <w:rsid w:val="0FB23455"/>
    <w:rsid w:val="0FB4731B"/>
    <w:rsid w:val="0FB51BC9"/>
    <w:rsid w:val="0FBA136E"/>
    <w:rsid w:val="0FBD3F9D"/>
    <w:rsid w:val="0FC44457"/>
    <w:rsid w:val="0FC63A81"/>
    <w:rsid w:val="0FC67596"/>
    <w:rsid w:val="0FD23538"/>
    <w:rsid w:val="0FD62A5C"/>
    <w:rsid w:val="0FDE415A"/>
    <w:rsid w:val="0FDF7159"/>
    <w:rsid w:val="0FE01B4D"/>
    <w:rsid w:val="0FE07CE6"/>
    <w:rsid w:val="0FE866A2"/>
    <w:rsid w:val="0FEA7956"/>
    <w:rsid w:val="0FEC20DB"/>
    <w:rsid w:val="0FF2619D"/>
    <w:rsid w:val="0FFC3732"/>
    <w:rsid w:val="0FFF2DDE"/>
    <w:rsid w:val="10002E78"/>
    <w:rsid w:val="10042FED"/>
    <w:rsid w:val="10047624"/>
    <w:rsid w:val="100651AB"/>
    <w:rsid w:val="100814AF"/>
    <w:rsid w:val="100A088B"/>
    <w:rsid w:val="1014463D"/>
    <w:rsid w:val="101E557F"/>
    <w:rsid w:val="102029E7"/>
    <w:rsid w:val="10220902"/>
    <w:rsid w:val="10270B22"/>
    <w:rsid w:val="102915EA"/>
    <w:rsid w:val="1029414C"/>
    <w:rsid w:val="1030329B"/>
    <w:rsid w:val="103A1359"/>
    <w:rsid w:val="104501C9"/>
    <w:rsid w:val="10451A6F"/>
    <w:rsid w:val="10464329"/>
    <w:rsid w:val="10505F47"/>
    <w:rsid w:val="105A0ABD"/>
    <w:rsid w:val="105E4D49"/>
    <w:rsid w:val="1074076A"/>
    <w:rsid w:val="107921C2"/>
    <w:rsid w:val="107E07FE"/>
    <w:rsid w:val="10804B06"/>
    <w:rsid w:val="108423F9"/>
    <w:rsid w:val="10862442"/>
    <w:rsid w:val="10897B59"/>
    <w:rsid w:val="108B5C75"/>
    <w:rsid w:val="10927871"/>
    <w:rsid w:val="109A0EBC"/>
    <w:rsid w:val="109B2457"/>
    <w:rsid w:val="10A3168C"/>
    <w:rsid w:val="10A86948"/>
    <w:rsid w:val="10B64B5C"/>
    <w:rsid w:val="10BD4B6E"/>
    <w:rsid w:val="10C11C16"/>
    <w:rsid w:val="10C40F70"/>
    <w:rsid w:val="10C627F7"/>
    <w:rsid w:val="10CB02A5"/>
    <w:rsid w:val="10D11D52"/>
    <w:rsid w:val="10D50942"/>
    <w:rsid w:val="10D8733A"/>
    <w:rsid w:val="10E00E64"/>
    <w:rsid w:val="10E5251C"/>
    <w:rsid w:val="10E55858"/>
    <w:rsid w:val="10E8122E"/>
    <w:rsid w:val="10F16B8E"/>
    <w:rsid w:val="10F371A5"/>
    <w:rsid w:val="10FC1D47"/>
    <w:rsid w:val="10FD57A5"/>
    <w:rsid w:val="11002024"/>
    <w:rsid w:val="1101215E"/>
    <w:rsid w:val="11051170"/>
    <w:rsid w:val="1107086A"/>
    <w:rsid w:val="110944F8"/>
    <w:rsid w:val="111D7A3C"/>
    <w:rsid w:val="112673D2"/>
    <w:rsid w:val="11272A81"/>
    <w:rsid w:val="11343C71"/>
    <w:rsid w:val="1135344F"/>
    <w:rsid w:val="113B7B50"/>
    <w:rsid w:val="113F2FF0"/>
    <w:rsid w:val="1140061F"/>
    <w:rsid w:val="11405189"/>
    <w:rsid w:val="11494402"/>
    <w:rsid w:val="114F2F0F"/>
    <w:rsid w:val="114F3B5D"/>
    <w:rsid w:val="11511756"/>
    <w:rsid w:val="11513703"/>
    <w:rsid w:val="11550CA2"/>
    <w:rsid w:val="1166278E"/>
    <w:rsid w:val="116D186E"/>
    <w:rsid w:val="116D53E1"/>
    <w:rsid w:val="1170715C"/>
    <w:rsid w:val="11763534"/>
    <w:rsid w:val="118050B1"/>
    <w:rsid w:val="118151C6"/>
    <w:rsid w:val="118260EC"/>
    <w:rsid w:val="11835203"/>
    <w:rsid w:val="119C20C5"/>
    <w:rsid w:val="119C7740"/>
    <w:rsid w:val="11A3453B"/>
    <w:rsid w:val="11AD53AD"/>
    <w:rsid w:val="11B102ED"/>
    <w:rsid w:val="11B13A44"/>
    <w:rsid w:val="11B64B9D"/>
    <w:rsid w:val="11B9527B"/>
    <w:rsid w:val="11C34C5A"/>
    <w:rsid w:val="11C36C64"/>
    <w:rsid w:val="11C62A54"/>
    <w:rsid w:val="11CC26D8"/>
    <w:rsid w:val="11CF686B"/>
    <w:rsid w:val="11D7281B"/>
    <w:rsid w:val="11D93657"/>
    <w:rsid w:val="11D939FA"/>
    <w:rsid w:val="11DE1C3D"/>
    <w:rsid w:val="11E62926"/>
    <w:rsid w:val="11E7019B"/>
    <w:rsid w:val="11FC27FE"/>
    <w:rsid w:val="12000461"/>
    <w:rsid w:val="12041F1C"/>
    <w:rsid w:val="1206148B"/>
    <w:rsid w:val="120B15F0"/>
    <w:rsid w:val="120C2B34"/>
    <w:rsid w:val="120D483D"/>
    <w:rsid w:val="120E3000"/>
    <w:rsid w:val="121D2DB8"/>
    <w:rsid w:val="121F121F"/>
    <w:rsid w:val="122968CD"/>
    <w:rsid w:val="122D65F7"/>
    <w:rsid w:val="12312740"/>
    <w:rsid w:val="12375EE5"/>
    <w:rsid w:val="12445BA6"/>
    <w:rsid w:val="12515369"/>
    <w:rsid w:val="125255DD"/>
    <w:rsid w:val="126A70F2"/>
    <w:rsid w:val="126F5ED9"/>
    <w:rsid w:val="12786968"/>
    <w:rsid w:val="127F673F"/>
    <w:rsid w:val="12913FB2"/>
    <w:rsid w:val="129226C4"/>
    <w:rsid w:val="129455AD"/>
    <w:rsid w:val="12970BC5"/>
    <w:rsid w:val="1299328B"/>
    <w:rsid w:val="12A04B9A"/>
    <w:rsid w:val="12A25B5F"/>
    <w:rsid w:val="12A30DA6"/>
    <w:rsid w:val="12B060D1"/>
    <w:rsid w:val="12C23A7C"/>
    <w:rsid w:val="12D32824"/>
    <w:rsid w:val="12D37006"/>
    <w:rsid w:val="12D72156"/>
    <w:rsid w:val="12D919C1"/>
    <w:rsid w:val="12DB7608"/>
    <w:rsid w:val="12E94BA8"/>
    <w:rsid w:val="12F0221C"/>
    <w:rsid w:val="12F16671"/>
    <w:rsid w:val="12F55F70"/>
    <w:rsid w:val="13053401"/>
    <w:rsid w:val="130A3353"/>
    <w:rsid w:val="13127492"/>
    <w:rsid w:val="1315369C"/>
    <w:rsid w:val="131B0C66"/>
    <w:rsid w:val="13241623"/>
    <w:rsid w:val="1325634E"/>
    <w:rsid w:val="132B0100"/>
    <w:rsid w:val="132B7B61"/>
    <w:rsid w:val="133238A4"/>
    <w:rsid w:val="13380869"/>
    <w:rsid w:val="13434508"/>
    <w:rsid w:val="135E60A9"/>
    <w:rsid w:val="13755EB2"/>
    <w:rsid w:val="138416FB"/>
    <w:rsid w:val="13877DCB"/>
    <w:rsid w:val="13887B1A"/>
    <w:rsid w:val="13895A4A"/>
    <w:rsid w:val="13920730"/>
    <w:rsid w:val="13961258"/>
    <w:rsid w:val="139617FD"/>
    <w:rsid w:val="139E1193"/>
    <w:rsid w:val="139F2E5E"/>
    <w:rsid w:val="13A35911"/>
    <w:rsid w:val="13A449CD"/>
    <w:rsid w:val="13A47BFE"/>
    <w:rsid w:val="13A550CA"/>
    <w:rsid w:val="13A71644"/>
    <w:rsid w:val="13AE3CCB"/>
    <w:rsid w:val="13B5648C"/>
    <w:rsid w:val="13B575D2"/>
    <w:rsid w:val="13B773EB"/>
    <w:rsid w:val="13C16519"/>
    <w:rsid w:val="13C4002F"/>
    <w:rsid w:val="13DE4977"/>
    <w:rsid w:val="13E438BD"/>
    <w:rsid w:val="13E67824"/>
    <w:rsid w:val="13E73A66"/>
    <w:rsid w:val="13E80120"/>
    <w:rsid w:val="13ED6898"/>
    <w:rsid w:val="13F4552C"/>
    <w:rsid w:val="13F475FD"/>
    <w:rsid w:val="13F75382"/>
    <w:rsid w:val="13FB4175"/>
    <w:rsid w:val="13FB4242"/>
    <w:rsid w:val="1408504F"/>
    <w:rsid w:val="140D2E0C"/>
    <w:rsid w:val="14166484"/>
    <w:rsid w:val="14197E9B"/>
    <w:rsid w:val="141A7296"/>
    <w:rsid w:val="142326DD"/>
    <w:rsid w:val="14242A9B"/>
    <w:rsid w:val="14291507"/>
    <w:rsid w:val="14293FDD"/>
    <w:rsid w:val="142B3026"/>
    <w:rsid w:val="142C4E25"/>
    <w:rsid w:val="14335E33"/>
    <w:rsid w:val="14337B18"/>
    <w:rsid w:val="14373AD4"/>
    <w:rsid w:val="14426A68"/>
    <w:rsid w:val="144A10F1"/>
    <w:rsid w:val="145D7218"/>
    <w:rsid w:val="146114A0"/>
    <w:rsid w:val="14663754"/>
    <w:rsid w:val="146863CA"/>
    <w:rsid w:val="14701BEF"/>
    <w:rsid w:val="1470604A"/>
    <w:rsid w:val="147711E1"/>
    <w:rsid w:val="147D3633"/>
    <w:rsid w:val="147E33C2"/>
    <w:rsid w:val="148356A5"/>
    <w:rsid w:val="14857BC8"/>
    <w:rsid w:val="148979C6"/>
    <w:rsid w:val="148A09EC"/>
    <w:rsid w:val="148C6F55"/>
    <w:rsid w:val="148F29C9"/>
    <w:rsid w:val="14921567"/>
    <w:rsid w:val="149228AB"/>
    <w:rsid w:val="149738C6"/>
    <w:rsid w:val="1497717C"/>
    <w:rsid w:val="14A03AE1"/>
    <w:rsid w:val="14BE3BD0"/>
    <w:rsid w:val="14C106B5"/>
    <w:rsid w:val="14C15D37"/>
    <w:rsid w:val="14C675BD"/>
    <w:rsid w:val="14CF2CA5"/>
    <w:rsid w:val="14D170ED"/>
    <w:rsid w:val="14D234DF"/>
    <w:rsid w:val="14D53920"/>
    <w:rsid w:val="14DE57EB"/>
    <w:rsid w:val="14E36FB1"/>
    <w:rsid w:val="14E4157B"/>
    <w:rsid w:val="14E44A7F"/>
    <w:rsid w:val="14E60E10"/>
    <w:rsid w:val="14EA5ECD"/>
    <w:rsid w:val="14ED5688"/>
    <w:rsid w:val="14F3772D"/>
    <w:rsid w:val="14F62DB0"/>
    <w:rsid w:val="14F71157"/>
    <w:rsid w:val="14F95A36"/>
    <w:rsid w:val="1501476A"/>
    <w:rsid w:val="15072773"/>
    <w:rsid w:val="150B5A9C"/>
    <w:rsid w:val="151C209F"/>
    <w:rsid w:val="151D60E3"/>
    <w:rsid w:val="15225309"/>
    <w:rsid w:val="152A1777"/>
    <w:rsid w:val="1530340C"/>
    <w:rsid w:val="153575B4"/>
    <w:rsid w:val="15376A6C"/>
    <w:rsid w:val="153C7696"/>
    <w:rsid w:val="15427196"/>
    <w:rsid w:val="15443470"/>
    <w:rsid w:val="154D2C83"/>
    <w:rsid w:val="155D44F6"/>
    <w:rsid w:val="1568195A"/>
    <w:rsid w:val="156825AE"/>
    <w:rsid w:val="156A365B"/>
    <w:rsid w:val="157523D3"/>
    <w:rsid w:val="157648A9"/>
    <w:rsid w:val="157D25F1"/>
    <w:rsid w:val="158013B3"/>
    <w:rsid w:val="1580388D"/>
    <w:rsid w:val="15897466"/>
    <w:rsid w:val="158A5050"/>
    <w:rsid w:val="158F6BFA"/>
    <w:rsid w:val="15902E98"/>
    <w:rsid w:val="159D2AA8"/>
    <w:rsid w:val="159E21E6"/>
    <w:rsid w:val="15A703A7"/>
    <w:rsid w:val="15AD12E9"/>
    <w:rsid w:val="15AE3BF2"/>
    <w:rsid w:val="15B113FD"/>
    <w:rsid w:val="15B61C1D"/>
    <w:rsid w:val="15BA20FE"/>
    <w:rsid w:val="15BC3A0F"/>
    <w:rsid w:val="15C35BD2"/>
    <w:rsid w:val="15CE2F37"/>
    <w:rsid w:val="15CF3C06"/>
    <w:rsid w:val="15CF6FF0"/>
    <w:rsid w:val="15D26FFC"/>
    <w:rsid w:val="15D728CB"/>
    <w:rsid w:val="15D9346D"/>
    <w:rsid w:val="15DF1441"/>
    <w:rsid w:val="15E13C31"/>
    <w:rsid w:val="15E40909"/>
    <w:rsid w:val="15E50EF0"/>
    <w:rsid w:val="15E57584"/>
    <w:rsid w:val="15E87505"/>
    <w:rsid w:val="15EA7D2C"/>
    <w:rsid w:val="15F64ECB"/>
    <w:rsid w:val="15F86EC8"/>
    <w:rsid w:val="15F97B47"/>
    <w:rsid w:val="15FD1127"/>
    <w:rsid w:val="16003898"/>
    <w:rsid w:val="16023189"/>
    <w:rsid w:val="16034EBB"/>
    <w:rsid w:val="16071DD9"/>
    <w:rsid w:val="160C5D02"/>
    <w:rsid w:val="160F4A31"/>
    <w:rsid w:val="16184098"/>
    <w:rsid w:val="1619181D"/>
    <w:rsid w:val="161F7166"/>
    <w:rsid w:val="16290D5F"/>
    <w:rsid w:val="162C4C37"/>
    <w:rsid w:val="162D4AB2"/>
    <w:rsid w:val="16333E74"/>
    <w:rsid w:val="163409FD"/>
    <w:rsid w:val="164118EB"/>
    <w:rsid w:val="16477DE9"/>
    <w:rsid w:val="164925E6"/>
    <w:rsid w:val="16564ED8"/>
    <w:rsid w:val="1658280A"/>
    <w:rsid w:val="165A79B8"/>
    <w:rsid w:val="16695F27"/>
    <w:rsid w:val="166B2C03"/>
    <w:rsid w:val="166B2D98"/>
    <w:rsid w:val="1675025D"/>
    <w:rsid w:val="16753E20"/>
    <w:rsid w:val="167A093E"/>
    <w:rsid w:val="167A58F5"/>
    <w:rsid w:val="167E6CA3"/>
    <w:rsid w:val="167F4B95"/>
    <w:rsid w:val="168C1642"/>
    <w:rsid w:val="16980ACF"/>
    <w:rsid w:val="16996BD1"/>
    <w:rsid w:val="169D0E74"/>
    <w:rsid w:val="16A0455F"/>
    <w:rsid w:val="16A45B30"/>
    <w:rsid w:val="16A63B54"/>
    <w:rsid w:val="16A93CB6"/>
    <w:rsid w:val="16B036DB"/>
    <w:rsid w:val="16B0603A"/>
    <w:rsid w:val="16B64F34"/>
    <w:rsid w:val="16C10A6C"/>
    <w:rsid w:val="16C62BFC"/>
    <w:rsid w:val="16C63741"/>
    <w:rsid w:val="16C96046"/>
    <w:rsid w:val="16D4043A"/>
    <w:rsid w:val="16D67B98"/>
    <w:rsid w:val="16DB09CD"/>
    <w:rsid w:val="16E21427"/>
    <w:rsid w:val="16E43C61"/>
    <w:rsid w:val="16F25984"/>
    <w:rsid w:val="16F335D2"/>
    <w:rsid w:val="17017CA0"/>
    <w:rsid w:val="17033117"/>
    <w:rsid w:val="17044C1E"/>
    <w:rsid w:val="1705416A"/>
    <w:rsid w:val="170A0BD6"/>
    <w:rsid w:val="170C751B"/>
    <w:rsid w:val="17156B21"/>
    <w:rsid w:val="17174AB2"/>
    <w:rsid w:val="1718056E"/>
    <w:rsid w:val="171D3139"/>
    <w:rsid w:val="17273AF9"/>
    <w:rsid w:val="172C1D05"/>
    <w:rsid w:val="172F59B8"/>
    <w:rsid w:val="173571E0"/>
    <w:rsid w:val="173A64BB"/>
    <w:rsid w:val="173C043D"/>
    <w:rsid w:val="173C59AC"/>
    <w:rsid w:val="173D2535"/>
    <w:rsid w:val="173F20E2"/>
    <w:rsid w:val="17415F04"/>
    <w:rsid w:val="174237DE"/>
    <w:rsid w:val="17563035"/>
    <w:rsid w:val="175D157B"/>
    <w:rsid w:val="1760681F"/>
    <w:rsid w:val="17740120"/>
    <w:rsid w:val="17792B60"/>
    <w:rsid w:val="177F62FA"/>
    <w:rsid w:val="178147E8"/>
    <w:rsid w:val="178545F9"/>
    <w:rsid w:val="17892E27"/>
    <w:rsid w:val="1789593F"/>
    <w:rsid w:val="178E0BAF"/>
    <w:rsid w:val="17930A3A"/>
    <w:rsid w:val="1794591B"/>
    <w:rsid w:val="17947770"/>
    <w:rsid w:val="17A9168B"/>
    <w:rsid w:val="17AD3309"/>
    <w:rsid w:val="17B8158D"/>
    <w:rsid w:val="17C17130"/>
    <w:rsid w:val="17C271C7"/>
    <w:rsid w:val="17C34644"/>
    <w:rsid w:val="17C42AD9"/>
    <w:rsid w:val="17C641EB"/>
    <w:rsid w:val="17CA7BDA"/>
    <w:rsid w:val="17CD0DCE"/>
    <w:rsid w:val="17CE25E1"/>
    <w:rsid w:val="17D10BF7"/>
    <w:rsid w:val="17E15BCD"/>
    <w:rsid w:val="17E25684"/>
    <w:rsid w:val="17E5505F"/>
    <w:rsid w:val="17F54048"/>
    <w:rsid w:val="17FA253A"/>
    <w:rsid w:val="17FB77A9"/>
    <w:rsid w:val="18071145"/>
    <w:rsid w:val="180C77A3"/>
    <w:rsid w:val="180D097F"/>
    <w:rsid w:val="180D1861"/>
    <w:rsid w:val="180F4F7D"/>
    <w:rsid w:val="181D1D9B"/>
    <w:rsid w:val="1824021D"/>
    <w:rsid w:val="182717D0"/>
    <w:rsid w:val="182727AA"/>
    <w:rsid w:val="18272B7E"/>
    <w:rsid w:val="182B084D"/>
    <w:rsid w:val="182C3C1D"/>
    <w:rsid w:val="183968EB"/>
    <w:rsid w:val="184D5870"/>
    <w:rsid w:val="184E2F03"/>
    <w:rsid w:val="18521DEB"/>
    <w:rsid w:val="185335C0"/>
    <w:rsid w:val="18690252"/>
    <w:rsid w:val="186A253C"/>
    <w:rsid w:val="18710348"/>
    <w:rsid w:val="187602DD"/>
    <w:rsid w:val="18764A71"/>
    <w:rsid w:val="18782953"/>
    <w:rsid w:val="187A35BD"/>
    <w:rsid w:val="188123CF"/>
    <w:rsid w:val="18865DF7"/>
    <w:rsid w:val="18886008"/>
    <w:rsid w:val="18921538"/>
    <w:rsid w:val="18981291"/>
    <w:rsid w:val="189943F9"/>
    <w:rsid w:val="189E12C3"/>
    <w:rsid w:val="189E32A4"/>
    <w:rsid w:val="18A958B2"/>
    <w:rsid w:val="18AB1806"/>
    <w:rsid w:val="18B13286"/>
    <w:rsid w:val="18B261CF"/>
    <w:rsid w:val="18BD055D"/>
    <w:rsid w:val="18C04A46"/>
    <w:rsid w:val="18C4037B"/>
    <w:rsid w:val="18C82853"/>
    <w:rsid w:val="18D764B0"/>
    <w:rsid w:val="18D92B7A"/>
    <w:rsid w:val="18DE71AB"/>
    <w:rsid w:val="18E851E3"/>
    <w:rsid w:val="18F3652A"/>
    <w:rsid w:val="18F71B2C"/>
    <w:rsid w:val="18F73EE2"/>
    <w:rsid w:val="18FB57B4"/>
    <w:rsid w:val="18FF308F"/>
    <w:rsid w:val="19263C11"/>
    <w:rsid w:val="19353F11"/>
    <w:rsid w:val="19364034"/>
    <w:rsid w:val="194931AA"/>
    <w:rsid w:val="194B6D06"/>
    <w:rsid w:val="19560892"/>
    <w:rsid w:val="19580F07"/>
    <w:rsid w:val="195D4702"/>
    <w:rsid w:val="195F6866"/>
    <w:rsid w:val="19635F44"/>
    <w:rsid w:val="19690F79"/>
    <w:rsid w:val="19695ECC"/>
    <w:rsid w:val="196B428C"/>
    <w:rsid w:val="196B751E"/>
    <w:rsid w:val="196C060A"/>
    <w:rsid w:val="197226D6"/>
    <w:rsid w:val="197315F4"/>
    <w:rsid w:val="19744E2D"/>
    <w:rsid w:val="19753411"/>
    <w:rsid w:val="197B045A"/>
    <w:rsid w:val="197F6FC8"/>
    <w:rsid w:val="1982149C"/>
    <w:rsid w:val="198F583E"/>
    <w:rsid w:val="19911370"/>
    <w:rsid w:val="199657AE"/>
    <w:rsid w:val="199E0A5A"/>
    <w:rsid w:val="19A06826"/>
    <w:rsid w:val="19A14097"/>
    <w:rsid w:val="19A341F3"/>
    <w:rsid w:val="19A60597"/>
    <w:rsid w:val="19A659A4"/>
    <w:rsid w:val="19A748CE"/>
    <w:rsid w:val="19AD326C"/>
    <w:rsid w:val="19B53F29"/>
    <w:rsid w:val="19B82733"/>
    <w:rsid w:val="19BB4AC7"/>
    <w:rsid w:val="19BF685B"/>
    <w:rsid w:val="19C91C96"/>
    <w:rsid w:val="19DA4716"/>
    <w:rsid w:val="19DB7FC2"/>
    <w:rsid w:val="19EA5BE7"/>
    <w:rsid w:val="19ED1019"/>
    <w:rsid w:val="19EE7A48"/>
    <w:rsid w:val="19F01E27"/>
    <w:rsid w:val="19F30FD0"/>
    <w:rsid w:val="19FB73D6"/>
    <w:rsid w:val="1A084634"/>
    <w:rsid w:val="1A0931E6"/>
    <w:rsid w:val="1A0B22C7"/>
    <w:rsid w:val="1A132478"/>
    <w:rsid w:val="1A157CBC"/>
    <w:rsid w:val="1A16047B"/>
    <w:rsid w:val="1A1713E7"/>
    <w:rsid w:val="1A1C5CA3"/>
    <w:rsid w:val="1A1D39FB"/>
    <w:rsid w:val="1A23582E"/>
    <w:rsid w:val="1A2C6661"/>
    <w:rsid w:val="1A2D7316"/>
    <w:rsid w:val="1A33410B"/>
    <w:rsid w:val="1A38694D"/>
    <w:rsid w:val="1A3D4066"/>
    <w:rsid w:val="1A3D556D"/>
    <w:rsid w:val="1A422421"/>
    <w:rsid w:val="1A4B0B66"/>
    <w:rsid w:val="1A4D5E86"/>
    <w:rsid w:val="1A515F76"/>
    <w:rsid w:val="1A522132"/>
    <w:rsid w:val="1A5846A0"/>
    <w:rsid w:val="1A5B4BCF"/>
    <w:rsid w:val="1A5B75BD"/>
    <w:rsid w:val="1A5C1E8C"/>
    <w:rsid w:val="1A5E2541"/>
    <w:rsid w:val="1A684E92"/>
    <w:rsid w:val="1A6D49E1"/>
    <w:rsid w:val="1A70610F"/>
    <w:rsid w:val="1A711866"/>
    <w:rsid w:val="1A73363C"/>
    <w:rsid w:val="1A752AE2"/>
    <w:rsid w:val="1A8A4647"/>
    <w:rsid w:val="1A9723B6"/>
    <w:rsid w:val="1AA04200"/>
    <w:rsid w:val="1AA34AA6"/>
    <w:rsid w:val="1AA93183"/>
    <w:rsid w:val="1AAC781B"/>
    <w:rsid w:val="1AB44A07"/>
    <w:rsid w:val="1AB71515"/>
    <w:rsid w:val="1AC25B4A"/>
    <w:rsid w:val="1AC2619E"/>
    <w:rsid w:val="1AC434F9"/>
    <w:rsid w:val="1AC76906"/>
    <w:rsid w:val="1AD21FDD"/>
    <w:rsid w:val="1AD41623"/>
    <w:rsid w:val="1ADA1B4E"/>
    <w:rsid w:val="1AED05E1"/>
    <w:rsid w:val="1AF00F47"/>
    <w:rsid w:val="1AF046CF"/>
    <w:rsid w:val="1AF74BD4"/>
    <w:rsid w:val="1AFC76B1"/>
    <w:rsid w:val="1B074284"/>
    <w:rsid w:val="1B0A208E"/>
    <w:rsid w:val="1B0B1052"/>
    <w:rsid w:val="1B154EF4"/>
    <w:rsid w:val="1B187690"/>
    <w:rsid w:val="1B1938A7"/>
    <w:rsid w:val="1B24725D"/>
    <w:rsid w:val="1B2B048F"/>
    <w:rsid w:val="1B2D4F2D"/>
    <w:rsid w:val="1B301CAE"/>
    <w:rsid w:val="1B4D4C2F"/>
    <w:rsid w:val="1B524205"/>
    <w:rsid w:val="1B5752AC"/>
    <w:rsid w:val="1B585AB7"/>
    <w:rsid w:val="1B5A646D"/>
    <w:rsid w:val="1B67625B"/>
    <w:rsid w:val="1B6B336B"/>
    <w:rsid w:val="1B720642"/>
    <w:rsid w:val="1B7B1F3D"/>
    <w:rsid w:val="1B7B4336"/>
    <w:rsid w:val="1B7D421C"/>
    <w:rsid w:val="1B7E5759"/>
    <w:rsid w:val="1B83456A"/>
    <w:rsid w:val="1B8D3EF5"/>
    <w:rsid w:val="1B8E2F95"/>
    <w:rsid w:val="1B9369D7"/>
    <w:rsid w:val="1B984111"/>
    <w:rsid w:val="1B9E5564"/>
    <w:rsid w:val="1BA3694B"/>
    <w:rsid w:val="1BA90A75"/>
    <w:rsid w:val="1BAC5CFE"/>
    <w:rsid w:val="1BAF5377"/>
    <w:rsid w:val="1BCB08E9"/>
    <w:rsid w:val="1BCB3B13"/>
    <w:rsid w:val="1BCF190A"/>
    <w:rsid w:val="1BDB57C2"/>
    <w:rsid w:val="1BE83656"/>
    <w:rsid w:val="1BF149CB"/>
    <w:rsid w:val="1BF23A35"/>
    <w:rsid w:val="1C0329EA"/>
    <w:rsid w:val="1C033548"/>
    <w:rsid w:val="1C057B36"/>
    <w:rsid w:val="1C0B4EE0"/>
    <w:rsid w:val="1C180B6E"/>
    <w:rsid w:val="1C19483C"/>
    <w:rsid w:val="1C213008"/>
    <w:rsid w:val="1C24525B"/>
    <w:rsid w:val="1C25739C"/>
    <w:rsid w:val="1C293DD1"/>
    <w:rsid w:val="1C296D1A"/>
    <w:rsid w:val="1C2C429D"/>
    <w:rsid w:val="1C347AE7"/>
    <w:rsid w:val="1C3709C2"/>
    <w:rsid w:val="1C3F1F91"/>
    <w:rsid w:val="1C553017"/>
    <w:rsid w:val="1C704E3F"/>
    <w:rsid w:val="1C710885"/>
    <w:rsid w:val="1C73352D"/>
    <w:rsid w:val="1C791EF1"/>
    <w:rsid w:val="1C7F0A0D"/>
    <w:rsid w:val="1C835DC2"/>
    <w:rsid w:val="1C883EE2"/>
    <w:rsid w:val="1C8A5704"/>
    <w:rsid w:val="1C954196"/>
    <w:rsid w:val="1C993644"/>
    <w:rsid w:val="1C9D11D2"/>
    <w:rsid w:val="1CA30814"/>
    <w:rsid w:val="1CA411B8"/>
    <w:rsid w:val="1CA91C58"/>
    <w:rsid w:val="1CA92EA7"/>
    <w:rsid w:val="1CAF1665"/>
    <w:rsid w:val="1CBE1A22"/>
    <w:rsid w:val="1CC86944"/>
    <w:rsid w:val="1CCD1E0D"/>
    <w:rsid w:val="1CD11261"/>
    <w:rsid w:val="1CD60FA3"/>
    <w:rsid w:val="1CD6675B"/>
    <w:rsid w:val="1CD70EA5"/>
    <w:rsid w:val="1CED15B5"/>
    <w:rsid w:val="1CEE7DF7"/>
    <w:rsid w:val="1CF23DFC"/>
    <w:rsid w:val="1CF333E6"/>
    <w:rsid w:val="1CF7122B"/>
    <w:rsid w:val="1D01266C"/>
    <w:rsid w:val="1D0344AF"/>
    <w:rsid w:val="1D0565E2"/>
    <w:rsid w:val="1D060AE3"/>
    <w:rsid w:val="1D130803"/>
    <w:rsid w:val="1D1C269E"/>
    <w:rsid w:val="1D201B4F"/>
    <w:rsid w:val="1D2122A1"/>
    <w:rsid w:val="1D2357FD"/>
    <w:rsid w:val="1D2D51F1"/>
    <w:rsid w:val="1D2E2C20"/>
    <w:rsid w:val="1D37486F"/>
    <w:rsid w:val="1D42071E"/>
    <w:rsid w:val="1D4856D1"/>
    <w:rsid w:val="1D5A0C54"/>
    <w:rsid w:val="1D6320BA"/>
    <w:rsid w:val="1D66412E"/>
    <w:rsid w:val="1D677324"/>
    <w:rsid w:val="1D681413"/>
    <w:rsid w:val="1D6D7BE9"/>
    <w:rsid w:val="1D6E2D29"/>
    <w:rsid w:val="1D786B27"/>
    <w:rsid w:val="1D7A705C"/>
    <w:rsid w:val="1D7C332C"/>
    <w:rsid w:val="1D812C9D"/>
    <w:rsid w:val="1D8132D6"/>
    <w:rsid w:val="1D843D4E"/>
    <w:rsid w:val="1D8B20E3"/>
    <w:rsid w:val="1D8C6A7E"/>
    <w:rsid w:val="1D8E167F"/>
    <w:rsid w:val="1D9575AF"/>
    <w:rsid w:val="1DA20DA6"/>
    <w:rsid w:val="1DB17AF1"/>
    <w:rsid w:val="1DB95872"/>
    <w:rsid w:val="1DC15568"/>
    <w:rsid w:val="1DC476CF"/>
    <w:rsid w:val="1DC77F7C"/>
    <w:rsid w:val="1DCB6F08"/>
    <w:rsid w:val="1DD0335C"/>
    <w:rsid w:val="1DD57D51"/>
    <w:rsid w:val="1DD71602"/>
    <w:rsid w:val="1DE93E7E"/>
    <w:rsid w:val="1DF34B6C"/>
    <w:rsid w:val="1DFC3B16"/>
    <w:rsid w:val="1E0602EA"/>
    <w:rsid w:val="1E077895"/>
    <w:rsid w:val="1E082974"/>
    <w:rsid w:val="1E096B47"/>
    <w:rsid w:val="1E144418"/>
    <w:rsid w:val="1E1E21E7"/>
    <w:rsid w:val="1E2566DA"/>
    <w:rsid w:val="1E27199E"/>
    <w:rsid w:val="1E2744BB"/>
    <w:rsid w:val="1E2D3F96"/>
    <w:rsid w:val="1E2D48C4"/>
    <w:rsid w:val="1E32366D"/>
    <w:rsid w:val="1E3A413D"/>
    <w:rsid w:val="1E3C1D79"/>
    <w:rsid w:val="1E3F425E"/>
    <w:rsid w:val="1E4B2A17"/>
    <w:rsid w:val="1E510853"/>
    <w:rsid w:val="1E5A7CA4"/>
    <w:rsid w:val="1E616C9F"/>
    <w:rsid w:val="1E635018"/>
    <w:rsid w:val="1E6C643A"/>
    <w:rsid w:val="1E7177FA"/>
    <w:rsid w:val="1E740181"/>
    <w:rsid w:val="1E78479C"/>
    <w:rsid w:val="1E814CED"/>
    <w:rsid w:val="1E820184"/>
    <w:rsid w:val="1E8469F9"/>
    <w:rsid w:val="1E88172A"/>
    <w:rsid w:val="1E934FB1"/>
    <w:rsid w:val="1E9C5BFF"/>
    <w:rsid w:val="1EA072D6"/>
    <w:rsid w:val="1EA420FF"/>
    <w:rsid w:val="1EAC0275"/>
    <w:rsid w:val="1EAD2E47"/>
    <w:rsid w:val="1EAE16ED"/>
    <w:rsid w:val="1EB25317"/>
    <w:rsid w:val="1EB70A28"/>
    <w:rsid w:val="1EB72A7B"/>
    <w:rsid w:val="1EB81AAC"/>
    <w:rsid w:val="1EBA7480"/>
    <w:rsid w:val="1EBA7FDE"/>
    <w:rsid w:val="1EC73A88"/>
    <w:rsid w:val="1ECC3FFD"/>
    <w:rsid w:val="1ED2384F"/>
    <w:rsid w:val="1ED441A2"/>
    <w:rsid w:val="1EDB225F"/>
    <w:rsid w:val="1EDC5F38"/>
    <w:rsid w:val="1EDD43FA"/>
    <w:rsid w:val="1EDF476D"/>
    <w:rsid w:val="1EE05BF9"/>
    <w:rsid w:val="1EE4747D"/>
    <w:rsid w:val="1EEA697A"/>
    <w:rsid w:val="1EEC0C5C"/>
    <w:rsid w:val="1EEE5549"/>
    <w:rsid w:val="1EF27B7B"/>
    <w:rsid w:val="1F046649"/>
    <w:rsid w:val="1F0D3297"/>
    <w:rsid w:val="1F147A0F"/>
    <w:rsid w:val="1F154795"/>
    <w:rsid w:val="1F161D81"/>
    <w:rsid w:val="1F176E60"/>
    <w:rsid w:val="1F1B50B8"/>
    <w:rsid w:val="1F231A08"/>
    <w:rsid w:val="1F242F92"/>
    <w:rsid w:val="1F353082"/>
    <w:rsid w:val="1F37018C"/>
    <w:rsid w:val="1F3D037B"/>
    <w:rsid w:val="1F471D58"/>
    <w:rsid w:val="1F504C1A"/>
    <w:rsid w:val="1F51433D"/>
    <w:rsid w:val="1F5500CB"/>
    <w:rsid w:val="1F565BFA"/>
    <w:rsid w:val="1F581604"/>
    <w:rsid w:val="1F62143A"/>
    <w:rsid w:val="1F671651"/>
    <w:rsid w:val="1F6A2F89"/>
    <w:rsid w:val="1F6D044E"/>
    <w:rsid w:val="1F6E7438"/>
    <w:rsid w:val="1F6F2934"/>
    <w:rsid w:val="1F725879"/>
    <w:rsid w:val="1F726313"/>
    <w:rsid w:val="1F786246"/>
    <w:rsid w:val="1F855BFF"/>
    <w:rsid w:val="1F8918C0"/>
    <w:rsid w:val="1F8A437C"/>
    <w:rsid w:val="1F8F27AF"/>
    <w:rsid w:val="1F916BED"/>
    <w:rsid w:val="1F934FA5"/>
    <w:rsid w:val="1F9A340A"/>
    <w:rsid w:val="1F9D46C5"/>
    <w:rsid w:val="1FA15385"/>
    <w:rsid w:val="1FA835BD"/>
    <w:rsid w:val="1FAD19BA"/>
    <w:rsid w:val="1FB06ACB"/>
    <w:rsid w:val="1FB31A5F"/>
    <w:rsid w:val="1FC24AF3"/>
    <w:rsid w:val="1FC83083"/>
    <w:rsid w:val="1FC93095"/>
    <w:rsid w:val="1FC97C87"/>
    <w:rsid w:val="1FCA1C46"/>
    <w:rsid w:val="1FCC023A"/>
    <w:rsid w:val="1FCE7A65"/>
    <w:rsid w:val="1FD57CD6"/>
    <w:rsid w:val="1FD63C88"/>
    <w:rsid w:val="1FD73351"/>
    <w:rsid w:val="1FDA1237"/>
    <w:rsid w:val="1FDA289D"/>
    <w:rsid w:val="1FDA5CF1"/>
    <w:rsid w:val="1FDE3F49"/>
    <w:rsid w:val="1FE21A4C"/>
    <w:rsid w:val="1FE715FA"/>
    <w:rsid w:val="1FE933AA"/>
    <w:rsid w:val="1FEF5033"/>
    <w:rsid w:val="1FF468DA"/>
    <w:rsid w:val="1FF92E9C"/>
    <w:rsid w:val="20002883"/>
    <w:rsid w:val="200A6E88"/>
    <w:rsid w:val="201051B9"/>
    <w:rsid w:val="201613EF"/>
    <w:rsid w:val="201A1AFF"/>
    <w:rsid w:val="201D41BE"/>
    <w:rsid w:val="201F726C"/>
    <w:rsid w:val="2021267D"/>
    <w:rsid w:val="20225914"/>
    <w:rsid w:val="20383FF4"/>
    <w:rsid w:val="2040794E"/>
    <w:rsid w:val="204165E1"/>
    <w:rsid w:val="20435A27"/>
    <w:rsid w:val="20451D27"/>
    <w:rsid w:val="20451EFA"/>
    <w:rsid w:val="20460DDC"/>
    <w:rsid w:val="204D6F6C"/>
    <w:rsid w:val="204E719D"/>
    <w:rsid w:val="20506C8E"/>
    <w:rsid w:val="20565149"/>
    <w:rsid w:val="205879D9"/>
    <w:rsid w:val="20641826"/>
    <w:rsid w:val="20650D7F"/>
    <w:rsid w:val="206B3216"/>
    <w:rsid w:val="206C54C7"/>
    <w:rsid w:val="206C678C"/>
    <w:rsid w:val="2070413B"/>
    <w:rsid w:val="207A6FC2"/>
    <w:rsid w:val="207F1949"/>
    <w:rsid w:val="207F3ABC"/>
    <w:rsid w:val="207F43D9"/>
    <w:rsid w:val="209128E5"/>
    <w:rsid w:val="209E2236"/>
    <w:rsid w:val="209E3773"/>
    <w:rsid w:val="20A25B42"/>
    <w:rsid w:val="20A84AFD"/>
    <w:rsid w:val="20B336D0"/>
    <w:rsid w:val="20B873F2"/>
    <w:rsid w:val="20CA786F"/>
    <w:rsid w:val="20CE5BC7"/>
    <w:rsid w:val="20D05847"/>
    <w:rsid w:val="20D83102"/>
    <w:rsid w:val="20D878C9"/>
    <w:rsid w:val="20DA452F"/>
    <w:rsid w:val="20DE519E"/>
    <w:rsid w:val="20E11FB3"/>
    <w:rsid w:val="20E326AB"/>
    <w:rsid w:val="20E40D06"/>
    <w:rsid w:val="20E70DDA"/>
    <w:rsid w:val="20EE5292"/>
    <w:rsid w:val="20EE7A98"/>
    <w:rsid w:val="20F012C4"/>
    <w:rsid w:val="20F012DA"/>
    <w:rsid w:val="20F416F6"/>
    <w:rsid w:val="20F91B22"/>
    <w:rsid w:val="20FE6ED0"/>
    <w:rsid w:val="21003017"/>
    <w:rsid w:val="2102118F"/>
    <w:rsid w:val="210643F0"/>
    <w:rsid w:val="2106576D"/>
    <w:rsid w:val="210D33B3"/>
    <w:rsid w:val="21101023"/>
    <w:rsid w:val="21106472"/>
    <w:rsid w:val="21126A1E"/>
    <w:rsid w:val="21150ACD"/>
    <w:rsid w:val="211822BD"/>
    <w:rsid w:val="211A3117"/>
    <w:rsid w:val="211D08DF"/>
    <w:rsid w:val="211D6ED8"/>
    <w:rsid w:val="212D4E1B"/>
    <w:rsid w:val="21365E4F"/>
    <w:rsid w:val="213E402C"/>
    <w:rsid w:val="213E4A5F"/>
    <w:rsid w:val="213F57A3"/>
    <w:rsid w:val="21432762"/>
    <w:rsid w:val="214E2EF1"/>
    <w:rsid w:val="21591E72"/>
    <w:rsid w:val="215B3690"/>
    <w:rsid w:val="215F5D66"/>
    <w:rsid w:val="216A770F"/>
    <w:rsid w:val="216E2D9F"/>
    <w:rsid w:val="217903E4"/>
    <w:rsid w:val="218663E7"/>
    <w:rsid w:val="218A6A50"/>
    <w:rsid w:val="2198147D"/>
    <w:rsid w:val="219B228D"/>
    <w:rsid w:val="219C7087"/>
    <w:rsid w:val="219D2205"/>
    <w:rsid w:val="219F5767"/>
    <w:rsid w:val="21A2770F"/>
    <w:rsid w:val="21A87168"/>
    <w:rsid w:val="21AF4DC3"/>
    <w:rsid w:val="21BA57F8"/>
    <w:rsid w:val="21C06F92"/>
    <w:rsid w:val="21C25568"/>
    <w:rsid w:val="21C8181E"/>
    <w:rsid w:val="21C84E9E"/>
    <w:rsid w:val="21C965E9"/>
    <w:rsid w:val="21CB5CF6"/>
    <w:rsid w:val="21D41C8C"/>
    <w:rsid w:val="21D51AA2"/>
    <w:rsid w:val="21D51B9F"/>
    <w:rsid w:val="21E51A57"/>
    <w:rsid w:val="21E5632B"/>
    <w:rsid w:val="21EC0518"/>
    <w:rsid w:val="21F143E4"/>
    <w:rsid w:val="21F718D2"/>
    <w:rsid w:val="21FC6A30"/>
    <w:rsid w:val="220643AF"/>
    <w:rsid w:val="22077889"/>
    <w:rsid w:val="220C644E"/>
    <w:rsid w:val="220F06E1"/>
    <w:rsid w:val="22104944"/>
    <w:rsid w:val="22121D33"/>
    <w:rsid w:val="2225695B"/>
    <w:rsid w:val="222B4A26"/>
    <w:rsid w:val="22316996"/>
    <w:rsid w:val="224503BF"/>
    <w:rsid w:val="224944DA"/>
    <w:rsid w:val="224C1EE4"/>
    <w:rsid w:val="224E5006"/>
    <w:rsid w:val="225339DB"/>
    <w:rsid w:val="225F71CC"/>
    <w:rsid w:val="22697B84"/>
    <w:rsid w:val="226E0F46"/>
    <w:rsid w:val="2271456C"/>
    <w:rsid w:val="228869BB"/>
    <w:rsid w:val="228B7D1B"/>
    <w:rsid w:val="22956CB2"/>
    <w:rsid w:val="22A063EE"/>
    <w:rsid w:val="22A46BD9"/>
    <w:rsid w:val="22A96CC4"/>
    <w:rsid w:val="22B64E51"/>
    <w:rsid w:val="22BB1853"/>
    <w:rsid w:val="22C87C0D"/>
    <w:rsid w:val="22D51866"/>
    <w:rsid w:val="22E305BB"/>
    <w:rsid w:val="22E70C69"/>
    <w:rsid w:val="22E7193E"/>
    <w:rsid w:val="22EE7034"/>
    <w:rsid w:val="23062C52"/>
    <w:rsid w:val="23165796"/>
    <w:rsid w:val="23167EA3"/>
    <w:rsid w:val="231B17F9"/>
    <w:rsid w:val="231D5346"/>
    <w:rsid w:val="232502E7"/>
    <w:rsid w:val="23386498"/>
    <w:rsid w:val="233A304E"/>
    <w:rsid w:val="23491976"/>
    <w:rsid w:val="234D6E93"/>
    <w:rsid w:val="235511EA"/>
    <w:rsid w:val="235A140D"/>
    <w:rsid w:val="23644A96"/>
    <w:rsid w:val="23685D79"/>
    <w:rsid w:val="23690609"/>
    <w:rsid w:val="236C2CF1"/>
    <w:rsid w:val="237A3E4E"/>
    <w:rsid w:val="237E1230"/>
    <w:rsid w:val="238729F7"/>
    <w:rsid w:val="238A29AB"/>
    <w:rsid w:val="238F40D9"/>
    <w:rsid w:val="23933508"/>
    <w:rsid w:val="239504D4"/>
    <w:rsid w:val="23950A3C"/>
    <w:rsid w:val="23A92C60"/>
    <w:rsid w:val="23AE700C"/>
    <w:rsid w:val="23B03FD9"/>
    <w:rsid w:val="23BA7F5A"/>
    <w:rsid w:val="23C13739"/>
    <w:rsid w:val="23D0467D"/>
    <w:rsid w:val="23DE6B3F"/>
    <w:rsid w:val="23E11DA2"/>
    <w:rsid w:val="23E235B0"/>
    <w:rsid w:val="23E7247A"/>
    <w:rsid w:val="23F66BE1"/>
    <w:rsid w:val="23FF3A34"/>
    <w:rsid w:val="24044813"/>
    <w:rsid w:val="24052474"/>
    <w:rsid w:val="240D2E7E"/>
    <w:rsid w:val="240F5B61"/>
    <w:rsid w:val="2414034D"/>
    <w:rsid w:val="241C508B"/>
    <w:rsid w:val="241F3B4A"/>
    <w:rsid w:val="2428389C"/>
    <w:rsid w:val="242C5780"/>
    <w:rsid w:val="2439617A"/>
    <w:rsid w:val="24400251"/>
    <w:rsid w:val="244A2922"/>
    <w:rsid w:val="245005B3"/>
    <w:rsid w:val="24511959"/>
    <w:rsid w:val="24562B99"/>
    <w:rsid w:val="2463670D"/>
    <w:rsid w:val="24661A7D"/>
    <w:rsid w:val="24726ADD"/>
    <w:rsid w:val="247339F1"/>
    <w:rsid w:val="247D493C"/>
    <w:rsid w:val="248169C6"/>
    <w:rsid w:val="24873676"/>
    <w:rsid w:val="248F4D47"/>
    <w:rsid w:val="24934502"/>
    <w:rsid w:val="24940315"/>
    <w:rsid w:val="249604BE"/>
    <w:rsid w:val="249D0B00"/>
    <w:rsid w:val="249D7A54"/>
    <w:rsid w:val="24A31E88"/>
    <w:rsid w:val="24BF1A2B"/>
    <w:rsid w:val="24C504EE"/>
    <w:rsid w:val="24D14521"/>
    <w:rsid w:val="24E164AF"/>
    <w:rsid w:val="24E41B08"/>
    <w:rsid w:val="24E65466"/>
    <w:rsid w:val="24E944A8"/>
    <w:rsid w:val="24F54BAD"/>
    <w:rsid w:val="24F61130"/>
    <w:rsid w:val="24F93F96"/>
    <w:rsid w:val="24FC5064"/>
    <w:rsid w:val="24FF66CB"/>
    <w:rsid w:val="250977C1"/>
    <w:rsid w:val="250B6C88"/>
    <w:rsid w:val="250D16FB"/>
    <w:rsid w:val="2518056D"/>
    <w:rsid w:val="25207316"/>
    <w:rsid w:val="25237BAF"/>
    <w:rsid w:val="25244051"/>
    <w:rsid w:val="252F052A"/>
    <w:rsid w:val="252F12D2"/>
    <w:rsid w:val="25373204"/>
    <w:rsid w:val="253A1C68"/>
    <w:rsid w:val="253C7281"/>
    <w:rsid w:val="253F3BFC"/>
    <w:rsid w:val="25416AA5"/>
    <w:rsid w:val="254E3D88"/>
    <w:rsid w:val="25551F1D"/>
    <w:rsid w:val="2557352E"/>
    <w:rsid w:val="255A065A"/>
    <w:rsid w:val="255A4BBE"/>
    <w:rsid w:val="255C0629"/>
    <w:rsid w:val="255E4A9F"/>
    <w:rsid w:val="25627611"/>
    <w:rsid w:val="25636FED"/>
    <w:rsid w:val="25645A54"/>
    <w:rsid w:val="25684A78"/>
    <w:rsid w:val="25770005"/>
    <w:rsid w:val="25772EBB"/>
    <w:rsid w:val="257A05F7"/>
    <w:rsid w:val="257A7A06"/>
    <w:rsid w:val="257F0628"/>
    <w:rsid w:val="257F0BA6"/>
    <w:rsid w:val="25832019"/>
    <w:rsid w:val="259331FE"/>
    <w:rsid w:val="25957FF8"/>
    <w:rsid w:val="25A149AC"/>
    <w:rsid w:val="25AC09C6"/>
    <w:rsid w:val="25AD4D35"/>
    <w:rsid w:val="25AE6649"/>
    <w:rsid w:val="25AF3F32"/>
    <w:rsid w:val="25B22A3B"/>
    <w:rsid w:val="25BA2D11"/>
    <w:rsid w:val="25C01763"/>
    <w:rsid w:val="25C449A9"/>
    <w:rsid w:val="25C654B7"/>
    <w:rsid w:val="25C76E87"/>
    <w:rsid w:val="25C80064"/>
    <w:rsid w:val="25CA56AC"/>
    <w:rsid w:val="25CE6C46"/>
    <w:rsid w:val="25D97596"/>
    <w:rsid w:val="25DC5170"/>
    <w:rsid w:val="25E37902"/>
    <w:rsid w:val="25EE7F77"/>
    <w:rsid w:val="25F044F9"/>
    <w:rsid w:val="25F531F5"/>
    <w:rsid w:val="25F72E1B"/>
    <w:rsid w:val="25F74971"/>
    <w:rsid w:val="25FD508B"/>
    <w:rsid w:val="26040109"/>
    <w:rsid w:val="26061962"/>
    <w:rsid w:val="260824F0"/>
    <w:rsid w:val="260F672F"/>
    <w:rsid w:val="2616421B"/>
    <w:rsid w:val="26175540"/>
    <w:rsid w:val="261B0319"/>
    <w:rsid w:val="261B4297"/>
    <w:rsid w:val="26200FD2"/>
    <w:rsid w:val="26236FA3"/>
    <w:rsid w:val="26240A93"/>
    <w:rsid w:val="262C56B0"/>
    <w:rsid w:val="262E6827"/>
    <w:rsid w:val="262F455F"/>
    <w:rsid w:val="262F7D17"/>
    <w:rsid w:val="263A525F"/>
    <w:rsid w:val="263E6C87"/>
    <w:rsid w:val="26405335"/>
    <w:rsid w:val="2642755C"/>
    <w:rsid w:val="264A0CB7"/>
    <w:rsid w:val="26507D69"/>
    <w:rsid w:val="2651011A"/>
    <w:rsid w:val="26556C96"/>
    <w:rsid w:val="26590788"/>
    <w:rsid w:val="265D1B10"/>
    <w:rsid w:val="2662218D"/>
    <w:rsid w:val="26630D77"/>
    <w:rsid w:val="26640280"/>
    <w:rsid w:val="26664CB6"/>
    <w:rsid w:val="266D04E0"/>
    <w:rsid w:val="267818F2"/>
    <w:rsid w:val="267D0DD4"/>
    <w:rsid w:val="268C646C"/>
    <w:rsid w:val="26900E65"/>
    <w:rsid w:val="269308F5"/>
    <w:rsid w:val="26A0140A"/>
    <w:rsid w:val="26A05ED5"/>
    <w:rsid w:val="26A31983"/>
    <w:rsid w:val="26A4480F"/>
    <w:rsid w:val="26AB027E"/>
    <w:rsid w:val="26AE73BF"/>
    <w:rsid w:val="26B21017"/>
    <w:rsid w:val="26B32722"/>
    <w:rsid w:val="26B3402C"/>
    <w:rsid w:val="26B94CD4"/>
    <w:rsid w:val="26BC23EF"/>
    <w:rsid w:val="26BD3478"/>
    <w:rsid w:val="26C22FBF"/>
    <w:rsid w:val="26C5427E"/>
    <w:rsid w:val="26C91AA2"/>
    <w:rsid w:val="26C92A6E"/>
    <w:rsid w:val="26CB5BEC"/>
    <w:rsid w:val="26D17EE9"/>
    <w:rsid w:val="26D26B3A"/>
    <w:rsid w:val="26D757DD"/>
    <w:rsid w:val="26E03AA5"/>
    <w:rsid w:val="26E70819"/>
    <w:rsid w:val="26E90389"/>
    <w:rsid w:val="26F614FF"/>
    <w:rsid w:val="27005E36"/>
    <w:rsid w:val="27085698"/>
    <w:rsid w:val="270869CF"/>
    <w:rsid w:val="270B7CA4"/>
    <w:rsid w:val="27167C04"/>
    <w:rsid w:val="271C07F5"/>
    <w:rsid w:val="271D1577"/>
    <w:rsid w:val="2722517B"/>
    <w:rsid w:val="2726309C"/>
    <w:rsid w:val="272A40E2"/>
    <w:rsid w:val="272B00B5"/>
    <w:rsid w:val="27325E70"/>
    <w:rsid w:val="27341B93"/>
    <w:rsid w:val="273854DF"/>
    <w:rsid w:val="273C0408"/>
    <w:rsid w:val="27430D53"/>
    <w:rsid w:val="27437ADB"/>
    <w:rsid w:val="2751391F"/>
    <w:rsid w:val="275263B2"/>
    <w:rsid w:val="27537702"/>
    <w:rsid w:val="27644968"/>
    <w:rsid w:val="276550C2"/>
    <w:rsid w:val="27661057"/>
    <w:rsid w:val="276644A2"/>
    <w:rsid w:val="276A77BD"/>
    <w:rsid w:val="2771766F"/>
    <w:rsid w:val="27752950"/>
    <w:rsid w:val="27784097"/>
    <w:rsid w:val="277C3016"/>
    <w:rsid w:val="278611AA"/>
    <w:rsid w:val="278B23EE"/>
    <w:rsid w:val="27911388"/>
    <w:rsid w:val="27955828"/>
    <w:rsid w:val="279646AA"/>
    <w:rsid w:val="279657AA"/>
    <w:rsid w:val="2798045F"/>
    <w:rsid w:val="279C7ABE"/>
    <w:rsid w:val="27A11A16"/>
    <w:rsid w:val="27A41C70"/>
    <w:rsid w:val="27AE5060"/>
    <w:rsid w:val="27B52D32"/>
    <w:rsid w:val="27B92874"/>
    <w:rsid w:val="27C22234"/>
    <w:rsid w:val="27C817BE"/>
    <w:rsid w:val="27D30046"/>
    <w:rsid w:val="27D4336A"/>
    <w:rsid w:val="27DC04B7"/>
    <w:rsid w:val="27DE5A1F"/>
    <w:rsid w:val="27DF7921"/>
    <w:rsid w:val="27E014C4"/>
    <w:rsid w:val="27EC25D5"/>
    <w:rsid w:val="27F60128"/>
    <w:rsid w:val="27F754A4"/>
    <w:rsid w:val="280214E5"/>
    <w:rsid w:val="28090DDE"/>
    <w:rsid w:val="28100970"/>
    <w:rsid w:val="28130FC3"/>
    <w:rsid w:val="281C5C13"/>
    <w:rsid w:val="282365C5"/>
    <w:rsid w:val="28242AFE"/>
    <w:rsid w:val="28251E8D"/>
    <w:rsid w:val="282C1367"/>
    <w:rsid w:val="282D4DA2"/>
    <w:rsid w:val="28416E17"/>
    <w:rsid w:val="284327FC"/>
    <w:rsid w:val="28453EC2"/>
    <w:rsid w:val="284661A2"/>
    <w:rsid w:val="284763CA"/>
    <w:rsid w:val="284C1CF1"/>
    <w:rsid w:val="284D2397"/>
    <w:rsid w:val="285259C3"/>
    <w:rsid w:val="285570E5"/>
    <w:rsid w:val="285E269A"/>
    <w:rsid w:val="286331B3"/>
    <w:rsid w:val="286B5728"/>
    <w:rsid w:val="286F0F65"/>
    <w:rsid w:val="287721BE"/>
    <w:rsid w:val="287A2B04"/>
    <w:rsid w:val="28810C2F"/>
    <w:rsid w:val="28832153"/>
    <w:rsid w:val="28876550"/>
    <w:rsid w:val="288C402F"/>
    <w:rsid w:val="288C615D"/>
    <w:rsid w:val="28905410"/>
    <w:rsid w:val="2897247A"/>
    <w:rsid w:val="289A71C9"/>
    <w:rsid w:val="28A83B55"/>
    <w:rsid w:val="28AF28BC"/>
    <w:rsid w:val="28AF56E0"/>
    <w:rsid w:val="28B96086"/>
    <w:rsid w:val="28BF2E88"/>
    <w:rsid w:val="28C30F6D"/>
    <w:rsid w:val="28CE4ABA"/>
    <w:rsid w:val="28D22511"/>
    <w:rsid w:val="28E35480"/>
    <w:rsid w:val="28EE01A4"/>
    <w:rsid w:val="28F364BD"/>
    <w:rsid w:val="28F5415C"/>
    <w:rsid w:val="2902495E"/>
    <w:rsid w:val="29034D8E"/>
    <w:rsid w:val="2903673E"/>
    <w:rsid w:val="290D640A"/>
    <w:rsid w:val="29177E97"/>
    <w:rsid w:val="291A4C7E"/>
    <w:rsid w:val="291F0427"/>
    <w:rsid w:val="292527ED"/>
    <w:rsid w:val="292B2DD6"/>
    <w:rsid w:val="293C79A7"/>
    <w:rsid w:val="29454D6E"/>
    <w:rsid w:val="2947284C"/>
    <w:rsid w:val="294D69AF"/>
    <w:rsid w:val="294F4DA4"/>
    <w:rsid w:val="295449EC"/>
    <w:rsid w:val="29554FB8"/>
    <w:rsid w:val="29580A24"/>
    <w:rsid w:val="29591EF6"/>
    <w:rsid w:val="295D23DB"/>
    <w:rsid w:val="29677AE4"/>
    <w:rsid w:val="2969051B"/>
    <w:rsid w:val="296F263E"/>
    <w:rsid w:val="296F6BBB"/>
    <w:rsid w:val="297172A8"/>
    <w:rsid w:val="2983564B"/>
    <w:rsid w:val="2986365A"/>
    <w:rsid w:val="29897F36"/>
    <w:rsid w:val="298F2D60"/>
    <w:rsid w:val="299A5939"/>
    <w:rsid w:val="299E2EE4"/>
    <w:rsid w:val="29A0654A"/>
    <w:rsid w:val="29AA12A8"/>
    <w:rsid w:val="29AE3847"/>
    <w:rsid w:val="29B90F1F"/>
    <w:rsid w:val="29BE52CE"/>
    <w:rsid w:val="29C700C8"/>
    <w:rsid w:val="29CD4835"/>
    <w:rsid w:val="29DB2E13"/>
    <w:rsid w:val="29DB795F"/>
    <w:rsid w:val="29DD5308"/>
    <w:rsid w:val="29DF3FB6"/>
    <w:rsid w:val="29DF50E1"/>
    <w:rsid w:val="29ED414C"/>
    <w:rsid w:val="29EF3D07"/>
    <w:rsid w:val="29F03D86"/>
    <w:rsid w:val="29F43C64"/>
    <w:rsid w:val="29FA25C8"/>
    <w:rsid w:val="29FD19B7"/>
    <w:rsid w:val="2A0A232D"/>
    <w:rsid w:val="2A0F6A82"/>
    <w:rsid w:val="2A112438"/>
    <w:rsid w:val="2A1808B1"/>
    <w:rsid w:val="2A1C72FC"/>
    <w:rsid w:val="2A1E7273"/>
    <w:rsid w:val="2A2A3042"/>
    <w:rsid w:val="2A36279F"/>
    <w:rsid w:val="2A384B1D"/>
    <w:rsid w:val="2A4A5617"/>
    <w:rsid w:val="2A4E0052"/>
    <w:rsid w:val="2A5A55D9"/>
    <w:rsid w:val="2A600C3F"/>
    <w:rsid w:val="2A6021EF"/>
    <w:rsid w:val="2A603070"/>
    <w:rsid w:val="2A68057B"/>
    <w:rsid w:val="2A681EB6"/>
    <w:rsid w:val="2A6D6D04"/>
    <w:rsid w:val="2A7A5040"/>
    <w:rsid w:val="2A7B440F"/>
    <w:rsid w:val="2A823EF9"/>
    <w:rsid w:val="2A8B4492"/>
    <w:rsid w:val="2A8E3797"/>
    <w:rsid w:val="2A94612D"/>
    <w:rsid w:val="2A9A4051"/>
    <w:rsid w:val="2A9C5B40"/>
    <w:rsid w:val="2A9D1683"/>
    <w:rsid w:val="2AA400F4"/>
    <w:rsid w:val="2AA45E35"/>
    <w:rsid w:val="2AA537EE"/>
    <w:rsid w:val="2AAB4DC0"/>
    <w:rsid w:val="2AAC54BB"/>
    <w:rsid w:val="2AB57FF9"/>
    <w:rsid w:val="2ABA6371"/>
    <w:rsid w:val="2AC329D5"/>
    <w:rsid w:val="2ACC28DA"/>
    <w:rsid w:val="2ACC7B98"/>
    <w:rsid w:val="2AD855B7"/>
    <w:rsid w:val="2AE07F71"/>
    <w:rsid w:val="2AE11D66"/>
    <w:rsid w:val="2AEA5E00"/>
    <w:rsid w:val="2AEB102F"/>
    <w:rsid w:val="2AED3378"/>
    <w:rsid w:val="2AF24565"/>
    <w:rsid w:val="2AF35887"/>
    <w:rsid w:val="2AFA470A"/>
    <w:rsid w:val="2AFB2B16"/>
    <w:rsid w:val="2B0C20F7"/>
    <w:rsid w:val="2B0F5533"/>
    <w:rsid w:val="2B104CF4"/>
    <w:rsid w:val="2B125250"/>
    <w:rsid w:val="2B1A4502"/>
    <w:rsid w:val="2B1B65B9"/>
    <w:rsid w:val="2B1C282C"/>
    <w:rsid w:val="2B2706A2"/>
    <w:rsid w:val="2B274543"/>
    <w:rsid w:val="2B28252F"/>
    <w:rsid w:val="2B2C0C53"/>
    <w:rsid w:val="2B341B90"/>
    <w:rsid w:val="2B361E34"/>
    <w:rsid w:val="2B382065"/>
    <w:rsid w:val="2B3C2FC4"/>
    <w:rsid w:val="2B45579C"/>
    <w:rsid w:val="2B461FAE"/>
    <w:rsid w:val="2B4D31F0"/>
    <w:rsid w:val="2B4F71D5"/>
    <w:rsid w:val="2B5240D5"/>
    <w:rsid w:val="2B527EE3"/>
    <w:rsid w:val="2B5433AC"/>
    <w:rsid w:val="2B580D2F"/>
    <w:rsid w:val="2B581625"/>
    <w:rsid w:val="2B5E1A74"/>
    <w:rsid w:val="2B667187"/>
    <w:rsid w:val="2B6B6CC8"/>
    <w:rsid w:val="2B6E73B6"/>
    <w:rsid w:val="2B6F75C5"/>
    <w:rsid w:val="2B7D4228"/>
    <w:rsid w:val="2B7D5456"/>
    <w:rsid w:val="2B8B70C4"/>
    <w:rsid w:val="2B8D5381"/>
    <w:rsid w:val="2B9576E2"/>
    <w:rsid w:val="2B985550"/>
    <w:rsid w:val="2B9A4D5A"/>
    <w:rsid w:val="2B9F7EC3"/>
    <w:rsid w:val="2BA41CAA"/>
    <w:rsid w:val="2BA45400"/>
    <w:rsid w:val="2BAF3974"/>
    <w:rsid w:val="2BBA0680"/>
    <w:rsid w:val="2BBB49CC"/>
    <w:rsid w:val="2BBD2D66"/>
    <w:rsid w:val="2BC0712F"/>
    <w:rsid w:val="2BC2082C"/>
    <w:rsid w:val="2BC3044D"/>
    <w:rsid w:val="2BC6610B"/>
    <w:rsid w:val="2BC93046"/>
    <w:rsid w:val="2BD25B6F"/>
    <w:rsid w:val="2BE6114A"/>
    <w:rsid w:val="2BEC51D8"/>
    <w:rsid w:val="2BEF1A87"/>
    <w:rsid w:val="2BF521A3"/>
    <w:rsid w:val="2BFB4B40"/>
    <w:rsid w:val="2BFD495F"/>
    <w:rsid w:val="2BFF54FD"/>
    <w:rsid w:val="2C01687B"/>
    <w:rsid w:val="2C0368C6"/>
    <w:rsid w:val="2C05500E"/>
    <w:rsid w:val="2C0D67F7"/>
    <w:rsid w:val="2C1134D0"/>
    <w:rsid w:val="2C172BF1"/>
    <w:rsid w:val="2C237B59"/>
    <w:rsid w:val="2C246940"/>
    <w:rsid w:val="2C25692B"/>
    <w:rsid w:val="2C290D81"/>
    <w:rsid w:val="2C2E78B5"/>
    <w:rsid w:val="2C305815"/>
    <w:rsid w:val="2C365376"/>
    <w:rsid w:val="2C387203"/>
    <w:rsid w:val="2C3A30B5"/>
    <w:rsid w:val="2C3C038D"/>
    <w:rsid w:val="2C3C1EC1"/>
    <w:rsid w:val="2C42462B"/>
    <w:rsid w:val="2C4502FF"/>
    <w:rsid w:val="2C4C6460"/>
    <w:rsid w:val="2C4F7878"/>
    <w:rsid w:val="2C5B41CA"/>
    <w:rsid w:val="2C6A4EE5"/>
    <w:rsid w:val="2C704F2D"/>
    <w:rsid w:val="2C795C67"/>
    <w:rsid w:val="2C7F23AB"/>
    <w:rsid w:val="2C815FB7"/>
    <w:rsid w:val="2C894860"/>
    <w:rsid w:val="2C8A6306"/>
    <w:rsid w:val="2C8E231F"/>
    <w:rsid w:val="2C941DCD"/>
    <w:rsid w:val="2C983B37"/>
    <w:rsid w:val="2C994EDE"/>
    <w:rsid w:val="2C9F18A2"/>
    <w:rsid w:val="2CA350BE"/>
    <w:rsid w:val="2CA423D8"/>
    <w:rsid w:val="2CA50223"/>
    <w:rsid w:val="2CA96082"/>
    <w:rsid w:val="2CB73879"/>
    <w:rsid w:val="2CB85977"/>
    <w:rsid w:val="2CBB5644"/>
    <w:rsid w:val="2CBE1462"/>
    <w:rsid w:val="2CC10B94"/>
    <w:rsid w:val="2CC35BC3"/>
    <w:rsid w:val="2CC44205"/>
    <w:rsid w:val="2CC47DED"/>
    <w:rsid w:val="2CC502E6"/>
    <w:rsid w:val="2CC952B7"/>
    <w:rsid w:val="2CC95773"/>
    <w:rsid w:val="2CCF5DDE"/>
    <w:rsid w:val="2CD3710B"/>
    <w:rsid w:val="2CD53246"/>
    <w:rsid w:val="2CD86730"/>
    <w:rsid w:val="2CDB0944"/>
    <w:rsid w:val="2CDD5B43"/>
    <w:rsid w:val="2CE27267"/>
    <w:rsid w:val="2CE74D39"/>
    <w:rsid w:val="2CE8150A"/>
    <w:rsid w:val="2CF20BDC"/>
    <w:rsid w:val="2CF33FD4"/>
    <w:rsid w:val="2CF71377"/>
    <w:rsid w:val="2D016444"/>
    <w:rsid w:val="2D0B00A7"/>
    <w:rsid w:val="2D0B6221"/>
    <w:rsid w:val="2D12077C"/>
    <w:rsid w:val="2D1515C7"/>
    <w:rsid w:val="2D193406"/>
    <w:rsid w:val="2D1A1E27"/>
    <w:rsid w:val="2D270FD0"/>
    <w:rsid w:val="2D277EFB"/>
    <w:rsid w:val="2D2A7785"/>
    <w:rsid w:val="2D3008EE"/>
    <w:rsid w:val="2D31047C"/>
    <w:rsid w:val="2D3178DC"/>
    <w:rsid w:val="2D324DB9"/>
    <w:rsid w:val="2D345AA6"/>
    <w:rsid w:val="2D396E42"/>
    <w:rsid w:val="2D3C1EC9"/>
    <w:rsid w:val="2D48403A"/>
    <w:rsid w:val="2D4E3F0C"/>
    <w:rsid w:val="2D5115F8"/>
    <w:rsid w:val="2D646B9E"/>
    <w:rsid w:val="2D700E9E"/>
    <w:rsid w:val="2D855815"/>
    <w:rsid w:val="2D8C13F0"/>
    <w:rsid w:val="2D903D37"/>
    <w:rsid w:val="2D976683"/>
    <w:rsid w:val="2D977534"/>
    <w:rsid w:val="2D9B7AEB"/>
    <w:rsid w:val="2DA93130"/>
    <w:rsid w:val="2DB13E03"/>
    <w:rsid w:val="2DB27C81"/>
    <w:rsid w:val="2DB70397"/>
    <w:rsid w:val="2DBC6AB9"/>
    <w:rsid w:val="2DCB3D94"/>
    <w:rsid w:val="2DCD07ED"/>
    <w:rsid w:val="2DD12CE4"/>
    <w:rsid w:val="2DDF7B52"/>
    <w:rsid w:val="2DE33C85"/>
    <w:rsid w:val="2DE35338"/>
    <w:rsid w:val="2DE53689"/>
    <w:rsid w:val="2DF36F84"/>
    <w:rsid w:val="2DF44115"/>
    <w:rsid w:val="2E113FBC"/>
    <w:rsid w:val="2E137ADD"/>
    <w:rsid w:val="2E194F3D"/>
    <w:rsid w:val="2E24698E"/>
    <w:rsid w:val="2E280BBF"/>
    <w:rsid w:val="2E2E5E39"/>
    <w:rsid w:val="2E3E0198"/>
    <w:rsid w:val="2E3F0BEE"/>
    <w:rsid w:val="2E560939"/>
    <w:rsid w:val="2E574D85"/>
    <w:rsid w:val="2E5A7CD6"/>
    <w:rsid w:val="2E5E648E"/>
    <w:rsid w:val="2E654B4E"/>
    <w:rsid w:val="2E6E5ECA"/>
    <w:rsid w:val="2E7222C0"/>
    <w:rsid w:val="2E790DE1"/>
    <w:rsid w:val="2E7A2F47"/>
    <w:rsid w:val="2E7B6BF0"/>
    <w:rsid w:val="2E7D7C1F"/>
    <w:rsid w:val="2E8665B7"/>
    <w:rsid w:val="2E9136EE"/>
    <w:rsid w:val="2E9E342D"/>
    <w:rsid w:val="2EA33F0C"/>
    <w:rsid w:val="2EAA45AD"/>
    <w:rsid w:val="2EB61C7F"/>
    <w:rsid w:val="2EBD37E8"/>
    <w:rsid w:val="2EBE12A6"/>
    <w:rsid w:val="2EBE5F35"/>
    <w:rsid w:val="2EC56BE5"/>
    <w:rsid w:val="2EC7242D"/>
    <w:rsid w:val="2ECC7DA3"/>
    <w:rsid w:val="2ECF5F05"/>
    <w:rsid w:val="2ED316B0"/>
    <w:rsid w:val="2EE20386"/>
    <w:rsid w:val="2EF00893"/>
    <w:rsid w:val="2EF824C0"/>
    <w:rsid w:val="2EF82AEC"/>
    <w:rsid w:val="2EFE3E2D"/>
    <w:rsid w:val="2EFF3E52"/>
    <w:rsid w:val="2F022FA6"/>
    <w:rsid w:val="2F08433B"/>
    <w:rsid w:val="2F0D7AB0"/>
    <w:rsid w:val="2F136646"/>
    <w:rsid w:val="2F16684B"/>
    <w:rsid w:val="2F261314"/>
    <w:rsid w:val="2F34595E"/>
    <w:rsid w:val="2F363704"/>
    <w:rsid w:val="2F431F45"/>
    <w:rsid w:val="2F443BA7"/>
    <w:rsid w:val="2F453D99"/>
    <w:rsid w:val="2F461921"/>
    <w:rsid w:val="2F502E1A"/>
    <w:rsid w:val="2F5F0E70"/>
    <w:rsid w:val="2F61762B"/>
    <w:rsid w:val="2F690CA0"/>
    <w:rsid w:val="2F6A2071"/>
    <w:rsid w:val="2F7002C7"/>
    <w:rsid w:val="2F730662"/>
    <w:rsid w:val="2F78451E"/>
    <w:rsid w:val="2F800AFA"/>
    <w:rsid w:val="2F846F0C"/>
    <w:rsid w:val="2F8512C8"/>
    <w:rsid w:val="2F853097"/>
    <w:rsid w:val="2F8C03DE"/>
    <w:rsid w:val="2F8F26F5"/>
    <w:rsid w:val="2F941189"/>
    <w:rsid w:val="2F962068"/>
    <w:rsid w:val="2F992A04"/>
    <w:rsid w:val="2F9961DF"/>
    <w:rsid w:val="2F9E5E02"/>
    <w:rsid w:val="2FA2026E"/>
    <w:rsid w:val="2FA86C60"/>
    <w:rsid w:val="2FA87A96"/>
    <w:rsid w:val="2FA92ACB"/>
    <w:rsid w:val="2FB30E01"/>
    <w:rsid w:val="2FBB4532"/>
    <w:rsid w:val="2FBC3413"/>
    <w:rsid w:val="2FBD2618"/>
    <w:rsid w:val="2FC12E0D"/>
    <w:rsid w:val="2FC57321"/>
    <w:rsid w:val="2FCD7466"/>
    <w:rsid w:val="2FD32C7E"/>
    <w:rsid w:val="2FD3657A"/>
    <w:rsid w:val="2FDD2E8E"/>
    <w:rsid w:val="2FDE3125"/>
    <w:rsid w:val="2FE505AF"/>
    <w:rsid w:val="2FE96982"/>
    <w:rsid w:val="2FED2320"/>
    <w:rsid w:val="2FED5BC4"/>
    <w:rsid w:val="2FF3094F"/>
    <w:rsid w:val="2FF954CE"/>
    <w:rsid w:val="2FFD0C0E"/>
    <w:rsid w:val="2FFF2318"/>
    <w:rsid w:val="30085AE1"/>
    <w:rsid w:val="30097F8F"/>
    <w:rsid w:val="300A5ACD"/>
    <w:rsid w:val="300D20E3"/>
    <w:rsid w:val="300D36B9"/>
    <w:rsid w:val="300F3090"/>
    <w:rsid w:val="30117D7C"/>
    <w:rsid w:val="3013125C"/>
    <w:rsid w:val="301B2328"/>
    <w:rsid w:val="301F240A"/>
    <w:rsid w:val="302241FA"/>
    <w:rsid w:val="30225849"/>
    <w:rsid w:val="30253FFF"/>
    <w:rsid w:val="302C31E0"/>
    <w:rsid w:val="30322E5C"/>
    <w:rsid w:val="30346C00"/>
    <w:rsid w:val="30362778"/>
    <w:rsid w:val="30396D27"/>
    <w:rsid w:val="3044003E"/>
    <w:rsid w:val="30455CDD"/>
    <w:rsid w:val="30505F70"/>
    <w:rsid w:val="30547F99"/>
    <w:rsid w:val="305703F6"/>
    <w:rsid w:val="305E4539"/>
    <w:rsid w:val="305F00B6"/>
    <w:rsid w:val="30645CFC"/>
    <w:rsid w:val="30665E9F"/>
    <w:rsid w:val="30675208"/>
    <w:rsid w:val="306A5C04"/>
    <w:rsid w:val="306C7EFE"/>
    <w:rsid w:val="30702694"/>
    <w:rsid w:val="3072328C"/>
    <w:rsid w:val="30787874"/>
    <w:rsid w:val="30790767"/>
    <w:rsid w:val="307D24DF"/>
    <w:rsid w:val="30833D57"/>
    <w:rsid w:val="30882BA5"/>
    <w:rsid w:val="30972E37"/>
    <w:rsid w:val="30A57B99"/>
    <w:rsid w:val="30A6249B"/>
    <w:rsid w:val="30A81640"/>
    <w:rsid w:val="30A85EC4"/>
    <w:rsid w:val="30AB4B84"/>
    <w:rsid w:val="30AF6877"/>
    <w:rsid w:val="30B141D5"/>
    <w:rsid w:val="30B51130"/>
    <w:rsid w:val="30B556A1"/>
    <w:rsid w:val="30B7151F"/>
    <w:rsid w:val="30B97331"/>
    <w:rsid w:val="30BA6D63"/>
    <w:rsid w:val="30BB7213"/>
    <w:rsid w:val="30BC2BA2"/>
    <w:rsid w:val="30C23A3B"/>
    <w:rsid w:val="30C36DBB"/>
    <w:rsid w:val="30CD18D2"/>
    <w:rsid w:val="30D6503C"/>
    <w:rsid w:val="30D751B9"/>
    <w:rsid w:val="30DC2B65"/>
    <w:rsid w:val="30DE6F2C"/>
    <w:rsid w:val="30E24933"/>
    <w:rsid w:val="30E9446C"/>
    <w:rsid w:val="30EC6A43"/>
    <w:rsid w:val="30ED69B7"/>
    <w:rsid w:val="30F5319F"/>
    <w:rsid w:val="30F859A5"/>
    <w:rsid w:val="30FD7DD0"/>
    <w:rsid w:val="31083396"/>
    <w:rsid w:val="310A3D60"/>
    <w:rsid w:val="310A623F"/>
    <w:rsid w:val="310C35ED"/>
    <w:rsid w:val="310D031B"/>
    <w:rsid w:val="310D2AD3"/>
    <w:rsid w:val="31186793"/>
    <w:rsid w:val="31260EC5"/>
    <w:rsid w:val="312F188E"/>
    <w:rsid w:val="31353564"/>
    <w:rsid w:val="31376AFA"/>
    <w:rsid w:val="313B3958"/>
    <w:rsid w:val="31412730"/>
    <w:rsid w:val="31435D97"/>
    <w:rsid w:val="31496258"/>
    <w:rsid w:val="314B0B14"/>
    <w:rsid w:val="314D376C"/>
    <w:rsid w:val="31594B69"/>
    <w:rsid w:val="315B0515"/>
    <w:rsid w:val="31607AF5"/>
    <w:rsid w:val="316B6CEE"/>
    <w:rsid w:val="31705839"/>
    <w:rsid w:val="3182440D"/>
    <w:rsid w:val="31881438"/>
    <w:rsid w:val="318A4A8B"/>
    <w:rsid w:val="318C3787"/>
    <w:rsid w:val="31913A69"/>
    <w:rsid w:val="31922F44"/>
    <w:rsid w:val="31942A73"/>
    <w:rsid w:val="319B3CAA"/>
    <w:rsid w:val="319B45AF"/>
    <w:rsid w:val="319C66CB"/>
    <w:rsid w:val="31A474A9"/>
    <w:rsid w:val="31AC78E9"/>
    <w:rsid w:val="31B01187"/>
    <w:rsid w:val="31B36D87"/>
    <w:rsid w:val="31B70966"/>
    <w:rsid w:val="31DA7CEA"/>
    <w:rsid w:val="31E35555"/>
    <w:rsid w:val="31E644E6"/>
    <w:rsid w:val="31ED3136"/>
    <w:rsid w:val="31F103E2"/>
    <w:rsid w:val="31FD406A"/>
    <w:rsid w:val="31FE2FC8"/>
    <w:rsid w:val="31FE62BE"/>
    <w:rsid w:val="3204711A"/>
    <w:rsid w:val="320605AC"/>
    <w:rsid w:val="32066C5B"/>
    <w:rsid w:val="320B703A"/>
    <w:rsid w:val="320E37B8"/>
    <w:rsid w:val="32130A25"/>
    <w:rsid w:val="3214416F"/>
    <w:rsid w:val="3216466A"/>
    <w:rsid w:val="321743EE"/>
    <w:rsid w:val="321C7DE3"/>
    <w:rsid w:val="322A25EB"/>
    <w:rsid w:val="322B3FD0"/>
    <w:rsid w:val="323E36AD"/>
    <w:rsid w:val="32415501"/>
    <w:rsid w:val="324276A3"/>
    <w:rsid w:val="32440A8B"/>
    <w:rsid w:val="324619A8"/>
    <w:rsid w:val="324639D0"/>
    <w:rsid w:val="32472605"/>
    <w:rsid w:val="32484049"/>
    <w:rsid w:val="324D533F"/>
    <w:rsid w:val="324E20B8"/>
    <w:rsid w:val="32517337"/>
    <w:rsid w:val="325665C7"/>
    <w:rsid w:val="325719E8"/>
    <w:rsid w:val="325E6DEC"/>
    <w:rsid w:val="326170B4"/>
    <w:rsid w:val="3264531C"/>
    <w:rsid w:val="32665466"/>
    <w:rsid w:val="326B38EB"/>
    <w:rsid w:val="32724D99"/>
    <w:rsid w:val="327D79D8"/>
    <w:rsid w:val="32867F83"/>
    <w:rsid w:val="32892A4B"/>
    <w:rsid w:val="328C7C27"/>
    <w:rsid w:val="3295163A"/>
    <w:rsid w:val="329E6379"/>
    <w:rsid w:val="32AB0069"/>
    <w:rsid w:val="32B736BD"/>
    <w:rsid w:val="32B75AFA"/>
    <w:rsid w:val="32B865A2"/>
    <w:rsid w:val="32B95D84"/>
    <w:rsid w:val="32BE6E92"/>
    <w:rsid w:val="32C22B87"/>
    <w:rsid w:val="32DD079A"/>
    <w:rsid w:val="32DF641E"/>
    <w:rsid w:val="32E70824"/>
    <w:rsid w:val="32F94FBF"/>
    <w:rsid w:val="32FE6CC1"/>
    <w:rsid w:val="330E2F53"/>
    <w:rsid w:val="33114756"/>
    <w:rsid w:val="331F2416"/>
    <w:rsid w:val="332477F8"/>
    <w:rsid w:val="33247CF2"/>
    <w:rsid w:val="33264836"/>
    <w:rsid w:val="33291ECF"/>
    <w:rsid w:val="332F119A"/>
    <w:rsid w:val="333B39A9"/>
    <w:rsid w:val="33422255"/>
    <w:rsid w:val="33435FD9"/>
    <w:rsid w:val="3345063A"/>
    <w:rsid w:val="33461261"/>
    <w:rsid w:val="33482D94"/>
    <w:rsid w:val="334F3488"/>
    <w:rsid w:val="335121B9"/>
    <w:rsid w:val="335305D1"/>
    <w:rsid w:val="33554305"/>
    <w:rsid w:val="335544F7"/>
    <w:rsid w:val="33591171"/>
    <w:rsid w:val="335E7AF0"/>
    <w:rsid w:val="336F309D"/>
    <w:rsid w:val="3371608F"/>
    <w:rsid w:val="337829B0"/>
    <w:rsid w:val="337A0742"/>
    <w:rsid w:val="337C0BAD"/>
    <w:rsid w:val="33835519"/>
    <w:rsid w:val="338F53F3"/>
    <w:rsid w:val="33923816"/>
    <w:rsid w:val="33960E31"/>
    <w:rsid w:val="339766EC"/>
    <w:rsid w:val="33A07FCF"/>
    <w:rsid w:val="33A13F7B"/>
    <w:rsid w:val="33A22E78"/>
    <w:rsid w:val="33A8589B"/>
    <w:rsid w:val="33A932A0"/>
    <w:rsid w:val="33B95F01"/>
    <w:rsid w:val="33B96650"/>
    <w:rsid w:val="33BF1D10"/>
    <w:rsid w:val="33C07D0A"/>
    <w:rsid w:val="33C1017A"/>
    <w:rsid w:val="33D72897"/>
    <w:rsid w:val="33DE0862"/>
    <w:rsid w:val="33E0483A"/>
    <w:rsid w:val="33E170B6"/>
    <w:rsid w:val="33E541A9"/>
    <w:rsid w:val="33E93BB1"/>
    <w:rsid w:val="33EA0907"/>
    <w:rsid w:val="33EE4992"/>
    <w:rsid w:val="33F75282"/>
    <w:rsid w:val="33FB6405"/>
    <w:rsid w:val="3402383D"/>
    <w:rsid w:val="34070E80"/>
    <w:rsid w:val="340745CB"/>
    <w:rsid w:val="340A53E6"/>
    <w:rsid w:val="340A5E98"/>
    <w:rsid w:val="34110143"/>
    <w:rsid w:val="3415705D"/>
    <w:rsid w:val="341B0F17"/>
    <w:rsid w:val="341E4881"/>
    <w:rsid w:val="34223F33"/>
    <w:rsid w:val="34296055"/>
    <w:rsid w:val="342E505E"/>
    <w:rsid w:val="343306A6"/>
    <w:rsid w:val="34367751"/>
    <w:rsid w:val="34400E6A"/>
    <w:rsid w:val="34414B42"/>
    <w:rsid w:val="34457A14"/>
    <w:rsid w:val="34476BB2"/>
    <w:rsid w:val="34517714"/>
    <w:rsid w:val="345300C7"/>
    <w:rsid w:val="345A036C"/>
    <w:rsid w:val="346E1392"/>
    <w:rsid w:val="347362F2"/>
    <w:rsid w:val="347D1832"/>
    <w:rsid w:val="34843B16"/>
    <w:rsid w:val="34857E35"/>
    <w:rsid w:val="34886F7C"/>
    <w:rsid w:val="34890665"/>
    <w:rsid w:val="348A1DB8"/>
    <w:rsid w:val="348C2515"/>
    <w:rsid w:val="34980D1E"/>
    <w:rsid w:val="349B3C03"/>
    <w:rsid w:val="34A206A2"/>
    <w:rsid w:val="34A56525"/>
    <w:rsid w:val="34B033E7"/>
    <w:rsid w:val="34B31AFF"/>
    <w:rsid w:val="34B759AE"/>
    <w:rsid w:val="34B8312F"/>
    <w:rsid w:val="34B93C91"/>
    <w:rsid w:val="34BD350C"/>
    <w:rsid w:val="34BF74EA"/>
    <w:rsid w:val="34C03C3B"/>
    <w:rsid w:val="34D5581C"/>
    <w:rsid w:val="34D766B0"/>
    <w:rsid w:val="34DB2B4D"/>
    <w:rsid w:val="34DF667A"/>
    <w:rsid w:val="34E16316"/>
    <w:rsid w:val="34E467C1"/>
    <w:rsid w:val="34E75F12"/>
    <w:rsid w:val="34F32500"/>
    <w:rsid w:val="350623F2"/>
    <w:rsid w:val="35084B3F"/>
    <w:rsid w:val="3509715C"/>
    <w:rsid w:val="350A5CF4"/>
    <w:rsid w:val="3514693F"/>
    <w:rsid w:val="351F2F82"/>
    <w:rsid w:val="352C0860"/>
    <w:rsid w:val="352D3D79"/>
    <w:rsid w:val="3535293E"/>
    <w:rsid w:val="3536502B"/>
    <w:rsid w:val="353665BD"/>
    <w:rsid w:val="354F01B7"/>
    <w:rsid w:val="35530F0E"/>
    <w:rsid w:val="355610B1"/>
    <w:rsid w:val="355B65B2"/>
    <w:rsid w:val="355D4F81"/>
    <w:rsid w:val="35600A6C"/>
    <w:rsid w:val="3567202C"/>
    <w:rsid w:val="35691252"/>
    <w:rsid w:val="356C5594"/>
    <w:rsid w:val="356F67E8"/>
    <w:rsid w:val="356F72BF"/>
    <w:rsid w:val="35705AE4"/>
    <w:rsid w:val="35793904"/>
    <w:rsid w:val="357C3199"/>
    <w:rsid w:val="35824905"/>
    <w:rsid w:val="35843F72"/>
    <w:rsid w:val="3587305A"/>
    <w:rsid w:val="358A2094"/>
    <w:rsid w:val="35970273"/>
    <w:rsid w:val="3597400E"/>
    <w:rsid w:val="35986474"/>
    <w:rsid w:val="35A628BF"/>
    <w:rsid w:val="35A8616F"/>
    <w:rsid w:val="35AC4C37"/>
    <w:rsid w:val="35AD48D5"/>
    <w:rsid w:val="35AE6F40"/>
    <w:rsid w:val="35BB1693"/>
    <w:rsid w:val="35BE7911"/>
    <w:rsid w:val="35C1500F"/>
    <w:rsid w:val="35C74E47"/>
    <w:rsid w:val="35C93FD1"/>
    <w:rsid w:val="35CE4CE4"/>
    <w:rsid w:val="35D35F43"/>
    <w:rsid w:val="35E03A85"/>
    <w:rsid w:val="35E24DF5"/>
    <w:rsid w:val="35E33F4C"/>
    <w:rsid w:val="35EB2A94"/>
    <w:rsid w:val="35EE0BFA"/>
    <w:rsid w:val="35FC0320"/>
    <w:rsid w:val="35FC78A0"/>
    <w:rsid w:val="35FF463C"/>
    <w:rsid w:val="36033597"/>
    <w:rsid w:val="360D4DD7"/>
    <w:rsid w:val="361124A4"/>
    <w:rsid w:val="36132896"/>
    <w:rsid w:val="36251930"/>
    <w:rsid w:val="36251E52"/>
    <w:rsid w:val="362639C5"/>
    <w:rsid w:val="36280F4A"/>
    <w:rsid w:val="363407F7"/>
    <w:rsid w:val="363627D3"/>
    <w:rsid w:val="3638445C"/>
    <w:rsid w:val="36400122"/>
    <w:rsid w:val="364A0E13"/>
    <w:rsid w:val="364D39D1"/>
    <w:rsid w:val="364F3CBA"/>
    <w:rsid w:val="365612E8"/>
    <w:rsid w:val="36611770"/>
    <w:rsid w:val="36612B90"/>
    <w:rsid w:val="36631030"/>
    <w:rsid w:val="366513C8"/>
    <w:rsid w:val="36692433"/>
    <w:rsid w:val="367A6999"/>
    <w:rsid w:val="367E6E55"/>
    <w:rsid w:val="36825469"/>
    <w:rsid w:val="3686608C"/>
    <w:rsid w:val="36894783"/>
    <w:rsid w:val="368A7B73"/>
    <w:rsid w:val="369023C3"/>
    <w:rsid w:val="369B51DA"/>
    <w:rsid w:val="369D01F1"/>
    <w:rsid w:val="36A37803"/>
    <w:rsid w:val="36AD62EF"/>
    <w:rsid w:val="36B55922"/>
    <w:rsid w:val="36B8557E"/>
    <w:rsid w:val="36BD0318"/>
    <w:rsid w:val="36C142BF"/>
    <w:rsid w:val="36CA1F25"/>
    <w:rsid w:val="36CB3E3D"/>
    <w:rsid w:val="36CE0FF3"/>
    <w:rsid w:val="36D74BB3"/>
    <w:rsid w:val="36D87F8B"/>
    <w:rsid w:val="36DC71A4"/>
    <w:rsid w:val="36DD1A7C"/>
    <w:rsid w:val="36DE0951"/>
    <w:rsid w:val="36E1021E"/>
    <w:rsid w:val="36EB0E6D"/>
    <w:rsid w:val="36F210B1"/>
    <w:rsid w:val="36FA6519"/>
    <w:rsid w:val="36FB1BE5"/>
    <w:rsid w:val="36FD5A14"/>
    <w:rsid w:val="37007AC7"/>
    <w:rsid w:val="37021CB0"/>
    <w:rsid w:val="37055A40"/>
    <w:rsid w:val="370E4DC9"/>
    <w:rsid w:val="370F0884"/>
    <w:rsid w:val="3713703C"/>
    <w:rsid w:val="371D1C1E"/>
    <w:rsid w:val="371F1793"/>
    <w:rsid w:val="371F5B4E"/>
    <w:rsid w:val="371F6EDC"/>
    <w:rsid w:val="372A09FA"/>
    <w:rsid w:val="37330115"/>
    <w:rsid w:val="373529C0"/>
    <w:rsid w:val="37363185"/>
    <w:rsid w:val="373F75C8"/>
    <w:rsid w:val="374008E5"/>
    <w:rsid w:val="3748408D"/>
    <w:rsid w:val="374A213F"/>
    <w:rsid w:val="374C5FA0"/>
    <w:rsid w:val="37512525"/>
    <w:rsid w:val="375A58F4"/>
    <w:rsid w:val="375F2D0C"/>
    <w:rsid w:val="37640C64"/>
    <w:rsid w:val="376B4FBE"/>
    <w:rsid w:val="37755F37"/>
    <w:rsid w:val="377A25EF"/>
    <w:rsid w:val="377F2EC8"/>
    <w:rsid w:val="378012AC"/>
    <w:rsid w:val="37807A1C"/>
    <w:rsid w:val="378611A5"/>
    <w:rsid w:val="37866CAA"/>
    <w:rsid w:val="378E3BE4"/>
    <w:rsid w:val="37923A87"/>
    <w:rsid w:val="379837CA"/>
    <w:rsid w:val="37994C24"/>
    <w:rsid w:val="379F2891"/>
    <w:rsid w:val="37A4695E"/>
    <w:rsid w:val="37AA79A3"/>
    <w:rsid w:val="37B253AC"/>
    <w:rsid w:val="37B73B33"/>
    <w:rsid w:val="37B87A96"/>
    <w:rsid w:val="37C87091"/>
    <w:rsid w:val="37CB6CE4"/>
    <w:rsid w:val="37D42B5B"/>
    <w:rsid w:val="37E11252"/>
    <w:rsid w:val="37E8004A"/>
    <w:rsid w:val="37E83093"/>
    <w:rsid w:val="37F048A0"/>
    <w:rsid w:val="37F27E10"/>
    <w:rsid w:val="37FD1CC4"/>
    <w:rsid w:val="380B02DE"/>
    <w:rsid w:val="380D262A"/>
    <w:rsid w:val="38260264"/>
    <w:rsid w:val="38283CA5"/>
    <w:rsid w:val="382932C1"/>
    <w:rsid w:val="382A51FA"/>
    <w:rsid w:val="382F4B08"/>
    <w:rsid w:val="38312A30"/>
    <w:rsid w:val="38354760"/>
    <w:rsid w:val="383B53FE"/>
    <w:rsid w:val="383D58E5"/>
    <w:rsid w:val="38410923"/>
    <w:rsid w:val="38526F11"/>
    <w:rsid w:val="38544E85"/>
    <w:rsid w:val="385C73C3"/>
    <w:rsid w:val="38605BE7"/>
    <w:rsid w:val="386851B9"/>
    <w:rsid w:val="387845AF"/>
    <w:rsid w:val="38A00A0E"/>
    <w:rsid w:val="38A122CA"/>
    <w:rsid w:val="38A23923"/>
    <w:rsid w:val="38A81139"/>
    <w:rsid w:val="38A83ADF"/>
    <w:rsid w:val="38B0422A"/>
    <w:rsid w:val="38B10FD3"/>
    <w:rsid w:val="38BF21DB"/>
    <w:rsid w:val="38CE22B8"/>
    <w:rsid w:val="38CE4F70"/>
    <w:rsid w:val="38CF3FB3"/>
    <w:rsid w:val="38D96BEA"/>
    <w:rsid w:val="38DC7DB9"/>
    <w:rsid w:val="38DF7F36"/>
    <w:rsid w:val="38E12A24"/>
    <w:rsid w:val="38E61A09"/>
    <w:rsid w:val="38E7522B"/>
    <w:rsid w:val="38F03DE8"/>
    <w:rsid w:val="38F172EC"/>
    <w:rsid w:val="38FF3D9D"/>
    <w:rsid w:val="390214DB"/>
    <w:rsid w:val="390D588D"/>
    <w:rsid w:val="391F2C63"/>
    <w:rsid w:val="391F5244"/>
    <w:rsid w:val="392029D3"/>
    <w:rsid w:val="39225CE4"/>
    <w:rsid w:val="392635CF"/>
    <w:rsid w:val="392876F4"/>
    <w:rsid w:val="392A377B"/>
    <w:rsid w:val="393120C7"/>
    <w:rsid w:val="3938596C"/>
    <w:rsid w:val="393E362D"/>
    <w:rsid w:val="394A679D"/>
    <w:rsid w:val="394B457C"/>
    <w:rsid w:val="39593E86"/>
    <w:rsid w:val="395E6FAD"/>
    <w:rsid w:val="396252C6"/>
    <w:rsid w:val="396C6E6C"/>
    <w:rsid w:val="396D0C84"/>
    <w:rsid w:val="397F27D6"/>
    <w:rsid w:val="39866ED7"/>
    <w:rsid w:val="39882673"/>
    <w:rsid w:val="39980102"/>
    <w:rsid w:val="39993040"/>
    <w:rsid w:val="399C08D7"/>
    <w:rsid w:val="399F0B08"/>
    <w:rsid w:val="39A21AD0"/>
    <w:rsid w:val="39AC5AC7"/>
    <w:rsid w:val="39AE1A04"/>
    <w:rsid w:val="39B54FFE"/>
    <w:rsid w:val="39B7679D"/>
    <w:rsid w:val="39C30488"/>
    <w:rsid w:val="39C550B5"/>
    <w:rsid w:val="39C62DFD"/>
    <w:rsid w:val="39C72D89"/>
    <w:rsid w:val="39CE51AC"/>
    <w:rsid w:val="39D34B2B"/>
    <w:rsid w:val="39DC14C7"/>
    <w:rsid w:val="39DC32CF"/>
    <w:rsid w:val="39DC5B33"/>
    <w:rsid w:val="39E24BF4"/>
    <w:rsid w:val="39E47985"/>
    <w:rsid w:val="39E53811"/>
    <w:rsid w:val="39ED3A7F"/>
    <w:rsid w:val="39EF3377"/>
    <w:rsid w:val="39F63CA8"/>
    <w:rsid w:val="39F642B5"/>
    <w:rsid w:val="39F92466"/>
    <w:rsid w:val="3A0C76D7"/>
    <w:rsid w:val="3A127640"/>
    <w:rsid w:val="3A19194C"/>
    <w:rsid w:val="3A1A0D13"/>
    <w:rsid w:val="3A1E479F"/>
    <w:rsid w:val="3A204AEC"/>
    <w:rsid w:val="3A213697"/>
    <w:rsid w:val="3A2200E6"/>
    <w:rsid w:val="3A233648"/>
    <w:rsid w:val="3A26059F"/>
    <w:rsid w:val="3A2D4580"/>
    <w:rsid w:val="3A3271CB"/>
    <w:rsid w:val="3A3B2B84"/>
    <w:rsid w:val="3A3E0D77"/>
    <w:rsid w:val="3A3E36F7"/>
    <w:rsid w:val="3A450D78"/>
    <w:rsid w:val="3A4A0FEA"/>
    <w:rsid w:val="3A4E34CE"/>
    <w:rsid w:val="3A504D64"/>
    <w:rsid w:val="3A525FFA"/>
    <w:rsid w:val="3A5610C1"/>
    <w:rsid w:val="3A570443"/>
    <w:rsid w:val="3A6234A0"/>
    <w:rsid w:val="3A6250C2"/>
    <w:rsid w:val="3A627DF4"/>
    <w:rsid w:val="3A6803DD"/>
    <w:rsid w:val="3A733BF2"/>
    <w:rsid w:val="3A764EB2"/>
    <w:rsid w:val="3A791CD8"/>
    <w:rsid w:val="3A7E250A"/>
    <w:rsid w:val="3A7E4600"/>
    <w:rsid w:val="3A8025FB"/>
    <w:rsid w:val="3A88407C"/>
    <w:rsid w:val="3A895FAF"/>
    <w:rsid w:val="3A925378"/>
    <w:rsid w:val="3A9611FB"/>
    <w:rsid w:val="3A9B4F40"/>
    <w:rsid w:val="3A9E4C98"/>
    <w:rsid w:val="3AA23444"/>
    <w:rsid w:val="3AA47C58"/>
    <w:rsid w:val="3AA9254B"/>
    <w:rsid w:val="3AAF39DD"/>
    <w:rsid w:val="3AB06356"/>
    <w:rsid w:val="3ABA4B23"/>
    <w:rsid w:val="3AC039A5"/>
    <w:rsid w:val="3AC20A9E"/>
    <w:rsid w:val="3ACA5143"/>
    <w:rsid w:val="3ACC7E1E"/>
    <w:rsid w:val="3ADA7411"/>
    <w:rsid w:val="3ADC43DB"/>
    <w:rsid w:val="3AE420C9"/>
    <w:rsid w:val="3AE86776"/>
    <w:rsid w:val="3AEB018A"/>
    <w:rsid w:val="3AF45B1A"/>
    <w:rsid w:val="3B000900"/>
    <w:rsid w:val="3B026FD3"/>
    <w:rsid w:val="3B047A2C"/>
    <w:rsid w:val="3B0D012B"/>
    <w:rsid w:val="3B101F22"/>
    <w:rsid w:val="3B117DD2"/>
    <w:rsid w:val="3B124C1B"/>
    <w:rsid w:val="3B144FE3"/>
    <w:rsid w:val="3B16679D"/>
    <w:rsid w:val="3B1725D5"/>
    <w:rsid w:val="3B1B785B"/>
    <w:rsid w:val="3B2A3136"/>
    <w:rsid w:val="3B2B31E1"/>
    <w:rsid w:val="3B2D004D"/>
    <w:rsid w:val="3B321A53"/>
    <w:rsid w:val="3B3245B6"/>
    <w:rsid w:val="3B3E7BB5"/>
    <w:rsid w:val="3B43293D"/>
    <w:rsid w:val="3B4604BD"/>
    <w:rsid w:val="3B564840"/>
    <w:rsid w:val="3B5F7EA1"/>
    <w:rsid w:val="3B622EBC"/>
    <w:rsid w:val="3B697A40"/>
    <w:rsid w:val="3B733F3E"/>
    <w:rsid w:val="3B752549"/>
    <w:rsid w:val="3B753CCF"/>
    <w:rsid w:val="3B7B6258"/>
    <w:rsid w:val="3B7C16F1"/>
    <w:rsid w:val="3B7D36E1"/>
    <w:rsid w:val="3B7E0219"/>
    <w:rsid w:val="3B89320E"/>
    <w:rsid w:val="3B8A52AF"/>
    <w:rsid w:val="3B8A6A1F"/>
    <w:rsid w:val="3B8C7EB7"/>
    <w:rsid w:val="3B8F082B"/>
    <w:rsid w:val="3B910482"/>
    <w:rsid w:val="3B9B6F13"/>
    <w:rsid w:val="3BA51C2B"/>
    <w:rsid w:val="3BB0575A"/>
    <w:rsid w:val="3BB16615"/>
    <w:rsid w:val="3BB96052"/>
    <w:rsid w:val="3BBA4271"/>
    <w:rsid w:val="3BBD1447"/>
    <w:rsid w:val="3BBF09A0"/>
    <w:rsid w:val="3BC05AA5"/>
    <w:rsid w:val="3BC731AB"/>
    <w:rsid w:val="3BC911D6"/>
    <w:rsid w:val="3BCE0130"/>
    <w:rsid w:val="3BD108D2"/>
    <w:rsid w:val="3BDC6833"/>
    <w:rsid w:val="3BE5760A"/>
    <w:rsid w:val="3BE97F3F"/>
    <w:rsid w:val="3BED1959"/>
    <w:rsid w:val="3BED69ED"/>
    <w:rsid w:val="3BF63B00"/>
    <w:rsid w:val="3BF736C7"/>
    <w:rsid w:val="3BF817EA"/>
    <w:rsid w:val="3BF91A21"/>
    <w:rsid w:val="3BFD170B"/>
    <w:rsid w:val="3C0331C4"/>
    <w:rsid w:val="3C04103F"/>
    <w:rsid w:val="3C0A636D"/>
    <w:rsid w:val="3C0D7EBC"/>
    <w:rsid w:val="3C130B57"/>
    <w:rsid w:val="3C176715"/>
    <w:rsid w:val="3C190282"/>
    <w:rsid w:val="3C1E02BB"/>
    <w:rsid w:val="3C20170F"/>
    <w:rsid w:val="3C316428"/>
    <w:rsid w:val="3C35789E"/>
    <w:rsid w:val="3C3A17EA"/>
    <w:rsid w:val="3C3D3D2A"/>
    <w:rsid w:val="3C3E6D60"/>
    <w:rsid w:val="3C441041"/>
    <w:rsid w:val="3C4D4524"/>
    <w:rsid w:val="3C5330D2"/>
    <w:rsid w:val="3C5639DE"/>
    <w:rsid w:val="3C571C05"/>
    <w:rsid w:val="3C5E44B4"/>
    <w:rsid w:val="3C5F2B5B"/>
    <w:rsid w:val="3C6167B0"/>
    <w:rsid w:val="3C64352B"/>
    <w:rsid w:val="3C672E2C"/>
    <w:rsid w:val="3C6A6B8C"/>
    <w:rsid w:val="3C6B0FA1"/>
    <w:rsid w:val="3C707DB8"/>
    <w:rsid w:val="3C727A8A"/>
    <w:rsid w:val="3C731673"/>
    <w:rsid w:val="3C764FC0"/>
    <w:rsid w:val="3C7D7F35"/>
    <w:rsid w:val="3C8B3A72"/>
    <w:rsid w:val="3C8B5507"/>
    <w:rsid w:val="3C8D58BE"/>
    <w:rsid w:val="3C8E45F4"/>
    <w:rsid w:val="3C8E5FED"/>
    <w:rsid w:val="3C8F038A"/>
    <w:rsid w:val="3C913576"/>
    <w:rsid w:val="3C973C0D"/>
    <w:rsid w:val="3C9E20B1"/>
    <w:rsid w:val="3C9F4567"/>
    <w:rsid w:val="3CB53A65"/>
    <w:rsid w:val="3CC102AC"/>
    <w:rsid w:val="3CC41C17"/>
    <w:rsid w:val="3CCF14D9"/>
    <w:rsid w:val="3CE03742"/>
    <w:rsid w:val="3CE360F2"/>
    <w:rsid w:val="3CE543AA"/>
    <w:rsid w:val="3CEE5C15"/>
    <w:rsid w:val="3CF5496B"/>
    <w:rsid w:val="3D01019C"/>
    <w:rsid w:val="3D050A90"/>
    <w:rsid w:val="3D056133"/>
    <w:rsid w:val="3D0E3346"/>
    <w:rsid w:val="3D115586"/>
    <w:rsid w:val="3D197739"/>
    <w:rsid w:val="3D2871B7"/>
    <w:rsid w:val="3D2B2775"/>
    <w:rsid w:val="3D2C2A68"/>
    <w:rsid w:val="3D317F54"/>
    <w:rsid w:val="3D357242"/>
    <w:rsid w:val="3D372F70"/>
    <w:rsid w:val="3D38342D"/>
    <w:rsid w:val="3D3B5E88"/>
    <w:rsid w:val="3D3C088B"/>
    <w:rsid w:val="3D4274CF"/>
    <w:rsid w:val="3D500385"/>
    <w:rsid w:val="3D574D02"/>
    <w:rsid w:val="3D576CFB"/>
    <w:rsid w:val="3D5A44CB"/>
    <w:rsid w:val="3D5B5A4A"/>
    <w:rsid w:val="3D5D42EF"/>
    <w:rsid w:val="3D6025AF"/>
    <w:rsid w:val="3D6052EA"/>
    <w:rsid w:val="3D636B57"/>
    <w:rsid w:val="3D647CD4"/>
    <w:rsid w:val="3D753B2D"/>
    <w:rsid w:val="3D7B49B3"/>
    <w:rsid w:val="3D8132F5"/>
    <w:rsid w:val="3D813D06"/>
    <w:rsid w:val="3D84454D"/>
    <w:rsid w:val="3D8720EB"/>
    <w:rsid w:val="3D8C2D13"/>
    <w:rsid w:val="3D8D259B"/>
    <w:rsid w:val="3D8D2E74"/>
    <w:rsid w:val="3D8F2438"/>
    <w:rsid w:val="3D940183"/>
    <w:rsid w:val="3D94569F"/>
    <w:rsid w:val="3D9A4AEF"/>
    <w:rsid w:val="3D9F2809"/>
    <w:rsid w:val="3DA64C20"/>
    <w:rsid w:val="3DB25777"/>
    <w:rsid w:val="3DB328C2"/>
    <w:rsid w:val="3DBD0BED"/>
    <w:rsid w:val="3DBE6EF6"/>
    <w:rsid w:val="3DC14984"/>
    <w:rsid w:val="3DCC12F0"/>
    <w:rsid w:val="3DCE0717"/>
    <w:rsid w:val="3DDE5559"/>
    <w:rsid w:val="3DE142EC"/>
    <w:rsid w:val="3DE41CDC"/>
    <w:rsid w:val="3DE85142"/>
    <w:rsid w:val="3DEB52FD"/>
    <w:rsid w:val="3DFC38E9"/>
    <w:rsid w:val="3E016AE6"/>
    <w:rsid w:val="3E13749E"/>
    <w:rsid w:val="3E187D1F"/>
    <w:rsid w:val="3E1C3525"/>
    <w:rsid w:val="3E200B4B"/>
    <w:rsid w:val="3E225DB0"/>
    <w:rsid w:val="3E2658AC"/>
    <w:rsid w:val="3E2B1230"/>
    <w:rsid w:val="3E2D4029"/>
    <w:rsid w:val="3E3D069E"/>
    <w:rsid w:val="3E3F1102"/>
    <w:rsid w:val="3E483582"/>
    <w:rsid w:val="3E4F50F0"/>
    <w:rsid w:val="3E5337D0"/>
    <w:rsid w:val="3E537DE4"/>
    <w:rsid w:val="3E554154"/>
    <w:rsid w:val="3E5807FD"/>
    <w:rsid w:val="3E5F165E"/>
    <w:rsid w:val="3E650A83"/>
    <w:rsid w:val="3E6547E9"/>
    <w:rsid w:val="3E672623"/>
    <w:rsid w:val="3E6A28BE"/>
    <w:rsid w:val="3E6A6BB5"/>
    <w:rsid w:val="3E6B1778"/>
    <w:rsid w:val="3E6D548C"/>
    <w:rsid w:val="3E785E96"/>
    <w:rsid w:val="3E7D4EAA"/>
    <w:rsid w:val="3E8939E2"/>
    <w:rsid w:val="3E8C7718"/>
    <w:rsid w:val="3E8D2247"/>
    <w:rsid w:val="3E9035DD"/>
    <w:rsid w:val="3E904009"/>
    <w:rsid w:val="3E911C59"/>
    <w:rsid w:val="3E93484E"/>
    <w:rsid w:val="3E947135"/>
    <w:rsid w:val="3E9719E0"/>
    <w:rsid w:val="3E996659"/>
    <w:rsid w:val="3E9B3647"/>
    <w:rsid w:val="3E9E1FC0"/>
    <w:rsid w:val="3EA300A7"/>
    <w:rsid w:val="3EA71DD5"/>
    <w:rsid w:val="3EAF1BD3"/>
    <w:rsid w:val="3EBD425F"/>
    <w:rsid w:val="3EC10636"/>
    <w:rsid w:val="3EC3043C"/>
    <w:rsid w:val="3EC8679C"/>
    <w:rsid w:val="3ED21F76"/>
    <w:rsid w:val="3ED56178"/>
    <w:rsid w:val="3EDA729E"/>
    <w:rsid w:val="3EDC3881"/>
    <w:rsid w:val="3EDF3807"/>
    <w:rsid w:val="3EDF478B"/>
    <w:rsid w:val="3EE5288B"/>
    <w:rsid w:val="3EF707E9"/>
    <w:rsid w:val="3EFF58DE"/>
    <w:rsid w:val="3F027DD0"/>
    <w:rsid w:val="3F0D5E04"/>
    <w:rsid w:val="3F175F24"/>
    <w:rsid w:val="3F1E384C"/>
    <w:rsid w:val="3F232D0D"/>
    <w:rsid w:val="3F2725A2"/>
    <w:rsid w:val="3F2E1337"/>
    <w:rsid w:val="3F2E179C"/>
    <w:rsid w:val="3F2E2497"/>
    <w:rsid w:val="3F3303B1"/>
    <w:rsid w:val="3F3607B2"/>
    <w:rsid w:val="3F3635EF"/>
    <w:rsid w:val="3F380D4D"/>
    <w:rsid w:val="3F450C5E"/>
    <w:rsid w:val="3F4A339D"/>
    <w:rsid w:val="3F4A401A"/>
    <w:rsid w:val="3F531930"/>
    <w:rsid w:val="3F5B7933"/>
    <w:rsid w:val="3F5E47EB"/>
    <w:rsid w:val="3F5F2F95"/>
    <w:rsid w:val="3F6351E6"/>
    <w:rsid w:val="3F66563F"/>
    <w:rsid w:val="3F6775AE"/>
    <w:rsid w:val="3F6C5444"/>
    <w:rsid w:val="3F6E7773"/>
    <w:rsid w:val="3F780590"/>
    <w:rsid w:val="3F7D4C65"/>
    <w:rsid w:val="3F824C3E"/>
    <w:rsid w:val="3F8578BC"/>
    <w:rsid w:val="3F8C78AF"/>
    <w:rsid w:val="3F8F5878"/>
    <w:rsid w:val="3F9F1936"/>
    <w:rsid w:val="3FA05939"/>
    <w:rsid w:val="3FA410FB"/>
    <w:rsid w:val="3FAB5086"/>
    <w:rsid w:val="3FBA31D2"/>
    <w:rsid w:val="3FBD2DA4"/>
    <w:rsid w:val="3FBF2FE8"/>
    <w:rsid w:val="3FCB51D3"/>
    <w:rsid w:val="3FCD21AF"/>
    <w:rsid w:val="3FDE02D2"/>
    <w:rsid w:val="3FE672B3"/>
    <w:rsid w:val="3FE8441C"/>
    <w:rsid w:val="3FEC678C"/>
    <w:rsid w:val="3FED00AC"/>
    <w:rsid w:val="3FFB4C57"/>
    <w:rsid w:val="4002562A"/>
    <w:rsid w:val="400A2075"/>
    <w:rsid w:val="400D463C"/>
    <w:rsid w:val="400D69C0"/>
    <w:rsid w:val="401152D3"/>
    <w:rsid w:val="40121A4C"/>
    <w:rsid w:val="401E1F88"/>
    <w:rsid w:val="40266EE6"/>
    <w:rsid w:val="402D166A"/>
    <w:rsid w:val="402E2668"/>
    <w:rsid w:val="403E203C"/>
    <w:rsid w:val="40406945"/>
    <w:rsid w:val="404770D7"/>
    <w:rsid w:val="405733C5"/>
    <w:rsid w:val="40595063"/>
    <w:rsid w:val="405B2555"/>
    <w:rsid w:val="40644A59"/>
    <w:rsid w:val="40653402"/>
    <w:rsid w:val="40654256"/>
    <w:rsid w:val="406966F6"/>
    <w:rsid w:val="406C1E4C"/>
    <w:rsid w:val="406E2D1C"/>
    <w:rsid w:val="4075475E"/>
    <w:rsid w:val="407A1956"/>
    <w:rsid w:val="407C3AE5"/>
    <w:rsid w:val="407E45ED"/>
    <w:rsid w:val="407F1C79"/>
    <w:rsid w:val="408116A4"/>
    <w:rsid w:val="4083285F"/>
    <w:rsid w:val="4083477A"/>
    <w:rsid w:val="40890A43"/>
    <w:rsid w:val="409177AF"/>
    <w:rsid w:val="409223C9"/>
    <w:rsid w:val="409B660A"/>
    <w:rsid w:val="409C2625"/>
    <w:rsid w:val="409E7EBB"/>
    <w:rsid w:val="40A52365"/>
    <w:rsid w:val="40A843C0"/>
    <w:rsid w:val="40A93DFB"/>
    <w:rsid w:val="40A96AA7"/>
    <w:rsid w:val="40AA4478"/>
    <w:rsid w:val="40B04F11"/>
    <w:rsid w:val="40B10BBD"/>
    <w:rsid w:val="40BB4C7D"/>
    <w:rsid w:val="40C04B53"/>
    <w:rsid w:val="40C266AB"/>
    <w:rsid w:val="40C27447"/>
    <w:rsid w:val="40D41A16"/>
    <w:rsid w:val="40D641E4"/>
    <w:rsid w:val="40DD566B"/>
    <w:rsid w:val="40DD7A15"/>
    <w:rsid w:val="40EF3B05"/>
    <w:rsid w:val="40F2406F"/>
    <w:rsid w:val="40F676A4"/>
    <w:rsid w:val="40F82272"/>
    <w:rsid w:val="40F8489B"/>
    <w:rsid w:val="40FF5264"/>
    <w:rsid w:val="4104251E"/>
    <w:rsid w:val="41080CDA"/>
    <w:rsid w:val="410B711D"/>
    <w:rsid w:val="411266A1"/>
    <w:rsid w:val="41162C62"/>
    <w:rsid w:val="411A76F4"/>
    <w:rsid w:val="41256C5A"/>
    <w:rsid w:val="412D7B4F"/>
    <w:rsid w:val="41317BA1"/>
    <w:rsid w:val="413362A7"/>
    <w:rsid w:val="41356368"/>
    <w:rsid w:val="413A07A9"/>
    <w:rsid w:val="413F2EDC"/>
    <w:rsid w:val="41423045"/>
    <w:rsid w:val="414311A9"/>
    <w:rsid w:val="415809BC"/>
    <w:rsid w:val="415E7F1E"/>
    <w:rsid w:val="4163168B"/>
    <w:rsid w:val="4163256C"/>
    <w:rsid w:val="41645CF3"/>
    <w:rsid w:val="41684FED"/>
    <w:rsid w:val="41705CAC"/>
    <w:rsid w:val="41714948"/>
    <w:rsid w:val="417852FE"/>
    <w:rsid w:val="41792489"/>
    <w:rsid w:val="418140CD"/>
    <w:rsid w:val="418718DD"/>
    <w:rsid w:val="41912A19"/>
    <w:rsid w:val="41933D70"/>
    <w:rsid w:val="41975AE6"/>
    <w:rsid w:val="419A0534"/>
    <w:rsid w:val="419B793A"/>
    <w:rsid w:val="41A331B2"/>
    <w:rsid w:val="41A7672E"/>
    <w:rsid w:val="41AB30BD"/>
    <w:rsid w:val="41AF1DBA"/>
    <w:rsid w:val="41B32CA2"/>
    <w:rsid w:val="41B87C5C"/>
    <w:rsid w:val="41C16449"/>
    <w:rsid w:val="41CD42B3"/>
    <w:rsid w:val="41CF1A73"/>
    <w:rsid w:val="41D30EC3"/>
    <w:rsid w:val="41D8442A"/>
    <w:rsid w:val="41E82F0A"/>
    <w:rsid w:val="41EA07BD"/>
    <w:rsid w:val="41F22E27"/>
    <w:rsid w:val="41F45A1C"/>
    <w:rsid w:val="42101E16"/>
    <w:rsid w:val="421337A1"/>
    <w:rsid w:val="421B4732"/>
    <w:rsid w:val="421E0CE5"/>
    <w:rsid w:val="42226E50"/>
    <w:rsid w:val="42280A06"/>
    <w:rsid w:val="422C1E62"/>
    <w:rsid w:val="422D5177"/>
    <w:rsid w:val="422E0294"/>
    <w:rsid w:val="4238215D"/>
    <w:rsid w:val="42387696"/>
    <w:rsid w:val="424F6D9D"/>
    <w:rsid w:val="425D639C"/>
    <w:rsid w:val="42647938"/>
    <w:rsid w:val="42650D88"/>
    <w:rsid w:val="426664F2"/>
    <w:rsid w:val="4267619E"/>
    <w:rsid w:val="426E0E54"/>
    <w:rsid w:val="42746CC9"/>
    <w:rsid w:val="4276315B"/>
    <w:rsid w:val="42770358"/>
    <w:rsid w:val="42782D0E"/>
    <w:rsid w:val="427C3379"/>
    <w:rsid w:val="42812BEB"/>
    <w:rsid w:val="428546DC"/>
    <w:rsid w:val="428759CF"/>
    <w:rsid w:val="42917131"/>
    <w:rsid w:val="42A36014"/>
    <w:rsid w:val="42A823D1"/>
    <w:rsid w:val="42B3225F"/>
    <w:rsid w:val="42B52CAE"/>
    <w:rsid w:val="42BE31F4"/>
    <w:rsid w:val="42C23654"/>
    <w:rsid w:val="42CA6FBD"/>
    <w:rsid w:val="42DD651C"/>
    <w:rsid w:val="42E23496"/>
    <w:rsid w:val="42E64ADF"/>
    <w:rsid w:val="42E87A95"/>
    <w:rsid w:val="42EB6105"/>
    <w:rsid w:val="42EB6FAA"/>
    <w:rsid w:val="42FF18C5"/>
    <w:rsid w:val="43011432"/>
    <w:rsid w:val="43037E1E"/>
    <w:rsid w:val="430C7ADD"/>
    <w:rsid w:val="43141066"/>
    <w:rsid w:val="431567DE"/>
    <w:rsid w:val="431B24E0"/>
    <w:rsid w:val="431F46B8"/>
    <w:rsid w:val="432129E2"/>
    <w:rsid w:val="43224918"/>
    <w:rsid w:val="432A4383"/>
    <w:rsid w:val="432F2DDE"/>
    <w:rsid w:val="4337416F"/>
    <w:rsid w:val="433D431F"/>
    <w:rsid w:val="43441D8D"/>
    <w:rsid w:val="43441DEB"/>
    <w:rsid w:val="4345375F"/>
    <w:rsid w:val="43456F8D"/>
    <w:rsid w:val="434B6E74"/>
    <w:rsid w:val="434D496D"/>
    <w:rsid w:val="435436B7"/>
    <w:rsid w:val="4357300A"/>
    <w:rsid w:val="43654953"/>
    <w:rsid w:val="43675239"/>
    <w:rsid w:val="43683AE3"/>
    <w:rsid w:val="436D6DD8"/>
    <w:rsid w:val="437300B3"/>
    <w:rsid w:val="437D708F"/>
    <w:rsid w:val="438028DB"/>
    <w:rsid w:val="43811301"/>
    <w:rsid w:val="43891425"/>
    <w:rsid w:val="438B1EF4"/>
    <w:rsid w:val="438D25B3"/>
    <w:rsid w:val="43933756"/>
    <w:rsid w:val="439C453E"/>
    <w:rsid w:val="43B001FE"/>
    <w:rsid w:val="43B13CDD"/>
    <w:rsid w:val="43B543AF"/>
    <w:rsid w:val="43BB1566"/>
    <w:rsid w:val="43BD261D"/>
    <w:rsid w:val="43BE6232"/>
    <w:rsid w:val="43BE67A1"/>
    <w:rsid w:val="43C91A5D"/>
    <w:rsid w:val="43CA4D0A"/>
    <w:rsid w:val="43CA7FB9"/>
    <w:rsid w:val="43CC1A85"/>
    <w:rsid w:val="43CC1C20"/>
    <w:rsid w:val="43CF6547"/>
    <w:rsid w:val="43D03A61"/>
    <w:rsid w:val="43D349E2"/>
    <w:rsid w:val="43D34DCA"/>
    <w:rsid w:val="43D951C6"/>
    <w:rsid w:val="43D95633"/>
    <w:rsid w:val="43DA1716"/>
    <w:rsid w:val="43E202FC"/>
    <w:rsid w:val="43E62C52"/>
    <w:rsid w:val="43EB08C7"/>
    <w:rsid w:val="43F97366"/>
    <w:rsid w:val="43FB5DD1"/>
    <w:rsid w:val="44011F00"/>
    <w:rsid w:val="44081F38"/>
    <w:rsid w:val="440D376B"/>
    <w:rsid w:val="441C152A"/>
    <w:rsid w:val="4423052A"/>
    <w:rsid w:val="44320FD1"/>
    <w:rsid w:val="443241B1"/>
    <w:rsid w:val="44385C50"/>
    <w:rsid w:val="44415838"/>
    <w:rsid w:val="44422B74"/>
    <w:rsid w:val="44442356"/>
    <w:rsid w:val="44453B2D"/>
    <w:rsid w:val="4449591C"/>
    <w:rsid w:val="444B0553"/>
    <w:rsid w:val="444F471E"/>
    <w:rsid w:val="445439C0"/>
    <w:rsid w:val="44552845"/>
    <w:rsid w:val="4460423F"/>
    <w:rsid w:val="446924D7"/>
    <w:rsid w:val="446F1124"/>
    <w:rsid w:val="447A0707"/>
    <w:rsid w:val="447C700B"/>
    <w:rsid w:val="447F0C72"/>
    <w:rsid w:val="447F27A2"/>
    <w:rsid w:val="448623BD"/>
    <w:rsid w:val="448A692C"/>
    <w:rsid w:val="448B5A75"/>
    <w:rsid w:val="44982F38"/>
    <w:rsid w:val="449A4E8D"/>
    <w:rsid w:val="44A76CF6"/>
    <w:rsid w:val="44AC1EE5"/>
    <w:rsid w:val="44AD1FCC"/>
    <w:rsid w:val="44AF0F0F"/>
    <w:rsid w:val="44B81444"/>
    <w:rsid w:val="44BA1746"/>
    <w:rsid w:val="44BD0353"/>
    <w:rsid w:val="44C462F8"/>
    <w:rsid w:val="44CD31E2"/>
    <w:rsid w:val="44DC7C8E"/>
    <w:rsid w:val="44DD2005"/>
    <w:rsid w:val="44DD62F3"/>
    <w:rsid w:val="44DF60D4"/>
    <w:rsid w:val="44E04549"/>
    <w:rsid w:val="44EF7554"/>
    <w:rsid w:val="44F32FB8"/>
    <w:rsid w:val="44FB468C"/>
    <w:rsid w:val="44FC164A"/>
    <w:rsid w:val="45010547"/>
    <w:rsid w:val="450A37A6"/>
    <w:rsid w:val="450B1823"/>
    <w:rsid w:val="451B1444"/>
    <w:rsid w:val="452B37C7"/>
    <w:rsid w:val="453A3D5A"/>
    <w:rsid w:val="453D3A6E"/>
    <w:rsid w:val="454B22CD"/>
    <w:rsid w:val="454E009D"/>
    <w:rsid w:val="45570263"/>
    <w:rsid w:val="455E543A"/>
    <w:rsid w:val="45605DF9"/>
    <w:rsid w:val="4563425B"/>
    <w:rsid w:val="456526DC"/>
    <w:rsid w:val="456B6252"/>
    <w:rsid w:val="45722531"/>
    <w:rsid w:val="457314F5"/>
    <w:rsid w:val="45733DC0"/>
    <w:rsid w:val="457B1A59"/>
    <w:rsid w:val="458B5065"/>
    <w:rsid w:val="45912560"/>
    <w:rsid w:val="459865CE"/>
    <w:rsid w:val="459C7432"/>
    <w:rsid w:val="45A85223"/>
    <w:rsid w:val="45AE1362"/>
    <w:rsid w:val="45B539F6"/>
    <w:rsid w:val="45B62421"/>
    <w:rsid w:val="45B71B16"/>
    <w:rsid w:val="45BA2312"/>
    <w:rsid w:val="45BA3A4B"/>
    <w:rsid w:val="45BA6B0D"/>
    <w:rsid w:val="45BC2451"/>
    <w:rsid w:val="45C168FC"/>
    <w:rsid w:val="45C95507"/>
    <w:rsid w:val="45D0102E"/>
    <w:rsid w:val="45D94E71"/>
    <w:rsid w:val="45D976C4"/>
    <w:rsid w:val="45E42AD7"/>
    <w:rsid w:val="45EF47BB"/>
    <w:rsid w:val="45F07F25"/>
    <w:rsid w:val="45F21CCB"/>
    <w:rsid w:val="45FE6567"/>
    <w:rsid w:val="460554D3"/>
    <w:rsid w:val="46166A5E"/>
    <w:rsid w:val="46177320"/>
    <w:rsid w:val="46216760"/>
    <w:rsid w:val="46226875"/>
    <w:rsid w:val="46317741"/>
    <w:rsid w:val="46392E99"/>
    <w:rsid w:val="463974F7"/>
    <w:rsid w:val="46423CE6"/>
    <w:rsid w:val="46495DEF"/>
    <w:rsid w:val="464B7691"/>
    <w:rsid w:val="464E4459"/>
    <w:rsid w:val="464F7D9C"/>
    <w:rsid w:val="46510993"/>
    <w:rsid w:val="465175DE"/>
    <w:rsid w:val="46574610"/>
    <w:rsid w:val="46597DAF"/>
    <w:rsid w:val="465C5099"/>
    <w:rsid w:val="465D4024"/>
    <w:rsid w:val="4660270E"/>
    <w:rsid w:val="46607ECE"/>
    <w:rsid w:val="466C2849"/>
    <w:rsid w:val="467A6857"/>
    <w:rsid w:val="46803B85"/>
    <w:rsid w:val="468119D1"/>
    <w:rsid w:val="468A7785"/>
    <w:rsid w:val="468F0CB4"/>
    <w:rsid w:val="469954EC"/>
    <w:rsid w:val="46A714BA"/>
    <w:rsid w:val="46A80D82"/>
    <w:rsid w:val="46AD46D2"/>
    <w:rsid w:val="46B26810"/>
    <w:rsid w:val="46B47575"/>
    <w:rsid w:val="46BA55F9"/>
    <w:rsid w:val="46BB7BAE"/>
    <w:rsid w:val="46BF304B"/>
    <w:rsid w:val="46C05933"/>
    <w:rsid w:val="46C20EBF"/>
    <w:rsid w:val="46CB3B16"/>
    <w:rsid w:val="46D06061"/>
    <w:rsid w:val="46D80AEE"/>
    <w:rsid w:val="46DA25C3"/>
    <w:rsid w:val="46DB4025"/>
    <w:rsid w:val="46E40F07"/>
    <w:rsid w:val="46E44903"/>
    <w:rsid w:val="46E813A4"/>
    <w:rsid w:val="46E94533"/>
    <w:rsid w:val="46E97115"/>
    <w:rsid w:val="46F575B9"/>
    <w:rsid w:val="46F603FE"/>
    <w:rsid w:val="46FF6008"/>
    <w:rsid w:val="470457E6"/>
    <w:rsid w:val="47173C62"/>
    <w:rsid w:val="47183472"/>
    <w:rsid w:val="47185071"/>
    <w:rsid w:val="47210A51"/>
    <w:rsid w:val="47222493"/>
    <w:rsid w:val="472530E4"/>
    <w:rsid w:val="47293E0F"/>
    <w:rsid w:val="47307DD7"/>
    <w:rsid w:val="473C1E11"/>
    <w:rsid w:val="473E2FCD"/>
    <w:rsid w:val="473F409F"/>
    <w:rsid w:val="47402C33"/>
    <w:rsid w:val="4741268A"/>
    <w:rsid w:val="47496A9E"/>
    <w:rsid w:val="474C23A8"/>
    <w:rsid w:val="475029D2"/>
    <w:rsid w:val="475603F6"/>
    <w:rsid w:val="47645447"/>
    <w:rsid w:val="47656DCE"/>
    <w:rsid w:val="476C7B45"/>
    <w:rsid w:val="476D0C9F"/>
    <w:rsid w:val="476D16A7"/>
    <w:rsid w:val="47722A18"/>
    <w:rsid w:val="47741D0C"/>
    <w:rsid w:val="47781B66"/>
    <w:rsid w:val="47794796"/>
    <w:rsid w:val="477C5FA6"/>
    <w:rsid w:val="47805970"/>
    <w:rsid w:val="47876B9F"/>
    <w:rsid w:val="478B55C7"/>
    <w:rsid w:val="478C0EC4"/>
    <w:rsid w:val="479236A7"/>
    <w:rsid w:val="47923CE5"/>
    <w:rsid w:val="47935FB2"/>
    <w:rsid w:val="47953EA1"/>
    <w:rsid w:val="47A213C0"/>
    <w:rsid w:val="47A82978"/>
    <w:rsid w:val="47AD2ABA"/>
    <w:rsid w:val="47B57B67"/>
    <w:rsid w:val="47B57D5F"/>
    <w:rsid w:val="47B70C7A"/>
    <w:rsid w:val="47B76453"/>
    <w:rsid w:val="47C10328"/>
    <w:rsid w:val="47C2640D"/>
    <w:rsid w:val="47D52482"/>
    <w:rsid w:val="47DC4284"/>
    <w:rsid w:val="47DC44AD"/>
    <w:rsid w:val="47DF7B1C"/>
    <w:rsid w:val="47E50EDA"/>
    <w:rsid w:val="47E60318"/>
    <w:rsid w:val="47E8372E"/>
    <w:rsid w:val="47F21EF0"/>
    <w:rsid w:val="47F5197C"/>
    <w:rsid w:val="47F95DB7"/>
    <w:rsid w:val="480F66E3"/>
    <w:rsid w:val="481270AB"/>
    <w:rsid w:val="481D08A3"/>
    <w:rsid w:val="481D120F"/>
    <w:rsid w:val="48203E6E"/>
    <w:rsid w:val="482105C0"/>
    <w:rsid w:val="48211E7E"/>
    <w:rsid w:val="48252B50"/>
    <w:rsid w:val="4832552C"/>
    <w:rsid w:val="48342F88"/>
    <w:rsid w:val="483510C7"/>
    <w:rsid w:val="48372EBB"/>
    <w:rsid w:val="48384196"/>
    <w:rsid w:val="483B42DC"/>
    <w:rsid w:val="484E1371"/>
    <w:rsid w:val="48554F42"/>
    <w:rsid w:val="485C39F4"/>
    <w:rsid w:val="485E7ACC"/>
    <w:rsid w:val="48604BE3"/>
    <w:rsid w:val="4862142D"/>
    <w:rsid w:val="48626E30"/>
    <w:rsid w:val="48636ED0"/>
    <w:rsid w:val="48680479"/>
    <w:rsid w:val="486A4A47"/>
    <w:rsid w:val="486B4FCA"/>
    <w:rsid w:val="48766E5E"/>
    <w:rsid w:val="487835F2"/>
    <w:rsid w:val="487A69DB"/>
    <w:rsid w:val="48801724"/>
    <w:rsid w:val="48811F62"/>
    <w:rsid w:val="4889205F"/>
    <w:rsid w:val="488A476B"/>
    <w:rsid w:val="48914435"/>
    <w:rsid w:val="48952A5D"/>
    <w:rsid w:val="489701E4"/>
    <w:rsid w:val="489711F0"/>
    <w:rsid w:val="4898120E"/>
    <w:rsid w:val="489C5552"/>
    <w:rsid w:val="48A03639"/>
    <w:rsid w:val="48A3334F"/>
    <w:rsid w:val="48AB0568"/>
    <w:rsid w:val="48AB63B2"/>
    <w:rsid w:val="48B23A8E"/>
    <w:rsid w:val="48B267FE"/>
    <w:rsid w:val="48BA110B"/>
    <w:rsid w:val="48BD578E"/>
    <w:rsid w:val="48C170BE"/>
    <w:rsid w:val="48CD0CC0"/>
    <w:rsid w:val="48CD762C"/>
    <w:rsid w:val="48CF57E3"/>
    <w:rsid w:val="48D376B5"/>
    <w:rsid w:val="48D42363"/>
    <w:rsid w:val="48D730D3"/>
    <w:rsid w:val="48D949EA"/>
    <w:rsid w:val="48E1069F"/>
    <w:rsid w:val="48F73D54"/>
    <w:rsid w:val="48FA28F1"/>
    <w:rsid w:val="48FB457E"/>
    <w:rsid w:val="48FE2C68"/>
    <w:rsid w:val="4905290C"/>
    <w:rsid w:val="49063785"/>
    <w:rsid w:val="49171B66"/>
    <w:rsid w:val="491A0D1D"/>
    <w:rsid w:val="491C548A"/>
    <w:rsid w:val="491D1B81"/>
    <w:rsid w:val="492F531F"/>
    <w:rsid w:val="492F6636"/>
    <w:rsid w:val="492F7E36"/>
    <w:rsid w:val="493922E0"/>
    <w:rsid w:val="49405D5E"/>
    <w:rsid w:val="49532DE0"/>
    <w:rsid w:val="49561E92"/>
    <w:rsid w:val="495773A9"/>
    <w:rsid w:val="495E49C0"/>
    <w:rsid w:val="4960114B"/>
    <w:rsid w:val="496735FA"/>
    <w:rsid w:val="496A1DB8"/>
    <w:rsid w:val="497016DD"/>
    <w:rsid w:val="4971045B"/>
    <w:rsid w:val="4979031F"/>
    <w:rsid w:val="497976FA"/>
    <w:rsid w:val="49833A3E"/>
    <w:rsid w:val="49874269"/>
    <w:rsid w:val="49896678"/>
    <w:rsid w:val="49907119"/>
    <w:rsid w:val="49995130"/>
    <w:rsid w:val="499A3037"/>
    <w:rsid w:val="49A07153"/>
    <w:rsid w:val="49A42C3A"/>
    <w:rsid w:val="49A63E09"/>
    <w:rsid w:val="49A67E4A"/>
    <w:rsid w:val="49AE68B8"/>
    <w:rsid w:val="49BA40F4"/>
    <w:rsid w:val="49BD0C30"/>
    <w:rsid w:val="49C068FC"/>
    <w:rsid w:val="49C302B6"/>
    <w:rsid w:val="49C60139"/>
    <w:rsid w:val="49C63B01"/>
    <w:rsid w:val="49D73377"/>
    <w:rsid w:val="49E6704C"/>
    <w:rsid w:val="49E74780"/>
    <w:rsid w:val="49E83A5F"/>
    <w:rsid w:val="49EE6A1F"/>
    <w:rsid w:val="49EF23AD"/>
    <w:rsid w:val="49F03743"/>
    <w:rsid w:val="49F14CC3"/>
    <w:rsid w:val="49F34B13"/>
    <w:rsid w:val="49FA6E2A"/>
    <w:rsid w:val="49FD6413"/>
    <w:rsid w:val="49FE1236"/>
    <w:rsid w:val="4A0C3144"/>
    <w:rsid w:val="4A192C26"/>
    <w:rsid w:val="4A2A2E23"/>
    <w:rsid w:val="4A3B617B"/>
    <w:rsid w:val="4A3D4FF8"/>
    <w:rsid w:val="4A3F629B"/>
    <w:rsid w:val="4A400106"/>
    <w:rsid w:val="4A416D23"/>
    <w:rsid w:val="4A457547"/>
    <w:rsid w:val="4A4C1621"/>
    <w:rsid w:val="4A546A31"/>
    <w:rsid w:val="4A5F5280"/>
    <w:rsid w:val="4A6129DF"/>
    <w:rsid w:val="4A691BA3"/>
    <w:rsid w:val="4A700869"/>
    <w:rsid w:val="4A75264F"/>
    <w:rsid w:val="4A8622B6"/>
    <w:rsid w:val="4A88661D"/>
    <w:rsid w:val="4A9259ED"/>
    <w:rsid w:val="4A925CA1"/>
    <w:rsid w:val="4AA13962"/>
    <w:rsid w:val="4AB27100"/>
    <w:rsid w:val="4ABD09E3"/>
    <w:rsid w:val="4AC73EF8"/>
    <w:rsid w:val="4AC878DE"/>
    <w:rsid w:val="4AD65B1C"/>
    <w:rsid w:val="4ADB12BE"/>
    <w:rsid w:val="4ADB40EF"/>
    <w:rsid w:val="4ADD4949"/>
    <w:rsid w:val="4ADF3B00"/>
    <w:rsid w:val="4AE44288"/>
    <w:rsid w:val="4AE55EF8"/>
    <w:rsid w:val="4AE56D1E"/>
    <w:rsid w:val="4AE775D1"/>
    <w:rsid w:val="4AE86A3E"/>
    <w:rsid w:val="4AEC088B"/>
    <w:rsid w:val="4AF12ED5"/>
    <w:rsid w:val="4AF37F3C"/>
    <w:rsid w:val="4AF7270C"/>
    <w:rsid w:val="4AFC08D7"/>
    <w:rsid w:val="4AFC315D"/>
    <w:rsid w:val="4B0112E2"/>
    <w:rsid w:val="4B034FF7"/>
    <w:rsid w:val="4B051BFB"/>
    <w:rsid w:val="4B070A8B"/>
    <w:rsid w:val="4B0C10BD"/>
    <w:rsid w:val="4B0C7044"/>
    <w:rsid w:val="4B0E24BA"/>
    <w:rsid w:val="4B16569C"/>
    <w:rsid w:val="4B252E26"/>
    <w:rsid w:val="4B33627A"/>
    <w:rsid w:val="4B356505"/>
    <w:rsid w:val="4B3A331C"/>
    <w:rsid w:val="4B3A4DD8"/>
    <w:rsid w:val="4B3D32A5"/>
    <w:rsid w:val="4B400196"/>
    <w:rsid w:val="4B463FD2"/>
    <w:rsid w:val="4B4B4AFB"/>
    <w:rsid w:val="4B503E7D"/>
    <w:rsid w:val="4B5526A6"/>
    <w:rsid w:val="4B6A6E28"/>
    <w:rsid w:val="4B6A739A"/>
    <w:rsid w:val="4B6B2FC4"/>
    <w:rsid w:val="4B6E666B"/>
    <w:rsid w:val="4B7142BB"/>
    <w:rsid w:val="4B720234"/>
    <w:rsid w:val="4B794712"/>
    <w:rsid w:val="4B816AF3"/>
    <w:rsid w:val="4B8273E2"/>
    <w:rsid w:val="4B84080B"/>
    <w:rsid w:val="4B857AB9"/>
    <w:rsid w:val="4B8D026C"/>
    <w:rsid w:val="4B96268C"/>
    <w:rsid w:val="4B972903"/>
    <w:rsid w:val="4B991708"/>
    <w:rsid w:val="4B9F32A8"/>
    <w:rsid w:val="4BBA5C6F"/>
    <w:rsid w:val="4BC3761F"/>
    <w:rsid w:val="4BC45D51"/>
    <w:rsid w:val="4BD643C6"/>
    <w:rsid w:val="4BE01CB1"/>
    <w:rsid w:val="4BE4657C"/>
    <w:rsid w:val="4BE75360"/>
    <w:rsid w:val="4BEE2702"/>
    <w:rsid w:val="4BF1539E"/>
    <w:rsid w:val="4BF72B06"/>
    <w:rsid w:val="4BF94856"/>
    <w:rsid w:val="4C007F2A"/>
    <w:rsid w:val="4C0700C6"/>
    <w:rsid w:val="4C09029E"/>
    <w:rsid w:val="4C0D69A5"/>
    <w:rsid w:val="4C114E73"/>
    <w:rsid w:val="4C15308B"/>
    <w:rsid w:val="4C180CB0"/>
    <w:rsid w:val="4C257537"/>
    <w:rsid w:val="4C276414"/>
    <w:rsid w:val="4C2F0BD5"/>
    <w:rsid w:val="4C30348B"/>
    <w:rsid w:val="4C3449C0"/>
    <w:rsid w:val="4C457E06"/>
    <w:rsid w:val="4C482B52"/>
    <w:rsid w:val="4C486022"/>
    <w:rsid w:val="4C4F17E8"/>
    <w:rsid w:val="4C4F57BA"/>
    <w:rsid w:val="4C52210E"/>
    <w:rsid w:val="4C541FE7"/>
    <w:rsid w:val="4C5653EF"/>
    <w:rsid w:val="4C6E490F"/>
    <w:rsid w:val="4C761AE5"/>
    <w:rsid w:val="4C7A3E0A"/>
    <w:rsid w:val="4C7B7FCC"/>
    <w:rsid w:val="4C7D5AE8"/>
    <w:rsid w:val="4C8A3EEA"/>
    <w:rsid w:val="4C8D2725"/>
    <w:rsid w:val="4C927C67"/>
    <w:rsid w:val="4C992C68"/>
    <w:rsid w:val="4C9A24A5"/>
    <w:rsid w:val="4C9B51D5"/>
    <w:rsid w:val="4CAC2095"/>
    <w:rsid w:val="4CB27F5F"/>
    <w:rsid w:val="4CB4751A"/>
    <w:rsid w:val="4CB64671"/>
    <w:rsid w:val="4CCC4A3D"/>
    <w:rsid w:val="4CCE05D1"/>
    <w:rsid w:val="4CD23B1D"/>
    <w:rsid w:val="4CD715B6"/>
    <w:rsid w:val="4CE12216"/>
    <w:rsid w:val="4CE239C2"/>
    <w:rsid w:val="4CE34671"/>
    <w:rsid w:val="4CF80BDA"/>
    <w:rsid w:val="4CFE58B7"/>
    <w:rsid w:val="4D080446"/>
    <w:rsid w:val="4D0D5045"/>
    <w:rsid w:val="4D142642"/>
    <w:rsid w:val="4D176CED"/>
    <w:rsid w:val="4D183CAF"/>
    <w:rsid w:val="4D19747F"/>
    <w:rsid w:val="4D1D784F"/>
    <w:rsid w:val="4D241DA1"/>
    <w:rsid w:val="4D2A6DE6"/>
    <w:rsid w:val="4D2D4F3D"/>
    <w:rsid w:val="4D3A472C"/>
    <w:rsid w:val="4D3C2FC9"/>
    <w:rsid w:val="4D454D20"/>
    <w:rsid w:val="4D4E3F3A"/>
    <w:rsid w:val="4D5C35DB"/>
    <w:rsid w:val="4D5F5B99"/>
    <w:rsid w:val="4D603556"/>
    <w:rsid w:val="4D694853"/>
    <w:rsid w:val="4D6A5234"/>
    <w:rsid w:val="4D6B068E"/>
    <w:rsid w:val="4D6E3730"/>
    <w:rsid w:val="4D6E6050"/>
    <w:rsid w:val="4D744A27"/>
    <w:rsid w:val="4D747F19"/>
    <w:rsid w:val="4D7B7388"/>
    <w:rsid w:val="4D7D0B22"/>
    <w:rsid w:val="4D83134C"/>
    <w:rsid w:val="4D933D82"/>
    <w:rsid w:val="4D952A47"/>
    <w:rsid w:val="4D964BDE"/>
    <w:rsid w:val="4D97331D"/>
    <w:rsid w:val="4D9B545C"/>
    <w:rsid w:val="4DA22F6F"/>
    <w:rsid w:val="4DA366F2"/>
    <w:rsid w:val="4DA85778"/>
    <w:rsid w:val="4DAA485A"/>
    <w:rsid w:val="4DB320B4"/>
    <w:rsid w:val="4DB378BC"/>
    <w:rsid w:val="4DB74F6F"/>
    <w:rsid w:val="4DBF78FA"/>
    <w:rsid w:val="4DC43E1F"/>
    <w:rsid w:val="4DCA651D"/>
    <w:rsid w:val="4DCE0156"/>
    <w:rsid w:val="4DD41FFC"/>
    <w:rsid w:val="4DD455C4"/>
    <w:rsid w:val="4DD46851"/>
    <w:rsid w:val="4DD62BB7"/>
    <w:rsid w:val="4DE75BEC"/>
    <w:rsid w:val="4DED17F1"/>
    <w:rsid w:val="4DEE1BA4"/>
    <w:rsid w:val="4DF22F98"/>
    <w:rsid w:val="4DF67C34"/>
    <w:rsid w:val="4DF85277"/>
    <w:rsid w:val="4DFC5B74"/>
    <w:rsid w:val="4E00643A"/>
    <w:rsid w:val="4E0167FB"/>
    <w:rsid w:val="4E07093E"/>
    <w:rsid w:val="4E1911BA"/>
    <w:rsid w:val="4E1A5E9B"/>
    <w:rsid w:val="4E1F6FFD"/>
    <w:rsid w:val="4E206385"/>
    <w:rsid w:val="4E214188"/>
    <w:rsid w:val="4E220315"/>
    <w:rsid w:val="4E2A0632"/>
    <w:rsid w:val="4E2B750E"/>
    <w:rsid w:val="4E30293B"/>
    <w:rsid w:val="4E3341D3"/>
    <w:rsid w:val="4E394DF5"/>
    <w:rsid w:val="4E3A7F99"/>
    <w:rsid w:val="4E417460"/>
    <w:rsid w:val="4E525C89"/>
    <w:rsid w:val="4E5912BC"/>
    <w:rsid w:val="4E5C543F"/>
    <w:rsid w:val="4E623E5F"/>
    <w:rsid w:val="4E69351D"/>
    <w:rsid w:val="4E6C7842"/>
    <w:rsid w:val="4E6E1A99"/>
    <w:rsid w:val="4E7146D6"/>
    <w:rsid w:val="4E716DD6"/>
    <w:rsid w:val="4E797619"/>
    <w:rsid w:val="4E7B4B64"/>
    <w:rsid w:val="4E7D41EF"/>
    <w:rsid w:val="4E7D7214"/>
    <w:rsid w:val="4E8371C3"/>
    <w:rsid w:val="4E837B77"/>
    <w:rsid w:val="4E8743CF"/>
    <w:rsid w:val="4E8A19A2"/>
    <w:rsid w:val="4E8B6297"/>
    <w:rsid w:val="4E8C7B7C"/>
    <w:rsid w:val="4E8D2B5B"/>
    <w:rsid w:val="4E8E6079"/>
    <w:rsid w:val="4E90030F"/>
    <w:rsid w:val="4E9E37C4"/>
    <w:rsid w:val="4EA47ED4"/>
    <w:rsid w:val="4EA73499"/>
    <w:rsid w:val="4EAF6660"/>
    <w:rsid w:val="4EB70230"/>
    <w:rsid w:val="4EBA3110"/>
    <w:rsid w:val="4EC112A5"/>
    <w:rsid w:val="4EC16B9B"/>
    <w:rsid w:val="4EC273B5"/>
    <w:rsid w:val="4EC27DC2"/>
    <w:rsid w:val="4EC31609"/>
    <w:rsid w:val="4EC4139F"/>
    <w:rsid w:val="4EC96270"/>
    <w:rsid w:val="4ECB111E"/>
    <w:rsid w:val="4ECD7A91"/>
    <w:rsid w:val="4ED7559C"/>
    <w:rsid w:val="4EDA2711"/>
    <w:rsid w:val="4EE520BF"/>
    <w:rsid w:val="4EEE423D"/>
    <w:rsid w:val="4EF2573B"/>
    <w:rsid w:val="4EF93716"/>
    <w:rsid w:val="4EFA70C3"/>
    <w:rsid w:val="4F027730"/>
    <w:rsid w:val="4F043367"/>
    <w:rsid w:val="4F05494C"/>
    <w:rsid w:val="4F0D50A9"/>
    <w:rsid w:val="4F1535E3"/>
    <w:rsid w:val="4F1867DF"/>
    <w:rsid w:val="4F1A62E3"/>
    <w:rsid w:val="4F1D4219"/>
    <w:rsid w:val="4F20737B"/>
    <w:rsid w:val="4F265D17"/>
    <w:rsid w:val="4F274B63"/>
    <w:rsid w:val="4F311C64"/>
    <w:rsid w:val="4F4022BC"/>
    <w:rsid w:val="4F417C61"/>
    <w:rsid w:val="4F460289"/>
    <w:rsid w:val="4F50081E"/>
    <w:rsid w:val="4F510C33"/>
    <w:rsid w:val="4F7223E0"/>
    <w:rsid w:val="4F737BC5"/>
    <w:rsid w:val="4F7A4DA4"/>
    <w:rsid w:val="4F8306AF"/>
    <w:rsid w:val="4F897829"/>
    <w:rsid w:val="4F8E053B"/>
    <w:rsid w:val="4F970DE9"/>
    <w:rsid w:val="4F971FC4"/>
    <w:rsid w:val="4F9B749E"/>
    <w:rsid w:val="4FA1427F"/>
    <w:rsid w:val="4FA44FBF"/>
    <w:rsid w:val="4FA5268C"/>
    <w:rsid w:val="4FA84803"/>
    <w:rsid w:val="4FAB2227"/>
    <w:rsid w:val="4FAD3B8D"/>
    <w:rsid w:val="4FB14873"/>
    <w:rsid w:val="4FC804D5"/>
    <w:rsid w:val="4FCC1A25"/>
    <w:rsid w:val="4FD453BC"/>
    <w:rsid w:val="4FD539AF"/>
    <w:rsid w:val="4FE04A54"/>
    <w:rsid w:val="4FE21BA6"/>
    <w:rsid w:val="4FE31A0B"/>
    <w:rsid w:val="4FEB699A"/>
    <w:rsid w:val="4FF03A48"/>
    <w:rsid w:val="4FF22676"/>
    <w:rsid w:val="4FFE1B06"/>
    <w:rsid w:val="50023857"/>
    <w:rsid w:val="50047F66"/>
    <w:rsid w:val="500834E7"/>
    <w:rsid w:val="50090729"/>
    <w:rsid w:val="500A40D7"/>
    <w:rsid w:val="501D2B9F"/>
    <w:rsid w:val="501D6A08"/>
    <w:rsid w:val="502138A5"/>
    <w:rsid w:val="50271405"/>
    <w:rsid w:val="502723B7"/>
    <w:rsid w:val="502B0829"/>
    <w:rsid w:val="503113D8"/>
    <w:rsid w:val="50325B26"/>
    <w:rsid w:val="503559EC"/>
    <w:rsid w:val="503A4A45"/>
    <w:rsid w:val="503E36FA"/>
    <w:rsid w:val="504010BF"/>
    <w:rsid w:val="50452CF4"/>
    <w:rsid w:val="5048257B"/>
    <w:rsid w:val="505A67EB"/>
    <w:rsid w:val="507106E1"/>
    <w:rsid w:val="507157DD"/>
    <w:rsid w:val="5073712A"/>
    <w:rsid w:val="50750658"/>
    <w:rsid w:val="50765757"/>
    <w:rsid w:val="507844C3"/>
    <w:rsid w:val="507B5639"/>
    <w:rsid w:val="508C15FC"/>
    <w:rsid w:val="50A22E9F"/>
    <w:rsid w:val="50A453B0"/>
    <w:rsid w:val="50A54361"/>
    <w:rsid w:val="50A734E7"/>
    <w:rsid w:val="50A76EC8"/>
    <w:rsid w:val="50A94074"/>
    <w:rsid w:val="50B63FD8"/>
    <w:rsid w:val="50BB47E0"/>
    <w:rsid w:val="50BD18A9"/>
    <w:rsid w:val="50C142A9"/>
    <w:rsid w:val="50C4646F"/>
    <w:rsid w:val="50C46BEE"/>
    <w:rsid w:val="50C6603B"/>
    <w:rsid w:val="50C9642E"/>
    <w:rsid w:val="50CA299C"/>
    <w:rsid w:val="50D10B63"/>
    <w:rsid w:val="50E02CFE"/>
    <w:rsid w:val="50E33CEC"/>
    <w:rsid w:val="50EE03FD"/>
    <w:rsid w:val="50FA566D"/>
    <w:rsid w:val="50FC73BD"/>
    <w:rsid w:val="5104794E"/>
    <w:rsid w:val="5107352A"/>
    <w:rsid w:val="510F1A3E"/>
    <w:rsid w:val="5110524E"/>
    <w:rsid w:val="511C56B7"/>
    <w:rsid w:val="511D153D"/>
    <w:rsid w:val="51205FD8"/>
    <w:rsid w:val="51207C53"/>
    <w:rsid w:val="51241CE5"/>
    <w:rsid w:val="512A49B6"/>
    <w:rsid w:val="512E371C"/>
    <w:rsid w:val="513B5778"/>
    <w:rsid w:val="513C4376"/>
    <w:rsid w:val="51400930"/>
    <w:rsid w:val="5140217A"/>
    <w:rsid w:val="5140480D"/>
    <w:rsid w:val="51435D0C"/>
    <w:rsid w:val="51446169"/>
    <w:rsid w:val="514F5C22"/>
    <w:rsid w:val="5152697A"/>
    <w:rsid w:val="515835D2"/>
    <w:rsid w:val="515E509C"/>
    <w:rsid w:val="515E57B7"/>
    <w:rsid w:val="51662CD2"/>
    <w:rsid w:val="51674F26"/>
    <w:rsid w:val="516B6A17"/>
    <w:rsid w:val="516E22FB"/>
    <w:rsid w:val="517765FC"/>
    <w:rsid w:val="517F16F3"/>
    <w:rsid w:val="51883504"/>
    <w:rsid w:val="51893EC7"/>
    <w:rsid w:val="51935212"/>
    <w:rsid w:val="519A032B"/>
    <w:rsid w:val="519D0B3F"/>
    <w:rsid w:val="519E21FD"/>
    <w:rsid w:val="51AA50F9"/>
    <w:rsid w:val="51AC55DB"/>
    <w:rsid w:val="51AE5DFC"/>
    <w:rsid w:val="51B06B92"/>
    <w:rsid w:val="51B07591"/>
    <w:rsid w:val="51B21BF0"/>
    <w:rsid w:val="51B43002"/>
    <w:rsid w:val="51B85441"/>
    <w:rsid w:val="51BA4306"/>
    <w:rsid w:val="51BB1A11"/>
    <w:rsid w:val="51BD6C11"/>
    <w:rsid w:val="51BF6DF9"/>
    <w:rsid w:val="51C770AC"/>
    <w:rsid w:val="51D12A33"/>
    <w:rsid w:val="51D5080E"/>
    <w:rsid w:val="51D60111"/>
    <w:rsid w:val="51DA58AE"/>
    <w:rsid w:val="51E247EE"/>
    <w:rsid w:val="51E5449B"/>
    <w:rsid w:val="51E66508"/>
    <w:rsid w:val="51E847AF"/>
    <w:rsid w:val="51E94EA3"/>
    <w:rsid w:val="51EA7907"/>
    <w:rsid w:val="51EC11BD"/>
    <w:rsid w:val="52017EFE"/>
    <w:rsid w:val="520B7C08"/>
    <w:rsid w:val="520D3A34"/>
    <w:rsid w:val="520E6FF2"/>
    <w:rsid w:val="52174D8F"/>
    <w:rsid w:val="521952B3"/>
    <w:rsid w:val="521B44C0"/>
    <w:rsid w:val="521E5FFD"/>
    <w:rsid w:val="52217DB8"/>
    <w:rsid w:val="52230F41"/>
    <w:rsid w:val="523229AB"/>
    <w:rsid w:val="523F7113"/>
    <w:rsid w:val="524450A3"/>
    <w:rsid w:val="52447FE3"/>
    <w:rsid w:val="52510CC8"/>
    <w:rsid w:val="52583CBA"/>
    <w:rsid w:val="525D3F9D"/>
    <w:rsid w:val="52643FB3"/>
    <w:rsid w:val="5268101F"/>
    <w:rsid w:val="526D7E77"/>
    <w:rsid w:val="5270414C"/>
    <w:rsid w:val="52765CA0"/>
    <w:rsid w:val="528331E0"/>
    <w:rsid w:val="52854BA3"/>
    <w:rsid w:val="52876BB3"/>
    <w:rsid w:val="52884091"/>
    <w:rsid w:val="52A74318"/>
    <w:rsid w:val="52A770BB"/>
    <w:rsid w:val="52B224F0"/>
    <w:rsid w:val="52B41F04"/>
    <w:rsid w:val="52C10518"/>
    <w:rsid w:val="52C249D3"/>
    <w:rsid w:val="52C54517"/>
    <w:rsid w:val="52C660C9"/>
    <w:rsid w:val="52C93B57"/>
    <w:rsid w:val="52C96EF1"/>
    <w:rsid w:val="52CF29D7"/>
    <w:rsid w:val="52D94139"/>
    <w:rsid w:val="52DD19ED"/>
    <w:rsid w:val="52E249FF"/>
    <w:rsid w:val="52E3567F"/>
    <w:rsid w:val="52ED06D4"/>
    <w:rsid w:val="52F77AA6"/>
    <w:rsid w:val="53001BB3"/>
    <w:rsid w:val="530265E4"/>
    <w:rsid w:val="5303553A"/>
    <w:rsid w:val="530F18BE"/>
    <w:rsid w:val="53143779"/>
    <w:rsid w:val="53170772"/>
    <w:rsid w:val="531A157E"/>
    <w:rsid w:val="531B1336"/>
    <w:rsid w:val="531B3817"/>
    <w:rsid w:val="531B7915"/>
    <w:rsid w:val="53224FD2"/>
    <w:rsid w:val="53264D65"/>
    <w:rsid w:val="532931AC"/>
    <w:rsid w:val="5329727D"/>
    <w:rsid w:val="5333135D"/>
    <w:rsid w:val="5335141B"/>
    <w:rsid w:val="53371545"/>
    <w:rsid w:val="533E5E7B"/>
    <w:rsid w:val="533F3E11"/>
    <w:rsid w:val="53400B7B"/>
    <w:rsid w:val="534555A6"/>
    <w:rsid w:val="534B0EBC"/>
    <w:rsid w:val="534C24FC"/>
    <w:rsid w:val="534D012E"/>
    <w:rsid w:val="53501B3A"/>
    <w:rsid w:val="53551BB1"/>
    <w:rsid w:val="5356472D"/>
    <w:rsid w:val="536129FA"/>
    <w:rsid w:val="5361358E"/>
    <w:rsid w:val="53671704"/>
    <w:rsid w:val="5367646B"/>
    <w:rsid w:val="536A2A38"/>
    <w:rsid w:val="536B0CB9"/>
    <w:rsid w:val="537514ED"/>
    <w:rsid w:val="53764081"/>
    <w:rsid w:val="537940BF"/>
    <w:rsid w:val="537E4B8D"/>
    <w:rsid w:val="53812044"/>
    <w:rsid w:val="53815461"/>
    <w:rsid w:val="53946542"/>
    <w:rsid w:val="53976B51"/>
    <w:rsid w:val="53987838"/>
    <w:rsid w:val="53A5420C"/>
    <w:rsid w:val="53AA3B4C"/>
    <w:rsid w:val="53AB168D"/>
    <w:rsid w:val="53AC30B8"/>
    <w:rsid w:val="53AD1FC2"/>
    <w:rsid w:val="53B07B30"/>
    <w:rsid w:val="53B30752"/>
    <w:rsid w:val="53B351F7"/>
    <w:rsid w:val="53CD3590"/>
    <w:rsid w:val="53D32C63"/>
    <w:rsid w:val="53D500A7"/>
    <w:rsid w:val="53D83A0A"/>
    <w:rsid w:val="53DE6F83"/>
    <w:rsid w:val="53E17EA9"/>
    <w:rsid w:val="53E22B2A"/>
    <w:rsid w:val="53E45E70"/>
    <w:rsid w:val="53EA2B5E"/>
    <w:rsid w:val="53EC58A9"/>
    <w:rsid w:val="53EF3446"/>
    <w:rsid w:val="53F01264"/>
    <w:rsid w:val="53FC0EC4"/>
    <w:rsid w:val="5400395F"/>
    <w:rsid w:val="54055260"/>
    <w:rsid w:val="54062707"/>
    <w:rsid w:val="540968E5"/>
    <w:rsid w:val="541233D7"/>
    <w:rsid w:val="541C389D"/>
    <w:rsid w:val="541C79B0"/>
    <w:rsid w:val="541F29DD"/>
    <w:rsid w:val="542C779E"/>
    <w:rsid w:val="543F7F1E"/>
    <w:rsid w:val="54452630"/>
    <w:rsid w:val="5448592B"/>
    <w:rsid w:val="544C7BFD"/>
    <w:rsid w:val="544D75B2"/>
    <w:rsid w:val="545029C2"/>
    <w:rsid w:val="5450301F"/>
    <w:rsid w:val="5450471C"/>
    <w:rsid w:val="54572A3D"/>
    <w:rsid w:val="546A3A38"/>
    <w:rsid w:val="546F111E"/>
    <w:rsid w:val="547157E7"/>
    <w:rsid w:val="54740DBB"/>
    <w:rsid w:val="5474514E"/>
    <w:rsid w:val="547651B8"/>
    <w:rsid w:val="54780EBC"/>
    <w:rsid w:val="547F33FC"/>
    <w:rsid w:val="54800440"/>
    <w:rsid w:val="548379B4"/>
    <w:rsid w:val="54913870"/>
    <w:rsid w:val="54983912"/>
    <w:rsid w:val="549E53F7"/>
    <w:rsid w:val="54A74DB8"/>
    <w:rsid w:val="54AD1553"/>
    <w:rsid w:val="54B409B1"/>
    <w:rsid w:val="54C2646B"/>
    <w:rsid w:val="54C72B03"/>
    <w:rsid w:val="54CA3C9F"/>
    <w:rsid w:val="54CC128A"/>
    <w:rsid w:val="54CC69D9"/>
    <w:rsid w:val="54CD0339"/>
    <w:rsid w:val="54CD05FB"/>
    <w:rsid w:val="54D51A63"/>
    <w:rsid w:val="54D65F23"/>
    <w:rsid w:val="54E55C69"/>
    <w:rsid w:val="54E94703"/>
    <w:rsid w:val="54EA17CF"/>
    <w:rsid w:val="54EF0AAE"/>
    <w:rsid w:val="54F65EB5"/>
    <w:rsid w:val="54F77F3B"/>
    <w:rsid w:val="54F9507D"/>
    <w:rsid w:val="54FE32FB"/>
    <w:rsid w:val="55090AE5"/>
    <w:rsid w:val="550A6C14"/>
    <w:rsid w:val="550E65CB"/>
    <w:rsid w:val="550F6D7E"/>
    <w:rsid w:val="5518442B"/>
    <w:rsid w:val="551A00DD"/>
    <w:rsid w:val="551D1C18"/>
    <w:rsid w:val="55234AAE"/>
    <w:rsid w:val="552611B1"/>
    <w:rsid w:val="552F37C9"/>
    <w:rsid w:val="553271D3"/>
    <w:rsid w:val="55434CE1"/>
    <w:rsid w:val="55455A43"/>
    <w:rsid w:val="554B700A"/>
    <w:rsid w:val="554F2666"/>
    <w:rsid w:val="5551138E"/>
    <w:rsid w:val="55535008"/>
    <w:rsid w:val="5561078A"/>
    <w:rsid w:val="55622A9D"/>
    <w:rsid w:val="556C60B3"/>
    <w:rsid w:val="557408DD"/>
    <w:rsid w:val="55754E2B"/>
    <w:rsid w:val="55945D37"/>
    <w:rsid w:val="55985442"/>
    <w:rsid w:val="55A65786"/>
    <w:rsid w:val="55AA0F8C"/>
    <w:rsid w:val="55B118DC"/>
    <w:rsid w:val="55B30587"/>
    <w:rsid w:val="55BD3C85"/>
    <w:rsid w:val="55BE44AC"/>
    <w:rsid w:val="55BE4988"/>
    <w:rsid w:val="55C87E5B"/>
    <w:rsid w:val="55CD5E8D"/>
    <w:rsid w:val="55CF01C3"/>
    <w:rsid w:val="55D50823"/>
    <w:rsid w:val="55DB4561"/>
    <w:rsid w:val="55E01AB6"/>
    <w:rsid w:val="55E115CD"/>
    <w:rsid w:val="55EB1F25"/>
    <w:rsid w:val="55F22B97"/>
    <w:rsid w:val="55FD6816"/>
    <w:rsid w:val="560018F2"/>
    <w:rsid w:val="5602321E"/>
    <w:rsid w:val="56023883"/>
    <w:rsid w:val="5612305A"/>
    <w:rsid w:val="5619343F"/>
    <w:rsid w:val="561A64ED"/>
    <w:rsid w:val="561C5C50"/>
    <w:rsid w:val="562231D6"/>
    <w:rsid w:val="562C292F"/>
    <w:rsid w:val="563E5AB2"/>
    <w:rsid w:val="5641535E"/>
    <w:rsid w:val="56450423"/>
    <w:rsid w:val="564C522B"/>
    <w:rsid w:val="56516667"/>
    <w:rsid w:val="565A245E"/>
    <w:rsid w:val="565D153D"/>
    <w:rsid w:val="565D33A7"/>
    <w:rsid w:val="565E5873"/>
    <w:rsid w:val="566B5B1A"/>
    <w:rsid w:val="566D641D"/>
    <w:rsid w:val="56741001"/>
    <w:rsid w:val="56751F76"/>
    <w:rsid w:val="56752FC4"/>
    <w:rsid w:val="56757BFA"/>
    <w:rsid w:val="567D22FB"/>
    <w:rsid w:val="56974290"/>
    <w:rsid w:val="56987115"/>
    <w:rsid w:val="569E1BFB"/>
    <w:rsid w:val="56A071E8"/>
    <w:rsid w:val="56A140E0"/>
    <w:rsid w:val="56A24E81"/>
    <w:rsid w:val="56A501F8"/>
    <w:rsid w:val="56A61AEA"/>
    <w:rsid w:val="56A86BFD"/>
    <w:rsid w:val="56BB76F4"/>
    <w:rsid w:val="56BE75E9"/>
    <w:rsid w:val="56C055FC"/>
    <w:rsid w:val="56C41E6D"/>
    <w:rsid w:val="56CC638C"/>
    <w:rsid w:val="56D16450"/>
    <w:rsid w:val="56D3410E"/>
    <w:rsid w:val="56D51BC3"/>
    <w:rsid w:val="56D97F19"/>
    <w:rsid w:val="56DB67A7"/>
    <w:rsid w:val="56DE76AA"/>
    <w:rsid w:val="56EE13B2"/>
    <w:rsid w:val="56F22C90"/>
    <w:rsid w:val="56FA4FEE"/>
    <w:rsid w:val="570107F1"/>
    <w:rsid w:val="57034083"/>
    <w:rsid w:val="570573AC"/>
    <w:rsid w:val="57071163"/>
    <w:rsid w:val="570C46B0"/>
    <w:rsid w:val="570D06C3"/>
    <w:rsid w:val="570D273C"/>
    <w:rsid w:val="5713431B"/>
    <w:rsid w:val="57150073"/>
    <w:rsid w:val="571A0B0C"/>
    <w:rsid w:val="571D25DB"/>
    <w:rsid w:val="571F2003"/>
    <w:rsid w:val="572365FA"/>
    <w:rsid w:val="572433C6"/>
    <w:rsid w:val="57255860"/>
    <w:rsid w:val="572C6855"/>
    <w:rsid w:val="573518D3"/>
    <w:rsid w:val="5738404A"/>
    <w:rsid w:val="573D3614"/>
    <w:rsid w:val="573D6298"/>
    <w:rsid w:val="57427A11"/>
    <w:rsid w:val="575002B3"/>
    <w:rsid w:val="57501DED"/>
    <w:rsid w:val="57526823"/>
    <w:rsid w:val="575B0AEB"/>
    <w:rsid w:val="57602E4E"/>
    <w:rsid w:val="57634140"/>
    <w:rsid w:val="576524BB"/>
    <w:rsid w:val="5765634A"/>
    <w:rsid w:val="57672312"/>
    <w:rsid w:val="57757D9E"/>
    <w:rsid w:val="577F5FA9"/>
    <w:rsid w:val="577F68C1"/>
    <w:rsid w:val="57812F5F"/>
    <w:rsid w:val="578201E9"/>
    <w:rsid w:val="578D622C"/>
    <w:rsid w:val="57916ECB"/>
    <w:rsid w:val="579608DA"/>
    <w:rsid w:val="57A1557A"/>
    <w:rsid w:val="57A50BBD"/>
    <w:rsid w:val="57B62664"/>
    <w:rsid w:val="57BA17D6"/>
    <w:rsid w:val="57BA2E63"/>
    <w:rsid w:val="57C24C91"/>
    <w:rsid w:val="57C6793C"/>
    <w:rsid w:val="57D255B6"/>
    <w:rsid w:val="57DC2F5F"/>
    <w:rsid w:val="57E431F5"/>
    <w:rsid w:val="57E4663D"/>
    <w:rsid w:val="57E91CD3"/>
    <w:rsid w:val="57EC1DA4"/>
    <w:rsid w:val="57EE6662"/>
    <w:rsid w:val="57FB056D"/>
    <w:rsid w:val="57FC57BD"/>
    <w:rsid w:val="57FF5347"/>
    <w:rsid w:val="57FF6155"/>
    <w:rsid w:val="580140A6"/>
    <w:rsid w:val="580B6E3C"/>
    <w:rsid w:val="580C1C8E"/>
    <w:rsid w:val="580E0C7E"/>
    <w:rsid w:val="58120B37"/>
    <w:rsid w:val="581E5ECA"/>
    <w:rsid w:val="581E62DD"/>
    <w:rsid w:val="582009E7"/>
    <w:rsid w:val="58251AFB"/>
    <w:rsid w:val="58291B84"/>
    <w:rsid w:val="582D49F1"/>
    <w:rsid w:val="58322A63"/>
    <w:rsid w:val="58342026"/>
    <w:rsid w:val="583A4ECC"/>
    <w:rsid w:val="58424556"/>
    <w:rsid w:val="584361F3"/>
    <w:rsid w:val="58457294"/>
    <w:rsid w:val="584618FD"/>
    <w:rsid w:val="585230D2"/>
    <w:rsid w:val="58527C59"/>
    <w:rsid w:val="58532CF4"/>
    <w:rsid w:val="585673E9"/>
    <w:rsid w:val="58597459"/>
    <w:rsid w:val="586A36B1"/>
    <w:rsid w:val="586C3CC6"/>
    <w:rsid w:val="58743043"/>
    <w:rsid w:val="58783CFA"/>
    <w:rsid w:val="588C5200"/>
    <w:rsid w:val="588D3EBA"/>
    <w:rsid w:val="58926996"/>
    <w:rsid w:val="589275AB"/>
    <w:rsid w:val="58950814"/>
    <w:rsid w:val="58951088"/>
    <w:rsid w:val="58961A67"/>
    <w:rsid w:val="58990FC0"/>
    <w:rsid w:val="58A14C54"/>
    <w:rsid w:val="58A45EF0"/>
    <w:rsid w:val="58A64233"/>
    <w:rsid w:val="58A75A19"/>
    <w:rsid w:val="58BB3DC0"/>
    <w:rsid w:val="58BB6E11"/>
    <w:rsid w:val="58C579F9"/>
    <w:rsid w:val="58CE59D9"/>
    <w:rsid w:val="58D029D0"/>
    <w:rsid w:val="58D95B4A"/>
    <w:rsid w:val="58DB0A42"/>
    <w:rsid w:val="58E236F3"/>
    <w:rsid w:val="58E55D25"/>
    <w:rsid w:val="58EA38F6"/>
    <w:rsid w:val="58EF26B0"/>
    <w:rsid w:val="58F1068B"/>
    <w:rsid w:val="58F51818"/>
    <w:rsid w:val="58F64893"/>
    <w:rsid w:val="58FC1414"/>
    <w:rsid w:val="5906339C"/>
    <w:rsid w:val="59131292"/>
    <w:rsid w:val="591D3A2C"/>
    <w:rsid w:val="59232A72"/>
    <w:rsid w:val="59307312"/>
    <w:rsid w:val="593F0870"/>
    <w:rsid w:val="59410FBD"/>
    <w:rsid w:val="5942577F"/>
    <w:rsid w:val="594B1241"/>
    <w:rsid w:val="5961177E"/>
    <w:rsid w:val="59693623"/>
    <w:rsid w:val="596A0C5D"/>
    <w:rsid w:val="597236A0"/>
    <w:rsid w:val="5978585C"/>
    <w:rsid w:val="59792E3F"/>
    <w:rsid w:val="598A07E5"/>
    <w:rsid w:val="59903A66"/>
    <w:rsid w:val="59924FF5"/>
    <w:rsid w:val="599713FD"/>
    <w:rsid w:val="59A1092E"/>
    <w:rsid w:val="59B56492"/>
    <w:rsid w:val="59BC0857"/>
    <w:rsid w:val="59C2661C"/>
    <w:rsid w:val="59C35ACF"/>
    <w:rsid w:val="59C67B01"/>
    <w:rsid w:val="59C72B96"/>
    <w:rsid w:val="59D27A3C"/>
    <w:rsid w:val="59E235F0"/>
    <w:rsid w:val="59E66C46"/>
    <w:rsid w:val="59E87613"/>
    <w:rsid w:val="5A02182B"/>
    <w:rsid w:val="5A03666B"/>
    <w:rsid w:val="5A040749"/>
    <w:rsid w:val="5A086181"/>
    <w:rsid w:val="5A090127"/>
    <w:rsid w:val="5A0D509A"/>
    <w:rsid w:val="5A0D5E4B"/>
    <w:rsid w:val="5A18540C"/>
    <w:rsid w:val="5A2400DF"/>
    <w:rsid w:val="5A2E6F93"/>
    <w:rsid w:val="5A3A3B1E"/>
    <w:rsid w:val="5A3B140A"/>
    <w:rsid w:val="5A3E5DAE"/>
    <w:rsid w:val="5A3F2FA4"/>
    <w:rsid w:val="5A3F6621"/>
    <w:rsid w:val="5A4F4C7B"/>
    <w:rsid w:val="5A550252"/>
    <w:rsid w:val="5A552EDD"/>
    <w:rsid w:val="5A627B80"/>
    <w:rsid w:val="5A64740A"/>
    <w:rsid w:val="5A664CCE"/>
    <w:rsid w:val="5A6C3D65"/>
    <w:rsid w:val="5A6D3FBB"/>
    <w:rsid w:val="5A6E3D3A"/>
    <w:rsid w:val="5A746011"/>
    <w:rsid w:val="5A761C8F"/>
    <w:rsid w:val="5A86267D"/>
    <w:rsid w:val="5A8A5E83"/>
    <w:rsid w:val="5A9027C1"/>
    <w:rsid w:val="5AA20ED6"/>
    <w:rsid w:val="5AA708CA"/>
    <w:rsid w:val="5AAC551A"/>
    <w:rsid w:val="5AAD2D0E"/>
    <w:rsid w:val="5AB362A3"/>
    <w:rsid w:val="5AB37F0E"/>
    <w:rsid w:val="5AC12B18"/>
    <w:rsid w:val="5AC740A4"/>
    <w:rsid w:val="5ACC5ABE"/>
    <w:rsid w:val="5AD04D28"/>
    <w:rsid w:val="5AE81DA9"/>
    <w:rsid w:val="5AEA3D3A"/>
    <w:rsid w:val="5AF02A5F"/>
    <w:rsid w:val="5AF10899"/>
    <w:rsid w:val="5AF15610"/>
    <w:rsid w:val="5AF17F45"/>
    <w:rsid w:val="5AF26392"/>
    <w:rsid w:val="5AFC3475"/>
    <w:rsid w:val="5AFD5309"/>
    <w:rsid w:val="5B0212D6"/>
    <w:rsid w:val="5B0B350F"/>
    <w:rsid w:val="5B0E1F32"/>
    <w:rsid w:val="5B14528B"/>
    <w:rsid w:val="5B200AE5"/>
    <w:rsid w:val="5B224E62"/>
    <w:rsid w:val="5B2A28AF"/>
    <w:rsid w:val="5B2D4026"/>
    <w:rsid w:val="5B2E4BDA"/>
    <w:rsid w:val="5B3B4BE1"/>
    <w:rsid w:val="5B415759"/>
    <w:rsid w:val="5B457ACF"/>
    <w:rsid w:val="5B4F2225"/>
    <w:rsid w:val="5B560B49"/>
    <w:rsid w:val="5B5957C1"/>
    <w:rsid w:val="5B5A1B1E"/>
    <w:rsid w:val="5B5E6F93"/>
    <w:rsid w:val="5B6160B4"/>
    <w:rsid w:val="5B691244"/>
    <w:rsid w:val="5B6F014B"/>
    <w:rsid w:val="5B701BC9"/>
    <w:rsid w:val="5B711F5B"/>
    <w:rsid w:val="5B736AF3"/>
    <w:rsid w:val="5B755DF8"/>
    <w:rsid w:val="5B7C1860"/>
    <w:rsid w:val="5B7F50BF"/>
    <w:rsid w:val="5B867F38"/>
    <w:rsid w:val="5B8740CD"/>
    <w:rsid w:val="5B915005"/>
    <w:rsid w:val="5B9207A8"/>
    <w:rsid w:val="5B9F6B95"/>
    <w:rsid w:val="5B9F7DAC"/>
    <w:rsid w:val="5BA43A12"/>
    <w:rsid w:val="5BA626B5"/>
    <w:rsid w:val="5BB075A4"/>
    <w:rsid w:val="5BB77E50"/>
    <w:rsid w:val="5BBA7EAC"/>
    <w:rsid w:val="5BBB37E1"/>
    <w:rsid w:val="5BBB3896"/>
    <w:rsid w:val="5BCD6444"/>
    <w:rsid w:val="5BDA7D40"/>
    <w:rsid w:val="5BDB0E7C"/>
    <w:rsid w:val="5BE83172"/>
    <w:rsid w:val="5BEC326E"/>
    <w:rsid w:val="5BEF700B"/>
    <w:rsid w:val="5BFD5920"/>
    <w:rsid w:val="5C006DD5"/>
    <w:rsid w:val="5C0553DC"/>
    <w:rsid w:val="5C084AA7"/>
    <w:rsid w:val="5C090254"/>
    <w:rsid w:val="5C0D1C3A"/>
    <w:rsid w:val="5C0F14A9"/>
    <w:rsid w:val="5C111495"/>
    <w:rsid w:val="5C165947"/>
    <w:rsid w:val="5C1739FF"/>
    <w:rsid w:val="5C267225"/>
    <w:rsid w:val="5C2B05FE"/>
    <w:rsid w:val="5C3405B2"/>
    <w:rsid w:val="5C374381"/>
    <w:rsid w:val="5C3972A2"/>
    <w:rsid w:val="5C3A1F1B"/>
    <w:rsid w:val="5C3C0EAD"/>
    <w:rsid w:val="5C415FAD"/>
    <w:rsid w:val="5C4228D6"/>
    <w:rsid w:val="5C426718"/>
    <w:rsid w:val="5C4863C1"/>
    <w:rsid w:val="5C61437B"/>
    <w:rsid w:val="5C691EAD"/>
    <w:rsid w:val="5C6A37F3"/>
    <w:rsid w:val="5C6C3BD8"/>
    <w:rsid w:val="5C7B0A0E"/>
    <w:rsid w:val="5C813C3F"/>
    <w:rsid w:val="5C817958"/>
    <w:rsid w:val="5C8C06C1"/>
    <w:rsid w:val="5C964412"/>
    <w:rsid w:val="5C992D62"/>
    <w:rsid w:val="5C9A5E31"/>
    <w:rsid w:val="5C9D12CA"/>
    <w:rsid w:val="5CA16127"/>
    <w:rsid w:val="5CA6222B"/>
    <w:rsid w:val="5CAD65A1"/>
    <w:rsid w:val="5CB02287"/>
    <w:rsid w:val="5CB2756A"/>
    <w:rsid w:val="5CBE2888"/>
    <w:rsid w:val="5CC24B59"/>
    <w:rsid w:val="5CC26ECC"/>
    <w:rsid w:val="5CC94643"/>
    <w:rsid w:val="5CCC5196"/>
    <w:rsid w:val="5CD27406"/>
    <w:rsid w:val="5CD47D66"/>
    <w:rsid w:val="5CD56D30"/>
    <w:rsid w:val="5CDF5473"/>
    <w:rsid w:val="5CEE4F9D"/>
    <w:rsid w:val="5CEF196B"/>
    <w:rsid w:val="5CF71428"/>
    <w:rsid w:val="5CFD082C"/>
    <w:rsid w:val="5D065556"/>
    <w:rsid w:val="5D080A16"/>
    <w:rsid w:val="5D096D14"/>
    <w:rsid w:val="5D0D3CB6"/>
    <w:rsid w:val="5D1715C6"/>
    <w:rsid w:val="5D1773C9"/>
    <w:rsid w:val="5D1C48F7"/>
    <w:rsid w:val="5D230DD4"/>
    <w:rsid w:val="5D26128D"/>
    <w:rsid w:val="5D277AB7"/>
    <w:rsid w:val="5D34149D"/>
    <w:rsid w:val="5D354BA6"/>
    <w:rsid w:val="5D3B5726"/>
    <w:rsid w:val="5D4178A2"/>
    <w:rsid w:val="5D4601B1"/>
    <w:rsid w:val="5D477744"/>
    <w:rsid w:val="5D494DBC"/>
    <w:rsid w:val="5D4A3C14"/>
    <w:rsid w:val="5D5263E5"/>
    <w:rsid w:val="5D55588E"/>
    <w:rsid w:val="5D5A0839"/>
    <w:rsid w:val="5D5B05DA"/>
    <w:rsid w:val="5D5D66AC"/>
    <w:rsid w:val="5D645705"/>
    <w:rsid w:val="5D6C6D20"/>
    <w:rsid w:val="5D703A41"/>
    <w:rsid w:val="5D742657"/>
    <w:rsid w:val="5D7863E2"/>
    <w:rsid w:val="5D7A5CAC"/>
    <w:rsid w:val="5D7B0085"/>
    <w:rsid w:val="5D7B50D7"/>
    <w:rsid w:val="5D811B5C"/>
    <w:rsid w:val="5D8A4A6D"/>
    <w:rsid w:val="5D8D2AFE"/>
    <w:rsid w:val="5D900FDD"/>
    <w:rsid w:val="5D932479"/>
    <w:rsid w:val="5D9C0818"/>
    <w:rsid w:val="5DAB27C9"/>
    <w:rsid w:val="5DAE1C08"/>
    <w:rsid w:val="5DB221B9"/>
    <w:rsid w:val="5DB27FC9"/>
    <w:rsid w:val="5DB46EC8"/>
    <w:rsid w:val="5DBE23FD"/>
    <w:rsid w:val="5DCB6A18"/>
    <w:rsid w:val="5DCC2DD3"/>
    <w:rsid w:val="5DCD3483"/>
    <w:rsid w:val="5DCE7F66"/>
    <w:rsid w:val="5DD371C8"/>
    <w:rsid w:val="5DE50DB7"/>
    <w:rsid w:val="5DE5396A"/>
    <w:rsid w:val="5DED14F8"/>
    <w:rsid w:val="5DED633B"/>
    <w:rsid w:val="5DF84E51"/>
    <w:rsid w:val="5DFA5275"/>
    <w:rsid w:val="5E0013E1"/>
    <w:rsid w:val="5E0B4121"/>
    <w:rsid w:val="5E143BBA"/>
    <w:rsid w:val="5E1B308C"/>
    <w:rsid w:val="5E1D4EA1"/>
    <w:rsid w:val="5E217FAA"/>
    <w:rsid w:val="5E280528"/>
    <w:rsid w:val="5E3422D3"/>
    <w:rsid w:val="5E3513DA"/>
    <w:rsid w:val="5E3564A3"/>
    <w:rsid w:val="5E39617D"/>
    <w:rsid w:val="5E401CD4"/>
    <w:rsid w:val="5E43222F"/>
    <w:rsid w:val="5E4A25BB"/>
    <w:rsid w:val="5E4A295D"/>
    <w:rsid w:val="5E4E5BD3"/>
    <w:rsid w:val="5E5824E2"/>
    <w:rsid w:val="5E5A73BB"/>
    <w:rsid w:val="5E632099"/>
    <w:rsid w:val="5E6572A9"/>
    <w:rsid w:val="5E692294"/>
    <w:rsid w:val="5E6F4588"/>
    <w:rsid w:val="5E790CA0"/>
    <w:rsid w:val="5E7945FC"/>
    <w:rsid w:val="5E930082"/>
    <w:rsid w:val="5E9E413C"/>
    <w:rsid w:val="5E9E692E"/>
    <w:rsid w:val="5EB13011"/>
    <w:rsid w:val="5EB351E3"/>
    <w:rsid w:val="5EB6009E"/>
    <w:rsid w:val="5EC063F6"/>
    <w:rsid w:val="5ECB5E0F"/>
    <w:rsid w:val="5ED32946"/>
    <w:rsid w:val="5ED72ADB"/>
    <w:rsid w:val="5ED7520E"/>
    <w:rsid w:val="5EDA08BE"/>
    <w:rsid w:val="5EDD4B67"/>
    <w:rsid w:val="5EDF577F"/>
    <w:rsid w:val="5EE278D0"/>
    <w:rsid w:val="5F0D3ABE"/>
    <w:rsid w:val="5F0E22EC"/>
    <w:rsid w:val="5F1800E8"/>
    <w:rsid w:val="5F1A3C82"/>
    <w:rsid w:val="5F1C0991"/>
    <w:rsid w:val="5F1E10BC"/>
    <w:rsid w:val="5F2842B5"/>
    <w:rsid w:val="5F315EDA"/>
    <w:rsid w:val="5F3529B3"/>
    <w:rsid w:val="5F3838CF"/>
    <w:rsid w:val="5F38595C"/>
    <w:rsid w:val="5F3D6069"/>
    <w:rsid w:val="5F413F0A"/>
    <w:rsid w:val="5F433B04"/>
    <w:rsid w:val="5F4911FC"/>
    <w:rsid w:val="5F4A7918"/>
    <w:rsid w:val="5F4B3934"/>
    <w:rsid w:val="5F4C162A"/>
    <w:rsid w:val="5F4E212F"/>
    <w:rsid w:val="5F6C300C"/>
    <w:rsid w:val="5F6F6111"/>
    <w:rsid w:val="5F701D7B"/>
    <w:rsid w:val="5F712545"/>
    <w:rsid w:val="5F727FC6"/>
    <w:rsid w:val="5F733CFF"/>
    <w:rsid w:val="5F7515B9"/>
    <w:rsid w:val="5F781B5A"/>
    <w:rsid w:val="5F7843B4"/>
    <w:rsid w:val="5F7B0DE0"/>
    <w:rsid w:val="5F7F3F91"/>
    <w:rsid w:val="5F821239"/>
    <w:rsid w:val="5F9A5115"/>
    <w:rsid w:val="5FB459C4"/>
    <w:rsid w:val="5FBE789B"/>
    <w:rsid w:val="5FC469D3"/>
    <w:rsid w:val="5FD47E63"/>
    <w:rsid w:val="5FD862BD"/>
    <w:rsid w:val="5FDA0CA9"/>
    <w:rsid w:val="5FDB4098"/>
    <w:rsid w:val="5FDD0F28"/>
    <w:rsid w:val="5FE16EF1"/>
    <w:rsid w:val="5FEB190B"/>
    <w:rsid w:val="5FF32F14"/>
    <w:rsid w:val="5FF973E1"/>
    <w:rsid w:val="5FFE36F1"/>
    <w:rsid w:val="60085D90"/>
    <w:rsid w:val="6012029D"/>
    <w:rsid w:val="60152C6A"/>
    <w:rsid w:val="60265BCA"/>
    <w:rsid w:val="602B739C"/>
    <w:rsid w:val="602D487E"/>
    <w:rsid w:val="602D5C54"/>
    <w:rsid w:val="603A2B07"/>
    <w:rsid w:val="603B585C"/>
    <w:rsid w:val="603B5DC4"/>
    <w:rsid w:val="60443A82"/>
    <w:rsid w:val="60447295"/>
    <w:rsid w:val="604E3377"/>
    <w:rsid w:val="6054527B"/>
    <w:rsid w:val="605A0E0D"/>
    <w:rsid w:val="60622528"/>
    <w:rsid w:val="60633807"/>
    <w:rsid w:val="606C5879"/>
    <w:rsid w:val="60781F5C"/>
    <w:rsid w:val="607D45EE"/>
    <w:rsid w:val="607D47A2"/>
    <w:rsid w:val="607F45F5"/>
    <w:rsid w:val="607F6BA2"/>
    <w:rsid w:val="60811FCD"/>
    <w:rsid w:val="60857C95"/>
    <w:rsid w:val="608D7453"/>
    <w:rsid w:val="608E4E60"/>
    <w:rsid w:val="609417BC"/>
    <w:rsid w:val="6095384F"/>
    <w:rsid w:val="60A03E13"/>
    <w:rsid w:val="60A210EA"/>
    <w:rsid w:val="60A35595"/>
    <w:rsid w:val="60A62BB8"/>
    <w:rsid w:val="60A652C9"/>
    <w:rsid w:val="60A84885"/>
    <w:rsid w:val="60AB1090"/>
    <w:rsid w:val="60AC24A1"/>
    <w:rsid w:val="60B3575F"/>
    <w:rsid w:val="60B96A64"/>
    <w:rsid w:val="60BE3971"/>
    <w:rsid w:val="60C0437E"/>
    <w:rsid w:val="60C36BAA"/>
    <w:rsid w:val="60CD1EF1"/>
    <w:rsid w:val="60D15377"/>
    <w:rsid w:val="60DA02C2"/>
    <w:rsid w:val="60DD13DE"/>
    <w:rsid w:val="60E064E7"/>
    <w:rsid w:val="60E471F1"/>
    <w:rsid w:val="60F600EF"/>
    <w:rsid w:val="60F864F0"/>
    <w:rsid w:val="60FE0649"/>
    <w:rsid w:val="610244AA"/>
    <w:rsid w:val="611304E9"/>
    <w:rsid w:val="611727E7"/>
    <w:rsid w:val="61186287"/>
    <w:rsid w:val="611F5FBC"/>
    <w:rsid w:val="61225BA7"/>
    <w:rsid w:val="612811FE"/>
    <w:rsid w:val="612D2323"/>
    <w:rsid w:val="613045F7"/>
    <w:rsid w:val="613E6D9F"/>
    <w:rsid w:val="614100E3"/>
    <w:rsid w:val="6145645F"/>
    <w:rsid w:val="614B50C1"/>
    <w:rsid w:val="614F3793"/>
    <w:rsid w:val="61517443"/>
    <w:rsid w:val="615F0190"/>
    <w:rsid w:val="616059C4"/>
    <w:rsid w:val="61705025"/>
    <w:rsid w:val="61705093"/>
    <w:rsid w:val="61854BC3"/>
    <w:rsid w:val="618A3CF6"/>
    <w:rsid w:val="618D1D4B"/>
    <w:rsid w:val="618F5E5F"/>
    <w:rsid w:val="61996F91"/>
    <w:rsid w:val="61AA73B3"/>
    <w:rsid w:val="61B00A1E"/>
    <w:rsid w:val="61BE2899"/>
    <w:rsid w:val="61C12928"/>
    <w:rsid w:val="61C35160"/>
    <w:rsid w:val="61C44FB6"/>
    <w:rsid w:val="61CA606C"/>
    <w:rsid w:val="61CC6236"/>
    <w:rsid w:val="61D5069C"/>
    <w:rsid w:val="61DE1513"/>
    <w:rsid w:val="61DE243F"/>
    <w:rsid w:val="61E90426"/>
    <w:rsid w:val="61EC1029"/>
    <w:rsid w:val="61F819C0"/>
    <w:rsid w:val="61FA79CB"/>
    <w:rsid w:val="61FC5DAF"/>
    <w:rsid w:val="62006316"/>
    <w:rsid w:val="620D22EA"/>
    <w:rsid w:val="62143F57"/>
    <w:rsid w:val="621A51B1"/>
    <w:rsid w:val="621B7911"/>
    <w:rsid w:val="62244482"/>
    <w:rsid w:val="622446F8"/>
    <w:rsid w:val="62246796"/>
    <w:rsid w:val="622B7DC9"/>
    <w:rsid w:val="622C2A0D"/>
    <w:rsid w:val="622D3FD2"/>
    <w:rsid w:val="622F4DFD"/>
    <w:rsid w:val="62364403"/>
    <w:rsid w:val="62387CD2"/>
    <w:rsid w:val="623B5647"/>
    <w:rsid w:val="62436960"/>
    <w:rsid w:val="62524272"/>
    <w:rsid w:val="62543E3D"/>
    <w:rsid w:val="625C6B16"/>
    <w:rsid w:val="625F53CD"/>
    <w:rsid w:val="62601DCF"/>
    <w:rsid w:val="62604FDE"/>
    <w:rsid w:val="62630E5A"/>
    <w:rsid w:val="62686625"/>
    <w:rsid w:val="626D425E"/>
    <w:rsid w:val="6270008C"/>
    <w:rsid w:val="62721912"/>
    <w:rsid w:val="627B5880"/>
    <w:rsid w:val="62864DC9"/>
    <w:rsid w:val="628D0640"/>
    <w:rsid w:val="6294124F"/>
    <w:rsid w:val="62946A3E"/>
    <w:rsid w:val="629F5000"/>
    <w:rsid w:val="62AC6701"/>
    <w:rsid w:val="62B56C09"/>
    <w:rsid w:val="62B806AC"/>
    <w:rsid w:val="62C018A7"/>
    <w:rsid w:val="62C2147C"/>
    <w:rsid w:val="62C535DD"/>
    <w:rsid w:val="62CB0188"/>
    <w:rsid w:val="62D17676"/>
    <w:rsid w:val="62D32BA1"/>
    <w:rsid w:val="62D70D8B"/>
    <w:rsid w:val="62DB75E6"/>
    <w:rsid w:val="62DC7A62"/>
    <w:rsid w:val="62DF3109"/>
    <w:rsid w:val="62F176C2"/>
    <w:rsid w:val="63022A0D"/>
    <w:rsid w:val="63027145"/>
    <w:rsid w:val="63073853"/>
    <w:rsid w:val="63075750"/>
    <w:rsid w:val="630F7DBF"/>
    <w:rsid w:val="63170F7C"/>
    <w:rsid w:val="631E0C3B"/>
    <w:rsid w:val="63217423"/>
    <w:rsid w:val="632400BA"/>
    <w:rsid w:val="63246839"/>
    <w:rsid w:val="6328400C"/>
    <w:rsid w:val="633571CC"/>
    <w:rsid w:val="6337416D"/>
    <w:rsid w:val="633B709F"/>
    <w:rsid w:val="6348512C"/>
    <w:rsid w:val="634C3886"/>
    <w:rsid w:val="634D0FFB"/>
    <w:rsid w:val="634D4E50"/>
    <w:rsid w:val="635A0C87"/>
    <w:rsid w:val="635D7FF5"/>
    <w:rsid w:val="63607B63"/>
    <w:rsid w:val="63626B0F"/>
    <w:rsid w:val="636451F8"/>
    <w:rsid w:val="637720C5"/>
    <w:rsid w:val="637C603C"/>
    <w:rsid w:val="638165FF"/>
    <w:rsid w:val="63861D33"/>
    <w:rsid w:val="63864396"/>
    <w:rsid w:val="638B469B"/>
    <w:rsid w:val="638D54CB"/>
    <w:rsid w:val="638F651C"/>
    <w:rsid w:val="63900B3B"/>
    <w:rsid w:val="6391413A"/>
    <w:rsid w:val="63A666E4"/>
    <w:rsid w:val="63A8144B"/>
    <w:rsid w:val="63AC40B1"/>
    <w:rsid w:val="63AC7B01"/>
    <w:rsid w:val="63AF3A37"/>
    <w:rsid w:val="63B069B7"/>
    <w:rsid w:val="63C02AAE"/>
    <w:rsid w:val="63C71CF8"/>
    <w:rsid w:val="63C85E2C"/>
    <w:rsid w:val="63D20D97"/>
    <w:rsid w:val="63D45FA7"/>
    <w:rsid w:val="63D62994"/>
    <w:rsid w:val="63D92960"/>
    <w:rsid w:val="63DB5F77"/>
    <w:rsid w:val="63E16321"/>
    <w:rsid w:val="63E35F3A"/>
    <w:rsid w:val="63EB7700"/>
    <w:rsid w:val="63EC4F0E"/>
    <w:rsid w:val="63F04C3D"/>
    <w:rsid w:val="63FF4C2E"/>
    <w:rsid w:val="6408039E"/>
    <w:rsid w:val="640E5FB2"/>
    <w:rsid w:val="64145A8E"/>
    <w:rsid w:val="64194B49"/>
    <w:rsid w:val="6419743D"/>
    <w:rsid w:val="641E2FFD"/>
    <w:rsid w:val="642D197F"/>
    <w:rsid w:val="64351649"/>
    <w:rsid w:val="64367418"/>
    <w:rsid w:val="64456823"/>
    <w:rsid w:val="6447337B"/>
    <w:rsid w:val="6448091E"/>
    <w:rsid w:val="64505561"/>
    <w:rsid w:val="6451172E"/>
    <w:rsid w:val="645B218B"/>
    <w:rsid w:val="645C5E10"/>
    <w:rsid w:val="645E7592"/>
    <w:rsid w:val="646949A2"/>
    <w:rsid w:val="64752152"/>
    <w:rsid w:val="64786CCF"/>
    <w:rsid w:val="647B617A"/>
    <w:rsid w:val="64802D6E"/>
    <w:rsid w:val="6481513B"/>
    <w:rsid w:val="6481537F"/>
    <w:rsid w:val="64882347"/>
    <w:rsid w:val="648A1937"/>
    <w:rsid w:val="648D06CB"/>
    <w:rsid w:val="64A37A75"/>
    <w:rsid w:val="64A878AC"/>
    <w:rsid w:val="64AD3929"/>
    <w:rsid w:val="64B76394"/>
    <w:rsid w:val="64B7696A"/>
    <w:rsid w:val="64BB59A1"/>
    <w:rsid w:val="64BF2823"/>
    <w:rsid w:val="64BF41C7"/>
    <w:rsid w:val="64C44259"/>
    <w:rsid w:val="64D2262E"/>
    <w:rsid w:val="64D30230"/>
    <w:rsid w:val="64D75E21"/>
    <w:rsid w:val="64D81ED5"/>
    <w:rsid w:val="64D85ADD"/>
    <w:rsid w:val="64DF719D"/>
    <w:rsid w:val="64E25D83"/>
    <w:rsid w:val="64E45A26"/>
    <w:rsid w:val="64EE1E61"/>
    <w:rsid w:val="64F74413"/>
    <w:rsid w:val="64FA0716"/>
    <w:rsid w:val="64FC08D0"/>
    <w:rsid w:val="650B4776"/>
    <w:rsid w:val="6511271A"/>
    <w:rsid w:val="65163A2B"/>
    <w:rsid w:val="65182A1E"/>
    <w:rsid w:val="65194470"/>
    <w:rsid w:val="65341AB7"/>
    <w:rsid w:val="653863C9"/>
    <w:rsid w:val="653A5CB2"/>
    <w:rsid w:val="653C5CE7"/>
    <w:rsid w:val="653D25A0"/>
    <w:rsid w:val="653D34A1"/>
    <w:rsid w:val="653F05F7"/>
    <w:rsid w:val="654C0A01"/>
    <w:rsid w:val="654C400E"/>
    <w:rsid w:val="654C4118"/>
    <w:rsid w:val="65510B4D"/>
    <w:rsid w:val="655C6B59"/>
    <w:rsid w:val="65620663"/>
    <w:rsid w:val="656330F6"/>
    <w:rsid w:val="65672507"/>
    <w:rsid w:val="656F497A"/>
    <w:rsid w:val="65752979"/>
    <w:rsid w:val="65783DAD"/>
    <w:rsid w:val="658538FB"/>
    <w:rsid w:val="65891C7A"/>
    <w:rsid w:val="65931D3A"/>
    <w:rsid w:val="659822DD"/>
    <w:rsid w:val="659E0CD8"/>
    <w:rsid w:val="65A3380C"/>
    <w:rsid w:val="65AB663F"/>
    <w:rsid w:val="65B44DD6"/>
    <w:rsid w:val="65C04F34"/>
    <w:rsid w:val="65C51E70"/>
    <w:rsid w:val="65C65A1B"/>
    <w:rsid w:val="65D21F83"/>
    <w:rsid w:val="65D33B65"/>
    <w:rsid w:val="65D36CD9"/>
    <w:rsid w:val="65D55F41"/>
    <w:rsid w:val="65D60201"/>
    <w:rsid w:val="65D95B4E"/>
    <w:rsid w:val="65DC4F6E"/>
    <w:rsid w:val="65DF238C"/>
    <w:rsid w:val="65DF7A88"/>
    <w:rsid w:val="65E174B2"/>
    <w:rsid w:val="65E413AB"/>
    <w:rsid w:val="65EC2F32"/>
    <w:rsid w:val="65EE03E4"/>
    <w:rsid w:val="65F01AB4"/>
    <w:rsid w:val="65F80F25"/>
    <w:rsid w:val="65FE7F42"/>
    <w:rsid w:val="660A19DA"/>
    <w:rsid w:val="660B3DE6"/>
    <w:rsid w:val="66100967"/>
    <w:rsid w:val="661800B4"/>
    <w:rsid w:val="662720D2"/>
    <w:rsid w:val="66284531"/>
    <w:rsid w:val="662C5B0A"/>
    <w:rsid w:val="663219D1"/>
    <w:rsid w:val="66324EF9"/>
    <w:rsid w:val="6633344D"/>
    <w:rsid w:val="66360823"/>
    <w:rsid w:val="663A5586"/>
    <w:rsid w:val="663D6E00"/>
    <w:rsid w:val="66450C85"/>
    <w:rsid w:val="66521A19"/>
    <w:rsid w:val="66527316"/>
    <w:rsid w:val="6653533F"/>
    <w:rsid w:val="6655292C"/>
    <w:rsid w:val="665B0253"/>
    <w:rsid w:val="66646397"/>
    <w:rsid w:val="666854B4"/>
    <w:rsid w:val="666B183F"/>
    <w:rsid w:val="666D301C"/>
    <w:rsid w:val="66751ADC"/>
    <w:rsid w:val="6682631E"/>
    <w:rsid w:val="66892A30"/>
    <w:rsid w:val="66937355"/>
    <w:rsid w:val="669C06FE"/>
    <w:rsid w:val="669D0FFF"/>
    <w:rsid w:val="669F19F6"/>
    <w:rsid w:val="66A37B86"/>
    <w:rsid w:val="66A57B20"/>
    <w:rsid w:val="66A90234"/>
    <w:rsid w:val="66B622B4"/>
    <w:rsid w:val="66B87247"/>
    <w:rsid w:val="66BA77D5"/>
    <w:rsid w:val="66C1139D"/>
    <w:rsid w:val="66CC53FC"/>
    <w:rsid w:val="66D12486"/>
    <w:rsid w:val="66D4710B"/>
    <w:rsid w:val="66D87459"/>
    <w:rsid w:val="66DC5B3F"/>
    <w:rsid w:val="66DE44BD"/>
    <w:rsid w:val="66E03F2D"/>
    <w:rsid w:val="66E36BE5"/>
    <w:rsid w:val="66E56267"/>
    <w:rsid w:val="66EC59AD"/>
    <w:rsid w:val="66EE480F"/>
    <w:rsid w:val="66F12872"/>
    <w:rsid w:val="66F35B7C"/>
    <w:rsid w:val="67042386"/>
    <w:rsid w:val="67097787"/>
    <w:rsid w:val="670E496E"/>
    <w:rsid w:val="67105321"/>
    <w:rsid w:val="671B41C4"/>
    <w:rsid w:val="671C652D"/>
    <w:rsid w:val="6720677D"/>
    <w:rsid w:val="67235EA0"/>
    <w:rsid w:val="67271EEC"/>
    <w:rsid w:val="6732288F"/>
    <w:rsid w:val="67381AD5"/>
    <w:rsid w:val="674711AB"/>
    <w:rsid w:val="675628A1"/>
    <w:rsid w:val="675D15D1"/>
    <w:rsid w:val="675E2286"/>
    <w:rsid w:val="67606959"/>
    <w:rsid w:val="67644C01"/>
    <w:rsid w:val="676A2620"/>
    <w:rsid w:val="676E7F3D"/>
    <w:rsid w:val="67704FAD"/>
    <w:rsid w:val="67740045"/>
    <w:rsid w:val="677D22FC"/>
    <w:rsid w:val="677E0A58"/>
    <w:rsid w:val="677E4332"/>
    <w:rsid w:val="67836156"/>
    <w:rsid w:val="678F7376"/>
    <w:rsid w:val="679119E4"/>
    <w:rsid w:val="67A27CC2"/>
    <w:rsid w:val="67A60B9C"/>
    <w:rsid w:val="67A844C9"/>
    <w:rsid w:val="67AD0F3F"/>
    <w:rsid w:val="67B5198D"/>
    <w:rsid w:val="67C10FDD"/>
    <w:rsid w:val="67C271FD"/>
    <w:rsid w:val="67C666C3"/>
    <w:rsid w:val="67C66748"/>
    <w:rsid w:val="67D30997"/>
    <w:rsid w:val="67D41DA8"/>
    <w:rsid w:val="67D42E71"/>
    <w:rsid w:val="67E2219A"/>
    <w:rsid w:val="67E33455"/>
    <w:rsid w:val="67EF30B3"/>
    <w:rsid w:val="67F711F8"/>
    <w:rsid w:val="68000F49"/>
    <w:rsid w:val="680523D0"/>
    <w:rsid w:val="68061993"/>
    <w:rsid w:val="680B1828"/>
    <w:rsid w:val="680B2E8B"/>
    <w:rsid w:val="680D0939"/>
    <w:rsid w:val="68163CC3"/>
    <w:rsid w:val="6822058E"/>
    <w:rsid w:val="68237FD2"/>
    <w:rsid w:val="68286E52"/>
    <w:rsid w:val="68302308"/>
    <w:rsid w:val="68304D12"/>
    <w:rsid w:val="68375D49"/>
    <w:rsid w:val="68394CF3"/>
    <w:rsid w:val="68454A5B"/>
    <w:rsid w:val="684557CE"/>
    <w:rsid w:val="68455D9A"/>
    <w:rsid w:val="68466D27"/>
    <w:rsid w:val="685066EB"/>
    <w:rsid w:val="6851197F"/>
    <w:rsid w:val="68642F50"/>
    <w:rsid w:val="6866152A"/>
    <w:rsid w:val="686D127F"/>
    <w:rsid w:val="687067F6"/>
    <w:rsid w:val="68747A3A"/>
    <w:rsid w:val="687F65AF"/>
    <w:rsid w:val="68802A41"/>
    <w:rsid w:val="68864EF9"/>
    <w:rsid w:val="688961EE"/>
    <w:rsid w:val="68901B29"/>
    <w:rsid w:val="689078F6"/>
    <w:rsid w:val="689304A0"/>
    <w:rsid w:val="689E7816"/>
    <w:rsid w:val="68B915C0"/>
    <w:rsid w:val="68B93D81"/>
    <w:rsid w:val="68C04958"/>
    <w:rsid w:val="68C05FB4"/>
    <w:rsid w:val="68C33DD2"/>
    <w:rsid w:val="68CD789A"/>
    <w:rsid w:val="68DE61FF"/>
    <w:rsid w:val="68E027D7"/>
    <w:rsid w:val="68E32D1E"/>
    <w:rsid w:val="68E3352F"/>
    <w:rsid w:val="68E6046D"/>
    <w:rsid w:val="68E65278"/>
    <w:rsid w:val="68EA0D10"/>
    <w:rsid w:val="68EC04DE"/>
    <w:rsid w:val="68FC7FC0"/>
    <w:rsid w:val="69022832"/>
    <w:rsid w:val="690331E8"/>
    <w:rsid w:val="690658B5"/>
    <w:rsid w:val="69093CAF"/>
    <w:rsid w:val="690947E8"/>
    <w:rsid w:val="69094A0A"/>
    <w:rsid w:val="690B7520"/>
    <w:rsid w:val="690C7A3D"/>
    <w:rsid w:val="691200AE"/>
    <w:rsid w:val="69152147"/>
    <w:rsid w:val="6924543E"/>
    <w:rsid w:val="693154EC"/>
    <w:rsid w:val="69317031"/>
    <w:rsid w:val="69413B3B"/>
    <w:rsid w:val="694D1EC2"/>
    <w:rsid w:val="694F1C0F"/>
    <w:rsid w:val="69517DBF"/>
    <w:rsid w:val="69547E70"/>
    <w:rsid w:val="69594552"/>
    <w:rsid w:val="695C7E7A"/>
    <w:rsid w:val="69636B13"/>
    <w:rsid w:val="69647D29"/>
    <w:rsid w:val="697046EC"/>
    <w:rsid w:val="697224D8"/>
    <w:rsid w:val="697E74B0"/>
    <w:rsid w:val="69880A72"/>
    <w:rsid w:val="6992357A"/>
    <w:rsid w:val="69A54114"/>
    <w:rsid w:val="69A70DD4"/>
    <w:rsid w:val="69AB1271"/>
    <w:rsid w:val="69B82F3E"/>
    <w:rsid w:val="69B868E7"/>
    <w:rsid w:val="69C76718"/>
    <w:rsid w:val="69C7697A"/>
    <w:rsid w:val="69C93883"/>
    <w:rsid w:val="69CF00C0"/>
    <w:rsid w:val="69D60658"/>
    <w:rsid w:val="69D85016"/>
    <w:rsid w:val="69DA61FE"/>
    <w:rsid w:val="69E67C99"/>
    <w:rsid w:val="69EE19C0"/>
    <w:rsid w:val="69F36455"/>
    <w:rsid w:val="69FF002A"/>
    <w:rsid w:val="69FF298F"/>
    <w:rsid w:val="6A00196F"/>
    <w:rsid w:val="6A0456C2"/>
    <w:rsid w:val="6A080B86"/>
    <w:rsid w:val="6A0A518E"/>
    <w:rsid w:val="6A0B1654"/>
    <w:rsid w:val="6A21224E"/>
    <w:rsid w:val="6A220495"/>
    <w:rsid w:val="6A223BC7"/>
    <w:rsid w:val="6A2343C6"/>
    <w:rsid w:val="6A272D1B"/>
    <w:rsid w:val="6A2D657D"/>
    <w:rsid w:val="6A305C56"/>
    <w:rsid w:val="6A396236"/>
    <w:rsid w:val="6A441179"/>
    <w:rsid w:val="6A4B0BF9"/>
    <w:rsid w:val="6A5318E5"/>
    <w:rsid w:val="6A5339AC"/>
    <w:rsid w:val="6A5D6D7D"/>
    <w:rsid w:val="6A60492C"/>
    <w:rsid w:val="6A623645"/>
    <w:rsid w:val="6A6D40BC"/>
    <w:rsid w:val="6A7E63F7"/>
    <w:rsid w:val="6A817C93"/>
    <w:rsid w:val="6A83685F"/>
    <w:rsid w:val="6A871F0C"/>
    <w:rsid w:val="6A88015D"/>
    <w:rsid w:val="6A90546D"/>
    <w:rsid w:val="6AA03D7A"/>
    <w:rsid w:val="6AA25375"/>
    <w:rsid w:val="6AA320BF"/>
    <w:rsid w:val="6AAF0FDA"/>
    <w:rsid w:val="6AB0283E"/>
    <w:rsid w:val="6AB5211E"/>
    <w:rsid w:val="6ABA0708"/>
    <w:rsid w:val="6ABD3824"/>
    <w:rsid w:val="6ABF0E6A"/>
    <w:rsid w:val="6AD053F6"/>
    <w:rsid w:val="6AD21B25"/>
    <w:rsid w:val="6AD97F5A"/>
    <w:rsid w:val="6ADC7A66"/>
    <w:rsid w:val="6AE61B0C"/>
    <w:rsid w:val="6AF35A96"/>
    <w:rsid w:val="6AF42FD3"/>
    <w:rsid w:val="6AFB7E7A"/>
    <w:rsid w:val="6AFC3FA2"/>
    <w:rsid w:val="6B05038A"/>
    <w:rsid w:val="6B054A14"/>
    <w:rsid w:val="6B132584"/>
    <w:rsid w:val="6B146693"/>
    <w:rsid w:val="6B1B74FE"/>
    <w:rsid w:val="6B2B66DF"/>
    <w:rsid w:val="6B2C5B02"/>
    <w:rsid w:val="6B310666"/>
    <w:rsid w:val="6B462208"/>
    <w:rsid w:val="6B4F6174"/>
    <w:rsid w:val="6B54553F"/>
    <w:rsid w:val="6B5D050E"/>
    <w:rsid w:val="6B6533D4"/>
    <w:rsid w:val="6B6F6D82"/>
    <w:rsid w:val="6B705245"/>
    <w:rsid w:val="6B732A18"/>
    <w:rsid w:val="6B776695"/>
    <w:rsid w:val="6B780C01"/>
    <w:rsid w:val="6B8829BB"/>
    <w:rsid w:val="6B8A0EE1"/>
    <w:rsid w:val="6B993209"/>
    <w:rsid w:val="6B9A59AF"/>
    <w:rsid w:val="6BA076F0"/>
    <w:rsid w:val="6BA27C6A"/>
    <w:rsid w:val="6BB045A0"/>
    <w:rsid w:val="6BB22AFA"/>
    <w:rsid w:val="6BB46EEB"/>
    <w:rsid w:val="6BB74503"/>
    <w:rsid w:val="6BC3763E"/>
    <w:rsid w:val="6BC511F3"/>
    <w:rsid w:val="6BC568DE"/>
    <w:rsid w:val="6BCA00F3"/>
    <w:rsid w:val="6BCA4A4A"/>
    <w:rsid w:val="6BCC2F38"/>
    <w:rsid w:val="6BCF78BD"/>
    <w:rsid w:val="6BD064AE"/>
    <w:rsid w:val="6BDA0C2C"/>
    <w:rsid w:val="6BDA756C"/>
    <w:rsid w:val="6BE452B3"/>
    <w:rsid w:val="6BE76664"/>
    <w:rsid w:val="6BE93852"/>
    <w:rsid w:val="6BEA45EB"/>
    <w:rsid w:val="6BEB340B"/>
    <w:rsid w:val="6BF12FBF"/>
    <w:rsid w:val="6BF132EB"/>
    <w:rsid w:val="6BFA18AE"/>
    <w:rsid w:val="6BFC1C27"/>
    <w:rsid w:val="6BFE0F82"/>
    <w:rsid w:val="6BFF36AF"/>
    <w:rsid w:val="6C0D2EA7"/>
    <w:rsid w:val="6C1215B1"/>
    <w:rsid w:val="6C144674"/>
    <w:rsid w:val="6C292952"/>
    <w:rsid w:val="6C2B5857"/>
    <w:rsid w:val="6C2E38EE"/>
    <w:rsid w:val="6C3154B4"/>
    <w:rsid w:val="6C3811AE"/>
    <w:rsid w:val="6C426140"/>
    <w:rsid w:val="6C435274"/>
    <w:rsid w:val="6C4A4F10"/>
    <w:rsid w:val="6C4E0249"/>
    <w:rsid w:val="6C4E21DC"/>
    <w:rsid w:val="6C4E6D95"/>
    <w:rsid w:val="6C5052D8"/>
    <w:rsid w:val="6C515BC7"/>
    <w:rsid w:val="6C5164C2"/>
    <w:rsid w:val="6C576A17"/>
    <w:rsid w:val="6C602F3C"/>
    <w:rsid w:val="6C647BD2"/>
    <w:rsid w:val="6C687F3A"/>
    <w:rsid w:val="6C6D225A"/>
    <w:rsid w:val="6C774EA5"/>
    <w:rsid w:val="6C77611C"/>
    <w:rsid w:val="6C7D1340"/>
    <w:rsid w:val="6C7D698F"/>
    <w:rsid w:val="6C7E59BB"/>
    <w:rsid w:val="6C813B69"/>
    <w:rsid w:val="6C81781A"/>
    <w:rsid w:val="6C8A7F22"/>
    <w:rsid w:val="6C8C6AD0"/>
    <w:rsid w:val="6C8E2466"/>
    <w:rsid w:val="6C987D32"/>
    <w:rsid w:val="6C9D26A9"/>
    <w:rsid w:val="6CA87D1E"/>
    <w:rsid w:val="6CAE3BE5"/>
    <w:rsid w:val="6CB561E6"/>
    <w:rsid w:val="6CC02E2E"/>
    <w:rsid w:val="6CCC1137"/>
    <w:rsid w:val="6CD04B41"/>
    <w:rsid w:val="6CD4339A"/>
    <w:rsid w:val="6CD9608A"/>
    <w:rsid w:val="6CD96E67"/>
    <w:rsid w:val="6CE1667B"/>
    <w:rsid w:val="6CE27AF9"/>
    <w:rsid w:val="6CE30221"/>
    <w:rsid w:val="6CE66A55"/>
    <w:rsid w:val="6CE971A7"/>
    <w:rsid w:val="6CF35220"/>
    <w:rsid w:val="6CF83B19"/>
    <w:rsid w:val="6CFD6FF9"/>
    <w:rsid w:val="6D001895"/>
    <w:rsid w:val="6D087E1C"/>
    <w:rsid w:val="6D0A50E5"/>
    <w:rsid w:val="6D0F41B8"/>
    <w:rsid w:val="6D1024B3"/>
    <w:rsid w:val="6D1B06DE"/>
    <w:rsid w:val="6D1B4843"/>
    <w:rsid w:val="6D2422C7"/>
    <w:rsid w:val="6D242CB5"/>
    <w:rsid w:val="6D324CAD"/>
    <w:rsid w:val="6D347EA9"/>
    <w:rsid w:val="6D396037"/>
    <w:rsid w:val="6D3A1767"/>
    <w:rsid w:val="6D3B587B"/>
    <w:rsid w:val="6D4658F8"/>
    <w:rsid w:val="6D470E62"/>
    <w:rsid w:val="6D477D6C"/>
    <w:rsid w:val="6D514AC3"/>
    <w:rsid w:val="6D594AFC"/>
    <w:rsid w:val="6D5B1BDC"/>
    <w:rsid w:val="6D5E2775"/>
    <w:rsid w:val="6D6120F6"/>
    <w:rsid w:val="6D694605"/>
    <w:rsid w:val="6D696D90"/>
    <w:rsid w:val="6D791985"/>
    <w:rsid w:val="6D815288"/>
    <w:rsid w:val="6D8252FD"/>
    <w:rsid w:val="6D860555"/>
    <w:rsid w:val="6D863AFA"/>
    <w:rsid w:val="6D8B4DB4"/>
    <w:rsid w:val="6D8C0E44"/>
    <w:rsid w:val="6D8C6820"/>
    <w:rsid w:val="6D997050"/>
    <w:rsid w:val="6DAD3869"/>
    <w:rsid w:val="6DB21075"/>
    <w:rsid w:val="6DB373AB"/>
    <w:rsid w:val="6DB83C62"/>
    <w:rsid w:val="6DBB120B"/>
    <w:rsid w:val="6DBE1A43"/>
    <w:rsid w:val="6DCF476F"/>
    <w:rsid w:val="6DD2377C"/>
    <w:rsid w:val="6DD67667"/>
    <w:rsid w:val="6DE216EC"/>
    <w:rsid w:val="6DE91620"/>
    <w:rsid w:val="6DEF121C"/>
    <w:rsid w:val="6DF04651"/>
    <w:rsid w:val="6DF218DD"/>
    <w:rsid w:val="6DF73BD5"/>
    <w:rsid w:val="6DF825E5"/>
    <w:rsid w:val="6DF84F4E"/>
    <w:rsid w:val="6DFB4166"/>
    <w:rsid w:val="6E010E59"/>
    <w:rsid w:val="6E097FD1"/>
    <w:rsid w:val="6E0D3650"/>
    <w:rsid w:val="6E127D2E"/>
    <w:rsid w:val="6E133AF0"/>
    <w:rsid w:val="6E19169F"/>
    <w:rsid w:val="6E1E51E1"/>
    <w:rsid w:val="6E257201"/>
    <w:rsid w:val="6E282CF9"/>
    <w:rsid w:val="6E290FBC"/>
    <w:rsid w:val="6E2D2C94"/>
    <w:rsid w:val="6E367A4A"/>
    <w:rsid w:val="6E437CBC"/>
    <w:rsid w:val="6E461B04"/>
    <w:rsid w:val="6E4B0A78"/>
    <w:rsid w:val="6E4C6624"/>
    <w:rsid w:val="6E5209DA"/>
    <w:rsid w:val="6E582A2C"/>
    <w:rsid w:val="6E6011F9"/>
    <w:rsid w:val="6E665243"/>
    <w:rsid w:val="6E6B0CED"/>
    <w:rsid w:val="6E6E1524"/>
    <w:rsid w:val="6E6F6118"/>
    <w:rsid w:val="6E746946"/>
    <w:rsid w:val="6E7E2890"/>
    <w:rsid w:val="6E825693"/>
    <w:rsid w:val="6E987637"/>
    <w:rsid w:val="6EA13BFA"/>
    <w:rsid w:val="6EA5293A"/>
    <w:rsid w:val="6EA66674"/>
    <w:rsid w:val="6EAC2128"/>
    <w:rsid w:val="6EAD4E1A"/>
    <w:rsid w:val="6EB753AA"/>
    <w:rsid w:val="6EB865EB"/>
    <w:rsid w:val="6EBB0EAA"/>
    <w:rsid w:val="6EBC4BB1"/>
    <w:rsid w:val="6EBF13F0"/>
    <w:rsid w:val="6EC15B86"/>
    <w:rsid w:val="6EC312A5"/>
    <w:rsid w:val="6EC33B32"/>
    <w:rsid w:val="6EC4047C"/>
    <w:rsid w:val="6EC45E34"/>
    <w:rsid w:val="6EC543D7"/>
    <w:rsid w:val="6EE1559A"/>
    <w:rsid w:val="6EE54ACA"/>
    <w:rsid w:val="6EE73F93"/>
    <w:rsid w:val="6EE9442B"/>
    <w:rsid w:val="6EEC34F6"/>
    <w:rsid w:val="6EEC7DA0"/>
    <w:rsid w:val="6EFC3FBE"/>
    <w:rsid w:val="6EFF229C"/>
    <w:rsid w:val="6F01348F"/>
    <w:rsid w:val="6F162C7A"/>
    <w:rsid w:val="6F1A2251"/>
    <w:rsid w:val="6F1B1A49"/>
    <w:rsid w:val="6F2A2CC1"/>
    <w:rsid w:val="6F2A5224"/>
    <w:rsid w:val="6F2A675D"/>
    <w:rsid w:val="6F2A7470"/>
    <w:rsid w:val="6F2F2CD4"/>
    <w:rsid w:val="6F2F50D6"/>
    <w:rsid w:val="6F335839"/>
    <w:rsid w:val="6F3616D1"/>
    <w:rsid w:val="6F3E207C"/>
    <w:rsid w:val="6F4B7167"/>
    <w:rsid w:val="6F4C20F1"/>
    <w:rsid w:val="6F5B539B"/>
    <w:rsid w:val="6F5C6265"/>
    <w:rsid w:val="6F6265B6"/>
    <w:rsid w:val="6F656992"/>
    <w:rsid w:val="6F6A7293"/>
    <w:rsid w:val="6F703475"/>
    <w:rsid w:val="6F714A2A"/>
    <w:rsid w:val="6F7A707A"/>
    <w:rsid w:val="6F7C531C"/>
    <w:rsid w:val="6F8004C0"/>
    <w:rsid w:val="6F844DBC"/>
    <w:rsid w:val="6F8715EB"/>
    <w:rsid w:val="6F8725F7"/>
    <w:rsid w:val="6F8A1396"/>
    <w:rsid w:val="6F8A3070"/>
    <w:rsid w:val="6F8C1686"/>
    <w:rsid w:val="6F8E6F35"/>
    <w:rsid w:val="6F9260E1"/>
    <w:rsid w:val="6F951972"/>
    <w:rsid w:val="6F9E661C"/>
    <w:rsid w:val="6FAB02F7"/>
    <w:rsid w:val="6FAC4288"/>
    <w:rsid w:val="6FB21700"/>
    <w:rsid w:val="6FBD603F"/>
    <w:rsid w:val="6FBD6232"/>
    <w:rsid w:val="6FBE5979"/>
    <w:rsid w:val="6FC01F8F"/>
    <w:rsid w:val="6FC82C63"/>
    <w:rsid w:val="6FD1485E"/>
    <w:rsid w:val="6FDA47D1"/>
    <w:rsid w:val="6FDB027F"/>
    <w:rsid w:val="6FDC1942"/>
    <w:rsid w:val="6FE06C43"/>
    <w:rsid w:val="6FE20202"/>
    <w:rsid w:val="6FE50155"/>
    <w:rsid w:val="6FE64BBA"/>
    <w:rsid w:val="6FEC283D"/>
    <w:rsid w:val="6FF92E76"/>
    <w:rsid w:val="6FF93153"/>
    <w:rsid w:val="6FFA2C08"/>
    <w:rsid w:val="70004D4A"/>
    <w:rsid w:val="70022AEB"/>
    <w:rsid w:val="700B4695"/>
    <w:rsid w:val="700C21C5"/>
    <w:rsid w:val="701557A0"/>
    <w:rsid w:val="702A275D"/>
    <w:rsid w:val="70315516"/>
    <w:rsid w:val="70363200"/>
    <w:rsid w:val="703663BA"/>
    <w:rsid w:val="70391A57"/>
    <w:rsid w:val="703D65DA"/>
    <w:rsid w:val="703E0BE8"/>
    <w:rsid w:val="703F5BF3"/>
    <w:rsid w:val="704C260E"/>
    <w:rsid w:val="70543CE2"/>
    <w:rsid w:val="70561F0A"/>
    <w:rsid w:val="705A03F6"/>
    <w:rsid w:val="705C0DF8"/>
    <w:rsid w:val="706458F5"/>
    <w:rsid w:val="7071791F"/>
    <w:rsid w:val="70752D52"/>
    <w:rsid w:val="707675BB"/>
    <w:rsid w:val="70780A97"/>
    <w:rsid w:val="708934E6"/>
    <w:rsid w:val="708E3A6A"/>
    <w:rsid w:val="709D2DEC"/>
    <w:rsid w:val="709F20B3"/>
    <w:rsid w:val="70A01767"/>
    <w:rsid w:val="70AA1CC9"/>
    <w:rsid w:val="70AA46DF"/>
    <w:rsid w:val="70AE6CA6"/>
    <w:rsid w:val="70B11B79"/>
    <w:rsid w:val="70B26FDB"/>
    <w:rsid w:val="70B82C38"/>
    <w:rsid w:val="70B82FD3"/>
    <w:rsid w:val="70B95679"/>
    <w:rsid w:val="70C224AB"/>
    <w:rsid w:val="70C432B4"/>
    <w:rsid w:val="70C5722B"/>
    <w:rsid w:val="70CC28E1"/>
    <w:rsid w:val="70CF4244"/>
    <w:rsid w:val="70D60A97"/>
    <w:rsid w:val="70D6768E"/>
    <w:rsid w:val="70D676F5"/>
    <w:rsid w:val="70D82848"/>
    <w:rsid w:val="70DF7ED0"/>
    <w:rsid w:val="70E471B7"/>
    <w:rsid w:val="70E57CA9"/>
    <w:rsid w:val="70EC65A4"/>
    <w:rsid w:val="70F54CE8"/>
    <w:rsid w:val="70F82D59"/>
    <w:rsid w:val="70FA47AB"/>
    <w:rsid w:val="7100656E"/>
    <w:rsid w:val="710515F9"/>
    <w:rsid w:val="711501FC"/>
    <w:rsid w:val="71152AFE"/>
    <w:rsid w:val="711606F7"/>
    <w:rsid w:val="71190661"/>
    <w:rsid w:val="71275730"/>
    <w:rsid w:val="71276F72"/>
    <w:rsid w:val="713043DC"/>
    <w:rsid w:val="71326221"/>
    <w:rsid w:val="7135076B"/>
    <w:rsid w:val="7136359B"/>
    <w:rsid w:val="713E3127"/>
    <w:rsid w:val="713F69F8"/>
    <w:rsid w:val="7145339D"/>
    <w:rsid w:val="7145635C"/>
    <w:rsid w:val="714A4158"/>
    <w:rsid w:val="714C410F"/>
    <w:rsid w:val="714E34E4"/>
    <w:rsid w:val="714F1722"/>
    <w:rsid w:val="71566372"/>
    <w:rsid w:val="71593DA9"/>
    <w:rsid w:val="715A62B6"/>
    <w:rsid w:val="71655EBC"/>
    <w:rsid w:val="7175261E"/>
    <w:rsid w:val="717B6426"/>
    <w:rsid w:val="71922BDE"/>
    <w:rsid w:val="7193246D"/>
    <w:rsid w:val="71972789"/>
    <w:rsid w:val="7198256C"/>
    <w:rsid w:val="719C7B18"/>
    <w:rsid w:val="719E7939"/>
    <w:rsid w:val="71B17055"/>
    <w:rsid w:val="71BA6AE0"/>
    <w:rsid w:val="71BB5741"/>
    <w:rsid w:val="71C30E32"/>
    <w:rsid w:val="71CC6548"/>
    <w:rsid w:val="71CE7B26"/>
    <w:rsid w:val="71D24F5F"/>
    <w:rsid w:val="71D55662"/>
    <w:rsid w:val="71E02D3A"/>
    <w:rsid w:val="71E76F4A"/>
    <w:rsid w:val="71E93A2C"/>
    <w:rsid w:val="71E965DF"/>
    <w:rsid w:val="71EB7849"/>
    <w:rsid w:val="71F059AF"/>
    <w:rsid w:val="71F24FB3"/>
    <w:rsid w:val="71F52906"/>
    <w:rsid w:val="72042107"/>
    <w:rsid w:val="72056926"/>
    <w:rsid w:val="720C49E3"/>
    <w:rsid w:val="720D1F2F"/>
    <w:rsid w:val="72130864"/>
    <w:rsid w:val="72134EA2"/>
    <w:rsid w:val="72256327"/>
    <w:rsid w:val="722F7E0B"/>
    <w:rsid w:val="72381050"/>
    <w:rsid w:val="723F37E3"/>
    <w:rsid w:val="724A2218"/>
    <w:rsid w:val="724E6338"/>
    <w:rsid w:val="7254225E"/>
    <w:rsid w:val="72662564"/>
    <w:rsid w:val="72677AE6"/>
    <w:rsid w:val="726A18B5"/>
    <w:rsid w:val="726D6FD7"/>
    <w:rsid w:val="727D4077"/>
    <w:rsid w:val="727E4742"/>
    <w:rsid w:val="727F0D1C"/>
    <w:rsid w:val="72863AA7"/>
    <w:rsid w:val="728F3DE3"/>
    <w:rsid w:val="728F7ACD"/>
    <w:rsid w:val="729121D5"/>
    <w:rsid w:val="72943159"/>
    <w:rsid w:val="72953A27"/>
    <w:rsid w:val="72953AF1"/>
    <w:rsid w:val="72964E16"/>
    <w:rsid w:val="729C07FE"/>
    <w:rsid w:val="729C1ED0"/>
    <w:rsid w:val="729D10E3"/>
    <w:rsid w:val="72A65B46"/>
    <w:rsid w:val="72AB7053"/>
    <w:rsid w:val="72B05801"/>
    <w:rsid w:val="72B20521"/>
    <w:rsid w:val="72B80B69"/>
    <w:rsid w:val="72BF19FA"/>
    <w:rsid w:val="72C4162D"/>
    <w:rsid w:val="72C9473B"/>
    <w:rsid w:val="72D12258"/>
    <w:rsid w:val="72D17188"/>
    <w:rsid w:val="72D22A9C"/>
    <w:rsid w:val="72DA1241"/>
    <w:rsid w:val="72DC7380"/>
    <w:rsid w:val="72DE30C9"/>
    <w:rsid w:val="72E328D4"/>
    <w:rsid w:val="72E43F2E"/>
    <w:rsid w:val="72E95EF2"/>
    <w:rsid w:val="72EF074C"/>
    <w:rsid w:val="72F13A09"/>
    <w:rsid w:val="72F87C3A"/>
    <w:rsid w:val="72FD1B9A"/>
    <w:rsid w:val="7303019B"/>
    <w:rsid w:val="73030A46"/>
    <w:rsid w:val="730C0BA1"/>
    <w:rsid w:val="73104599"/>
    <w:rsid w:val="73107D6B"/>
    <w:rsid w:val="731174A4"/>
    <w:rsid w:val="73124218"/>
    <w:rsid w:val="73150018"/>
    <w:rsid w:val="7316313D"/>
    <w:rsid w:val="731B3FD5"/>
    <w:rsid w:val="731F472C"/>
    <w:rsid w:val="73225980"/>
    <w:rsid w:val="732B57ED"/>
    <w:rsid w:val="73321811"/>
    <w:rsid w:val="733351D5"/>
    <w:rsid w:val="734C1455"/>
    <w:rsid w:val="734E3782"/>
    <w:rsid w:val="73520EBA"/>
    <w:rsid w:val="73691C33"/>
    <w:rsid w:val="7373536B"/>
    <w:rsid w:val="73770563"/>
    <w:rsid w:val="737D37CC"/>
    <w:rsid w:val="73821391"/>
    <w:rsid w:val="738C4998"/>
    <w:rsid w:val="73927649"/>
    <w:rsid w:val="739F2A38"/>
    <w:rsid w:val="73A24FAD"/>
    <w:rsid w:val="73A323F6"/>
    <w:rsid w:val="73A73992"/>
    <w:rsid w:val="73AA47FB"/>
    <w:rsid w:val="73AD7669"/>
    <w:rsid w:val="73B04BCD"/>
    <w:rsid w:val="73B65D64"/>
    <w:rsid w:val="73B84164"/>
    <w:rsid w:val="73BC476F"/>
    <w:rsid w:val="73D14BBF"/>
    <w:rsid w:val="73E05A86"/>
    <w:rsid w:val="73E26FB6"/>
    <w:rsid w:val="73EA3625"/>
    <w:rsid w:val="73EC4687"/>
    <w:rsid w:val="73EF2AA3"/>
    <w:rsid w:val="73FD0584"/>
    <w:rsid w:val="7411406C"/>
    <w:rsid w:val="74126BC0"/>
    <w:rsid w:val="74150779"/>
    <w:rsid w:val="741538C0"/>
    <w:rsid w:val="742722C6"/>
    <w:rsid w:val="74273790"/>
    <w:rsid w:val="742E02D6"/>
    <w:rsid w:val="743720DF"/>
    <w:rsid w:val="743D1E3C"/>
    <w:rsid w:val="74401234"/>
    <w:rsid w:val="7443286F"/>
    <w:rsid w:val="74432E49"/>
    <w:rsid w:val="74483CD1"/>
    <w:rsid w:val="744A263B"/>
    <w:rsid w:val="744D309E"/>
    <w:rsid w:val="745227D2"/>
    <w:rsid w:val="745530E9"/>
    <w:rsid w:val="745C1017"/>
    <w:rsid w:val="745C2583"/>
    <w:rsid w:val="745F5A4B"/>
    <w:rsid w:val="746022ED"/>
    <w:rsid w:val="74636492"/>
    <w:rsid w:val="74662ED2"/>
    <w:rsid w:val="747B47C1"/>
    <w:rsid w:val="747B6FB9"/>
    <w:rsid w:val="748568CD"/>
    <w:rsid w:val="748969B2"/>
    <w:rsid w:val="749B41BD"/>
    <w:rsid w:val="749E4908"/>
    <w:rsid w:val="74A5111B"/>
    <w:rsid w:val="74A75EE2"/>
    <w:rsid w:val="74A76C06"/>
    <w:rsid w:val="74A776BB"/>
    <w:rsid w:val="74B046B9"/>
    <w:rsid w:val="74B1185B"/>
    <w:rsid w:val="74B570CF"/>
    <w:rsid w:val="74BB4B53"/>
    <w:rsid w:val="74BC09A1"/>
    <w:rsid w:val="74C11875"/>
    <w:rsid w:val="74C16799"/>
    <w:rsid w:val="74C177D1"/>
    <w:rsid w:val="74C24867"/>
    <w:rsid w:val="74C33C4B"/>
    <w:rsid w:val="74C57E09"/>
    <w:rsid w:val="74D329FB"/>
    <w:rsid w:val="74D4099A"/>
    <w:rsid w:val="74D57736"/>
    <w:rsid w:val="74D76582"/>
    <w:rsid w:val="74D90D86"/>
    <w:rsid w:val="74E30911"/>
    <w:rsid w:val="74E41769"/>
    <w:rsid w:val="74E44BB6"/>
    <w:rsid w:val="74E73B3A"/>
    <w:rsid w:val="74FC0326"/>
    <w:rsid w:val="74FD6AF9"/>
    <w:rsid w:val="750A2236"/>
    <w:rsid w:val="750C6A6D"/>
    <w:rsid w:val="750E049A"/>
    <w:rsid w:val="7511631A"/>
    <w:rsid w:val="75144F77"/>
    <w:rsid w:val="7514582F"/>
    <w:rsid w:val="751477C0"/>
    <w:rsid w:val="751B49C6"/>
    <w:rsid w:val="75207767"/>
    <w:rsid w:val="752A7547"/>
    <w:rsid w:val="75364232"/>
    <w:rsid w:val="753C2CEB"/>
    <w:rsid w:val="75426BFA"/>
    <w:rsid w:val="7544017D"/>
    <w:rsid w:val="754B359F"/>
    <w:rsid w:val="754C0C60"/>
    <w:rsid w:val="755334CE"/>
    <w:rsid w:val="75581162"/>
    <w:rsid w:val="75606271"/>
    <w:rsid w:val="756875BB"/>
    <w:rsid w:val="756C77A6"/>
    <w:rsid w:val="756E671D"/>
    <w:rsid w:val="756F6104"/>
    <w:rsid w:val="757156EB"/>
    <w:rsid w:val="757815C3"/>
    <w:rsid w:val="757D1E86"/>
    <w:rsid w:val="758C5B29"/>
    <w:rsid w:val="75971833"/>
    <w:rsid w:val="759F6F28"/>
    <w:rsid w:val="75A159E4"/>
    <w:rsid w:val="75B05B94"/>
    <w:rsid w:val="75B4034F"/>
    <w:rsid w:val="75C24F30"/>
    <w:rsid w:val="75C37CF1"/>
    <w:rsid w:val="75C97A4F"/>
    <w:rsid w:val="75CA30B3"/>
    <w:rsid w:val="75CA6FC2"/>
    <w:rsid w:val="75CB3753"/>
    <w:rsid w:val="75D0102D"/>
    <w:rsid w:val="75D72FE8"/>
    <w:rsid w:val="75D87F3E"/>
    <w:rsid w:val="75D9071B"/>
    <w:rsid w:val="75DA0B91"/>
    <w:rsid w:val="75DD11C7"/>
    <w:rsid w:val="75E73FF1"/>
    <w:rsid w:val="75E74788"/>
    <w:rsid w:val="75EC3128"/>
    <w:rsid w:val="75ED0E39"/>
    <w:rsid w:val="75EE0DA0"/>
    <w:rsid w:val="75F561C0"/>
    <w:rsid w:val="75FC6C8E"/>
    <w:rsid w:val="75FE1C7F"/>
    <w:rsid w:val="75FE78F7"/>
    <w:rsid w:val="76000B78"/>
    <w:rsid w:val="7608238C"/>
    <w:rsid w:val="76094850"/>
    <w:rsid w:val="760A7CF7"/>
    <w:rsid w:val="76292BB5"/>
    <w:rsid w:val="762A6911"/>
    <w:rsid w:val="762B7BC5"/>
    <w:rsid w:val="762E71A9"/>
    <w:rsid w:val="76315B10"/>
    <w:rsid w:val="76332C39"/>
    <w:rsid w:val="76387218"/>
    <w:rsid w:val="763B5742"/>
    <w:rsid w:val="764461FA"/>
    <w:rsid w:val="76484B57"/>
    <w:rsid w:val="764A13AC"/>
    <w:rsid w:val="76504B2A"/>
    <w:rsid w:val="76515480"/>
    <w:rsid w:val="765754AF"/>
    <w:rsid w:val="765A05FE"/>
    <w:rsid w:val="76663C5A"/>
    <w:rsid w:val="76695D8C"/>
    <w:rsid w:val="76742690"/>
    <w:rsid w:val="767A0867"/>
    <w:rsid w:val="767B137A"/>
    <w:rsid w:val="767D65DB"/>
    <w:rsid w:val="767E1416"/>
    <w:rsid w:val="768D6682"/>
    <w:rsid w:val="768E090F"/>
    <w:rsid w:val="76920D72"/>
    <w:rsid w:val="76956FB6"/>
    <w:rsid w:val="76962EF8"/>
    <w:rsid w:val="76A03B34"/>
    <w:rsid w:val="76A96E7D"/>
    <w:rsid w:val="76B51A95"/>
    <w:rsid w:val="76C525A7"/>
    <w:rsid w:val="76C83721"/>
    <w:rsid w:val="76CB270C"/>
    <w:rsid w:val="76D45087"/>
    <w:rsid w:val="76D97BC5"/>
    <w:rsid w:val="76DF4EBD"/>
    <w:rsid w:val="76E00191"/>
    <w:rsid w:val="76E4532B"/>
    <w:rsid w:val="76F15F05"/>
    <w:rsid w:val="76F529B8"/>
    <w:rsid w:val="76F924AC"/>
    <w:rsid w:val="76FB4AA4"/>
    <w:rsid w:val="76FB6A51"/>
    <w:rsid w:val="76FE3CC2"/>
    <w:rsid w:val="770E298E"/>
    <w:rsid w:val="7719452D"/>
    <w:rsid w:val="77210CB8"/>
    <w:rsid w:val="77233EFD"/>
    <w:rsid w:val="7727603A"/>
    <w:rsid w:val="772817C8"/>
    <w:rsid w:val="772C77E6"/>
    <w:rsid w:val="772E03EF"/>
    <w:rsid w:val="772E7C91"/>
    <w:rsid w:val="773310E3"/>
    <w:rsid w:val="77362DD1"/>
    <w:rsid w:val="77400600"/>
    <w:rsid w:val="77453C67"/>
    <w:rsid w:val="77511B2F"/>
    <w:rsid w:val="77523C83"/>
    <w:rsid w:val="77546499"/>
    <w:rsid w:val="775C03D9"/>
    <w:rsid w:val="775D7B58"/>
    <w:rsid w:val="776B358A"/>
    <w:rsid w:val="776D1D78"/>
    <w:rsid w:val="77764CA1"/>
    <w:rsid w:val="777F3FCE"/>
    <w:rsid w:val="777F799B"/>
    <w:rsid w:val="778243A7"/>
    <w:rsid w:val="778707F1"/>
    <w:rsid w:val="77880CD0"/>
    <w:rsid w:val="77885880"/>
    <w:rsid w:val="779043E2"/>
    <w:rsid w:val="779150B9"/>
    <w:rsid w:val="779D7FD8"/>
    <w:rsid w:val="779E6149"/>
    <w:rsid w:val="77A51D52"/>
    <w:rsid w:val="77A67511"/>
    <w:rsid w:val="77A83023"/>
    <w:rsid w:val="77B203F2"/>
    <w:rsid w:val="77B34168"/>
    <w:rsid w:val="77B73097"/>
    <w:rsid w:val="77B853CE"/>
    <w:rsid w:val="77BE1E71"/>
    <w:rsid w:val="77C36C3C"/>
    <w:rsid w:val="77C6634D"/>
    <w:rsid w:val="77C971E7"/>
    <w:rsid w:val="77CB0788"/>
    <w:rsid w:val="77D721DC"/>
    <w:rsid w:val="77DA5147"/>
    <w:rsid w:val="77DF0EAD"/>
    <w:rsid w:val="77EA3CA6"/>
    <w:rsid w:val="77EC6914"/>
    <w:rsid w:val="77F05E39"/>
    <w:rsid w:val="77FE7636"/>
    <w:rsid w:val="78080C40"/>
    <w:rsid w:val="78102276"/>
    <w:rsid w:val="78164B46"/>
    <w:rsid w:val="78175301"/>
    <w:rsid w:val="78193138"/>
    <w:rsid w:val="781D0825"/>
    <w:rsid w:val="78211169"/>
    <w:rsid w:val="7829620C"/>
    <w:rsid w:val="7837773C"/>
    <w:rsid w:val="783A5958"/>
    <w:rsid w:val="783F3D0C"/>
    <w:rsid w:val="784C5299"/>
    <w:rsid w:val="784D556E"/>
    <w:rsid w:val="784E76DC"/>
    <w:rsid w:val="78515669"/>
    <w:rsid w:val="785E26DD"/>
    <w:rsid w:val="78612919"/>
    <w:rsid w:val="786146A0"/>
    <w:rsid w:val="786A010A"/>
    <w:rsid w:val="78745195"/>
    <w:rsid w:val="787B16A2"/>
    <w:rsid w:val="787C42DD"/>
    <w:rsid w:val="78850396"/>
    <w:rsid w:val="788A5451"/>
    <w:rsid w:val="78906585"/>
    <w:rsid w:val="78951983"/>
    <w:rsid w:val="789D4FA3"/>
    <w:rsid w:val="78A504C8"/>
    <w:rsid w:val="78B13B0E"/>
    <w:rsid w:val="78B8775D"/>
    <w:rsid w:val="78B91416"/>
    <w:rsid w:val="78C13A99"/>
    <w:rsid w:val="78C84750"/>
    <w:rsid w:val="78CE5CDC"/>
    <w:rsid w:val="78D61A4D"/>
    <w:rsid w:val="78DA2088"/>
    <w:rsid w:val="78DE164C"/>
    <w:rsid w:val="78DF5B2B"/>
    <w:rsid w:val="78DF77D5"/>
    <w:rsid w:val="78E656E7"/>
    <w:rsid w:val="78E75646"/>
    <w:rsid w:val="78EB5EFD"/>
    <w:rsid w:val="78EF206F"/>
    <w:rsid w:val="78F21309"/>
    <w:rsid w:val="78F8672E"/>
    <w:rsid w:val="79062161"/>
    <w:rsid w:val="790D20C1"/>
    <w:rsid w:val="79162D4D"/>
    <w:rsid w:val="792D38DD"/>
    <w:rsid w:val="792F7115"/>
    <w:rsid w:val="793149BC"/>
    <w:rsid w:val="793A3CAB"/>
    <w:rsid w:val="793C27D0"/>
    <w:rsid w:val="794339C8"/>
    <w:rsid w:val="79481F08"/>
    <w:rsid w:val="79495EC6"/>
    <w:rsid w:val="79496D88"/>
    <w:rsid w:val="794C1DA6"/>
    <w:rsid w:val="794C2C0B"/>
    <w:rsid w:val="794D0376"/>
    <w:rsid w:val="794F110E"/>
    <w:rsid w:val="794F5A03"/>
    <w:rsid w:val="795874B4"/>
    <w:rsid w:val="795C05B5"/>
    <w:rsid w:val="79605CAC"/>
    <w:rsid w:val="7961710C"/>
    <w:rsid w:val="796226B7"/>
    <w:rsid w:val="796C4C64"/>
    <w:rsid w:val="79765DBA"/>
    <w:rsid w:val="797715A4"/>
    <w:rsid w:val="7980428D"/>
    <w:rsid w:val="798736BF"/>
    <w:rsid w:val="798813F5"/>
    <w:rsid w:val="798A482A"/>
    <w:rsid w:val="79905A88"/>
    <w:rsid w:val="79957516"/>
    <w:rsid w:val="799C1CF1"/>
    <w:rsid w:val="799C5797"/>
    <w:rsid w:val="799D70EF"/>
    <w:rsid w:val="79A156EC"/>
    <w:rsid w:val="79A31A75"/>
    <w:rsid w:val="79A402B6"/>
    <w:rsid w:val="79A5271A"/>
    <w:rsid w:val="79AE37F8"/>
    <w:rsid w:val="79AE605B"/>
    <w:rsid w:val="79B44348"/>
    <w:rsid w:val="79B84757"/>
    <w:rsid w:val="79C32FEF"/>
    <w:rsid w:val="79CF720E"/>
    <w:rsid w:val="79D13944"/>
    <w:rsid w:val="79D30053"/>
    <w:rsid w:val="79DC2E27"/>
    <w:rsid w:val="79DE7C8F"/>
    <w:rsid w:val="79E03FC6"/>
    <w:rsid w:val="79E52441"/>
    <w:rsid w:val="79F271EE"/>
    <w:rsid w:val="7A091EB1"/>
    <w:rsid w:val="7A0A209D"/>
    <w:rsid w:val="7A1213EE"/>
    <w:rsid w:val="7A183A02"/>
    <w:rsid w:val="7A1E59A5"/>
    <w:rsid w:val="7A2013FC"/>
    <w:rsid w:val="7A215327"/>
    <w:rsid w:val="7A234546"/>
    <w:rsid w:val="7A293534"/>
    <w:rsid w:val="7A293831"/>
    <w:rsid w:val="7A3132BE"/>
    <w:rsid w:val="7A344CF1"/>
    <w:rsid w:val="7A3643BA"/>
    <w:rsid w:val="7A367845"/>
    <w:rsid w:val="7A380C3F"/>
    <w:rsid w:val="7A3B042E"/>
    <w:rsid w:val="7A4C0DA0"/>
    <w:rsid w:val="7A4E1711"/>
    <w:rsid w:val="7A517D64"/>
    <w:rsid w:val="7A560030"/>
    <w:rsid w:val="7A576A80"/>
    <w:rsid w:val="7A5C7ABE"/>
    <w:rsid w:val="7A617493"/>
    <w:rsid w:val="7A6175D3"/>
    <w:rsid w:val="7A634F25"/>
    <w:rsid w:val="7A6840CE"/>
    <w:rsid w:val="7A74304F"/>
    <w:rsid w:val="7A7D7852"/>
    <w:rsid w:val="7A7F4BEA"/>
    <w:rsid w:val="7A854791"/>
    <w:rsid w:val="7A894151"/>
    <w:rsid w:val="7A8A1944"/>
    <w:rsid w:val="7A9379F9"/>
    <w:rsid w:val="7A975B0F"/>
    <w:rsid w:val="7A9F39E2"/>
    <w:rsid w:val="7A9F5541"/>
    <w:rsid w:val="7AA140F9"/>
    <w:rsid w:val="7AA9318C"/>
    <w:rsid w:val="7AB302F3"/>
    <w:rsid w:val="7ABB45F6"/>
    <w:rsid w:val="7ABD6E5B"/>
    <w:rsid w:val="7AC10096"/>
    <w:rsid w:val="7AC330B7"/>
    <w:rsid w:val="7ACC2256"/>
    <w:rsid w:val="7ACE7B72"/>
    <w:rsid w:val="7AD01BAF"/>
    <w:rsid w:val="7AD67FC9"/>
    <w:rsid w:val="7ADB19DB"/>
    <w:rsid w:val="7ADC193F"/>
    <w:rsid w:val="7AE4238A"/>
    <w:rsid w:val="7AE832A5"/>
    <w:rsid w:val="7AEB0868"/>
    <w:rsid w:val="7AEE21E1"/>
    <w:rsid w:val="7AEE612D"/>
    <w:rsid w:val="7AEE7D5A"/>
    <w:rsid w:val="7AF119DB"/>
    <w:rsid w:val="7B024798"/>
    <w:rsid w:val="7B036EB4"/>
    <w:rsid w:val="7B050498"/>
    <w:rsid w:val="7B0B05F7"/>
    <w:rsid w:val="7B0D2B9B"/>
    <w:rsid w:val="7B0D3C52"/>
    <w:rsid w:val="7B1810CF"/>
    <w:rsid w:val="7B1D5AF2"/>
    <w:rsid w:val="7B1F611D"/>
    <w:rsid w:val="7B204991"/>
    <w:rsid w:val="7B29370B"/>
    <w:rsid w:val="7B2C15CA"/>
    <w:rsid w:val="7B2C61C2"/>
    <w:rsid w:val="7B390BF2"/>
    <w:rsid w:val="7B4162C7"/>
    <w:rsid w:val="7B4C7AD1"/>
    <w:rsid w:val="7B4F3A3B"/>
    <w:rsid w:val="7B534E2D"/>
    <w:rsid w:val="7B5C622D"/>
    <w:rsid w:val="7B683189"/>
    <w:rsid w:val="7B6A2206"/>
    <w:rsid w:val="7B6A3E7D"/>
    <w:rsid w:val="7B6F3D02"/>
    <w:rsid w:val="7B7C62F2"/>
    <w:rsid w:val="7B88567D"/>
    <w:rsid w:val="7B8F0AFD"/>
    <w:rsid w:val="7B91103D"/>
    <w:rsid w:val="7B98535A"/>
    <w:rsid w:val="7B9F317A"/>
    <w:rsid w:val="7BA57FBA"/>
    <w:rsid w:val="7BA821FD"/>
    <w:rsid w:val="7BAE48FC"/>
    <w:rsid w:val="7BAF10A3"/>
    <w:rsid w:val="7BB32376"/>
    <w:rsid w:val="7BB83DF8"/>
    <w:rsid w:val="7BBA2E35"/>
    <w:rsid w:val="7BC76B4E"/>
    <w:rsid w:val="7BC84704"/>
    <w:rsid w:val="7BCC163B"/>
    <w:rsid w:val="7BCC236D"/>
    <w:rsid w:val="7BCC7CAA"/>
    <w:rsid w:val="7BCD7679"/>
    <w:rsid w:val="7BD546EB"/>
    <w:rsid w:val="7BDF1ACF"/>
    <w:rsid w:val="7BE66796"/>
    <w:rsid w:val="7BFF4559"/>
    <w:rsid w:val="7C02162A"/>
    <w:rsid w:val="7C0827FE"/>
    <w:rsid w:val="7C084E85"/>
    <w:rsid w:val="7C0B1471"/>
    <w:rsid w:val="7C1211E6"/>
    <w:rsid w:val="7C132D0F"/>
    <w:rsid w:val="7C1378CC"/>
    <w:rsid w:val="7C164F89"/>
    <w:rsid w:val="7C181F80"/>
    <w:rsid w:val="7C1A756B"/>
    <w:rsid w:val="7C1B1028"/>
    <w:rsid w:val="7C1B3AC7"/>
    <w:rsid w:val="7C226546"/>
    <w:rsid w:val="7C251562"/>
    <w:rsid w:val="7C2B0B13"/>
    <w:rsid w:val="7C2B2034"/>
    <w:rsid w:val="7C2E613C"/>
    <w:rsid w:val="7C3043FE"/>
    <w:rsid w:val="7C3C0747"/>
    <w:rsid w:val="7C424C84"/>
    <w:rsid w:val="7C4569BE"/>
    <w:rsid w:val="7C4F607B"/>
    <w:rsid w:val="7C4F7217"/>
    <w:rsid w:val="7C583982"/>
    <w:rsid w:val="7C613CCF"/>
    <w:rsid w:val="7C61722C"/>
    <w:rsid w:val="7C6972EC"/>
    <w:rsid w:val="7C6B22AE"/>
    <w:rsid w:val="7C777C6F"/>
    <w:rsid w:val="7C7D0B32"/>
    <w:rsid w:val="7C80316F"/>
    <w:rsid w:val="7C817737"/>
    <w:rsid w:val="7C8B1147"/>
    <w:rsid w:val="7C8C5EFB"/>
    <w:rsid w:val="7C8F6C25"/>
    <w:rsid w:val="7C9F1C4C"/>
    <w:rsid w:val="7CA01C87"/>
    <w:rsid w:val="7CA21A0F"/>
    <w:rsid w:val="7CA31AB6"/>
    <w:rsid w:val="7CA4518D"/>
    <w:rsid w:val="7CA50BAD"/>
    <w:rsid w:val="7CB302E8"/>
    <w:rsid w:val="7CB47910"/>
    <w:rsid w:val="7CB708C6"/>
    <w:rsid w:val="7CBE5D37"/>
    <w:rsid w:val="7CC83DDA"/>
    <w:rsid w:val="7CCE7F64"/>
    <w:rsid w:val="7CD17149"/>
    <w:rsid w:val="7CD27243"/>
    <w:rsid w:val="7CD730F8"/>
    <w:rsid w:val="7CDF2665"/>
    <w:rsid w:val="7CDF4804"/>
    <w:rsid w:val="7CE52E57"/>
    <w:rsid w:val="7CE95DFB"/>
    <w:rsid w:val="7CEA4595"/>
    <w:rsid w:val="7CEF6F02"/>
    <w:rsid w:val="7CF11D62"/>
    <w:rsid w:val="7CF44239"/>
    <w:rsid w:val="7CFB6A2F"/>
    <w:rsid w:val="7CFC51D6"/>
    <w:rsid w:val="7CFE04F6"/>
    <w:rsid w:val="7CFF149C"/>
    <w:rsid w:val="7D027F2A"/>
    <w:rsid w:val="7D061726"/>
    <w:rsid w:val="7D06619F"/>
    <w:rsid w:val="7D096ED1"/>
    <w:rsid w:val="7D0A1A32"/>
    <w:rsid w:val="7D0C1069"/>
    <w:rsid w:val="7D0E4B5B"/>
    <w:rsid w:val="7D155349"/>
    <w:rsid w:val="7D1B45A9"/>
    <w:rsid w:val="7D263933"/>
    <w:rsid w:val="7D2A54A7"/>
    <w:rsid w:val="7D3170D9"/>
    <w:rsid w:val="7D33504E"/>
    <w:rsid w:val="7D362C54"/>
    <w:rsid w:val="7D3B012B"/>
    <w:rsid w:val="7D3C08AA"/>
    <w:rsid w:val="7D3E4F76"/>
    <w:rsid w:val="7D4928DE"/>
    <w:rsid w:val="7D4C641E"/>
    <w:rsid w:val="7D4D2034"/>
    <w:rsid w:val="7D584417"/>
    <w:rsid w:val="7D5C493C"/>
    <w:rsid w:val="7D607A6B"/>
    <w:rsid w:val="7D6E70B9"/>
    <w:rsid w:val="7D7C3D68"/>
    <w:rsid w:val="7D825837"/>
    <w:rsid w:val="7D8833D9"/>
    <w:rsid w:val="7D91396F"/>
    <w:rsid w:val="7D9401DC"/>
    <w:rsid w:val="7D940935"/>
    <w:rsid w:val="7D95173C"/>
    <w:rsid w:val="7D96044B"/>
    <w:rsid w:val="7D9D5A9F"/>
    <w:rsid w:val="7DA2317D"/>
    <w:rsid w:val="7DA90486"/>
    <w:rsid w:val="7DAE540F"/>
    <w:rsid w:val="7DB07FBB"/>
    <w:rsid w:val="7DBF3526"/>
    <w:rsid w:val="7DC767AB"/>
    <w:rsid w:val="7DD112B2"/>
    <w:rsid w:val="7DD17047"/>
    <w:rsid w:val="7DD318F4"/>
    <w:rsid w:val="7DDA645E"/>
    <w:rsid w:val="7DDC26C6"/>
    <w:rsid w:val="7DDE1BCD"/>
    <w:rsid w:val="7DEA41A0"/>
    <w:rsid w:val="7DF5241B"/>
    <w:rsid w:val="7DF7247F"/>
    <w:rsid w:val="7DFE4288"/>
    <w:rsid w:val="7DFF6985"/>
    <w:rsid w:val="7E0E0DA1"/>
    <w:rsid w:val="7E0E7855"/>
    <w:rsid w:val="7E193EE2"/>
    <w:rsid w:val="7E1F2DD5"/>
    <w:rsid w:val="7E256BD9"/>
    <w:rsid w:val="7E2902F5"/>
    <w:rsid w:val="7E317EAD"/>
    <w:rsid w:val="7E3D2C38"/>
    <w:rsid w:val="7E4030AD"/>
    <w:rsid w:val="7E4147AC"/>
    <w:rsid w:val="7E4313B6"/>
    <w:rsid w:val="7E480690"/>
    <w:rsid w:val="7E574A6E"/>
    <w:rsid w:val="7E61326B"/>
    <w:rsid w:val="7E6C1C25"/>
    <w:rsid w:val="7E701D11"/>
    <w:rsid w:val="7E762791"/>
    <w:rsid w:val="7E772B4E"/>
    <w:rsid w:val="7E77682E"/>
    <w:rsid w:val="7E793A61"/>
    <w:rsid w:val="7E804FCB"/>
    <w:rsid w:val="7E8533A3"/>
    <w:rsid w:val="7E8A0601"/>
    <w:rsid w:val="7E8E42BF"/>
    <w:rsid w:val="7E90165D"/>
    <w:rsid w:val="7E9212CE"/>
    <w:rsid w:val="7E966CE6"/>
    <w:rsid w:val="7E971EEC"/>
    <w:rsid w:val="7E9C5D2B"/>
    <w:rsid w:val="7E9F1646"/>
    <w:rsid w:val="7E9F6584"/>
    <w:rsid w:val="7EA737EF"/>
    <w:rsid w:val="7EAB7716"/>
    <w:rsid w:val="7EAE753B"/>
    <w:rsid w:val="7EB36973"/>
    <w:rsid w:val="7EB439D1"/>
    <w:rsid w:val="7EB819E3"/>
    <w:rsid w:val="7EBD4AEC"/>
    <w:rsid w:val="7EC656C5"/>
    <w:rsid w:val="7ED44F77"/>
    <w:rsid w:val="7ED544B5"/>
    <w:rsid w:val="7EDB49B6"/>
    <w:rsid w:val="7EE6466E"/>
    <w:rsid w:val="7EE86CCA"/>
    <w:rsid w:val="7EEE2FBD"/>
    <w:rsid w:val="7EF249D0"/>
    <w:rsid w:val="7EF55C07"/>
    <w:rsid w:val="7F0C4AAB"/>
    <w:rsid w:val="7F0D0F48"/>
    <w:rsid w:val="7F133DD3"/>
    <w:rsid w:val="7F14671E"/>
    <w:rsid w:val="7F1B5E8E"/>
    <w:rsid w:val="7F2478E4"/>
    <w:rsid w:val="7F256B84"/>
    <w:rsid w:val="7F2D77EE"/>
    <w:rsid w:val="7F2E4552"/>
    <w:rsid w:val="7F3A609B"/>
    <w:rsid w:val="7F41045E"/>
    <w:rsid w:val="7F471AC1"/>
    <w:rsid w:val="7F4F1E70"/>
    <w:rsid w:val="7F5117A9"/>
    <w:rsid w:val="7F524886"/>
    <w:rsid w:val="7F5412C6"/>
    <w:rsid w:val="7F554F26"/>
    <w:rsid w:val="7F5B3DD1"/>
    <w:rsid w:val="7F621635"/>
    <w:rsid w:val="7F7119F3"/>
    <w:rsid w:val="7F712F9E"/>
    <w:rsid w:val="7F756DF2"/>
    <w:rsid w:val="7F7A61B5"/>
    <w:rsid w:val="7F8029CE"/>
    <w:rsid w:val="7F837B38"/>
    <w:rsid w:val="7F853AB6"/>
    <w:rsid w:val="7F8D4C51"/>
    <w:rsid w:val="7F8E5DD1"/>
    <w:rsid w:val="7F942BE1"/>
    <w:rsid w:val="7FA23687"/>
    <w:rsid w:val="7FA71F3A"/>
    <w:rsid w:val="7FB16B07"/>
    <w:rsid w:val="7FC17D94"/>
    <w:rsid w:val="7FC379A1"/>
    <w:rsid w:val="7FC638A9"/>
    <w:rsid w:val="7FCA1117"/>
    <w:rsid w:val="7FCD4418"/>
    <w:rsid w:val="7FD540F2"/>
    <w:rsid w:val="7FDF5003"/>
    <w:rsid w:val="7FE15B6A"/>
    <w:rsid w:val="7FE44BEF"/>
    <w:rsid w:val="7FE702F1"/>
    <w:rsid w:val="7FEB40E8"/>
    <w:rsid w:val="7FF07C1F"/>
    <w:rsid w:val="7FF221A0"/>
    <w:rsid w:val="7FF55D28"/>
    <w:rsid w:val="7FF67CC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tabs>
        <w:tab w:val="left" w:pos="0"/>
      </w:tabs>
      <w:adjustRightInd w:val="0"/>
      <w:snapToGrid w:val="0"/>
      <w:spacing w:line="440" w:lineRule="exact"/>
      <w:ind w:firstLine="0" w:firstLineChars="0"/>
      <w:jc w:val="left"/>
    </w:pPr>
    <w:rPr>
      <w:rFonts w:ascii="宋体" w:hAnsi="宋体" w:eastAsia="宋体" w:cstheme="minorBidi"/>
      <w:kern w:val="2"/>
      <w:sz w:val="24"/>
      <w:szCs w:val="24"/>
      <w:lang w:val="en-US" w:eastAsia="zh-CN" w:bidi="ar-SA"/>
    </w:rPr>
  </w:style>
  <w:style w:type="paragraph" w:styleId="3">
    <w:name w:val="heading 1"/>
    <w:basedOn w:val="1"/>
    <w:next w:val="1"/>
    <w:qFormat/>
    <w:uiPriority w:val="0"/>
    <w:pPr>
      <w:keepNext/>
      <w:keepLines/>
      <w:spacing w:line="440" w:lineRule="exact"/>
      <w:outlineLvl w:val="0"/>
    </w:pPr>
    <w:rPr>
      <w:b/>
      <w:kern w:val="44"/>
      <w:sz w:val="44"/>
    </w:rPr>
  </w:style>
  <w:style w:type="paragraph" w:styleId="4">
    <w:name w:val="heading 2"/>
    <w:basedOn w:val="1"/>
    <w:next w:val="1"/>
    <w:link w:val="29"/>
    <w:unhideWhenUsed/>
    <w:qFormat/>
    <w:uiPriority w:val="0"/>
    <w:pPr>
      <w:keepNext/>
      <w:keepLines/>
      <w:spacing w:line="500" w:lineRule="exact"/>
      <w:outlineLvl w:val="1"/>
    </w:pPr>
    <w:rPr>
      <w:rFonts w:ascii="Arial" w:hAnsi="Arial" w:eastAsia="黑体"/>
      <w:b/>
      <w:sz w:val="28"/>
    </w:rPr>
  </w:style>
  <w:style w:type="paragraph" w:styleId="5">
    <w:name w:val="heading 3"/>
    <w:basedOn w:val="1"/>
    <w:next w:val="1"/>
    <w:unhideWhenUsed/>
    <w:qFormat/>
    <w:uiPriority w:val="0"/>
    <w:pPr>
      <w:jc w:val="left"/>
      <w:outlineLvl w:val="2"/>
    </w:pPr>
    <w:rPr>
      <w:rFonts w:hint="eastAsia" w:ascii="宋体" w:hAnsi="宋体" w:eastAsia="宋体" w:cs="Times New Roman"/>
      <w:b/>
      <w:kern w:val="0"/>
      <w:sz w:val="27"/>
      <w:szCs w:val="27"/>
    </w:rPr>
  </w:style>
  <w:style w:type="paragraph" w:styleId="6">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firstLine="402" w:firstLineChars="0"/>
      <w:outlineLvl w:val="5"/>
    </w:pPr>
    <w:rPr>
      <w:rFonts w:ascii="Arial" w:hAnsi="Arial" w:eastAsia="黑体"/>
      <w:b/>
      <w:sz w:val="24"/>
    </w:rPr>
  </w:style>
  <w:style w:type="paragraph" w:styleId="7">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firstLine="402" w:firstLineChars="0"/>
      <w:outlineLvl w:val="6"/>
    </w:pPr>
    <w:rPr>
      <w:b/>
      <w:sz w:val="24"/>
    </w:rPr>
  </w:style>
  <w:style w:type="paragraph" w:styleId="8">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firstLine="402" w:firstLineChars="0"/>
      <w:outlineLvl w:val="7"/>
    </w:pPr>
    <w:rPr>
      <w:rFonts w:ascii="Arial" w:hAnsi="Arial" w:eastAsia="黑体"/>
      <w:sz w:val="24"/>
    </w:rPr>
  </w:style>
  <w:style w:type="paragraph" w:styleId="9">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firstLine="402" w:firstLineChars="0"/>
      <w:outlineLvl w:val="8"/>
    </w:pPr>
    <w:rPr>
      <w:rFonts w:ascii="Arial" w:hAnsi="Arial" w:eastAsia="黑体"/>
      <w:sz w:val="21"/>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afterLines="0"/>
    </w:pPr>
    <w:rPr>
      <w:rFonts w:ascii="Times New Roman"/>
      <w:sz w:val="24"/>
      <w:szCs w:val="24"/>
    </w:rPr>
  </w:style>
  <w:style w:type="paragraph" w:styleId="10">
    <w:name w:val="Normal Indent"/>
    <w:basedOn w:val="1"/>
    <w:qFormat/>
    <w:uiPriority w:val="0"/>
    <w:pPr>
      <w:ind w:firstLine="420" w:firstLineChars="200"/>
    </w:pPr>
    <w:rPr>
      <w:rFonts w:eastAsia="宋体"/>
    </w:rPr>
  </w:style>
  <w:style w:type="paragraph" w:styleId="11">
    <w:name w:val="annotation text"/>
    <w:basedOn w:val="1"/>
    <w:qFormat/>
    <w:uiPriority w:val="0"/>
    <w:pPr>
      <w:jc w:val="left"/>
    </w:pPr>
  </w:style>
  <w:style w:type="paragraph" w:styleId="12">
    <w:name w:val="Body Text Indent"/>
    <w:basedOn w:val="1"/>
    <w:qFormat/>
    <w:uiPriority w:val="0"/>
    <w:pPr>
      <w:ind w:firstLine="538" w:firstLineChars="168"/>
      <w:jc w:val="left"/>
    </w:pPr>
    <w:rPr>
      <w:rFonts w:ascii="仿宋_GB2312" w:eastAsia="仿宋_GB2312"/>
      <w:sz w:val="32"/>
    </w:rPr>
  </w:style>
  <w:style w:type="paragraph" w:styleId="13">
    <w:name w:val="toc 3"/>
    <w:basedOn w:val="1"/>
    <w:next w:val="1"/>
    <w:qFormat/>
    <w:uiPriority w:val="0"/>
    <w:pPr>
      <w:wordWrap w:val="0"/>
      <w:topLinePunct/>
      <w:spacing w:line="400" w:lineRule="exact"/>
      <w:ind w:left="840" w:leftChars="400"/>
    </w:pPr>
    <w:rPr>
      <w:rFonts w:ascii="宋体" w:hAnsi="宋体" w:eastAsia="宋体"/>
      <w:sz w:val="21"/>
    </w:rPr>
  </w:style>
  <w:style w:type="paragraph" w:styleId="14">
    <w:name w:val="footer"/>
    <w:basedOn w:val="1"/>
    <w:link w:val="28"/>
    <w:qFormat/>
    <w:uiPriority w:val="0"/>
    <w:pPr>
      <w:snapToGrid w:val="0"/>
      <w:spacing w:line="240" w:lineRule="auto"/>
      <w:ind w:firstLine="0" w:firstLineChars="0"/>
      <w:jc w:val="left"/>
    </w:pPr>
    <w:rPr>
      <w:rFonts w:ascii="宋体" w:hAnsi="宋体" w:eastAsia="宋体"/>
      <w:sz w:val="18"/>
      <w:szCs w:val="18"/>
    </w:rPr>
  </w:style>
  <w:style w:type="paragraph" w:styleId="15">
    <w:name w:val="header"/>
    <w:basedOn w:val="1"/>
    <w:link w:val="27"/>
    <w:qFormat/>
    <w:uiPriority w:val="0"/>
    <w:pPr>
      <w:pBdr>
        <w:bottom w:val="single" w:color="auto" w:sz="6" w:space="1"/>
      </w:pBdr>
      <w:wordWrap w:val="0"/>
      <w:topLinePunct/>
      <w:snapToGrid w:val="0"/>
      <w:spacing w:line="240" w:lineRule="auto"/>
      <w:ind w:firstLine="0" w:firstLineChars="0"/>
      <w:jc w:val="center"/>
    </w:pPr>
    <w:rPr>
      <w:rFonts w:ascii="宋体" w:hAnsi="宋体" w:eastAsia="宋体"/>
      <w:sz w:val="18"/>
      <w:szCs w:val="18"/>
    </w:rPr>
  </w:style>
  <w:style w:type="paragraph" w:styleId="16">
    <w:name w:val="toc 1"/>
    <w:basedOn w:val="1"/>
    <w:next w:val="1"/>
    <w:qFormat/>
    <w:uiPriority w:val="0"/>
    <w:pPr>
      <w:tabs>
        <w:tab w:val="right" w:leader="dot" w:pos="0"/>
        <w:tab w:val="right" w:leader="dot" w:pos="9746"/>
      </w:tabs>
      <w:wordWrap w:val="0"/>
      <w:topLinePunct/>
      <w:adjustRightInd w:val="0"/>
      <w:snapToGrid w:val="0"/>
      <w:spacing w:line="400" w:lineRule="exact"/>
    </w:pPr>
    <w:rPr>
      <w:rFonts w:ascii="宋体" w:hAnsi="宋体" w:eastAsia="宋体"/>
      <w:sz w:val="21"/>
    </w:rPr>
  </w:style>
  <w:style w:type="paragraph" w:styleId="17">
    <w:name w:val="toc 2"/>
    <w:basedOn w:val="1"/>
    <w:next w:val="1"/>
    <w:qFormat/>
    <w:uiPriority w:val="0"/>
    <w:pPr>
      <w:wordWrap w:val="0"/>
      <w:topLinePunct/>
      <w:spacing w:line="400" w:lineRule="exact"/>
      <w:ind w:left="420" w:leftChars="200"/>
    </w:pPr>
    <w:rPr>
      <w:rFonts w:ascii="宋体" w:hAnsi="宋体" w:eastAsia="宋体"/>
      <w:sz w:val="21"/>
    </w:rPr>
  </w:style>
  <w:style w:type="paragraph" w:styleId="1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9">
    <w:name w:val="Title"/>
    <w:basedOn w:val="1"/>
    <w:next w:val="1"/>
    <w:qFormat/>
    <w:uiPriority w:val="0"/>
    <w:pPr>
      <w:spacing w:before="240" w:after="60"/>
      <w:jc w:val="center"/>
      <w:outlineLvl w:val="0"/>
    </w:pPr>
    <w:rPr>
      <w:rFonts w:eastAsia="宋体" w:asciiTheme="majorHAnsi" w:hAnsiTheme="majorHAnsi" w:cstheme="majorBidi"/>
      <w:b/>
      <w:bCs/>
      <w:sz w:val="32"/>
      <w:szCs w:val="32"/>
    </w:rPr>
  </w:style>
  <w:style w:type="table" w:styleId="21">
    <w:name w:val="Table Grid"/>
    <w:basedOn w:val="2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FollowedHyperlink"/>
    <w:basedOn w:val="22"/>
    <w:qFormat/>
    <w:uiPriority w:val="0"/>
    <w:rPr>
      <w:rFonts w:hint="eastAsia" w:ascii="微软雅黑" w:hAnsi="微软雅黑" w:eastAsia="微软雅黑" w:cs="微软雅黑"/>
      <w:color w:val="02396F"/>
      <w:u w:val="single"/>
    </w:rPr>
  </w:style>
  <w:style w:type="character" w:styleId="24">
    <w:name w:val="Hyperlink"/>
    <w:basedOn w:val="22"/>
    <w:qFormat/>
    <w:uiPriority w:val="0"/>
    <w:rPr>
      <w:color w:val="0000FF"/>
      <w:u w:val="single"/>
    </w:rPr>
  </w:style>
  <w:style w:type="paragraph" w:customStyle="1" w:styleId="25">
    <w:name w:val="标题 5（有编号）（绿盟科技）"/>
    <w:basedOn w:val="1"/>
    <w:next w:val="26"/>
    <w:qFormat/>
    <w:uiPriority w:val="0"/>
    <w:pPr>
      <w:keepNext/>
      <w:keepLines/>
      <w:numPr>
        <w:ilvl w:val="4"/>
        <w:numId w:val="2"/>
      </w:numPr>
      <w:spacing w:before="280" w:after="156" w:line="377" w:lineRule="auto"/>
      <w:jc w:val="left"/>
      <w:outlineLvl w:val="4"/>
    </w:pPr>
    <w:rPr>
      <w:rFonts w:ascii="Arial" w:hAnsi="Arial" w:eastAsia="黑体"/>
      <w:b/>
      <w:kern w:val="0"/>
      <w:sz w:val="24"/>
      <w:szCs w:val="28"/>
    </w:rPr>
  </w:style>
  <w:style w:type="paragraph" w:customStyle="1" w:styleId="26">
    <w:name w:val="正文（绿盟科技）"/>
    <w:qFormat/>
    <w:uiPriority w:val="0"/>
    <w:pPr>
      <w:spacing w:line="300" w:lineRule="auto"/>
    </w:pPr>
    <w:rPr>
      <w:rFonts w:ascii="Arial" w:hAnsi="Arial" w:eastAsia="宋体" w:cs="黑体"/>
      <w:sz w:val="21"/>
      <w:szCs w:val="21"/>
      <w:lang w:val="en-US" w:eastAsia="zh-CN" w:bidi="ar-SA"/>
    </w:rPr>
  </w:style>
  <w:style w:type="character" w:customStyle="1" w:styleId="27">
    <w:name w:val="页眉 Char"/>
    <w:basedOn w:val="22"/>
    <w:link w:val="15"/>
    <w:qFormat/>
    <w:uiPriority w:val="0"/>
    <w:rPr>
      <w:rFonts w:ascii="宋体" w:hAnsi="宋体" w:eastAsia="宋体" w:cstheme="minorBidi"/>
      <w:kern w:val="2"/>
      <w:sz w:val="18"/>
      <w:szCs w:val="18"/>
    </w:rPr>
  </w:style>
  <w:style w:type="character" w:customStyle="1" w:styleId="28">
    <w:name w:val="页脚 Char"/>
    <w:basedOn w:val="22"/>
    <w:link w:val="14"/>
    <w:qFormat/>
    <w:uiPriority w:val="0"/>
    <w:rPr>
      <w:rFonts w:ascii="宋体" w:hAnsi="宋体" w:eastAsia="宋体" w:cstheme="minorBidi"/>
      <w:kern w:val="2"/>
      <w:sz w:val="18"/>
      <w:szCs w:val="18"/>
    </w:rPr>
  </w:style>
  <w:style w:type="character" w:customStyle="1" w:styleId="29">
    <w:name w:val="标题 2 Char"/>
    <w:basedOn w:val="22"/>
    <w:link w:val="4"/>
    <w:qFormat/>
    <w:uiPriority w:val="0"/>
    <w:rPr>
      <w:rFonts w:ascii="Arial" w:hAnsi="Arial" w:eastAsia="黑体"/>
      <w:b/>
      <w:sz w:val="28"/>
    </w:rPr>
  </w:style>
  <w:style w:type="paragraph" w:customStyle="1" w:styleId="30">
    <w:name w:val="05、“(一)”正文三级标题"/>
    <w:basedOn w:val="1"/>
    <w:link w:val="56"/>
    <w:qFormat/>
    <w:uiPriority w:val="0"/>
    <w:pPr>
      <w:numPr>
        <w:ilvl w:val="1"/>
        <w:numId w:val="1"/>
      </w:numPr>
      <w:wordWrap w:val="0"/>
      <w:topLinePunct/>
      <w:ind w:firstLine="803" w:firstLineChars="200"/>
    </w:pPr>
    <w:rPr>
      <w:rFonts w:ascii="宋体" w:hAnsi="宋体" w:eastAsia="宋体"/>
    </w:rPr>
  </w:style>
  <w:style w:type="paragraph" w:customStyle="1" w:styleId="31">
    <w:name w:val="00、封面正文(与其他内容无关的格式)"/>
    <w:basedOn w:val="1"/>
    <w:qFormat/>
    <w:uiPriority w:val="0"/>
    <w:rPr>
      <w:rFonts w:ascii="宋体" w:hAnsi="宋体" w:eastAsia="宋体"/>
    </w:rPr>
  </w:style>
  <w:style w:type="paragraph" w:customStyle="1" w:styleId="32">
    <w:name w:val="15、“一、”二级标题"/>
    <w:basedOn w:val="1"/>
    <w:qFormat/>
    <w:uiPriority w:val="0"/>
    <w:pPr>
      <w:numPr>
        <w:ilvl w:val="1"/>
        <w:numId w:val="3"/>
      </w:numPr>
      <w:wordWrap w:val="0"/>
      <w:topLinePunct/>
      <w:ind w:firstLine="803" w:firstLineChars="200"/>
      <w:outlineLvl w:val="1"/>
    </w:pPr>
    <w:rPr>
      <w:rFonts w:ascii="宋体" w:hAnsi="宋体" w:eastAsia="宋体"/>
      <w:b/>
    </w:rPr>
  </w:style>
  <w:style w:type="paragraph" w:customStyle="1" w:styleId="33">
    <w:name w:val="06、“1.”正文四级标题"/>
    <w:basedOn w:val="1"/>
    <w:link w:val="58"/>
    <w:qFormat/>
    <w:uiPriority w:val="0"/>
    <w:pPr>
      <w:numPr>
        <w:ilvl w:val="2"/>
        <w:numId w:val="1"/>
      </w:numPr>
      <w:wordWrap w:val="0"/>
      <w:topLinePunct/>
      <w:ind w:firstLine="803" w:firstLineChars="200"/>
    </w:pPr>
    <w:rPr>
      <w:rFonts w:ascii="宋体" w:hAnsi="宋体" w:eastAsia="宋体"/>
      <w:snapToGrid w:val="0"/>
    </w:rPr>
  </w:style>
  <w:style w:type="paragraph" w:customStyle="1" w:styleId="34">
    <w:name w:val="07、“1.1”正文五级标题"/>
    <w:basedOn w:val="1"/>
    <w:link w:val="50"/>
    <w:qFormat/>
    <w:uiPriority w:val="0"/>
    <w:pPr>
      <w:numPr>
        <w:ilvl w:val="3"/>
        <w:numId w:val="1"/>
      </w:numPr>
      <w:ind w:firstLine="803" w:firstLineChars="200"/>
    </w:pPr>
    <w:rPr>
      <w:rFonts w:ascii="宋体" w:hAnsi="宋体" w:eastAsia="宋体"/>
    </w:rPr>
  </w:style>
  <w:style w:type="paragraph" w:customStyle="1" w:styleId="35">
    <w:name w:val="08、“(1)”正文六级标题"/>
    <w:basedOn w:val="1"/>
    <w:link w:val="59"/>
    <w:qFormat/>
    <w:uiPriority w:val="0"/>
    <w:pPr>
      <w:numPr>
        <w:ilvl w:val="4"/>
        <w:numId w:val="1"/>
      </w:numPr>
      <w:ind w:firstLine="803" w:firstLineChars="200"/>
    </w:pPr>
    <w:rPr>
      <w:rFonts w:ascii="宋体" w:hAnsi="宋体" w:eastAsia="宋体"/>
      <w:snapToGrid w:val="0"/>
    </w:rPr>
  </w:style>
  <w:style w:type="paragraph" w:customStyle="1" w:styleId="36">
    <w:name w:val="09、“1.”表格内一级标题"/>
    <w:basedOn w:val="1"/>
    <w:qFormat/>
    <w:uiPriority w:val="0"/>
    <w:pPr>
      <w:numPr>
        <w:ilvl w:val="0"/>
        <w:numId w:val="4"/>
      </w:numPr>
      <w:wordWrap w:val="0"/>
      <w:topLinePunct/>
      <w:spacing w:line="360" w:lineRule="exact"/>
      <w:ind w:left="48" w:leftChars="20"/>
    </w:pPr>
    <w:rPr>
      <w:rFonts w:ascii="宋体" w:hAnsi="宋体" w:eastAsia="宋体"/>
      <w:snapToGrid w:val="0"/>
      <w:sz w:val="21"/>
    </w:rPr>
  </w:style>
  <w:style w:type="paragraph" w:customStyle="1" w:styleId="37">
    <w:name w:val="10、“1.1”表格内二级标题"/>
    <w:basedOn w:val="1"/>
    <w:link w:val="49"/>
    <w:qFormat/>
    <w:uiPriority w:val="0"/>
    <w:pPr>
      <w:numPr>
        <w:ilvl w:val="1"/>
        <w:numId w:val="4"/>
      </w:numPr>
      <w:wordWrap w:val="0"/>
      <w:topLinePunct/>
      <w:spacing w:line="360" w:lineRule="exact"/>
      <w:ind w:left="48" w:leftChars="20" w:firstLine="0" w:firstLineChars="0"/>
    </w:pPr>
    <w:rPr>
      <w:rFonts w:ascii="宋体" w:hAnsi="宋体" w:eastAsia="宋体"/>
      <w:snapToGrid w:val="0"/>
      <w:sz w:val="21"/>
    </w:rPr>
  </w:style>
  <w:style w:type="paragraph" w:customStyle="1" w:styleId="38">
    <w:name w:val="11、“1.1.1”表格内三级标题"/>
    <w:basedOn w:val="1"/>
    <w:qFormat/>
    <w:uiPriority w:val="0"/>
    <w:pPr>
      <w:numPr>
        <w:ilvl w:val="2"/>
        <w:numId w:val="4"/>
      </w:numPr>
      <w:wordWrap w:val="0"/>
      <w:topLinePunct/>
      <w:spacing w:line="360" w:lineRule="exact"/>
      <w:ind w:left="48" w:leftChars="20" w:firstLine="0" w:firstLineChars="0"/>
    </w:pPr>
    <w:rPr>
      <w:rFonts w:ascii="宋体" w:hAnsi="宋体" w:eastAsia="宋体"/>
      <w:snapToGrid w:val="0"/>
      <w:sz w:val="21"/>
    </w:rPr>
  </w:style>
  <w:style w:type="paragraph" w:customStyle="1" w:styleId="39">
    <w:name w:val="12、表格内左对齐正文"/>
    <w:basedOn w:val="1"/>
    <w:link w:val="60"/>
    <w:qFormat/>
    <w:uiPriority w:val="0"/>
    <w:pPr>
      <w:wordWrap w:val="0"/>
      <w:topLinePunct/>
      <w:spacing w:line="360" w:lineRule="exact"/>
      <w:ind w:left="48" w:leftChars="20" w:firstLine="0" w:firstLineChars="0"/>
    </w:pPr>
    <w:rPr>
      <w:rFonts w:ascii="宋体" w:hAnsi="宋体" w:eastAsia="宋体"/>
      <w:snapToGrid w:val="0"/>
      <w:sz w:val="21"/>
    </w:rPr>
  </w:style>
  <w:style w:type="paragraph" w:customStyle="1" w:styleId="40">
    <w:name w:val="01、普通正文"/>
    <w:basedOn w:val="1"/>
    <w:link w:val="54"/>
    <w:qFormat/>
    <w:uiPriority w:val="0"/>
    <w:pPr>
      <w:wordWrap w:val="0"/>
      <w:topLinePunct/>
      <w:ind w:firstLine="0" w:firstLineChars="0"/>
    </w:pPr>
    <w:rPr>
      <w:rFonts w:ascii="宋体" w:hAnsi="宋体" w:eastAsia="宋体"/>
      <w:snapToGrid w:val="0"/>
    </w:rPr>
  </w:style>
  <w:style w:type="paragraph" w:customStyle="1" w:styleId="41">
    <w:name w:val="20、第二章“一、”二级标题"/>
    <w:basedOn w:val="40"/>
    <w:qFormat/>
    <w:uiPriority w:val="0"/>
    <w:pPr>
      <w:numPr>
        <w:ilvl w:val="0"/>
        <w:numId w:val="5"/>
      </w:numPr>
      <w:spacing w:before="50" w:beforeLines="50" w:after="50" w:afterLines="50"/>
      <w:jc w:val="center"/>
      <w:outlineLvl w:val="1"/>
    </w:pPr>
    <w:rPr>
      <w:rFonts w:ascii="宋体" w:hAnsi="宋体" w:eastAsia="宋体"/>
      <w:b/>
      <w:sz w:val="32"/>
    </w:rPr>
  </w:style>
  <w:style w:type="paragraph" w:customStyle="1" w:styleId="42">
    <w:name w:val="21、第三章“(一)”三级标题"/>
    <w:basedOn w:val="40"/>
    <w:link w:val="51"/>
    <w:qFormat/>
    <w:uiPriority w:val="0"/>
    <w:pPr>
      <w:pageBreakBefore/>
      <w:numPr>
        <w:ilvl w:val="0"/>
        <w:numId w:val="6"/>
      </w:numPr>
      <w:spacing w:before="50" w:beforeLines="50" w:after="50" w:afterLines="50"/>
      <w:jc w:val="center"/>
      <w:outlineLvl w:val="2"/>
    </w:pPr>
    <w:rPr>
      <w:rFonts w:ascii="宋体" w:hAnsi="宋体" w:eastAsia="宋体"/>
      <w:b/>
      <w:sz w:val="28"/>
    </w:rPr>
  </w:style>
  <w:style w:type="paragraph" w:customStyle="1" w:styleId="43">
    <w:name w:val="13、表格内居中正文"/>
    <w:basedOn w:val="1"/>
    <w:qFormat/>
    <w:uiPriority w:val="0"/>
    <w:pPr>
      <w:wordWrap w:val="0"/>
      <w:topLinePunct/>
      <w:spacing w:line="360" w:lineRule="exact"/>
      <w:jc w:val="center"/>
    </w:pPr>
    <w:rPr>
      <w:rFonts w:ascii="宋体" w:hAnsi="宋体" w:eastAsia="宋体"/>
      <w:sz w:val="21"/>
    </w:rPr>
  </w:style>
  <w:style w:type="paragraph" w:customStyle="1" w:styleId="44">
    <w:name w:val="02、首行缩进2字符正文"/>
    <w:basedOn w:val="1"/>
    <w:link w:val="53"/>
    <w:qFormat/>
    <w:uiPriority w:val="0"/>
    <w:pPr>
      <w:wordWrap w:val="0"/>
      <w:topLinePunct/>
      <w:ind w:firstLine="480" w:firstLineChars="200"/>
    </w:pPr>
    <w:rPr>
      <w:rFonts w:ascii="宋体" w:hAnsi="宋体" w:eastAsia="宋体"/>
    </w:rPr>
  </w:style>
  <w:style w:type="paragraph" w:customStyle="1" w:styleId="45">
    <w:name w:val="03、“注：”正文(加粗，首行缩进2字符)"/>
    <w:basedOn w:val="40"/>
    <w:link w:val="55"/>
    <w:qFormat/>
    <w:uiPriority w:val="0"/>
    <w:pPr>
      <w:ind w:firstLine="480" w:firstLineChars="200"/>
    </w:pPr>
    <w:rPr>
      <w:b/>
    </w:rPr>
  </w:style>
  <w:style w:type="paragraph" w:customStyle="1" w:styleId="46">
    <w:name w:val="14、“第一章”一级标题"/>
    <w:basedOn w:val="40"/>
    <w:qFormat/>
    <w:uiPriority w:val="0"/>
    <w:pPr>
      <w:numPr>
        <w:ilvl w:val="0"/>
        <w:numId w:val="3"/>
      </w:numPr>
      <w:spacing w:before="50" w:beforeLines="50" w:after="50" w:afterLines="50" w:line="240" w:lineRule="auto"/>
      <w:jc w:val="center"/>
      <w:outlineLvl w:val="0"/>
    </w:pPr>
    <w:rPr>
      <w:b/>
      <w:sz w:val="36"/>
    </w:rPr>
  </w:style>
  <w:style w:type="paragraph" w:customStyle="1" w:styleId="47">
    <w:name w:val="16、“(一)”三级标题"/>
    <w:basedOn w:val="40"/>
    <w:link w:val="52"/>
    <w:qFormat/>
    <w:uiPriority w:val="0"/>
    <w:pPr>
      <w:numPr>
        <w:ilvl w:val="2"/>
        <w:numId w:val="3"/>
      </w:numPr>
      <w:ind w:firstLine="803" w:firstLineChars="200"/>
      <w:outlineLvl w:val="2"/>
    </w:pPr>
    <w:rPr>
      <w:rFonts w:ascii="宋体" w:hAnsi="宋体" w:eastAsia="宋体"/>
      <w:b/>
    </w:rPr>
  </w:style>
  <w:style w:type="paragraph" w:customStyle="1" w:styleId="48">
    <w:name w:val="04“一、”正文二级标题"/>
    <w:basedOn w:val="40"/>
    <w:link w:val="57"/>
    <w:qFormat/>
    <w:uiPriority w:val="0"/>
    <w:pPr>
      <w:ind w:firstLine="803" w:firstLineChars="200"/>
    </w:pPr>
  </w:style>
  <w:style w:type="character" w:customStyle="1" w:styleId="49">
    <w:name w:val="10、“1.1”表格内二级标题 Char"/>
    <w:link w:val="37"/>
    <w:qFormat/>
    <w:uiPriority w:val="0"/>
    <w:rPr>
      <w:rFonts w:ascii="宋体" w:hAnsi="宋体" w:eastAsia="宋体"/>
      <w:snapToGrid w:val="0"/>
      <w:sz w:val="21"/>
    </w:rPr>
  </w:style>
  <w:style w:type="character" w:customStyle="1" w:styleId="50">
    <w:name w:val="07、“1.1”正文五级标题 Char"/>
    <w:link w:val="34"/>
    <w:qFormat/>
    <w:uiPriority w:val="0"/>
    <w:rPr>
      <w:rFonts w:ascii="宋体" w:hAnsi="宋体" w:eastAsia="宋体"/>
    </w:rPr>
  </w:style>
  <w:style w:type="character" w:customStyle="1" w:styleId="51">
    <w:name w:val="18、第三章“(一)”三级标题 Char"/>
    <w:link w:val="42"/>
    <w:qFormat/>
    <w:uiPriority w:val="0"/>
    <w:rPr>
      <w:rFonts w:ascii="宋体" w:hAnsi="宋体" w:eastAsia="宋体"/>
      <w:b/>
      <w:sz w:val="28"/>
    </w:rPr>
  </w:style>
  <w:style w:type="character" w:customStyle="1" w:styleId="52">
    <w:name w:val="16、“(一)”三级标题 Char"/>
    <w:link w:val="47"/>
    <w:qFormat/>
    <w:uiPriority w:val="0"/>
    <w:rPr>
      <w:rFonts w:ascii="宋体" w:hAnsi="宋体" w:eastAsia="宋体"/>
      <w:b/>
    </w:rPr>
  </w:style>
  <w:style w:type="character" w:customStyle="1" w:styleId="53">
    <w:name w:val="02、首行缩进2字符正文 Char"/>
    <w:link w:val="44"/>
    <w:qFormat/>
    <w:uiPriority w:val="0"/>
    <w:rPr>
      <w:rFonts w:ascii="宋体" w:hAnsi="宋体" w:eastAsia="宋体"/>
    </w:rPr>
  </w:style>
  <w:style w:type="character" w:customStyle="1" w:styleId="54">
    <w:name w:val="01、普通正文 Char"/>
    <w:link w:val="40"/>
    <w:qFormat/>
    <w:uiPriority w:val="0"/>
    <w:rPr>
      <w:rFonts w:ascii="宋体" w:hAnsi="宋体" w:eastAsia="宋体"/>
      <w:snapToGrid w:val="0"/>
    </w:rPr>
  </w:style>
  <w:style w:type="character" w:customStyle="1" w:styleId="55">
    <w:name w:val="03、“注：”正文(加粗，首行缩进2字符) Char"/>
    <w:link w:val="45"/>
    <w:qFormat/>
    <w:uiPriority w:val="0"/>
    <w:rPr>
      <w:b/>
    </w:rPr>
  </w:style>
  <w:style w:type="character" w:customStyle="1" w:styleId="56">
    <w:name w:val="05、“(一)”正文三级标题 Char"/>
    <w:link w:val="30"/>
    <w:qFormat/>
    <w:uiPriority w:val="0"/>
    <w:rPr>
      <w:rFonts w:ascii="宋体" w:hAnsi="宋体" w:eastAsia="宋体"/>
    </w:rPr>
  </w:style>
  <w:style w:type="character" w:customStyle="1" w:styleId="57">
    <w:name w:val="04“一、”正文二级标题 Char"/>
    <w:link w:val="48"/>
    <w:qFormat/>
    <w:uiPriority w:val="0"/>
  </w:style>
  <w:style w:type="character" w:customStyle="1" w:styleId="58">
    <w:name w:val="06、“1.”正文四级标题 Char"/>
    <w:link w:val="33"/>
    <w:qFormat/>
    <w:uiPriority w:val="0"/>
    <w:rPr>
      <w:rFonts w:ascii="宋体" w:hAnsi="宋体" w:eastAsia="宋体"/>
      <w:snapToGrid w:val="0"/>
    </w:rPr>
  </w:style>
  <w:style w:type="character" w:customStyle="1" w:styleId="59">
    <w:name w:val="08、“(1)”正文六级标题 Char"/>
    <w:link w:val="35"/>
    <w:qFormat/>
    <w:uiPriority w:val="0"/>
    <w:rPr>
      <w:rFonts w:ascii="宋体" w:hAnsi="宋体" w:eastAsia="宋体"/>
      <w:snapToGrid w:val="0"/>
    </w:rPr>
  </w:style>
  <w:style w:type="character" w:customStyle="1" w:styleId="60">
    <w:name w:val="12、表格内左对齐正文 Char"/>
    <w:link w:val="39"/>
    <w:qFormat/>
    <w:uiPriority w:val="0"/>
    <w:rPr>
      <w:rFonts w:ascii="宋体" w:hAnsi="宋体" w:eastAsia="宋体"/>
      <w:snapToGrid w:val="0"/>
      <w:sz w:val="21"/>
    </w:rPr>
  </w:style>
  <w:style w:type="paragraph" w:customStyle="1" w:styleId="61">
    <w:name w:val="17“1.”四级标题"/>
    <w:basedOn w:val="44"/>
    <w:qFormat/>
    <w:uiPriority w:val="0"/>
    <w:pPr>
      <w:numPr>
        <w:ilvl w:val="3"/>
        <w:numId w:val="3"/>
      </w:numPr>
      <w:ind w:firstLine="803" w:firstLineChars="200"/>
    </w:pPr>
    <w:rPr>
      <w:rFonts w:ascii="宋体" w:hAnsi="宋体" w:eastAsia="宋体"/>
    </w:rPr>
  </w:style>
  <w:style w:type="paragraph" w:customStyle="1" w:styleId="62">
    <w:name w:val="18、“1.1”五级标题"/>
    <w:basedOn w:val="61"/>
    <w:qFormat/>
    <w:uiPriority w:val="0"/>
    <w:pPr>
      <w:numPr>
        <w:ilvl w:val="4"/>
        <w:numId w:val="3"/>
      </w:numPr>
      <w:ind w:firstLine="803" w:firstLineChars="200"/>
    </w:pPr>
  </w:style>
  <w:style w:type="paragraph" w:customStyle="1" w:styleId="63">
    <w:name w:val="19、“(1)”六级标题"/>
    <w:basedOn w:val="61"/>
    <w:qFormat/>
    <w:uiPriority w:val="0"/>
    <w:pPr>
      <w:numPr>
        <w:ilvl w:val="5"/>
        <w:numId w:val="3"/>
      </w:numPr>
      <w:ind w:firstLine="803" w:firstLineChars="200"/>
    </w:pPr>
  </w:style>
  <w:style w:type="paragraph" w:customStyle="1" w:styleId="64">
    <w:name w:val="样式 首行缩进:  2 字符"/>
    <w:basedOn w:val="1"/>
    <w:qFormat/>
    <w:uiPriority w:val="0"/>
    <w:pPr>
      <w:spacing w:line="400" w:lineRule="exact"/>
      <w:ind w:firstLine="200" w:firstLineChars="200"/>
    </w:pPr>
    <w:rPr>
      <w:rFonts w:cs="宋体"/>
      <w:sz w:val="24"/>
    </w:rPr>
  </w:style>
  <w:style w:type="character" w:customStyle="1" w:styleId="65">
    <w:name w:val="redfilefwwh"/>
    <w:basedOn w:val="22"/>
    <w:qFormat/>
    <w:uiPriority w:val="0"/>
    <w:rPr>
      <w:color w:val="BA2636"/>
      <w:sz w:val="12"/>
      <w:szCs w:val="12"/>
    </w:rPr>
  </w:style>
  <w:style w:type="character" w:customStyle="1" w:styleId="66">
    <w:name w:val="qxdate"/>
    <w:basedOn w:val="22"/>
    <w:qFormat/>
    <w:uiPriority w:val="0"/>
    <w:rPr>
      <w:color w:val="333333"/>
      <w:sz w:val="12"/>
      <w:szCs w:val="12"/>
    </w:rPr>
  </w:style>
  <w:style w:type="character" w:customStyle="1" w:styleId="67">
    <w:name w:val="cfdate"/>
    <w:basedOn w:val="22"/>
    <w:qFormat/>
    <w:uiPriority w:val="0"/>
    <w:rPr>
      <w:color w:val="333333"/>
      <w:sz w:val="12"/>
      <w:szCs w:val="12"/>
    </w:rPr>
  </w:style>
  <w:style w:type="character" w:customStyle="1" w:styleId="68">
    <w:name w:val="gjfg"/>
    <w:basedOn w:val="22"/>
    <w:qFormat/>
    <w:uiPriority w:val="0"/>
  </w:style>
  <w:style w:type="character" w:customStyle="1" w:styleId="69">
    <w:name w:val="displayarti"/>
    <w:basedOn w:val="22"/>
    <w:qFormat/>
    <w:uiPriority w:val="0"/>
    <w:rPr>
      <w:color w:val="FFFFFF"/>
      <w:shd w:val="clear" w:fill="A00000"/>
    </w:rPr>
  </w:style>
  <w:style w:type="character" w:customStyle="1" w:styleId="70">
    <w:name w:val="redfilenumber"/>
    <w:basedOn w:val="22"/>
    <w:qFormat/>
    <w:uiPriority w:val="0"/>
    <w:rPr>
      <w:color w:val="BA2636"/>
      <w:sz w:val="12"/>
      <w:szCs w:val="12"/>
    </w:rPr>
  </w:style>
  <w:style w:type="paragraph" w:customStyle="1" w:styleId="71">
    <w:name w:val="20、第五章“(一)”三级标题"/>
    <w:basedOn w:val="40"/>
    <w:qFormat/>
    <w:uiPriority w:val="0"/>
    <w:pPr>
      <w:pageBreakBefore/>
      <w:numPr>
        <w:ilvl w:val="0"/>
        <w:numId w:val="6"/>
      </w:numPr>
      <w:spacing w:before="50" w:beforeLines="50" w:after="50" w:afterLines="50"/>
      <w:jc w:val="center"/>
      <w:outlineLvl w:val="2"/>
    </w:pPr>
    <w:rPr>
      <w:rFonts w:ascii="宋体" w:hAnsi="宋体" w:eastAsia="宋体"/>
      <w:b/>
      <w:sz w:val="28"/>
    </w:rPr>
  </w:style>
  <w:style w:type="paragraph" w:styleId="72">
    <w:name w:val="List Paragraph"/>
    <w:basedOn w:val="1"/>
    <w:qFormat/>
    <w:uiPriority w:val="1"/>
    <w:pPr>
      <w:ind w:left="205" w:right="169" w:firstLine="655"/>
    </w:pPr>
    <w:rPr>
      <w:rFonts w:ascii="仿宋" w:hAnsi="仿宋" w:eastAsia="仿宋" w:cs="仿宋"/>
      <w:u w:val="single" w:color="000000"/>
      <w:lang w:val="zh-CN" w:eastAsia="zh-CN" w:bidi="zh-CN"/>
    </w:rPr>
  </w:style>
  <w:style w:type="paragraph" w:customStyle="1" w:styleId="73">
    <w:name w:val="图表文字"/>
    <w:basedOn w:val="1"/>
    <w:qFormat/>
    <w:uiPriority w:val="99"/>
    <w:pPr>
      <w:spacing w:line="360" w:lineRule="auto"/>
      <w:jc w:val="left"/>
    </w:pPr>
    <w:rPr>
      <w:rFonts w:ascii="仿宋_GB2312" w:hAnsi="Calibri" w:eastAsia="仿宋_GB2312" w:cs="仿宋_GB2312"/>
      <w:sz w:val="24"/>
      <w:szCs w:val="24"/>
    </w:rPr>
  </w:style>
  <w:style w:type="paragraph" w:customStyle="1" w:styleId="74">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9.GIF"/><Relationship Id="rId25" Type="http://schemas.openxmlformats.org/officeDocument/2006/relationships/image" Target="media/image8.GIF"/><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theme" Target="theme/theme1.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52</Pages>
  <Words>6541</Words>
  <Characters>37287</Characters>
  <Lines>310</Lines>
  <Paragraphs>87</Paragraphs>
  <TotalTime>44</TotalTime>
  <ScaleCrop>false</ScaleCrop>
  <LinksUpToDate>false</LinksUpToDate>
  <CharactersWithSpaces>43741</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2018-12-21T06:31:00Z</dcterms:created>
  <dc:creator>qxzb</dc:creator>
  <cp:lastModifiedBy>gqy</cp:lastModifiedBy>
  <cp:lastPrinted>2021-05-19T07:01:00Z</cp:lastPrinted>
  <dcterms:modified xsi:type="dcterms:W3CDTF">2021-07-22T07:47:41Z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918C0BBE4359444F8E5FCA32D3D20AAF</vt:lpwstr>
  </property>
</Properties>
</file>