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themeColor="text1"/>
          <w:sz w:val="30"/>
          <w:szCs w:val="30"/>
          <w14:textFill>
            <w14:solidFill>
              <w14:schemeClr w14:val="tx1"/>
            </w14:solidFill>
          </w14:textFill>
        </w:rPr>
      </w:pPr>
      <w:r>
        <w:rPr>
          <w:rFonts w:hint="eastAsia" w:ascii="宋体" w:hAnsi="宋体" w:cs="宋体"/>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-53340</wp:posOffset>
            </wp:positionH>
            <wp:positionV relativeFrom="paragraph">
              <wp:posOffset>-2540</wp:posOffset>
            </wp:positionV>
            <wp:extent cx="1428750" cy="1197610"/>
            <wp:effectExtent l="0" t="0" r="0" b="0"/>
            <wp:wrapNone/>
            <wp:docPr id="2" name="图片 1" descr="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透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28750" cy="1197610"/>
                    </a:xfrm>
                    <a:prstGeom prst="rect">
                      <a:avLst/>
                    </a:prstGeom>
                    <a:noFill/>
                    <a:ln>
                      <a:noFill/>
                    </a:ln>
                  </pic:spPr>
                </pic:pic>
              </a:graphicData>
            </a:graphic>
          </wp:anchor>
        </w:drawing>
      </w:r>
    </w:p>
    <w:p>
      <w:pPr>
        <w:jc w:val="center"/>
        <w:rPr>
          <w:rFonts w:ascii="宋体" w:hAnsi="宋体" w:cs="宋体"/>
          <w:b/>
          <w:color w:val="000000" w:themeColor="text1"/>
          <w:sz w:val="30"/>
          <w:szCs w:val="30"/>
          <w14:textFill>
            <w14:solidFill>
              <w14:schemeClr w14:val="tx1"/>
            </w14:solidFill>
          </w14:textFill>
        </w:rPr>
      </w:pPr>
    </w:p>
    <w:p>
      <w:pPr>
        <w:jc w:val="center"/>
        <w:rPr>
          <w:rFonts w:ascii="宋体" w:hAnsi="宋体" w:cs="宋体"/>
          <w:b/>
          <w:color w:val="000000" w:themeColor="text1"/>
          <w:sz w:val="44"/>
          <w:szCs w:val="44"/>
          <w14:textFill>
            <w14:solidFill>
              <w14:schemeClr w14:val="tx1"/>
            </w14:solidFill>
          </w14:textFill>
        </w:rPr>
      </w:pPr>
    </w:p>
    <w:p>
      <w:pPr>
        <w:spacing w:line="720" w:lineRule="auto"/>
        <w:jc w:val="center"/>
        <w:rPr>
          <w:rFonts w:ascii="宋体" w:hAnsi="宋体" w:cs="宋体"/>
          <w:b/>
          <w:color w:val="000000" w:themeColor="text1"/>
          <w:sz w:val="52"/>
          <w:szCs w:val="52"/>
          <w14:textFill>
            <w14:solidFill>
              <w14:schemeClr w14:val="tx1"/>
            </w14:solidFill>
          </w14:textFill>
        </w:rPr>
      </w:pPr>
    </w:p>
    <w:p>
      <w:pPr>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邛崃市综合行政执法局数字化城市管理信息采集和处理业务市场化服务项目</w:t>
      </w:r>
    </w:p>
    <w:p>
      <w:pPr>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项目编号：510183202100095</w:t>
      </w:r>
    </w:p>
    <w:p>
      <w:pPr>
        <w:jc w:val="center"/>
        <w:rPr>
          <w:rFonts w:ascii="宋体" w:hAnsi="宋体" w:cs="宋体"/>
          <w:b/>
          <w:color w:val="000000" w:themeColor="text1"/>
          <w:sz w:val="52"/>
          <w:szCs w:val="52"/>
          <w14:textFill>
            <w14:solidFill>
              <w14:schemeClr w14:val="tx1"/>
            </w14:solidFill>
          </w14:textFill>
        </w:rPr>
      </w:pPr>
    </w:p>
    <w:p>
      <w:pPr>
        <w:rPr>
          <w:rFonts w:ascii="宋体" w:hAnsi="宋体" w:cs="宋体"/>
          <w:b/>
          <w:color w:val="000000" w:themeColor="text1"/>
          <w:sz w:val="52"/>
          <w:szCs w:val="52"/>
          <w14:textFill>
            <w14:solidFill>
              <w14:schemeClr w14:val="tx1"/>
            </w14:solidFill>
          </w14:textFill>
        </w:rPr>
      </w:pPr>
    </w:p>
    <w:p>
      <w:pPr>
        <w:jc w:val="center"/>
        <w:rPr>
          <w:rFonts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竞争性磋商文件</w:t>
      </w:r>
    </w:p>
    <w:p>
      <w:pPr>
        <w:spacing w:line="580" w:lineRule="exact"/>
        <w:rPr>
          <w:rFonts w:ascii="宋体" w:hAnsi="宋体" w:cs="宋体"/>
          <w:b/>
          <w:color w:val="000000" w:themeColor="text1"/>
          <w:sz w:val="52"/>
          <w:szCs w:val="5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bookmarkStart w:id="0" w:name="_Hlt101233737"/>
      <w:bookmarkEnd w:id="0"/>
      <w:bookmarkStart w:id="1" w:name="_Hlt101843627"/>
      <w:bookmarkEnd w:id="1"/>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中国·四川（成都）</w:t>
      </w: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采购人：邛崃市综合行政执法局</w:t>
      </w: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采购代理机构：四川同方建设咨询有限公司</w:t>
      </w: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共同编制</w:t>
      </w:r>
    </w:p>
    <w:p>
      <w:pPr>
        <w:spacing w:line="360" w:lineRule="auto"/>
        <w:jc w:val="center"/>
        <w:rPr>
          <w:rFonts w:ascii="宋体" w:hAnsi="宋体" w:cs="宋体"/>
          <w:b/>
          <w:color w:val="000000" w:themeColor="text1"/>
          <w:sz w:val="32"/>
          <w:szCs w:val="32"/>
          <w14:textFill>
            <w14:solidFill>
              <w14:schemeClr w14:val="tx1"/>
            </w14:solidFill>
          </w14:textFill>
        </w:rPr>
        <w:sectPr>
          <w:headerReference r:id="rId4" w:type="first"/>
          <w:headerReference r:id="rId3" w:type="default"/>
          <w:footerReference r:id="rId5" w:type="default"/>
          <w:pgSz w:w="11849" w:h="16781"/>
          <w:pgMar w:top="1440" w:right="1083" w:bottom="1440" w:left="1083" w:header="851" w:footer="992" w:gutter="0"/>
          <w:pgNumType w:start="1"/>
          <w:cols w:space="720" w:num="1"/>
          <w:titlePg/>
          <w:docGrid w:type="linesAndChars" w:linePitch="312" w:charSpace="1060"/>
        </w:sectPr>
      </w:pPr>
      <w:r>
        <w:rPr>
          <w:rFonts w:hint="eastAsia" w:ascii="宋体" w:hAnsi="宋体" w:cs="宋体"/>
          <w:b/>
          <w:color w:val="000000" w:themeColor="text1"/>
          <w:sz w:val="32"/>
          <w:szCs w:val="32"/>
          <w14:textFill>
            <w14:solidFill>
              <w14:schemeClr w14:val="tx1"/>
            </w14:solidFill>
          </w14:textFill>
        </w:rPr>
        <w:t>2021年</w:t>
      </w:r>
      <w:r>
        <w:rPr>
          <w:rFonts w:ascii="宋体" w:hAnsi="宋体" w:cs="宋体"/>
          <w:b/>
          <w:color w:val="000000" w:themeColor="text1"/>
          <w:sz w:val="32"/>
          <w:szCs w:val="32"/>
          <w14:textFill>
            <w14:solidFill>
              <w14:schemeClr w14:val="tx1"/>
            </w14:solidFill>
          </w14:textFill>
        </w:rPr>
        <w:t>9</w:t>
      </w:r>
      <w:r>
        <w:rPr>
          <w:rFonts w:hint="eastAsia" w:ascii="宋体" w:hAnsi="宋体" w:cs="宋体"/>
          <w:b/>
          <w:color w:val="000000" w:themeColor="text1"/>
          <w:sz w:val="32"/>
          <w:szCs w:val="32"/>
          <w14:textFill>
            <w14:solidFill>
              <w14:schemeClr w14:val="tx1"/>
            </w14:solidFill>
          </w14:textFill>
        </w:rPr>
        <w:t>月</w:t>
      </w:r>
    </w:p>
    <w:p>
      <w:pPr>
        <w:spacing w:line="360" w:lineRule="auto"/>
        <w:jc w:val="center"/>
        <w:rPr>
          <w:rFonts w:ascii="宋体" w:hAnsi="宋体" w:cs="宋体"/>
          <w:b/>
          <w:color w:val="000000" w:themeColor="text1"/>
          <w:sz w:val="32"/>
          <w:szCs w:val="32"/>
          <w14:textFill>
            <w14:solidFill>
              <w14:schemeClr w14:val="tx1"/>
            </w14:solidFill>
          </w14:textFill>
        </w:rPr>
      </w:pPr>
    </w:p>
    <w:p>
      <w:pPr>
        <w:pStyle w:val="4"/>
        <w:keepNext w:val="0"/>
        <w:keepLines w:val="0"/>
        <w:spacing w:line="360" w:lineRule="exact"/>
        <w:jc w:val="center"/>
        <w:rPr>
          <w:rFonts w:ascii="宋体" w:hAnsi="宋体" w:eastAsia="宋体" w:cs="宋体"/>
          <w:bCs w:val="0"/>
          <w:color w:val="000000" w:themeColor="text1"/>
          <w:sz w:val="28"/>
          <w:szCs w:val="28"/>
          <w14:textFill>
            <w14:solidFill>
              <w14:schemeClr w14:val="tx1"/>
            </w14:solidFill>
          </w14:textFill>
        </w:rPr>
      </w:pPr>
      <w:r>
        <w:rPr>
          <w:rFonts w:hint="eastAsia" w:ascii="宋体" w:hAnsi="宋体" w:eastAsia="宋体" w:cs="宋体"/>
          <w:bCs w:val="0"/>
          <w:color w:val="000000" w:themeColor="text1"/>
          <w:sz w:val="28"/>
          <w:szCs w:val="28"/>
          <w14:textFill>
            <w14:solidFill>
              <w14:schemeClr w14:val="tx1"/>
            </w14:solidFill>
          </w14:textFill>
        </w:rPr>
        <w:t>目    录</w:t>
      </w:r>
    </w:p>
    <w:p>
      <w:pPr>
        <w:pStyle w:val="19"/>
        <w:tabs>
          <w:tab w:val="right" w:leader="dot" w:pos="9673"/>
        </w:tabs>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TOC \o "1-1" \h \z \u</w:instrText>
      </w:r>
      <w:r>
        <w:rPr>
          <w:rFonts w:hint="eastAsia" w:ascii="宋体" w:hAnsi="宋体" w:cs="宋体"/>
          <w:b/>
          <w:bCs/>
          <w:color w:val="000000" w:themeColor="text1"/>
          <w:sz w:val="24"/>
          <w14:textFill>
            <w14:solidFill>
              <w14:schemeClr w14:val="tx1"/>
            </w14:solidFill>
          </w14:textFill>
        </w:rPr>
        <w:fldChar w:fldCharType="separate"/>
      </w:r>
      <w:r>
        <w:fldChar w:fldCharType="begin"/>
      </w:r>
      <w:r>
        <w:instrText xml:space="preserve"> HYPERLINK \l "_Toc47706370" </w:instrText>
      </w:r>
      <w:r>
        <w:fldChar w:fldCharType="separate"/>
      </w:r>
      <w:r>
        <w:rPr>
          <w:rStyle w:val="32"/>
          <w:rFonts w:hint="eastAsia" w:ascii="宋体" w:hAnsi="宋体" w:cs="宋体"/>
          <w:b/>
          <w:color w:val="000000" w:themeColor="text1"/>
          <w:sz w:val="24"/>
          <w14:textFill>
            <w14:solidFill>
              <w14:schemeClr w14:val="tx1"/>
            </w14:solidFill>
          </w14:textFill>
        </w:rPr>
        <w:t>第一章 磋商邀请</w:t>
      </w:r>
      <w:r>
        <w:rPr>
          <w:rFonts w:hint="eastAsia" w:ascii="宋体" w:hAnsi="宋体" w:cs="宋体"/>
          <w:b/>
          <w:color w:val="000000" w:themeColor="text1"/>
          <w:sz w:val="24"/>
          <w14:textFill>
            <w14:solidFill>
              <w14:schemeClr w14:val="tx1"/>
            </w14:solidFill>
          </w14:textFill>
        </w:rPr>
        <w:tab/>
      </w:r>
      <w:r>
        <w:rPr>
          <w:rFonts w:hint="eastAsia" w:ascii="宋体" w:hAnsi="宋体" w:cs="宋体"/>
          <w:b/>
          <w:color w:val="000000" w:themeColor="text1"/>
          <w:sz w:val="24"/>
          <w14:textFill>
            <w14:solidFill>
              <w14:schemeClr w14:val="tx1"/>
            </w14:solidFill>
          </w14:textFill>
        </w:rPr>
        <w:fldChar w:fldCharType="begin"/>
      </w:r>
      <w:r>
        <w:rPr>
          <w:rFonts w:hint="eastAsia" w:ascii="宋体" w:hAnsi="宋体" w:cs="宋体"/>
          <w:b/>
          <w:color w:val="000000" w:themeColor="text1"/>
          <w:sz w:val="24"/>
          <w14:textFill>
            <w14:solidFill>
              <w14:schemeClr w14:val="tx1"/>
            </w14:solidFill>
          </w14:textFill>
        </w:rPr>
        <w:instrText xml:space="preserve"> PAGEREF _Toc47706370 \h </w:instrText>
      </w:r>
      <w:r>
        <w:rPr>
          <w:rFonts w:hint="eastAsia" w:ascii="宋体" w:hAnsi="宋体" w:cs="宋体"/>
          <w:b/>
          <w:color w:val="000000" w:themeColor="text1"/>
          <w:sz w:val="24"/>
          <w14:textFill>
            <w14:solidFill>
              <w14:schemeClr w14:val="tx1"/>
            </w14:solidFill>
          </w14:textFill>
        </w:rPr>
        <w:fldChar w:fldCharType="separate"/>
      </w:r>
      <w:r>
        <w:rPr>
          <w:rFonts w:ascii="宋体" w:hAnsi="宋体" w:cs="宋体"/>
          <w:b/>
          <w:color w:val="000000" w:themeColor="text1"/>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fldChar w:fldCharType="end"/>
      </w:r>
      <w:r>
        <w:rPr>
          <w:rFonts w:hint="eastAsia" w:ascii="宋体" w:hAnsi="宋体" w:cs="宋体"/>
          <w:b/>
          <w:color w:val="000000" w:themeColor="text1"/>
          <w:sz w:val="24"/>
          <w14:textFill>
            <w14:solidFill>
              <w14:schemeClr w14:val="tx1"/>
            </w14:solidFill>
          </w14:textFill>
        </w:rPr>
        <w:fldChar w:fldCharType="end"/>
      </w:r>
    </w:p>
    <w:p>
      <w:pPr>
        <w:pStyle w:val="19"/>
        <w:tabs>
          <w:tab w:val="right" w:leader="dot" w:pos="9673"/>
        </w:tabs>
        <w:spacing w:line="360" w:lineRule="auto"/>
        <w:rPr>
          <w:rFonts w:ascii="宋体" w:hAnsi="宋体" w:cs="宋体"/>
          <w:b/>
          <w:color w:val="000000" w:themeColor="text1"/>
          <w:sz w:val="24"/>
          <w14:textFill>
            <w14:solidFill>
              <w14:schemeClr w14:val="tx1"/>
            </w14:solidFill>
          </w14:textFill>
        </w:rPr>
      </w:pPr>
      <w:r>
        <w:fldChar w:fldCharType="begin"/>
      </w:r>
      <w:r>
        <w:instrText xml:space="preserve"> HYPERLINK \l "_Toc47706399" </w:instrText>
      </w:r>
      <w:r>
        <w:fldChar w:fldCharType="separate"/>
      </w:r>
      <w:r>
        <w:rPr>
          <w:rStyle w:val="32"/>
          <w:rFonts w:hint="eastAsia" w:ascii="宋体" w:hAnsi="宋体" w:cs="宋体"/>
          <w:b/>
          <w:color w:val="000000" w:themeColor="text1"/>
          <w:sz w:val="24"/>
          <w14:textFill>
            <w14:solidFill>
              <w14:schemeClr w14:val="tx1"/>
            </w14:solidFill>
          </w14:textFill>
        </w:rPr>
        <w:t>第二章 磋商须知</w:t>
      </w:r>
      <w:r>
        <w:rPr>
          <w:rFonts w:hint="eastAsia" w:ascii="宋体" w:hAnsi="宋体" w:cs="宋体"/>
          <w:b/>
          <w:color w:val="000000" w:themeColor="text1"/>
          <w:sz w:val="24"/>
          <w14:textFill>
            <w14:solidFill>
              <w14:schemeClr w14:val="tx1"/>
            </w14:solidFill>
          </w14:textFill>
        </w:rPr>
        <w:tab/>
      </w:r>
      <w:r>
        <w:rPr>
          <w:rFonts w:hint="eastAsia" w:ascii="宋体" w:hAnsi="宋体" w:cs="宋体"/>
          <w:b/>
          <w:color w:val="000000" w:themeColor="text1"/>
          <w:sz w:val="24"/>
          <w14:textFill>
            <w14:solidFill>
              <w14:schemeClr w14:val="tx1"/>
            </w14:solidFill>
          </w14:textFill>
        </w:rPr>
        <w:fldChar w:fldCharType="begin"/>
      </w:r>
      <w:r>
        <w:rPr>
          <w:rFonts w:hint="eastAsia" w:ascii="宋体" w:hAnsi="宋体" w:cs="宋体"/>
          <w:b/>
          <w:color w:val="000000" w:themeColor="text1"/>
          <w:sz w:val="24"/>
          <w14:textFill>
            <w14:solidFill>
              <w14:schemeClr w14:val="tx1"/>
            </w14:solidFill>
          </w14:textFill>
        </w:rPr>
        <w:instrText xml:space="preserve"> PAGEREF _Toc47706399 \h </w:instrText>
      </w:r>
      <w:r>
        <w:rPr>
          <w:rFonts w:hint="eastAsia" w:ascii="宋体" w:hAnsi="宋体" w:cs="宋体"/>
          <w:b/>
          <w:color w:val="000000" w:themeColor="text1"/>
          <w:sz w:val="24"/>
          <w14:textFill>
            <w14:solidFill>
              <w14:schemeClr w14:val="tx1"/>
            </w14:solidFill>
          </w14:textFill>
        </w:rPr>
        <w:fldChar w:fldCharType="separate"/>
      </w:r>
      <w:r>
        <w:rPr>
          <w:rFonts w:ascii="宋体" w:hAnsi="宋体" w:cs="宋体"/>
          <w:b/>
          <w:color w:val="000000" w:themeColor="text1"/>
          <w:sz w:val="24"/>
          <w14:textFill>
            <w14:solidFill>
              <w14:schemeClr w14:val="tx1"/>
            </w14:solidFill>
          </w14:textFill>
        </w:rPr>
        <w:t>6</w:t>
      </w:r>
      <w:r>
        <w:rPr>
          <w:rFonts w:hint="eastAsia" w:ascii="宋体" w:hAnsi="宋体" w:cs="宋体"/>
          <w:b/>
          <w:color w:val="000000" w:themeColor="text1"/>
          <w:sz w:val="24"/>
          <w14:textFill>
            <w14:solidFill>
              <w14:schemeClr w14:val="tx1"/>
            </w14:solidFill>
          </w14:textFill>
        </w:rPr>
        <w:fldChar w:fldCharType="end"/>
      </w:r>
      <w:r>
        <w:rPr>
          <w:rFonts w:hint="eastAsia" w:ascii="宋体" w:hAnsi="宋体" w:cs="宋体"/>
          <w:b/>
          <w:color w:val="000000" w:themeColor="text1"/>
          <w:sz w:val="24"/>
          <w14:textFill>
            <w14:solidFill>
              <w14:schemeClr w14:val="tx1"/>
            </w14:solidFill>
          </w14:textFill>
        </w:rPr>
        <w:fldChar w:fldCharType="end"/>
      </w:r>
    </w:p>
    <w:p>
      <w:pPr>
        <w:pStyle w:val="19"/>
        <w:tabs>
          <w:tab w:val="right" w:leader="dot" w:pos="9673"/>
        </w:tabs>
        <w:spacing w:line="360" w:lineRule="auto"/>
        <w:rPr>
          <w:rFonts w:ascii="宋体" w:hAnsi="宋体" w:cs="宋体"/>
          <w:b/>
          <w:color w:val="000000" w:themeColor="text1"/>
          <w:sz w:val="24"/>
          <w14:textFill>
            <w14:solidFill>
              <w14:schemeClr w14:val="tx1"/>
            </w14:solidFill>
          </w14:textFill>
        </w:rPr>
      </w:pPr>
      <w:r>
        <w:fldChar w:fldCharType="begin"/>
      </w:r>
      <w:r>
        <w:instrText xml:space="preserve"> HYPERLINK \l "_Toc47706400" </w:instrText>
      </w:r>
      <w:r>
        <w:fldChar w:fldCharType="separate"/>
      </w:r>
      <w:r>
        <w:rPr>
          <w:rStyle w:val="32"/>
          <w:rFonts w:hint="eastAsia" w:ascii="宋体" w:hAnsi="宋体" w:cs="宋体"/>
          <w:b/>
          <w:color w:val="000000" w:themeColor="text1"/>
          <w:sz w:val="24"/>
          <w14:textFill>
            <w14:solidFill>
              <w14:schemeClr w14:val="tx1"/>
            </w14:solidFill>
          </w14:textFill>
        </w:rPr>
        <w:t>第三章 供应商的资格、资质性及其他类似效力要求</w:t>
      </w:r>
      <w:r>
        <w:rPr>
          <w:rFonts w:hint="eastAsia" w:ascii="宋体" w:hAnsi="宋体" w:cs="宋体"/>
          <w:b/>
          <w:color w:val="000000" w:themeColor="text1"/>
          <w:sz w:val="24"/>
          <w14:textFill>
            <w14:solidFill>
              <w14:schemeClr w14:val="tx1"/>
            </w14:solidFill>
          </w14:textFill>
        </w:rPr>
        <w:tab/>
      </w:r>
      <w:r>
        <w:rPr>
          <w:rFonts w:hint="eastAsia" w:ascii="宋体" w:hAnsi="宋体" w:cs="宋体"/>
          <w:b/>
          <w:color w:val="000000" w:themeColor="text1"/>
          <w:sz w:val="24"/>
          <w14:textFill>
            <w14:solidFill>
              <w14:schemeClr w14:val="tx1"/>
            </w14:solidFill>
          </w14:textFill>
        </w:rPr>
        <w:fldChar w:fldCharType="begin"/>
      </w:r>
      <w:r>
        <w:rPr>
          <w:rFonts w:hint="eastAsia" w:ascii="宋体" w:hAnsi="宋体" w:cs="宋体"/>
          <w:b/>
          <w:color w:val="000000" w:themeColor="text1"/>
          <w:sz w:val="24"/>
          <w14:textFill>
            <w14:solidFill>
              <w14:schemeClr w14:val="tx1"/>
            </w14:solidFill>
          </w14:textFill>
        </w:rPr>
        <w:instrText xml:space="preserve"> PAGEREF _Toc47706400 \h </w:instrText>
      </w:r>
      <w:r>
        <w:rPr>
          <w:rFonts w:hint="eastAsia" w:ascii="宋体" w:hAnsi="宋体" w:cs="宋体"/>
          <w:b/>
          <w:color w:val="000000" w:themeColor="text1"/>
          <w:sz w:val="24"/>
          <w14:textFill>
            <w14:solidFill>
              <w14:schemeClr w14:val="tx1"/>
            </w14:solidFill>
          </w14:textFill>
        </w:rPr>
        <w:fldChar w:fldCharType="separate"/>
      </w:r>
      <w:r>
        <w:rPr>
          <w:rFonts w:ascii="宋体" w:hAnsi="宋体" w:cs="宋体"/>
          <w:b/>
          <w:color w:val="000000" w:themeColor="text1"/>
          <w:sz w:val="24"/>
          <w14:textFill>
            <w14:solidFill>
              <w14:schemeClr w14:val="tx1"/>
            </w14:solidFill>
          </w14:textFill>
        </w:rPr>
        <w:t>23</w:t>
      </w:r>
      <w:r>
        <w:rPr>
          <w:rFonts w:hint="eastAsia" w:ascii="宋体" w:hAnsi="宋体" w:cs="宋体"/>
          <w:b/>
          <w:color w:val="000000" w:themeColor="text1"/>
          <w:sz w:val="24"/>
          <w14:textFill>
            <w14:solidFill>
              <w14:schemeClr w14:val="tx1"/>
            </w14:solidFill>
          </w14:textFill>
        </w:rPr>
        <w:fldChar w:fldCharType="end"/>
      </w:r>
      <w:r>
        <w:rPr>
          <w:rFonts w:hint="eastAsia" w:ascii="宋体" w:hAnsi="宋体" w:cs="宋体"/>
          <w:b/>
          <w:color w:val="000000" w:themeColor="text1"/>
          <w:sz w:val="24"/>
          <w14:textFill>
            <w14:solidFill>
              <w14:schemeClr w14:val="tx1"/>
            </w14:solidFill>
          </w14:textFill>
        </w:rPr>
        <w:fldChar w:fldCharType="end"/>
      </w:r>
    </w:p>
    <w:p>
      <w:pPr>
        <w:pStyle w:val="19"/>
        <w:tabs>
          <w:tab w:val="right" w:leader="dot" w:pos="9673"/>
        </w:tabs>
        <w:spacing w:line="360" w:lineRule="auto"/>
        <w:rPr>
          <w:rFonts w:ascii="宋体" w:hAnsi="宋体" w:cs="宋体"/>
          <w:b/>
          <w:color w:val="000000" w:themeColor="text1"/>
          <w:sz w:val="24"/>
          <w14:textFill>
            <w14:solidFill>
              <w14:schemeClr w14:val="tx1"/>
            </w14:solidFill>
          </w14:textFill>
        </w:rPr>
      </w:pPr>
      <w:r>
        <w:fldChar w:fldCharType="begin"/>
      </w:r>
      <w:r>
        <w:instrText xml:space="preserve"> HYPERLINK \l "_Toc47706401" </w:instrText>
      </w:r>
      <w:r>
        <w:fldChar w:fldCharType="separate"/>
      </w:r>
      <w:r>
        <w:rPr>
          <w:rStyle w:val="32"/>
          <w:rFonts w:hint="eastAsia" w:ascii="宋体" w:hAnsi="宋体" w:cs="宋体"/>
          <w:b/>
          <w:color w:val="000000" w:themeColor="text1"/>
          <w:sz w:val="24"/>
          <w14:textFill>
            <w14:solidFill>
              <w14:schemeClr w14:val="tx1"/>
            </w14:solidFill>
          </w14:textFill>
        </w:rPr>
        <w:t>第四章 供应商的资格、资质性及其他类似效力要求证明材料</w:t>
      </w:r>
      <w:r>
        <w:rPr>
          <w:rFonts w:hint="eastAsia" w:ascii="宋体" w:hAnsi="宋体" w:cs="宋体"/>
          <w:b/>
          <w:color w:val="000000" w:themeColor="text1"/>
          <w:sz w:val="24"/>
          <w14:textFill>
            <w14:solidFill>
              <w14:schemeClr w14:val="tx1"/>
            </w14:solidFill>
          </w14:textFill>
        </w:rPr>
        <w:tab/>
      </w:r>
      <w:r>
        <w:rPr>
          <w:rFonts w:hint="eastAsia" w:ascii="宋体" w:hAnsi="宋体" w:cs="宋体"/>
          <w:b/>
          <w:color w:val="000000" w:themeColor="text1"/>
          <w:sz w:val="24"/>
          <w14:textFill>
            <w14:solidFill>
              <w14:schemeClr w14:val="tx1"/>
            </w14:solidFill>
          </w14:textFill>
        </w:rPr>
        <w:fldChar w:fldCharType="begin"/>
      </w:r>
      <w:r>
        <w:rPr>
          <w:rFonts w:hint="eastAsia" w:ascii="宋体" w:hAnsi="宋体" w:cs="宋体"/>
          <w:b/>
          <w:color w:val="000000" w:themeColor="text1"/>
          <w:sz w:val="24"/>
          <w14:textFill>
            <w14:solidFill>
              <w14:schemeClr w14:val="tx1"/>
            </w14:solidFill>
          </w14:textFill>
        </w:rPr>
        <w:instrText xml:space="preserve"> PAGEREF _Toc47706401 \h </w:instrText>
      </w:r>
      <w:r>
        <w:rPr>
          <w:rFonts w:hint="eastAsia" w:ascii="宋体" w:hAnsi="宋体" w:cs="宋体"/>
          <w:b/>
          <w:color w:val="000000" w:themeColor="text1"/>
          <w:sz w:val="24"/>
          <w14:textFill>
            <w14:solidFill>
              <w14:schemeClr w14:val="tx1"/>
            </w14:solidFill>
          </w14:textFill>
        </w:rPr>
        <w:fldChar w:fldCharType="separate"/>
      </w:r>
      <w:r>
        <w:rPr>
          <w:rFonts w:ascii="宋体" w:hAnsi="宋体" w:cs="宋体"/>
          <w:b/>
          <w:color w:val="000000" w:themeColor="text1"/>
          <w:sz w:val="24"/>
          <w14:textFill>
            <w14:solidFill>
              <w14:schemeClr w14:val="tx1"/>
            </w14:solidFill>
          </w14:textFill>
        </w:rPr>
        <w:t>24</w:t>
      </w:r>
      <w:r>
        <w:rPr>
          <w:rFonts w:hint="eastAsia" w:ascii="宋体" w:hAnsi="宋体" w:cs="宋体"/>
          <w:b/>
          <w:color w:val="000000" w:themeColor="text1"/>
          <w:sz w:val="24"/>
          <w14:textFill>
            <w14:solidFill>
              <w14:schemeClr w14:val="tx1"/>
            </w14:solidFill>
          </w14:textFill>
        </w:rPr>
        <w:fldChar w:fldCharType="end"/>
      </w:r>
      <w:r>
        <w:rPr>
          <w:rFonts w:hint="eastAsia" w:ascii="宋体" w:hAnsi="宋体" w:cs="宋体"/>
          <w:b/>
          <w:color w:val="000000" w:themeColor="text1"/>
          <w:sz w:val="24"/>
          <w14:textFill>
            <w14:solidFill>
              <w14:schemeClr w14:val="tx1"/>
            </w14:solidFill>
          </w14:textFill>
        </w:rPr>
        <w:fldChar w:fldCharType="end"/>
      </w:r>
    </w:p>
    <w:p>
      <w:pPr>
        <w:pStyle w:val="19"/>
        <w:tabs>
          <w:tab w:val="right" w:leader="dot" w:pos="9673"/>
        </w:tabs>
        <w:spacing w:line="360" w:lineRule="auto"/>
        <w:rPr>
          <w:rFonts w:ascii="宋体" w:hAnsi="宋体" w:cs="宋体"/>
          <w:b/>
          <w:color w:val="000000" w:themeColor="text1"/>
          <w:sz w:val="24"/>
          <w14:textFill>
            <w14:solidFill>
              <w14:schemeClr w14:val="tx1"/>
            </w14:solidFill>
          </w14:textFill>
        </w:rPr>
      </w:pPr>
      <w:r>
        <w:fldChar w:fldCharType="begin"/>
      </w:r>
      <w:r>
        <w:instrText xml:space="preserve"> HYPERLINK \l "_Toc47706402" </w:instrText>
      </w:r>
      <w:r>
        <w:fldChar w:fldCharType="separate"/>
      </w:r>
      <w:r>
        <w:rPr>
          <w:rStyle w:val="32"/>
          <w:rFonts w:hint="eastAsia" w:ascii="宋体" w:hAnsi="宋体" w:cs="宋体"/>
          <w:b/>
          <w:color w:val="000000" w:themeColor="text1"/>
          <w:sz w:val="24"/>
          <w14:textFill>
            <w14:solidFill>
              <w14:schemeClr w14:val="tx1"/>
            </w14:solidFill>
          </w14:textFill>
        </w:rPr>
        <w:t>第五章 采购项目技术、服务、及其他商务要求</w:t>
      </w:r>
      <w:r>
        <w:rPr>
          <w:rFonts w:hint="eastAsia" w:ascii="宋体" w:hAnsi="宋体" w:cs="宋体"/>
          <w:b/>
          <w:color w:val="000000" w:themeColor="text1"/>
          <w:sz w:val="24"/>
          <w14:textFill>
            <w14:solidFill>
              <w14:schemeClr w14:val="tx1"/>
            </w14:solidFill>
          </w14:textFill>
        </w:rPr>
        <w:tab/>
      </w:r>
      <w:r>
        <w:rPr>
          <w:rFonts w:hint="eastAsia" w:ascii="宋体" w:hAnsi="宋体" w:cs="宋体"/>
          <w:b/>
          <w:color w:val="000000" w:themeColor="text1"/>
          <w:sz w:val="24"/>
          <w14:textFill>
            <w14:solidFill>
              <w14:schemeClr w14:val="tx1"/>
            </w14:solidFill>
          </w14:textFill>
        </w:rPr>
        <w:fldChar w:fldCharType="begin"/>
      </w:r>
      <w:r>
        <w:rPr>
          <w:rFonts w:hint="eastAsia" w:ascii="宋体" w:hAnsi="宋体" w:cs="宋体"/>
          <w:b/>
          <w:color w:val="000000" w:themeColor="text1"/>
          <w:sz w:val="24"/>
          <w14:textFill>
            <w14:solidFill>
              <w14:schemeClr w14:val="tx1"/>
            </w14:solidFill>
          </w14:textFill>
        </w:rPr>
        <w:instrText xml:space="preserve"> PAGEREF _Toc47706402 \h </w:instrText>
      </w:r>
      <w:r>
        <w:rPr>
          <w:rFonts w:hint="eastAsia" w:ascii="宋体" w:hAnsi="宋体" w:cs="宋体"/>
          <w:b/>
          <w:color w:val="000000" w:themeColor="text1"/>
          <w:sz w:val="24"/>
          <w14:textFill>
            <w14:solidFill>
              <w14:schemeClr w14:val="tx1"/>
            </w14:solidFill>
          </w14:textFill>
        </w:rPr>
        <w:fldChar w:fldCharType="separate"/>
      </w:r>
      <w:r>
        <w:rPr>
          <w:rFonts w:ascii="宋体" w:hAnsi="宋体" w:cs="宋体"/>
          <w:b/>
          <w:color w:val="000000" w:themeColor="text1"/>
          <w:sz w:val="24"/>
          <w14:textFill>
            <w14:solidFill>
              <w14:schemeClr w14:val="tx1"/>
            </w14:solidFill>
          </w14:textFill>
        </w:rPr>
        <w:t>26</w:t>
      </w:r>
      <w:r>
        <w:rPr>
          <w:rFonts w:hint="eastAsia" w:ascii="宋体" w:hAnsi="宋体" w:cs="宋体"/>
          <w:b/>
          <w:color w:val="000000" w:themeColor="text1"/>
          <w:sz w:val="24"/>
          <w14:textFill>
            <w14:solidFill>
              <w14:schemeClr w14:val="tx1"/>
            </w14:solidFill>
          </w14:textFill>
        </w:rPr>
        <w:fldChar w:fldCharType="end"/>
      </w:r>
      <w:r>
        <w:rPr>
          <w:rFonts w:hint="eastAsia" w:ascii="宋体" w:hAnsi="宋体" w:cs="宋体"/>
          <w:b/>
          <w:color w:val="000000" w:themeColor="text1"/>
          <w:sz w:val="24"/>
          <w14:textFill>
            <w14:solidFill>
              <w14:schemeClr w14:val="tx1"/>
            </w14:solidFill>
          </w14:textFill>
        </w:rPr>
        <w:fldChar w:fldCharType="end"/>
      </w:r>
    </w:p>
    <w:p>
      <w:pPr>
        <w:pStyle w:val="19"/>
        <w:tabs>
          <w:tab w:val="right" w:leader="dot" w:pos="9673"/>
        </w:tabs>
        <w:spacing w:line="360" w:lineRule="auto"/>
        <w:rPr>
          <w:rFonts w:ascii="宋体" w:hAnsi="宋体" w:cs="宋体"/>
          <w:b/>
          <w:color w:val="000000" w:themeColor="text1"/>
          <w:sz w:val="24"/>
          <w14:textFill>
            <w14:solidFill>
              <w14:schemeClr w14:val="tx1"/>
            </w14:solidFill>
          </w14:textFill>
        </w:rPr>
      </w:pPr>
      <w:r>
        <w:fldChar w:fldCharType="begin"/>
      </w:r>
      <w:r>
        <w:instrText xml:space="preserve"> HYPERLINK \l "_Toc47706403" </w:instrText>
      </w:r>
      <w:r>
        <w:fldChar w:fldCharType="separate"/>
      </w:r>
      <w:r>
        <w:rPr>
          <w:rStyle w:val="32"/>
          <w:rFonts w:hint="eastAsia" w:ascii="宋体" w:hAnsi="宋体" w:cs="宋体"/>
          <w:b/>
          <w:color w:val="000000" w:themeColor="text1"/>
          <w:sz w:val="24"/>
          <w14:textFill>
            <w14:solidFill>
              <w14:schemeClr w14:val="tx1"/>
            </w14:solidFill>
          </w14:textFill>
        </w:rPr>
        <w:t>第六章 响应文件格式</w:t>
      </w:r>
      <w:r>
        <w:rPr>
          <w:rFonts w:hint="eastAsia" w:ascii="宋体" w:hAnsi="宋体" w:cs="宋体"/>
          <w:b/>
          <w:color w:val="000000" w:themeColor="text1"/>
          <w:sz w:val="24"/>
          <w14:textFill>
            <w14:solidFill>
              <w14:schemeClr w14:val="tx1"/>
            </w14:solidFill>
          </w14:textFill>
        </w:rPr>
        <w:tab/>
      </w:r>
      <w:r>
        <w:rPr>
          <w:rFonts w:hint="eastAsia" w:ascii="宋体" w:hAnsi="宋体" w:cs="宋体"/>
          <w:b/>
          <w:color w:val="000000" w:themeColor="text1"/>
          <w:sz w:val="24"/>
          <w14:textFill>
            <w14:solidFill>
              <w14:schemeClr w14:val="tx1"/>
            </w14:solidFill>
          </w14:textFill>
        </w:rPr>
        <w:fldChar w:fldCharType="begin"/>
      </w:r>
      <w:r>
        <w:rPr>
          <w:rFonts w:hint="eastAsia" w:ascii="宋体" w:hAnsi="宋体" w:cs="宋体"/>
          <w:b/>
          <w:color w:val="000000" w:themeColor="text1"/>
          <w:sz w:val="24"/>
          <w14:textFill>
            <w14:solidFill>
              <w14:schemeClr w14:val="tx1"/>
            </w14:solidFill>
          </w14:textFill>
        </w:rPr>
        <w:instrText xml:space="preserve"> PAGEREF _Toc47706403 \h </w:instrText>
      </w:r>
      <w:r>
        <w:rPr>
          <w:rFonts w:hint="eastAsia" w:ascii="宋体" w:hAnsi="宋体" w:cs="宋体"/>
          <w:b/>
          <w:color w:val="000000" w:themeColor="text1"/>
          <w:sz w:val="24"/>
          <w14:textFill>
            <w14:solidFill>
              <w14:schemeClr w14:val="tx1"/>
            </w14:solidFill>
          </w14:textFill>
        </w:rPr>
        <w:fldChar w:fldCharType="separate"/>
      </w:r>
      <w:r>
        <w:rPr>
          <w:rFonts w:ascii="宋体" w:hAnsi="宋体" w:cs="宋体"/>
          <w:b/>
          <w:color w:val="000000" w:themeColor="text1"/>
          <w:sz w:val="24"/>
          <w14:textFill>
            <w14:solidFill>
              <w14:schemeClr w14:val="tx1"/>
            </w14:solidFill>
          </w14:textFill>
        </w:rPr>
        <w:t>37</w:t>
      </w:r>
      <w:r>
        <w:rPr>
          <w:rFonts w:hint="eastAsia" w:ascii="宋体" w:hAnsi="宋体" w:cs="宋体"/>
          <w:b/>
          <w:color w:val="000000" w:themeColor="text1"/>
          <w:sz w:val="24"/>
          <w14:textFill>
            <w14:solidFill>
              <w14:schemeClr w14:val="tx1"/>
            </w14:solidFill>
          </w14:textFill>
        </w:rPr>
        <w:fldChar w:fldCharType="end"/>
      </w:r>
      <w:r>
        <w:rPr>
          <w:rFonts w:hint="eastAsia" w:ascii="宋体" w:hAnsi="宋体" w:cs="宋体"/>
          <w:b/>
          <w:color w:val="000000" w:themeColor="text1"/>
          <w:sz w:val="24"/>
          <w14:textFill>
            <w14:solidFill>
              <w14:schemeClr w14:val="tx1"/>
            </w14:solidFill>
          </w14:textFill>
        </w:rPr>
        <w:fldChar w:fldCharType="end"/>
      </w:r>
    </w:p>
    <w:p>
      <w:pPr>
        <w:pStyle w:val="19"/>
        <w:tabs>
          <w:tab w:val="right" w:leader="dot" w:pos="9673"/>
        </w:tabs>
        <w:spacing w:line="360" w:lineRule="auto"/>
        <w:rPr>
          <w:rFonts w:ascii="宋体" w:hAnsi="宋体" w:cs="宋体"/>
          <w:b/>
          <w:color w:val="000000" w:themeColor="text1"/>
          <w:sz w:val="24"/>
          <w14:textFill>
            <w14:solidFill>
              <w14:schemeClr w14:val="tx1"/>
            </w14:solidFill>
          </w14:textFill>
        </w:rPr>
      </w:pPr>
      <w:r>
        <w:fldChar w:fldCharType="begin"/>
      </w:r>
      <w:r>
        <w:instrText xml:space="preserve"> HYPERLINK \l "_Toc47706404" </w:instrText>
      </w:r>
      <w:r>
        <w:fldChar w:fldCharType="separate"/>
      </w:r>
      <w:r>
        <w:rPr>
          <w:rStyle w:val="32"/>
          <w:rFonts w:hint="eastAsia" w:ascii="宋体" w:hAnsi="宋体" w:cs="宋体"/>
          <w:b/>
          <w:color w:val="000000" w:themeColor="text1"/>
          <w:sz w:val="24"/>
          <w14:textFill>
            <w14:solidFill>
              <w14:schemeClr w14:val="tx1"/>
            </w14:solidFill>
          </w14:textFill>
        </w:rPr>
        <w:t>第七章 评审方法</w:t>
      </w:r>
      <w:r>
        <w:rPr>
          <w:rFonts w:hint="eastAsia" w:ascii="宋体" w:hAnsi="宋体" w:cs="宋体"/>
          <w:b/>
          <w:color w:val="000000" w:themeColor="text1"/>
          <w:sz w:val="24"/>
          <w14:textFill>
            <w14:solidFill>
              <w14:schemeClr w14:val="tx1"/>
            </w14:solidFill>
          </w14:textFill>
        </w:rPr>
        <w:tab/>
      </w:r>
      <w:r>
        <w:rPr>
          <w:rFonts w:hint="eastAsia" w:ascii="宋体" w:hAnsi="宋体" w:cs="宋体"/>
          <w:b/>
          <w:color w:val="000000" w:themeColor="text1"/>
          <w:sz w:val="24"/>
          <w14:textFill>
            <w14:solidFill>
              <w14:schemeClr w14:val="tx1"/>
            </w14:solidFill>
          </w14:textFill>
        </w:rPr>
        <w:fldChar w:fldCharType="begin"/>
      </w:r>
      <w:r>
        <w:rPr>
          <w:rFonts w:hint="eastAsia" w:ascii="宋体" w:hAnsi="宋体" w:cs="宋体"/>
          <w:b/>
          <w:color w:val="000000" w:themeColor="text1"/>
          <w:sz w:val="24"/>
          <w14:textFill>
            <w14:solidFill>
              <w14:schemeClr w14:val="tx1"/>
            </w14:solidFill>
          </w14:textFill>
        </w:rPr>
        <w:instrText xml:space="preserve"> PAGEREF _Toc47706404 \h </w:instrText>
      </w:r>
      <w:r>
        <w:rPr>
          <w:rFonts w:hint="eastAsia" w:ascii="宋体" w:hAnsi="宋体" w:cs="宋体"/>
          <w:b/>
          <w:color w:val="000000" w:themeColor="text1"/>
          <w:sz w:val="24"/>
          <w14:textFill>
            <w14:solidFill>
              <w14:schemeClr w14:val="tx1"/>
            </w14:solidFill>
          </w14:textFill>
        </w:rPr>
        <w:fldChar w:fldCharType="separate"/>
      </w:r>
      <w:r>
        <w:rPr>
          <w:rFonts w:ascii="宋体" w:hAnsi="宋体" w:cs="宋体"/>
          <w:b/>
          <w:color w:val="000000" w:themeColor="text1"/>
          <w:sz w:val="24"/>
          <w14:textFill>
            <w14:solidFill>
              <w14:schemeClr w14:val="tx1"/>
            </w14:solidFill>
          </w14:textFill>
        </w:rPr>
        <w:t>58</w:t>
      </w:r>
      <w:r>
        <w:rPr>
          <w:rFonts w:hint="eastAsia" w:ascii="宋体" w:hAnsi="宋体" w:cs="宋体"/>
          <w:b/>
          <w:color w:val="000000" w:themeColor="text1"/>
          <w:sz w:val="24"/>
          <w14:textFill>
            <w14:solidFill>
              <w14:schemeClr w14:val="tx1"/>
            </w14:solidFill>
          </w14:textFill>
        </w:rPr>
        <w:fldChar w:fldCharType="end"/>
      </w:r>
      <w:r>
        <w:rPr>
          <w:rFonts w:hint="eastAsia" w:ascii="宋体" w:hAnsi="宋体" w:cs="宋体"/>
          <w:b/>
          <w:color w:val="000000" w:themeColor="text1"/>
          <w:sz w:val="24"/>
          <w14:textFill>
            <w14:solidFill>
              <w14:schemeClr w14:val="tx1"/>
            </w14:solidFill>
          </w14:textFill>
        </w:rPr>
        <w:fldChar w:fldCharType="end"/>
      </w:r>
    </w:p>
    <w:p>
      <w:pPr>
        <w:pStyle w:val="19"/>
        <w:tabs>
          <w:tab w:val="right" w:leader="dot" w:pos="9673"/>
        </w:tabs>
        <w:spacing w:line="360" w:lineRule="auto"/>
        <w:rPr>
          <w:rFonts w:ascii="宋体" w:hAnsi="宋体" w:cs="宋体"/>
          <w:b/>
          <w:color w:val="000000" w:themeColor="text1"/>
          <w:sz w:val="24"/>
          <w14:textFill>
            <w14:solidFill>
              <w14:schemeClr w14:val="tx1"/>
            </w14:solidFill>
          </w14:textFill>
        </w:rPr>
      </w:pPr>
      <w:r>
        <w:fldChar w:fldCharType="begin"/>
      </w:r>
      <w:r>
        <w:instrText xml:space="preserve"> HYPERLINK \l "_Toc47706405" </w:instrText>
      </w:r>
      <w:r>
        <w:fldChar w:fldCharType="separate"/>
      </w:r>
      <w:r>
        <w:rPr>
          <w:rStyle w:val="32"/>
          <w:rFonts w:hint="eastAsia" w:ascii="宋体" w:hAnsi="宋体" w:cs="宋体"/>
          <w:b/>
          <w:color w:val="000000" w:themeColor="text1"/>
          <w:sz w:val="24"/>
          <w14:textFill>
            <w14:solidFill>
              <w14:schemeClr w14:val="tx1"/>
            </w14:solidFill>
          </w14:textFill>
        </w:rPr>
        <w:t>第八章 政府采购合同（草案）</w:t>
      </w:r>
      <w:r>
        <w:rPr>
          <w:rFonts w:hint="eastAsia" w:ascii="宋体" w:hAnsi="宋体" w:cs="宋体"/>
          <w:b/>
          <w:color w:val="000000" w:themeColor="text1"/>
          <w:sz w:val="24"/>
          <w14:textFill>
            <w14:solidFill>
              <w14:schemeClr w14:val="tx1"/>
            </w14:solidFill>
          </w14:textFill>
        </w:rPr>
        <w:tab/>
      </w:r>
      <w:r>
        <w:rPr>
          <w:rFonts w:hint="eastAsia" w:ascii="宋体" w:hAnsi="宋体" w:cs="宋体"/>
          <w:b/>
          <w:color w:val="000000" w:themeColor="text1"/>
          <w:sz w:val="24"/>
          <w14:textFill>
            <w14:solidFill>
              <w14:schemeClr w14:val="tx1"/>
            </w14:solidFill>
          </w14:textFill>
        </w:rPr>
        <w:fldChar w:fldCharType="begin"/>
      </w:r>
      <w:r>
        <w:rPr>
          <w:rFonts w:hint="eastAsia" w:ascii="宋体" w:hAnsi="宋体" w:cs="宋体"/>
          <w:b/>
          <w:color w:val="000000" w:themeColor="text1"/>
          <w:sz w:val="24"/>
          <w14:textFill>
            <w14:solidFill>
              <w14:schemeClr w14:val="tx1"/>
            </w14:solidFill>
          </w14:textFill>
        </w:rPr>
        <w:instrText xml:space="preserve"> PAGEREF _Toc47706405 \h </w:instrText>
      </w:r>
      <w:r>
        <w:rPr>
          <w:rFonts w:hint="eastAsia" w:ascii="宋体" w:hAnsi="宋体" w:cs="宋体"/>
          <w:b/>
          <w:color w:val="000000" w:themeColor="text1"/>
          <w:sz w:val="24"/>
          <w14:textFill>
            <w14:solidFill>
              <w14:schemeClr w14:val="tx1"/>
            </w14:solidFill>
          </w14:textFill>
        </w:rPr>
        <w:fldChar w:fldCharType="separate"/>
      </w:r>
      <w:r>
        <w:rPr>
          <w:rFonts w:ascii="宋体" w:hAnsi="宋体" w:cs="宋体"/>
          <w:b/>
          <w:color w:val="000000" w:themeColor="text1"/>
          <w:sz w:val="24"/>
          <w14:textFill>
            <w14:solidFill>
              <w14:schemeClr w14:val="tx1"/>
            </w14:solidFill>
          </w14:textFill>
        </w:rPr>
        <w:t>69</w:t>
      </w:r>
      <w:r>
        <w:rPr>
          <w:rFonts w:hint="eastAsia" w:ascii="宋体" w:hAnsi="宋体" w:cs="宋体"/>
          <w:b/>
          <w:color w:val="000000" w:themeColor="text1"/>
          <w:sz w:val="24"/>
          <w14:textFill>
            <w14:solidFill>
              <w14:schemeClr w14:val="tx1"/>
            </w14:solidFill>
          </w14:textFill>
        </w:rPr>
        <w:fldChar w:fldCharType="end"/>
      </w:r>
      <w:r>
        <w:rPr>
          <w:rFonts w:hint="eastAsia" w:ascii="宋体" w:hAnsi="宋体" w:cs="宋体"/>
          <w:b/>
          <w:color w:val="000000" w:themeColor="text1"/>
          <w:sz w:val="24"/>
          <w14:textFill>
            <w14:solidFill>
              <w14:schemeClr w14:val="tx1"/>
            </w14:solidFill>
          </w14:textFill>
        </w:rPr>
        <w:fldChar w:fldCharType="end"/>
      </w:r>
    </w:p>
    <w:p>
      <w:pPr>
        <w:spacing w:line="360" w:lineRule="auto"/>
        <w:ind w:firstLine="490" w:firstLineChars="200"/>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end"/>
      </w:r>
    </w:p>
    <w:p>
      <w:pPr>
        <w:ind w:firstLine="490" w:firstLineChars="200"/>
        <w:rPr>
          <w:rFonts w:ascii="宋体" w:hAnsi="宋体" w:cs="宋体"/>
          <w:bCs/>
          <w:color w:val="000000" w:themeColor="text1"/>
          <w:sz w:val="24"/>
          <w14:textFill>
            <w14:solidFill>
              <w14:schemeClr w14:val="tx1"/>
            </w14:solidFill>
          </w14:textFill>
        </w:rPr>
      </w:pPr>
    </w:p>
    <w:p>
      <w:pPr>
        <w:ind w:firstLine="490" w:firstLineChars="200"/>
        <w:rPr>
          <w:rFonts w:ascii="宋体" w:hAnsi="宋体" w:cs="宋体"/>
          <w:bCs/>
          <w:color w:val="000000" w:themeColor="text1"/>
          <w:sz w:val="24"/>
          <w14:textFill>
            <w14:solidFill>
              <w14:schemeClr w14:val="tx1"/>
            </w14:solidFill>
          </w14:textFill>
        </w:rPr>
      </w:pPr>
    </w:p>
    <w:p>
      <w:pPr>
        <w:pStyle w:val="3"/>
        <w:keepNext w:val="0"/>
        <w:keepLines w:val="0"/>
        <w:spacing w:before="0" w:after="0" w:line="240" w:lineRule="auto"/>
        <w:jc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br w:type="page"/>
      </w:r>
      <w:bookmarkStart w:id="2" w:name="_Toc47706280"/>
      <w:bookmarkStart w:id="3" w:name="_Toc47706370"/>
      <w:r>
        <w:rPr>
          <w:rFonts w:hint="eastAsia" w:ascii="宋体" w:hAnsi="宋体" w:cs="宋体"/>
          <w:color w:val="000000" w:themeColor="text1"/>
          <w:sz w:val="36"/>
          <w:szCs w:val="36"/>
          <w14:textFill>
            <w14:solidFill>
              <w14:schemeClr w14:val="tx1"/>
            </w14:solidFill>
          </w14:textFill>
        </w:rPr>
        <w:t>第一章  磋商邀请</w:t>
      </w:r>
      <w:bookmarkEnd w:id="2"/>
      <w:bookmarkEnd w:id="3"/>
    </w:p>
    <w:p>
      <w:pPr>
        <w:spacing w:line="360" w:lineRule="auto"/>
        <w:ind w:firstLine="645" w:firstLineChars="300"/>
        <w:jc w:val="left"/>
        <w:rPr>
          <w:rFonts w:ascii="宋体" w:hAnsi="宋体" w:cs="宋体"/>
          <w:color w:val="000000" w:themeColor="text1"/>
          <w:u w:val="single"/>
          <w14:textFill>
            <w14:solidFill>
              <w14:schemeClr w14:val="tx1"/>
            </w14:solidFill>
          </w14:textFill>
        </w:rPr>
      </w:pPr>
    </w:p>
    <w:p>
      <w:pPr>
        <w:spacing w:line="360" w:lineRule="auto"/>
        <w:ind w:firstLine="490" w:firstLineChars="200"/>
        <w:jc w:val="left"/>
        <w:rPr>
          <w:rFonts w:ascii="宋体" w:hAnsi="宋体" w:cs="宋体"/>
          <w:color w:val="000000" w:themeColor="text1"/>
          <w:sz w:val="24"/>
          <w:szCs w:val="28"/>
          <w14:textFill>
            <w14:solidFill>
              <w14:schemeClr w14:val="tx1"/>
            </w14:solidFill>
          </w14:textFill>
        </w:rPr>
      </w:pPr>
      <w:r>
        <w:rPr>
          <w:rFonts w:hint="eastAsia" w:ascii="宋体" w:hAnsi="宋体" w:cs="宋体"/>
          <w:b/>
          <w:bCs/>
          <w:color w:val="000000" w:themeColor="text1"/>
          <w:sz w:val="24"/>
          <w:u w:val="single"/>
          <w14:textFill>
            <w14:solidFill>
              <w14:schemeClr w14:val="tx1"/>
            </w14:solidFill>
          </w14:textFill>
        </w:rPr>
        <w:t>四川同方建设咨询有限公司</w:t>
      </w:r>
      <w:r>
        <w:rPr>
          <w:rFonts w:hint="eastAsia" w:ascii="宋体" w:hAnsi="宋体" w:cs="宋体"/>
          <w:color w:val="000000" w:themeColor="text1"/>
          <w:sz w:val="24"/>
          <w14:textFill>
            <w14:solidFill>
              <w14:schemeClr w14:val="tx1"/>
            </w14:solidFill>
          </w14:textFill>
        </w:rPr>
        <w:t>（采购代理机构）受</w:t>
      </w:r>
      <w:r>
        <w:rPr>
          <w:rFonts w:hint="eastAsia" w:ascii="宋体" w:hAnsi="宋体" w:cs="宋体"/>
          <w:b/>
          <w:bCs/>
          <w:color w:val="000000" w:themeColor="text1"/>
          <w:sz w:val="24"/>
          <w:u w:val="single"/>
          <w14:textFill>
            <w14:solidFill>
              <w14:schemeClr w14:val="tx1"/>
            </w14:solidFill>
          </w14:textFill>
        </w:rPr>
        <w:t>邛崃市综合行政执法局</w:t>
      </w:r>
      <w:r>
        <w:rPr>
          <w:rFonts w:hint="eastAsia" w:ascii="宋体" w:hAnsi="宋体" w:cs="宋体"/>
          <w:bCs/>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委托，拟对</w:t>
      </w:r>
      <w:r>
        <w:rPr>
          <w:rFonts w:hint="eastAsia" w:ascii="宋体" w:hAnsi="宋体" w:cs="宋体"/>
          <w:b/>
          <w:bCs/>
          <w:color w:val="000000" w:themeColor="text1"/>
          <w:sz w:val="24"/>
          <w:u w:val="single"/>
          <w14:textFill>
            <w14:solidFill>
              <w14:schemeClr w14:val="tx1"/>
            </w14:solidFill>
          </w14:textFill>
        </w:rPr>
        <w:t>邛崃市综合行政执法局数字化城市管理信息采集和处理业务市场化服务项目</w:t>
      </w:r>
      <w:r>
        <w:rPr>
          <w:rFonts w:hint="eastAsia" w:ascii="宋体" w:hAnsi="宋体" w:cs="宋体"/>
          <w:color w:val="000000" w:themeColor="text1"/>
          <w:sz w:val="24"/>
          <w:szCs w:val="32"/>
          <w14:textFill>
            <w14:solidFill>
              <w14:schemeClr w14:val="tx1"/>
            </w14:solidFill>
          </w14:textFill>
        </w:rPr>
        <w:t>采用竞争性磋商方式</w:t>
      </w:r>
      <w:r>
        <w:rPr>
          <w:rFonts w:hint="eastAsia" w:ascii="宋体" w:hAnsi="宋体" w:cs="宋体"/>
          <w:color w:val="000000" w:themeColor="text1"/>
          <w:sz w:val="24"/>
          <w14:textFill>
            <w14:solidFill>
              <w14:schemeClr w14:val="tx1"/>
            </w14:solidFill>
          </w14:textFill>
        </w:rPr>
        <w:t>进行采购，特</w:t>
      </w:r>
      <w:r>
        <w:rPr>
          <w:rFonts w:hint="eastAsia" w:ascii="宋体" w:hAnsi="宋体" w:cs="宋体"/>
          <w:color w:val="000000" w:themeColor="text1"/>
          <w:sz w:val="24"/>
          <w:szCs w:val="28"/>
          <w14:textFill>
            <w14:solidFill>
              <w14:schemeClr w14:val="tx1"/>
            </w14:solidFill>
          </w14:textFill>
        </w:rPr>
        <w:t>邀请符合本次采购要求的供应商参加</w:t>
      </w:r>
      <w:r>
        <w:rPr>
          <w:rFonts w:hint="eastAsia" w:ascii="宋体" w:hAnsi="宋体" w:cs="宋体"/>
          <w:color w:val="000000" w:themeColor="text1"/>
          <w:sz w:val="24"/>
          <w14:textFill>
            <w14:solidFill>
              <w14:schemeClr w14:val="tx1"/>
            </w14:solidFill>
          </w14:textFill>
        </w:rPr>
        <w:t>本项目的竞争性磋商</w:t>
      </w:r>
      <w:r>
        <w:rPr>
          <w:rFonts w:hint="eastAsia" w:ascii="宋体" w:hAnsi="宋体" w:cs="宋体"/>
          <w:color w:val="000000" w:themeColor="text1"/>
          <w:sz w:val="24"/>
          <w:szCs w:val="28"/>
          <w14:textFill>
            <w14:solidFill>
              <w14:schemeClr w14:val="tx1"/>
            </w14:solidFill>
          </w14:textFill>
        </w:rPr>
        <w:t>。</w:t>
      </w:r>
    </w:p>
    <w:p>
      <w:pPr>
        <w:spacing w:line="360" w:lineRule="auto"/>
        <w:ind w:firstLine="490"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一、采购项目基本情况</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1.项目编号：510183202100095</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2.采购项目名称：邛崃市综合行政执法局数字化城市管理信息采集和处理业务市场化服务项目</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3.采购人：邛崃市综合行政执法局</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4.采购代理机构：四川同方建设咨询有限公司</w:t>
      </w:r>
    </w:p>
    <w:p>
      <w:pPr>
        <w:spacing w:line="360" w:lineRule="auto"/>
        <w:ind w:firstLine="490"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二、资金情况</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资金来源及金额：</w:t>
      </w:r>
      <w:r>
        <w:rPr>
          <w:rFonts w:hint="eastAsia" w:ascii="宋体" w:hAnsi="宋体" w:cs="宋体"/>
          <w:color w:val="000000"/>
          <w:sz w:val="24"/>
        </w:rPr>
        <w:t>财政性资金，采购预算：180万元/年。采购品目及编码：其他信息技术服务 C0299；</w:t>
      </w:r>
      <w:r>
        <w:rPr>
          <w:rFonts w:hint="eastAsia" w:ascii="宋体" w:hAnsi="宋体" w:cs="宋体"/>
          <w:bCs/>
          <w:color w:val="000000"/>
          <w:sz w:val="24"/>
        </w:rPr>
        <w:t>备案号：(2021)0515号。</w:t>
      </w:r>
    </w:p>
    <w:p>
      <w:pPr>
        <w:spacing w:line="360" w:lineRule="auto"/>
        <w:ind w:firstLine="490"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三、采购项目简介：</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本项目共一个包件，</w:t>
      </w:r>
      <w:r>
        <w:rPr>
          <w:rFonts w:hint="eastAsia" w:ascii="宋体" w:hAnsi="宋体" w:cs="宋体"/>
          <w:sz w:val="24"/>
        </w:rPr>
        <w:t>邛崃市综合行政执法局拟对邛崃市综合行政执法局数字化城市管理信息采集和处理业务市场化服务项目用竞争性磋商方式确定一名供应商为其提供所需服务。</w:t>
      </w:r>
      <w:r>
        <w:rPr>
          <w:rFonts w:hint="eastAsia" w:ascii="宋体" w:hAnsi="宋体" w:cs="宋体"/>
          <w:color w:val="000000" w:themeColor="text1"/>
          <w:sz w:val="24"/>
          <w14:textFill>
            <w14:solidFill>
              <w14:schemeClr w14:val="tx1"/>
            </w14:solidFill>
          </w14:textFill>
        </w:rPr>
        <w:t>所属行业为：其他未列明行业（具体要求详见磋商文件第五章）。</w:t>
      </w:r>
    </w:p>
    <w:p>
      <w:pPr>
        <w:spacing w:after="120" w:line="360" w:lineRule="auto"/>
        <w:ind w:firstLine="490"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四、供应商邀请方式</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公告方式：本次竞争性磋商邀请在四川政府采购网（www.ccgp-sichuan.gov.cn）上以公告形式发布。</w:t>
      </w:r>
    </w:p>
    <w:p>
      <w:pPr>
        <w:spacing w:after="120" w:line="360" w:lineRule="auto"/>
        <w:ind w:firstLine="490"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五、供应商参加本次政府采购活动应具备下列条件：</w:t>
      </w:r>
    </w:p>
    <w:p>
      <w:pPr>
        <w:pStyle w:val="64"/>
        <w:ind w:firstLine="735"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（一）满足《中华人民共和国政府采购法》第二十二条规定：</w:t>
      </w:r>
    </w:p>
    <w:p>
      <w:pPr>
        <w:pStyle w:val="64"/>
        <w:ind w:firstLine="735"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pStyle w:val="64"/>
        <w:ind w:firstLine="735"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2、具有良好的商业信誉和健全的财务会计制度；</w:t>
      </w:r>
    </w:p>
    <w:p>
      <w:pPr>
        <w:pStyle w:val="64"/>
        <w:ind w:firstLine="735"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pStyle w:val="64"/>
        <w:ind w:firstLine="735"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pStyle w:val="64"/>
        <w:ind w:firstLine="735"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pPr>
        <w:pStyle w:val="64"/>
        <w:ind w:firstLine="735"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6、法律、行政法规规定的其他条件；</w:t>
      </w:r>
    </w:p>
    <w:p>
      <w:pPr>
        <w:tabs>
          <w:tab w:val="left" w:pos="7665"/>
        </w:tabs>
        <w:spacing w:line="440" w:lineRule="exact"/>
        <w:ind w:firstLine="612"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（二）落实政府采购政策需满足的资格要求：本项目专门面向中小企业。</w:t>
      </w:r>
    </w:p>
    <w:p>
      <w:pPr>
        <w:tabs>
          <w:tab w:val="left" w:pos="7665"/>
        </w:tabs>
        <w:spacing w:line="440" w:lineRule="exact"/>
        <w:ind w:firstLine="612"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（三）本项目的特定资格要求：无。</w:t>
      </w:r>
    </w:p>
    <w:p>
      <w:pPr>
        <w:spacing w:line="360" w:lineRule="auto"/>
        <w:ind w:firstLine="490"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六、本次政府采购项目不接受以联合体的形式参与磋商。</w:t>
      </w:r>
    </w:p>
    <w:p>
      <w:pPr>
        <w:spacing w:line="360" w:lineRule="auto"/>
        <w:ind w:firstLine="490"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七、禁止参加本次采购活动的供应商</w:t>
      </w:r>
    </w:p>
    <w:p>
      <w:pPr>
        <w:spacing w:after="5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根据《财政部关于在政府采购活动中查询及使用信用记录的通知》</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财库</w:t>
      </w:r>
      <w:r>
        <w:rPr>
          <w:rFonts w:hint="eastAsia" w:ascii="宋体" w:hAnsi="宋体" w:cs="宋体"/>
          <w:color w:val="000000" w:themeColor="text1"/>
          <w:sz w:val="24"/>
          <w14:textFill>
            <w14:solidFill>
              <w14:schemeClr w14:val="tx1"/>
            </w14:solidFill>
          </w14:textFill>
        </w:rPr>
        <w:t>[2016]125</w:t>
      </w:r>
      <w:r>
        <w:rPr>
          <w:rFonts w:hint="eastAsia" w:ascii="宋体" w:hAnsi="宋体" w:cs="宋体"/>
          <w:color w:val="000000" w:themeColor="text1"/>
          <w:sz w:val="24"/>
          <w:lang w:val="zh-CN"/>
          <w14:textFill>
            <w14:solidFill>
              <w14:schemeClr w14:val="tx1"/>
            </w14:solidFill>
          </w14:textFill>
        </w:rPr>
        <w:t>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采购代理机构将通过</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信用中国</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网站</w:t>
      </w:r>
      <w:r>
        <w:rPr>
          <w:rFonts w:hint="eastAsia" w:ascii="宋体" w:hAnsi="宋体" w:cs="宋体"/>
          <w:color w:val="000000" w:themeColor="text1"/>
          <w:sz w:val="24"/>
          <w14:textFill>
            <w14:solidFill>
              <w14:schemeClr w14:val="tx1"/>
            </w14:solidFill>
          </w14:textFill>
        </w:rPr>
        <w:t>（www.creditchina.gov.cn）</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中国政府采购网</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网站</w:t>
      </w:r>
      <w:r>
        <w:rPr>
          <w:rFonts w:hint="eastAsia" w:ascii="宋体" w:hAnsi="宋体" w:cs="宋体"/>
          <w:color w:val="000000" w:themeColor="text1"/>
          <w:sz w:val="24"/>
          <w14:textFill>
            <w14:solidFill>
              <w14:schemeClr w14:val="tx1"/>
            </w14:solidFill>
          </w14:textFill>
        </w:rPr>
        <w:t>（www.ccgp.gov.cn）</w:t>
      </w:r>
      <w:r>
        <w:rPr>
          <w:rFonts w:hint="eastAsia" w:ascii="宋体" w:hAnsi="宋体" w:cs="宋体"/>
          <w:color w:val="000000" w:themeColor="text1"/>
          <w:sz w:val="24"/>
          <w:lang w:val="zh-CN"/>
          <w14:textFill>
            <w14:solidFill>
              <w14:schemeClr w14:val="tx1"/>
            </w14:solidFill>
          </w14:textFill>
        </w:rPr>
        <w:t>等渠道查询</w:t>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zh-CN"/>
          <w14:textFill>
            <w14:solidFill>
              <w14:schemeClr w14:val="tx1"/>
            </w14:solidFill>
          </w14:textFill>
        </w:rPr>
        <w:t>的信用记录并保存信用记录结果网页截图</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拒绝列入失信被执行人、重大税收违法案件当事人名单、政府采购严重违法失信行为记录名单中的</w:t>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zh-CN"/>
          <w14:textFill>
            <w14:solidFill>
              <w14:schemeClr w14:val="tx1"/>
            </w14:solidFill>
          </w14:textFill>
        </w:rPr>
        <w:t>参加本项目的政府采购活动。</w:t>
      </w:r>
    </w:p>
    <w:p>
      <w:pPr>
        <w:spacing w:line="360" w:lineRule="auto"/>
        <w:ind w:firstLine="490"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八、磋商文件获取方式、时间、地点：</w:t>
      </w:r>
    </w:p>
    <w:p>
      <w:pPr>
        <w:spacing w:line="360" w:lineRule="auto"/>
        <w:ind w:firstLine="490" w:firstLineChars="200"/>
        <w:rPr>
          <w:rFonts w:ascii="宋体" w:hAnsi="宋体" w:cs="宋体"/>
          <w:sz w:val="24"/>
        </w:rPr>
      </w:pPr>
      <w:bookmarkStart w:id="4" w:name="PO_默认文件内容_29"/>
      <w:r>
        <w:rPr>
          <w:rFonts w:hint="eastAsia" w:ascii="宋体" w:hAnsi="宋体" w:cs="宋体"/>
          <w:color w:val="000000" w:themeColor="text1"/>
          <w:sz w:val="24"/>
          <w14:textFill>
            <w14:solidFill>
              <w14:schemeClr w14:val="tx1"/>
            </w14:solidFill>
          </w14:textFill>
        </w:rPr>
        <w:t>1、采购文件获取时间：自2021年09月1</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日至2021年0</w:t>
      </w: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月2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日09:00- 17:00</w:t>
      </w:r>
      <w:r>
        <w:rPr>
          <w:rFonts w:hint="eastAsia" w:ascii="宋体" w:hAnsi="宋体" w:cs="宋体"/>
          <w:color w:val="000000" w:themeColor="text1"/>
          <w:sz w:val="24"/>
          <w:szCs w:val="28"/>
          <w14:textFill>
            <w14:solidFill>
              <w14:schemeClr w14:val="tx1"/>
            </w14:solidFill>
          </w14:textFill>
        </w:rPr>
        <w:t>（北京时间，法定节假日除外）</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szCs w:val="18"/>
        </w:rPr>
        <w:t>本项目</w:t>
      </w:r>
      <w:r>
        <w:rPr>
          <w:rFonts w:hint="eastAsia" w:ascii="宋体" w:hAnsi="宋体" w:cs="宋体"/>
          <w:sz w:val="24"/>
        </w:rPr>
        <w:t>采购</w:t>
      </w:r>
      <w:r>
        <w:rPr>
          <w:rFonts w:hint="eastAsia" w:ascii="宋体" w:hAnsi="宋体" w:cs="宋体"/>
          <w:sz w:val="24"/>
          <w:szCs w:val="18"/>
        </w:rPr>
        <w:t>文件无偿获取</w:t>
      </w:r>
      <w:r>
        <w:rPr>
          <w:rFonts w:hint="eastAsia" w:ascii="宋体" w:hAnsi="宋体" w:cs="宋体"/>
          <w:sz w:val="24"/>
        </w:rPr>
        <w:t>（磋商资格不能转让）。</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2、采购文件获取方式：在“政府采购云平台”（网址：https://www.zcygov.cn）获取采购文件。登录“政府采购云平台”—项目采购—获取采购文件—申请获取采购文件。</w:t>
      </w:r>
    </w:p>
    <w:p>
      <w:pPr>
        <w:spacing w:line="360" w:lineRule="auto"/>
        <w:ind w:firstLine="48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注：因通过“政府采购云平台”报名的项目不能提前获取供应商信息及联系方式，采购人或采购代理机构若发布澄清、修改、变更等信息将不再逐一通知供应商，请报名供应商自行关注四川政府采购网相关的项目信息动态。</w:t>
      </w:r>
    </w:p>
    <w:bookmarkEnd w:id="4"/>
    <w:p>
      <w:pPr>
        <w:spacing w:after="120" w:line="360" w:lineRule="auto"/>
        <w:ind w:firstLine="490" w:firstLineChars="200"/>
        <w:rPr>
          <w:rFonts w:ascii="宋体" w:hAnsi="宋体" w:cs="宋体"/>
          <w:color w:val="000000" w:themeColor="text1"/>
          <w:sz w:val="24"/>
          <w:szCs w:val="28"/>
          <w14:textFill>
            <w14:solidFill>
              <w14:schemeClr w14:val="tx1"/>
            </w14:solidFill>
          </w14:textFill>
        </w:rPr>
      </w:pPr>
      <w:r>
        <w:rPr>
          <w:rFonts w:hint="eastAsia" w:ascii="宋体" w:hAnsi="宋体" w:cs="宋体"/>
          <w:b/>
          <w:color w:val="000000" w:themeColor="text1"/>
          <w:sz w:val="24"/>
          <w:szCs w:val="28"/>
          <w14:textFill>
            <w14:solidFill>
              <w14:schemeClr w14:val="tx1"/>
            </w14:solidFill>
          </w14:textFill>
        </w:rPr>
        <w:t>九、递交响应文件</w:t>
      </w:r>
      <w:r>
        <w:rPr>
          <w:rFonts w:hint="eastAsia" w:ascii="宋体" w:hAnsi="宋体" w:cs="宋体"/>
          <w:b/>
          <w:color w:val="000000" w:themeColor="text1"/>
          <w:sz w:val="24"/>
          <w14:textFill>
            <w14:solidFill>
              <w14:schemeClr w14:val="tx1"/>
            </w14:solidFill>
          </w14:textFill>
        </w:rPr>
        <w:t>截止时间：</w:t>
      </w:r>
      <w:r>
        <w:rPr>
          <w:rFonts w:hint="eastAsia" w:ascii="宋体" w:hAnsi="宋体" w:cs="宋体"/>
          <w:color w:val="000000" w:themeColor="text1"/>
          <w:sz w:val="24"/>
          <w14:textFill>
            <w14:solidFill>
              <w14:schemeClr w14:val="tx1"/>
            </w14:solidFill>
          </w14:textFill>
        </w:rPr>
        <w:t>2021年09月27日10:30</w:t>
      </w:r>
      <w:r>
        <w:rPr>
          <w:rFonts w:hint="eastAsia" w:ascii="宋体" w:hAnsi="宋体" w:cs="宋体"/>
          <w:color w:val="000000" w:themeColor="text1"/>
          <w:sz w:val="24"/>
          <w:szCs w:val="28"/>
          <w14:textFill>
            <w14:solidFill>
              <w14:schemeClr w14:val="tx1"/>
            </w14:solidFill>
          </w14:textFill>
        </w:rPr>
        <w:t>（北京时间）。</w:t>
      </w:r>
    </w:p>
    <w:p>
      <w:pPr>
        <w:spacing w:after="120" w:line="360" w:lineRule="auto"/>
        <w:ind w:firstLine="490" w:firstLineChars="200"/>
        <w:rPr>
          <w:rFonts w:ascii="宋体" w:hAnsi="宋体" w:cs="宋体"/>
          <w:color w:val="000000" w:themeColor="text1"/>
          <w:sz w:val="24"/>
          <w:szCs w:val="28"/>
          <w14:textFill>
            <w14:solidFill>
              <w14:schemeClr w14:val="tx1"/>
            </w14:solidFill>
          </w14:textFill>
        </w:rPr>
      </w:pPr>
      <w:r>
        <w:rPr>
          <w:rFonts w:hint="eastAsia" w:ascii="宋体" w:hAnsi="宋体" w:cs="宋体"/>
          <w:b/>
          <w:color w:val="000000" w:themeColor="text1"/>
          <w:sz w:val="24"/>
          <w:szCs w:val="28"/>
          <w14:textFill>
            <w14:solidFill>
              <w14:schemeClr w14:val="tx1"/>
            </w14:solidFill>
          </w14:textFill>
        </w:rPr>
        <w:t>十</w:t>
      </w:r>
      <w:r>
        <w:rPr>
          <w:rFonts w:hint="eastAsia" w:ascii="宋体" w:hAnsi="宋体" w:cs="宋体"/>
          <w:b/>
          <w:color w:val="000000" w:themeColor="text1"/>
          <w:sz w:val="24"/>
          <w14:textFill>
            <w14:solidFill>
              <w14:schemeClr w14:val="tx1"/>
            </w14:solidFill>
          </w14:textFill>
        </w:rPr>
        <w:t>、递交响应文件地点：</w:t>
      </w:r>
      <w:r>
        <w:rPr>
          <w:rFonts w:hint="eastAsia" w:ascii="宋体" w:hAnsi="宋体" w:cs="宋体"/>
          <w:color w:val="000000" w:themeColor="text1"/>
          <w:sz w:val="24"/>
          <w14:textFill>
            <w14:solidFill>
              <w14:schemeClr w14:val="tx1"/>
            </w14:solidFill>
          </w14:textFill>
        </w:rPr>
        <w:t>响应文件必须在递交响应文件截止时间之前送达磋商地点。逾期送达、密封和标注错误的响应文件，采购代理机构恕不接收。本次采购不接收邮寄的响应文件。</w:t>
      </w:r>
    </w:p>
    <w:p>
      <w:pPr>
        <w:spacing w:after="120" w:line="360" w:lineRule="auto"/>
        <w:ind w:firstLine="490" w:firstLineChars="200"/>
        <w:rPr>
          <w:rFonts w:ascii="宋体" w:hAnsi="宋体" w:cs="宋体"/>
          <w:color w:val="000000" w:themeColor="text1"/>
          <w:sz w:val="24"/>
          <w:szCs w:val="28"/>
          <w14:textFill>
            <w14:solidFill>
              <w14:schemeClr w14:val="tx1"/>
            </w14:solidFill>
          </w14:textFill>
        </w:rPr>
      </w:pPr>
      <w:r>
        <w:rPr>
          <w:rFonts w:hint="eastAsia" w:ascii="宋体" w:hAnsi="宋体" w:cs="宋体"/>
          <w:b/>
          <w:color w:val="000000" w:themeColor="text1"/>
          <w:sz w:val="24"/>
          <w:szCs w:val="28"/>
          <w14:textFill>
            <w14:solidFill>
              <w14:schemeClr w14:val="tx1"/>
            </w14:solidFill>
          </w14:textFill>
        </w:rPr>
        <w:t>十一、响应文件开启时间：</w:t>
      </w:r>
      <w:r>
        <w:rPr>
          <w:rFonts w:hint="eastAsia" w:ascii="宋体" w:hAnsi="宋体" w:cs="宋体"/>
          <w:color w:val="000000" w:themeColor="text1"/>
          <w:sz w:val="24"/>
          <w14:textFill>
            <w14:solidFill>
              <w14:schemeClr w14:val="tx1"/>
            </w14:solidFill>
          </w14:textFill>
        </w:rPr>
        <w:t>2021年09月27日10:30</w:t>
      </w:r>
      <w:r>
        <w:rPr>
          <w:rFonts w:hint="eastAsia" w:ascii="宋体" w:hAnsi="宋体" w:cs="宋体"/>
          <w:color w:val="000000" w:themeColor="text1"/>
          <w:sz w:val="24"/>
          <w:szCs w:val="28"/>
          <w14:textFill>
            <w14:solidFill>
              <w14:schemeClr w14:val="tx1"/>
            </w14:solidFill>
          </w14:textFill>
        </w:rPr>
        <w:t>（北京时间）在磋商地点开启。</w:t>
      </w:r>
    </w:p>
    <w:p>
      <w:pPr>
        <w:spacing w:line="360" w:lineRule="auto"/>
        <w:ind w:firstLine="497" w:firstLineChars="203"/>
        <w:rPr>
          <w:rFonts w:ascii="宋体" w:hAnsi="宋体" w:cs="宋体"/>
          <w:color w:val="000000" w:themeColor="text1"/>
          <w:sz w:val="24"/>
          <w:szCs w:val="28"/>
          <w14:textFill>
            <w14:solidFill>
              <w14:schemeClr w14:val="tx1"/>
            </w14:solidFill>
          </w14:textFill>
        </w:rPr>
      </w:pPr>
      <w:r>
        <w:rPr>
          <w:rFonts w:hint="eastAsia" w:ascii="宋体" w:hAnsi="宋体" w:cs="宋体"/>
          <w:b/>
          <w:color w:val="000000" w:themeColor="text1"/>
          <w:sz w:val="24"/>
          <w:szCs w:val="28"/>
          <w14:textFill>
            <w14:solidFill>
              <w14:schemeClr w14:val="tx1"/>
            </w14:solidFill>
          </w14:textFill>
        </w:rPr>
        <w:t>十二、磋商地点：</w:t>
      </w:r>
      <w:r>
        <w:rPr>
          <w:rFonts w:hint="eastAsia" w:ascii="宋体" w:hAnsi="宋体" w:cs="宋体"/>
          <w:b/>
          <w:bCs/>
          <w:color w:val="000000" w:themeColor="text1"/>
          <w:sz w:val="24"/>
          <w:szCs w:val="28"/>
          <w:u w:val="single"/>
          <w14:textFill>
            <w14:solidFill>
              <w14:schemeClr w14:val="tx1"/>
            </w14:solidFill>
          </w14:textFill>
        </w:rPr>
        <w:t>邛崃市公共资源交易服务中心（四川省成都市邛崃市凤凰大道567号邛崃市政务服务中心8层本项目开标室）</w:t>
      </w:r>
      <w:r>
        <w:rPr>
          <w:rFonts w:hint="eastAsia" w:ascii="宋体" w:hAnsi="宋体" w:cs="宋体"/>
          <w:color w:val="000000" w:themeColor="text1"/>
          <w:sz w:val="24"/>
          <w:szCs w:val="28"/>
          <w14:textFill>
            <w14:solidFill>
              <w14:schemeClr w14:val="tx1"/>
            </w14:solidFill>
          </w14:textFill>
        </w:rPr>
        <w:t>。</w:t>
      </w:r>
    </w:p>
    <w:p>
      <w:pPr>
        <w:pStyle w:val="64"/>
        <w:ind w:firstLine="49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十三、联系方式</w:t>
      </w:r>
    </w:p>
    <w:p>
      <w:pPr>
        <w:spacing w:line="360" w:lineRule="auto"/>
        <w:ind w:firstLine="48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采购人：邛崃市综合行政执法局</w:t>
      </w:r>
    </w:p>
    <w:p>
      <w:pPr>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地址：邛崃市南街36号</w:t>
      </w:r>
    </w:p>
    <w:p>
      <w:pPr>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联系人：付女士</w:t>
      </w:r>
    </w:p>
    <w:p>
      <w:pPr>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联系电话：028-88791964</w:t>
      </w:r>
    </w:p>
    <w:p>
      <w:pPr>
        <w:spacing w:line="360" w:lineRule="auto"/>
        <w:ind w:firstLine="482"/>
        <w:rPr>
          <w:rFonts w:ascii="宋体" w:hAnsi="宋体" w:cs="宋体"/>
          <w:b/>
          <w:bCs/>
          <w:color w:val="000000" w:themeColor="text1"/>
          <w:sz w:val="24"/>
          <w14:textFill>
            <w14:solidFill>
              <w14:schemeClr w14:val="tx1"/>
            </w14:solidFill>
          </w14:textFill>
        </w:rPr>
      </w:pPr>
    </w:p>
    <w:p>
      <w:pPr>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四川同方建设咨询有限公司</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地址：成都市</w:t>
      </w:r>
      <w:r>
        <w:rPr>
          <w:rFonts w:hint="eastAsia" w:ascii="宋体" w:hAnsi="宋体" w:cs="宋体"/>
          <w:bCs/>
          <w:color w:val="000000" w:themeColor="text1"/>
          <w:sz w:val="24"/>
          <w:szCs w:val="28"/>
          <w14:textFill>
            <w14:solidFill>
              <w14:schemeClr w14:val="tx1"/>
            </w14:solidFill>
          </w14:textFill>
        </w:rPr>
        <w:t>青羊区</w:t>
      </w:r>
      <w:r>
        <w:rPr>
          <w:rFonts w:hint="eastAsia" w:ascii="宋体" w:hAnsi="宋体" w:cs="宋体"/>
          <w:color w:val="000000" w:themeColor="text1"/>
          <w:sz w:val="24"/>
          <w14:textFill>
            <w14:solidFill>
              <w14:schemeClr w14:val="tx1"/>
            </w14:solidFill>
          </w14:textFill>
        </w:rPr>
        <w:t>西御街8号西御大厦A座24楼</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联系人：谢女士</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联系电话：028-86155821</w:t>
      </w:r>
    </w:p>
    <w:p>
      <w:pPr>
        <w:pStyle w:val="21"/>
        <w:spacing w:before="0" w:beforeAutospacing="0" w:after="0" w:afterAutospacing="0" w:line="360" w:lineRule="auto"/>
        <w:ind w:firstLine="7962" w:firstLineChars="3250"/>
        <w:rPr>
          <w:rFonts w:cs="宋体"/>
          <w:color w:val="000000" w:themeColor="text1"/>
          <w:sz w:val="24"/>
          <w:szCs w:val="24"/>
          <w14:textFill>
            <w14:solidFill>
              <w14:schemeClr w14:val="tx1"/>
            </w14:solidFill>
          </w14:textFill>
        </w:rPr>
      </w:pPr>
    </w:p>
    <w:p>
      <w:pPr>
        <w:pStyle w:val="21"/>
        <w:spacing w:before="0" w:beforeAutospacing="0" w:after="0" w:afterAutospacing="0" w:line="360" w:lineRule="auto"/>
        <w:ind w:firstLine="7962" w:firstLineChars="3250"/>
        <w:rPr>
          <w:rFonts w:cs="宋体"/>
          <w:color w:val="000000" w:themeColor="text1"/>
          <w:sz w:val="24"/>
          <w:szCs w:val="24"/>
          <w14:textFill>
            <w14:solidFill>
              <w14:schemeClr w14:val="tx1"/>
            </w14:solidFill>
          </w14:textFill>
        </w:rPr>
      </w:pPr>
    </w:p>
    <w:p>
      <w:pPr>
        <w:pStyle w:val="21"/>
        <w:spacing w:before="0" w:beforeAutospacing="0" w:after="0" w:afterAutospacing="0" w:line="360" w:lineRule="auto"/>
        <w:ind w:firstLine="7962" w:firstLineChars="325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2021年</w:t>
      </w:r>
      <w:r>
        <w:rPr>
          <w:rFonts w:cs="宋体"/>
          <w:color w:val="000000" w:themeColor="text1"/>
          <w:sz w:val="24"/>
          <w:szCs w:val="24"/>
          <w14:textFill>
            <w14:solidFill>
              <w14:schemeClr w14:val="tx1"/>
            </w14:solidFill>
          </w14:textFill>
        </w:rPr>
        <w:t>9</w:t>
      </w:r>
      <w:r>
        <w:rPr>
          <w:rFonts w:hint="eastAsia" w:cs="宋体"/>
          <w:color w:val="000000" w:themeColor="text1"/>
          <w:sz w:val="24"/>
          <w:szCs w:val="24"/>
          <w14:textFill>
            <w14:solidFill>
              <w14:schemeClr w14:val="tx1"/>
            </w14:solidFill>
          </w14:textFill>
        </w:rPr>
        <w:t>月</w:t>
      </w:r>
    </w:p>
    <w:p>
      <w:pPr>
        <w:pStyle w:val="3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keepNext w:val="0"/>
        <w:keepLines w:val="0"/>
        <w:spacing w:before="0" w:after="0" w:line="240" w:lineRule="auto"/>
        <w:jc w:val="center"/>
        <w:rPr>
          <w:rFonts w:ascii="宋体" w:hAnsi="宋体" w:cs="宋体"/>
          <w:color w:val="000000" w:themeColor="text1"/>
          <w:sz w:val="36"/>
          <w:szCs w:val="36"/>
          <w14:textFill>
            <w14:solidFill>
              <w14:schemeClr w14:val="tx1"/>
            </w14:solidFill>
          </w14:textFill>
        </w:rPr>
      </w:pPr>
      <w:bookmarkStart w:id="5" w:name="_Toc213496267"/>
      <w:bookmarkStart w:id="6" w:name="_Toc217446031"/>
      <w:bookmarkStart w:id="7" w:name="_Toc213397009"/>
      <w:bookmarkStart w:id="8" w:name="_Toc213396945"/>
      <w:bookmarkStart w:id="9" w:name="_Toc213396759"/>
      <w:bookmarkStart w:id="10" w:name="_Toc47706399"/>
      <w:r>
        <w:rPr>
          <w:rFonts w:hint="eastAsia" w:ascii="宋体" w:hAnsi="宋体" w:cs="宋体"/>
          <w:color w:val="000000" w:themeColor="text1"/>
          <w:sz w:val="36"/>
          <w:szCs w:val="36"/>
          <w14:textFill>
            <w14:solidFill>
              <w14:schemeClr w14:val="tx1"/>
            </w14:solidFill>
          </w14:textFill>
        </w:rPr>
        <w:t>第二章  磋商须知</w:t>
      </w:r>
      <w:bookmarkEnd w:id="5"/>
      <w:bookmarkEnd w:id="6"/>
      <w:bookmarkEnd w:id="7"/>
      <w:bookmarkEnd w:id="8"/>
      <w:bookmarkEnd w:id="9"/>
      <w:bookmarkEnd w:id="10"/>
    </w:p>
    <w:p>
      <w:pPr>
        <w:pStyle w:val="4"/>
        <w:keepNext w:val="0"/>
        <w:keepLines w:val="0"/>
        <w:spacing w:before="0" w:after="0" w:line="24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一、供应商须知附表</w:t>
      </w:r>
    </w:p>
    <w:tbl>
      <w:tblPr>
        <w:tblStyle w:val="2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2177"/>
        <w:gridCol w:w="68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706" w:type="dxa"/>
            <w:vAlign w:val="center"/>
          </w:tcPr>
          <w:p>
            <w:pPr>
              <w:pStyle w:val="57"/>
              <w:ind w:left="51" w:right="111" w:rightChars="52"/>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序号</w:t>
            </w:r>
          </w:p>
        </w:tc>
        <w:tc>
          <w:tcPr>
            <w:tcW w:w="2177" w:type="dxa"/>
            <w:vAlign w:val="center"/>
          </w:tcPr>
          <w:p>
            <w:pPr>
              <w:pStyle w:val="57"/>
              <w:ind w:left="51" w:right="111" w:rightChars="52"/>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 xml:space="preserve">应知事项 </w:t>
            </w:r>
          </w:p>
        </w:tc>
        <w:tc>
          <w:tcPr>
            <w:tcW w:w="6800" w:type="dxa"/>
            <w:vAlign w:val="center"/>
          </w:tcPr>
          <w:p>
            <w:pPr>
              <w:pStyle w:val="57"/>
              <w:ind w:left="51" w:right="111" w:rightChars="52"/>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说明和要求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57"/>
              <w:numPr>
                <w:ilvl w:val="0"/>
                <w:numId w:val="3"/>
              </w:numPr>
              <w:ind w:right="111" w:rightChars="52"/>
              <w:jc w:val="center"/>
              <w:rPr>
                <w:color w:val="000000" w:themeColor="text1"/>
                <w:kern w:val="2"/>
                <w:sz w:val="21"/>
                <w:szCs w:val="21"/>
                <w:lang w:val="zh-CN"/>
                <w14:textFill>
                  <w14:solidFill>
                    <w14:schemeClr w14:val="tx1"/>
                  </w14:solidFill>
                </w14:textFill>
              </w:rPr>
            </w:pPr>
          </w:p>
        </w:tc>
        <w:tc>
          <w:tcPr>
            <w:tcW w:w="2177" w:type="dxa"/>
            <w:vAlign w:val="center"/>
          </w:tcPr>
          <w:p>
            <w:pPr>
              <w:pStyle w:val="57"/>
              <w:ind w:left="51" w:right="111" w:rightChars="52"/>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确定邀请磋商的供应商数量和方式</w:t>
            </w:r>
          </w:p>
        </w:tc>
        <w:tc>
          <w:tcPr>
            <w:tcW w:w="6800" w:type="dxa"/>
            <w:vAlign w:val="center"/>
          </w:tcPr>
          <w:p>
            <w:pPr>
              <w:pStyle w:val="57"/>
              <w:spacing w:before="156" w:beforeLines="50" w:after="156" w:afterLines="50"/>
              <w:ind w:firstLine="430" w:firstLineChars="20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本次采购采取在四川政府采购网上以公告形式发布的方式邀请至少三名非特定的供应商参加磋商。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57"/>
              <w:numPr>
                <w:ilvl w:val="0"/>
                <w:numId w:val="3"/>
              </w:numPr>
              <w:ind w:right="111" w:rightChars="52"/>
              <w:jc w:val="center"/>
              <w:rPr>
                <w:color w:val="000000" w:themeColor="text1"/>
                <w:kern w:val="2"/>
                <w:sz w:val="21"/>
                <w:szCs w:val="21"/>
                <w:lang w:val="zh-CN"/>
                <w14:textFill>
                  <w14:solidFill>
                    <w14:schemeClr w14:val="tx1"/>
                  </w14:solidFill>
                </w14:textFill>
              </w:rPr>
            </w:pPr>
          </w:p>
        </w:tc>
        <w:tc>
          <w:tcPr>
            <w:tcW w:w="2177" w:type="dxa"/>
            <w:vAlign w:val="center"/>
          </w:tcPr>
          <w:p>
            <w:pPr>
              <w:pStyle w:val="57"/>
              <w:ind w:left="51" w:right="111" w:rightChars="52"/>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采购预算</w:t>
            </w:r>
          </w:p>
          <w:p>
            <w:pPr>
              <w:pStyle w:val="57"/>
              <w:ind w:left="51" w:right="111" w:rightChars="52"/>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（实质性要求）</w:t>
            </w:r>
          </w:p>
        </w:tc>
        <w:tc>
          <w:tcPr>
            <w:tcW w:w="6800" w:type="dxa"/>
            <w:vAlign w:val="center"/>
          </w:tcPr>
          <w:p>
            <w:pPr>
              <w:spacing w:before="156" w:beforeLines="50" w:after="156" w:afterLines="50"/>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采购预算：</w:t>
            </w:r>
            <w:r>
              <w:rPr>
                <w:rFonts w:hint="eastAsia" w:ascii="宋体" w:hAnsi="宋体"/>
                <w:szCs w:val="21"/>
              </w:rPr>
              <w:t>180万元/年。</w:t>
            </w:r>
          </w:p>
          <w:p>
            <w:pPr>
              <w:pStyle w:val="57"/>
              <w:spacing w:before="156" w:beforeLines="50" w:after="156" w:afterLines="50"/>
              <w:ind w:firstLine="430" w:firstLineChars="200"/>
              <w:rPr>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超过采购预算的报价无效。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57"/>
              <w:numPr>
                <w:ilvl w:val="0"/>
                <w:numId w:val="3"/>
              </w:numPr>
              <w:ind w:right="111" w:rightChars="52"/>
              <w:jc w:val="center"/>
              <w:rPr>
                <w:color w:val="000000" w:themeColor="text1"/>
                <w:kern w:val="2"/>
                <w:sz w:val="21"/>
                <w:szCs w:val="21"/>
                <w:lang w:val="zh-CN"/>
                <w14:textFill>
                  <w14:solidFill>
                    <w14:schemeClr w14:val="tx1"/>
                  </w14:solidFill>
                </w14:textFill>
              </w:rPr>
            </w:pPr>
          </w:p>
        </w:tc>
        <w:tc>
          <w:tcPr>
            <w:tcW w:w="2177" w:type="dxa"/>
            <w:vAlign w:val="center"/>
          </w:tcPr>
          <w:p>
            <w:pPr>
              <w:pStyle w:val="57"/>
              <w:ind w:left="51" w:right="111" w:rightChars="52"/>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最高限价</w:t>
            </w:r>
          </w:p>
          <w:p>
            <w:pPr>
              <w:pStyle w:val="57"/>
              <w:ind w:left="51" w:right="111" w:rightChars="52"/>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（实质性要求）</w:t>
            </w:r>
          </w:p>
        </w:tc>
        <w:tc>
          <w:tcPr>
            <w:tcW w:w="6800" w:type="dxa"/>
            <w:vAlign w:val="center"/>
          </w:tcPr>
          <w:p>
            <w:pPr>
              <w:autoSpaceDE w:val="0"/>
              <w:autoSpaceDN w:val="0"/>
              <w:adjustRightInd w:val="0"/>
              <w:spacing w:before="156" w:beforeLines="50" w:after="156" w:afterLines="50"/>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w:t>
            </w:r>
            <w:r>
              <w:rPr>
                <w:rFonts w:hint="eastAsia" w:ascii="宋体" w:hAnsi="宋体"/>
                <w:szCs w:val="21"/>
              </w:rPr>
              <w:t>180万元/年。</w:t>
            </w:r>
          </w:p>
          <w:p>
            <w:pPr>
              <w:pStyle w:val="57"/>
              <w:spacing w:before="156" w:beforeLines="50" w:after="156" w:afterLines="50"/>
              <w:ind w:firstLine="430" w:firstLineChars="20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超过最高限价的报价无效。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57"/>
              <w:numPr>
                <w:ilvl w:val="0"/>
                <w:numId w:val="3"/>
              </w:numPr>
              <w:ind w:right="111" w:rightChars="52"/>
              <w:jc w:val="center"/>
              <w:rPr>
                <w:color w:val="000000" w:themeColor="text1"/>
                <w:kern w:val="2"/>
                <w:sz w:val="21"/>
                <w:szCs w:val="21"/>
                <w:lang w:val="zh-CN"/>
                <w14:textFill>
                  <w14:solidFill>
                    <w14:schemeClr w14:val="tx1"/>
                  </w14:solidFill>
                </w14:textFill>
              </w:rPr>
            </w:pPr>
          </w:p>
        </w:tc>
        <w:tc>
          <w:tcPr>
            <w:tcW w:w="2177" w:type="dxa"/>
            <w:vAlign w:val="center"/>
          </w:tcPr>
          <w:p>
            <w:pPr>
              <w:pStyle w:val="57"/>
              <w:ind w:left="51" w:right="111" w:rightChars="52"/>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联合体</w:t>
            </w:r>
          </w:p>
          <w:p>
            <w:pPr>
              <w:pStyle w:val="57"/>
              <w:ind w:left="51" w:right="111" w:rightChars="52"/>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（实质性要求）</w:t>
            </w:r>
          </w:p>
        </w:tc>
        <w:tc>
          <w:tcPr>
            <w:tcW w:w="6800" w:type="dxa"/>
            <w:vAlign w:val="center"/>
          </w:tcPr>
          <w:p>
            <w:pPr>
              <w:pStyle w:val="57"/>
              <w:spacing w:before="156" w:beforeLines="50" w:after="156" w:afterLines="50"/>
              <w:ind w:firstLine="430" w:firstLineChars="20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不允许联合体。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57"/>
              <w:numPr>
                <w:ilvl w:val="0"/>
                <w:numId w:val="3"/>
              </w:numPr>
              <w:ind w:right="111" w:rightChars="52"/>
              <w:jc w:val="center"/>
              <w:rPr>
                <w:color w:val="000000" w:themeColor="text1"/>
                <w:kern w:val="2"/>
                <w:sz w:val="21"/>
                <w:szCs w:val="21"/>
                <w:lang w:val="zh-CN"/>
                <w14:textFill>
                  <w14:solidFill>
                    <w14:schemeClr w14:val="tx1"/>
                  </w14:solidFill>
                </w14:textFill>
              </w:rPr>
            </w:pPr>
          </w:p>
        </w:tc>
        <w:tc>
          <w:tcPr>
            <w:tcW w:w="2177" w:type="dxa"/>
            <w:vAlign w:val="center"/>
          </w:tcPr>
          <w:p>
            <w:pPr>
              <w:pStyle w:val="57"/>
              <w:ind w:left="51" w:right="111" w:rightChars="52"/>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低于成本价不正当竞争预防措施</w:t>
            </w:r>
          </w:p>
          <w:p>
            <w:pPr>
              <w:pStyle w:val="57"/>
              <w:ind w:left="51" w:right="111" w:rightChars="52"/>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（实质性要求）</w:t>
            </w:r>
          </w:p>
        </w:tc>
        <w:tc>
          <w:tcPr>
            <w:tcW w:w="6800" w:type="dxa"/>
            <w:vAlign w:val="center"/>
          </w:tcPr>
          <w:p>
            <w:pPr>
              <w:pStyle w:val="57"/>
              <w:spacing w:before="156" w:beforeLines="50" w:after="156" w:afterLines="50"/>
              <w:ind w:firstLine="430" w:firstLineChars="200"/>
              <w:rPr>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1.</w:t>
            </w:r>
            <w:r>
              <w:rPr>
                <w:rFonts w:hint="eastAsia"/>
                <w:color w:val="000000" w:themeColor="text1"/>
                <w:sz w:val="21"/>
                <w:szCs w:val="21"/>
                <w:lang w:val="zh-CN"/>
                <w14:textFill>
                  <w14:solidFill>
                    <w14:schemeClr w14:val="tx1"/>
                  </w14:solidFill>
                </w14:textFill>
              </w:rPr>
              <w:t>在</w:t>
            </w:r>
            <w:r>
              <w:rPr>
                <w:rFonts w:hint="eastAsia"/>
                <w:color w:val="000000" w:themeColor="text1"/>
                <w:sz w:val="21"/>
                <w:szCs w:val="21"/>
                <w14:textFill>
                  <w14:solidFill>
                    <w14:schemeClr w14:val="tx1"/>
                  </w14:solidFill>
                </w14:textFill>
              </w:rPr>
              <w:t>评审</w:t>
            </w:r>
            <w:r>
              <w:rPr>
                <w:rFonts w:hint="eastAsia"/>
                <w:color w:val="000000" w:themeColor="text1"/>
                <w:sz w:val="21"/>
                <w:szCs w:val="21"/>
                <w:lang w:val="zh-CN"/>
                <w14:textFill>
                  <w14:solidFill>
                    <w14:schemeClr w14:val="tx1"/>
                  </w14:solidFill>
                </w14:textFill>
              </w:rPr>
              <w:t>过程中，</w:t>
            </w:r>
            <w:r>
              <w:rPr>
                <w:rFonts w:hint="eastAsia"/>
                <w:color w:val="000000" w:themeColor="text1"/>
                <w:sz w:val="21"/>
                <w:szCs w:val="21"/>
                <w14:textFill>
                  <w14:solidFill>
                    <w14:schemeClr w14:val="tx1"/>
                  </w14:solidFill>
                </w14:textFill>
              </w:rPr>
              <w:t>磋商小组</w:t>
            </w:r>
            <w:r>
              <w:rPr>
                <w:rFonts w:hint="eastAsia"/>
                <w:color w:val="000000" w:themeColor="text1"/>
                <w:sz w:val="21"/>
                <w:szCs w:val="21"/>
                <w:lang w:val="zh-CN"/>
                <w14:textFill>
                  <w14:solidFill>
                    <w14:schemeClr w14:val="tx1"/>
                  </w14:solidFill>
                </w14:textFill>
              </w:rPr>
              <w:t>认为</w:t>
            </w:r>
            <w:r>
              <w:rPr>
                <w:rFonts w:hint="eastAsia"/>
                <w:color w:val="000000" w:themeColor="text1"/>
                <w:sz w:val="21"/>
                <w:szCs w:val="21"/>
                <w14:textFill>
                  <w14:solidFill>
                    <w14:schemeClr w14:val="tx1"/>
                  </w14:solidFill>
                </w14:textFill>
              </w:rPr>
              <w:t>供应商</w:t>
            </w:r>
            <w:r>
              <w:rPr>
                <w:rFonts w:hint="eastAsia"/>
                <w:color w:val="000000" w:themeColor="text1"/>
                <w:sz w:val="21"/>
                <w:szCs w:val="21"/>
                <w:lang w:val="zh-CN"/>
                <w14:textFill>
                  <w14:solidFill>
                    <w14:schemeClr w14:val="tx1"/>
                  </w14:solidFill>
                </w14:textFill>
              </w:rPr>
              <w:t>报价明显低于其他通过</w:t>
            </w:r>
            <w:r>
              <w:rPr>
                <w:rFonts w:hint="eastAsia"/>
                <w:color w:val="000000" w:themeColor="text1"/>
                <w:sz w:val="21"/>
                <w:szCs w:val="21"/>
                <w14:textFill>
                  <w14:solidFill>
                    <w14:schemeClr w14:val="tx1"/>
                  </w14:solidFill>
                </w14:textFill>
              </w:rPr>
              <w:t>资格</w:t>
            </w:r>
            <w:r>
              <w:rPr>
                <w:rFonts w:hint="eastAsia"/>
                <w:color w:val="000000" w:themeColor="text1"/>
                <w:sz w:val="21"/>
                <w:szCs w:val="21"/>
                <w:lang w:val="zh-CN"/>
                <w14:textFill>
                  <w14:solidFill>
                    <w14:schemeClr w14:val="tx1"/>
                  </w14:solidFill>
                </w14:textFill>
              </w:rPr>
              <w:t>性审查</w:t>
            </w:r>
            <w:r>
              <w:rPr>
                <w:rFonts w:hint="eastAsia"/>
                <w:color w:val="000000" w:themeColor="text1"/>
                <w:sz w:val="21"/>
                <w:szCs w:val="21"/>
                <w14:textFill>
                  <w14:solidFill>
                    <w14:schemeClr w14:val="tx1"/>
                  </w14:solidFill>
                </w14:textFill>
              </w:rPr>
              <w:t>供应商的</w:t>
            </w:r>
            <w:r>
              <w:rPr>
                <w:rFonts w:hint="eastAsia"/>
                <w:color w:val="000000" w:themeColor="text1"/>
                <w:sz w:val="21"/>
                <w:szCs w:val="21"/>
                <w:lang w:val="zh-CN"/>
                <w14:textFill>
                  <w14:solidFill>
                    <w14:schemeClr w14:val="tx1"/>
                  </w14:solidFill>
                </w14:textFill>
              </w:rPr>
              <w:t>报价，有可能影响服务质量或者不能诚信履约的，应当要求其在</w:t>
            </w:r>
            <w:r>
              <w:rPr>
                <w:rFonts w:hint="eastAsia"/>
                <w:color w:val="000000" w:themeColor="text1"/>
                <w:sz w:val="21"/>
                <w:szCs w:val="21"/>
                <w14:textFill>
                  <w14:solidFill>
                    <w14:schemeClr w14:val="tx1"/>
                  </w14:solidFill>
                </w14:textFill>
              </w:rPr>
              <w:t>磋商</w:t>
            </w:r>
            <w:r>
              <w:rPr>
                <w:rFonts w:hint="eastAsia"/>
                <w:color w:val="000000" w:themeColor="text1"/>
                <w:sz w:val="21"/>
                <w:szCs w:val="21"/>
                <w:lang w:val="zh-CN"/>
                <w14:textFill>
                  <w14:solidFill>
                    <w14:schemeClr w14:val="tx1"/>
                  </w14:solidFill>
                </w14:textFill>
              </w:rPr>
              <w:t>现场合理的时间内提供书面说明，必要时提交相关证明材料；</w:t>
            </w:r>
            <w:r>
              <w:rPr>
                <w:rFonts w:hint="eastAsia"/>
                <w:color w:val="000000" w:themeColor="text1"/>
                <w:sz w:val="21"/>
                <w:szCs w:val="21"/>
                <w14:textFill>
                  <w14:solidFill>
                    <w14:schemeClr w14:val="tx1"/>
                  </w14:solidFill>
                </w14:textFill>
              </w:rPr>
              <w:t>供应商</w:t>
            </w:r>
            <w:r>
              <w:rPr>
                <w:rFonts w:hint="eastAsia"/>
                <w:color w:val="000000" w:themeColor="text1"/>
                <w:sz w:val="21"/>
                <w:szCs w:val="21"/>
                <w:lang w:val="zh-CN"/>
                <w14:textFill>
                  <w14:solidFill>
                    <w14:schemeClr w14:val="tx1"/>
                  </w14:solidFill>
                </w14:textFill>
              </w:rPr>
              <w:t>不能证明其报价合理性的，</w:t>
            </w:r>
            <w:r>
              <w:rPr>
                <w:rFonts w:hint="eastAsia"/>
                <w:color w:val="000000" w:themeColor="text1"/>
                <w:sz w:val="21"/>
                <w:szCs w:val="21"/>
                <w14:textFill>
                  <w14:solidFill>
                    <w14:schemeClr w14:val="tx1"/>
                  </w14:solidFill>
                </w14:textFill>
              </w:rPr>
              <w:t>磋商小组</w:t>
            </w:r>
            <w:r>
              <w:rPr>
                <w:rFonts w:hint="eastAsia"/>
                <w:color w:val="000000" w:themeColor="text1"/>
                <w:sz w:val="21"/>
                <w:szCs w:val="21"/>
                <w:lang w:val="zh-CN"/>
                <w14:textFill>
                  <w14:solidFill>
                    <w14:schemeClr w14:val="tx1"/>
                  </w14:solidFill>
                </w14:textFill>
              </w:rPr>
              <w:t>应当将其作为无效投标处理。</w:t>
            </w:r>
          </w:p>
          <w:p>
            <w:pPr>
              <w:pStyle w:val="57"/>
              <w:spacing w:before="156" w:beforeLines="50" w:after="156" w:afterLines="50"/>
              <w:ind w:firstLine="430" w:firstLineChars="20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供应商的书面说明材料应当按照国家财务会计制度的规定要求，逐项就供应商提供的货物、工程和服务的主营业务成本、税金及附加、销售费用、管理费用、财务费用等成本构成事项详细陈述）。</w:t>
            </w:r>
          </w:p>
          <w:p>
            <w:pPr>
              <w:pStyle w:val="57"/>
              <w:spacing w:before="156" w:beforeLines="50" w:after="156" w:afterLines="50"/>
              <w:ind w:firstLine="430" w:firstLineChars="20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2.供应商书面说明应当签字确认或者加盖公章，否则无效。书面说明的签字确认，</w:t>
            </w:r>
            <w:r>
              <w:rPr>
                <w:rFonts w:hint="eastAsia"/>
                <w:color w:val="000000" w:themeColor="text1"/>
                <w:sz w:val="21"/>
                <w:szCs w:val="21"/>
                <w14:textFill>
                  <w14:solidFill>
                    <w14:schemeClr w14:val="tx1"/>
                  </w14:solidFill>
                </w14:textFill>
              </w:rPr>
              <w:t>供应商</w:t>
            </w:r>
            <w:r>
              <w:rPr>
                <w:rFonts w:hint="eastAsia"/>
                <w:color w:val="000000" w:themeColor="text1"/>
                <w:sz w:val="21"/>
                <w:szCs w:val="21"/>
                <w:lang w:val="zh-CN"/>
                <w14:textFill>
                  <w14:solidFill>
                    <w14:schemeClr w14:val="tx1"/>
                  </w14:solidFill>
                </w14:textFill>
              </w:rPr>
              <w:t>为法人的，由其法定代表人或者代理人签字确认；</w:t>
            </w:r>
            <w:r>
              <w:rPr>
                <w:rFonts w:hint="eastAsia"/>
                <w:color w:val="000000" w:themeColor="text1"/>
                <w:sz w:val="21"/>
                <w:szCs w:val="21"/>
                <w14:textFill>
                  <w14:solidFill>
                    <w14:schemeClr w14:val="tx1"/>
                  </w14:solidFill>
                </w14:textFill>
              </w:rPr>
              <w:t>供应商</w:t>
            </w:r>
            <w:r>
              <w:rPr>
                <w:rFonts w:hint="eastAsia"/>
                <w:color w:val="000000" w:themeColor="text1"/>
                <w:sz w:val="21"/>
                <w:szCs w:val="21"/>
                <w:lang w:val="zh-CN"/>
                <w14:textFill>
                  <w14:solidFill>
                    <w14:schemeClr w14:val="tx1"/>
                  </w14:solidFill>
                </w14:textFill>
              </w:rPr>
              <w:t>为其他组织的，由其主要负责人或者代理人签字确认；</w:t>
            </w:r>
            <w:r>
              <w:rPr>
                <w:rFonts w:hint="eastAsia"/>
                <w:color w:val="000000" w:themeColor="text1"/>
                <w:sz w:val="21"/>
                <w:szCs w:val="21"/>
                <w14:textFill>
                  <w14:solidFill>
                    <w14:schemeClr w14:val="tx1"/>
                  </w14:solidFill>
                </w14:textFill>
              </w:rPr>
              <w:t>供应商</w:t>
            </w:r>
            <w:r>
              <w:rPr>
                <w:rFonts w:hint="eastAsia"/>
                <w:color w:val="000000" w:themeColor="text1"/>
                <w:sz w:val="21"/>
                <w:szCs w:val="21"/>
                <w:lang w:val="zh-CN"/>
                <w14:textFill>
                  <w14:solidFill>
                    <w14:schemeClr w14:val="tx1"/>
                  </w14:solidFill>
                </w14:textFill>
              </w:rPr>
              <w:t>为自然人的，由其本人或者代理人签字确认。</w:t>
            </w:r>
          </w:p>
          <w:p>
            <w:pPr>
              <w:pStyle w:val="57"/>
              <w:spacing w:before="156" w:beforeLines="50" w:after="156" w:afterLines="50"/>
              <w:ind w:firstLine="43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57"/>
              <w:numPr>
                <w:ilvl w:val="0"/>
                <w:numId w:val="3"/>
              </w:numPr>
              <w:ind w:right="111" w:rightChars="52"/>
              <w:jc w:val="center"/>
              <w:rPr>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2177" w:type="dxa"/>
            <w:vAlign w:val="center"/>
          </w:tcPr>
          <w:p>
            <w:pPr>
              <w:pStyle w:val="57"/>
              <w:ind w:left="51" w:right="111" w:rightChars="52"/>
              <w:jc w:val="center"/>
              <w:rPr>
                <w:color w:val="000000" w:themeColor="text1"/>
                <w:sz w:val="21"/>
                <w:szCs w:val="21"/>
                <w14:textFill>
                  <w14:solidFill>
                    <w14:schemeClr w14:val="tx1"/>
                  </w14:solidFill>
                </w14:textFill>
              </w:rPr>
            </w:pPr>
            <w:r>
              <w:rPr>
                <w:rFonts w:hint="eastAsia"/>
                <w:color w:val="000000" w:themeColor="text1"/>
                <w:sz w:val="21"/>
                <w:szCs w:val="21"/>
                <w:lang w:val="zh-CN"/>
                <w14:textFill>
                  <w14:solidFill>
                    <w14:schemeClr w14:val="tx1"/>
                  </w14:solidFill>
                </w14:textFill>
              </w:rPr>
              <w:t>是否专门面向中小企业的项目</w:t>
            </w:r>
          </w:p>
        </w:tc>
        <w:tc>
          <w:tcPr>
            <w:tcW w:w="6800" w:type="dxa"/>
            <w:vAlign w:val="center"/>
          </w:tcPr>
          <w:p>
            <w:pPr>
              <w:pStyle w:val="57"/>
              <w:spacing w:before="156" w:beforeLines="50" w:after="156" w:afterLines="50"/>
              <w:ind w:left="137" w:leftChars="64" w:right="86" w:rightChars="40" w:firstLine="420" w:firstLineChars="196"/>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本项目</w:t>
            </w:r>
            <w:r>
              <w:rPr>
                <w:rFonts w:hint="eastAsia"/>
                <w:color w:val="000000" w:themeColor="text1"/>
                <w:sz w:val="21"/>
                <w:szCs w:val="21"/>
                <w14:textFill>
                  <w14:solidFill>
                    <w14:schemeClr w14:val="tx1"/>
                  </w14:solidFill>
                </w14:textFill>
              </w:rPr>
              <w:t>是</w:t>
            </w:r>
            <w:r>
              <w:rPr>
                <w:rFonts w:hint="eastAsia"/>
                <w:color w:val="000000" w:themeColor="text1"/>
                <w:sz w:val="21"/>
                <w:szCs w:val="21"/>
                <w:lang w:val="zh-CN"/>
                <w14:textFill>
                  <w14:solidFill>
                    <w14:schemeClr w14:val="tx1"/>
                  </w14:solidFill>
                </w14:textFill>
              </w:rPr>
              <w:t>专门面向中小企业采购的项目。</w:t>
            </w:r>
          </w:p>
          <w:p>
            <w:pPr>
              <w:spacing w:before="156" w:beforeLines="50" w:after="156" w:afterLines="50"/>
              <w:ind w:firstLine="370" w:firstLineChars="200"/>
              <w:jc w:val="left"/>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注：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before="156" w:beforeLines="50" w:after="156" w:afterLines="50"/>
              <w:ind w:firstLine="370" w:firstLineChars="200"/>
              <w:jc w:val="left"/>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2、根据财政部、司法部关于政府采购支持监狱企业有关问题的通知（财库［2014］68号）规定，在政府采购活动中，监狱企业视同小型、微型企业，享受预留份额、评审中价格扣除等政府采购促进中小企业发展的政府采购政策；</w:t>
            </w:r>
          </w:p>
          <w:p>
            <w:pPr>
              <w:spacing w:before="156" w:beforeLines="50" w:after="156" w:afterLines="50"/>
              <w:ind w:firstLine="37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3、</w:t>
            </w:r>
            <w:r>
              <w:rPr>
                <w:rFonts w:hint="eastAsia" w:ascii="宋体" w:hAnsi="宋体" w:cs="宋体"/>
                <w:b/>
                <w:bCs/>
                <w:color w:val="000000" w:themeColor="text1"/>
                <w:sz w:val="18"/>
                <w:szCs w:val="18"/>
                <w:lang w:val="zh-CN"/>
                <w14:textFill>
                  <w14:solidFill>
                    <w14:schemeClr w14:val="tx1"/>
                  </w14:solidFill>
                </w14:textFill>
              </w:rPr>
              <w:t>根据《三部门联合发布关于促进残疾人就业政府采购政策的通知》（财库〔2017〕141 号）的要求，在政府采购活动中，残疾人福利性单位视同小型、微型企业，享受预留份额、评审中价格扣除等促进中小企业发展的政府采购政策。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57"/>
              <w:numPr>
                <w:ilvl w:val="0"/>
                <w:numId w:val="3"/>
              </w:numPr>
              <w:ind w:right="111" w:rightChars="52"/>
              <w:jc w:val="center"/>
              <w:rPr>
                <w:color w:val="000000" w:themeColor="text1"/>
                <w:kern w:val="2"/>
                <w:sz w:val="21"/>
                <w:szCs w:val="21"/>
                <w:lang w:val="zh-CN"/>
                <w14:textFill>
                  <w14:solidFill>
                    <w14:schemeClr w14:val="tx1"/>
                  </w14:solidFill>
                </w14:textFill>
              </w:rPr>
            </w:pPr>
          </w:p>
        </w:tc>
        <w:tc>
          <w:tcPr>
            <w:tcW w:w="2177" w:type="dxa"/>
            <w:vAlign w:val="center"/>
          </w:tcPr>
          <w:p>
            <w:pPr>
              <w:pStyle w:val="57"/>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所属行业</w:t>
            </w:r>
          </w:p>
        </w:tc>
        <w:tc>
          <w:tcPr>
            <w:tcW w:w="6800" w:type="dxa"/>
            <w:vAlign w:val="center"/>
          </w:tcPr>
          <w:p>
            <w:pPr>
              <w:pStyle w:val="57"/>
              <w:spacing w:before="156" w:beforeLines="50" w:after="156" w:afterLines="50"/>
              <w:ind w:left="137" w:leftChars="64" w:right="86" w:rightChars="40" w:firstLine="422"/>
              <w:rPr>
                <w:color w:val="000000" w:themeColor="text1"/>
                <w:szCs w:val="21"/>
                <w14:textFill>
                  <w14:solidFill>
                    <w14:schemeClr w14:val="tx1"/>
                  </w14:solidFill>
                </w14:textFill>
              </w:rPr>
            </w:pPr>
            <w:r>
              <w:rPr>
                <w:rStyle w:val="33"/>
                <w:rFonts w:hint="eastAsia"/>
                <w:color w:val="000000" w:themeColor="text1"/>
                <w:kern w:val="2"/>
                <w14:textFill>
                  <w14:solidFill>
                    <w14:schemeClr w14:val="tx1"/>
                  </w14:solidFill>
                </w14:textFill>
              </w:rPr>
              <w:t>其他未列明行业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57"/>
              <w:numPr>
                <w:ilvl w:val="0"/>
                <w:numId w:val="3"/>
              </w:numPr>
              <w:ind w:right="111" w:rightChars="52"/>
              <w:jc w:val="center"/>
              <w:rPr>
                <w:color w:val="000000" w:themeColor="text1"/>
                <w:kern w:val="2"/>
                <w:sz w:val="21"/>
                <w:szCs w:val="21"/>
                <w:lang w:val="zh-CN"/>
                <w14:textFill>
                  <w14:solidFill>
                    <w14:schemeClr w14:val="tx1"/>
                  </w14:solidFill>
                </w14:textFill>
              </w:rPr>
            </w:pPr>
          </w:p>
        </w:tc>
        <w:tc>
          <w:tcPr>
            <w:tcW w:w="2177" w:type="dxa"/>
            <w:vAlign w:val="center"/>
          </w:tcPr>
          <w:p>
            <w:pPr>
              <w:pStyle w:val="57"/>
              <w:ind w:left="51" w:right="111" w:rightChars="52"/>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磋商情况公告</w:t>
            </w:r>
          </w:p>
        </w:tc>
        <w:tc>
          <w:tcPr>
            <w:tcW w:w="6800" w:type="dxa"/>
            <w:vAlign w:val="center"/>
          </w:tcPr>
          <w:p>
            <w:pPr>
              <w:pStyle w:val="57"/>
              <w:spacing w:before="156" w:beforeLines="50" w:after="156" w:afterLines="50"/>
              <w:ind w:firstLine="430" w:firstLineChars="20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资格审查情况、有效性、完整性和其他响应情况、报价情况、磋商结果等在四川政府采购网上采购结果公告栏中予以公告。供应商应对响应文件中涉及商业秘密和知识产权的内容进行标注和说明，若未进行标注和说明的，视为响应文件全部内容均可公布，采购人或者采购代理机构对相关内容予以公告不承担任何责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57"/>
              <w:numPr>
                <w:ilvl w:val="0"/>
                <w:numId w:val="3"/>
              </w:numPr>
              <w:ind w:right="111" w:rightChars="52"/>
              <w:jc w:val="center"/>
              <w:rPr>
                <w:color w:val="000000" w:themeColor="text1"/>
                <w:kern w:val="2"/>
                <w:sz w:val="21"/>
                <w:szCs w:val="21"/>
                <w:lang w:val="zh-CN"/>
                <w14:textFill>
                  <w14:solidFill>
                    <w14:schemeClr w14:val="tx1"/>
                  </w14:solidFill>
                </w14:textFill>
              </w:rPr>
            </w:pPr>
          </w:p>
        </w:tc>
        <w:tc>
          <w:tcPr>
            <w:tcW w:w="2177" w:type="dxa"/>
            <w:vAlign w:val="center"/>
          </w:tcPr>
          <w:p>
            <w:pPr>
              <w:pStyle w:val="57"/>
              <w:ind w:left="51" w:right="111" w:rightChars="52"/>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磋商保证金</w:t>
            </w:r>
          </w:p>
        </w:tc>
        <w:tc>
          <w:tcPr>
            <w:tcW w:w="6800" w:type="dxa"/>
            <w:vAlign w:val="center"/>
          </w:tcPr>
          <w:p>
            <w:pPr>
              <w:pStyle w:val="57"/>
              <w:spacing w:before="156" w:beforeLines="50" w:after="156" w:afterLines="50"/>
              <w:ind w:firstLine="430" w:firstLineChars="200"/>
              <w:rPr>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根据四川省财政厅发布的《四川省财政厅关于进一步做好疫情防控期间政府采购工作有关事项的通知》川财采（2021）28号文相关规定，本项目不要求磋商保证金。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57"/>
              <w:numPr>
                <w:ilvl w:val="0"/>
                <w:numId w:val="3"/>
              </w:numPr>
              <w:ind w:right="111" w:rightChars="52"/>
              <w:jc w:val="center"/>
              <w:rPr>
                <w:color w:val="000000" w:themeColor="text1"/>
                <w:kern w:val="2"/>
                <w:sz w:val="21"/>
                <w:szCs w:val="21"/>
                <w:lang w:val="zh-CN"/>
                <w14:textFill>
                  <w14:solidFill>
                    <w14:schemeClr w14:val="tx1"/>
                  </w14:solidFill>
                </w14:textFill>
              </w:rPr>
            </w:pPr>
          </w:p>
        </w:tc>
        <w:tc>
          <w:tcPr>
            <w:tcW w:w="2177" w:type="dxa"/>
            <w:vAlign w:val="center"/>
          </w:tcPr>
          <w:p>
            <w:pPr>
              <w:pStyle w:val="57"/>
              <w:ind w:left="51" w:right="111" w:rightChars="52"/>
              <w:jc w:val="center"/>
              <w:rPr>
                <w:color w:val="000000" w:themeColor="text1"/>
                <w:kern w:val="2"/>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履约保证金</w:t>
            </w:r>
          </w:p>
        </w:tc>
        <w:tc>
          <w:tcPr>
            <w:tcW w:w="6800" w:type="dxa"/>
            <w:vAlign w:val="center"/>
          </w:tcPr>
          <w:p>
            <w:pPr>
              <w:pStyle w:val="57"/>
              <w:spacing w:before="156" w:beforeLines="50" w:after="156" w:afterLines="50"/>
              <w:ind w:firstLine="430" w:firstLineChars="200"/>
              <w:rPr>
                <w:rFonts w:cs="仿宋"/>
                <w:color w:val="000000" w:themeColor="text1"/>
                <w:sz w:val="21"/>
                <w:szCs w:val="21"/>
                <w14:textFill>
                  <w14:solidFill>
                    <w14:schemeClr w14:val="tx1"/>
                  </w14:solidFill>
                </w14:textFill>
              </w:rPr>
            </w:pPr>
            <w:bookmarkStart w:id="11" w:name="_Hlk82514182"/>
            <w:r>
              <w:rPr>
                <w:rFonts w:hint="eastAsia" w:cs="仿宋"/>
                <w:color w:val="000000" w:themeColor="text1"/>
                <w:sz w:val="21"/>
                <w:szCs w:val="21"/>
                <w14:textFill>
                  <w14:solidFill>
                    <w14:schemeClr w14:val="tx1"/>
                  </w14:solidFill>
                </w14:textFill>
              </w:rPr>
              <w:t>成交金额的5%</w:t>
            </w:r>
          </w:p>
          <w:p>
            <w:pPr>
              <w:pStyle w:val="57"/>
              <w:spacing w:before="156" w:beforeLines="50" w:after="156" w:afterLines="50"/>
              <w:ind w:firstLine="430" w:firstLineChars="200"/>
              <w:rPr>
                <w:rFonts w:cs="仿宋"/>
                <w:color w:val="000000" w:themeColor="text1"/>
                <w:sz w:val="21"/>
                <w:szCs w:val="21"/>
                <w14:textFill>
                  <w14:solidFill>
                    <w14:schemeClr w14:val="tx1"/>
                  </w14:solidFill>
                </w14:textFill>
              </w:rPr>
            </w:pPr>
            <w:r>
              <w:rPr>
                <w:rFonts w:hint="eastAsia" w:cs="仿宋"/>
                <w:color w:val="000000" w:themeColor="text1"/>
                <w:sz w:val="21"/>
                <w:szCs w:val="21"/>
                <w14:textFill>
                  <w14:solidFill>
                    <w14:schemeClr w14:val="tx1"/>
                  </w14:solidFill>
                </w14:textFill>
              </w:rPr>
              <w:t>交款方式：支票、汇票、本票或者金融机构、担保机构出具的保函等非现金形式。</w:t>
            </w:r>
          </w:p>
          <w:p>
            <w:pPr>
              <w:pStyle w:val="57"/>
              <w:spacing w:before="156" w:beforeLines="50" w:after="156" w:afterLines="50"/>
              <w:ind w:firstLine="430" w:firstLineChars="200"/>
              <w:rPr>
                <w:color w:val="000000" w:themeColor="text1"/>
                <w:sz w:val="21"/>
                <w:szCs w:val="21"/>
                <w:lang w:val="zh-CN"/>
                <w14:textFill>
                  <w14:solidFill>
                    <w14:schemeClr w14:val="tx1"/>
                  </w14:solidFill>
                </w14:textFill>
              </w:rPr>
            </w:pPr>
            <w:r>
              <w:rPr>
                <w:rFonts w:hint="eastAsia" w:cs="仿宋"/>
                <w:color w:val="000000" w:themeColor="text1"/>
                <w:sz w:val="21"/>
                <w:szCs w:val="21"/>
                <w14:textFill>
                  <w14:solidFill>
                    <w14:schemeClr w14:val="tx1"/>
                  </w14:solidFill>
                </w14:textFill>
              </w:rPr>
              <w:t>成交供应商应在成交通知书发出之日起</w:t>
            </w:r>
            <w:r>
              <w:rPr>
                <w:rFonts w:cs="仿宋"/>
                <w:color w:val="000000" w:themeColor="text1"/>
                <w:sz w:val="21"/>
                <w:szCs w:val="21"/>
                <w14:textFill>
                  <w14:solidFill>
                    <w14:schemeClr w14:val="tx1"/>
                  </w14:solidFill>
                </w14:textFill>
              </w:rPr>
              <w:t>5</w:t>
            </w:r>
            <w:r>
              <w:rPr>
                <w:rFonts w:hint="eastAsia" w:cs="仿宋"/>
                <w:color w:val="000000" w:themeColor="text1"/>
                <w:sz w:val="21"/>
                <w:szCs w:val="21"/>
                <w14:textFill>
                  <w14:solidFill>
                    <w14:schemeClr w14:val="tx1"/>
                  </w14:solidFill>
                </w14:textFill>
              </w:rPr>
              <w:t>个工作日内向采购人交纳成交金额的5%，作为项目的履约保证金。履行合同约定完毕后,服务质量达到要求，无违约责任情况，成交供应商凭“验收合格证明”到采购人处办理，无息退还。</w:t>
            </w:r>
            <w:bookmarkEnd w:id="11"/>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57"/>
              <w:numPr>
                <w:ilvl w:val="0"/>
                <w:numId w:val="3"/>
              </w:numPr>
              <w:ind w:right="111" w:rightChars="52"/>
              <w:jc w:val="center"/>
              <w:rPr>
                <w:color w:val="000000" w:themeColor="text1"/>
                <w:kern w:val="2"/>
                <w:sz w:val="21"/>
                <w:szCs w:val="21"/>
                <w14:textFill>
                  <w14:solidFill>
                    <w14:schemeClr w14:val="tx1"/>
                  </w14:solidFill>
                </w14:textFill>
              </w:rPr>
            </w:pPr>
          </w:p>
        </w:tc>
        <w:tc>
          <w:tcPr>
            <w:tcW w:w="2177" w:type="dxa"/>
            <w:vAlign w:val="center"/>
          </w:tcPr>
          <w:p>
            <w:pPr>
              <w:pStyle w:val="57"/>
              <w:jc w:val="center"/>
              <w:rPr>
                <w:color w:val="000000" w:themeColor="text1"/>
                <w:sz w:val="21"/>
                <w:szCs w:val="21"/>
                <w:lang w:val="zh-CN"/>
                <w14:textFill>
                  <w14:solidFill>
                    <w14:schemeClr w14:val="tx1"/>
                  </w14:solidFill>
                </w14:textFill>
              </w:rPr>
            </w:pPr>
            <w:r>
              <w:rPr>
                <w:rFonts w:hint="eastAsia"/>
                <w:bCs/>
                <w:color w:val="000000" w:themeColor="text1"/>
                <w:kern w:val="2"/>
                <w:sz w:val="21"/>
                <w:szCs w:val="21"/>
                <w14:textFill>
                  <w14:solidFill>
                    <w14:schemeClr w14:val="tx1"/>
                  </w14:solidFill>
                </w14:textFill>
              </w:rPr>
              <w:t>采购项目具体事项/采购文件内容咨询</w:t>
            </w:r>
          </w:p>
        </w:tc>
        <w:tc>
          <w:tcPr>
            <w:tcW w:w="6800" w:type="dxa"/>
            <w:vAlign w:val="center"/>
          </w:tcPr>
          <w:p>
            <w:pPr>
              <w:spacing w:before="156" w:beforeLines="50" w:after="156" w:afterLines="50"/>
              <w:ind w:firstLine="43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 系 人：谢女士</w:t>
            </w:r>
          </w:p>
          <w:p>
            <w:pPr>
              <w:spacing w:before="156" w:beforeLines="50" w:after="156" w:afterLines="50"/>
              <w:ind w:firstLine="430" w:firstLineChars="200"/>
              <w:jc w:val="left"/>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联系电话：028-86155821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57"/>
              <w:numPr>
                <w:ilvl w:val="0"/>
                <w:numId w:val="3"/>
              </w:numPr>
              <w:ind w:right="111" w:rightChars="52"/>
              <w:jc w:val="center"/>
              <w:rPr>
                <w:color w:val="000000" w:themeColor="text1"/>
                <w:kern w:val="2"/>
                <w:sz w:val="21"/>
                <w:szCs w:val="21"/>
                <w14:textFill>
                  <w14:solidFill>
                    <w14:schemeClr w14:val="tx1"/>
                  </w14:solidFill>
                </w14:textFill>
              </w:rPr>
            </w:pPr>
          </w:p>
        </w:tc>
        <w:tc>
          <w:tcPr>
            <w:tcW w:w="2177" w:type="dxa"/>
            <w:vAlign w:val="center"/>
          </w:tcPr>
          <w:p>
            <w:pPr>
              <w:pStyle w:val="57"/>
              <w:ind w:left="51" w:right="111" w:rightChars="52"/>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磋商过程、结果工作咨询</w:t>
            </w:r>
          </w:p>
        </w:tc>
        <w:tc>
          <w:tcPr>
            <w:tcW w:w="6800" w:type="dxa"/>
            <w:vAlign w:val="center"/>
          </w:tcPr>
          <w:p>
            <w:pPr>
              <w:spacing w:before="156" w:beforeLines="50" w:after="156" w:afterLines="50"/>
              <w:ind w:firstLine="43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 系 人：谢女士</w:t>
            </w:r>
          </w:p>
          <w:p>
            <w:pPr>
              <w:pStyle w:val="57"/>
              <w:spacing w:before="156" w:beforeLines="50" w:after="156" w:afterLines="50"/>
              <w:ind w:firstLine="430" w:firstLineChars="200"/>
              <w:rPr>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联系电话：028-86155821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57"/>
              <w:numPr>
                <w:ilvl w:val="0"/>
                <w:numId w:val="3"/>
              </w:numPr>
              <w:ind w:right="111" w:rightChars="52"/>
              <w:jc w:val="center"/>
              <w:rPr>
                <w:color w:val="000000" w:themeColor="text1"/>
                <w:kern w:val="2"/>
                <w:sz w:val="21"/>
                <w:szCs w:val="21"/>
                <w14:textFill>
                  <w14:solidFill>
                    <w14:schemeClr w14:val="tx1"/>
                  </w14:solidFill>
                </w14:textFill>
              </w:rPr>
            </w:pPr>
          </w:p>
        </w:tc>
        <w:tc>
          <w:tcPr>
            <w:tcW w:w="2177" w:type="dxa"/>
            <w:vAlign w:val="center"/>
          </w:tcPr>
          <w:p>
            <w:pPr>
              <w:pStyle w:val="57"/>
              <w:ind w:left="51" w:right="111" w:rightChars="52"/>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成交通知书领取</w:t>
            </w:r>
          </w:p>
        </w:tc>
        <w:tc>
          <w:tcPr>
            <w:tcW w:w="6800" w:type="dxa"/>
            <w:vAlign w:val="center"/>
          </w:tcPr>
          <w:p>
            <w:pPr>
              <w:tabs>
                <w:tab w:val="left" w:pos="7665"/>
              </w:tabs>
              <w:spacing w:before="156" w:beforeLines="50" w:after="156" w:afterLines="50"/>
              <w:ind w:firstLine="43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结果公告在四川政府采购网上公告后，请成交供应商持介绍信（授权委托书）、身份证明文件及其复印件（加盖公章）到</w:t>
            </w:r>
            <w:r>
              <w:rPr>
                <w:rFonts w:hint="eastAsia" w:ascii="宋体" w:hAnsi="宋体" w:cs="宋体"/>
                <w:color w:val="000000" w:themeColor="text1"/>
                <w:szCs w:val="21"/>
                <w:lang w:val="zh-CN"/>
                <w14:textFill>
                  <w14:solidFill>
                    <w14:schemeClr w14:val="tx1"/>
                  </w14:solidFill>
                </w14:textFill>
              </w:rPr>
              <w:t>采购代理机构</w:t>
            </w:r>
            <w:r>
              <w:rPr>
                <w:rFonts w:hint="eastAsia" w:ascii="宋体" w:hAnsi="宋体" w:cs="宋体"/>
                <w:color w:val="000000" w:themeColor="text1"/>
                <w:szCs w:val="21"/>
                <w14:textFill>
                  <w14:solidFill>
                    <w14:schemeClr w14:val="tx1"/>
                  </w14:solidFill>
                </w14:textFill>
              </w:rPr>
              <w:t>领取成交通知书。</w:t>
            </w:r>
          </w:p>
          <w:p>
            <w:pPr>
              <w:spacing w:before="156" w:beforeLines="50" w:after="156" w:afterLines="50"/>
              <w:ind w:firstLine="43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 系 人：邓女士</w:t>
            </w:r>
          </w:p>
          <w:p>
            <w:pPr>
              <w:spacing w:before="156" w:beforeLines="50" w:after="156" w:afterLines="50"/>
              <w:ind w:firstLine="43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联系电话：028-86155821</w:t>
            </w:r>
          </w:p>
          <w:p>
            <w:pPr>
              <w:pStyle w:val="57"/>
              <w:spacing w:before="156" w:beforeLines="50" w:after="156" w:afterLines="50"/>
              <w:ind w:firstLine="430" w:firstLineChars="20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地址：</w:t>
            </w:r>
            <w:r>
              <w:rPr>
                <w:rFonts w:hint="eastAsia"/>
                <w:color w:val="000000" w:themeColor="text1"/>
                <w:sz w:val="21"/>
                <w:szCs w:val="21"/>
                <w14:textFill>
                  <w14:solidFill>
                    <w14:schemeClr w14:val="tx1"/>
                  </w14:solidFill>
                </w14:textFill>
              </w:rPr>
              <w:t>成都市西御街8号西御大厦A座24楼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57"/>
              <w:numPr>
                <w:ilvl w:val="0"/>
                <w:numId w:val="3"/>
              </w:numPr>
              <w:ind w:right="111" w:rightChars="52"/>
              <w:jc w:val="center"/>
              <w:rPr>
                <w:color w:val="000000" w:themeColor="text1"/>
                <w:kern w:val="2"/>
                <w:sz w:val="21"/>
                <w:szCs w:val="21"/>
                <w14:textFill>
                  <w14:solidFill>
                    <w14:schemeClr w14:val="tx1"/>
                  </w14:solidFill>
                </w14:textFill>
              </w:rPr>
            </w:pPr>
          </w:p>
        </w:tc>
        <w:tc>
          <w:tcPr>
            <w:tcW w:w="2177" w:type="dxa"/>
            <w:vAlign w:val="center"/>
          </w:tcPr>
          <w:p>
            <w:pPr>
              <w:pStyle w:val="57"/>
              <w:ind w:left="51" w:right="111" w:rightChars="52"/>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供应商询问</w:t>
            </w:r>
          </w:p>
        </w:tc>
        <w:tc>
          <w:tcPr>
            <w:tcW w:w="6800" w:type="dxa"/>
          </w:tcPr>
          <w:p>
            <w:pPr>
              <w:spacing w:before="156" w:beforeLines="50" w:after="156" w:afterLines="50"/>
              <w:ind w:firstLine="430" w:firstLineChars="200"/>
              <w:jc w:val="left"/>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根据委托代理协议约定，采购人负责对采购文件服务内容、服务要求、评分办法部分的询问答复，采购代理机构负责上述内容以外的询问答复</w:t>
            </w:r>
            <w:r>
              <w:rPr>
                <w:rFonts w:hint="eastAsia" w:ascii="宋体" w:hAnsi="宋体" w:cs="宋体"/>
                <w:color w:val="000000" w:themeColor="text1"/>
                <w:szCs w:val="21"/>
                <w:lang w:val="zh-CN"/>
                <w14:textFill>
                  <w14:solidFill>
                    <w14:schemeClr w14:val="tx1"/>
                  </w14:solidFill>
                </w14:textFill>
              </w:rPr>
              <w:t>。</w:t>
            </w:r>
          </w:p>
          <w:p>
            <w:pPr>
              <w:spacing w:before="156" w:beforeLines="50" w:after="156" w:afterLines="50"/>
              <w:ind w:firstLine="43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采购人：邛崃市综合行政执法局</w:t>
            </w:r>
          </w:p>
          <w:p>
            <w:pPr>
              <w:spacing w:before="156" w:beforeLines="50" w:after="156" w:afterLines="50"/>
              <w:ind w:firstLine="43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地址：邛崃市南街36号</w:t>
            </w:r>
          </w:p>
          <w:p>
            <w:pPr>
              <w:spacing w:before="156" w:beforeLines="50" w:after="156" w:afterLines="50"/>
              <w:ind w:firstLine="43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联系人：付女士</w:t>
            </w:r>
          </w:p>
          <w:p>
            <w:pPr>
              <w:spacing w:before="156" w:beforeLines="50" w:after="156" w:afterLines="50"/>
              <w:ind w:firstLine="43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联系电话：028-88791964</w:t>
            </w:r>
          </w:p>
          <w:p>
            <w:pPr>
              <w:spacing w:before="156" w:beforeLines="50" w:after="156" w:afterLines="50"/>
              <w:ind w:firstLine="43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采购代理机构：四川同方建设咨询有限公司</w:t>
            </w:r>
          </w:p>
          <w:p>
            <w:pPr>
              <w:spacing w:before="156" w:beforeLines="50" w:after="156" w:afterLines="50"/>
              <w:ind w:firstLine="43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地址：成都市青羊区西御街8号西御大厦A座24楼</w:t>
            </w:r>
          </w:p>
          <w:p>
            <w:pPr>
              <w:spacing w:before="156" w:beforeLines="50" w:after="156" w:afterLines="50"/>
              <w:ind w:firstLine="43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联系人：谢女士</w:t>
            </w:r>
          </w:p>
          <w:p>
            <w:pPr>
              <w:spacing w:before="156" w:beforeLines="50" w:after="156" w:afterLines="50"/>
              <w:ind w:firstLine="43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联系电话：028-86155821</w:t>
            </w:r>
          </w:p>
          <w:p>
            <w:pPr>
              <w:spacing w:before="156" w:beforeLines="50" w:after="156" w:afterLines="50"/>
              <w:ind w:firstLine="430" w:firstLineChars="200"/>
              <w:jc w:val="left"/>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邮编：610015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57"/>
              <w:numPr>
                <w:ilvl w:val="0"/>
                <w:numId w:val="3"/>
              </w:numPr>
              <w:spacing w:line="360" w:lineRule="auto"/>
              <w:ind w:right="111" w:rightChars="52"/>
              <w:jc w:val="center"/>
              <w:rPr>
                <w:color w:val="000000" w:themeColor="text1"/>
                <w:kern w:val="2"/>
                <w:sz w:val="21"/>
                <w:szCs w:val="21"/>
                <w14:textFill>
                  <w14:solidFill>
                    <w14:schemeClr w14:val="tx1"/>
                  </w14:solidFill>
                </w14:textFill>
              </w:rPr>
            </w:pPr>
          </w:p>
        </w:tc>
        <w:tc>
          <w:tcPr>
            <w:tcW w:w="2177" w:type="dxa"/>
            <w:vAlign w:val="center"/>
          </w:tcPr>
          <w:p>
            <w:pPr>
              <w:pStyle w:val="57"/>
              <w:spacing w:line="360" w:lineRule="auto"/>
              <w:ind w:left="51" w:right="111" w:rightChars="52"/>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供应商质疑</w:t>
            </w:r>
          </w:p>
        </w:tc>
        <w:tc>
          <w:tcPr>
            <w:tcW w:w="6800" w:type="dxa"/>
            <w:vAlign w:val="center"/>
          </w:tcPr>
          <w:p>
            <w:pPr>
              <w:spacing w:before="156" w:beforeLines="50" w:after="156" w:afterLines="50"/>
              <w:ind w:firstLine="43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根据委托代理协议约定，采购人负责对采购文件的特殊资格要求、服务内容、服务要求、商务要求、评分办法及合同主要条款部分的质疑答复，采购代理机构负责采购文件其他内容、采购过程和采购结果的质疑答复</w:t>
            </w:r>
            <w:r>
              <w:rPr>
                <w:rFonts w:hint="eastAsia" w:ascii="宋体" w:hAnsi="宋体" w:cs="宋体"/>
                <w:color w:val="000000" w:themeColor="text1"/>
                <w:szCs w:val="21"/>
                <w:lang w:val="zh-CN"/>
                <w14:textFill>
                  <w14:solidFill>
                    <w14:schemeClr w14:val="tx1"/>
                  </w14:solidFill>
                </w14:textFill>
              </w:rPr>
              <w:t>。</w:t>
            </w:r>
          </w:p>
          <w:p>
            <w:pPr>
              <w:spacing w:before="156" w:beforeLines="50" w:after="156" w:afterLines="50"/>
              <w:ind w:firstLine="430" w:firstLineChars="200"/>
              <w:jc w:val="left"/>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2、接收质疑函的方式：供应商在法定时间内以书面形式现场、邮寄或快递提交质疑函（邮寄以寄出的邮戳日期为准，快递以受送达人在签收单上签收之日为准），逾期提交不予受理。</w:t>
            </w:r>
          </w:p>
          <w:p>
            <w:pPr>
              <w:spacing w:before="156" w:beforeLines="50" w:after="156" w:afterLines="50"/>
              <w:ind w:firstLine="43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采购人：邛崃市综合行政执法局</w:t>
            </w:r>
          </w:p>
          <w:p>
            <w:pPr>
              <w:spacing w:before="156" w:beforeLines="50" w:after="156" w:afterLines="50"/>
              <w:ind w:firstLine="43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地址：邛崃市南街36号</w:t>
            </w:r>
          </w:p>
          <w:p>
            <w:pPr>
              <w:spacing w:before="156" w:beforeLines="50" w:after="156" w:afterLines="50"/>
              <w:ind w:firstLine="43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联系人：付女士</w:t>
            </w:r>
          </w:p>
          <w:p>
            <w:pPr>
              <w:spacing w:before="156" w:beforeLines="50" w:after="156" w:afterLines="50"/>
              <w:ind w:firstLine="43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联系电话：028-88791964</w:t>
            </w:r>
          </w:p>
          <w:p>
            <w:pPr>
              <w:spacing w:before="156" w:beforeLines="50" w:after="156" w:afterLines="50"/>
              <w:ind w:firstLine="43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采购代理机构：四川同方建设咨询有限公司</w:t>
            </w:r>
          </w:p>
          <w:p>
            <w:pPr>
              <w:spacing w:before="156" w:beforeLines="50" w:after="156" w:afterLines="50"/>
              <w:ind w:firstLine="43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地址：成都市青羊区西御街8号西御大厦A座24楼</w:t>
            </w:r>
          </w:p>
          <w:p>
            <w:pPr>
              <w:spacing w:before="156" w:beforeLines="50" w:after="156" w:afterLines="50"/>
              <w:ind w:firstLine="43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联系人：谢女士</w:t>
            </w:r>
          </w:p>
          <w:p>
            <w:pPr>
              <w:spacing w:before="156" w:beforeLines="50" w:after="156" w:afterLines="50"/>
              <w:ind w:firstLine="43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联系电话：028-86155821</w:t>
            </w:r>
          </w:p>
          <w:p>
            <w:pPr>
              <w:spacing w:before="156" w:beforeLines="50" w:after="156" w:afterLines="50"/>
              <w:ind w:firstLine="370" w:firstLineChars="200"/>
              <w:jc w:val="left"/>
              <w:rPr>
                <w:rFonts w:ascii="宋体" w:hAnsi="宋体" w:cs="宋体"/>
                <w:b/>
                <w:bCs/>
                <w:color w:val="000000" w:themeColor="text1"/>
                <w:sz w:val="18"/>
                <w:szCs w:val="21"/>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注：</w:t>
            </w:r>
            <w:r>
              <w:rPr>
                <w:rFonts w:hint="eastAsia" w:ascii="宋体" w:hAnsi="宋体" w:cs="宋体"/>
                <w:b/>
                <w:bCs/>
                <w:color w:val="000000" w:themeColor="text1"/>
                <w:sz w:val="18"/>
                <w:szCs w:val="21"/>
                <w14:textFill>
                  <w14:solidFill>
                    <w14:schemeClr w14:val="tx1"/>
                  </w14:solidFill>
                </w14:textFill>
              </w:rPr>
              <w:t>供应商按要求报名成功并获取磋商文件的，为依法获取磋商文件的供应商，可以对该文件提出质疑。</w:t>
            </w:r>
          </w:p>
          <w:p>
            <w:pPr>
              <w:spacing w:before="156" w:beforeLines="50" w:after="156" w:afterLines="50"/>
              <w:ind w:firstLine="370" w:firstLineChars="200"/>
              <w:jc w:val="left"/>
              <w:rPr>
                <w:rFonts w:ascii="宋体" w:hAnsi="宋体" w:cs="宋体"/>
                <w:b/>
                <w:bCs/>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①供应商质疑应当有明确的请求和必要的证明材料，须符合《政府采购质疑和投诉办法》财政部第94号令规定；</w:t>
            </w:r>
          </w:p>
          <w:p>
            <w:pPr>
              <w:spacing w:before="156" w:beforeLines="50" w:after="156" w:afterLines="50"/>
              <w:ind w:firstLine="370" w:firstLineChars="200"/>
              <w:jc w:val="left"/>
              <w:rPr>
                <w:rFonts w:ascii="宋体" w:hAnsi="宋体" w:cs="宋体"/>
                <w:b/>
                <w:bCs/>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②供应商应当在法定质疑期内一次性提出针对同一采购程序环节的质疑，否则不予受理；</w:t>
            </w:r>
          </w:p>
          <w:p>
            <w:pPr>
              <w:spacing w:before="156" w:beforeLines="50" w:after="156" w:afterLines="50"/>
              <w:ind w:firstLine="370" w:firstLineChars="200"/>
              <w:jc w:val="left"/>
              <w:rPr>
                <w:rFonts w:ascii="宋体" w:hAnsi="宋体" w:cs="宋体"/>
                <w:color w:val="000000" w:themeColor="text1"/>
                <w:szCs w:val="21"/>
                <w:lang w:val="zh-CN"/>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③根据《中华人民共和国政府采购法》的规定，供应商质疑不得超出磋商文件、磋商过程、磋商结果的范围。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57"/>
              <w:numPr>
                <w:ilvl w:val="0"/>
                <w:numId w:val="3"/>
              </w:numPr>
              <w:spacing w:line="360" w:lineRule="auto"/>
              <w:ind w:right="111" w:rightChars="52"/>
              <w:jc w:val="center"/>
              <w:rPr>
                <w:color w:val="000000" w:themeColor="text1"/>
                <w:kern w:val="2"/>
                <w:sz w:val="21"/>
                <w:szCs w:val="21"/>
                <w14:textFill>
                  <w14:solidFill>
                    <w14:schemeClr w14:val="tx1"/>
                  </w14:solidFill>
                </w14:textFill>
              </w:rPr>
            </w:pPr>
          </w:p>
        </w:tc>
        <w:tc>
          <w:tcPr>
            <w:tcW w:w="2177" w:type="dxa"/>
            <w:vAlign w:val="center"/>
          </w:tcPr>
          <w:p>
            <w:pPr>
              <w:pStyle w:val="57"/>
              <w:spacing w:line="360" w:lineRule="auto"/>
              <w:ind w:left="51" w:right="111" w:rightChars="52"/>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供应商投诉</w:t>
            </w:r>
          </w:p>
        </w:tc>
        <w:tc>
          <w:tcPr>
            <w:tcW w:w="6800" w:type="dxa"/>
            <w:vAlign w:val="center"/>
          </w:tcPr>
          <w:p>
            <w:pPr>
              <w:spacing w:before="156" w:beforeLines="50" w:after="156" w:afterLines="50"/>
              <w:ind w:firstLine="420"/>
              <w:jc w:val="left"/>
              <w:rPr>
                <w:rFonts w:ascii="宋体" w:hAnsi="宋体" w:cs="宋体"/>
                <w:szCs w:val="21"/>
                <w:lang w:val="zh-CN"/>
              </w:rPr>
            </w:pPr>
            <w:r>
              <w:rPr>
                <w:rFonts w:hint="eastAsia" w:ascii="宋体" w:hAnsi="宋体" w:cs="宋体"/>
                <w:szCs w:val="21"/>
                <w:lang w:val="zh-CN"/>
              </w:rPr>
              <w:t>投诉受理单位：本项目同级财政部门，即邛崃市财政局。</w:t>
            </w:r>
          </w:p>
          <w:p>
            <w:pPr>
              <w:spacing w:before="156" w:beforeLines="50" w:after="156" w:afterLines="50"/>
              <w:ind w:firstLine="420"/>
              <w:jc w:val="left"/>
              <w:rPr>
                <w:rFonts w:ascii="宋体" w:hAnsi="宋体" w:cs="宋体"/>
                <w:szCs w:val="21"/>
                <w:lang w:val="zh-CN"/>
              </w:rPr>
            </w:pPr>
            <w:r>
              <w:rPr>
                <w:rFonts w:hint="eastAsia" w:ascii="宋体" w:hAnsi="宋体" w:cs="宋体"/>
                <w:szCs w:val="21"/>
                <w:lang w:val="zh-CN"/>
              </w:rPr>
              <w:t>联系电话：028-88760252</w:t>
            </w:r>
          </w:p>
          <w:p>
            <w:pPr>
              <w:spacing w:before="156" w:beforeLines="50" w:after="156" w:afterLines="50"/>
              <w:ind w:firstLine="420"/>
              <w:jc w:val="left"/>
              <w:rPr>
                <w:rFonts w:ascii="宋体" w:hAnsi="宋体" w:cs="宋体"/>
                <w:szCs w:val="21"/>
                <w:lang w:val="zh-CN"/>
              </w:rPr>
            </w:pPr>
            <w:r>
              <w:rPr>
                <w:rFonts w:hint="eastAsia" w:ascii="宋体" w:hAnsi="宋体" w:cs="宋体"/>
                <w:szCs w:val="21"/>
                <w:lang w:val="zh-CN"/>
              </w:rPr>
              <w:t>地址：邛崃市蒲口路2</w:t>
            </w:r>
            <w:r>
              <w:rPr>
                <w:rFonts w:hint="eastAsia" w:ascii="宋体" w:hAnsi="宋体" w:cs="宋体"/>
                <w:szCs w:val="21"/>
              </w:rPr>
              <w:t>0</w:t>
            </w:r>
            <w:r>
              <w:rPr>
                <w:rFonts w:hint="eastAsia" w:ascii="宋体" w:hAnsi="宋体" w:cs="宋体"/>
                <w:szCs w:val="21"/>
                <w:lang w:val="zh-CN"/>
              </w:rPr>
              <w:t>2号</w:t>
            </w:r>
          </w:p>
          <w:p>
            <w:pPr>
              <w:spacing w:before="156" w:beforeLines="50" w:after="156" w:afterLines="50"/>
              <w:ind w:firstLine="420"/>
              <w:jc w:val="left"/>
              <w:rPr>
                <w:rFonts w:ascii="宋体" w:hAnsi="宋体" w:cs="宋体"/>
                <w:szCs w:val="21"/>
                <w:lang w:val="zh-CN"/>
              </w:rPr>
            </w:pPr>
            <w:r>
              <w:rPr>
                <w:rFonts w:ascii="宋体" w:hAnsi="宋体" w:cs="宋体"/>
                <w:szCs w:val="21"/>
                <w:lang w:val="zh-CN"/>
              </w:rPr>
              <w:t>邮编：</w:t>
            </w:r>
            <w:r>
              <w:rPr>
                <w:rFonts w:hint="eastAsia" w:ascii="宋体" w:hAnsi="宋体" w:cs="宋体"/>
                <w:szCs w:val="21"/>
                <w:lang w:val="zh-CN"/>
              </w:rPr>
              <w:t>611530</w:t>
            </w:r>
          </w:p>
          <w:p>
            <w:pPr>
              <w:spacing w:before="156" w:beforeLines="50" w:after="156" w:afterLines="50"/>
              <w:ind w:firstLine="370" w:firstLineChars="200"/>
              <w:jc w:val="left"/>
              <w:rPr>
                <w:rFonts w:ascii="宋体" w:hAnsi="宋体" w:cs="宋体"/>
                <w:b/>
                <w:color w:val="000000" w:themeColor="text1"/>
                <w:szCs w:val="21"/>
                <w:lang w:val="zh-CN"/>
                <w14:textFill>
                  <w14:solidFill>
                    <w14:schemeClr w14:val="tx1"/>
                  </w14:solidFill>
                </w14:textFill>
              </w:rPr>
            </w:pPr>
            <w:r>
              <w:rPr>
                <w:rFonts w:hint="eastAsia" w:ascii="宋体" w:hAnsi="宋体" w:cs="宋体"/>
                <w:b/>
                <w:color w:val="000000"/>
                <w:sz w:val="18"/>
                <w:szCs w:val="18"/>
                <w:lang w:val="zh-CN"/>
              </w:rPr>
              <w:t>注：根据《中华人民共和国政府采购法实施条例》的规定，供应商投诉事项不得超出已质疑事项的范围，须符合《政府采购质疑和投诉办法》（财政部第</w:t>
            </w:r>
            <w:r>
              <w:rPr>
                <w:rFonts w:ascii="宋体" w:hAnsi="宋体" w:cs="宋体"/>
                <w:b/>
                <w:color w:val="000000"/>
                <w:sz w:val="18"/>
                <w:szCs w:val="18"/>
                <w:lang w:val="zh-CN"/>
              </w:rPr>
              <w:t>94</w:t>
            </w:r>
            <w:r>
              <w:rPr>
                <w:rFonts w:hint="eastAsia" w:ascii="宋体" w:hAnsi="宋体" w:cs="宋体"/>
                <w:b/>
                <w:color w:val="000000"/>
                <w:sz w:val="18"/>
                <w:szCs w:val="18"/>
                <w:lang w:val="zh-CN"/>
              </w:rPr>
              <w:t>号令）规定。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57"/>
              <w:numPr>
                <w:ilvl w:val="0"/>
                <w:numId w:val="3"/>
              </w:numPr>
              <w:spacing w:line="360" w:lineRule="auto"/>
              <w:ind w:right="111" w:rightChars="52"/>
              <w:jc w:val="center"/>
              <w:rPr>
                <w:color w:val="000000" w:themeColor="text1"/>
                <w:kern w:val="2"/>
                <w:sz w:val="21"/>
                <w:szCs w:val="21"/>
                <w14:textFill>
                  <w14:solidFill>
                    <w14:schemeClr w14:val="tx1"/>
                  </w14:solidFill>
                </w14:textFill>
              </w:rPr>
            </w:pPr>
          </w:p>
        </w:tc>
        <w:tc>
          <w:tcPr>
            <w:tcW w:w="2177" w:type="dxa"/>
            <w:vAlign w:val="center"/>
          </w:tcPr>
          <w:p>
            <w:pPr>
              <w:pStyle w:val="57"/>
              <w:spacing w:line="360" w:lineRule="auto"/>
              <w:ind w:left="51" w:right="111" w:rightChars="52"/>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政府采购合同公告备案</w:t>
            </w:r>
          </w:p>
        </w:tc>
        <w:tc>
          <w:tcPr>
            <w:tcW w:w="6800" w:type="dxa"/>
            <w:vAlign w:val="center"/>
          </w:tcPr>
          <w:p>
            <w:pPr>
              <w:pStyle w:val="57"/>
              <w:spacing w:before="156" w:beforeLines="50" w:after="156" w:afterLines="50"/>
              <w:ind w:firstLine="430" w:firstLineChars="20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政府采购合同签订之日起2个工作日内，政府采购合同将在四川政府采购网公告；政府采购合同签订之日起七个工作日内，政府采购合同将向采购项目同级财政部门备案，即成都市财政局备案。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57"/>
              <w:numPr>
                <w:ilvl w:val="0"/>
                <w:numId w:val="3"/>
              </w:numPr>
              <w:spacing w:line="360" w:lineRule="auto"/>
              <w:ind w:right="111" w:rightChars="52"/>
              <w:jc w:val="center"/>
              <w:rPr>
                <w:color w:val="000000" w:themeColor="text1"/>
                <w:kern w:val="2"/>
                <w:sz w:val="21"/>
                <w:szCs w:val="21"/>
                <w14:textFill>
                  <w14:solidFill>
                    <w14:schemeClr w14:val="tx1"/>
                  </w14:solidFill>
                </w14:textFill>
              </w:rPr>
            </w:pPr>
          </w:p>
        </w:tc>
        <w:tc>
          <w:tcPr>
            <w:tcW w:w="2177" w:type="dxa"/>
            <w:vAlign w:val="center"/>
          </w:tcPr>
          <w:p>
            <w:pPr>
              <w:autoSpaceDE w:val="0"/>
              <w:autoSpaceDN w:val="0"/>
              <w:adjustRightInd w:val="0"/>
              <w:spacing w:line="360" w:lineRule="auto"/>
              <w:ind w:left="51" w:right="111" w:rightChars="52"/>
              <w:jc w:val="center"/>
              <w:rPr>
                <w:rFonts w:ascii="宋体" w:hAnsi="宋体" w:cs="宋体"/>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代理服务费</w:t>
            </w:r>
          </w:p>
        </w:tc>
        <w:tc>
          <w:tcPr>
            <w:tcW w:w="6800" w:type="dxa"/>
            <w:vAlign w:val="center"/>
          </w:tcPr>
          <w:p>
            <w:pPr>
              <w:pStyle w:val="57"/>
              <w:spacing w:before="156" w:beforeLines="50" w:after="156" w:afterLines="50"/>
              <w:ind w:left="118" w:leftChars="55" w:right="47" w:rightChars="22" w:firstLine="426" w:firstLineChars="199"/>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1、本项目招标代理服务费以成交金额×两年为计算基础，</w:t>
            </w:r>
            <w:r>
              <w:rPr>
                <w:rFonts w:asciiTheme="minorEastAsia" w:hAnsiTheme="minorEastAsia" w:eastAsiaTheme="minorEastAsia"/>
                <w:sz w:val="21"/>
                <w:szCs w:val="21"/>
                <w:lang w:val="zh-CN"/>
              </w:rPr>
              <w:t>依据下表计算费率按差额定率累进法计算后</w:t>
            </w:r>
            <w:r>
              <w:rPr>
                <w:rFonts w:hint="eastAsia" w:asciiTheme="minorEastAsia" w:hAnsiTheme="minorEastAsia" w:eastAsiaTheme="minorEastAsia"/>
                <w:sz w:val="21"/>
                <w:szCs w:val="21"/>
                <w:lang w:val="zh-CN"/>
              </w:rPr>
              <w:t>下浮2</w:t>
            </w:r>
            <w:r>
              <w:rPr>
                <w:rFonts w:asciiTheme="minorEastAsia" w:hAnsiTheme="minorEastAsia" w:eastAsiaTheme="minorEastAsia"/>
                <w:sz w:val="21"/>
                <w:szCs w:val="21"/>
                <w:lang w:val="zh-CN"/>
              </w:rPr>
              <w:t>0</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计取本项目招标代理服务费</w:t>
            </w:r>
            <w:r>
              <w:rPr>
                <w:rFonts w:hint="eastAsia" w:asciiTheme="minorEastAsia" w:hAnsiTheme="minorEastAsia" w:eastAsiaTheme="minorEastAsia"/>
                <w:sz w:val="21"/>
                <w:szCs w:val="21"/>
                <w:lang w:val="zh-CN"/>
              </w:rPr>
              <w:t>，由成交供应商在领取成交通知书时一次性支付给代理机构。</w:t>
            </w:r>
          </w:p>
          <w:p>
            <w:pPr>
              <w:pStyle w:val="57"/>
              <w:spacing w:before="156" w:beforeLines="50" w:after="156" w:afterLines="50"/>
              <w:ind w:left="761" w:leftChars="254" w:right="47" w:rightChars="22" w:hanging="215" w:hangingChars="100"/>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总中标金额（万元）   代理费计算费率</w:t>
            </w:r>
            <w:r>
              <w:rPr>
                <w:rFonts w:asciiTheme="minorEastAsia" w:hAnsiTheme="minorEastAsia" w:eastAsiaTheme="minorEastAsia"/>
                <w:sz w:val="21"/>
                <w:szCs w:val="21"/>
                <w:lang w:val="zh-CN"/>
              </w:rPr>
              <w:br w:type="textWrapping"/>
            </w:r>
            <w:r>
              <w:rPr>
                <w:rFonts w:asciiTheme="minorEastAsia" w:hAnsiTheme="minorEastAsia" w:eastAsiaTheme="minorEastAsia"/>
                <w:sz w:val="21"/>
                <w:szCs w:val="21"/>
                <w:lang w:val="zh-CN"/>
              </w:rPr>
              <w:t>100以下                    1.5%</w:t>
            </w:r>
            <w:r>
              <w:rPr>
                <w:rFonts w:asciiTheme="minorEastAsia" w:hAnsiTheme="minorEastAsia" w:eastAsiaTheme="minorEastAsia"/>
                <w:sz w:val="21"/>
                <w:szCs w:val="21"/>
                <w:lang w:val="zh-CN"/>
              </w:rPr>
              <w:br w:type="textWrapping"/>
            </w:r>
            <w:r>
              <w:rPr>
                <w:rFonts w:asciiTheme="minorEastAsia" w:hAnsiTheme="minorEastAsia" w:eastAsiaTheme="minorEastAsia"/>
                <w:sz w:val="21"/>
                <w:szCs w:val="21"/>
                <w:lang w:val="zh-CN"/>
              </w:rPr>
              <w:t>100-500                    0.8%</w:t>
            </w:r>
          </w:p>
          <w:p>
            <w:pPr>
              <w:pStyle w:val="57"/>
              <w:spacing w:before="156" w:beforeLines="50" w:after="156" w:afterLines="50"/>
              <w:ind w:left="118" w:leftChars="55" w:right="47" w:rightChars="22" w:firstLine="426" w:firstLineChars="199"/>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2、代理公司银行账户：</w:t>
            </w:r>
          </w:p>
          <w:p>
            <w:pPr>
              <w:spacing w:before="156" w:beforeLines="50" w:after="156" w:afterLines="50"/>
              <w:ind w:firstLine="430" w:firstLineChars="200"/>
              <w:jc w:val="left"/>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收款单位：四川同方建设咨询有限公司</w:t>
            </w:r>
          </w:p>
          <w:p>
            <w:pPr>
              <w:spacing w:before="156" w:beforeLines="50" w:after="156" w:afterLines="50"/>
              <w:ind w:firstLine="430" w:firstLineChars="200"/>
              <w:jc w:val="left"/>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开户行：中国建设银行股份有限公司成都市金河支行</w:t>
            </w:r>
          </w:p>
          <w:p>
            <w:pPr>
              <w:spacing w:before="156" w:beforeLines="50" w:after="156" w:afterLines="50"/>
              <w:ind w:firstLine="430" w:firstLineChars="200"/>
              <w:jc w:val="left"/>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银行账号：51001508608051549452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numPr>
                <w:ilvl w:val="0"/>
                <w:numId w:val="3"/>
              </w:numPr>
              <w:spacing w:line="360" w:lineRule="auto"/>
              <w:jc w:val="center"/>
              <w:rPr>
                <w:rFonts w:ascii="宋体" w:hAnsi="宋体" w:cs="宋体"/>
                <w:color w:val="000000" w:themeColor="text1"/>
                <w:szCs w:val="21"/>
                <w14:textFill>
                  <w14:solidFill>
                    <w14:schemeClr w14:val="tx1"/>
                  </w14:solidFill>
                </w14:textFill>
              </w:rPr>
            </w:pPr>
          </w:p>
        </w:tc>
        <w:tc>
          <w:tcPr>
            <w:tcW w:w="2177" w:type="dxa"/>
            <w:vAlign w:val="center"/>
          </w:tcPr>
          <w:p>
            <w:pPr>
              <w:spacing w:line="360" w:lineRule="auto"/>
              <w:ind w:left="43" w:leftChars="20" w:right="43" w:rightChars="20"/>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日期、数量的计算</w:t>
            </w:r>
          </w:p>
        </w:tc>
        <w:tc>
          <w:tcPr>
            <w:tcW w:w="6800" w:type="dxa"/>
            <w:vAlign w:val="center"/>
          </w:tcPr>
          <w:p>
            <w:pPr>
              <w:pStyle w:val="57"/>
              <w:spacing w:before="156" w:beforeLines="50" w:after="156" w:afterLines="50"/>
              <w:ind w:firstLine="430" w:firstLineChars="200"/>
              <w:rPr>
                <w:color w:val="000000" w:themeColor="text1"/>
                <w:kern w:val="2"/>
                <w:sz w:val="21"/>
                <w:szCs w:val="21"/>
                <w:lang w:val="zh-CN"/>
                <w14:textFill>
                  <w14:solidFill>
                    <w14:schemeClr w14:val="tx1"/>
                  </w14:solidFill>
                </w14:textFill>
              </w:rPr>
            </w:pPr>
            <w:r>
              <w:rPr>
                <w:rFonts w:hint="eastAsia"/>
                <w:color w:val="000000" w:themeColor="text1"/>
                <w:kern w:val="2"/>
                <w:sz w:val="21"/>
                <w:szCs w:val="21"/>
                <w:lang w:val="zh-CN"/>
                <w14:textFill>
                  <w14:solidFill>
                    <w14:schemeClr w14:val="tx1"/>
                  </w14:solidFill>
                </w14:textFill>
              </w:rPr>
              <w:t>1、本磋商文件按日计算期间的，开始当天不计入，从次日开始计算。期限的最后一日是国家法定节假日的，顺延到节假日后的次日为期限的最后一日。</w:t>
            </w:r>
          </w:p>
          <w:p>
            <w:pPr>
              <w:pStyle w:val="57"/>
              <w:spacing w:before="156" w:beforeLines="50" w:after="156" w:afterLines="50"/>
              <w:ind w:firstLine="430" w:firstLineChars="200"/>
              <w:rPr>
                <w:color w:val="000000" w:themeColor="text1"/>
                <w:szCs w:val="21"/>
                <w:lang w:val="zh-CN"/>
                <w14:textFill>
                  <w14:solidFill>
                    <w14:schemeClr w14:val="tx1"/>
                  </w14:solidFill>
                </w14:textFill>
              </w:rPr>
            </w:pPr>
            <w:r>
              <w:rPr>
                <w:rFonts w:hint="eastAsia"/>
                <w:color w:val="000000" w:themeColor="text1"/>
                <w:kern w:val="2"/>
                <w:sz w:val="21"/>
                <w:szCs w:val="21"/>
                <w:lang w:val="zh-CN"/>
                <w14:textFill>
                  <w14:solidFill>
                    <w14:schemeClr w14:val="tx1"/>
                  </w14:solidFill>
                </w14:textFill>
              </w:rPr>
              <w:t>2、本磋商文件所称的“以上”、“以下”、“内”、“以内”，包括本数；所称的“不足”，不包括本数。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numPr>
                <w:ilvl w:val="0"/>
                <w:numId w:val="3"/>
              </w:numPr>
              <w:spacing w:line="360" w:lineRule="auto"/>
              <w:jc w:val="center"/>
              <w:rPr>
                <w:rFonts w:ascii="宋体" w:hAnsi="宋体" w:cs="宋体"/>
                <w:color w:val="000000" w:themeColor="text1"/>
                <w:szCs w:val="21"/>
                <w14:textFill>
                  <w14:solidFill>
                    <w14:schemeClr w14:val="tx1"/>
                  </w14:solidFill>
                </w14:textFill>
              </w:rPr>
            </w:pPr>
          </w:p>
        </w:tc>
        <w:tc>
          <w:tcPr>
            <w:tcW w:w="2177" w:type="dxa"/>
            <w:vAlign w:val="center"/>
          </w:tcPr>
          <w:p>
            <w:pPr>
              <w:spacing w:line="360" w:lineRule="auto"/>
              <w:ind w:left="43" w:leftChars="20" w:right="43" w:rightChars="20"/>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政府采购供应商信用融资</w:t>
            </w:r>
          </w:p>
        </w:tc>
        <w:tc>
          <w:tcPr>
            <w:tcW w:w="6800" w:type="dxa"/>
            <w:vAlign w:val="center"/>
          </w:tcPr>
          <w:p>
            <w:pPr>
              <w:pStyle w:val="57"/>
              <w:spacing w:before="156" w:beforeLines="50" w:after="156" w:afterLines="50"/>
              <w:ind w:firstLine="430" w:firstLineChars="200"/>
              <w:rPr>
                <w:color w:val="000000" w:themeColor="text1"/>
                <w:kern w:val="2"/>
                <w:sz w:val="21"/>
                <w:szCs w:val="21"/>
                <w:lang w:val="zh-CN"/>
                <w14:textFill>
                  <w14:solidFill>
                    <w14:schemeClr w14:val="tx1"/>
                  </w14:solidFill>
                </w14:textFill>
              </w:rPr>
            </w:pPr>
            <w:r>
              <w:rPr>
                <w:rFonts w:hint="eastAsia"/>
                <w:color w:val="000000" w:themeColor="text1"/>
                <w:kern w:val="2"/>
                <w:sz w:val="21"/>
                <w:szCs w:val="21"/>
                <w:lang w:val="zh-CN"/>
                <w14:textFill>
                  <w14:solidFill>
                    <w14:schemeClr w14:val="tx1"/>
                  </w14:solidFill>
                </w14:textFill>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57"/>
              <w:spacing w:before="156" w:beforeLines="50" w:after="156" w:afterLines="50"/>
              <w:ind w:firstLine="430" w:firstLineChars="200"/>
              <w:rPr>
                <w:color w:val="000000" w:themeColor="text1"/>
                <w:kern w:val="2"/>
                <w:sz w:val="21"/>
                <w:szCs w:val="21"/>
                <w:lang w:val="zh-CN"/>
                <w14:textFill>
                  <w14:solidFill>
                    <w14:schemeClr w14:val="tx1"/>
                  </w14:solidFill>
                </w14:textFill>
              </w:rPr>
            </w:pPr>
            <w:r>
              <w:rPr>
                <w:rFonts w:hint="eastAsia"/>
                <w:color w:val="000000" w:themeColor="text1"/>
                <w:kern w:val="2"/>
                <w:sz w:val="21"/>
                <w:szCs w:val="21"/>
                <w:lang w:val="zh-CN"/>
                <w14:textFill>
                  <w14:solidFill>
                    <w14:schemeClr w14:val="tx1"/>
                  </w14:solidFill>
                </w14:textFill>
              </w:rPr>
              <w:t>根据川财采【2018】123号文《四川省财政厅关于推进四川省政府采购供应商信用融资工作的通知》，财政部门推进“政采贷”，银行和供应商按照自愿原则参与。供应商自愿选择是否申请“政采贷”，银行依据其内部审查制度和决策程序决定是否为供应商提供融资，自担风险。</w:t>
            </w:r>
          </w:p>
          <w:p>
            <w:pPr>
              <w:spacing w:before="156" w:beforeLines="50" w:after="156" w:afterLines="50"/>
              <w:ind w:firstLine="430" w:firstLineChars="200"/>
              <w:jc w:val="left"/>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为有效缓解中小企业融资难、融资贵问题，成都市财政局、中国人民银行成都分行营业管理部制定了《成都市中小企业政府采购信用融资暂行办法》（成财采[2019]17号），成都市范围内政府采购项目中标（成交）的中小微企业可向开展政府采购信用融资业务的银行提出融资申请。</w:t>
            </w:r>
          </w:p>
          <w:p>
            <w:pPr>
              <w:spacing w:before="156" w:beforeLines="50" w:after="156" w:afterLines="50"/>
              <w:ind w:firstLine="430" w:firstLineChars="200"/>
              <w:jc w:val="left"/>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有融资需求的供应商可根据四川政府采购网公示的银行及其“政采贷”产品，自行选择符合自身情况的“政采贷”银行及其产品，凭成交通知书向银行提出贷款意向申请。银行应及时按照有关规定完成对供应商的信用审查以及开设账户等相关工作。</w:t>
            </w:r>
          </w:p>
        </w:tc>
      </w:tr>
    </w:tbl>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pPr>
        <w:pStyle w:val="4"/>
        <w:keepNext w:val="0"/>
        <w:keepLines w:val="0"/>
        <w:spacing w:line="360" w:lineRule="auto"/>
        <w:ind w:firstLine="200"/>
        <w:jc w:val="center"/>
        <w:rPr>
          <w:rFonts w:ascii="宋体" w:hAnsi="宋体" w:eastAsia="宋体" w:cs="宋体"/>
          <w:bCs w:val="0"/>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t>二、总  则</w:t>
      </w:r>
      <w:bookmarkStart w:id="12" w:name="_Toc183582205"/>
      <w:bookmarkStart w:id="13" w:name="_Toc183682342"/>
      <w:bookmarkStart w:id="14" w:name="_Toc217446034"/>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bookmarkEnd w:id="12"/>
      <w:bookmarkEnd w:id="13"/>
      <w:r>
        <w:rPr>
          <w:rFonts w:hint="eastAsia" w:ascii="宋体" w:hAnsi="宋体" w:cs="宋体"/>
          <w:color w:val="000000" w:themeColor="text1"/>
          <w:sz w:val="24"/>
          <w:szCs w:val="24"/>
          <w14:textFill>
            <w14:solidFill>
              <w14:schemeClr w14:val="tx1"/>
            </w14:solidFill>
          </w14:textFill>
        </w:rPr>
        <w:t>适用范围</w:t>
      </w:r>
      <w:bookmarkEnd w:id="14"/>
    </w:p>
    <w:p>
      <w:pPr>
        <w:tabs>
          <w:tab w:val="left" w:pos="7665"/>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 本磋商文件仅适用于本次磋商所叙述的货物/服务采购。</w:t>
      </w:r>
    </w:p>
    <w:p>
      <w:pPr>
        <w:tabs>
          <w:tab w:val="left" w:pos="7665"/>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 本磋商文件的解释权归采购人和采购代理机构所有。</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bookmarkStart w:id="15" w:name="_Toc183582206"/>
      <w:bookmarkStart w:id="16" w:name="_Toc217446035"/>
      <w:bookmarkStart w:id="17" w:name="_Toc183682343"/>
      <w:r>
        <w:rPr>
          <w:rFonts w:hint="eastAsia" w:ascii="宋体" w:hAnsi="宋体" w:cs="宋体"/>
          <w:color w:val="000000" w:themeColor="text1"/>
          <w:sz w:val="24"/>
          <w14:textFill>
            <w14:solidFill>
              <w14:schemeClr w14:val="tx1"/>
            </w14:solidFill>
          </w14:textFill>
        </w:rPr>
        <w:t>2.</w:t>
      </w:r>
      <w:bookmarkEnd w:id="15"/>
      <w:bookmarkEnd w:id="16"/>
      <w:bookmarkEnd w:id="17"/>
      <w:r>
        <w:rPr>
          <w:rFonts w:hint="eastAsia" w:ascii="宋体" w:hAnsi="宋体" w:cs="宋体"/>
          <w:color w:val="000000" w:themeColor="text1"/>
          <w:sz w:val="24"/>
          <w14:textFill>
            <w14:solidFill>
              <w14:schemeClr w14:val="tx1"/>
            </w14:solidFill>
          </w14:textFill>
        </w:rPr>
        <w:t>采购主体</w:t>
      </w:r>
    </w:p>
    <w:p>
      <w:pPr>
        <w:tabs>
          <w:tab w:val="left" w:pos="7665"/>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本次磋商的采购人是</w:t>
      </w:r>
      <w:r>
        <w:rPr>
          <w:rFonts w:hint="eastAsia" w:ascii="宋体" w:hAnsi="宋体" w:cs="宋体"/>
          <w:color w:val="000000" w:themeColor="text1"/>
          <w:sz w:val="24"/>
          <w:u w:val="single"/>
          <w14:textFill>
            <w14:solidFill>
              <w14:schemeClr w14:val="tx1"/>
            </w14:solidFill>
          </w14:textFill>
        </w:rPr>
        <w:t xml:space="preserve"> 邛崃市综合行政执法局 </w:t>
      </w:r>
      <w:r>
        <w:rPr>
          <w:rFonts w:hint="eastAsia" w:ascii="宋体" w:hAnsi="宋体" w:cs="宋体"/>
          <w:color w:val="000000" w:themeColor="text1"/>
          <w:sz w:val="24"/>
          <w14:textFill>
            <w14:solidFill>
              <w14:schemeClr w14:val="tx1"/>
            </w14:solidFill>
          </w14:textFill>
        </w:rPr>
        <w:t>。</w:t>
      </w:r>
    </w:p>
    <w:p>
      <w:pPr>
        <w:tabs>
          <w:tab w:val="left" w:pos="7665"/>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本次磋商的采购代理机构是</w:t>
      </w:r>
      <w:r>
        <w:rPr>
          <w:rFonts w:hint="eastAsia" w:ascii="宋体" w:hAnsi="宋体" w:cs="宋体"/>
          <w:color w:val="000000" w:themeColor="text1"/>
          <w:sz w:val="24"/>
          <w:u w:val="single"/>
          <w14:textFill>
            <w14:solidFill>
              <w14:schemeClr w14:val="tx1"/>
            </w14:solidFill>
          </w14:textFill>
        </w:rPr>
        <w:t xml:space="preserve"> 四川同方建设咨询有限公司 </w:t>
      </w:r>
      <w:r>
        <w:rPr>
          <w:rFonts w:hint="eastAsia" w:ascii="宋体" w:hAnsi="宋体" w:cs="宋体"/>
          <w:color w:val="000000" w:themeColor="text1"/>
          <w:sz w:val="24"/>
          <w14:textFill>
            <w14:solidFill>
              <w14:schemeClr w14:val="tx1"/>
            </w14:solidFill>
          </w14:textFill>
        </w:rPr>
        <w:t>。</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bookmarkStart w:id="18" w:name="_Toc217446036"/>
      <w:bookmarkStart w:id="19" w:name="_Toc217390843"/>
      <w:bookmarkStart w:id="20" w:name="_Toc183582207"/>
      <w:bookmarkStart w:id="21" w:name="_Toc183682344"/>
      <w:r>
        <w:rPr>
          <w:rFonts w:hint="eastAsia" w:ascii="宋体" w:hAnsi="宋体" w:cs="宋体"/>
          <w:color w:val="000000" w:themeColor="text1"/>
          <w:sz w:val="24"/>
          <w14:textFill>
            <w14:solidFill>
              <w14:schemeClr w14:val="tx1"/>
            </w14:solidFill>
          </w14:textFill>
        </w:rPr>
        <w:t>3.合格</w:t>
      </w:r>
      <w:bookmarkEnd w:id="18"/>
      <w:bookmarkEnd w:id="19"/>
      <w:bookmarkEnd w:id="20"/>
      <w:bookmarkEnd w:id="21"/>
      <w:r>
        <w:rPr>
          <w:rFonts w:hint="eastAsia" w:ascii="宋体" w:hAnsi="宋体" w:cs="宋体"/>
          <w:color w:val="000000" w:themeColor="text1"/>
          <w:sz w:val="24"/>
          <w14:textFill>
            <w14:solidFill>
              <w14:schemeClr w14:val="tx1"/>
            </w14:solidFill>
          </w14:textFill>
        </w:rPr>
        <w:t>供应商（实质性要求）</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合格供应商应具备以下条件：</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具备法律法规和本采购文件规定的资格条件；</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不属于禁止参加本项目采购活动的供应商；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 按照规定获取了磋商文件，属于实质性参加政府采购活动的供应商（由代理机构提供供应商报名登记表作为审查依据）。</w:t>
      </w:r>
      <w:bookmarkStart w:id="22" w:name="_Toc217446037"/>
      <w:bookmarkStart w:id="23" w:name="_Toc183582208"/>
      <w:bookmarkStart w:id="24" w:name="_Toc183682345"/>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4.磋商费用</w:t>
      </w:r>
      <w:bookmarkEnd w:id="22"/>
      <w:bookmarkEnd w:id="23"/>
      <w:bookmarkEnd w:id="24"/>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供应商应自行承担参加磋商活动的全部费用。</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5.充分、公平竞争保障措施（实质性要求）</w:t>
      </w:r>
    </w:p>
    <w:p>
      <w:pPr>
        <w:spacing w:line="360" w:lineRule="auto"/>
        <w:ind w:firstLine="49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5.1</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spacing w:line="360" w:lineRule="auto"/>
        <w:ind w:firstLine="49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5.2</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利害关系授权代表处理。两家以上的供应商不得在同一合同项下的采购项目中，委托同一个自然人、同一家庭的人员、同一单位的人员作为其授权代表，否则，其响应文件作为无效处理。</w:t>
      </w:r>
    </w:p>
    <w:p>
      <w:pPr>
        <w:spacing w:line="360" w:lineRule="auto"/>
        <w:ind w:firstLine="49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5.3</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360" w:lineRule="auto"/>
        <w:ind w:firstLine="49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5.4</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供应商实际控制人或者中高级管理人员，同时是采购代理机构工作人员，不得参与本项目政府采购活动。</w:t>
      </w:r>
    </w:p>
    <w:p>
      <w:pPr>
        <w:spacing w:line="360" w:lineRule="auto"/>
        <w:ind w:firstLine="49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 xml:space="preserve">5 </w:t>
      </w:r>
      <w:r>
        <w:rPr>
          <w:rFonts w:hint="eastAsia" w:ascii="宋体" w:hAnsi="宋体" w:cs="宋体"/>
          <w:color w:val="000000" w:themeColor="text1"/>
          <w:sz w:val="24"/>
          <w:lang w:val="zh-CN"/>
          <w14:textFill>
            <w14:solidFill>
              <w14:schemeClr w14:val="tx1"/>
            </w14:solidFill>
          </w14:textFill>
        </w:rPr>
        <w:t>供应商与采购代理机构存在关联关系，或者是采购代理机构的母公司或子公司，不得参加本项目政府采购活动。</w:t>
      </w:r>
    </w:p>
    <w:p>
      <w:pPr>
        <w:spacing w:line="360" w:lineRule="auto"/>
        <w:ind w:firstLine="49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 xml:space="preserve">6 </w:t>
      </w:r>
      <w:r>
        <w:rPr>
          <w:rFonts w:hint="eastAsia" w:ascii="宋体" w:hAnsi="宋体" w:cs="宋体"/>
          <w:color w:val="000000" w:themeColor="text1"/>
          <w:sz w:val="24"/>
          <w:lang w:val="zh-CN"/>
          <w14:textFill>
            <w14:solidFill>
              <w14:schemeClr w14:val="tx1"/>
            </w14:solidFill>
          </w14:textFill>
        </w:rPr>
        <w:t>回避。政府采购活动中，采购人员及相关人员与供应商有下列利害关系之一的，应当回避：</w:t>
      </w:r>
    </w:p>
    <w:p>
      <w:pPr>
        <w:spacing w:line="360" w:lineRule="auto"/>
        <w:ind w:firstLine="49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（1）参加采购活动前3年内与供应商存在劳动关系；</w:t>
      </w:r>
    </w:p>
    <w:p>
      <w:pPr>
        <w:spacing w:line="360" w:lineRule="auto"/>
        <w:ind w:firstLine="49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（2）参加采购活动前3年内担任供应商的董事、监事；</w:t>
      </w:r>
    </w:p>
    <w:p>
      <w:pPr>
        <w:spacing w:line="360" w:lineRule="auto"/>
        <w:ind w:firstLine="49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（3）参加采购活动前3年内是供应商的控股股东或者实际控制人；</w:t>
      </w:r>
    </w:p>
    <w:p>
      <w:pPr>
        <w:spacing w:line="360" w:lineRule="auto"/>
        <w:ind w:firstLine="49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（4）与供应商的法定代表人或者负责人有夫妻、直系血亲、三代以内旁系血亲或者近姻亲关系；</w:t>
      </w:r>
    </w:p>
    <w:p>
      <w:pPr>
        <w:spacing w:line="360" w:lineRule="auto"/>
        <w:ind w:firstLine="49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（5）与供应商有其他可能影响政府采购活动公平、公正进行的关系。</w:t>
      </w:r>
    </w:p>
    <w:p>
      <w:pPr>
        <w:spacing w:line="360" w:lineRule="auto"/>
        <w:ind w:firstLine="49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6.联合体竞争性磋商（实质性要求）</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本项目不接受联合体参与采购活动。</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7.磋商保证金</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根据四川省财政厅发布的《四川省财政厅关于进一步做好疫情防控期间政府采购工作有关事项的通知》川财采（2021）28号文相关规定，本项目不要求递交磋商保证金。</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8.响应文件有效期（实质性要求）</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本项目响应文件有效期</w:t>
      </w:r>
      <w:r>
        <w:rPr>
          <w:rFonts w:hint="eastAsia" w:ascii="宋体" w:hAnsi="宋体" w:cs="宋体"/>
          <w:b/>
          <w:color w:val="000000" w:themeColor="text1"/>
          <w:sz w:val="24"/>
          <w14:textFill>
            <w14:solidFill>
              <w14:schemeClr w14:val="tx1"/>
            </w14:solidFill>
          </w14:textFill>
        </w:rPr>
        <w:t>为递交磋商响应文件截止之日起90天</w:t>
      </w:r>
      <w:r>
        <w:rPr>
          <w:rFonts w:hint="eastAsia" w:ascii="宋体" w:hAnsi="宋体" w:cs="宋体"/>
          <w:color w:val="000000" w:themeColor="text1"/>
          <w:sz w:val="24"/>
          <w14:textFill>
            <w14:solidFill>
              <w14:schemeClr w14:val="tx1"/>
            </w14:solidFill>
          </w14:textFill>
        </w:rPr>
        <w:t>。供应商响应文件中必须载明响应文件有效期，响应文件中载明的响应文件有效期可以长于磋商文件规定的期限，但不得短于磋商文件规定的期限。否则，其响应文件将作为无效处理。</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9.知识产权（实质性要求）</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 除非磋商文件特别规定，采购人享有本项目实施过程中产生的知识成果及知识产权。</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9.3 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9.4 如采用供应商所不拥有的知识产权，则在报价中必须包括合法获取该知识产权的相关费用。 </w:t>
      </w:r>
      <w:bookmarkStart w:id="25" w:name="_Toc183582209"/>
      <w:bookmarkStart w:id="26" w:name="_Toc217446038"/>
      <w:bookmarkStart w:id="27" w:name="_Toc183682346"/>
      <w:bookmarkStart w:id="28" w:name="_Toc89075875"/>
      <w:bookmarkStart w:id="29" w:name="_Toc77400779"/>
    </w:p>
    <w:p>
      <w:pPr>
        <w:pStyle w:val="4"/>
        <w:keepNext w:val="0"/>
        <w:keepLines w:val="0"/>
        <w:spacing w:line="360" w:lineRule="auto"/>
        <w:ind w:firstLine="200"/>
        <w:jc w:val="center"/>
        <w:rPr>
          <w:rFonts w:ascii="宋体" w:hAnsi="宋体" w:eastAsia="宋体" w:cs="宋体"/>
          <w:bCs w:val="0"/>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t>三、磋商文件</w:t>
      </w:r>
      <w:bookmarkEnd w:id="25"/>
      <w:bookmarkEnd w:id="26"/>
      <w:bookmarkEnd w:id="27"/>
      <w:bookmarkEnd w:id="28"/>
      <w:bookmarkEnd w:id="29"/>
      <w:bookmarkStart w:id="30" w:name="_Toc183682347"/>
      <w:bookmarkStart w:id="31" w:name="_Toc217446039"/>
      <w:bookmarkStart w:id="32" w:name="_Toc183582210"/>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10．磋商文件的构成</w:t>
      </w:r>
      <w:bookmarkEnd w:id="30"/>
      <w:bookmarkEnd w:id="31"/>
      <w:bookmarkEnd w:id="32"/>
      <w:r>
        <w:rPr>
          <w:rFonts w:hint="eastAsia" w:ascii="宋体" w:hAnsi="宋体" w:cs="宋体"/>
          <w:color w:val="000000" w:themeColor="text1"/>
          <w:sz w:val="24"/>
          <w14:textFill>
            <w14:solidFill>
              <w14:schemeClr w14:val="tx1"/>
            </w14:solidFill>
          </w14:textFill>
        </w:rPr>
        <w:t>（实质性要求）</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 磋商文件是供应商准备响应文件和参加磋商的依据，同时也是磋商的重要依据。磋商文件用以阐明磋商项目所需的资质、技术、服务及报价等要求、磋商程序、有关规定和注意事项以及合同主要条款等。</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bookmarkStart w:id="33" w:name="_Toc183582211"/>
      <w:bookmarkStart w:id="34" w:name="_Toc183682348"/>
      <w:bookmarkStart w:id="35" w:name="_Toc217446040"/>
      <w:r>
        <w:rPr>
          <w:rFonts w:hint="eastAsia" w:ascii="宋体" w:hAnsi="宋体" w:cs="宋体"/>
          <w:color w:val="000000" w:themeColor="text1"/>
          <w:sz w:val="24"/>
          <w14:textFill>
            <w14:solidFill>
              <w14:schemeClr w14:val="tx1"/>
            </w14:solidFill>
          </w14:textFill>
        </w:rPr>
        <w:t>11.磋商文件的澄清</w:t>
      </w:r>
      <w:bookmarkEnd w:id="33"/>
      <w:bookmarkEnd w:id="34"/>
      <w:r>
        <w:rPr>
          <w:rFonts w:hint="eastAsia" w:ascii="宋体" w:hAnsi="宋体" w:cs="宋体"/>
          <w:color w:val="000000" w:themeColor="text1"/>
          <w:sz w:val="24"/>
          <w14:textFill>
            <w14:solidFill>
              <w14:schemeClr w14:val="tx1"/>
            </w14:solidFill>
          </w14:textFill>
        </w:rPr>
        <w:t>和修改</w:t>
      </w:r>
      <w:bookmarkEnd w:id="35"/>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 在递交响应文件截止时间前，采购人、采购代理机构可以对磋商文件进行澄清或者修改。</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 供应商认为采购人/采购代理机构需要对磋商文件进行澄清或者修改的，可以在磋商截止日期3日前以书面形式向采购人/采购代理机构提出申请，由采购人/采购代理机构决定是否采纳供应商的申请事项。</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bookmarkStart w:id="36" w:name="_Toc217446041"/>
      <w:bookmarkStart w:id="37" w:name="_Toc208848971"/>
      <w:r>
        <w:rPr>
          <w:rFonts w:hint="eastAsia" w:ascii="宋体" w:hAnsi="宋体" w:cs="宋体"/>
          <w:color w:val="000000" w:themeColor="text1"/>
          <w:sz w:val="24"/>
          <w14:textFill>
            <w14:solidFill>
              <w14:schemeClr w14:val="tx1"/>
            </w14:solidFill>
          </w14:textFill>
        </w:rPr>
        <w:t>12.答疑会和现场考察</w:t>
      </w:r>
      <w:bookmarkEnd w:id="36"/>
      <w:bookmarkEnd w:id="37"/>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12.2 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12.3 供应商考察现场或者参加答疑会所发生的一切费用由供应商自己承担。</w:t>
      </w:r>
    </w:p>
    <w:p>
      <w:pPr>
        <w:pStyle w:val="4"/>
        <w:keepNext w:val="0"/>
        <w:keepLines w:val="0"/>
        <w:spacing w:line="360" w:lineRule="auto"/>
        <w:ind w:firstLine="200"/>
        <w:jc w:val="center"/>
        <w:rPr>
          <w:rFonts w:ascii="宋体" w:hAnsi="宋体" w:cs="宋体"/>
          <w:color w:val="000000" w:themeColor="text1"/>
          <w14:textFill>
            <w14:solidFill>
              <w14:schemeClr w14:val="tx1"/>
            </w14:solidFill>
          </w14:textFill>
        </w:rPr>
      </w:pPr>
      <w:bookmarkStart w:id="38" w:name="_Toc217446042"/>
      <w:bookmarkStart w:id="39" w:name="_Toc183582214"/>
      <w:bookmarkStart w:id="40" w:name="_Toc183682351"/>
      <w:bookmarkStart w:id="41" w:name="_Toc89075876"/>
      <w:bookmarkStart w:id="42" w:name="_Toc77400780"/>
      <w:r>
        <w:rPr>
          <w:rFonts w:hint="eastAsia" w:ascii="宋体" w:hAnsi="宋体" w:eastAsia="宋体" w:cs="宋体"/>
          <w:bCs w:val="0"/>
          <w:color w:val="000000" w:themeColor="text1"/>
          <w14:textFill>
            <w14:solidFill>
              <w14:schemeClr w14:val="tx1"/>
            </w14:solidFill>
          </w14:textFill>
        </w:rPr>
        <w:t>四、响应文件</w:t>
      </w:r>
      <w:bookmarkEnd w:id="38"/>
      <w:bookmarkEnd w:id="39"/>
      <w:bookmarkEnd w:id="40"/>
      <w:bookmarkEnd w:id="41"/>
      <w:bookmarkEnd w:id="42"/>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bookmarkStart w:id="43" w:name="_Toc183682352"/>
      <w:bookmarkStart w:id="44" w:name="_Toc217446043"/>
      <w:bookmarkStart w:id="45" w:name="_Toc183582215"/>
      <w:r>
        <w:rPr>
          <w:rFonts w:hint="eastAsia" w:ascii="宋体" w:hAnsi="宋体" w:cs="宋体"/>
          <w:color w:val="000000" w:themeColor="text1"/>
          <w:sz w:val="24"/>
          <w14:textFill>
            <w14:solidFill>
              <w14:schemeClr w14:val="tx1"/>
            </w14:solidFill>
          </w14:textFill>
        </w:rPr>
        <w:t>13.响应文件的组成</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供应商应按照磋商文件的规定和要求编制响应文件。供应商在成交后将成交项目的非主体、非关键性工作分包他人完成的，应当在响应文件中载明或磋商过程中澄清。供应商编写的响应文件应至少包括下列文件：</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一、资格性响应文件</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按照第四章要求提供相关资格要求的证明材料。</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二、其他响应文件</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（1）响应函；</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（2）首轮报价函；</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（3）供应商基本情况表；</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（4）技术、服务条款偏离表；</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（5）商务条款应答表；</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（6）供应商本项目管理、技术及其他服务人员情况表；</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（7）供应商类似项目业绩一览表；</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（8）项目实施方案；</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（9）知识产权的声明函；</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（10）供应商认为应当提供的其他材料（如有，格式自拟）。</w:t>
      </w:r>
    </w:p>
    <w:p>
      <w:pPr>
        <w:spacing w:line="360" w:lineRule="auto"/>
        <w:ind w:firstLine="49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注：供应商按照磋商文件要求填写报价函。本次磋商报价要求：供应商结合自身情况综合考虑后进行报价。</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14.响应文件的语言</w:t>
      </w:r>
      <w:bookmarkEnd w:id="43"/>
      <w:bookmarkEnd w:id="44"/>
      <w:bookmarkEnd w:id="45"/>
      <w:r>
        <w:rPr>
          <w:rFonts w:hint="eastAsia" w:ascii="宋体" w:hAnsi="宋体" w:cs="宋体"/>
          <w:color w:val="000000" w:themeColor="text1"/>
          <w:sz w:val="24"/>
          <w14:textFill>
            <w14:solidFill>
              <w14:schemeClr w14:val="tx1"/>
            </w14:solidFill>
          </w14:textFill>
        </w:rPr>
        <w:t>（实质性要求）</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 供应商提交的响应文件以及供应商与采购人、采购代理机构就有关报价的所有来往书面文件均须使用中文。响应文件中如附有外文资料，必须逐一对应翻译成中文并加盖供应商公章后附在相关外文资料后面，否则，视为未提供该资料。（说明：供应商的法定代表人为外籍人士的，法定代表人的签字和护照除外。）</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 翻译的中文资料与外文资料如果出现差异和矛盾，以中文为准。但不能故意错误翻译，否则，磋商小组可将其视为无效材料。</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bookmarkStart w:id="46" w:name="_Toc217446044"/>
      <w:bookmarkStart w:id="47" w:name="_Toc183682353"/>
      <w:bookmarkStart w:id="48" w:name="_Toc183582216"/>
      <w:r>
        <w:rPr>
          <w:rFonts w:hint="eastAsia" w:ascii="宋体" w:hAnsi="宋体" w:cs="宋体"/>
          <w:color w:val="000000" w:themeColor="text1"/>
          <w:sz w:val="24"/>
          <w14:textFill>
            <w14:solidFill>
              <w14:schemeClr w14:val="tx1"/>
            </w14:solidFill>
          </w14:textFill>
        </w:rPr>
        <w:t>15.计量单位</w:t>
      </w:r>
      <w:bookmarkEnd w:id="46"/>
      <w:bookmarkEnd w:id="47"/>
      <w:bookmarkEnd w:id="48"/>
      <w:r>
        <w:rPr>
          <w:rFonts w:hint="eastAsia" w:ascii="宋体" w:hAnsi="宋体" w:cs="宋体"/>
          <w:color w:val="000000" w:themeColor="text1"/>
          <w:sz w:val="24"/>
          <w14:textFill>
            <w14:solidFill>
              <w14:schemeClr w14:val="tx1"/>
            </w14:solidFill>
          </w14:textFill>
        </w:rPr>
        <w:t>（实质性要求）</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除磋商文件中另有规定外，本次采购项目所有合同项下的报价均采用国家法定的计量单位。</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bookmarkStart w:id="49" w:name="_Toc217446045"/>
      <w:r>
        <w:rPr>
          <w:rFonts w:hint="eastAsia" w:ascii="宋体" w:hAnsi="宋体" w:cs="宋体"/>
          <w:color w:val="000000" w:themeColor="text1"/>
          <w:sz w:val="24"/>
          <w14:textFill>
            <w14:solidFill>
              <w14:schemeClr w14:val="tx1"/>
            </w14:solidFill>
          </w14:textFill>
        </w:rPr>
        <w:t>16.报价货币</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本次磋商项目的货币为人民币，报价以磋商文件规定为准。</w:t>
      </w:r>
    </w:p>
    <w:bookmarkEnd w:id="49"/>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17.响应文件格式</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 供应商应执行磋商文件第八章的规定要求。</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 对于没有格式要求的磋商文件由供应商自行编写。</w:t>
      </w:r>
      <w:bookmarkStart w:id="50" w:name="_Toc183682361"/>
      <w:bookmarkStart w:id="51" w:name="_Toc217446051"/>
      <w:bookmarkStart w:id="52" w:name="_Toc183582224"/>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18.响应文件的编制和签署</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 资格性响应文件正本1份副本2份，并在其封面上清楚地标明资格性响应文件、采购项目名称、采购项目编号、包件号（若有）、供应商名称以及“正本”或“副本”字样。若正本和副本有不一致的内容，以正本书面响应文件为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18.2 其他响应文件正本1份副本2份，并在其封面上清楚地标明其他响应文件、采购项目名称、采购项目编号、包件号（若有）、供应商名称以及“正本”或“副本”字样。若正本和副本有不一致的内容，以正本书面响应文件为准。</w:t>
      </w:r>
    </w:p>
    <w:bookmarkEnd w:id="50"/>
    <w:bookmarkEnd w:id="51"/>
    <w:bookmarkEnd w:id="52"/>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 响应文件正本和副本均需在规定签章处签字和盖章。响应文件副本可采用正本的复印件，电子文档1份（</w:t>
      </w:r>
      <w:r>
        <w:rPr>
          <w:rFonts w:hint="eastAsia" w:ascii="宋体" w:hAnsi="宋体" w:cs="宋体"/>
          <w:bCs/>
          <w:color w:val="000000" w:themeColor="text1"/>
          <w:sz w:val="24"/>
          <w14:textFill>
            <w14:solidFill>
              <w14:schemeClr w14:val="tx1"/>
            </w14:solidFill>
          </w14:textFill>
        </w:rPr>
        <w:t>含签字盖章后的正本响应文件pdf格式文件1份，以 U 盘或光盘形式提供）。</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18.4 响应文件的打印和书写应清楚工整，任何行间插字、涂改或增删，必须由供应商的法定代表人或其授权代表签字并盖供应商公章。</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18.5 </w:t>
      </w:r>
      <w:r>
        <w:rPr>
          <w:rFonts w:hint="eastAsia" w:ascii="宋体" w:hAnsi="宋体" w:cs="宋体"/>
          <w:b/>
          <w:bCs/>
          <w:color w:val="000000" w:themeColor="text1"/>
          <w:sz w:val="24"/>
          <w14:textFill>
            <w14:solidFill>
              <w14:schemeClr w14:val="tx1"/>
            </w14:solidFill>
          </w14:textFill>
        </w:rPr>
        <w:t>（实质性要求）</w:t>
      </w:r>
      <w:r>
        <w:rPr>
          <w:rFonts w:hint="eastAsia" w:ascii="宋体" w:hAnsi="宋体" w:cs="宋体"/>
          <w:color w:val="000000" w:themeColor="text1"/>
          <w:sz w:val="24"/>
          <w14:textFill>
            <w14:solidFill>
              <w14:schemeClr w14:val="tx1"/>
            </w14:solidFill>
          </w14:textFill>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 响应文件正本和副本需要逐页编目编码。</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18.7 响应文件正本和副本应当采用胶装方式装订成册，不得散装或者合页装订。</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18.8 响应文件应根据磋商文件的要求制作，签署、盖章。（按照《四川省政府采购评审工作规程（修订）》规范）</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18.9 响应文件统一用A4幅面纸印制，除另有规定外。</w:t>
      </w:r>
    </w:p>
    <w:p>
      <w:pPr>
        <w:pStyle w:val="5"/>
        <w:keepNext w:val="0"/>
        <w:keepLines w:val="0"/>
        <w:tabs>
          <w:tab w:val="left" w:pos="1080"/>
        </w:tabs>
        <w:spacing w:before="0" w:after="0" w:line="360" w:lineRule="auto"/>
        <w:ind w:firstLine="490" w:firstLineChars="200"/>
        <w:rPr>
          <w:rFonts w:ascii="宋体" w:hAnsi="宋体" w:cs="宋体"/>
          <w:color w:val="000000" w:themeColor="text1"/>
          <w:sz w:val="24"/>
          <w14:textFill>
            <w14:solidFill>
              <w14:schemeClr w14:val="tx1"/>
            </w14:solidFill>
          </w14:textFill>
        </w:rPr>
      </w:pPr>
      <w:bookmarkStart w:id="53" w:name="_Toc183682363"/>
      <w:bookmarkStart w:id="54" w:name="_Toc77400781"/>
      <w:bookmarkStart w:id="55" w:name="_Toc89075877"/>
      <w:bookmarkStart w:id="56" w:name="_Toc183582226"/>
      <w:bookmarkStart w:id="57" w:name="_Toc217446053"/>
      <w:r>
        <w:rPr>
          <w:rFonts w:hint="eastAsia" w:ascii="宋体" w:hAnsi="宋体" w:cs="宋体"/>
          <w:color w:val="000000" w:themeColor="text1"/>
          <w:sz w:val="24"/>
          <w14:textFill>
            <w14:solidFill>
              <w14:schemeClr w14:val="tx1"/>
            </w14:solidFill>
          </w14:textFill>
        </w:rPr>
        <w:t>19.响应文件的密封和标注（不属于本项目磋商小组评审范畴，由采购人、采购代理机构在接收响应文件时及时处理）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响应文件应按资格性响应文件、其他响应文件、电子文档分别密封为三套。</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 响应文件密封袋的最外层应清楚地标明采购项目名称、采购项目编号、包件号（若有）、供应商名称。</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19.3 所有外层密封袋的封口处应粘贴牢固。</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19.4 未按以上要求进行密封和标注的响应文件，采购人、采购代理机构将拒收或者在时间允许的范围内，要求修改完善后接收。</w:t>
      </w:r>
    </w:p>
    <w:p>
      <w:pPr>
        <w:pStyle w:val="5"/>
        <w:keepNext w:val="0"/>
        <w:keepLines w:val="0"/>
        <w:tabs>
          <w:tab w:val="left" w:pos="1080"/>
        </w:tabs>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20.响应文件的递交</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 资格性响应文件、其他响应文件和电子文档应于递交响应文件截止时间之前送达指定地点，采购代理机构拒绝接收截止时间后送达的响应文件。</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 采购代理机构将向通过资格审查的供应商发出磋商邀请；告知未通过资格审查的供应商未通过的原因。</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20.3 报价表在磋商后，磋商小组要求供应商进行最后报价时递交。</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20.4 本次采购不接收邮寄的响应文件。</w:t>
      </w:r>
    </w:p>
    <w:bookmarkEnd w:id="53"/>
    <w:bookmarkEnd w:id="54"/>
    <w:bookmarkEnd w:id="55"/>
    <w:bookmarkEnd w:id="56"/>
    <w:bookmarkEnd w:id="57"/>
    <w:p>
      <w:pPr>
        <w:pStyle w:val="5"/>
        <w:keepNext w:val="0"/>
        <w:keepLines w:val="0"/>
        <w:tabs>
          <w:tab w:val="left" w:pos="1080"/>
        </w:tabs>
        <w:spacing w:before="0" w:after="0" w:line="360" w:lineRule="auto"/>
        <w:ind w:firstLine="490" w:firstLineChars="200"/>
        <w:rPr>
          <w:rFonts w:ascii="宋体" w:hAnsi="宋体" w:cs="宋体"/>
          <w:color w:val="000000" w:themeColor="text1"/>
          <w:sz w:val="24"/>
          <w14:textFill>
            <w14:solidFill>
              <w14:schemeClr w14:val="tx1"/>
            </w14:solidFill>
          </w14:textFill>
        </w:rPr>
      </w:pPr>
      <w:bookmarkStart w:id="58" w:name="_Toc217446055"/>
      <w:bookmarkStart w:id="59" w:name="_Toc183682365"/>
      <w:bookmarkStart w:id="60" w:name="_Toc183582228"/>
      <w:r>
        <w:rPr>
          <w:rFonts w:hint="eastAsia" w:ascii="宋体" w:hAnsi="宋体" w:cs="宋体"/>
          <w:color w:val="000000" w:themeColor="text1"/>
          <w:sz w:val="24"/>
          <w14:textFill>
            <w14:solidFill>
              <w14:schemeClr w14:val="tx1"/>
            </w14:solidFill>
          </w14:textFill>
        </w:rPr>
        <w:t>21.响应文件的修改和撤回（补充、修改响应文件的密封和标注按照本章“19.响应文件的密封和标注”规定处理）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 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 供应商对响应文件修改的书面材料或撤回的通知应该按规定进行编写、密封、标注和递送，并注明“修改响应文件”字样。</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 供应商不得在递交截止时间起至响应文件有效期期满前撤销其响应文件。否则将报财政部门进行处理。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21.4 响应文件中报价如果出现下列不一致的，可按以下原则进行修改：</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（一）大写金额和小写金额不一致的，以大写金额为准，但大写金额文字存在错误的，应当先对大写金额的文字错误进行澄清、说明或者更正，再行修正。</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（三）单价金额小数点或者百分比有明显错位的，以总价为准，修正单价。</w:t>
      </w:r>
    </w:p>
    <w:p>
      <w:pPr>
        <w:spacing w:line="360" w:lineRule="auto"/>
        <w:ind w:firstLine="49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 供应商对其提交的响应文件的真实性、合法性承担法律责任。</w:t>
      </w:r>
      <w:bookmarkEnd w:id="58"/>
      <w:bookmarkEnd w:id="59"/>
      <w:bookmarkEnd w:id="60"/>
    </w:p>
    <w:p>
      <w:pPr>
        <w:pStyle w:val="4"/>
        <w:keepNext w:val="0"/>
        <w:keepLines w:val="0"/>
        <w:spacing w:line="360" w:lineRule="auto"/>
        <w:ind w:firstLine="200"/>
        <w:jc w:val="center"/>
        <w:rPr>
          <w:rFonts w:ascii="宋体" w:hAnsi="宋体" w:eastAsia="宋体" w:cs="宋体"/>
          <w:color w:val="000000" w:themeColor="text1"/>
          <w14:textFill>
            <w14:solidFill>
              <w14:schemeClr w14:val="tx1"/>
            </w14:solidFill>
          </w14:textFill>
        </w:rPr>
      </w:pPr>
      <w:bookmarkStart w:id="61" w:name="_Toc183682368"/>
      <w:bookmarkStart w:id="62" w:name="_Toc217446056"/>
      <w:bookmarkStart w:id="63" w:name="_Toc183582231"/>
      <w:bookmarkStart w:id="64" w:name="_Toc89075878"/>
      <w:bookmarkStart w:id="65" w:name="_Toc77400782"/>
      <w:r>
        <w:rPr>
          <w:rFonts w:hint="eastAsia" w:ascii="宋体" w:hAnsi="宋体" w:eastAsia="宋体" w:cs="宋体"/>
          <w:color w:val="000000" w:themeColor="text1"/>
          <w14:textFill>
            <w14:solidFill>
              <w14:schemeClr w14:val="tx1"/>
            </w14:solidFill>
          </w14:textFill>
        </w:rPr>
        <w:t>五、评审</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22.磋商小组的组建及其评审工作按照有关法律制度和本文件第七章的规定进行。</w:t>
      </w:r>
    </w:p>
    <w:p>
      <w:pPr>
        <w:pStyle w:val="4"/>
        <w:keepNext w:val="0"/>
        <w:keepLines w:val="0"/>
        <w:spacing w:line="360" w:lineRule="auto"/>
        <w:ind w:firstLine="20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六、成交事项</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23.确定成交供应商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采购人将按磋商小组推荐的成交候选供应商顺序确定成交供应商。采购人授权磋商小组根据综合评分排名直接确定成交供应商。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 采购代理机构自评审结束后2个工作日内将磋商报告及有关资料送交采购人确定成交供应商。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 采购人收到磋商报告及有关资料后，将在</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个工作日内按照磋商报告中推荐的成交候选供应商顺序确定成交供应商。成交候选供应商并列的，采购人自主采取公平、择优的方式选择成交供应商。采购人应综合考虑节约能源、保护环境、扶持不发达地区和少数民族地区等政府采购政策（如适用）因素确定成交候选人。</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 采购人确定成交供应商过程中，发现成交候选供应商有下列情形之一的，应当不予确定其为成交供应商：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（1）发现成交候选供应商存在禁止参加本项目采购活动的违法行为的；</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（2）成交候选供应商因不可抗力，不能继续参加政府采购活动；</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（3）成交候选供应商无偿赠与或者低于成本价竞争；</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（4）成交候选供应商提供虚假材料；</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（5）成交候选供应商恶意串通。</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成交候选供应商有本条情形之一的，采购人可以确定后一位成交候选供应商为成交供应商，依次类推。无法确定成交供应商的，应当重新组织采购。</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24.行贿犯罪记录的使用</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24.1 成交候选供应商单位及其现任法定代表人、主要负责人不得具有行贿犯罪记录。</w:t>
      </w:r>
    </w:p>
    <w:p>
      <w:pPr>
        <w:spacing w:after="156" w:afterLines="50" w:line="360" w:lineRule="auto"/>
        <w:ind w:firstLine="49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24.2 供应商单位及其现任法定代表人、主要负责人存在行贿犯罪记录的，成交未签订政府采购合同的，将认定成交无效；成交签订政府采购合同未履行的，将认定成交无效，同时撤销政府采购合同；成交后签订政府采购合同且已经履行的，将认定采购活动违法，由相关当事人承担赔偿责任。</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25.成交结果</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 采购人确定成交供应商后，将及时书面通知采购代理机构，发出成交通知书并发布成交结果公告。</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25.2 成交供应商应当及时领取成交通知书。</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25.3 成交供应商不能及时领取成交通知书，采购人或者采购代理机构应当通过邮寄、快递等方式将项目成交通知书送达成交供应商。</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26.成交通知书</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26.1 成交通知书为签订政府采购合同的依据之一，是合同的有效组成部分。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26.2 成交通知书对采购人和成交供应商均具有法律效力。成交通知书发出后，采购人无正当理由改变成交结果，或者成交供应商无正当理由放弃成交的，将承担相应的法律责任。</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26.3 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spacing w:line="360" w:lineRule="auto"/>
        <w:ind w:firstLine="20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七、合同事项</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bookmarkStart w:id="66" w:name="_Toc101174151"/>
      <w:bookmarkStart w:id="67" w:name="_Toc209847069"/>
      <w:bookmarkStart w:id="68" w:name="_Toc430773927"/>
      <w:bookmarkStart w:id="69" w:name="_Toc101250646"/>
      <w:bookmarkStart w:id="70" w:name="_Toc101338364"/>
      <w:r>
        <w:rPr>
          <w:rFonts w:hint="eastAsia" w:ascii="宋体" w:hAnsi="宋体" w:cs="宋体"/>
          <w:color w:val="000000" w:themeColor="text1"/>
          <w:sz w:val="24"/>
          <w14:textFill>
            <w14:solidFill>
              <w14:schemeClr w14:val="tx1"/>
            </w14:solidFill>
          </w14:textFill>
        </w:rPr>
        <w:t>27.签订合同</w:t>
      </w:r>
      <w:bookmarkEnd w:id="66"/>
      <w:bookmarkEnd w:id="67"/>
      <w:bookmarkEnd w:id="68"/>
      <w:bookmarkEnd w:id="69"/>
      <w:bookmarkEnd w:id="70"/>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 磋商文件、成交供应商的响应文件及双方确认的澄清文件等，均为有法律约束力的合同组成部分。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27.4 成交供应商因不可抗力原因不能履行采购合同或放弃成交的，采购人可以与排在成交供应商之后第一位的成交候选人签订采购合同，以此类推。</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27.5 竞争性磋商文件、成交供应商提交的响应文件、磋商中的最后报价、成交供应商承诺书、成交通知书等均称为有法律约束力的合同组成内容。</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28.合同分包（实质性要求）</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28.1 本项目不允许分包。</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29.合同转包（实质性要求）</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成交供应商转包的，视同拒绝履行政府采购合同义务，将依法追究法律责任。</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30.补充合同</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31.履约保证金（实质性要求）</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32.1成交供应商应在成交通知书发出之日起5个工作日内向采购人交纳磋商文件规定数额的履约保证金。</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如果成交供应商在规定的合同签订时间内，没有按照磋商文件的规定交纳履约保证金，且又无正当理由的，将视为放弃成交。</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32.3履行合同约定完毕后,服务质量达到要求，无违约责任情况，成交供应商凭“验收合格证明”到采购人处办理，无息退还。</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32.合同公告</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采购人应当自政府采购合同签订（双方当事人均已签字盖章）之日起2个工作日内，将政府采购合同在四川政府采购网上公告，但政府采购合同中涉及国家秘密、商业秘密的内容除外。</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33.合同备案</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采购人应当将政府采购合同副本自签订（双方当事人均已签字盖章）之日起七个工作日内通过四川政府采购网报同级财政部门备案。</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34.履行合同</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成交供应商与采购人签订合同后，合同双方应严格执行合同条款，履行合同规定的义务，保证合同的顺利完成。</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 在合同履行过程中，如发生合同纠纷，合同双方应按照《中华人民共和国民法典》的有关规定进行处理。</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35.验收</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35.1 本项目将严格按照政府采购相关法律法规以及《财政部关于进一步加强政府采购需求和履约验收管理的指导意见》（财库〔2016〕205 号）的要求进行验收。</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35.2 验收结果合格的，成交供应商凭采购人出具的验收合格书面证明到采购人处办理相关手续；验收结果不合格的，将不予支付采购资金，还可能会报本项目同级财政部门。</w:t>
      </w:r>
    </w:p>
    <w:p>
      <w:pPr>
        <w:pStyle w:val="5"/>
        <w:keepNext w:val="0"/>
        <w:keepLines w:val="0"/>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36.资金支付</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采购人将按照政府采购合同规定，及时向成交供应商支付采购资金。</w:t>
      </w:r>
    </w:p>
    <w:p>
      <w:pPr>
        <w:pStyle w:val="4"/>
        <w:keepNext w:val="0"/>
        <w:keepLines w:val="0"/>
        <w:spacing w:line="360" w:lineRule="auto"/>
        <w:ind w:firstLine="20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八、磋商纪律要求</w:t>
      </w:r>
    </w:p>
    <w:p>
      <w:pPr>
        <w:pStyle w:val="5"/>
        <w:keepNext w:val="0"/>
        <w:keepLines w:val="0"/>
        <w:tabs>
          <w:tab w:val="left" w:pos="851"/>
        </w:tabs>
        <w:spacing w:before="0" w:after="0"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37.供应商不得具有的情形</w:t>
      </w:r>
    </w:p>
    <w:p>
      <w:pPr>
        <w:tabs>
          <w:tab w:val="left" w:pos="851"/>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供应商参加本项目磋商不得有下列情形：</w:t>
      </w:r>
    </w:p>
    <w:p>
      <w:pPr>
        <w:tabs>
          <w:tab w:val="left" w:pos="851"/>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（1）提供虚假材料谋取成交；</w:t>
      </w:r>
    </w:p>
    <w:p>
      <w:pPr>
        <w:tabs>
          <w:tab w:val="left" w:pos="851"/>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（2）采取不正当手段诋毁、排挤其他供应商；</w:t>
      </w:r>
    </w:p>
    <w:p>
      <w:pPr>
        <w:tabs>
          <w:tab w:val="left" w:pos="851"/>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（3）与采购人、采购代理机构或其他供应商恶意串通；</w:t>
      </w:r>
    </w:p>
    <w:p>
      <w:pPr>
        <w:tabs>
          <w:tab w:val="left" w:pos="851"/>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（4）向采购人、采购代理机构、磋商小组成员行贿或者提供其他不正当利益；</w:t>
      </w:r>
    </w:p>
    <w:p>
      <w:pPr>
        <w:tabs>
          <w:tab w:val="left" w:pos="851"/>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（5）在磋商过程中与采购人、采购代理机构进行协商；</w:t>
      </w:r>
    </w:p>
    <w:p>
      <w:pPr>
        <w:tabs>
          <w:tab w:val="left" w:pos="851"/>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（6）成交后无正当理由拒不与采购人签订政府采购合同；</w:t>
      </w:r>
    </w:p>
    <w:p>
      <w:pPr>
        <w:tabs>
          <w:tab w:val="left" w:pos="851"/>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（7）未按照磋商文件确定的事项签订政府采购合同；</w:t>
      </w:r>
    </w:p>
    <w:p>
      <w:pPr>
        <w:tabs>
          <w:tab w:val="left" w:pos="851"/>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（8）将政府采购合同转包或者违规分包；</w:t>
      </w:r>
    </w:p>
    <w:p>
      <w:pPr>
        <w:tabs>
          <w:tab w:val="left" w:pos="851"/>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（9）提供假冒伪劣产品；</w:t>
      </w:r>
    </w:p>
    <w:p>
      <w:pPr>
        <w:tabs>
          <w:tab w:val="left" w:pos="851"/>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（10）擅自变更、中止或者终止政府采购合同；</w:t>
      </w:r>
    </w:p>
    <w:p>
      <w:pPr>
        <w:tabs>
          <w:tab w:val="left" w:pos="851"/>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（11）拒绝有关部门的监督检查或者向监督检查部门提供虚假情况；</w:t>
      </w:r>
    </w:p>
    <w:p>
      <w:pPr>
        <w:tabs>
          <w:tab w:val="left" w:pos="851"/>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（12）法律法规规定的其他情形。</w:t>
      </w:r>
    </w:p>
    <w:p>
      <w:pPr>
        <w:tabs>
          <w:tab w:val="left" w:pos="851"/>
        </w:tabs>
        <w:spacing w:line="360" w:lineRule="auto"/>
        <w:ind w:firstLine="490" w:firstLineChars="200"/>
      </w:pPr>
      <w:r>
        <w:rPr>
          <w:rFonts w:hint="eastAsia" w:ascii="宋体" w:hAnsi="宋体" w:cs="宋体"/>
          <w:color w:val="000000" w:themeColor="text1"/>
          <w:sz w:val="24"/>
          <w14:textFill>
            <w14:solidFill>
              <w14:schemeClr w14:val="tx1"/>
            </w14:solidFill>
          </w14:textFill>
        </w:rPr>
        <w:t>供应商有上述情形的，按照规定追究法律责任，具备（1）-（10）条情形之一的，同时将取消被确认为成交供应商的资格或者认定成交无效。</w:t>
      </w:r>
    </w:p>
    <w:p>
      <w:pPr>
        <w:pStyle w:val="4"/>
        <w:keepNext w:val="0"/>
        <w:keepLines w:val="0"/>
        <w:spacing w:line="360" w:lineRule="auto"/>
        <w:ind w:firstLine="20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九、询问、质疑和投诉</w:t>
      </w:r>
    </w:p>
    <w:p>
      <w:pPr>
        <w:pStyle w:val="5"/>
        <w:keepNext w:val="0"/>
        <w:keepLines w:val="0"/>
        <w:tabs>
          <w:tab w:val="left" w:pos="851"/>
        </w:tabs>
        <w:spacing w:before="0" w:after="0" w:line="360" w:lineRule="auto"/>
        <w:ind w:firstLine="490" w:firstLineChars="200"/>
        <w:rPr>
          <w:rFonts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38.询问、质疑、投诉的接收和处理严格按照《中华人民共和国政府采购法》《中华人民共和国政府采购法实施条例》</w:t>
      </w:r>
      <w:r>
        <w:rPr>
          <w:rFonts w:hint="eastAsia" w:ascii="宋体" w:hAnsi="宋体" w:cs="宋体"/>
          <w:b w:val="0"/>
          <w:color w:val="000000" w:themeColor="text1"/>
          <w:sz w:val="24"/>
          <w14:textFill>
            <w14:solidFill>
              <w14:schemeClr w14:val="tx1"/>
            </w14:solidFill>
          </w14:textFill>
        </w:rPr>
        <w:t>《政府采购质疑和投诉办法（财政部第 94 号令）》</w:t>
      </w:r>
      <w:r>
        <w:rPr>
          <w:rFonts w:hint="eastAsia" w:ascii="宋体" w:hAnsi="宋体" w:cs="宋体"/>
          <w:b w:val="0"/>
          <w:bCs w:val="0"/>
          <w:color w:val="000000" w:themeColor="text1"/>
          <w:sz w:val="24"/>
          <w14:textFill>
            <w14:solidFill>
              <w14:schemeClr w14:val="tx1"/>
            </w14:solidFill>
          </w14:textFill>
        </w:rPr>
        <w:t>《财政部关于加强政府采购供应商投诉受理审查工作的通知》和四川省的有关规定办理（详细规定请在四川政府采购网政策法规模块查询）。本项目仅允许供应商在法定质疑期内一次性提出针对同一采购程序环节的质疑。</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投诉应当采用书面形式，质疑书、投诉书均应明确阐述磋商文件、磋商过程、成交结果中使自己的合法权益受到损害的实质性内容，提供相关事实、依据和证据及其来源或线索，并确保真实性，便于有关单位调查、答复和处理。质疑人行使质疑权时，必须坚持“谁主张谁举证”，遵守“实事求是”和“谨慎性”原则，不得进行虚假、恶意质疑，不得以质疑为手段获取不当得利、实现非法目的。</w:t>
      </w:r>
    </w:p>
    <w:p>
      <w:pPr>
        <w:pStyle w:val="4"/>
        <w:keepNext w:val="0"/>
        <w:keepLines w:val="0"/>
        <w:spacing w:line="360" w:lineRule="auto"/>
        <w:ind w:firstLine="20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十、供应商信用信息查询</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（一）供应商信用信息查询渠道</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“信用中国”网站（www.creditchina.gov.cn）、中国政府采购网（</w:t>
      </w:r>
      <w:r>
        <w:fldChar w:fldCharType="begin"/>
      </w:r>
      <w:r>
        <w:instrText xml:space="preserve"> HYPERLINK "http://www.ccgp.gov.cn" </w:instrText>
      </w:r>
      <w:r>
        <w:fldChar w:fldCharType="separate"/>
      </w:r>
      <w:r>
        <w:rPr>
          <w:rStyle w:val="32"/>
          <w:rFonts w:hint="eastAsia" w:ascii="宋体" w:hAnsi="宋体" w:cs="宋体"/>
          <w:color w:val="000000" w:themeColor="text1"/>
          <w:sz w:val="24"/>
          <w14:textFill>
            <w14:solidFill>
              <w14:schemeClr w14:val="tx1"/>
            </w14:solidFill>
          </w14:textFill>
        </w:rPr>
        <w:t>www.ccgp.gov.cn</w:t>
      </w:r>
      <w:r>
        <w:rPr>
          <w:rStyle w:val="32"/>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（二）供应商信用信息查询截止时点</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信用信息查询在资格审查阶段完成。</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（三）供应商信用信息查询记录和证据留存的具体方式</w:t>
      </w:r>
    </w:p>
    <w:p>
      <w:pPr>
        <w:spacing w:line="360" w:lineRule="auto"/>
        <w:ind w:firstLine="490" w:firstLineChars="20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供应商参与投标时无需对此条进行响应，由采购代理机构通过“信用中国”网站（www.creditchina.gov.cn）、中国政府采购网（</w:t>
      </w:r>
      <w:r>
        <w:fldChar w:fldCharType="begin"/>
      </w:r>
      <w:r>
        <w:instrText xml:space="preserve"> HYPERLINK "http://www.ccgp.gov.cn" </w:instrText>
      </w:r>
      <w:r>
        <w:fldChar w:fldCharType="separate"/>
      </w:r>
      <w:r>
        <w:rPr>
          <w:rStyle w:val="32"/>
          <w:rFonts w:hint="eastAsia" w:ascii="宋体" w:hAnsi="宋体" w:cs="宋体"/>
          <w:color w:val="000000" w:themeColor="text1"/>
          <w:sz w:val="24"/>
          <w14:textFill>
            <w14:solidFill>
              <w14:schemeClr w14:val="tx1"/>
            </w14:solidFill>
          </w14:textFill>
        </w:rPr>
        <w:t>www.ccgp.gov.cn</w:t>
      </w:r>
      <w:r>
        <w:rPr>
          <w:rStyle w:val="32"/>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等渠道查询供应商截至开标之日的信用记录并保存信用记录。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记录）</w:t>
      </w:r>
      <w:r>
        <w:rPr>
          <w:rFonts w:hint="eastAsia" w:ascii="宋体" w:hAnsi="宋体" w:cs="宋体"/>
          <w:b/>
          <w:bCs/>
          <w:color w:val="000000" w:themeColor="text1"/>
          <w:sz w:val="24"/>
          <w14:textFill>
            <w14:solidFill>
              <w14:schemeClr w14:val="tx1"/>
            </w14:solidFill>
          </w14:textFill>
        </w:rPr>
        <w:t>。</w:t>
      </w:r>
    </w:p>
    <w:p>
      <w:pPr>
        <w:spacing w:line="360" w:lineRule="auto"/>
        <w:ind w:firstLine="490" w:firstLineChars="200"/>
        <w:rPr>
          <w:rFonts w:ascii="宋体" w:hAnsi="宋体" w:cs="宋体"/>
          <w:b/>
          <w:bCs/>
          <w:color w:val="000000" w:themeColor="text1"/>
          <w:sz w:val="30"/>
          <w:szCs w:val="30"/>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（四）供应商信用信息的使用：列入失信被执行人、重大税收违法案件当事人名单、政府采购严重违法失信行为记录名单中的供应商将被拒绝参加本项目的政府采购活动。</w:t>
      </w:r>
    </w:p>
    <w:p>
      <w:pPr>
        <w:pStyle w:val="4"/>
        <w:keepNext w:val="0"/>
        <w:keepLines w:val="0"/>
        <w:spacing w:line="360" w:lineRule="auto"/>
        <w:ind w:firstLine="20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十一、其  他</w:t>
      </w:r>
    </w:p>
    <w:p>
      <w:pPr>
        <w:pStyle w:val="5"/>
        <w:keepNext w:val="0"/>
        <w:keepLines w:val="0"/>
        <w:tabs>
          <w:tab w:val="left" w:pos="851"/>
        </w:tabs>
        <w:spacing w:before="0" w:after="0" w:line="360" w:lineRule="auto"/>
        <w:ind w:firstLine="490" w:firstLineChars="200"/>
        <w:rPr>
          <w:rFonts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3"/>
        <w:keepNext w:val="0"/>
        <w:keepLines w:val="0"/>
        <w:spacing w:before="0" w:after="0" w:line="240" w:lineRule="auto"/>
        <w:jc w:val="center"/>
        <w:rPr>
          <w:rFonts w:ascii="宋体" w:hAnsi="宋体" w:cs="宋体"/>
          <w:color w:val="000000" w:themeColor="text1"/>
          <w:sz w:val="36"/>
          <w:szCs w:val="36"/>
          <w14:textFill>
            <w14:solidFill>
              <w14:schemeClr w14:val="tx1"/>
            </w14:solidFill>
          </w14:textFill>
        </w:rPr>
      </w:pPr>
      <w:r>
        <w:rPr>
          <w:rFonts w:hint="eastAsia" w:ascii="宋体" w:hAnsi="宋体" w:cs="宋体"/>
          <w:b w:val="0"/>
          <w:color w:val="000000" w:themeColor="text1"/>
          <w:sz w:val="32"/>
          <w:szCs w:val="32"/>
          <w14:textFill>
            <w14:solidFill>
              <w14:schemeClr w14:val="tx1"/>
            </w14:solidFill>
          </w14:textFill>
        </w:rPr>
        <w:br w:type="page"/>
      </w:r>
      <w:bookmarkStart w:id="71" w:name="_Toc47706400"/>
      <w:bookmarkStart w:id="72" w:name="_Toc47706309"/>
      <w:r>
        <w:rPr>
          <w:rFonts w:hint="eastAsia" w:ascii="宋体" w:hAnsi="宋体" w:cs="宋体"/>
          <w:color w:val="000000" w:themeColor="text1"/>
          <w:sz w:val="36"/>
          <w:szCs w:val="36"/>
          <w14:textFill>
            <w14:solidFill>
              <w14:schemeClr w14:val="tx1"/>
            </w14:solidFill>
          </w14:textFill>
        </w:rPr>
        <w:t>第三章  供应商的资格、资质性及其他类似效力要求</w:t>
      </w:r>
      <w:bookmarkEnd w:id="71"/>
      <w:bookmarkEnd w:id="72"/>
    </w:p>
    <w:p>
      <w:pPr>
        <w:pStyle w:val="64"/>
        <w:spacing w:line="440" w:lineRule="exact"/>
        <w:ind w:firstLine="492"/>
        <w:rPr>
          <w:rFonts w:ascii="宋体" w:hAnsi="宋体" w:cs="宋体"/>
          <w:b/>
          <w:bCs/>
          <w:color w:val="000000" w:themeColor="text1"/>
          <w:sz w:val="24"/>
          <w:szCs w:val="22"/>
          <w14:textFill>
            <w14:solidFill>
              <w14:schemeClr w14:val="tx1"/>
            </w14:solidFill>
          </w14:textFill>
        </w:rPr>
      </w:pPr>
    </w:p>
    <w:p>
      <w:pPr>
        <w:pStyle w:val="64"/>
        <w:ind w:firstLine="198" w:firstLineChars="81"/>
        <w:rPr>
          <w:rFonts w:ascii="宋体" w:hAnsi="宋体" w:cs="宋体"/>
          <w:b/>
          <w:bCs/>
          <w:color w:val="000000" w:themeColor="text1"/>
          <w:sz w:val="24"/>
          <w:szCs w:val="22"/>
          <w14:textFill>
            <w14:solidFill>
              <w14:schemeClr w14:val="tx1"/>
            </w14:solidFill>
          </w14:textFill>
        </w:rPr>
      </w:pPr>
      <w:r>
        <w:rPr>
          <w:rFonts w:hint="eastAsia" w:ascii="宋体" w:hAnsi="宋体" w:cs="宋体"/>
          <w:b/>
          <w:bCs/>
          <w:color w:val="000000" w:themeColor="text1"/>
          <w:sz w:val="24"/>
          <w:szCs w:val="22"/>
          <w14:textFill>
            <w14:solidFill>
              <w14:schemeClr w14:val="tx1"/>
            </w14:solidFill>
          </w14:textFill>
        </w:rPr>
        <w:t>一、供应商的资格、资质性要求：</w:t>
      </w:r>
    </w:p>
    <w:p>
      <w:pPr>
        <w:pStyle w:val="64"/>
        <w:ind w:firstLine="735"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（一）满足《中华人民共和国政府采购法》第二十二条规定：</w:t>
      </w:r>
    </w:p>
    <w:p>
      <w:pPr>
        <w:pStyle w:val="64"/>
        <w:ind w:firstLine="735"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pStyle w:val="64"/>
        <w:ind w:firstLine="735"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2、具有良好的商业信誉和健全的财务会计制度；</w:t>
      </w:r>
    </w:p>
    <w:p>
      <w:pPr>
        <w:pStyle w:val="64"/>
        <w:ind w:firstLine="735"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pStyle w:val="64"/>
        <w:ind w:firstLine="735"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pStyle w:val="64"/>
        <w:ind w:firstLine="735"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pPr>
        <w:pStyle w:val="64"/>
        <w:ind w:firstLine="735"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6、法律、行政法规规定的其他条件。</w:t>
      </w:r>
    </w:p>
    <w:p>
      <w:pPr>
        <w:pStyle w:val="64"/>
        <w:ind w:firstLine="735"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（二）落实政府采购政策需满足的资格要求：本项目专门面向中小企业。 </w:t>
      </w:r>
    </w:p>
    <w:p>
      <w:pPr>
        <w:pStyle w:val="64"/>
        <w:ind w:firstLine="735"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（三）本项目的特定资格要求：无。</w:t>
      </w:r>
    </w:p>
    <w:p>
      <w:pPr>
        <w:pStyle w:val="64"/>
        <w:ind w:firstLine="198" w:firstLineChars="81"/>
        <w:rPr>
          <w:rFonts w:ascii="宋体" w:hAnsi="宋体" w:cs="宋体"/>
          <w:b/>
          <w:bCs/>
          <w:color w:val="000000" w:themeColor="text1"/>
          <w:sz w:val="24"/>
          <w:szCs w:val="22"/>
          <w14:textFill>
            <w14:solidFill>
              <w14:schemeClr w14:val="tx1"/>
            </w14:solidFill>
          </w14:textFill>
        </w:rPr>
      </w:pPr>
      <w:r>
        <w:rPr>
          <w:rFonts w:hint="eastAsia" w:ascii="宋体" w:hAnsi="宋体" w:cs="宋体"/>
          <w:b/>
          <w:bCs/>
          <w:color w:val="000000" w:themeColor="text1"/>
          <w:sz w:val="24"/>
          <w:szCs w:val="22"/>
          <w14:textFill>
            <w14:solidFill>
              <w14:schemeClr w14:val="tx1"/>
            </w14:solidFill>
          </w14:textFill>
        </w:rPr>
        <w:t>二、其他类似效力要求：</w:t>
      </w:r>
    </w:p>
    <w:p>
      <w:pPr>
        <w:pStyle w:val="64"/>
        <w:ind w:firstLine="735" w:firstLineChars="300"/>
        <w:rPr>
          <w:rFonts w:ascii="宋体" w:hAnsi="宋体" w:cs="宋体"/>
          <w:sz w:val="24"/>
          <w:lang w:val="zh-CN"/>
        </w:rPr>
      </w:pPr>
      <w:r>
        <w:rPr>
          <w:rFonts w:hint="eastAsia" w:ascii="宋体" w:hAnsi="宋体" w:cs="宋体"/>
          <w:sz w:val="24"/>
          <w:lang w:val="zh-CN"/>
        </w:rPr>
        <w:t>1、按照磋商</w:t>
      </w:r>
      <w:r>
        <w:rPr>
          <w:rFonts w:hint="eastAsia" w:ascii="宋体" w:hAnsi="宋体" w:cs="宋体"/>
          <w:color w:val="000000" w:themeColor="text1"/>
          <w:sz w:val="24"/>
          <w:lang w:val="zh-CN"/>
          <w14:textFill>
            <w14:solidFill>
              <w14:schemeClr w14:val="tx1"/>
            </w14:solidFill>
          </w14:textFill>
        </w:rPr>
        <w:t>文件</w:t>
      </w:r>
      <w:r>
        <w:rPr>
          <w:rFonts w:hint="eastAsia" w:ascii="宋体" w:hAnsi="宋体" w:cs="宋体"/>
          <w:sz w:val="24"/>
          <w:lang w:val="zh-CN"/>
        </w:rPr>
        <w:t>要求报名并领取了磋商文件；</w:t>
      </w:r>
    </w:p>
    <w:p>
      <w:pPr>
        <w:pStyle w:val="64"/>
        <w:ind w:firstLine="735" w:firstLineChars="300"/>
        <w:rPr>
          <w:rFonts w:ascii="宋体" w:hAnsi="宋体" w:cs="宋体"/>
          <w:color w:val="000000" w:themeColor="text1"/>
          <w:sz w:val="24"/>
          <w:lang w:val="zh-CN"/>
          <w14:textFill>
            <w14:solidFill>
              <w14:schemeClr w14:val="tx1"/>
            </w14:solidFill>
          </w14:textFill>
        </w:rPr>
      </w:pPr>
      <w:r>
        <w:rPr>
          <w:rFonts w:ascii="宋体" w:hAnsi="宋体" w:cs="宋体"/>
          <w:color w:val="000000" w:themeColor="text1"/>
          <w:sz w:val="24"/>
          <w:lang w:val="zh-CN"/>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、法定代表人参加磋商活动或授权代表参与磋商活动；</w:t>
      </w:r>
    </w:p>
    <w:p>
      <w:pPr>
        <w:pStyle w:val="64"/>
        <w:ind w:firstLine="735" w:firstLineChars="300"/>
        <w:rPr>
          <w:rFonts w:ascii="宋体" w:hAnsi="宋体"/>
          <w:sz w:val="24"/>
        </w:rPr>
      </w:pPr>
      <w:r>
        <w:rPr>
          <w:rFonts w:ascii="宋体" w:hAnsi="宋体"/>
          <w:sz w:val="24"/>
        </w:rPr>
        <w:t>3</w:t>
      </w:r>
      <w:r>
        <w:rPr>
          <w:rFonts w:hint="eastAsia" w:ascii="宋体" w:hAnsi="宋体"/>
          <w:sz w:val="24"/>
        </w:rPr>
        <w:t>、在参加本次政府采购活动前，供应商及其现任法定代表人、主要负责人不得具有行贿犯罪记录</w:t>
      </w:r>
      <w:r>
        <w:rPr>
          <w:rFonts w:hint="eastAsia" w:ascii="宋体" w:hAnsi="宋体" w:cs="宋体"/>
          <w:sz w:val="24"/>
        </w:rPr>
        <w:t>；</w:t>
      </w:r>
    </w:p>
    <w:p>
      <w:pPr>
        <w:pStyle w:val="64"/>
        <w:ind w:firstLine="735" w:firstLineChars="300"/>
        <w:rPr>
          <w:rFonts w:ascii="宋体" w:hAnsi="宋体"/>
          <w:sz w:val="24"/>
        </w:rPr>
      </w:pPr>
      <w:r>
        <w:rPr>
          <w:rFonts w:ascii="宋体" w:hAnsi="宋体"/>
          <w:sz w:val="24"/>
        </w:rPr>
        <w:t>4</w:t>
      </w:r>
      <w:r>
        <w:rPr>
          <w:rFonts w:hint="eastAsia" w:ascii="宋体" w:hAnsi="宋体"/>
          <w:sz w:val="24"/>
        </w:rPr>
        <w:t>、供应商单位负责人为同一人或者存在控股、管理关系的不同供应商，不得参加同一合同项下的</w:t>
      </w:r>
      <w:r>
        <w:rPr>
          <w:rFonts w:hint="eastAsia" w:ascii="宋体" w:hAnsi="宋体" w:cs="宋体"/>
          <w:color w:val="000000" w:themeColor="text1"/>
          <w:sz w:val="24"/>
          <w:lang w:val="zh-CN"/>
          <w14:textFill>
            <w14:solidFill>
              <w14:schemeClr w14:val="tx1"/>
            </w14:solidFill>
          </w14:textFill>
        </w:rPr>
        <w:t>采购</w:t>
      </w:r>
      <w:r>
        <w:rPr>
          <w:rFonts w:hint="eastAsia" w:ascii="宋体" w:hAnsi="宋体"/>
          <w:sz w:val="24"/>
        </w:rPr>
        <w:t>活动</w:t>
      </w:r>
      <w:r>
        <w:rPr>
          <w:rFonts w:hint="eastAsia" w:ascii="宋体" w:hAnsi="宋体" w:cs="宋体"/>
          <w:sz w:val="24"/>
        </w:rPr>
        <w:t>；</w:t>
      </w:r>
    </w:p>
    <w:p>
      <w:pPr>
        <w:pStyle w:val="64"/>
        <w:ind w:firstLine="735" w:firstLineChars="300"/>
        <w:rPr>
          <w:rFonts w:ascii="宋体" w:hAnsi="宋体"/>
          <w:sz w:val="24"/>
        </w:rPr>
      </w:pPr>
      <w:r>
        <w:rPr>
          <w:rFonts w:ascii="宋体" w:hAnsi="宋体"/>
          <w:sz w:val="24"/>
        </w:rPr>
        <w:t>5</w:t>
      </w:r>
      <w:r>
        <w:rPr>
          <w:rFonts w:hint="eastAsia" w:ascii="宋体" w:hAnsi="宋体"/>
          <w:sz w:val="24"/>
        </w:rPr>
        <w:t>、两家以上的供应商不得在同一合同项下的采购项目中，委托同一个自然人、同一家庭的人员、同一单位的人员作为其授权代表；</w:t>
      </w:r>
    </w:p>
    <w:p>
      <w:pPr>
        <w:pStyle w:val="64"/>
        <w:ind w:firstLine="735" w:firstLineChars="300"/>
        <w:rPr>
          <w:rFonts w:ascii="宋体" w:hAnsi="宋体"/>
          <w:sz w:val="24"/>
        </w:rPr>
      </w:pPr>
      <w:r>
        <w:rPr>
          <w:rFonts w:ascii="宋体" w:hAnsi="宋体"/>
          <w:sz w:val="24"/>
        </w:rPr>
        <w:t>6</w:t>
      </w:r>
      <w:r>
        <w:rPr>
          <w:rFonts w:hint="eastAsia" w:ascii="宋体" w:hAnsi="宋体"/>
          <w:sz w:val="24"/>
        </w:rPr>
        <w:t>、</w:t>
      </w:r>
      <w:r>
        <w:rPr>
          <w:rFonts w:hint="eastAsia" w:ascii="宋体" w:hAnsi="宋体" w:cs="宋体"/>
          <w:sz w:val="24"/>
          <w:lang w:val="zh-CN"/>
        </w:rPr>
        <w:t>为采购</w:t>
      </w:r>
      <w:r>
        <w:rPr>
          <w:rFonts w:hint="eastAsia" w:ascii="宋体" w:hAnsi="宋体" w:cs="宋体"/>
          <w:color w:val="000000" w:themeColor="text1"/>
          <w:sz w:val="24"/>
          <w:lang w:val="zh-CN"/>
          <w14:textFill>
            <w14:solidFill>
              <w14:schemeClr w14:val="tx1"/>
            </w14:solidFill>
          </w14:textFill>
        </w:rPr>
        <w:t>项目</w:t>
      </w:r>
      <w:r>
        <w:rPr>
          <w:rFonts w:hint="eastAsia" w:ascii="宋体" w:hAnsi="宋体" w:cs="宋体"/>
          <w:sz w:val="24"/>
          <w:lang w:val="zh-CN"/>
        </w:rPr>
        <w:t>提供整体设计、规范编制或者项目管理、监理、检测等服务的供应商，不得再参加该采购项目的其他采购活动</w:t>
      </w:r>
      <w:r>
        <w:rPr>
          <w:rFonts w:hint="eastAsia" w:ascii="宋体" w:hAnsi="宋体"/>
          <w:sz w:val="24"/>
        </w:rPr>
        <w:t>。</w:t>
      </w:r>
    </w:p>
    <w:p>
      <w:pPr>
        <w:pStyle w:val="64"/>
        <w:spacing w:line="420" w:lineRule="exact"/>
        <w:ind w:firstLine="420" w:firstLineChars="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注：1. 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p>
    <w:p>
      <w:pPr>
        <w:pStyle w:val="64"/>
        <w:spacing w:line="420" w:lineRule="exact"/>
        <w:ind w:firstLine="420" w:firstLineChars="0"/>
      </w:pPr>
      <w:r>
        <w:rPr>
          <w:rFonts w:hint="eastAsia" w:ascii="宋体" w:hAnsi="宋体" w:cs="宋体"/>
          <w:b/>
          <w:color w:val="000000" w:themeColor="text1"/>
          <w14:textFill>
            <w14:solidFill>
              <w14:schemeClr w14:val="tx1"/>
            </w14:solidFill>
          </w14:textFill>
        </w:rPr>
        <w:t>2.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pStyle w:val="3"/>
        <w:keepNext w:val="0"/>
        <w:keepLines w:val="0"/>
        <w:spacing w:before="0" w:after="0" w:line="240" w:lineRule="auto"/>
        <w:jc w:val="center"/>
        <w:rPr>
          <w:rFonts w:ascii="宋体" w:hAnsi="宋体" w:cs="宋体"/>
          <w:color w:val="000000" w:themeColor="text1"/>
          <w:sz w:val="36"/>
          <w:szCs w:val="36"/>
          <w14:textFill>
            <w14:solidFill>
              <w14:schemeClr w14:val="tx1"/>
            </w14:solidFill>
          </w14:textFill>
        </w:rPr>
      </w:pPr>
      <w:bookmarkStart w:id="73" w:name="_Toc47706401"/>
      <w:bookmarkStart w:id="74" w:name="_Toc47706310"/>
      <w:r>
        <w:rPr>
          <w:rFonts w:hint="eastAsia" w:ascii="宋体" w:hAnsi="宋体" w:cs="宋体"/>
          <w:color w:val="000000" w:themeColor="text1"/>
          <w:sz w:val="36"/>
          <w:szCs w:val="36"/>
          <w14:textFill>
            <w14:solidFill>
              <w14:schemeClr w14:val="tx1"/>
            </w14:solidFill>
          </w14:textFill>
        </w:rPr>
        <w:t>第四章  供应商的资格、资质性及其他类似效力要求证明材料</w:t>
      </w:r>
      <w:bookmarkEnd w:id="73"/>
      <w:bookmarkEnd w:id="74"/>
    </w:p>
    <w:p/>
    <w:p>
      <w:pPr>
        <w:spacing w:line="360" w:lineRule="auto"/>
        <w:rPr>
          <w:rFonts w:ascii="宋体" w:hAnsi="宋体" w:cs="宋体"/>
          <w:b/>
          <w:bCs/>
          <w:color w:val="000000" w:themeColor="text1"/>
          <w:sz w:val="24"/>
          <w:szCs w:val="22"/>
          <w14:textFill>
            <w14:solidFill>
              <w14:schemeClr w14:val="tx1"/>
            </w14:solidFill>
          </w14:textFill>
        </w:rPr>
      </w:pPr>
      <w:r>
        <w:rPr>
          <w:rFonts w:hint="eastAsia" w:ascii="宋体" w:hAnsi="宋体" w:cs="宋体"/>
          <w:b/>
          <w:bCs/>
          <w:color w:val="000000" w:themeColor="text1"/>
          <w:sz w:val="24"/>
          <w:szCs w:val="22"/>
          <w14:textFill>
            <w14:solidFill>
              <w14:schemeClr w14:val="tx1"/>
            </w14:solidFill>
          </w14:textFill>
        </w:rPr>
        <w:t>一、供应商的资格、资质性要求相</w:t>
      </w:r>
      <w:bookmarkStart w:id="104" w:name="_GoBack"/>
      <w:bookmarkEnd w:id="104"/>
      <w:r>
        <w:rPr>
          <w:rFonts w:hint="eastAsia" w:ascii="宋体" w:hAnsi="宋体" w:cs="宋体"/>
          <w:b/>
          <w:bCs/>
          <w:color w:val="000000" w:themeColor="text1"/>
          <w:sz w:val="24"/>
          <w:szCs w:val="22"/>
          <w14:textFill>
            <w14:solidFill>
              <w14:schemeClr w14:val="tx1"/>
            </w14:solidFill>
          </w14:textFill>
        </w:rPr>
        <w:t>关证明材料：</w:t>
      </w:r>
    </w:p>
    <w:p>
      <w:pPr>
        <w:pStyle w:val="12"/>
        <w:spacing w:before="0" w:after="0"/>
        <w:ind w:firstLine="49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（一）满足《中华人民共和国政府采购法》第二十二条规定应该提供的证明材料：</w:t>
      </w:r>
    </w:p>
    <w:p>
      <w:pPr>
        <w:numPr>
          <w:ilvl w:val="0"/>
          <w:numId w:val="4"/>
        </w:num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具有独立承担民事责任的能力：</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2、具有良好的商业信誉和健全的财务会计制度的证明材料：</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2.1具有良好的商业信誉：提供承诺函，格式自拟或按第六章“资格性响应文件格式中 （三）承诺函”提供有效；</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具有健全的财务会计制度：①可提供2019年度或2020年度经审计的财务报告复印件（包含审计报告和审计报告中所涉及的财务报表和报表附注）；②也可提供2019年度或2020年度供应商单位内部财务报表复印件（至少应包含资产负债表、利润表、现金流量表）；③供应商注册时间截至响应文件递交截止日不足一年的，也可提供在工商备案的公司章程复印件。④如果供应商为事业单位，根据实际情况提供证明材料。</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3、具有履行合同所必需的设备和专业技术能力：提供承诺函，格式自拟或按第六章“资格性响应文件格式  （三）承诺函”提供有效；</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spacing w:line="360" w:lineRule="auto"/>
        <w:ind w:firstLine="480"/>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提供承诺函，格式自拟或按第六章“资格性响应文件格式  （三）承诺函”提供有效。</w:t>
      </w:r>
      <w:r>
        <w:rPr>
          <w:rFonts w:hint="eastAsia" w:ascii="宋体" w:hAnsi="宋体" w:cs="宋体"/>
          <w:b/>
          <w:bCs/>
          <w:color w:val="000000" w:themeColor="text1"/>
          <w:szCs w:val="21"/>
          <w14:textFill>
            <w14:solidFill>
              <w14:schemeClr w14:val="tx1"/>
            </w14:solidFill>
          </w14:textFill>
        </w:rPr>
        <w:t>（注：</w:t>
      </w:r>
      <w:r>
        <w:rPr>
          <w:rFonts w:hint="eastAsia" w:ascii="宋体" w:hAnsi="宋体" w:cs="宋体"/>
          <w:b/>
          <w:bCs/>
          <w:color w:val="000000" w:themeColor="text1"/>
          <w:szCs w:val="21"/>
          <w:lang w:val="zh-CN"/>
          <w14:textFill>
            <w14:solidFill>
              <w14:schemeClr w14:val="tx1"/>
            </w14:solidFill>
          </w14:textFill>
        </w:rPr>
        <w:t>依法免税或不需要缴纳社会保障资金的供应商，应提供相应文件证明其依法免税或不需要缴纳社会保障资金</w:t>
      </w:r>
      <w:r>
        <w:rPr>
          <w:rFonts w:hint="eastAsia" w:ascii="宋体" w:hAnsi="宋体" w:cs="宋体"/>
          <w:b/>
          <w:bCs/>
          <w:color w:val="000000" w:themeColor="text1"/>
          <w:szCs w:val="21"/>
          <w14:textFill>
            <w14:solidFill>
              <w14:schemeClr w14:val="tx1"/>
            </w14:solidFill>
          </w14:textFill>
        </w:rPr>
        <w:t>）；</w:t>
      </w:r>
    </w:p>
    <w:p>
      <w:pPr>
        <w:numPr>
          <w:ilvl w:val="0"/>
          <w:numId w:val="5"/>
        </w:num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参加政府采购活动前三年内，在经营活动中没有重大违法记录：提供承诺函，格式自拟或按第六章“资格性响应文件格式  （三）承诺函”提供有效；</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6、法律、行政法规规定的其他条件：提供承诺函，格式自拟或按第六章“资格性响应文件格式  （三）承诺函”提供有效；</w:t>
      </w:r>
    </w:p>
    <w:p>
      <w:pPr>
        <w:spacing w:line="360" w:lineRule="auto"/>
        <w:ind w:firstLine="490" w:firstLineChars="200"/>
        <w:rPr>
          <w:rFonts w:ascii="宋体" w:hAnsi="宋体" w:cs="宋体"/>
          <w:b/>
          <w:bCs/>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（二）落实政府采购政策需满足的资格要求：本项目专门面向中小企业。供应商提供自身情况中小型企业声明函</w:t>
      </w:r>
      <w:bookmarkStart w:id="75" w:name="_Hlk81472854"/>
      <w:r>
        <w:rPr>
          <w:rFonts w:hint="eastAsia" w:ascii="宋体" w:hAnsi="宋体" w:cs="宋体"/>
          <w:bCs/>
          <w:color w:val="000000" w:themeColor="text1"/>
          <w:sz w:val="24"/>
          <w14:textFill>
            <w14:solidFill>
              <w14:schemeClr w14:val="tx1"/>
            </w14:solidFill>
          </w14:textFill>
        </w:rPr>
        <w:t>【格式见第六章 一、资格性响应文件格式 （四）中小企业声明函</w:t>
      </w:r>
      <w:bookmarkEnd w:id="75"/>
      <w:r>
        <w:rPr>
          <w:rFonts w:hint="eastAsia" w:ascii="宋体" w:hAnsi="宋体" w:cs="宋体"/>
          <w:bCs/>
          <w:color w:val="000000" w:themeColor="text1"/>
          <w:sz w:val="24"/>
          <w14:textFill>
            <w14:solidFill>
              <w14:schemeClr w14:val="tx1"/>
            </w14:solidFill>
          </w14:textFill>
        </w:rPr>
        <w:t>】或监狱企业证明文件（格式自拟）或残疾人福利性单位声明函【格式见第六章 一、资格性响应文件格式（六）残疾人福利性单位声明函】。</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（三）本项目的特定资格要求：无。</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二、其他类似效力要求相关证明材料：</w:t>
      </w:r>
    </w:p>
    <w:p>
      <w:pPr>
        <w:spacing w:line="360" w:lineRule="auto"/>
        <w:ind w:firstLine="480"/>
        <w:rPr>
          <w:rFonts w:ascii="宋体" w:hAnsi="宋体" w:cs="宋体"/>
          <w:sz w:val="24"/>
          <w:lang w:val="zh-CN"/>
        </w:rPr>
      </w:pPr>
      <w:r>
        <w:rPr>
          <w:rFonts w:hint="eastAsia" w:ascii="宋体" w:hAnsi="宋体" w:cs="宋体"/>
          <w:sz w:val="24"/>
        </w:rPr>
        <w:t>1、</w:t>
      </w:r>
      <w:r>
        <w:rPr>
          <w:rFonts w:hint="eastAsia" w:ascii="宋体" w:hAnsi="宋体" w:cs="宋体"/>
          <w:sz w:val="24"/>
          <w:lang w:val="zh-CN"/>
        </w:rPr>
        <w:t>按照磋商文件要求报名并领取了磋商文件：供应商报名登记表，供应商无需提供，由采购代理机构提供给磋商小组；</w:t>
      </w:r>
    </w:p>
    <w:p>
      <w:pPr>
        <w:spacing w:line="360" w:lineRule="auto"/>
        <w:ind w:firstLine="480"/>
        <w:rPr>
          <w:rFonts w:ascii="宋体" w:hAnsi="宋体" w:cs="宋体"/>
          <w:sz w:val="24"/>
          <w:lang w:val="zh-CN"/>
        </w:rPr>
      </w:pPr>
      <w:r>
        <w:rPr>
          <w:rFonts w:hint="eastAsia" w:ascii="宋体" w:hAnsi="宋体" w:cs="宋体"/>
          <w:sz w:val="24"/>
          <w:lang w:val="zh-CN"/>
        </w:rPr>
        <w:t>2、</w:t>
      </w:r>
      <w:r>
        <w:rPr>
          <w:rFonts w:hint="eastAsia" w:ascii="宋体" w:hAnsi="宋体"/>
          <w:sz w:val="24"/>
        </w:rPr>
        <w:t>法定</w:t>
      </w:r>
      <w:r>
        <w:rPr>
          <w:rFonts w:hint="eastAsia" w:ascii="宋体" w:hAnsi="宋体" w:cs="宋体"/>
          <w:sz w:val="24"/>
          <w:lang w:val="zh-CN"/>
        </w:rPr>
        <w:t>代表人参加磋商活动或授权代表参与磋商活动：</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（1）由</w:t>
      </w:r>
      <w:r>
        <w:rPr>
          <w:rFonts w:hint="eastAsia" w:ascii="宋体" w:hAnsi="宋体" w:cs="宋体"/>
          <w:color w:val="000000" w:themeColor="text1"/>
          <w:sz w:val="24"/>
          <w:lang w:val="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法定代表人参与磋商且</w:t>
      </w:r>
      <w:r>
        <w:rPr>
          <w:rFonts w:hint="eastAsia" w:ascii="宋体" w:hAnsi="宋体" w:cs="宋体"/>
          <w:color w:val="000000" w:themeColor="text1"/>
          <w:sz w:val="24"/>
          <w:lang w:val="zh-CN"/>
          <w14:textFill>
            <w14:solidFill>
              <w14:schemeClr w14:val="tx1"/>
            </w14:solidFill>
          </w14:textFill>
        </w:rPr>
        <w:t>响应文件均由供应商法定代表人签字的：</w:t>
      </w:r>
      <w:r>
        <w:rPr>
          <w:rFonts w:hint="eastAsia" w:ascii="宋体" w:hAnsi="宋体" w:cs="宋体"/>
          <w:color w:val="000000" w:themeColor="text1"/>
          <w:sz w:val="24"/>
          <w14:textFill>
            <w14:solidFill>
              <w14:schemeClr w14:val="tx1"/>
            </w14:solidFill>
          </w14:textFill>
        </w:rPr>
        <w:t>须提供法定代表人身份证明书原件并附法定代表人身份证复印件（身份证明书原件加盖公章；身份证复印件正反面均须复印，复印件加盖公章，身份证在有效期内）；</w:t>
      </w:r>
    </w:p>
    <w:p>
      <w:pPr>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（2）由供应商授权代理人参与磋商的：须提供法定代表人授权书原件并附法定代表人及授权代表身份证复印件（授权书原件加盖公章；身份证复印件正反面均须复印，复印件加盖公章，身份证在有效期内）。</w:t>
      </w:r>
    </w:p>
    <w:p>
      <w:pPr>
        <w:tabs>
          <w:tab w:val="left" w:pos="7665"/>
        </w:tabs>
        <w:spacing w:line="440" w:lineRule="exact"/>
        <w:ind w:firstLine="612" w:firstLineChars="250"/>
        <w:rPr>
          <w:rFonts w:ascii="宋体" w:hAnsi="宋体"/>
          <w:sz w:val="24"/>
        </w:rPr>
      </w:pPr>
      <w:r>
        <w:rPr>
          <w:rFonts w:ascii="宋体" w:hAnsi="宋体"/>
          <w:sz w:val="24"/>
        </w:rPr>
        <w:t>3</w:t>
      </w:r>
      <w:r>
        <w:rPr>
          <w:rFonts w:hint="eastAsia" w:ascii="宋体" w:hAnsi="宋体"/>
          <w:sz w:val="24"/>
        </w:rPr>
        <w:t>、供应商及其现任法定代表人、主要负责人不得具有行贿犯罪记录，</w:t>
      </w:r>
      <w:r>
        <w:rPr>
          <w:rFonts w:hint="eastAsia" w:ascii="宋体" w:hAnsi="宋体" w:cs="宋体"/>
          <w:sz w:val="24"/>
        </w:rPr>
        <w:t>提供承诺函，格式自拟或按第六章“资格性响应文件格式  （三）承诺函”提供有效；</w:t>
      </w:r>
    </w:p>
    <w:p>
      <w:pPr>
        <w:tabs>
          <w:tab w:val="left" w:pos="7665"/>
        </w:tabs>
        <w:spacing w:line="440" w:lineRule="exact"/>
        <w:ind w:firstLine="612" w:firstLineChars="250"/>
        <w:rPr>
          <w:rFonts w:ascii="宋体" w:hAnsi="宋体"/>
          <w:sz w:val="24"/>
        </w:rPr>
      </w:pPr>
      <w:r>
        <w:rPr>
          <w:rFonts w:ascii="宋体" w:hAnsi="宋体"/>
          <w:sz w:val="24"/>
        </w:rPr>
        <w:t>4</w:t>
      </w:r>
      <w:r>
        <w:rPr>
          <w:rFonts w:hint="eastAsia" w:ascii="宋体" w:hAnsi="宋体"/>
          <w:sz w:val="24"/>
        </w:rPr>
        <w:t>、供应商单位负责人为同一人或者存在控股、管理关系的不同供应商，不得参加同一合同项下的采购活动，</w:t>
      </w:r>
      <w:r>
        <w:rPr>
          <w:rFonts w:hint="eastAsia" w:ascii="宋体" w:hAnsi="宋体" w:cs="宋体"/>
          <w:sz w:val="24"/>
        </w:rPr>
        <w:t>提供承诺函，格式自拟或按第六章“资格性响应文件格式</w:t>
      </w:r>
      <w:r>
        <w:rPr>
          <w:rFonts w:ascii="宋体" w:hAnsi="宋体" w:cs="宋体"/>
          <w:sz w:val="24"/>
        </w:rPr>
        <w:t xml:space="preserve"> </w:t>
      </w:r>
      <w:r>
        <w:rPr>
          <w:rFonts w:hint="eastAsia" w:ascii="宋体" w:hAnsi="宋体" w:cs="宋体"/>
          <w:sz w:val="24"/>
        </w:rPr>
        <w:t>（三）承诺函”提供有效；</w:t>
      </w:r>
    </w:p>
    <w:p>
      <w:pPr>
        <w:tabs>
          <w:tab w:val="left" w:pos="7665"/>
        </w:tabs>
        <w:spacing w:line="440" w:lineRule="exact"/>
        <w:ind w:firstLine="612" w:firstLineChars="250"/>
        <w:rPr>
          <w:rFonts w:ascii="宋体" w:hAnsi="宋体" w:cs="宋体"/>
          <w:sz w:val="24"/>
        </w:rPr>
      </w:pPr>
      <w:r>
        <w:rPr>
          <w:rFonts w:ascii="宋体" w:hAnsi="宋体"/>
          <w:sz w:val="24"/>
        </w:rPr>
        <w:t>5</w:t>
      </w:r>
      <w:r>
        <w:rPr>
          <w:rFonts w:hint="eastAsia" w:ascii="宋体" w:hAnsi="宋体"/>
          <w:sz w:val="24"/>
        </w:rPr>
        <w:t>、参加本次采购活动，不存在和其他供应商在同一合同项下的采购项目中，同时委托同一个自然人、同一家庭的人员、同一单位的人员作为授权代表的行为，</w:t>
      </w:r>
      <w:r>
        <w:rPr>
          <w:rFonts w:hint="eastAsia" w:ascii="宋体" w:hAnsi="宋体" w:cs="宋体"/>
          <w:sz w:val="24"/>
        </w:rPr>
        <w:t>提供承诺函，格式自拟或按第六章“资格性响应文件格式  （三）承诺函”提供有效；</w:t>
      </w:r>
    </w:p>
    <w:p>
      <w:pPr>
        <w:tabs>
          <w:tab w:val="left" w:pos="7665"/>
        </w:tabs>
        <w:spacing w:line="440" w:lineRule="exact"/>
        <w:ind w:firstLine="612" w:firstLineChars="250"/>
        <w:rPr>
          <w:rFonts w:ascii="宋体" w:hAnsi="宋体"/>
          <w:sz w:val="24"/>
        </w:rPr>
      </w:pPr>
      <w:r>
        <w:rPr>
          <w:rFonts w:hint="eastAsia" w:ascii="宋体" w:hAnsi="宋体"/>
          <w:sz w:val="24"/>
        </w:rPr>
        <w:t>6、</w:t>
      </w:r>
      <w:r>
        <w:rPr>
          <w:rFonts w:hint="eastAsia" w:ascii="宋体" w:hAnsi="宋体" w:cs="宋体"/>
          <w:sz w:val="24"/>
          <w:lang w:val="zh-CN"/>
        </w:rPr>
        <w:t>为采购项目提供整体设计、规范编制或者项目管理、监理、检测等服务的供应商，不得再参加该采购项目的其他采购活动</w:t>
      </w:r>
      <w:r>
        <w:rPr>
          <w:rFonts w:hint="eastAsia" w:ascii="宋体" w:hAnsi="宋体"/>
          <w:sz w:val="24"/>
        </w:rPr>
        <w:t>，</w:t>
      </w:r>
      <w:r>
        <w:rPr>
          <w:rFonts w:hint="eastAsia" w:ascii="宋体" w:hAnsi="宋体" w:cs="宋体"/>
          <w:sz w:val="24"/>
        </w:rPr>
        <w:t>提供承诺函，格式自拟或按第六章“资格性响应文件格式  （三）承诺函”提供有效。</w:t>
      </w:r>
    </w:p>
    <w:p>
      <w:pPr>
        <w:spacing w:line="360" w:lineRule="auto"/>
        <w:ind w:firstLine="480"/>
        <w:rPr>
          <w:rFonts w:ascii="宋体" w:hAnsi="宋体" w:cs="宋体"/>
          <w:b/>
          <w:color w:val="000000" w:themeColor="text1"/>
          <w:lang w:val="zh-CN"/>
          <w14:textFill>
            <w14:solidFill>
              <w14:schemeClr w14:val="tx1"/>
            </w14:solidFill>
          </w14:textFill>
        </w:rPr>
      </w:pPr>
      <w:r>
        <w:rPr>
          <w:rFonts w:hint="eastAsia" w:ascii="宋体" w:hAnsi="宋体" w:cs="宋体"/>
          <w:b/>
          <w:color w:val="000000" w:themeColor="text1"/>
          <w:lang w:val="zh-CN"/>
          <w14:textFill>
            <w14:solidFill>
              <w14:schemeClr w14:val="tx1"/>
            </w14:solidFill>
          </w14:textFill>
        </w:rPr>
        <w:t>注：（1）“法定代表人身份证明书”和“法定代表人授权书”格式详见第六章“资格性响应文件格式”中相关格式。</w:t>
      </w:r>
    </w:p>
    <w:p>
      <w:pPr>
        <w:spacing w:line="360" w:lineRule="auto"/>
        <w:ind w:firstLine="480"/>
        <w:rPr>
          <w:rFonts w:ascii="宋体" w:hAnsi="宋体" w:cs="宋体"/>
          <w:b/>
          <w:lang w:val="zh-CN"/>
        </w:rPr>
      </w:pPr>
      <w:r>
        <w:rPr>
          <w:rFonts w:hint="eastAsia" w:ascii="宋体" w:hAnsi="宋体" w:cs="宋体"/>
          <w:b/>
          <w:lang w:val="zh-CN"/>
        </w:rPr>
        <w:t>（2）以上证明材料要求提供承诺函的，不同承诺项要求在同一承诺函格式内的，可仅提供一次相应承诺函。</w:t>
      </w:r>
    </w:p>
    <w:p>
      <w:pPr>
        <w:pStyle w:val="3"/>
        <w:keepNext w:val="0"/>
        <w:keepLines w:val="0"/>
        <w:spacing w:before="0" w:after="0" w:line="240" w:lineRule="auto"/>
        <w:jc w:val="cente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br w:type="page"/>
      </w:r>
      <w:bookmarkStart w:id="76" w:name="_Toc47706311"/>
      <w:bookmarkStart w:id="77" w:name="_Toc47706402"/>
      <w:r>
        <w:rPr>
          <w:rFonts w:hint="eastAsia" w:ascii="宋体" w:hAnsi="宋体" w:cs="宋体"/>
          <w:color w:val="000000" w:themeColor="text1"/>
          <w:sz w:val="36"/>
          <w:szCs w:val="36"/>
          <w14:textFill>
            <w14:solidFill>
              <w14:schemeClr w14:val="tx1"/>
            </w14:solidFill>
          </w14:textFill>
        </w:rPr>
        <w:t>第五章  采购项目技术、服务及其他商务要求</w:t>
      </w:r>
    </w:p>
    <w:p>
      <w:pPr>
        <w:spacing w:line="360" w:lineRule="auto"/>
        <w:jc w:val="left"/>
        <w:rPr>
          <w:rFonts w:ascii="宋体" w:hAnsi="宋体" w:cs="宋体"/>
          <w:b/>
          <w:color w:val="000000" w:themeColor="text1"/>
          <w:sz w:val="24"/>
          <w14:textFill>
            <w14:solidFill>
              <w14:schemeClr w14:val="tx1"/>
            </w14:solidFill>
          </w14:textFill>
        </w:rPr>
      </w:pPr>
    </w:p>
    <w:bookmarkEnd w:id="61"/>
    <w:bookmarkEnd w:id="62"/>
    <w:bookmarkEnd w:id="63"/>
    <w:bookmarkEnd w:id="64"/>
    <w:bookmarkEnd w:id="65"/>
    <w:bookmarkEnd w:id="76"/>
    <w:bookmarkEnd w:id="77"/>
    <w:p>
      <w:pPr>
        <w:keepNext/>
        <w:keepLines/>
        <w:spacing w:line="360" w:lineRule="auto"/>
        <w:ind w:firstLine="490" w:firstLineChars="200"/>
        <w:outlineLvl w:val="1"/>
        <w:rPr>
          <w:rFonts w:ascii="宋体" w:hAnsi="宋体" w:cs="仿宋"/>
          <w:b/>
          <w:bCs/>
          <w:color w:val="000000"/>
          <w:kern w:val="0"/>
          <w:sz w:val="24"/>
        </w:rPr>
      </w:pPr>
      <w:bookmarkStart w:id="78" w:name="_Toc217446057"/>
      <w:bookmarkStart w:id="79" w:name="_Toc183582232"/>
      <w:bookmarkStart w:id="80" w:name="_Toc183682369"/>
      <w:r>
        <w:rPr>
          <w:rFonts w:hint="eastAsia" w:ascii="宋体" w:hAnsi="宋体" w:cs="仿宋"/>
          <w:b/>
          <w:bCs/>
          <w:color w:val="000000"/>
          <w:kern w:val="0"/>
          <w:sz w:val="24"/>
        </w:rPr>
        <w:t>一、项目简介</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邛崃市数字化城市管理信息系统依托空间信息技术、工作流技术、计算机网络技术、无线通讯信息技术等先进技术手段，实现城市部件和事件管理的数字化、网络化和空间可视化，创新城市管理模式，再造城市管理流程，全面提高城市管理水平。而在数字化城市管理新模式中，信息采集工作既是管理流程的起点，又是问题处理流程的终点，是数字城管系统运行的首要环节和保障数字城管系统运行效果的前提条件。</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通过信息采集监督员、12319城管热线、城区天网监控视频三种信息收集渠道，城管通、城管平台系统等技术支撑，信息采集监督员、数字城管指挥中心、政府职能部门闭环处置过程，对邛崃市城市实施信息化、数字化、精细化管理。</w:t>
      </w:r>
    </w:p>
    <w:p>
      <w:pPr>
        <w:keepNext/>
        <w:keepLines/>
        <w:spacing w:line="360" w:lineRule="auto"/>
        <w:ind w:firstLine="570" w:firstLineChars="200"/>
        <w:outlineLvl w:val="1"/>
        <w:rPr>
          <w:rFonts w:ascii="宋体" w:hAnsi="宋体" w:cs="仿宋"/>
          <w:b/>
          <w:bCs/>
          <w:color w:val="000000"/>
          <w:kern w:val="0"/>
          <w:sz w:val="24"/>
        </w:rPr>
      </w:pPr>
      <w:r>
        <w:rPr>
          <w:rFonts w:hint="eastAsia" w:ascii="宋体" w:hAnsi="宋体" w:cs="宋体"/>
          <w:b/>
          <w:color w:val="000000"/>
          <w:kern w:val="0"/>
          <w:sz w:val="28"/>
          <w:szCs w:val="32"/>
        </w:rPr>
        <w:t>★</w:t>
      </w:r>
      <w:r>
        <w:rPr>
          <w:rFonts w:hint="eastAsia" w:ascii="宋体" w:hAnsi="宋体" w:cs="仿宋"/>
          <w:b/>
          <w:bCs/>
          <w:color w:val="000000"/>
          <w:kern w:val="0"/>
          <w:sz w:val="24"/>
        </w:rPr>
        <w:t>二、项目服务内容及要求</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（一）服务内容</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1、组建一支专业信息采集队伍，按照巡查监管要求，数字城管覆盖区域内以人工巡查的方式负责对城市事件动态问题及部件完好、变更信息的限时采集；对市民投诉、视频监控、领导交办等途径反馈问题进行核实；对所发现问题结案前进行核查；对政府关注的专项内容提供专项普查服务；针对地震、洪涝、冰雹等灾害天气提供快速的紧急情况普查服务；对责任网格内力所能及的市容环境脏乱问题做到“举手之劳”。</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2、组建一支专业信息平台队伍负责处理城管热线、受理群众投诉、应急对讲呼答；对采集员上报的案件、视频监控发现的城市管理案件按照数字化城市管理相关标准进行准确立案、派遣；及时派放数字城管案卷核实核查任务；按期对数字城管数据进行挖掘分析；处理数字城管中心其他指定任务。</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（二）服务范围及要求</w:t>
      </w:r>
    </w:p>
    <w:p>
      <w:pPr>
        <w:spacing w:line="360" w:lineRule="auto"/>
        <w:ind w:firstLine="490" w:firstLineChars="200"/>
        <w:rPr>
          <w:rFonts w:ascii="宋体" w:hAnsi="宋体"/>
          <w:color w:val="000000"/>
          <w:kern w:val="0"/>
          <w:sz w:val="24"/>
          <w:szCs w:val="21"/>
        </w:rPr>
      </w:pPr>
      <w:r>
        <w:rPr>
          <w:rFonts w:hint="eastAsia" w:ascii="宋体" w:hAnsi="宋体" w:cs="宋体"/>
          <w:color w:val="000000"/>
          <w:kern w:val="0"/>
          <w:sz w:val="24"/>
        </w:rPr>
        <w:t>1、服务范围：邛崃市建成区约</w:t>
      </w:r>
      <w:r>
        <w:rPr>
          <w:rFonts w:ascii="宋体" w:hAnsi="宋体" w:cs="宋体"/>
          <w:color w:val="000000"/>
          <w:kern w:val="0"/>
          <w:sz w:val="24"/>
        </w:rPr>
        <w:t>27.01平方公里。</w:t>
      </w:r>
    </w:p>
    <w:p>
      <w:pPr>
        <w:spacing w:line="360" w:lineRule="auto"/>
        <w:ind w:firstLine="490" w:firstLineChars="200"/>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、服务质量：信息采集员人均每天有效采集案件量不少于市城管监管中心考核标准，以邛崃市实际要求为准。</w:t>
      </w:r>
    </w:p>
    <w:p>
      <w:pPr>
        <w:spacing w:line="360" w:lineRule="auto"/>
        <w:ind w:firstLine="490" w:firstLineChars="200"/>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、信息采集时间要求：实行常态化监管，工作时间为8:00—21:00；周末节假日不休息。若遇采购人特殊情况要求，成交供应商须服从采购人通知，并调整时间。</w:t>
      </w:r>
    </w:p>
    <w:p>
      <w:pPr>
        <w:spacing w:line="360" w:lineRule="auto"/>
        <w:ind w:firstLine="490" w:firstLineChars="200"/>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巡查频率：一类区域包括市景观路、重点旅游线路、旅游风景区周边、中心商业区、人口稠密区、城市主要出入口、主要公共场所（包括政府机关所在地、窗口地区、车站）和主要大街干线），每日巡查3次，二类区域包括居民区、城中村、背街小巷、城乡结合部区、厂矿企业区、开发区，每日巡查2次，三类区域（其他区域）每日巡查1次。</w:t>
      </w:r>
    </w:p>
    <w:p>
      <w:pPr>
        <w:spacing w:line="360" w:lineRule="auto"/>
        <w:ind w:firstLine="490" w:firstLineChars="200"/>
        <w:rPr>
          <w:rFonts w:ascii="宋体" w:hAns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、人员配备要求</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组建一支信息采集与处理服务队伍，信息采集与处理服务队伍共配置38人（其中项目经理1人，助理1人，信息采集员28人，平台操作员8人）。</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（1）管理人员要求：</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A</w:t>
      </w:r>
      <w:r>
        <w:rPr>
          <w:rFonts w:ascii="宋体" w:hAnsi="宋体" w:cs="宋体"/>
          <w:color w:val="000000"/>
          <w:kern w:val="0"/>
          <w:sz w:val="24"/>
        </w:rPr>
        <w:t>.</w:t>
      </w:r>
      <w:r>
        <w:rPr>
          <w:rFonts w:hint="eastAsia" w:ascii="宋体" w:hAnsi="宋体" w:cs="宋体"/>
          <w:color w:val="000000"/>
          <w:kern w:val="0"/>
          <w:sz w:val="24"/>
        </w:rPr>
        <w:t>项目经理：大学本科及以上学历，项目助理具有大专及以上文化；</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B.管理人员（项目经理和助理）具有数字化城市管理的信息采集与处理服务从业经验；</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C.热爱城管工作，热心公益，遵纪守法，作风正派；</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D.工作认真严格，自律性强，责任心强，执行力强；</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E.熟练使用办公软件，身体健康，思维灵敏，年龄在28岁－-45岁；</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F.具有较强的写作能力和数据分析能力；</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G.熟悉并能熟练掌握运用人力资源等相关政策、法规；</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H.无任何违法犯罪记录。</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（2）信息采集员要求：</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A.热爱邛崃市，热爱城市管理工作，热心公益，遵纪守法，作风正派；</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B.工作认真严格，自律性强，责任心强，执行力强；</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C.会使用手机拍摄，具有一定电脑操作能力；</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D.身体健康，适应户外工作，年龄在20岁－-50岁；</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E.具有初中及以上文化，退伍、退役军人优先。</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（3）平台操作员要求：</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A.品貌端正，热爱邛崃市，热爱城市管理工作，热心公益，遵纪守法，作风正派；</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B.普通话标准，口齿清晰，具有亲和力，有较好的文字组织能力和良好的沟通能力；</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C.工作认真严格，有较强的责任心，吃苦耐劳、勇于进取，能适应倒班制工作；</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D.具有较强的电脑操作能力和学习能力，能尽快熟悉数字城管信息系统工作流程和相关工作规范；</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E.身体健康，年龄在20岁－-45岁；</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F.具有高中（中专）及以上文化。</w:t>
      </w:r>
    </w:p>
    <w:p>
      <w:pPr>
        <w:spacing w:line="360" w:lineRule="auto"/>
        <w:ind w:firstLine="490" w:firstLineChars="200"/>
        <w:rPr>
          <w:rFonts w:ascii="宋体" w:hAns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rPr>
        <w:t>、队伍组建要求</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（1）严格按照国家相关规定为信息采集员和平台操作员购买五险、意外险等基本福利待遇；</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（2）成交供应商在合同签订生效前10日内，按照响应文件的承诺，完成队伍的组建、培训、试报案等工作；</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3）关于邛崃市现有的信息采集员及平台操作员，</w:t>
      </w:r>
      <w:r>
        <w:rPr>
          <w:rFonts w:hint="eastAsia" w:ascii="宋体" w:hAnsi="宋体" w:cs="宋体"/>
          <w:color w:val="000000"/>
          <w:kern w:val="0"/>
          <w:sz w:val="24"/>
        </w:rPr>
        <w:t>供应商承诺全部吸收，做好员工的培训上岗工作，保证三个月内不得主动解聘信息采集员，三个月后双方双向选择。</w:t>
      </w:r>
    </w:p>
    <w:p>
      <w:pPr>
        <w:spacing w:line="360" w:lineRule="auto"/>
        <w:ind w:firstLine="490" w:firstLineChars="200"/>
        <w:rPr>
          <w:rFonts w:ascii="宋体" w:hAns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rPr>
        <w:t>、“信息采集器”的领取、管理和使用</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1）采集设备的配备和管理。成交的五日内，采集员和管理人员所需的采集器原则由采购方按人员配置的实际情况足额提供，采集服务范围的无线网通信费也由采购方提供，并保证功能正常使用。如因使用不当造成采集器外观破损或影响功能正常使用的，由供应商按95%（使用1年以内）、80%（使用1-2年）、60%（使用2-3年）的比例承担维修费用。合同终结时，供应商须如数返还信息采集器，每少一部按照采购价和使用的年限（同上）的比例赔偿；</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（2）采集器硬件损坏应交监督指挥中心统一修理，供应商不得对机具自行维修，如出现自行维修现象，采购人将向成交单位追赔采集器全部的经费；</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（3）供应商应加强机具的管理，并落实专人负责，同时要制定采集器管理使用制度，保障信息采集器正常的使用。</w:t>
      </w:r>
    </w:p>
    <w:p>
      <w:pPr>
        <w:spacing w:line="360" w:lineRule="auto"/>
        <w:ind w:firstLine="490" w:firstLineChars="200"/>
        <w:rPr>
          <w:rFonts w:ascii="宋体" w:hAnsi="宋体" w:cs="宋体"/>
          <w:color w:val="000000"/>
          <w:kern w:val="0"/>
          <w:sz w:val="24"/>
        </w:rPr>
      </w:pPr>
      <w:r>
        <w:rPr>
          <w:rFonts w:ascii="宋体" w:hAnsi="宋体" w:cs="宋体"/>
          <w:color w:val="000000"/>
          <w:kern w:val="0"/>
          <w:sz w:val="24"/>
        </w:rPr>
        <w:t>8</w:t>
      </w:r>
      <w:r>
        <w:rPr>
          <w:rFonts w:hint="eastAsia" w:ascii="宋体" w:hAnsi="宋体" w:cs="宋体"/>
          <w:color w:val="000000"/>
          <w:kern w:val="0"/>
          <w:sz w:val="24"/>
        </w:rPr>
        <w:t>、“八件套”配置要求</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根据（成城发〔2018〕99号）《成都市数字化城市管理监督员工作管理规范》的通知要求，按照信息采集人员数量配备相应的信息采集员工作装备（八件套），即工作制服、工作证、工作包、工作笔记本、钢卷尺、雨具（雨伞或雨衣）、强光手电筒、铁铲。</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9、考核标准及要求</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考核标准按照《城市市政综合监管信息系统管理部件和事件信息采集》（</w:t>
      </w:r>
      <w:r>
        <w:rPr>
          <w:rFonts w:ascii="宋体" w:hAnsi="宋体" w:cs="宋体"/>
          <w:color w:val="000000"/>
          <w:kern w:val="0"/>
          <w:sz w:val="24"/>
        </w:rPr>
        <w:t>CJ/T 422-2013</w:t>
      </w:r>
      <w:r>
        <w:rPr>
          <w:rFonts w:hint="eastAsia" w:ascii="宋体" w:hAnsi="宋体" w:cs="宋体"/>
          <w:color w:val="000000"/>
          <w:kern w:val="0"/>
          <w:sz w:val="24"/>
        </w:rPr>
        <w:t>）和邛崃市数字化城市管理信息采集和处理市场化服务考核办法执行。详见附表</w:t>
      </w:r>
      <w:r>
        <w:rPr>
          <w:rFonts w:ascii="宋体" w:hAnsi="宋体" w:cs="宋体"/>
          <w:color w:val="000000"/>
          <w:kern w:val="0"/>
          <w:sz w:val="24"/>
        </w:rPr>
        <w:t>1</w:t>
      </w: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对成交供应商的考核由日常考核和排名考核两部分组成，综合评定服务质量，按月支付费用。</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）日常考核。采购人对成交供应商按月进行日常考核（详见附件），日常考核包括综合考核和平台考核，分别占日常考核的</w:t>
      </w:r>
      <w:r>
        <w:rPr>
          <w:rFonts w:ascii="宋体" w:hAnsi="宋体" w:cs="宋体"/>
          <w:color w:val="000000"/>
          <w:kern w:val="0"/>
          <w:sz w:val="24"/>
        </w:rPr>
        <w:t>80%</w:t>
      </w:r>
      <w:r>
        <w:rPr>
          <w:rFonts w:hint="eastAsia" w:ascii="宋体" w:hAnsi="宋体" w:cs="宋体"/>
          <w:color w:val="000000"/>
          <w:kern w:val="0"/>
          <w:sz w:val="24"/>
        </w:rPr>
        <w:t>和</w:t>
      </w:r>
      <w:r>
        <w:rPr>
          <w:rFonts w:ascii="宋体" w:hAnsi="宋体" w:cs="宋体"/>
          <w:color w:val="000000"/>
          <w:kern w:val="0"/>
          <w:sz w:val="24"/>
        </w:rPr>
        <w:t>20%</w:t>
      </w:r>
      <w:r>
        <w:rPr>
          <w:rFonts w:hint="eastAsia" w:ascii="宋体" w:hAnsi="宋体" w:cs="宋体"/>
          <w:color w:val="000000"/>
          <w:kern w:val="0"/>
          <w:sz w:val="24"/>
        </w:rPr>
        <w:t>。综合考核指标分为结果指标、过程指标、诚信指标三个大类，分值分别为</w:t>
      </w:r>
      <w:r>
        <w:rPr>
          <w:rFonts w:ascii="宋体" w:hAnsi="宋体" w:cs="宋体"/>
          <w:color w:val="000000"/>
          <w:kern w:val="0"/>
          <w:sz w:val="24"/>
        </w:rPr>
        <w:t>60</w:t>
      </w:r>
      <w:r>
        <w:rPr>
          <w:rFonts w:hint="eastAsia" w:ascii="宋体" w:hAnsi="宋体" w:cs="宋体"/>
          <w:color w:val="000000"/>
          <w:kern w:val="0"/>
          <w:sz w:val="24"/>
        </w:rPr>
        <w:t>分、</w:t>
      </w:r>
      <w:r>
        <w:rPr>
          <w:rFonts w:ascii="宋体" w:hAnsi="宋体" w:cs="宋体"/>
          <w:color w:val="000000"/>
          <w:kern w:val="0"/>
          <w:sz w:val="24"/>
        </w:rPr>
        <w:t>25</w:t>
      </w:r>
      <w:r>
        <w:rPr>
          <w:rFonts w:hint="eastAsia" w:ascii="宋体" w:hAnsi="宋体" w:cs="宋体"/>
          <w:color w:val="000000"/>
          <w:kern w:val="0"/>
          <w:sz w:val="24"/>
        </w:rPr>
        <w:t>分、</w:t>
      </w:r>
      <w:r>
        <w:rPr>
          <w:rFonts w:ascii="宋体" w:hAnsi="宋体" w:cs="宋体"/>
          <w:color w:val="000000"/>
          <w:kern w:val="0"/>
          <w:sz w:val="24"/>
        </w:rPr>
        <w:t>15</w:t>
      </w:r>
      <w:r>
        <w:rPr>
          <w:rFonts w:hint="eastAsia" w:ascii="宋体" w:hAnsi="宋体" w:cs="宋体"/>
          <w:color w:val="000000"/>
          <w:kern w:val="0"/>
          <w:sz w:val="24"/>
        </w:rPr>
        <w:t>分，其中的指标小类不再另设分值，若指标大类中各指标小类总计扣分大于该指标大类的最大分值，则只扣除该指标大类的最大分值；平台考核分为业务工作和岗位纪律两类，分别为</w:t>
      </w:r>
      <w:r>
        <w:rPr>
          <w:rFonts w:ascii="宋体" w:hAnsi="宋体" w:cs="宋体"/>
          <w:color w:val="000000"/>
          <w:kern w:val="0"/>
          <w:sz w:val="24"/>
        </w:rPr>
        <w:t>70</w:t>
      </w:r>
      <w:r>
        <w:rPr>
          <w:rFonts w:hint="eastAsia" w:ascii="宋体" w:hAnsi="宋体" w:cs="宋体"/>
          <w:color w:val="000000"/>
          <w:kern w:val="0"/>
          <w:sz w:val="24"/>
        </w:rPr>
        <w:t>分和</w:t>
      </w:r>
      <w:r>
        <w:rPr>
          <w:rFonts w:ascii="宋体" w:hAnsi="宋体" w:cs="宋体"/>
          <w:color w:val="000000"/>
          <w:kern w:val="0"/>
          <w:sz w:val="24"/>
        </w:rPr>
        <w:t>30</w:t>
      </w:r>
      <w:r>
        <w:rPr>
          <w:rFonts w:hint="eastAsia" w:ascii="宋体" w:hAnsi="宋体" w:cs="宋体"/>
          <w:color w:val="000000"/>
          <w:kern w:val="0"/>
          <w:sz w:val="24"/>
        </w:rPr>
        <w:t>分。日常考核采取计分的办法，满分为</w:t>
      </w:r>
      <w:r>
        <w:rPr>
          <w:rFonts w:ascii="宋体" w:hAnsi="宋体" w:cs="宋体"/>
          <w:color w:val="000000"/>
          <w:kern w:val="0"/>
          <w:sz w:val="24"/>
        </w:rPr>
        <w:t>100</w:t>
      </w:r>
      <w:r>
        <w:rPr>
          <w:rFonts w:hint="eastAsia" w:ascii="宋体" w:hAnsi="宋体" w:cs="宋体"/>
          <w:color w:val="000000"/>
          <w:kern w:val="0"/>
          <w:sz w:val="24"/>
        </w:rPr>
        <w:t>分，</w:t>
      </w:r>
      <w:r>
        <w:rPr>
          <w:rFonts w:ascii="宋体" w:hAnsi="宋体" w:cs="宋体"/>
          <w:color w:val="000000"/>
          <w:kern w:val="0"/>
          <w:sz w:val="24"/>
        </w:rPr>
        <w:t>90</w:t>
      </w:r>
      <w:r>
        <w:rPr>
          <w:rFonts w:hint="eastAsia" w:ascii="宋体" w:hAnsi="宋体" w:cs="宋体"/>
          <w:color w:val="000000"/>
          <w:kern w:val="0"/>
          <w:sz w:val="24"/>
        </w:rPr>
        <w:t>分以上（含</w:t>
      </w:r>
      <w:r>
        <w:rPr>
          <w:rFonts w:ascii="宋体" w:hAnsi="宋体" w:cs="宋体"/>
          <w:color w:val="000000"/>
          <w:kern w:val="0"/>
          <w:sz w:val="24"/>
        </w:rPr>
        <w:t>90</w:t>
      </w:r>
      <w:r>
        <w:rPr>
          <w:rFonts w:hint="eastAsia" w:ascii="宋体" w:hAnsi="宋体" w:cs="宋体"/>
          <w:color w:val="000000"/>
          <w:kern w:val="0"/>
          <w:sz w:val="24"/>
        </w:rPr>
        <w:t>分）为服务合格，不予扣款；</w:t>
      </w:r>
      <w:r>
        <w:rPr>
          <w:rFonts w:ascii="宋体" w:hAnsi="宋体" w:cs="宋体"/>
          <w:color w:val="000000"/>
          <w:kern w:val="0"/>
          <w:sz w:val="24"/>
        </w:rPr>
        <w:t>80</w:t>
      </w:r>
      <w:r>
        <w:rPr>
          <w:rFonts w:hint="eastAsia" w:ascii="宋体" w:hAnsi="宋体" w:cs="宋体"/>
          <w:color w:val="000000"/>
          <w:kern w:val="0"/>
          <w:sz w:val="24"/>
        </w:rPr>
        <w:t>分－</w:t>
      </w:r>
      <w:r>
        <w:rPr>
          <w:rFonts w:ascii="宋体" w:hAnsi="宋体" w:cs="宋体"/>
          <w:color w:val="000000"/>
          <w:kern w:val="0"/>
          <w:sz w:val="24"/>
        </w:rPr>
        <w:t>89</w:t>
      </w:r>
      <w:r>
        <w:rPr>
          <w:rFonts w:hint="eastAsia" w:ascii="宋体" w:hAnsi="宋体" w:cs="宋体"/>
          <w:color w:val="000000"/>
          <w:kern w:val="0"/>
          <w:sz w:val="24"/>
        </w:rPr>
        <w:t>分判定为服务瑕疵，在</w:t>
      </w:r>
      <w:r>
        <w:rPr>
          <w:rFonts w:ascii="宋体" w:hAnsi="宋体" w:cs="宋体"/>
          <w:color w:val="000000"/>
          <w:kern w:val="0"/>
          <w:sz w:val="24"/>
        </w:rPr>
        <w:t>90</w:t>
      </w:r>
      <w:r>
        <w:rPr>
          <w:rFonts w:hint="eastAsia" w:ascii="宋体" w:hAnsi="宋体" w:cs="宋体"/>
          <w:color w:val="000000"/>
          <w:kern w:val="0"/>
          <w:sz w:val="24"/>
        </w:rPr>
        <w:t>分的基础上每降低</w:t>
      </w:r>
      <w:r>
        <w:rPr>
          <w:rFonts w:ascii="宋体" w:hAnsi="宋体" w:cs="宋体"/>
          <w:color w:val="000000"/>
          <w:kern w:val="0"/>
          <w:sz w:val="24"/>
        </w:rPr>
        <w:t>1</w:t>
      </w:r>
      <w:r>
        <w:rPr>
          <w:rFonts w:hint="eastAsia" w:ascii="宋体" w:hAnsi="宋体" w:cs="宋体"/>
          <w:color w:val="000000"/>
          <w:kern w:val="0"/>
          <w:sz w:val="24"/>
        </w:rPr>
        <w:t>分扣减当月有偿作业费的</w:t>
      </w:r>
      <w:r>
        <w:rPr>
          <w:rFonts w:ascii="宋体" w:hAnsi="宋体" w:cs="宋体"/>
          <w:color w:val="000000"/>
          <w:kern w:val="0"/>
          <w:sz w:val="24"/>
        </w:rPr>
        <w:t>1%</w:t>
      </w:r>
      <w:r>
        <w:rPr>
          <w:rFonts w:hint="eastAsia" w:ascii="宋体" w:hAnsi="宋体" w:cs="宋体"/>
          <w:color w:val="000000"/>
          <w:kern w:val="0"/>
          <w:sz w:val="24"/>
        </w:rPr>
        <w:t>；若得分在</w:t>
      </w:r>
      <w:r>
        <w:rPr>
          <w:rFonts w:ascii="宋体" w:hAnsi="宋体" w:cs="宋体"/>
          <w:color w:val="000000"/>
          <w:kern w:val="0"/>
          <w:sz w:val="24"/>
        </w:rPr>
        <w:t>80</w:t>
      </w:r>
      <w:r>
        <w:rPr>
          <w:rFonts w:hint="eastAsia" w:ascii="宋体" w:hAnsi="宋体" w:cs="宋体"/>
          <w:color w:val="000000"/>
          <w:kern w:val="0"/>
          <w:sz w:val="24"/>
        </w:rPr>
        <w:t>分以下（不含</w:t>
      </w:r>
      <w:r>
        <w:rPr>
          <w:rFonts w:ascii="宋体" w:hAnsi="宋体" w:cs="宋体"/>
          <w:color w:val="000000"/>
          <w:kern w:val="0"/>
          <w:sz w:val="24"/>
        </w:rPr>
        <w:t>80</w:t>
      </w:r>
      <w:r>
        <w:rPr>
          <w:rFonts w:hint="eastAsia" w:ascii="宋体" w:hAnsi="宋体" w:cs="宋体"/>
          <w:color w:val="000000"/>
          <w:kern w:val="0"/>
          <w:sz w:val="24"/>
        </w:rPr>
        <w:t>分），则扣除当月应支付费用的</w:t>
      </w:r>
      <w:r>
        <w:rPr>
          <w:rFonts w:ascii="宋体" w:hAnsi="宋体" w:cs="宋体"/>
          <w:color w:val="000000"/>
          <w:kern w:val="0"/>
          <w:sz w:val="24"/>
        </w:rPr>
        <w:t>30%</w:t>
      </w:r>
      <w:r>
        <w:rPr>
          <w:rFonts w:hint="eastAsia" w:ascii="宋体" w:hAnsi="宋体" w:cs="宋体"/>
          <w:color w:val="000000"/>
          <w:kern w:val="0"/>
          <w:sz w:val="24"/>
        </w:rPr>
        <w:t>，且作不合格记录一次；</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）排名考核。按每月成都市城市管理委员会城市精细化管理日常监管评价结果通报作为排名考核的依据。数字城管常态监管工作情况评价结果表中月度考核排在郊区新城</w:t>
      </w:r>
      <w:r>
        <w:rPr>
          <w:rFonts w:ascii="宋体" w:hAnsi="宋体" w:cs="宋体"/>
          <w:color w:val="000000"/>
          <w:kern w:val="0"/>
          <w:sz w:val="24"/>
        </w:rPr>
        <w:t>1-4</w:t>
      </w:r>
      <w:r>
        <w:rPr>
          <w:rFonts w:hint="eastAsia" w:ascii="宋体" w:hAnsi="宋体" w:cs="宋体"/>
          <w:color w:val="000000"/>
          <w:kern w:val="0"/>
          <w:sz w:val="24"/>
        </w:rPr>
        <w:t>名为完成工作任务，不予扣款；月度考核排名</w:t>
      </w:r>
      <w:r>
        <w:rPr>
          <w:rFonts w:ascii="宋体" w:hAnsi="宋体" w:cs="宋体"/>
          <w:color w:val="000000"/>
          <w:kern w:val="0"/>
          <w:sz w:val="24"/>
        </w:rPr>
        <w:t>5-6</w:t>
      </w:r>
      <w:r>
        <w:rPr>
          <w:rFonts w:hint="eastAsia" w:ascii="宋体" w:hAnsi="宋体" w:cs="宋体"/>
          <w:color w:val="000000"/>
          <w:kern w:val="0"/>
          <w:sz w:val="24"/>
        </w:rPr>
        <w:t>名扣除当月应支付费用的</w:t>
      </w:r>
      <w:r>
        <w:rPr>
          <w:rFonts w:ascii="宋体" w:hAnsi="宋体" w:cs="宋体"/>
          <w:color w:val="000000"/>
          <w:kern w:val="0"/>
          <w:sz w:val="24"/>
        </w:rPr>
        <w:t>5%</w:t>
      </w:r>
      <w:r>
        <w:rPr>
          <w:rFonts w:hint="eastAsia" w:ascii="宋体" w:hAnsi="宋体" w:cs="宋体"/>
          <w:color w:val="000000"/>
          <w:kern w:val="0"/>
          <w:sz w:val="24"/>
        </w:rPr>
        <w:t>；月度考核排名</w:t>
      </w:r>
      <w:r>
        <w:rPr>
          <w:rFonts w:ascii="宋体" w:hAnsi="宋体" w:cs="宋体"/>
          <w:color w:val="000000"/>
          <w:kern w:val="0"/>
          <w:sz w:val="24"/>
        </w:rPr>
        <w:t>7-8</w:t>
      </w:r>
      <w:r>
        <w:rPr>
          <w:rFonts w:hint="eastAsia" w:ascii="宋体" w:hAnsi="宋体" w:cs="宋体"/>
          <w:color w:val="000000"/>
          <w:kern w:val="0"/>
          <w:sz w:val="24"/>
        </w:rPr>
        <w:t>名扣除当月应支付费用的</w:t>
      </w:r>
      <w:r>
        <w:rPr>
          <w:rFonts w:ascii="宋体" w:hAnsi="宋体" w:cs="宋体"/>
          <w:color w:val="000000"/>
          <w:kern w:val="0"/>
          <w:sz w:val="24"/>
        </w:rPr>
        <w:t>10%</w:t>
      </w:r>
      <w:r>
        <w:rPr>
          <w:rFonts w:hint="eastAsia" w:ascii="宋体" w:hAnsi="宋体" w:cs="宋体"/>
          <w:color w:val="000000"/>
          <w:kern w:val="0"/>
          <w:sz w:val="24"/>
        </w:rPr>
        <w:t>，若连续两月排名第</w:t>
      </w:r>
      <w:r>
        <w:rPr>
          <w:rFonts w:ascii="宋体" w:hAnsi="宋体" w:cs="宋体"/>
          <w:color w:val="000000"/>
          <w:kern w:val="0"/>
          <w:sz w:val="24"/>
        </w:rPr>
        <w:t>7-8</w:t>
      </w:r>
      <w:r>
        <w:rPr>
          <w:rFonts w:hint="eastAsia" w:ascii="宋体" w:hAnsi="宋体" w:cs="宋体"/>
          <w:color w:val="000000"/>
          <w:kern w:val="0"/>
          <w:sz w:val="24"/>
        </w:rPr>
        <w:t>名，作不合格记录一次；月度排名第</w:t>
      </w:r>
      <w:r>
        <w:rPr>
          <w:rFonts w:ascii="宋体" w:hAnsi="宋体" w:cs="宋体"/>
          <w:color w:val="000000"/>
          <w:kern w:val="0"/>
          <w:sz w:val="24"/>
        </w:rPr>
        <w:t>9</w:t>
      </w:r>
      <w:r>
        <w:rPr>
          <w:rFonts w:hint="eastAsia" w:ascii="宋体" w:hAnsi="宋体" w:cs="宋体"/>
          <w:color w:val="000000"/>
          <w:kern w:val="0"/>
          <w:sz w:val="24"/>
        </w:rPr>
        <w:t>名扣除当月应支付费用的</w:t>
      </w:r>
      <w:r>
        <w:rPr>
          <w:rFonts w:ascii="宋体" w:hAnsi="宋体" w:cs="宋体"/>
          <w:color w:val="000000"/>
          <w:kern w:val="0"/>
          <w:sz w:val="24"/>
        </w:rPr>
        <w:t>15%</w:t>
      </w:r>
      <w:r>
        <w:rPr>
          <w:rFonts w:hint="eastAsia" w:ascii="宋体" w:hAnsi="宋体" w:cs="宋体"/>
          <w:color w:val="000000"/>
          <w:kern w:val="0"/>
          <w:sz w:val="24"/>
        </w:rPr>
        <w:t>，且作不合格记录一次。</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若一年连续出现两次或累计出现三次不合格记录，采购人有权解除合同。</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（3）提倡职业道德，轻微问题做到举手之劳（劝导）；其中包括：</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① 防撞桶，规范设置的锥形桶倒伏、移位；</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② 垃圾箱（果屑箱），箱门未关闭、内胆外移，箱外小袋垃圾，零星果皮纸屑等；</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③ 暴露垃圾，体量小、易投入垃圾箱的果皮纸屑，3件及以下小袋垃圾等；</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④ 人行道路面不洁，体量小、易投入垃圾箱的果皮纸屑，3件及以下小袋垃圾等；</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⑤ 广场、游园地面不洁，体量小、易投入垃圾箱的果皮纸屑，3件及以下小袋垃圾等；</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⑥ 非机动车乱停放（共享单车），5辆及以下未规范停放（占用盲道、占用绿地、占用非机动车道、倒伏）；</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⑦ 非法小广告（非法张贴小广告），易清除的牛皮癣、纸张等；</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⑧ 便道桩，易于恢复的脱落；</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⑨ 雨水箅子，移位并易于恢复得完好的雨水箅子；</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⑩ 其他可行“举手之劳”的事项。</w:t>
      </w:r>
    </w:p>
    <w:p>
      <w:pPr>
        <w:keepNext/>
        <w:keepLines/>
        <w:spacing w:line="360" w:lineRule="auto"/>
        <w:ind w:firstLine="570" w:firstLineChars="200"/>
        <w:outlineLvl w:val="1"/>
        <w:rPr>
          <w:rFonts w:ascii="宋体" w:hAnsi="宋体" w:cs="仿宋"/>
          <w:b/>
          <w:bCs/>
          <w:color w:val="000000"/>
          <w:kern w:val="0"/>
          <w:sz w:val="24"/>
        </w:rPr>
      </w:pPr>
      <w:r>
        <w:rPr>
          <w:rFonts w:hint="eastAsia" w:ascii="宋体" w:hAnsi="宋体" w:cs="宋体"/>
          <w:b/>
          <w:color w:val="000000"/>
          <w:kern w:val="0"/>
          <w:sz w:val="28"/>
          <w:szCs w:val="32"/>
        </w:rPr>
        <w:t>★</w:t>
      </w:r>
      <w:r>
        <w:rPr>
          <w:rFonts w:hint="eastAsia" w:ascii="宋体" w:hAnsi="宋体" w:cs="仿宋"/>
          <w:b/>
          <w:bCs/>
          <w:color w:val="000000"/>
          <w:kern w:val="0"/>
          <w:sz w:val="24"/>
        </w:rPr>
        <w:t>三、商务要求</w:t>
      </w:r>
    </w:p>
    <w:p>
      <w:pPr>
        <w:spacing w:line="360" w:lineRule="auto"/>
        <w:ind w:firstLine="490" w:firstLineChars="200"/>
        <w:rPr>
          <w:rFonts w:ascii="宋体" w:hAnsi="宋体" w:cs="宋体"/>
          <w:b/>
          <w:color w:val="000000"/>
          <w:kern w:val="0"/>
          <w:sz w:val="24"/>
        </w:rPr>
      </w:pPr>
      <w:r>
        <w:rPr>
          <w:rFonts w:hint="eastAsia" w:ascii="宋体" w:hAnsi="宋体" w:cs="宋体"/>
          <w:b/>
          <w:color w:val="000000"/>
          <w:kern w:val="0"/>
          <w:sz w:val="24"/>
        </w:rPr>
        <w:t>（一）履约时间和方式</w:t>
      </w:r>
    </w:p>
    <w:p>
      <w:pPr>
        <w:spacing w:line="360" w:lineRule="auto"/>
        <w:ind w:firstLine="490" w:firstLineChars="200"/>
        <w:rPr>
          <w:rFonts w:ascii="宋体" w:hAnsi="宋体" w:cs="宋体"/>
          <w:color w:val="000000"/>
          <w:kern w:val="0"/>
          <w:sz w:val="24"/>
        </w:rPr>
      </w:pPr>
      <w:r>
        <w:rPr>
          <w:rFonts w:ascii="宋体" w:hAnsi="宋体" w:cs="宋体"/>
          <w:color w:val="000000"/>
          <w:kern w:val="0"/>
          <w:sz w:val="24"/>
        </w:rPr>
        <w:t>1、服务期限</w:t>
      </w:r>
      <w:r>
        <w:rPr>
          <w:rFonts w:hint="eastAsia" w:ascii="宋体" w:hAnsi="宋体" w:cs="宋体"/>
          <w:color w:val="000000"/>
          <w:kern w:val="0"/>
          <w:sz w:val="24"/>
        </w:rPr>
        <w:t>：一采两</w:t>
      </w:r>
      <w:r>
        <w:rPr>
          <w:rFonts w:ascii="宋体" w:hAnsi="宋体" w:cs="宋体"/>
          <w:color w:val="000000"/>
          <w:kern w:val="0"/>
          <w:sz w:val="24"/>
        </w:rPr>
        <w:t>年，合同一年一签</w:t>
      </w:r>
      <w:r>
        <w:rPr>
          <w:rFonts w:hint="eastAsia" w:ascii="宋体" w:hAnsi="宋体" w:cs="宋体"/>
          <w:color w:val="000000"/>
          <w:kern w:val="0"/>
          <w:sz w:val="24"/>
        </w:rPr>
        <w:t>。</w:t>
      </w:r>
    </w:p>
    <w:p>
      <w:pPr>
        <w:spacing w:line="360" w:lineRule="auto"/>
        <w:ind w:firstLine="490" w:firstLineChars="200"/>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、服务地址：采购人指定地点。</w:t>
      </w:r>
    </w:p>
    <w:p>
      <w:pPr>
        <w:spacing w:line="360" w:lineRule="auto"/>
        <w:ind w:firstLine="490" w:firstLineChars="200"/>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、付款方式：</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1）成交价格即为合同价格，合同价格款按月支付，服务质量按月考核。考核采取日常考核和排名考核两类，综合评定服务质量，考核结果作为拨付信息采集和处理服务费的依据，次月15日前支付上月服务费用</w:t>
      </w:r>
      <w:r>
        <w:rPr>
          <w:rFonts w:hint="eastAsia" w:ascii="宋体" w:hAnsi="宋体" w:cs="宋体"/>
          <w:color w:val="000000"/>
          <w:kern w:val="0"/>
          <w:sz w:val="24"/>
        </w:rPr>
        <w:t>（成交价格分摊每月服务费）；</w:t>
      </w:r>
    </w:p>
    <w:p>
      <w:pPr>
        <w:spacing w:line="360" w:lineRule="auto"/>
        <w:ind w:firstLine="490" w:firstLineChars="200"/>
        <w:rPr>
          <w:rFonts w:ascii="宋体" w:hAnsi="宋体"/>
          <w:color w:val="000000"/>
          <w:sz w:val="32"/>
        </w:rPr>
      </w:pPr>
      <w:r>
        <w:rPr>
          <w:rFonts w:hint="eastAsia" w:ascii="宋体" w:hAnsi="宋体" w:cs="宋体"/>
          <w:color w:val="000000"/>
          <w:sz w:val="24"/>
        </w:rPr>
        <w:t>（</w:t>
      </w:r>
      <w:r>
        <w:rPr>
          <w:rFonts w:ascii="宋体" w:hAnsi="宋体" w:cs="宋体"/>
          <w:color w:val="000000"/>
          <w:sz w:val="24"/>
        </w:rPr>
        <w:t>2）对于满足合同约定的资金支付条件的，自收到发票后30日内将资金支付到采购合同约定账户。</w:t>
      </w:r>
    </w:p>
    <w:p>
      <w:pPr>
        <w:adjustRightInd w:val="0"/>
        <w:snapToGrid w:val="0"/>
        <w:spacing w:line="360" w:lineRule="auto"/>
        <w:ind w:firstLine="490" w:firstLineChars="200"/>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、履约保证金：成交金额的5%。</w:t>
      </w:r>
    </w:p>
    <w:p>
      <w:pPr>
        <w:adjustRightInd w:val="0"/>
        <w:snapToGrid w:val="0"/>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交款方式：支票、汇票、本票或者金融机构、担保机构出具的保函等非现金形式。</w:t>
      </w:r>
    </w:p>
    <w:p>
      <w:pPr>
        <w:adjustRightInd w:val="0"/>
        <w:snapToGrid w:val="0"/>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成交供应商应在成交通知书发出之日起5个工作日内向采购人交纳成交金额的5%，作为项目的履约保证金。履行合同约定完毕后,服务质量达到要求，无违约责任情况，成交供应商凭“验收合格证明”到采购人处办理，无息退还。</w:t>
      </w:r>
    </w:p>
    <w:p>
      <w:pPr>
        <w:adjustRightInd w:val="0"/>
        <w:snapToGrid w:val="0"/>
        <w:spacing w:line="360" w:lineRule="auto"/>
        <w:ind w:firstLine="490" w:firstLineChars="200"/>
        <w:rPr>
          <w:rFonts w:ascii="宋体" w:hAns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、履约验收方法及标准：本项目将严格按照政府采购相关法律法规以及《财政部关于进一步加强政府采购需求和履约验收管理的指导意见》（财库〔</w:t>
      </w:r>
      <w:r>
        <w:rPr>
          <w:rFonts w:ascii="宋体" w:hAnsi="宋体" w:cs="宋体"/>
          <w:color w:val="000000"/>
          <w:kern w:val="0"/>
          <w:sz w:val="24"/>
        </w:rPr>
        <w:t xml:space="preserve">2016〕205 </w:t>
      </w:r>
      <w:r>
        <w:rPr>
          <w:rFonts w:hint="eastAsia" w:ascii="宋体" w:hAnsi="宋体" w:cs="宋体"/>
          <w:color w:val="000000"/>
          <w:kern w:val="0"/>
          <w:sz w:val="24"/>
        </w:rPr>
        <w:t>号）的要求、采购文件的服务要求、成交供应商的磋商响应文件及合同约定标准进行验收。</w:t>
      </w:r>
    </w:p>
    <w:p>
      <w:pPr>
        <w:spacing w:line="360" w:lineRule="auto"/>
        <w:ind w:firstLine="570" w:firstLineChars="200"/>
        <w:rPr>
          <w:rFonts w:ascii="宋体" w:hAnsi="宋体" w:cs="宋体"/>
          <w:b/>
          <w:color w:val="000000"/>
          <w:kern w:val="0"/>
          <w:sz w:val="24"/>
        </w:rPr>
      </w:pPr>
      <w:r>
        <w:rPr>
          <w:rFonts w:hint="eastAsia" w:ascii="宋体" w:hAnsi="宋体" w:cs="宋体"/>
          <w:b/>
          <w:color w:val="000000"/>
          <w:kern w:val="0"/>
          <w:sz w:val="28"/>
          <w:szCs w:val="32"/>
        </w:rPr>
        <w:t>★</w:t>
      </w:r>
      <w:r>
        <w:rPr>
          <w:rFonts w:hint="eastAsia" w:ascii="宋体" w:hAnsi="宋体" w:cs="宋体"/>
          <w:b/>
          <w:bCs/>
          <w:color w:val="000000"/>
          <w:kern w:val="0"/>
          <w:sz w:val="24"/>
        </w:rPr>
        <w:t>四、</w:t>
      </w:r>
      <w:r>
        <w:rPr>
          <w:rFonts w:hint="eastAsia" w:ascii="宋体" w:hAnsi="宋体" w:cs="宋体"/>
          <w:b/>
          <w:color w:val="000000"/>
          <w:kern w:val="0"/>
          <w:sz w:val="24"/>
        </w:rPr>
        <w:t>其他要求（实质性要求）</w:t>
      </w:r>
    </w:p>
    <w:p>
      <w:pPr>
        <w:spacing w:line="360" w:lineRule="auto"/>
        <w:ind w:firstLine="490" w:firstLineChars="200"/>
        <w:rPr>
          <w:rFonts w:ascii="宋体" w:hAnsi="宋体" w:cs="仿宋"/>
          <w:snapToGrid w:val="0"/>
          <w:color w:val="000000"/>
          <w:kern w:val="0"/>
          <w:sz w:val="24"/>
          <w:szCs w:val="20"/>
        </w:rPr>
      </w:pPr>
      <w:r>
        <w:rPr>
          <w:rFonts w:ascii="宋体" w:hAnsi="宋体" w:cs="仿宋"/>
          <w:snapToGrid w:val="0"/>
          <w:color w:val="000000"/>
          <w:kern w:val="0"/>
          <w:sz w:val="24"/>
          <w:szCs w:val="20"/>
        </w:rPr>
        <w:t>1</w:t>
      </w:r>
      <w:r>
        <w:rPr>
          <w:rFonts w:hint="eastAsia" w:ascii="宋体" w:hAnsi="宋体" w:cs="仿宋"/>
          <w:snapToGrid w:val="0"/>
          <w:color w:val="000000"/>
          <w:kern w:val="0"/>
          <w:sz w:val="24"/>
          <w:szCs w:val="20"/>
        </w:rPr>
        <w:t>、根据“管干分离”的</w:t>
      </w:r>
      <w:r>
        <w:rPr>
          <w:rFonts w:hint="eastAsia" w:ascii="宋体" w:hAnsi="宋体" w:cs="宋体"/>
          <w:bCs/>
          <w:color w:val="000000"/>
          <w:kern w:val="0"/>
          <w:sz w:val="24"/>
        </w:rPr>
        <w:t>原则</w:t>
      </w:r>
      <w:r>
        <w:rPr>
          <w:rFonts w:hint="eastAsia" w:ascii="宋体" w:hAnsi="宋体" w:cs="仿宋"/>
          <w:bCs/>
          <w:snapToGrid w:val="0"/>
          <w:color w:val="000000"/>
          <w:kern w:val="0"/>
          <w:sz w:val="24"/>
          <w:szCs w:val="20"/>
        </w:rPr>
        <w:t>，</w:t>
      </w:r>
      <w:r>
        <w:rPr>
          <w:rFonts w:hint="eastAsia" w:ascii="宋体" w:hAnsi="宋体" w:cs="仿宋"/>
          <w:snapToGrid w:val="0"/>
          <w:color w:val="000000"/>
          <w:kern w:val="0"/>
          <w:sz w:val="24"/>
          <w:szCs w:val="20"/>
        </w:rPr>
        <w:t>凡在邛崃市范围内从事与国家标准《数字化城市管理信息系统第</w:t>
      </w:r>
      <w:r>
        <w:rPr>
          <w:rFonts w:ascii="宋体" w:hAnsi="宋体" w:cs="仿宋"/>
          <w:snapToGrid w:val="0"/>
          <w:color w:val="000000"/>
          <w:kern w:val="0"/>
          <w:sz w:val="24"/>
          <w:szCs w:val="20"/>
        </w:rPr>
        <w:t>2</w:t>
      </w:r>
      <w:r>
        <w:rPr>
          <w:rFonts w:hint="eastAsia" w:ascii="宋体" w:hAnsi="宋体" w:cs="仿宋"/>
          <w:snapToGrid w:val="0"/>
          <w:color w:val="000000"/>
          <w:kern w:val="0"/>
          <w:sz w:val="24"/>
          <w:szCs w:val="20"/>
        </w:rPr>
        <w:t>部分：管理部件和事件》（</w:t>
      </w:r>
      <w:r>
        <w:rPr>
          <w:rFonts w:ascii="宋体" w:hAnsi="宋体" w:cs="仿宋"/>
          <w:snapToGrid w:val="0"/>
          <w:color w:val="000000"/>
          <w:kern w:val="0"/>
          <w:sz w:val="24"/>
          <w:szCs w:val="20"/>
        </w:rPr>
        <w:t>GB/T 30428.2-2013</w:t>
      </w:r>
      <w:r>
        <w:rPr>
          <w:rFonts w:hint="eastAsia" w:ascii="宋体" w:hAnsi="宋体" w:cs="仿宋"/>
          <w:snapToGrid w:val="0"/>
          <w:color w:val="000000"/>
          <w:kern w:val="0"/>
          <w:sz w:val="24"/>
          <w:szCs w:val="20"/>
        </w:rPr>
        <w:t>）中所列部件和事件相关的管理、维护、养护、作业的单位或企业不具备投标资格。</w:t>
      </w:r>
    </w:p>
    <w:p>
      <w:pPr>
        <w:spacing w:line="360" w:lineRule="auto"/>
        <w:ind w:firstLine="490" w:firstLineChars="200"/>
        <w:rPr>
          <w:rFonts w:ascii="宋体" w:hAnsi="宋体"/>
          <w:color w:val="000000"/>
          <w:kern w:val="0"/>
          <w:sz w:val="24"/>
          <w:szCs w:val="20"/>
        </w:rPr>
      </w:pPr>
      <w:r>
        <w:rPr>
          <w:rFonts w:ascii="宋体" w:hAnsi="宋体" w:cs="仿宋"/>
          <w:snapToGrid w:val="0"/>
          <w:color w:val="000000"/>
          <w:kern w:val="0"/>
          <w:sz w:val="24"/>
          <w:szCs w:val="20"/>
        </w:rPr>
        <w:t>2</w:t>
      </w:r>
      <w:r>
        <w:rPr>
          <w:rFonts w:hint="eastAsia" w:ascii="宋体" w:hAnsi="宋体" w:cs="仿宋"/>
          <w:snapToGrid w:val="0"/>
          <w:color w:val="000000"/>
          <w:kern w:val="0"/>
          <w:sz w:val="24"/>
          <w:szCs w:val="20"/>
        </w:rPr>
        <w:t>、根据“监管分离”的原则，凡在邛崃市范围内从事文明指数测评、数字化城市管理监督考评工作的，不具备参加本项目投标资格。</w:t>
      </w:r>
    </w:p>
    <w:p>
      <w:pPr>
        <w:autoSpaceDE w:val="0"/>
        <w:autoSpaceDN w:val="0"/>
        <w:adjustRightInd w:val="0"/>
        <w:spacing w:line="360" w:lineRule="auto"/>
        <w:ind w:firstLine="430" w:firstLineChars="200"/>
        <w:rPr>
          <w:rFonts w:ascii="仿宋_GB2312" w:hAnsi="Calibri" w:eastAsia="仿宋_GB2312" w:cs="宋体"/>
          <w:b/>
          <w:color w:val="000000"/>
          <w:szCs w:val="21"/>
        </w:rPr>
      </w:pPr>
      <w:r>
        <w:rPr>
          <w:rFonts w:ascii="仿宋_GB2312" w:hAnsi="Calibri" w:eastAsia="仿宋_GB2312" w:cs="宋体"/>
          <w:b/>
          <w:color w:val="000000"/>
          <w:szCs w:val="21"/>
        </w:rPr>
        <w:t xml:space="preserve"> </w:t>
      </w:r>
    </w:p>
    <w:p>
      <w:pPr>
        <w:autoSpaceDE w:val="0"/>
        <w:autoSpaceDN w:val="0"/>
        <w:adjustRightInd w:val="0"/>
        <w:spacing w:line="360" w:lineRule="auto"/>
        <w:ind w:firstLine="430" w:firstLineChars="200"/>
        <w:rPr>
          <w:rFonts w:ascii="宋体" w:hAnsi="宋体" w:cs="仿宋_GB2312"/>
          <w:b/>
          <w:bCs/>
          <w:color w:val="000000"/>
          <w:szCs w:val="21"/>
        </w:rPr>
      </w:pPr>
      <w:r>
        <w:rPr>
          <w:rFonts w:hint="eastAsia" w:ascii="宋体" w:hAnsi="宋体" w:cs="仿宋_GB2312"/>
          <w:b/>
          <w:bCs/>
          <w:color w:val="000000"/>
          <w:szCs w:val="21"/>
        </w:rPr>
        <w:t>注：</w:t>
      </w:r>
    </w:p>
    <w:p>
      <w:pPr>
        <w:autoSpaceDE w:val="0"/>
        <w:autoSpaceDN w:val="0"/>
        <w:adjustRightInd w:val="0"/>
        <w:spacing w:line="360" w:lineRule="auto"/>
        <w:ind w:firstLine="430" w:firstLineChars="200"/>
        <w:rPr>
          <w:rFonts w:ascii="仿宋_GB2312" w:hAnsi="Calibri" w:eastAsia="仿宋_GB2312" w:cs="宋体"/>
          <w:b/>
          <w:bCs/>
          <w:color w:val="000000"/>
          <w:szCs w:val="21"/>
        </w:rPr>
      </w:pPr>
      <w:r>
        <w:rPr>
          <w:rFonts w:ascii="宋体" w:hAnsi="宋体" w:cs="宋体"/>
          <w:b/>
          <w:bCs/>
          <w:color w:val="000000"/>
          <w:szCs w:val="21"/>
        </w:rPr>
        <w:t>1、本章标注“</w:t>
      </w:r>
      <w:r>
        <w:rPr>
          <w:rFonts w:hint="eastAsia" w:ascii="宋体" w:hAnsi="宋体" w:cs="宋体"/>
          <w:b/>
          <w:bCs/>
          <w:color w:val="000000"/>
          <w:szCs w:val="21"/>
        </w:rPr>
        <w:t>★”号的条款为本次磋商采购项目的实质性要求，供应商在磋商结束后应全部满足。在磋商过程中，磋商小组可以根据磋商文件和磋商情况实质性变动磋商文件的技术、服务要求以及合同草案条款，但不得变动磋商文件中的其他内容。实质性变动的内容，须经采购人代表书面确认。</w:t>
      </w:r>
    </w:p>
    <w:p>
      <w:pPr>
        <w:autoSpaceDE w:val="0"/>
        <w:autoSpaceDN w:val="0"/>
        <w:adjustRightInd w:val="0"/>
        <w:spacing w:line="360" w:lineRule="auto"/>
        <w:ind w:firstLine="430" w:firstLineChars="200"/>
        <w:rPr>
          <w:rFonts w:ascii="仿宋_GB2312" w:hAnsi="Calibri" w:eastAsia="仿宋_GB2312" w:cs="宋体"/>
          <w:b/>
          <w:bCs/>
          <w:color w:val="000000"/>
          <w:szCs w:val="21"/>
        </w:rPr>
      </w:pPr>
      <w:r>
        <w:rPr>
          <w:rFonts w:ascii="宋体" w:hAnsi="宋体" w:cs="宋体"/>
          <w:b/>
          <w:bCs/>
          <w:color w:val="000000"/>
          <w:szCs w:val="21"/>
        </w:rPr>
        <w:t>2、本章所述事项最终以本项目磋商文件及合同约定为准。</w:t>
      </w:r>
    </w:p>
    <w:p>
      <w:pPr>
        <w:rPr>
          <w:rFonts w:ascii="宋体" w:hAnsi="宋体" w:cs="宋体"/>
          <w:b/>
          <w:bCs/>
          <w:color w:val="000000"/>
          <w:szCs w:val="21"/>
        </w:rPr>
      </w:pPr>
      <w:r>
        <w:rPr>
          <w:rFonts w:ascii="宋体" w:hAnsi="宋体" w:cs="宋体"/>
          <w:b/>
          <w:bCs/>
          <w:color w:val="000000"/>
          <w:szCs w:val="21"/>
        </w:rPr>
        <w:br w:type="page"/>
      </w:r>
    </w:p>
    <w:p>
      <w:pPr>
        <w:keepNext/>
        <w:keepLines/>
        <w:spacing w:line="360" w:lineRule="auto"/>
        <w:ind w:firstLine="570" w:firstLineChars="200"/>
        <w:outlineLvl w:val="1"/>
        <w:rPr>
          <w:rFonts w:ascii="宋体" w:hAnsi="宋体" w:cs="宋体"/>
          <w:b/>
          <w:color w:val="000000"/>
          <w:kern w:val="0"/>
          <w:sz w:val="28"/>
          <w:szCs w:val="32"/>
        </w:rPr>
      </w:pPr>
      <w:r>
        <w:rPr>
          <w:rFonts w:hint="eastAsia" w:ascii="宋体" w:hAnsi="宋体" w:cs="宋体"/>
          <w:b/>
          <w:color w:val="000000"/>
          <w:kern w:val="0"/>
          <w:sz w:val="28"/>
          <w:szCs w:val="32"/>
        </w:rPr>
        <w:t>附表1</w:t>
      </w:r>
    </w:p>
    <w:tbl>
      <w:tblPr>
        <w:tblStyle w:val="25"/>
        <w:tblW w:w="9299" w:type="dxa"/>
        <w:jc w:val="center"/>
        <w:tblLayout w:type="fixed"/>
        <w:tblCellMar>
          <w:top w:w="0" w:type="dxa"/>
          <w:left w:w="108" w:type="dxa"/>
          <w:bottom w:w="0" w:type="dxa"/>
          <w:right w:w="108" w:type="dxa"/>
        </w:tblCellMar>
      </w:tblPr>
      <w:tblGrid>
        <w:gridCol w:w="1408"/>
        <w:gridCol w:w="683"/>
        <w:gridCol w:w="828"/>
        <w:gridCol w:w="2819"/>
        <w:gridCol w:w="2482"/>
        <w:gridCol w:w="1079"/>
      </w:tblGrid>
      <w:tr>
        <w:tblPrEx>
          <w:tblCellMar>
            <w:top w:w="0" w:type="dxa"/>
            <w:left w:w="108" w:type="dxa"/>
            <w:bottom w:w="0" w:type="dxa"/>
            <w:right w:w="108" w:type="dxa"/>
          </w:tblCellMar>
        </w:tblPrEx>
        <w:trPr>
          <w:trHeight w:val="720" w:hRule="atLeast"/>
          <w:jc w:val="center"/>
        </w:trPr>
        <w:tc>
          <w:tcPr>
            <w:tcW w:w="9299"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60" w:lineRule="exact"/>
              <w:ind w:firstLine="490" w:firstLineChars="200"/>
              <w:jc w:val="center"/>
              <w:textAlignment w:val="center"/>
              <w:rPr>
                <w:rFonts w:ascii="宋体" w:hAnsi="宋体" w:cs="宋体"/>
                <w:color w:val="000000"/>
                <w:kern w:val="0"/>
                <w:szCs w:val="21"/>
              </w:rPr>
            </w:pPr>
            <w:r>
              <w:rPr>
                <w:rFonts w:hint="eastAsia" w:ascii="宋体" w:hAnsi="宋体" w:cs="宋体"/>
                <w:b/>
                <w:bCs/>
                <w:color w:val="000000"/>
                <w:kern w:val="0"/>
                <w:sz w:val="24"/>
                <w:lang w:bidi="ar"/>
              </w:rPr>
              <w:t>邛崃市数字化城市管理信息采集和处理业务综合考核表</w:t>
            </w:r>
          </w:p>
        </w:tc>
      </w:tr>
      <w:tr>
        <w:tblPrEx>
          <w:tblCellMar>
            <w:top w:w="0" w:type="dxa"/>
            <w:left w:w="108" w:type="dxa"/>
            <w:bottom w:w="0" w:type="dxa"/>
            <w:right w:w="108" w:type="dxa"/>
          </w:tblCellMar>
        </w:tblPrEx>
        <w:trPr>
          <w:trHeight w:val="848" w:hRule="atLeast"/>
          <w:jc w:val="center"/>
        </w:trPr>
        <w:tc>
          <w:tcPr>
            <w:tcW w:w="140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lang w:bidi="ar"/>
              </w:rPr>
              <w:t>指标大类</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（100分）</w:t>
            </w:r>
          </w:p>
        </w:tc>
        <w:tc>
          <w:tcPr>
            <w:tcW w:w="68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lang w:bidi="ar"/>
              </w:rPr>
              <w:t>序号</w:t>
            </w:r>
          </w:p>
        </w:tc>
        <w:tc>
          <w:tcPr>
            <w:tcW w:w="82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lang w:bidi="ar"/>
              </w:rPr>
              <w:t>指标小类</w:t>
            </w:r>
          </w:p>
        </w:tc>
        <w:tc>
          <w:tcPr>
            <w:tcW w:w="281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lang w:bidi="ar"/>
              </w:rPr>
              <w:t>评价内容</w:t>
            </w:r>
          </w:p>
        </w:tc>
        <w:tc>
          <w:tcPr>
            <w:tcW w:w="248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lang w:bidi="ar"/>
              </w:rPr>
              <w:t>计分标准</w:t>
            </w:r>
          </w:p>
        </w:tc>
        <w:tc>
          <w:tcPr>
            <w:tcW w:w="107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lang w:bidi="ar"/>
              </w:rPr>
              <w:t>扣分</w:t>
            </w:r>
          </w:p>
        </w:tc>
      </w:tr>
      <w:tr>
        <w:tblPrEx>
          <w:tblCellMar>
            <w:top w:w="0" w:type="dxa"/>
            <w:left w:w="108" w:type="dxa"/>
            <w:bottom w:w="0" w:type="dxa"/>
            <w:right w:w="108" w:type="dxa"/>
          </w:tblCellMar>
        </w:tblPrEx>
        <w:trPr>
          <w:trHeight w:val="960" w:hRule="atLeast"/>
          <w:jc w:val="center"/>
        </w:trPr>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结果指标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（60分）</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1</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检查漏报</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邛崃市数字化城管监督指挥中心再监督发现并经确认的漏报件</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部件每件扣1分，事件每件扣0.5分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66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媒体曝光、领导批示并经确认的漏报件</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每件扣5分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66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成都市数字监管中心再监督发现并经确认的漏报件</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部件每件扣2分，事件每件扣1分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76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上报基数完成率</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上报数是否达到合同规定的上报基数要求</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未达到合同规定基数的100%，每下降0.1%扣1分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124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视频案件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视频监控抓拍发现问题并录入系统</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比值大于或等于 200%的不扣分，以 200%为基准，每下降 0.1%扣1分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74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有效上报率</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案件上报有效情况</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有效上报率以100%为基数，每降低1%扣1分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102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应报尽报</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每名在岗监督员每2小时至少上报1件有效案件（按成都市最新要求执行）</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2小时内未上报的，每发现一次扣1分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102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6</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案件质量</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邛崃市数字化城管监督指挥中心发现并经确认的案件质量问题</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每件扣0.5分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66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成都市数字监管中心发现并经确认的案件质量问题</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每件扣1分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108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监督员上岗数</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监督员每日上岗数应等于监督员人数除以1.46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每少一人次扣1分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104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8</w:t>
            </w:r>
          </w:p>
        </w:tc>
        <w:tc>
          <w:tcPr>
            <w:tcW w:w="828" w:type="dxa"/>
            <w:tcBorders>
              <w:top w:val="nil"/>
              <w:left w:val="single" w:color="000000" w:sz="4" w:space="0"/>
              <w:bottom w:val="nil"/>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自行处置</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监督员每月的自行处置工作量，应大于或等于监督员每月自行处置问题量基数</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以100%为基准，每下降1%（含1%）扣1分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57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9</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专项普查</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错报和漏报</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专项普查错报、漏报按普查量每件扣1分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66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是否在规定时限内完成普查任务</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未在规定时限内完成专项普查任务，每次扣2分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100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普查数据质量</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普查数据错误造成重大影响，视情节轻重每次扣2-5分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72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10</w:t>
            </w:r>
          </w:p>
        </w:tc>
        <w:tc>
          <w:tcPr>
            <w:tcW w:w="828" w:type="dxa"/>
            <w:tcBorders>
              <w:top w:val="nil"/>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数据统计</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各材料是否按时上报，上报质量是否达标</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若未按时上报，上报质量不达标，每项扣0.5分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57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11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按时核实率</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信息核实时效情况</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按时核实率以100％基数，每降0.1％扣0.5分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57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按时核查率</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信息核查时效情况</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按时核查率以100％基数，每降0.1％扣0.5分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57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13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核查准确性</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信息核查质量</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核查质量未符合要求的，每件扣0.5分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855"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14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无线对讲系统</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成都市监管中心对无线对讲系统的值班、指令传达情况进行检查考评，呼点抽查</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一次未应答扣1分；指令传达不畅，每次扣1分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68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重要超时回复件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中心下达的重要核实、核查信息，未在规定时间内回复</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每件扣0.5分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210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数据统计要求</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根据监督员上报的数据，每周进行统计分析并向采购人报送工作情况（包括但不限于巡查上报情况、检查考评情况、数据收集情况，数据趋势分析以及存在的问题与建议等）</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未按时上报，上报质量不达标，每项扣2分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760" w:hRule="atLeast"/>
          <w:jc w:val="center"/>
        </w:trPr>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过程指标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（25分）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17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人员配置</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监督员年龄和学历结构是否符合合同要求</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符合率以70%为基数，每下降1%扣0.5 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54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18</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上岗要求</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持证上岗</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无证上岗，每人次扣1分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106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培训情况</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对开展业务培训和职业道德教育情况进行抽查，发现未落实的，每次扣1分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54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19</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现场管理控制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着装情况</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着装不规范，每人次扣0.5分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72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巡查区域覆盖情况</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抽查每发现一班次未达标，扣0.5分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74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巡查频率情况</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抽查每发现一人次未达标，扣0.5分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132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检查上岗情况</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抽查每发现一人次迟到、早退、脱岗等现象，扣0.5分；上岗人数比合同规定每少1人扣0.5分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52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网格轮换情况</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未落实的，每次扣2分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855"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制度建设</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建立健全监督考评质量管理目标、管理制度、工作程序、工作记录、人员管控和考核检查奖惩办法</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每缺1项，扣0.5分；1项未落实，扣1分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855" w:hRule="atLeast"/>
          <w:jc w:val="center"/>
        </w:trPr>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诚信指标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21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职业道德</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存在串通被监督对象，瞒报信息；“吃、拿、卡、要”，上报虚假信息</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每发现一起扣2-5分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57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22</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lang w:bidi="ar"/>
              </w:rPr>
              <w:t>社会评价</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受到邛崃市综合行政执法局分管领导负面评价或批评</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每次扣3分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57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受到邛崃市综合行政执法局主要领导负面评价或批评</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每次扣5分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57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受到邛崃市级分管领导负面评价或批评</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每次扣7分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57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受到邛崃市级主要领导负面评价或批评</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每次扣9分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57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受到成都市相关领导负面评价或批评</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每次扣12分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70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kern w:val="0"/>
                <w:szCs w:val="21"/>
              </w:rPr>
            </w:pP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受到邛崃市级及以上主流新闻媒体负面评价</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lang w:bidi="ar"/>
              </w:rPr>
              <w:t>每次扣5分</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ind w:firstLine="430" w:firstLineChars="200"/>
              <w:rPr>
                <w:rFonts w:ascii="宋体" w:hAnsi="宋体" w:cs="宋体"/>
                <w:color w:val="000000"/>
                <w:kern w:val="0"/>
                <w:szCs w:val="21"/>
              </w:rPr>
            </w:pPr>
          </w:p>
        </w:tc>
      </w:tr>
      <w:tr>
        <w:tblPrEx>
          <w:tblCellMar>
            <w:top w:w="0" w:type="dxa"/>
            <w:left w:w="108" w:type="dxa"/>
            <w:bottom w:w="0" w:type="dxa"/>
            <w:right w:w="108" w:type="dxa"/>
          </w:tblCellMar>
        </w:tblPrEx>
        <w:trPr>
          <w:trHeight w:val="440" w:hRule="atLeast"/>
          <w:jc w:val="center"/>
        </w:trPr>
        <w:tc>
          <w:tcPr>
            <w:tcW w:w="9299"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60" w:lineRule="exact"/>
              <w:ind w:firstLine="430" w:firstLineChars="200"/>
              <w:jc w:val="left"/>
              <w:textAlignment w:val="center"/>
              <w:rPr>
                <w:rFonts w:ascii="宋体" w:hAnsi="宋体" w:cs="宋体"/>
                <w:color w:val="000000"/>
                <w:kern w:val="0"/>
                <w:szCs w:val="21"/>
              </w:rPr>
            </w:pPr>
            <w:r>
              <w:rPr>
                <w:rFonts w:hint="eastAsia" w:ascii="宋体" w:hAnsi="宋体" w:cs="宋体"/>
                <w:color w:val="000000"/>
                <w:kern w:val="0"/>
                <w:szCs w:val="21"/>
                <w:lang w:bidi="ar"/>
              </w:rPr>
              <w:t>注：每月分值采取四舍五入方式取整数。</w:t>
            </w:r>
          </w:p>
        </w:tc>
      </w:tr>
    </w:tbl>
    <w:p>
      <w:pPr>
        <w:spacing w:line="460" w:lineRule="exact"/>
        <w:ind w:firstLine="490" w:firstLineChars="200"/>
        <w:rPr>
          <w:rFonts w:ascii="宋体" w:hAnsi="宋体"/>
          <w:color w:val="000000"/>
          <w:kern w:val="0"/>
          <w:sz w:val="24"/>
          <w:szCs w:val="20"/>
        </w:rPr>
      </w:pPr>
      <w:r>
        <w:rPr>
          <w:rFonts w:ascii="宋体" w:hAnsi="宋体"/>
          <w:color w:val="000000"/>
          <w:kern w:val="0"/>
          <w:sz w:val="24"/>
          <w:szCs w:val="20"/>
        </w:rPr>
        <w:br w:type="page"/>
      </w:r>
    </w:p>
    <w:p>
      <w:pPr>
        <w:keepNext/>
        <w:keepLines/>
        <w:spacing w:line="360" w:lineRule="auto"/>
        <w:ind w:firstLine="570" w:firstLineChars="200"/>
        <w:outlineLvl w:val="1"/>
        <w:rPr>
          <w:rFonts w:ascii="宋体" w:hAnsi="宋体" w:cs="宋体"/>
          <w:b/>
          <w:color w:val="000000"/>
          <w:kern w:val="0"/>
          <w:sz w:val="28"/>
          <w:szCs w:val="32"/>
        </w:rPr>
      </w:pPr>
      <w:r>
        <w:rPr>
          <w:rFonts w:hint="eastAsia" w:ascii="宋体" w:hAnsi="宋体" w:cs="宋体"/>
          <w:b/>
          <w:color w:val="000000"/>
          <w:kern w:val="0"/>
          <w:sz w:val="28"/>
          <w:szCs w:val="32"/>
        </w:rPr>
        <w:t>附表2</w:t>
      </w:r>
    </w:p>
    <w:tbl>
      <w:tblPr>
        <w:tblStyle w:val="25"/>
        <w:tblW w:w="9411"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1080"/>
        <w:gridCol w:w="1080"/>
        <w:gridCol w:w="3061"/>
        <w:gridCol w:w="2880"/>
        <w:gridCol w:w="131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jc w:val="center"/>
        </w:trPr>
        <w:tc>
          <w:tcPr>
            <w:tcW w:w="9411" w:type="dxa"/>
            <w:gridSpan w:val="5"/>
            <w:tcBorders>
              <w:bottom w:val="nil"/>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 w:val="28"/>
                <w:szCs w:val="28"/>
                <w:lang w:bidi="ar"/>
              </w:rPr>
              <w:t>邛崃市数字化城市管理信息采集和处理业务平台考核表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考核指标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评价内容</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计分标准</w:t>
            </w:r>
          </w:p>
        </w:tc>
        <w:tc>
          <w:tcPr>
            <w:tcW w:w="1305"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扣分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jc w:val="center"/>
        </w:trPr>
        <w:tc>
          <w:tcPr>
            <w:tcW w:w="1080"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业务工作考核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按时预立案</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每超时一件扣2分</w:t>
            </w:r>
          </w:p>
        </w:tc>
        <w:tc>
          <w:tcPr>
            <w:tcW w:w="0" w:type="auto"/>
            <w:tcBorders>
              <w:top w:val="single" w:color="000000" w:sz="4" w:space="0"/>
              <w:left w:val="single" w:color="000000" w:sz="4" w:space="0"/>
              <w:bottom w:val="single" w:color="000000" w:sz="4" w:space="0"/>
            </w:tcBorders>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按时派遣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每超时一件扣2分</w:t>
            </w:r>
          </w:p>
        </w:tc>
        <w:tc>
          <w:tcPr>
            <w:tcW w:w="0" w:type="auto"/>
            <w:tcBorders>
              <w:top w:val="single" w:color="000000" w:sz="4" w:space="0"/>
              <w:left w:val="single" w:color="000000" w:sz="4" w:space="0"/>
              <w:bottom w:val="single" w:color="000000" w:sz="4" w:space="0"/>
            </w:tcBorders>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00" w:hRule="atLeast"/>
          <w:jc w:val="center"/>
        </w:trPr>
        <w:tc>
          <w:tcPr>
            <w:tcW w:w="10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按时核查</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每超时一件扣2分</w:t>
            </w:r>
          </w:p>
        </w:tc>
        <w:tc>
          <w:tcPr>
            <w:tcW w:w="0" w:type="auto"/>
            <w:tcBorders>
              <w:top w:val="single" w:color="000000" w:sz="4" w:space="0"/>
              <w:left w:val="single" w:color="000000" w:sz="4" w:space="0"/>
              <w:bottom w:val="single" w:color="000000" w:sz="4" w:space="0"/>
            </w:tcBorders>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按时结案</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每超时一件扣2分</w:t>
            </w:r>
          </w:p>
        </w:tc>
        <w:tc>
          <w:tcPr>
            <w:tcW w:w="0" w:type="auto"/>
            <w:tcBorders>
              <w:top w:val="single" w:color="000000" w:sz="4" w:space="0"/>
              <w:left w:val="single" w:color="000000" w:sz="4" w:space="0"/>
              <w:bottom w:val="single" w:color="000000" w:sz="4" w:space="0"/>
            </w:tcBorders>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按时督查</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每超时一件扣2分</w:t>
            </w:r>
          </w:p>
        </w:tc>
        <w:tc>
          <w:tcPr>
            <w:tcW w:w="0" w:type="auto"/>
            <w:tcBorders>
              <w:top w:val="single" w:color="000000" w:sz="4" w:space="0"/>
              <w:left w:val="single" w:color="000000" w:sz="4" w:space="0"/>
              <w:bottom w:val="single" w:color="000000" w:sz="4" w:space="0"/>
            </w:tcBorders>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保证案件派遣的准确性</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错派一件扣2分</w:t>
            </w:r>
          </w:p>
        </w:tc>
        <w:tc>
          <w:tcPr>
            <w:tcW w:w="0" w:type="auto"/>
            <w:tcBorders>
              <w:top w:val="single" w:color="000000" w:sz="4" w:space="0"/>
              <w:left w:val="single" w:color="000000" w:sz="4" w:space="0"/>
              <w:bottom w:val="single" w:color="000000" w:sz="4" w:space="0"/>
            </w:tcBorders>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20" w:hRule="atLeast"/>
          <w:jc w:val="center"/>
        </w:trPr>
        <w:tc>
          <w:tcPr>
            <w:tcW w:w="10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准时打卡上下班，严格按相关考勤制度执行</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迟到、早退每人每次扣2分（特殊原因请假人员除外）</w:t>
            </w:r>
          </w:p>
        </w:tc>
        <w:tc>
          <w:tcPr>
            <w:tcW w:w="0" w:type="auto"/>
            <w:tcBorders>
              <w:top w:val="single" w:color="000000" w:sz="4" w:space="0"/>
              <w:left w:val="single" w:color="000000" w:sz="4" w:space="0"/>
              <w:bottom w:val="single" w:color="000000" w:sz="4" w:space="0"/>
            </w:tcBorders>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00" w:hRule="atLeast"/>
          <w:jc w:val="center"/>
        </w:trPr>
        <w:tc>
          <w:tcPr>
            <w:tcW w:w="10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每日按要求着工作装，仪容仪表整洁，不允许披头散发，必须将长发扎成马尾或挽成发簪</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不按要求的每人每次扣2分</w:t>
            </w:r>
          </w:p>
        </w:tc>
        <w:tc>
          <w:tcPr>
            <w:tcW w:w="0" w:type="auto"/>
            <w:tcBorders>
              <w:top w:val="single" w:color="000000" w:sz="4" w:space="0"/>
              <w:left w:val="single" w:color="000000" w:sz="4" w:space="0"/>
              <w:bottom w:val="single" w:color="000000" w:sz="4" w:space="0"/>
            </w:tcBorders>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20" w:hRule="atLeast"/>
          <w:jc w:val="center"/>
        </w:trPr>
        <w:tc>
          <w:tcPr>
            <w:tcW w:w="10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个人工作平台保持整洁、有序，严禁摆放与工作无关的物品，每天安排一人打扫卫生</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验收不合格每次扣2分</w:t>
            </w:r>
          </w:p>
        </w:tc>
        <w:tc>
          <w:tcPr>
            <w:tcW w:w="0" w:type="auto"/>
            <w:tcBorders>
              <w:top w:val="single" w:color="000000" w:sz="4" w:space="0"/>
              <w:left w:val="single" w:color="000000" w:sz="4" w:space="0"/>
              <w:bottom w:val="single" w:color="000000" w:sz="4" w:space="0"/>
            </w:tcBorders>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0" w:hRule="atLeast"/>
          <w:jc w:val="center"/>
        </w:trPr>
        <w:tc>
          <w:tcPr>
            <w:tcW w:w="10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上班时间不允许叫外卖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发现在上班时间内叫外卖，每人每次扣2分</w:t>
            </w:r>
          </w:p>
        </w:tc>
        <w:tc>
          <w:tcPr>
            <w:tcW w:w="0" w:type="auto"/>
            <w:tcBorders>
              <w:top w:val="single" w:color="000000" w:sz="4" w:space="0"/>
              <w:left w:val="single" w:color="000000" w:sz="4" w:space="0"/>
              <w:bottom w:val="single" w:color="000000" w:sz="4" w:space="0"/>
            </w:tcBorders>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80" w:hRule="atLeast"/>
          <w:jc w:val="center"/>
        </w:trPr>
        <w:tc>
          <w:tcPr>
            <w:tcW w:w="10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严禁在平台办公区域吃饭</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每人每次扣2分</w:t>
            </w:r>
          </w:p>
        </w:tc>
        <w:tc>
          <w:tcPr>
            <w:tcW w:w="0" w:type="auto"/>
            <w:tcBorders>
              <w:top w:val="single" w:color="000000" w:sz="4" w:space="0"/>
              <w:left w:val="single" w:color="000000" w:sz="4" w:space="0"/>
              <w:bottom w:val="single" w:color="000000" w:sz="4" w:space="0"/>
            </w:tcBorders>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0" w:hRule="atLeast"/>
          <w:jc w:val="center"/>
        </w:trPr>
        <w:tc>
          <w:tcPr>
            <w:tcW w:w="10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按成都市及邛崃市指挥中心要求进行呼点，负责全天呼点</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漏点一次扣5分</w:t>
            </w:r>
          </w:p>
        </w:tc>
        <w:tc>
          <w:tcPr>
            <w:tcW w:w="0" w:type="auto"/>
            <w:tcBorders>
              <w:top w:val="single" w:color="000000" w:sz="4" w:space="0"/>
              <w:left w:val="single" w:color="000000" w:sz="4" w:space="0"/>
              <w:bottom w:val="single" w:color="000000" w:sz="4" w:space="0"/>
            </w:tcBorders>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40" w:hRule="atLeast"/>
          <w:jc w:val="center"/>
        </w:trPr>
        <w:tc>
          <w:tcPr>
            <w:tcW w:w="10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上班时间不准浏览与工作无关的网页</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发现一次扣2分</w:t>
            </w:r>
          </w:p>
        </w:tc>
        <w:tc>
          <w:tcPr>
            <w:tcW w:w="0" w:type="auto"/>
            <w:tcBorders>
              <w:top w:val="single" w:color="000000" w:sz="4" w:space="0"/>
              <w:left w:val="single" w:color="000000" w:sz="4" w:space="0"/>
              <w:bottom w:val="single" w:color="000000" w:sz="4" w:space="0"/>
            </w:tcBorders>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0" w:hRule="atLeast"/>
          <w:jc w:val="center"/>
        </w:trPr>
        <w:tc>
          <w:tcPr>
            <w:tcW w:w="1080"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岗位纪律考核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严禁使用烤火炉、暖风机等电器</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发现一次扣5分</w:t>
            </w:r>
          </w:p>
        </w:tc>
        <w:tc>
          <w:tcPr>
            <w:tcW w:w="0" w:type="auto"/>
            <w:tcBorders>
              <w:top w:val="single" w:color="000000" w:sz="4" w:space="0"/>
              <w:left w:val="single" w:color="000000" w:sz="4" w:space="0"/>
              <w:bottom w:val="single" w:color="000000" w:sz="4" w:space="0"/>
            </w:tcBorders>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严禁当日下班后未关闭电脑</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发现一次扣5分</w:t>
            </w:r>
          </w:p>
        </w:tc>
        <w:tc>
          <w:tcPr>
            <w:tcW w:w="0" w:type="auto"/>
            <w:tcBorders>
              <w:top w:val="single" w:color="000000" w:sz="4" w:space="0"/>
              <w:left w:val="single" w:color="000000" w:sz="4" w:space="0"/>
              <w:bottom w:val="single" w:color="000000" w:sz="4" w:space="0"/>
            </w:tcBorders>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0" w:hRule="atLeast"/>
          <w:jc w:val="center"/>
        </w:trPr>
        <w:tc>
          <w:tcPr>
            <w:tcW w:w="108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因违反相关管理制度、法律法规发生安全事故</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发现一次扣10分</w:t>
            </w:r>
          </w:p>
        </w:tc>
        <w:tc>
          <w:tcPr>
            <w:tcW w:w="0" w:type="auto"/>
            <w:tcBorders>
              <w:top w:val="single" w:color="000000" w:sz="4" w:space="0"/>
              <w:left w:val="single" w:color="000000" w:sz="4" w:space="0"/>
              <w:bottom w:val="single" w:color="000000" w:sz="4" w:space="0"/>
            </w:tcBorders>
            <w:shd w:val="clear" w:color="auto" w:fill="auto"/>
            <w:noWrap/>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1260" w:hRule="atLeast"/>
          <w:jc w:val="center"/>
        </w:trPr>
        <w:tc>
          <w:tcPr>
            <w:tcW w:w="1080" w:type="dxa"/>
            <w:vMerge w:val="continue"/>
            <w:tcBorders>
              <w:top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08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3061"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未遵守各项管理制度中的工作守则、标准及其他规定，且不服从邛崃市综合行政执法局的工作安排</w:t>
            </w:r>
          </w:p>
        </w:tc>
        <w:tc>
          <w:tcPr>
            <w:tcW w:w="2880"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未按要求，每发现一次扣10分</w:t>
            </w:r>
          </w:p>
        </w:tc>
        <w:tc>
          <w:tcPr>
            <w:tcW w:w="0" w:type="auto"/>
            <w:tcBorders>
              <w:top w:val="single" w:color="000000" w:sz="4" w:space="0"/>
              <w:left w:val="single" w:color="000000" w:sz="4" w:space="0"/>
            </w:tcBorders>
            <w:shd w:val="clear" w:color="auto" w:fill="auto"/>
            <w:noWrap/>
            <w:vAlign w:val="center"/>
          </w:tcPr>
          <w:p>
            <w:pPr>
              <w:rPr>
                <w:rFonts w:ascii="宋体" w:hAnsi="宋体" w:cs="宋体"/>
                <w:color w:val="000000"/>
                <w:szCs w:val="21"/>
              </w:rPr>
            </w:pPr>
          </w:p>
        </w:tc>
      </w:tr>
    </w:tbl>
    <w:p>
      <w:pPr>
        <w:autoSpaceDE w:val="0"/>
        <w:autoSpaceDN w:val="0"/>
        <w:adjustRightInd w:val="0"/>
        <w:spacing w:line="360" w:lineRule="auto"/>
        <w:ind w:firstLine="430" w:firstLineChars="200"/>
        <w:rPr>
          <w:rFonts w:ascii="宋体" w:hAnsi="宋体" w:cs="宋体"/>
          <w:b/>
          <w:bCs/>
          <w:color w:val="000000"/>
          <w:szCs w:val="21"/>
        </w:rPr>
      </w:pPr>
    </w:p>
    <w:p>
      <w:pPr>
        <w:pStyle w:val="3"/>
        <w:keepNext w:val="0"/>
        <w:keepLines w:val="0"/>
        <w:spacing w:before="0" w:after="0" w:line="240" w:lineRule="auto"/>
        <w:jc w:val="center"/>
        <w:rPr>
          <w:rFonts w:ascii="宋体" w:hAnsi="宋体" w:cs="宋体"/>
          <w:color w:val="000000" w:themeColor="text1"/>
          <w:sz w:val="36"/>
          <w:szCs w:val="36"/>
          <w14:textFill>
            <w14:solidFill>
              <w14:schemeClr w14:val="tx1"/>
            </w14:solidFill>
          </w14:textFill>
        </w:rPr>
      </w:pPr>
      <w:r>
        <w:rPr>
          <w:rFonts w:ascii="宋体" w:hAnsi="宋体" w:cs="宋体"/>
          <w:color w:val="000000" w:themeColor="text1"/>
          <w:sz w:val="24"/>
          <w14:textFill>
            <w14:solidFill>
              <w14:schemeClr w14:val="tx1"/>
            </w14:solidFill>
          </w14:textFill>
        </w:rPr>
        <w:br w:type="page"/>
      </w:r>
      <w:bookmarkStart w:id="81" w:name="_Toc47706403"/>
      <w:bookmarkStart w:id="82" w:name="_Toc47706312"/>
      <w:r>
        <w:rPr>
          <w:rFonts w:hint="eastAsia" w:ascii="宋体" w:hAnsi="宋体" w:cs="宋体"/>
          <w:color w:val="000000" w:themeColor="text1"/>
          <w:sz w:val="36"/>
          <w:szCs w:val="36"/>
          <w14:textFill>
            <w14:solidFill>
              <w14:schemeClr w14:val="tx1"/>
            </w14:solidFill>
          </w14:textFill>
        </w:rPr>
        <w:t>第六章  响应文件格式</w:t>
      </w:r>
      <w:bookmarkEnd w:id="81"/>
      <w:bookmarkEnd w:id="82"/>
    </w:p>
    <w:p>
      <w:pPr>
        <w:pStyle w:val="59"/>
        <w:spacing w:line="360" w:lineRule="auto"/>
        <w:ind w:firstLine="490"/>
        <w:rPr>
          <w:rFonts w:ascii="宋体" w:hAnsi="宋体"/>
          <w:color w:val="000000" w:themeColor="text1"/>
          <w14:textFill>
            <w14:solidFill>
              <w14:schemeClr w14:val="tx1"/>
            </w14:solidFill>
          </w14:textFill>
        </w:rPr>
      </w:pPr>
    </w:p>
    <w:p>
      <w:pPr>
        <w:pStyle w:val="59"/>
        <w:tabs>
          <w:tab w:val="left" w:pos="426"/>
        </w:tabs>
        <w:spacing w:line="360" w:lineRule="auto"/>
        <w:ind w:firstLine="49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59"/>
        <w:tabs>
          <w:tab w:val="left" w:pos="426"/>
        </w:tabs>
        <w:spacing w:line="360" w:lineRule="auto"/>
        <w:ind w:firstLine="49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二、本章所制响应文件格式有关表格中的备注栏，由供应商根据自身响应情况作解释性说明，不作为必填项。</w:t>
      </w:r>
    </w:p>
    <w:p>
      <w:pPr>
        <w:pStyle w:val="59"/>
        <w:tabs>
          <w:tab w:val="left" w:pos="426"/>
        </w:tabs>
        <w:spacing w:line="360" w:lineRule="auto"/>
        <w:ind w:firstLine="49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pStyle w:val="59"/>
        <w:tabs>
          <w:tab w:val="left" w:pos="426"/>
        </w:tabs>
        <w:spacing w:line="360" w:lineRule="auto"/>
        <w:ind w:firstLine="49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四、格式涉及“法定代表人”相关描述，供应商为法人单位时按照“法定代表人”进行描述，供应商为其他组织时可自行修改为“单位负责人”。</w:t>
      </w:r>
    </w:p>
    <w:p>
      <w:pPr>
        <w:jc w:val="left"/>
        <w:rPr>
          <w:rFonts w:ascii="宋体" w:hAnsi="宋体" w:cs="宋体"/>
          <w:b/>
          <w:color w:val="000000" w:themeColor="text1"/>
          <w:szCs w:val="21"/>
          <w14:textFill>
            <w14:solidFill>
              <w14:schemeClr w14:val="tx1"/>
            </w14:solidFill>
          </w14:textFill>
        </w:rPr>
      </w:pPr>
    </w:p>
    <w:p>
      <w:pPr>
        <w:jc w:val="left"/>
        <w:rPr>
          <w:rFonts w:ascii="宋体" w:hAnsi="宋体" w:cs="宋体"/>
          <w:b/>
          <w:color w:val="000000" w:themeColor="text1"/>
          <w:szCs w:val="21"/>
          <w14:textFill>
            <w14:solidFill>
              <w14:schemeClr w14:val="tx1"/>
            </w14:solidFill>
          </w14:textFill>
        </w:rPr>
      </w:pPr>
    </w:p>
    <w:p>
      <w:pPr>
        <w:jc w:val="left"/>
        <w:rPr>
          <w:rFonts w:ascii="宋体" w:hAnsi="宋体" w:cs="宋体"/>
          <w:b/>
          <w:color w:val="000000" w:themeColor="text1"/>
          <w:szCs w:val="21"/>
          <w14:textFill>
            <w14:solidFill>
              <w14:schemeClr w14:val="tx1"/>
            </w14:solidFill>
          </w14:textFill>
        </w:rPr>
      </w:pPr>
    </w:p>
    <w:p>
      <w:pPr>
        <w:jc w:val="left"/>
        <w:rPr>
          <w:rFonts w:ascii="宋体" w:hAnsi="宋体" w:cs="宋体"/>
          <w:b/>
          <w:color w:val="000000" w:themeColor="text1"/>
          <w:szCs w:val="21"/>
          <w14:textFill>
            <w14:solidFill>
              <w14:schemeClr w14:val="tx1"/>
            </w14:solidFill>
          </w14:textFill>
        </w:rPr>
      </w:pPr>
    </w:p>
    <w:p>
      <w:pPr>
        <w:jc w:val="left"/>
        <w:rPr>
          <w:rFonts w:ascii="宋体" w:hAnsi="宋体" w:cs="宋体"/>
          <w:b/>
          <w:color w:val="000000" w:themeColor="text1"/>
          <w:szCs w:val="21"/>
          <w14:textFill>
            <w14:solidFill>
              <w14:schemeClr w14:val="tx1"/>
            </w14:solidFill>
          </w14:textFill>
        </w:rPr>
      </w:pPr>
    </w:p>
    <w:p>
      <w:pPr>
        <w:jc w:val="left"/>
        <w:rPr>
          <w:rFonts w:ascii="宋体" w:hAnsi="宋体" w:cs="宋体"/>
          <w:b/>
          <w:color w:val="000000" w:themeColor="text1"/>
          <w:szCs w:val="21"/>
          <w14:textFill>
            <w14:solidFill>
              <w14:schemeClr w14:val="tx1"/>
            </w14:solidFill>
          </w14:textFill>
        </w:rPr>
      </w:pPr>
    </w:p>
    <w:p>
      <w:pPr>
        <w:jc w:val="left"/>
        <w:rPr>
          <w:rFonts w:ascii="宋体" w:hAnsi="宋体" w:cs="宋体"/>
          <w:b/>
          <w:color w:val="000000" w:themeColor="text1"/>
          <w:szCs w:val="21"/>
          <w14:textFill>
            <w14:solidFill>
              <w14:schemeClr w14:val="tx1"/>
            </w14:solidFill>
          </w14:textFill>
        </w:rPr>
      </w:pPr>
    </w:p>
    <w:p>
      <w:pPr>
        <w:jc w:val="left"/>
        <w:rPr>
          <w:rFonts w:ascii="宋体" w:hAnsi="宋体" w:cs="宋体"/>
          <w:b/>
          <w:color w:val="000000" w:themeColor="text1"/>
          <w:szCs w:val="21"/>
          <w14:textFill>
            <w14:solidFill>
              <w14:schemeClr w14:val="tx1"/>
            </w14:solidFill>
          </w14:textFill>
        </w:rPr>
      </w:pPr>
    </w:p>
    <w:p>
      <w:pPr>
        <w:jc w:val="left"/>
        <w:rPr>
          <w:rFonts w:ascii="宋体" w:hAnsi="宋体" w:cs="宋体"/>
          <w:b/>
          <w:color w:val="000000" w:themeColor="text1"/>
          <w:szCs w:val="21"/>
          <w14:textFill>
            <w14:solidFill>
              <w14:schemeClr w14:val="tx1"/>
            </w14:solidFill>
          </w14:textFill>
        </w:rPr>
      </w:pPr>
    </w:p>
    <w:p>
      <w:pPr>
        <w:jc w:val="left"/>
        <w:rPr>
          <w:rFonts w:ascii="宋体" w:hAnsi="宋体" w:cs="宋体"/>
          <w:b/>
          <w:color w:val="000000" w:themeColor="text1"/>
          <w:szCs w:val="21"/>
          <w14:textFill>
            <w14:solidFill>
              <w14:schemeClr w14:val="tx1"/>
            </w14:solidFill>
          </w14:textFill>
        </w:rPr>
      </w:pPr>
    </w:p>
    <w:p>
      <w:pPr>
        <w:jc w:val="left"/>
        <w:rPr>
          <w:rFonts w:ascii="宋体" w:hAnsi="宋体" w:cs="宋体"/>
          <w:b/>
          <w:color w:val="000000" w:themeColor="text1"/>
          <w:szCs w:val="21"/>
          <w14:textFill>
            <w14:solidFill>
              <w14:schemeClr w14:val="tx1"/>
            </w14:solidFill>
          </w14:textFill>
        </w:rPr>
      </w:pPr>
    </w:p>
    <w:p>
      <w:pPr>
        <w:jc w:val="left"/>
        <w:rPr>
          <w:rFonts w:ascii="宋体" w:hAnsi="宋体" w:cs="宋体"/>
          <w:b/>
          <w:color w:val="000000" w:themeColor="text1"/>
          <w:szCs w:val="21"/>
          <w14:textFill>
            <w14:solidFill>
              <w14:schemeClr w14:val="tx1"/>
            </w14:solidFill>
          </w14:textFill>
        </w:rPr>
      </w:pPr>
    </w:p>
    <w:p>
      <w:pPr>
        <w:spacing w:line="360" w:lineRule="auto"/>
        <w:jc w:val="center"/>
        <w:outlineLvl w:val="1"/>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14:textFill>
            <w14:solidFill>
              <w14:schemeClr w14:val="tx1"/>
            </w14:solidFill>
          </w14:textFill>
        </w:rPr>
        <w:br w:type="page"/>
      </w:r>
      <w:bookmarkStart w:id="83" w:name="_Toc448558695"/>
      <w:bookmarkStart w:id="84" w:name="_Toc21620"/>
      <w:r>
        <w:rPr>
          <w:rFonts w:hint="eastAsia" w:ascii="宋体" w:hAnsi="宋体" w:cs="宋体"/>
          <w:b/>
          <w:color w:val="000000" w:themeColor="text1"/>
          <w:sz w:val="32"/>
          <w14:textFill>
            <w14:solidFill>
              <w14:schemeClr w14:val="tx1"/>
            </w14:solidFill>
          </w14:textFill>
        </w:rPr>
        <w:t>一、资格性响应文件格式</w:t>
      </w:r>
      <w:bookmarkEnd w:id="83"/>
      <w:bookmarkEnd w:id="84"/>
    </w:p>
    <w:p>
      <w:pPr>
        <w:jc w:val="center"/>
        <w:rPr>
          <w:rFonts w:ascii="宋体" w:hAnsi="宋体" w:cs="宋体"/>
          <w:b/>
          <w:color w:val="000000" w:themeColor="text1"/>
          <w:sz w:val="32"/>
          <w:szCs w:val="32"/>
          <w14:textFill>
            <w14:solidFill>
              <w14:schemeClr w14:val="tx1"/>
            </w14:solidFill>
          </w14:textFill>
        </w:rPr>
      </w:pPr>
    </w:p>
    <w:p>
      <w:pPr>
        <w:pStyle w:val="2"/>
        <w:spacing w:line="240" w:lineRule="auto"/>
        <w:rPr>
          <w:rFonts w:ascii="宋体" w:hAnsi="宋体" w:cs="宋体"/>
          <w:color w:val="000000" w:themeColor="text1"/>
          <w:sz w:val="28"/>
          <w:lang w:val="zh-CN"/>
          <w14:textFill>
            <w14:solidFill>
              <w14:schemeClr w14:val="tx1"/>
            </w14:solidFill>
          </w14:textFill>
        </w:rPr>
      </w:pPr>
      <w:r>
        <w:rPr>
          <w:rFonts w:hint="eastAsia" w:ascii="宋体" w:hAnsi="宋体" w:cs="宋体"/>
          <w:color w:val="000000" w:themeColor="text1"/>
          <w:sz w:val="28"/>
          <w:lang w:val="zh-CN"/>
          <w14:textFill>
            <w14:solidFill>
              <w14:schemeClr w14:val="tx1"/>
            </w14:solidFill>
          </w14:textFill>
        </w:rPr>
        <w:t>1、资格性响应文件密封包装最外层格式</w:t>
      </w:r>
    </w:p>
    <w:tbl>
      <w:tblPr>
        <w:tblStyle w:val="25"/>
        <w:tblW w:w="0" w:type="auto"/>
        <w:tblInd w:w="0" w:type="dxa"/>
        <w:tblLayout w:type="fixed"/>
        <w:tblCellMar>
          <w:top w:w="0" w:type="dxa"/>
          <w:left w:w="108" w:type="dxa"/>
          <w:bottom w:w="0" w:type="dxa"/>
          <w:right w:w="108" w:type="dxa"/>
        </w:tblCellMar>
      </w:tblPr>
      <w:tblGrid>
        <w:gridCol w:w="9747"/>
      </w:tblGrid>
      <w:tr>
        <w:tblPrEx>
          <w:tblCellMar>
            <w:top w:w="0" w:type="dxa"/>
            <w:left w:w="108" w:type="dxa"/>
            <w:bottom w:w="0" w:type="dxa"/>
            <w:right w:w="108" w:type="dxa"/>
          </w:tblCellMar>
        </w:tblPrEx>
        <w:trPr>
          <w:trHeight w:val="3474" w:hRule="atLeast"/>
        </w:trPr>
        <w:tc>
          <w:tcPr>
            <w:tcW w:w="9747" w:type="dxa"/>
            <w:tcBorders>
              <w:top w:val="double" w:color="auto" w:sz="4" w:space="0"/>
              <w:left w:val="double" w:color="auto" w:sz="4" w:space="0"/>
              <w:bottom w:val="double" w:color="auto" w:sz="4" w:space="0"/>
              <w:right w:val="double" w:color="auto" w:sz="4" w:space="0"/>
            </w:tcBorders>
          </w:tcPr>
          <w:p>
            <w:pPr>
              <w:spacing w:line="360" w:lineRule="auto"/>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项目名称：</w:t>
            </w:r>
            <w:r>
              <w:rPr>
                <w:rFonts w:hint="eastAsia" w:ascii="宋体" w:hAnsi="宋体" w:cs="宋体"/>
                <w:color w:val="000000" w:themeColor="text1"/>
                <w:sz w:val="24"/>
                <w:szCs w:val="32"/>
                <w14:textFill>
                  <w14:solidFill>
                    <w14:schemeClr w14:val="tx1"/>
                  </w14:solidFill>
                </w14:textFill>
              </w:rPr>
              <w:t>邛崃市综合行政执法局数字化城市管理信息采集和处理业务市场化服务项目</w:t>
            </w:r>
          </w:p>
          <w:p>
            <w:pPr>
              <w:spacing w:line="360" w:lineRule="auto"/>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项目编号：</w:t>
            </w:r>
          </w:p>
          <w:p>
            <w:pPr>
              <w:spacing w:line="360" w:lineRule="auto"/>
              <w:rPr>
                <w:rFonts w:ascii="宋体" w:hAnsi="宋体" w:cs="宋体"/>
                <w:color w:val="000000" w:themeColor="text1"/>
                <w:sz w:val="24"/>
                <w:szCs w:val="32"/>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资格性响应文件</w:t>
            </w:r>
          </w:p>
          <w:p>
            <w:pPr>
              <w:autoSpaceDE w:val="0"/>
              <w:autoSpaceDN w:val="0"/>
              <w:adjustRightInd w:val="0"/>
              <w:spacing w:line="360" w:lineRule="auto"/>
              <w:jc w:val="center"/>
              <w:rPr>
                <w:rFonts w:ascii="宋体" w:hAnsi="宋体" w:cs="宋体"/>
                <w:color w:val="000000" w:themeColor="text1"/>
                <w:sz w:val="24"/>
                <w:szCs w:val="32"/>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themeColor="text1"/>
                <w:sz w:val="24"/>
                <w:szCs w:val="32"/>
                <w:lang w:val="zh-CN"/>
                <w14:textFill>
                  <w14:solidFill>
                    <w14:schemeClr w14:val="tx1"/>
                  </w14:solidFill>
                </w14:textFill>
              </w:rPr>
              <w:t>供应商名称：（加盖公章）</w:t>
            </w:r>
          </w:p>
          <w:p>
            <w:pPr>
              <w:autoSpaceDE w:val="0"/>
              <w:autoSpaceDN w:val="0"/>
              <w:adjustRightInd w:val="0"/>
              <w:ind w:firstLine="480"/>
              <w:jc w:val="center"/>
              <w:rPr>
                <w:rFonts w:ascii="宋体" w:hAnsi="宋体" w:cs="宋体"/>
                <w:color w:val="000000" w:themeColor="text1"/>
                <w:lang w:val="zh-CN"/>
                <w14:textFill>
                  <w14:solidFill>
                    <w14:schemeClr w14:val="tx1"/>
                  </w14:solidFill>
                </w14:textFill>
              </w:rPr>
            </w:pPr>
          </w:p>
        </w:tc>
      </w:tr>
    </w:tbl>
    <w:p>
      <w:pPr>
        <w:pStyle w:val="2"/>
        <w:spacing w:line="240" w:lineRule="auto"/>
        <w:rPr>
          <w:rFonts w:ascii="宋体" w:hAnsi="宋体" w:cs="宋体"/>
          <w:color w:val="000000" w:themeColor="text1"/>
          <w:sz w:val="28"/>
          <w:lang w:val="zh-CN"/>
          <w14:textFill>
            <w14:solidFill>
              <w14:schemeClr w14:val="tx1"/>
            </w14:solidFill>
          </w14:textFill>
        </w:rPr>
      </w:pPr>
      <w:r>
        <w:rPr>
          <w:rFonts w:hint="eastAsia" w:ascii="宋体" w:hAnsi="宋体" w:cs="宋体"/>
          <w:color w:val="000000" w:themeColor="text1"/>
          <w:sz w:val="28"/>
          <w:lang w:val="zh-CN"/>
          <w14:textFill>
            <w14:solidFill>
              <w14:schemeClr w14:val="tx1"/>
            </w14:solidFill>
          </w14:textFill>
        </w:rPr>
        <w:t>2、资格性响应文件封面格式</w:t>
      </w:r>
    </w:p>
    <w:tbl>
      <w:tblPr>
        <w:tblStyle w:val="25"/>
        <w:tblW w:w="0" w:type="auto"/>
        <w:tblInd w:w="-72" w:type="dxa"/>
        <w:tblLayout w:type="fixed"/>
        <w:tblCellMar>
          <w:top w:w="0" w:type="dxa"/>
          <w:left w:w="108" w:type="dxa"/>
          <w:bottom w:w="0" w:type="dxa"/>
          <w:right w:w="108" w:type="dxa"/>
        </w:tblCellMar>
      </w:tblPr>
      <w:tblGrid>
        <w:gridCol w:w="9819"/>
      </w:tblGrid>
      <w:tr>
        <w:tblPrEx>
          <w:tblCellMar>
            <w:top w:w="0" w:type="dxa"/>
            <w:left w:w="108" w:type="dxa"/>
            <w:bottom w:w="0" w:type="dxa"/>
            <w:right w:w="108" w:type="dxa"/>
          </w:tblCellMar>
        </w:tblPrEx>
        <w:trPr>
          <w:trHeight w:val="4203" w:hRule="atLeast"/>
        </w:trPr>
        <w:tc>
          <w:tcPr>
            <w:tcW w:w="9819" w:type="dxa"/>
            <w:tcBorders>
              <w:top w:val="double" w:color="auto" w:sz="4" w:space="0"/>
              <w:left w:val="double" w:color="auto" w:sz="4" w:space="0"/>
              <w:bottom w:val="double" w:color="auto" w:sz="4" w:space="0"/>
              <w:right w:val="double" w:color="auto" w:sz="4" w:space="0"/>
            </w:tcBorders>
          </w:tcPr>
          <w:p>
            <w:pPr>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邛崃市综合行政执法局数字化城市管理信息采集和处理业务市场化服务项目</w:t>
            </w:r>
          </w:p>
          <w:p>
            <w:pPr>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项目编号：</w:t>
            </w:r>
          </w:p>
          <w:p>
            <w:pPr>
              <w:spacing w:line="360" w:lineRule="auto"/>
              <w:rPr>
                <w:rFonts w:ascii="宋体" w:hAnsi="宋体" w:cs="宋体"/>
                <w:color w:val="000000" w:themeColor="text1"/>
                <w:sz w:val="24"/>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资格性响应文件（正本或副本）</w:t>
            </w:r>
          </w:p>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供应商名称：（加盖公章）</w:t>
            </w:r>
          </w:p>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日期：年月日</w:t>
            </w:r>
          </w:p>
          <w:p>
            <w:pPr>
              <w:autoSpaceDE w:val="0"/>
              <w:autoSpaceDN w:val="0"/>
              <w:adjustRightInd w:val="0"/>
              <w:ind w:firstLine="480"/>
              <w:jc w:val="center"/>
              <w:rPr>
                <w:rFonts w:ascii="宋体" w:hAnsi="宋体" w:cs="宋体"/>
                <w:color w:val="000000" w:themeColor="text1"/>
                <w:lang w:val="zh-CN"/>
                <w14:textFill>
                  <w14:solidFill>
                    <w14:schemeClr w14:val="tx1"/>
                  </w14:solidFill>
                </w14:textFill>
              </w:rPr>
            </w:pPr>
          </w:p>
        </w:tc>
      </w:tr>
    </w:tbl>
    <w:p>
      <w:pPr>
        <w:spacing w:line="360" w:lineRule="exact"/>
        <w:ind w:left="-141" w:leftChars="-66"/>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温馨提示：1）资格性响应文件正本一份、副本二份；2）资格性响应文件应单独密封包装，并于截止时间前送指定地点；3）供应商提供的资格证明材料为复印件的均须加盖供应商公章；4）供应商提供的资格证明材料如发证机关有年检要求的则应通过年检且年检章要清楚，如有有效期的则应提供在有效期内的证明材料。</w:t>
      </w:r>
    </w:p>
    <w:p>
      <w:pPr>
        <w:rPr>
          <w:rFonts w:ascii="宋体" w:hAnsi="宋体" w:cs="宋体"/>
          <w:b/>
          <w:color w:val="000000" w:themeColor="text1"/>
          <w:sz w:val="32"/>
          <w:szCs w:val="32"/>
          <w14:textFill>
            <w14:solidFill>
              <w14:schemeClr w14:val="tx1"/>
            </w14:solidFill>
          </w14:textFill>
        </w:rPr>
      </w:pPr>
    </w:p>
    <w:p>
      <w:pPr>
        <w:pStyle w:val="2"/>
        <w:spacing w:line="240" w:lineRule="auto"/>
        <w:jc w:val="center"/>
        <w:rPr>
          <w:rFonts w:ascii="宋体" w:hAnsi="宋体" w:cs="宋体"/>
          <w:color w:val="000000" w:themeColor="text1"/>
          <w:sz w:val="28"/>
          <w:szCs w:val="32"/>
          <w:lang w:val="zh-CN"/>
          <w14:textFill>
            <w14:solidFill>
              <w14:schemeClr w14:val="tx1"/>
            </w14:solidFill>
          </w14:textFill>
        </w:rPr>
      </w:pPr>
      <w:r>
        <w:rPr>
          <w:rFonts w:hint="eastAsia" w:ascii="宋体" w:hAnsi="宋体" w:cs="宋体"/>
          <w:color w:val="000000" w:themeColor="text1"/>
          <w:sz w:val="28"/>
          <w:szCs w:val="32"/>
          <w:lang w:val="zh-CN"/>
          <w14:textFill>
            <w14:solidFill>
              <w14:schemeClr w14:val="tx1"/>
            </w14:solidFill>
          </w14:textFill>
        </w:rPr>
        <w:t>（一）法定代表人身份证明书</w:t>
      </w:r>
    </w:p>
    <w:p>
      <w:pPr>
        <w:pStyle w:val="12"/>
        <w:ind w:firstLine="0"/>
        <w:rPr>
          <w:rFonts w:ascii="宋体" w:hAnsi="宋体" w:eastAsia="宋体" w:cs="宋体"/>
          <w:color w:val="000000" w:themeColor="text1"/>
          <w:lang w:val="zh-CN"/>
          <w14:textFill>
            <w14:solidFill>
              <w14:schemeClr w14:val="tx1"/>
            </w14:solidFill>
          </w14:textFill>
        </w:rPr>
      </w:pPr>
    </w:p>
    <w:p>
      <w:pPr>
        <w:tabs>
          <w:tab w:val="left" w:pos="6300"/>
        </w:tabs>
        <w:autoSpaceDE w:val="0"/>
        <w:autoSpaceDN w:val="0"/>
        <w:adjustRightInd w:val="0"/>
        <w:spacing w:line="48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u w:val="single"/>
          <w:lang w:val="zh-CN"/>
          <w14:textFill>
            <w14:solidFill>
              <w14:schemeClr w14:val="tx1"/>
            </w14:solidFill>
          </w14:textFill>
        </w:rPr>
        <w:t xml:space="preserve">   （法定代表人姓名）         </w:t>
      </w:r>
      <w:r>
        <w:rPr>
          <w:rFonts w:hint="eastAsia" w:ascii="宋体" w:hAnsi="宋体" w:cs="宋体"/>
          <w:color w:val="000000" w:themeColor="text1"/>
          <w:sz w:val="24"/>
          <w:lang w:val="zh-CN"/>
          <w14:textFill>
            <w14:solidFill>
              <w14:schemeClr w14:val="tx1"/>
            </w14:solidFill>
          </w14:textFill>
        </w:rPr>
        <w:t>在</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供应商</w:t>
      </w:r>
      <w:r>
        <w:rPr>
          <w:rFonts w:hint="eastAsia" w:ascii="宋体" w:hAnsi="宋体" w:cs="宋体"/>
          <w:color w:val="000000" w:themeColor="text1"/>
          <w:sz w:val="24"/>
          <w:u w:val="single"/>
          <w:lang w:val="zh-CN"/>
          <w14:textFill>
            <w14:solidFill>
              <w14:schemeClr w14:val="tx1"/>
            </w14:solidFill>
          </w14:textFill>
        </w:rPr>
        <w:t xml:space="preserve">名称）  </w:t>
      </w:r>
      <w:r>
        <w:rPr>
          <w:rFonts w:hint="eastAsia" w:ascii="宋体" w:hAnsi="宋体" w:cs="宋体"/>
          <w:color w:val="000000" w:themeColor="text1"/>
          <w:sz w:val="24"/>
          <w:lang w:val="zh-CN"/>
          <w14:textFill>
            <w14:solidFill>
              <w14:schemeClr w14:val="tx1"/>
            </w14:solidFill>
          </w14:textFill>
        </w:rPr>
        <w:t>处任</w:t>
      </w:r>
      <w:r>
        <w:rPr>
          <w:rFonts w:hint="eastAsia" w:ascii="宋体" w:hAnsi="宋体" w:cs="宋体"/>
          <w:color w:val="000000" w:themeColor="text1"/>
          <w:sz w:val="24"/>
          <w:u w:val="single"/>
          <w:lang w:val="zh-CN"/>
          <w14:textFill>
            <w14:solidFill>
              <w14:schemeClr w14:val="tx1"/>
            </w14:solidFill>
          </w14:textFill>
        </w:rPr>
        <w:t xml:space="preserve">         （职务名称）        </w:t>
      </w:r>
      <w:r>
        <w:rPr>
          <w:rFonts w:hint="eastAsia" w:ascii="宋体" w:hAnsi="宋体" w:cs="宋体"/>
          <w:color w:val="000000" w:themeColor="text1"/>
          <w:sz w:val="24"/>
          <w:lang w:val="zh-CN"/>
          <w14:textFill>
            <w14:solidFill>
              <w14:schemeClr w14:val="tx1"/>
            </w14:solidFill>
          </w14:textFill>
        </w:rPr>
        <w:t>职务，是</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供应商</w:t>
      </w:r>
      <w:r>
        <w:rPr>
          <w:rFonts w:hint="eastAsia" w:ascii="宋体" w:hAnsi="宋体" w:cs="宋体"/>
          <w:color w:val="000000" w:themeColor="text1"/>
          <w:sz w:val="24"/>
          <w:u w:val="single"/>
          <w:lang w:val="zh-CN"/>
          <w14:textFill>
            <w14:solidFill>
              <w14:schemeClr w14:val="tx1"/>
            </w14:solidFill>
          </w14:textFill>
        </w:rPr>
        <w:t xml:space="preserve">名称）    </w:t>
      </w:r>
      <w:r>
        <w:rPr>
          <w:rFonts w:hint="eastAsia" w:ascii="宋体" w:hAnsi="宋体" w:cs="宋体"/>
          <w:color w:val="000000" w:themeColor="text1"/>
          <w:sz w:val="24"/>
          <w:lang w:val="zh-CN"/>
          <w14:textFill>
            <w14:solidFill>
              <w14:schemeClr w14:val="tx1"/>
            </w14:solidFill>
          </w14:textFill>
        </w:rPr>
        <w:t>的法定代表人。</w:t>
      </w:r>
    </w:p>
    <w:p>
      <w:pPr>
        <w:tabs>
          <w:tab w:val="left" w:pos="6300"/>
        </w:tabs>
        <w:autoSpaceDE w:val="0"/>
        <w:autoSpaceDN w:val="0"/>
        <w:adjustRightInd w:val="0"/>
        <w:spacing w:line="48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特此证明。</w:t>
      </w:r>
    </w:p>
    <w:p>
      <w:pPr>
        <w:tabs>
          <w:tab w:val="left" w:pos="6300"/>
        </w:tabs>
        <w:autoSpaceDE w:val="0"/>
        <w:autoSpaceDN w:val="0"/>
        <w:adjustRightInd w:val="0"/>
        <w:spacing w:line="480" w:lineRule="auto"/>
        <w:ind w:firstLine="480"/>
        <w:jc w:val="left"/>
        <w:rPr>
          <w:rFonts w:ascii="宋体" w:hAnsi="宋体" w:cs="宋体"/>
          <w:color w:val="000000" w:themeColor="text1"/>
          <w:sz w:val="24"/>
          <w:lang w:val="zh-CN"/>
          <w14:textFill>
            <w14:solidFill>
              <w14:schemeClr w14:val="tx1"/>
            </w14:solidFill>
          </w14:textFill>
        </w:rPr>
      </w:pPr>
    </w:p>
    <w:p>
      <w:pPr>
        <w:tabs>
          <w:tab w:val="left" w:pos="6300"/>
        </w:tabs>
        <w:autoSpaceDE w:val="0"/>
        <w:autoSpaceDN w:val="0"/>
        <w:adjustRightInd w:val="0"/>
        <w:spacing w:line="480" w:lineRule="auto"/>
        <w:ind w:firstLine="480"/>
        <w:jc w:val="left"/>
        <w:rPr>
          <w:rFonts w:ascii="宋体" w:hAnsi="宋体" w:cs="宋体"/>
          <w:color w:val="000000" w:themeColor="text1"/>
          <w:sz w:val="24"/>
          <w:lang w:val="zh-CN"/>
          <w14:textFill>
            <w14:solidFill>
              <w14:schemeClr w14:val="tx1"/>
            </w14:solidFill>
          </w14:textFill>
        </w:rPr>
      </w:pPr>
    </w:p>
    <w:p>
      <w:pPr>
        <w:pStyle w:val="37"/>
        <w:spacing w:line="480" w:lineRule="auto"/>
        <w:rPr>
          <w:rFonts w:ascii="宋体" w:hAnsi="宋体" w:eastAsia="宋体" w:cs="宋体"/>
          <w:color w:val="000000" w:themeColor="text1"/>
          <w:lang w:val="zh-CN"/>
          <w14:textFill>
            <w14:solidFill>
              <w14:schemeClr w14:val="tx1"/>
            </w14:solidFill>
          </w14:textFill>
        </w:rPr>
      </w:pPr>
    </w:p>
    <w:p>
      <w:pPr>
        <w:tabs>
          <w:tab w:val="left" w:pos="6300"/>
        </w:tabs>
        <w:autoSpaceDE w:val="0"/>
        <w:autoSpaceDN w:val="0"/>
        <w:adjustRightInd w:val="0"/>
        <w:spacing w:line="480" w:lineRule="auto"/>
        <w:ind w:firstLine="480"/>
        <w:jc w:val="left"/>
        <w:rPr>
          <w:rFonts w:ascii="宋体" w:hAnsi="宋体" w:cs="宋体"/>
          <w:color w:val="000000" w:themeColor="text1"/>
          <w:sz w:val="24"/>
          <w:lang w:val="zh-CN"/>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供应商名称：（盖单位公章）</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日期：年月日</w:t>
      </w:r>
    </w:p>
    <w:p>
      <w:pPr>
        <w:autoSpaceDE w:val="0"/>
        <w:autoSpaceDN w:val="0"/>
        <w:adjustRightInd w:val="0"/>
        <w:spacing w:line="480" w:lineRule="auto"/>
        <w:ind w:firstLine="480"/>
        <w:jc w:val="left"/>
        <w:rPr>
          <w:rFonts w:ascii="宋体" w:hAnsi="宋体" w:cs="宋体"/>
          <w:color w:val="000000" w:themeColor="text1"/>
          <w:sz w:val="24"/>
          <w:lang w:val="zh-CN"/>
          <w14:textFill>
            <w14:solidFill>
              <w14:schemeClr w14:val="tx1"/>
            </w14:solidFill>
          </w14:textFill>
        </w:rPr>
      </w:pPr>
    </w:p>
    <w:p>
      <w:pPr>
        <w:pStyle w:val="37"/>
        <w:spacing w:line="480" w:lineRule="auto"/>
        <w:rPr>
          <w:rFonts w:ascii="宋体" w:hAnsi="宋体" w:eastAsia="宋体" w:cs="宋体"/>
          <w:color w:val="000000" w:themeColor="text1"/>
          <w:lang w:val="zh-CN"/>
          <w14:textFill>
            <w14:solidFill>
              <w14:schemeClr w14:val="tx1"/>
            </w14:solidFill>
          </w14:textFill>
        </w:rPr>
      </w:pPr>
    </w:p>
    <w:p>
      <w:pPr>
        <w:autoSpaceDE w:val="0"/>
        <w:autoSpaceDN w:val="0"/>
        <w:adjustRightInd w:val="0"/>
        <w:spacing w:line="480" w:lineRule="auto"/>
        <w:ind w:firstLine="480"/>
        <w:jc w:val="left"/>
        <w:rPr>
          <w:rFonts w:ascii="宋体" w:hAnsi="宋体" w:cs="宋体"/>
          <w:color w:val="000000" w:themeColor="text1"/>
          <w:sz w:val="24"/>
          <w:lang w:val="zh-CN"/>
          <w14:textFill>
            <w14:solidFill>
              <w14:schemeClr w14:val="tx1"/>
            </w14:solidFill>
          </w14:textFill>
        </w:rPr>
      </w:pPr>
    </w:p>
    <w:p>
      <w:pPr>
        <w:autoSpaceDE w:val="0"/>
        <w:autoSpaceDN w:val="0"/>
        <w:adjustRightInd w:val="0"/>
        <w:spacing w:line="48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说明：上述证明文件在资格性</w:t>
      </w:r>
      <w:r>
        <w:rPr>
          <w:rFonts w:hint="eastAsia" w:ascii="宋体" w:hAnsi="宋体" w:cs="宋体"/>
          <w:color w:val="000000" w:themeColor="text1"/>
          <w:sz w:val="24"/>
          <w14:textFill>
            <w14:solidFill>
              <w14:schemeClr w14:val="tx1"/>
            </w14:solidFill>
          </w14:textFill>
        </w:rPr>
        <w:t>响应</w:t>
      </w:r>
      <w:r>
        <w:rPr>
          <w:rFonts w:hint="eastAsia" w:ascii="宋体" w:hAnsi="宋体" w:cs="宋体"/>
          <w:color w:val="000000" w:themeColor="text1"/>
          <w:sz w:val="24"/>
          <w:lang w:val="zh-CN"/>
          <w14:textFill>
            <w14:solidFill>
              <w14:schemeClr w14:val="tx1"/>
            </w14:solidFill>
          </w14:textFill>
        </w:rPr>
        <w:t>文件中附有法定代表人身份证复印件（须加盖公章）时才能生效。</w:t>
      </w:r>
    </w:p>
    <w:p>
      <w:pPr>
        <w:pStyle w:val="2"/>
        <w:spacing w:line="240" w:lineRule="auto"/>
        <w:jc w:val="center"/>
        <w:rPr>
          <w:rFonts w:ascii="宋体" w:hAnsi="宋体" w:cs="宋体"/>
          <w:color w:val="000000" w:themeColor="text1"/>
          <w:sz w:val="28"/>
          <w:szCs w:val="32"/>
          <w:lang w:val="zh-CN"/>
          <w14:textFill>
            <w14:solidFill>
              <w14:schemeClr w14:val="tx1"/>
            </w14:solidFill>
          </w14:textFill>
        </w:rPr>
      </w:pPr>
      <w:r>
        <w:rPr>
          <w:rFonts w:hint="eastAsia" w:ascii="宋体" w:hAnsi="宋体" w:cs="宋体"/>
          <w:color w:val="000000" w:themeColor="text1"/>
          <w:sz w:val="22"/>
          <w:szCs w:val="18"/>
          <w:lang w:val="zh-CN"/>
          <w14:textFill>
            <w14:solidFill>
              <w14:schemeClr w14:val="tx1"/>
            </w14:solidFill>
          </w14:textFill>
        </w:rPr>
        <w:br w:type="page"/>
      </w:r>
      <w:r>
        <w:rPr>
          <w:rFonts w:hint="eastAsia" w:ascii="宋体" w:hAnsi="宋体" w:cs="宋体"/>
          <w:color w:val="000000" w:themeColor="text1"/>
          <w:sz w:val="28"/>
          <w:szCs w:val="32"/>
          <w:lang w:val="zh-CN"/>
          <w14:textFill>
            <w14:solidFill>
              <w14:schemeClr w14:val="tx1"/>
            </w14:solidFill>
          </w14:textFill>
        </w:rPr>
        <w:t>（二）法定代表人授权书</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四川同方建设咨询有限公司：</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本授权声明：（单位名称）, （法定代表人姓名、职务）授权（被授权人姓名、职务）为我方参加项目（项目编号：）磋商采购活动的合法代表，以我方名义全权处理该项目有关磋商、报价、签订合同以及执行合同等一切事宜。</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w:t>
      </w: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供应商名称：（盖单位公章）</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法定代表人（签字或盖章）：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职    务：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被授权人签字：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职    务：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日期：年月日</w:t>
      </w:r>
    </w:p>
    <w:p>
      <w:pPr>
        <w:pStyle w:val="12"/>
        <w:ind w:firstLine="480"/>
        <w:rPr>
          <w:rFonts w:ascii="宋体" w:hAnsi="宋体" w:eastAsia="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lang w:val="zh-CN"/>
          <w14:textFill>
            <w14:solidFill>
              <w14:schemeClr w14:val="tx1"/>
            </w14:solidFill>
          </w14:textFill>
        </w:rPr>
      </w:pPr>
    </w:p>
    <w:p>
      <w:pPr>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说明：1、附法定代表人及授权代表身份证复印件（正反两面均须复印，且复印件加盖公章）时才能生效；</w:t>
      </w:r>
    </w:p>
    <w:p>
      <w:pPr>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2、提供的证件材料必须在有效期内。</w:t>
      </w:r>
    </w:p>
    <w:p>
      <w:pPr>
        <w:spacing w:line="360" w:lineRule="auto"/>
        <w:ind w:firstLine="480"/>
        <w:rPr>
          <w:rFonts w:ascii="宋体" w:hAnsi="宋体" w:cs="宋体"/>
          <w:color w:val="000000" w:themeColor="text1"/>
          <w:sz w:val="24"/>
          <w:lang w:val="zh-CN"/>
          <w14:textFill>
            <w14:solidFill>
              <w14:schemeClr w14:val="tx1"/>
            </w14:solidFill>
          </w14:textFill>
        </w:rPr>
      </w:pPr>
    </w:p>
    <w:p>
      <w:pPr>
        <w:spacing w:line="400" w:lineRule="exact"/>
        <w:rPr>
          <w:rFonts w:ascii="宋体" w:hAnsi="宋体" w:cs="宋体"/>
          <w:color w:val="000000" w:themeColor="text1"/>
          <w:sz w:val="32"/>
          <w14:textFill>
            <w14:solidFill>
              <w14:schemeClr w14:val="tx1"/>
            </w14:solidFill>
          </w14:textFill>
        </w:rPr>
      </w:pPr>
    </w:p>
    <w:p>
      <w:pPr>
        <w:spacing w:line="400" w:lineRule="exact"/>
        <w:rPr>
          <w:rFonts w:ascii="宋体" w:hAnsi="宋体" w:cs="宋体"/>
          <w:color w:val="000000" w:themeColor="text1"/>
          <w:sz w:val="32"/>
          <w14:textFill>
            <w14:solidFill>
              <w14:schemeClr w14:val="tx1"/>
            </w14:solidFill>
          </w14:textFill>
        </w:rPr>
      </w:pPr>
    </w:p>
    <w:p>
      <w:pPr>
        <w:spacing w:line="400" w:lineRule="exact"/>
        <w:rPr>
          <w:rFonts w:ascii="宋体" w:hAnsi="宋体" w:cs="宋体"/>
          <w:color w:val="000000" w:themeColor="text1"/>
          <w:sz w:val="32"/>
          <w14:textFill>
            <w14:solidFill>
              <w14:schemeClr w14:val="tx1"/>
            </w14:solidFill>
          </w14:textFill>
        </w:rPr>
      </w:pPr>
    </w:p>
    <w:p>
      <w:pPr>
        <w:jc w:val="center"/>
        <w:rPr>
          <w:rFonts w:ascii="宋体" w:hAnsi="宋体" w:cs="宋体"/>
          <w:b/>
          <w:color w:val="000000" w:themeColor="text1"/>
          <w:sz w:val="32"/>
          <w:szCs w:val="32"/>
          <w14:textFill>
            <w14:solidFill>
              <w14:schemeClr w14:val="tx1"/>
            </w14:solidFill>
          </w14:textFill>
        </w:rPr>
      </w:pPr>
    </w:p>
    <w:p>
      <w:pPr>
        <w:pStyle w:val="12"/>
        <w:ind w:firstLine="0"/>
        <w:rPr>
          <w:rFonts w:ascii="宋体" w:hAnsi="宋体" w:eastAsia="宋体" w:cs="宋体"/>
          <w:b/>
          <w:color w:val="000000" w:themeColor="text1"/>
          <w:szCs w:val="32"/>
          <w14:textFill>
            <w14:solidFill>
              <w14:schemeClr w14:val="tx1"/>
            </w14:solidFill>
          </w14:textFill>
        </w:rPr>
      </w:pPr>
    </w:p>
    <w:p>
      <w:pPr>
        <w:pStyle w:val="2"/>
        <w:spacing w:line="240" w:lineRule="auto"/>
        <w:jc w:val="center"/>
        <w:rPr>
          <w:rFonts w:ascii="宋体" w:hAnsi="宋体" w:cs="宋体"/>
          <w:color w:val="000000" w:themeColor="text1"/>
          <w:sz w:val="28"/>
          <w:szCs w:val="32"/>
          <w:lang w:val="zh-CN"/>
          <w14:textFill>
            <w14:solidFill>
              <w14:schemeClr w14:val="tx1"/>
            </w14:solidFill>
          </w14:textFill>
        </w:rPr>
      </w:pPr>
      <w:r>
        <w:rPr>
          <w:rFonts w:hint="eastAsia" w:ascii="宋体" w:hAnsi="宋体" w:cs="宋体"/>
          <w:b w:val="0"/>
          <w:color w:val="000000" w:themeColor="text1"/>
          <w:sz w:val="30"/>
          <w:szCs w:val="30"/>
          <w14:textFill>
            <w14:solidFill>
              <w14:schemeClr w14:val="tx1"/>
            </w14:solidFill>
          </w14:textFill>
        </w:rPr>
        <w:br w:type="page"/>
      </w:r>
      <w:r>
        <w:rPr>
          <w:rFonts w:hint="eastAsia" w:ascii="宋体" w:hAnsi="宋体" w:cs="宋体"/>
          <w:color w:val="000000" w:themeColor="text1"/>
          <w:sz w:val="28"/>
          <w:szCs w:val="32"/>
          <w:lang w:val="zh-CN"/>
          <w14:textFill>
            <w14:solidFill>
              <w14:schemeClr w14:val="tx1"/>
            </w14:solidFill>
          </w14:textFill>
        </w:rPr>
        <w:t>（三）承诺函</w:t>
      </w:r>
    </w:p>
    <w:p>
      <w:pPr>
        <w:spacing w:line="440" w:lineRule="exact"/>
        <w:rPr>
          <w:rFonts w:ascii="宋体" w:hAnsi="宋体" w:cs="宋体"/>
          <w:sz w:val="24"/>
        </w:rPr>
      </w:pPr>
      <w:r>
        <w:rPr>
          <w:rFonts w:hint="eastAsia" w:ascii="宋体" w:hAnsi="宋体" w:cs="宋体"/>
          <w:color w:val="000000" w:themeColor="text1"/>
          <w:sz w:val="24"/>
          <w14:textFill>
            <w14:solidFill>
              <w14:schemeClr w14:val="tx1"/>
            </w14:solidFill>
          </w14:textFill>
        </w:rPr>
        <w:t>四川同方建设咨询有限公司</w:t>
      </w:r>
      <w:r>
        <w:rPr>
          <w:rFonts w:hint="eastAsia" w:ascii="宋体" w:hAnsi="宋体" w:cs="宋体"/>
          <w:sz w:val="24"/>
        </w:rPr>
        <w:t>：</w:t>
      </w:r>
    </w:p>
    <w:p>
      <w:pPr>
        <w:spacing w:line="360" w:lineRule="auto"/>
        <w:ind w:firstLine="490" w:firstLineChars="200"/>
        <w:jc w:val="left"/>
        <w:rPr>
          <w:rFonts w:ascii="宋体" w:hAnsi="宋体" w:cs="宋体"/>
          <w:sz w:val="24"/>
        </w:rPr>
      </w:pPr>
      <w:r>
        <w:rPr>
          <w:rFonts w:hint="eastAsia" w:ascii="宋体" w:hAnsi="宋体" w:cs="宋体"/>
          <w:sz w:val="24"/>
        </w:rPr>
        <w:t>我单位作为本次采购项目的供应商，根据磋商文件要求，现郑重承诺如下：</w:t>
      </w:r>
    </w:p>
    <w:p>
      <w:pPr>
        <w:spacing w:line="360" w:lineRule="auto"/>
        <w:ind w:firstLine="490" w:firstLineChars="200"/>
        <w:jc w:val="left"/>
        <w:rPr>
          <w:rFonts w:ascii="宋体" w:hAnsi="宋体" w:cs="宋体"/>
          <w:sz w:val="24"/>
        </w:rPr>
      </w:pPr>
      <w:r>
        <w:rPr>
          <w:rFonts w:hint="eastAsia" w:ascii="宋体" w:hAnsi="宋体" w:cs="宋体"/>
          <w:sz w:val="24"/>
        </w:rPr>
        <w:t>一、具有独立承担民事责任的能力；</w:t>
      </w:r>
    </w:p>
    <w:p>
      <w:pPr>
        <w:spacing w:line="360" w:lineRule="auto"/>
        <w:ind w:firstLine="490" w:firstLineChars="200"/>
        <w:jc w:val="left"/>
        <w:rPr>
          <w:rFonts w:ascii="宋体" w:hAnsi="宋体" w:cs="宋体"/>
          <w:sz w:val="24"/>
        </w:rPr>
      </w:pPr>
      <w:r>
        <w:rPr>
          <w:rFonts w:hint="eastAsia" w:ascii="宋体" w:hAnsi="宋体" w:cs="宋体"/>
          <w:sz w:val="24"/>
        </w:rPr>
        <w:t>二、具有良好的商业信誉和健全的财务会计制度；</w:t>
      </w:r>
    </w:p>
    <w:p>
      <w:pPr>
        <w:spacing w:line="360" w:lineRule="auto"/>
        <w:ind w:firstLine="490" w:firstLineChars="200"/>
        <w:jc w:val="left"/>
        <w:rPr>
          <w:rFonts w:ascii="宋体" w:hAnsi="宋体" w:cs="宋体"/>
          <w:sz w:val="24"/>
        </w:rPr>
      </w:pPr>
      <w:r>
        <w:rPr>
          <w:rFonts w:hint="eastAsia" w:ascii="宋体" w:hAnsi="宋体" w:cs="宋体"/>
          <w:sz w:val="24"/>
        </w:rPr>
        <w:t>三、具有履行合同所必需的设备和专业技术能力；</w:t>
      </w:r>
    </w:p>
    <w:p>
      <w:pPr>
        <w:spacing w:line="360" w:lineRule="auto"/>
        <w:ind w:firstLine="490" w:firstLineChars="200"/>
        <w:jc w:val="left"/>
        <w:rPr>
          <w:rFonts w:ascii="宋体" w:hAnsi="宋体" w:cs="宋体"/>
          <w:sz w:val="24"/>
        </w:rPr>
      </w:pPr>
      <w:r>
        <w:rPr>
          <w:rFonts w:hint="eastAsia" w:ascii="宋体" w:hAnsi="宋体" w:cs="宋体"/>
          <w:sz w:val="24"/>
        </w:rPr>
        <w:t>四、有依法缴纳税收和社会保障资金的良好记录；</w:t>
      </w:r>
    </w:p>
    <w:p>
      <w:pPr>
        <w:spacing w:line="360" w:lineRule="auto"/>
        <w:ind w:firstLine="490" w:firstLineChars="200"/>
        <w:jc w:val="left"/>
        <w:rPr>
          <w:rFonts w:ascii="宋体" w:hAnsi="宋体" w:cs="宋体"/>
          <w:sz w:val="24"/>
        </w:rPr>
      </w:pPr>
      <w:r>
        <w:rPr>
          <w:rFonts w:hint="eastAsia" w:ascii="宋体" w:hAnsi="宋体" w:cs="宋体"/>
          <w:sz w:val="24"/>
        </w:rPr>
        <w:t>五、参加政府采购活动前三年内，在经营活动中没有重大违法记录；</w:t>
      </w:r>
    </w:p>
    <w:p>
      <w:pPr>
        <w:spacing w:line="360" w:lineRule="auto"/>
        <w:ind w:firstLine="490" w:firstLineChars="200"/>
        <w:jc w:val="left"/>
        <w:rPr>
          <w:rFonts w:ascii="宋体" w:hAnsi="宋体" w:cs="宋体"/>
          <w:sz w:val="24"/>
        </w:rPr>
      </w:pPr>
      <w:r>
        <w:rPr>
          <w:rFonts w:hint="eastAsia" w:ascii="宋体" w:hAnsi="宋体" w:cs="宋体"/>
          <w:sz w:val="24"/>
        </w:rPr>
        <w:t>六、我单位满足法律、行政法规规定的其他条件；</w:t>
      </w:r>
    </w:p>
    <w:p>
      <w:pPr>
        <w:spacing w:line="360" w:lineRule="auto"/>
        <w:ind w:firstLine="490" w:firstLineChars="200"/>
        <w:jc w:val="left"/>
        <w:rPr>
          <w:rFonts w:ascii="宋体" w:hAnsi="宋体" w:cs="宋体"/>
          <w:sz w:val="24"/>
        </w:rPr>
      </w:pPr>
      <w:r>
        <w:rPr>
          <w:rFonts w:hint="eastAsia" w:ascii="宋体" w:hAnsi="宋体" w:cs="宋体"/>
          <w:sz w:val="24"/>
        </w:rPr>
        <w:t>七、在参加本次政府采购活动前，我方及现任法定代表人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（姓名、身份证号）</w:t>
      </w:r>
      <w:r>
        <w:rPr>
          <w:rFonts w:hint="eastAsia" w:ascii="宋体" w:hAnsi="宋体" w:cs="宋体"/>
          <w:sz w:val="24"/>
        </w:rPr>
        <w:t>、主要负责人</w:t>
      </w:r>
      <w:r>
        <w:rPr>
          <w:rFonts w:hint="eastAsia" w:ascii="宋体" w:hAnsi="宋体" w:cs="宋体"/>
          <w:sz w:val="24"/>
          <w:u w:val="single"/>
        </w:rPr>
        <w:t xml:space="preserve">  （姓名、身份证号）</w:t>
      </w:r>
      <w:r>
        <w:rPr>
          <w:rFonts w:hint="eastAsia" w:ascii="宋体" w:hAnsi="宋体" w:cs="宋体"/>
          <w:sz w:val="24"/>
        </w:rPr>
        <w:t>不具有行贿犯罪记录；</w:t>
      </w:r>
    </w:p>
    <w:p>
      <w:pPr>
        <w:tabs>
          <w:tab w:val="left" w:pos="7665"/>
        </w:tabs>
        <w:spacing w:line="360" w:lineRule="auto"/>
        <w:ind w:firstLine="490" w:firstLineChars="200"/>
        <w:jc w:val="left"/>
        <w:rPr>
          <w:rFonts w:ascii="宋体" w:hAnsi="宋体"/>
          <w:sz w:val="24"/>
        </w:rPr>
      </w:pPr>
      <w:r>
        <w:rPr>
          <w:rFonts w:hint="eastAsia" w:ascii="宋体" w:hAnsi="宋体"/>
          <w:sz w:val="24"/>
        </w:rPr>
        <w:t>八、参加本次采购活动，我单位不存在与单位负责人为同一人或者存在直接控股、管理关系的其他供应商参与同一合同项下的采购活动的行为；</w:t>
      </w:r>
    </w:p>
    <w:p>
      <w:pPr>
        <w:tabs>
          <w:tab w:val="left" w:pos="7665"/>
        </w:tabs>
        <w:spacing w:line="360" w:lineRule="auto"/>
        <w:ind w:firstLine="490" w:firstLineChars="200"/>
        <w:jc w:val="left"/>
        <w:rPr>
          <w:rFonts w:ascii="宋体" w:hAnsi="宋体"/>
          <w:sz w:val="24"/>
        </w:rPr>
      </w:pPr>
      <w:r>
        <w:rPr>
          <w:rFonts w:hint="eastAsia" w:ascii="宋体" w:hAnsi="宋体"/>
          <w:sz w:val="24"/>
        </w:rPr>
        <w:t>九、参加本次采购活动，我单位不存在和其他供应商在同一合同项下的采购项目中，同时委托同一个自然人、同一家庭的人员、同一单位的人员作为授权代表的行为；</w:t>
      </w:r>
    </w:p>
    <w:p>
      <w:pPr>
        <w:tabs>
          <w:tab w:val="left" w:pos="7665"/>
        </w:tabs>
        <w:spacing w:line="360" w:lineRule="auto"/>
        <w:ind w:firstLine="490" w:firstLineChars="200"/>
        <w:jc w:val="left"/>
        <w:rPr>
          <w:rFonts w:ascii="宋体" w:hAnsi="宋体" w:cs="宋体"/>
          <w:sz w:val="24"/>
        </w:rPr>
      </w:pPr>
      <w:r>
        <w:rPr>
          <w:rFonts w:hint="eastAsia" w:ascii="宋体" w:hAnsi="宋体"/>
          <w:sz w:val="24"/>
        </w:rPr>
        <w:t>十、</w:t>
      </w:r>
      <w:r>
        <w:rPr>
          <w:rFonts w:hint="eastAsia" w:ascii="宋体" w:hAnsi="宋体" w:cs="宋体"/>
          <w:sz w:val="24"/>
        </w:rPr>
        <w:t>参加本次采购活动前我单位未对本次采购项目提供过整体设计、规范编制或者项目管理、监理、检测等服务；</w:t>
      </w:r>
    </w:p>
    <w:p>
      <w:pPr>
        <w:tabs>
          <w:tab w:val="left" w:pos="7665"/>
        </w:tabs>
        <w:spacing w:line="360" w:lineRule="auto"/>
        <w:ind w:firstLine="490" w:firstLineChars="200"/>
        <w:jc w:val="left"/>
        <w:rPr>
          <w:rFonts w:ascii="宋体" w:hAnsi="宋体"/>
        </w:rPr>
      </w:pPr>
      <w:r>
        <w:rPr>
          <w:rFonts w:hint="eastAsia" w:ascii="宋体" w:hAnsi="宋体" w:cs="宋体"/>
          <w:sz w:val="24"/>
        </w:rPr>
        <w:t>十一、我方参加</w:t>
      </w:r>
      <w:r>
        <w:rPr>
          <w:rFonts w:hint="eastAsia" w:ascii="宋体" w:hAnsi="宋体"/>
          <w:sz w:val="24"/>
        </w:rPr>
        <w:t>本次政府采购项目不属于以联合体的形式参与磋商；</w:t>
      </w:r>
    </w:p>
    <w:p>
      <w:pPr>
        <w:spacing w:line="360" w:lineRule="auto"/>
        <w:ind w:firstLine="490" w:firstLineChars="200"/>
        <w:jc w:val="left"/>
        <w:rPr>
          <w:rFonts w:ascii="宋体" w:hAnsi="宋体" w:cs="宋体"/>
          <w:sz w:val="24"/>
        </w:rPr>
      </w:pPr>
      <w:r>
        <w:rPr>
          <w:rFonts w:hint="eastAsia" w:ascii="宋体" w:hAnsi="宋体" w:cs="宋体"/>
          <w:sz w:val="24"/>
        </w:rPr>
        <w:t>十二、我方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90" w:firstLineChars="200"/>
        <w:jc w:val="left"/>
        <w:rPr>
          <w:rFonts w:ascii="宋体" w:hAnsi="宋体" w:cs="宋体"/>
          <w:sz w:val="24"/>
        </w:rPr>
      </w:pPr>
      <w:r>
        <w:rPr>
          <w:rFonts w:hint="eastAsia" w:ascii="宋体" w:hAnsi="宋体" w:cs="宋体"/>
          <w:sz w:val="24"/>
        </w:rPr>
        <w:t>十三、响应文件中提供的任何资料和技术、服务、商务等响应承诺情况都是真实的、有效的、合法的；</w:t>
      </w:r>
    </w:p>
    <w:p>
      <w:pPr>
        <w:spacing w:line="360" w:lineRule="auto"/>
        <w:ind w:firstLine="490" w:firstLineChars="200"/>
        <w:jc w:val="left"/>
        <w:rPr>
          <w:rFonts w:ascii="宋体" w:hAnsi="宋体" w:cs="宋体"/>
          <w:sz w:val="24"/>
        </w:rPr>
      </w:pPr>
      <w:r>
        <w:rPr>
          <w:rFonts w:hint="eastAsia" w:ascii="宋体" w:hAnsi="宋体" w:cs="宋体"/>
          <w:sz w:val="24"/>
        </w:rPr>
        <w:t>我单位对上述承诺的内容事项真实性负责。如经查实上述承诺的内容事项存在虚假，我单位愿意接受以提供虚假材料谋取成交的法律责任。</w:t>
      </w:r>
    </w:p>
    <w:p>
      <w:pPr>
        <w:jc w:val="left"/>
      </w:pP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供应商名称：</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（加盖公章）</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法定代表人或代理人：</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（签字）</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日期：年月日</w:t>
      </w:r>
    </w:p>
    <w:p>
      <w:pPr>
        <w:pStyle w:val="2"/>
        <w:spacing w:line="240" w:lineRule="auto"/>
        <w:jc w:val="center"/>
        <w:rPr>
          <w:rFonts w:ascii="宋体" w:hAnsi="宋体" w:cs="宋体"/>
          <w:color w:val="000000" w:themeColor="text1"/>
          <w:sz w:val="28"/>
          <w:szCs w:val="32"/>
          <w:lang w:val="zh-CN"/>
          <w14:textFill>
            <w14:solidFill>
              <w14:schemeClr w14:val="tx1"/>
            </w14:solidFill>
          </w14:textFill>
        </w:rPr>
      </w:pPr>
      <w:r>
        <w:rPr>
          <w:rFonts w:hint="eastAsia" w:ascii="宋体" w:hAnsi="宋体" w:cs="宋体"/>
          <w:color w:val="000000" w:themeColor="text1"/>
          <w:szCs w:val="32"/>
          <w14:textFill>
            <w14:solidFill>
              <w14:schemeClr w14:val="tx1"/>
            </w14:solidFill>
          </w14:textFill>
        </w:rPr>
        <w:br w:type="page"/>
      </w:r>
      <w:r>
        <w:rPr>
          <w:rFonts w:hint="eastAsia" w:ascii="宋体" w:hAnsi="宋体" w:cs="宋体"/>
          <w:color w:val="000000" w:themeColor="text1"/>
          <w:sz w:val="28"/>
          <w:szCs w:val="32"/>
          <w:lang w:val="zh-CN"/>
          <w14:textFill>
            <w14:solidFill>
              <w14:schemeClr w14:val="tx1"/>
            </w14:solidFill>
          </w14:textFill>
        </w:rPr>
        <w:t xml:space="preserve"> （四）中小企业声明函</w:t>
      </w:r>
    </w:p>
    <w:p>
      <w:pPr>
        <w:spacing w:line="360" w:lineRule="auto"/>
        <w:ind w:firstLine="48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本企业（联合体）郑重声明，根据《政府采购促进中小企业发展管理办法》（财库﹝2020﹞46 号）的规定，本企业（联合体）参加</w:t>
      </w:r>
      <w:r>
        <w:rPr>
          <w:rFonts w:hint="eastAsia" w:ascii="宋体" w:hAnsi="宋体" w:cs="宋体"/>
          <w:b/>
          <w:bCs/>
          <w:color w:val="000000" w:themeColor="text1"/>
          <w:sz w:val="24"/>
          <w:szCs w:val="32"/>
          <w:u w:val="single"/>
          <w14:textFill>
            <w14:solidFill>
              <w14:schemeClr w14:val="tx1"/>
            </w14:solidFill>
          </w14:textFill>
        </w:rPr>
        <w:t>（单位名称）</w:t>
      </w:r>
      <w:r>
        <w:rPr>
          <w:rFonts w:hint="eastAsia" w:ascii="宋体" w:hAnsi="宋体" w:cs="宋体"/>
          <w:color w:val="000000" w:themeColor="text1"/>
          <w:sz w:val="24"/>
          <w:szCs w:val="32"/>
          <w14:textFill>
            <w14:solidFill>
              <w14:schemeClr w14:val="tx1"/>
            </w14:solidFill>
          </w14:textFill>
        </w:rPr>
        <w:t>的</w:t>
      </w:r>
      <w:r>
        <w:rPr>
          <w:rFonts w:hint="eastAsia" w:ascii="宋体" w:hAnsi="宋体" w:cs="宋体"/>
          <w:b/>
          <w:bCs/>
          <w:color w:val="000000" w:themeColor="text1"/>
          <w:sz w:val="24"/>
          <w:szCs w:val="32"/>
          <w:u w:val="single"/>
          <w14:textFill>
            <w14:solidFill>
              <w14:schemeClr w14:val="tx1"/>
            </w14:solidFill>
          </w14:textFill>
        </w:rPr>
        <w:t>（项目名称）</w:t>
      </w:r>
      <w:r>
        <w:rPr>
          <w:rFonts w:hint="eastAsia" w:ascii="宋体" w:hAnsi="宋体" w:cs="宋体"/>
          <w:color w:val="000000" w:themeColor="text1"/>
          <w:sz w:val="24"/>
          <w:szCs w:val="32"/>
          <w14:textFill>
            <w14:solidFill>
              <w14:schemeClr w14:val="tx1"/>
            </w14:solidFill>
          </w14:textFill>
        </w:rPr>
        <w:t>采购活动，服务全部由符合政策要求的中小企业承接。相关企业（含签订分包意向协议的中小企业）的具体情况如下：</w:t>
      </w:r>
    </w:p>
    <w:p>
      <w:pPr>
        <w:spacing w:line="360" w:lineRule="auto"/>
        <w:ind w:firstLine="245" w:firstLineChars="100"/>
        <w:jc w:val="left"/>
        <w:rPr>
          <w:rFonts w:ascii="宋体" w:hAnsi="宋体" w:cs="宋体"/>
          <w:color w:val="000000" w:themeColor="text1"/>
          <w:sz w:val="24"/>
          <w:szCs w:val="32"/>
          <w14:textFill>
            <w14:solidFill>
              <w14:schemeClr w14:val="tx1"/>
            </w14:solidFill>
          </w14:textFill>
        </w:rPr>
      </w:pPr>
      <w:r>
        <w:rPr>
          <w:rFonts w:hint="eastAsia" w:ascii="宋体" w:hAnsi="宋体" w:cs="宋体"/>
          <w:b/>
          <w:bCs/>
          <w:color w:val="000000" w:themeColor="text1"/>
          <w:sz w:val="24"/>
          <w:szCs w:val="32"/>
          <w:u w:val="single"/>
          <w14:textFill>
            <w14:solidFill>
              <w14:schemeClr w14:val="tx1"/>
            </w14:solidFill>
          </w14:textFill>
        </w:rPr>
        <w:t>（标的名称）</w:t>
      </w:r>
      <w:r>
        <w:rPr>
          <w:rFonts w:hint="eastAsia" w:ascii="宋体" w:hAnsi="宋体" w:cs="宋体"/>
          <w:color w:val="000000" w:themeColor="text1"/>
          <w:sz w:val="24"/>
          <w:szCs w:val="32"/>
          <w14:textFill>
            <w14:solidFill>
              <w14:schemeClr w14:val="tx1"/>
            </w14:solidFill>
          </w14:textFill>
        </w:rPr>
        <w:t>，属于</w:t>
      </w:r>
      <w:r>
        <w:rPr>
          <w:rFonts w:hint="eastAsia" w:ascii="宋体" w:hAnsi="宋体" w:cs="宋体"/>
          <w:color w:val="000000" w:themeColor="text1"/>
          <w:sz w:val="24"/>
          <w:szCs w:val="32"/>
          <w:u w:val="single"/>
          <w14:textFill>
            <w14:solidFill>
              <w14:schemeClr w14:val="tx1"/>
            </w14:solidFill>
          </w14:textFill>
        </w:rPr>
        <w:t xml:space="preserve"> </w:t>
      </w:r>
      <w:r>
        <w:rPr>
          <w:rFonts w:ascii="宋体" w:hAnsi="宋体" w:cs="宋体"/>
          <w:color w:val="000000" w:themeColor="text1"/>
          <w:sz w:val="24"/>
          <w:szCs w:val="32"/>
          <w:u w:val="single"/>
          <w14:textFill>
            <w14:solidFill>
              <w14:schemeClr w14:val="tx1"/>
            </w14:solidFill>
          </w14:textFill>
        </w:rPr>
        <w:t xml:space="preserve">       </w:t>
      </w:r>
      <w:r>
        <w:rPr>
          <w:rFonts w:hint="eastAsia" w:ascii="宋体" w:hAnsi="宋体" w:cs="宋体"/>
          <w:b/>
          <w:bCs/>
          <w:color w:val="000000" w:themeColor="text1"/>
          <w:sz w:val="24"/>
          <w:szCs w:val="32"/>
          <w14:textFill>
            <w14:solidFill>
              <w14:schemeClr w14:val="tx1"/>
            </w14:solidFill>
          </w14:textFill>
        </w:rPr>
        <w:t>（采购文件中明确的所属行业）</w:t>
      </w:r>
      <w:r>
        <w:rPr>
          <w:rFonts w:hint="eastAsia" w:ascii="宋体" w:hAnsi="宋体" w:cs="宋体"/>
          <w:color w:val="000000" w:themeColor="text1"/>
          <w:sz w:val="24"/>
          <w:szCs w:val="32"/>
          <w14:textFill>
            <w14:solidFill>
              <w14:schemeClr w14:val="tx1"/>
            </w14:solidFill>
          </w14:textFill>
        </w:rPr>
        <w:t>；承接企业为</w:t>
      </w:r>
      <w:r>
        <w:rPr>
          <w:rFonts w:hint="eastAsia" w:ascii="宋体" w:hAnsi="宋体" w:cs="宋体"/>
          <w:b/>
          <w:bCs/>
          <w:color w:val="000000" w:themeColor="text1"/>
          <w:sz w:val="24"/>
          <w:szCs w:val="32"/>
          <w:u w:val="single"/>
          <w14:textFill>
            <w14:solidFill>
              <w14:schemeClr w14:val="tx1"/>
            </w14:solidFill>
          </w14:textFill>
        </w:rPr>
        <w:t>（企业名称）</w:t>
      </w:r>
      <w:r>
        <w:rPr>
          <w:rFonts w:hint="eastAsia" w:ascii="宋体" w:hAnsi="宋体" w:cs="宋体"/>
          <w:color w:val="000000" w:themeColor="text1"/>
          <w:sz w:val="24"/>
          <w:szCs w:val="32"/>
          <w14:textFill>
            <w14:solidFill>
              <w14:schemeClr w14:val="tx1"/>
            </w14:solidFill>
          </w14:textFill>
        </w:rPr>
        <w:t>，从业人员</w:t>
      </w:r>
      <w:r>
        <w:rPr>
          <w:rFonts w:hint="eastAsia" w:ascii="宋体" w:hAnsi="宋体" w:cs="宋体"/>
          <w:color w:val="000000" w:themeColor="text1"/>
          <w:sz w:val="24"/>
          <w:szCs w:val="32"/>
          <w:u w:val="single"/>
          <w14:textFill>
            <w14:solidFill>
              <w14:schemeClr w14:val="tx1"/>
            </w14:solidFill>
          </w14:textFill>
        </w:rPr>
        <w:t xml:space="preserve"> </w:t>
      </w:r>
      <w:r>
        <w:rPr>
          <w:rFonts w:ascii="宋体" w:hAnsi="宋体" w:cs="宋体"/>
          <w:color w:val="000000" w:themeColor="text1"/>
          <w:sz w:val="24"/>
          <w:szCs w:val="32"/>
          <w:u w:val="single"/>
          <w14:textFill>
            <w14:solidFill>
              <w14:schemeClr w14:val="tx1"/>
            </w14:solidFill>
          </w14:textFill>
        </w:rPr>
        <w:t xml:space="preserve">     </w:t>
      </w:r>
      <w:r>
        <w:rPr>
          <w:rFonts w:hint="eastAsia" w:ascii="宋体" w:hAnsi="宋体" w:cs="宋体"/>
          <w:color w:val="000000" w:themeColor="text1"/>
          <w:sz w:val="24"/>
          <w:szCs w:val="32"/>
          <w14:textFill>
            <w14:solidFill>
              <w14:schemeClr w14:val="tx1"/>
            </w14:solidFill>
          </w14:textFill>
        </w:rPr>
        <w:t>人，营业收入为</w:t>
      </w:r>
      <w:r>
        <w:rPr>
          <w:rFonts w:hint="eastAsia" w:ascii="宋体" w:hAnsi="宋体" w:cs="宋体"/>
          <w:color w:val="000000" w:themeColor="text1"/>
          <w:sz w:val="24"/>
          <w:szCs w:val="32"/>
          <w:u w:val="single"/>
          <w14:textFill>
            <w14:solidFill>
              <w14:schemeClr w14:val="tx1"/>
            </w14:solidFill>
          </w14:textFill>
        </w:rPr>
        <w:t xml:space="preserve"> </w:t>
      </w:r>
      <w:r>
        <w:rPr>
          <w:rFonts w:ascii="宋体" w:hAnsi="宋体" w:cs="宋体"/>
          <w:color w:val="000000" w:themeColor="text1"/>
          <w:sz w:val="24"/>
          <w:szCs w:val="32"/>
          <w:u w:val="single"/>
          <w14:textFill>
            <w14:solidFill>
              <w14:schemeClr w14:val="tx1"/>
            </w14:solidFill>
          </w14:textFill>
        </w:rPr>
        <w:t xml:space="preserve">       </w:t>
      </w:r>
      <w:r>
        <w:rPr>
          <w:rFonts w:hint="eastAsia" w:ascii="宋体" w:hAnsi="宋体" w:cs="宋体"/>
          <w:color w:val="000000" w:themeColor="text1"/>
          <w:sz w:val="24"/>
          <w:szCs w:val="32"/>
          <w14:textFill>
            <w14:solidFill>
              <w14:schemeClr w14:val="tx1"/>
            </w14:solidFill>
          </w14:textFill>
        </w:rPr>
        <w:t>万元，资产总额为</w:t>
      </w:r>
      <w:r>
        <w:rPr>
          <w:rFonts w:hint="eastAsia" w:ascii="宋体" w:hAnsi="宋体" w:cs="宋体"/>
          <w:color w:val="000000" w:themeColor="text1"/>
          <w:sz w:val="24"/>
          <w:szCs w:val="32"/>
          <w:u w:val="single"/>
          <w14:textFill>
            <w14:solidFill>
              <w14:schemeClr w14:val="tx1"/>
            </w14:solidFill>
          </w14:textFill>
        </w:rPr>
        <w:t xml:space="preserve"> </w:t>
      </w:r>
      <w:r>
        <w:rPr>
          <w:rFonts w:ascii="宋体" w:hAnsi="宋体" w:cs="宋体"/>
          <w:color w:val="000000" w:themeColor="text1"/>
          <w:sz w:val="24"/>
          <w:szCs w:val="32"/>
          <w:u w:val="single"/>
          <w14:textFill>
            <w14:solidFill>
              <w14:schemeClr w14:val="tx1"/>
            </w14:solidFill>
          </w14:textFill>
        </w:rPr>
        <w:t xml:space="preserve">        </w:t>
      </w:r>
      <w:r>
        <w:rPr>
          <w:rFonts w:hint="eastAsia" w:ascii="宋体" w:hAnsi="宋体" w:cs="宋体"/>
          <w:color w:val="000000" w:themeColor="text1"/>
          <w:sz w:val="24"/>
          <w:szCs w:val="32"/>
          <w14:textFill>
            <w14:solidFill>
              <w14:schemeClr w14:val="tx1"/>
            </w14:solidFill>
          </w14:textFill>
        </w:rPr>
        <w:t xml:space="preserve">万元，属于 </w:t>
      </w:r>
      <w:r>
        <w:rPr>
          <w:rFonts w:ascii="宋体" w:hAnsi="宋体" w:cs="宋体"/>
          <w:color w:val="000000" w:themeColor="text1"/>
          <w:sz w:val="24"/>
          <w:szCs w:val="32"/>
          <w14:textFill>
            <w14:solidFill>
              <w14:schemeClr w14:val="tx1"/>
            </w14:solidFill>
          </w14:textFill>
        </w:rPr>
        <w:t xml:space="preserve">  </w:t>
      </w:r>
      <w:r>
        <w:rPr>
          <w:rFonts w:ascii="宋体" w:hAnsi="宋体" w:cs="宋体"/>
          <w:color w:val="000000" w:themeColor="text1"/>
          <w:sz w:val="24"/>
          <w:szCs w:val="32"/>
          <w:u w:val="single"/>
          <w14:textFill>
            <w14:solidFill>
              <w14:schemeClr w14:val="tx1"/>
            </w14:solidFill>
          </w14:textFill>
        </w:rPr>
        <w:t xml:space="preserve">                </w:t>
      </w:r>
      <w:r>
        <w:rPr>
          <w:rFonts w:hint="eastAsia" w:ascii="宋体" w:hAnsi="宋体" w:cs="宋体"/>
          <w:b/>
          <w:bCs/>
          <w:color w:val="000000" w:themeColor="text1"/>
          <w:sz w:val="24"/>
          <w:szCs w:val="32"/>
          <w:u w:val="single"/>
          <w14:textFill>
            <w14:solidFill>
              <w14:schemeClr w14:val="tx1"/>
            </w14:solidFill>
          </w14:textFill>
        </w:rPr>
        <w:t>（中型企业、小型企业、微型企业）</w:t>
      </w:r>
      <w:r>
        <w:rPr>
          <w:rFonts w:hint="eastAsia" w:ascii="宋体" w:hAnsi="宋体" w:cs="宋体"/>
          <w:color w:val="000000" w:themeColor="text1"/>
          <w:sz w:val="24"/>
          <w:szCs w:val="32"/>
          <w14:textFill>
            <w14:solidFill>
              <w14:schemeClr w14:val="tx1"/>
            </w14:solidFill>
          </w14:textFill>
        </w:rPr>
        <w:t>；</w:t>
      </w:r>
    </w:p>
    <w:p>
      <w:pPr>
        <w:spacing w:line="360" w:lineRule="auto"/>
        <w:ind w:firstLine="482"/>
        <w:rPr>
          <w:rFonts w:ascii="宋体" w:hAnsi="宋体" w:cs="宋体"/>
          <w:b/>
          <w:bCs/>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w:t>
      </w:r>
    </w:p>
    <w:p>
      <w:pPr>
        <w:spacing w:line="360" w:lineRule="auto"/>
        <w:ind w:firstLine="48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本企业（联合体）对上述声明内容的真实性负责。如有虚假，将依法承担相应责任。</w:t>
      </w:r>
    </w:p>
    <w:p>
      <w:pPr>
        <w:spacing w:line="360" w:lineRule="auto"/>
        <w:ind w:firstLine="480"/>
        <w:rPr>
          <w:rFonts w:ascii="宋体" w:hAnsi="宋体" w:cs="宋体"/>
          <w:color w:val="000000" w:themeColor="text1"/>
          <w:sz w:val="24"/>
          <w:szCs w:val="32"/>
          <w14:textFill>
            <w14:solidFill>
              <w14:schemeClr w14:val="tx1"/>
            </w14:solidFill>
          </w14:textFill>
        </w:rPr>
      </w:pPr>
    </w:p>
    <w:p>
      <w:pPr>
        <w:spacing w:line="360" w:lineRule="auto"/>
        <w:ind w:firstLine="480"/>
        <w:rPr>
          <w:rFonts w:ascii="宋体" w:hAnsi="宋体" w:cs="宋体"/>
          <w:color w:val="000000" w:themeColor="text1"/>
          <w14:textFill>
            <w14:solidFill>
              <w14:schemeClr w14:val="tx1"/>
            </w14:solidFill>
          </w14:textFill>
        </w:rPr>
      </w:pP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供应商名称：</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（加盖公章）</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法定代表人或代理人：</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（签字）</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日期：年月日</w:t>
      </w:r>
    </w:p>
    <w:p>
      <w:pPr>
        <w:tabs>
          <w:tab w:val="left" w:pos="1134"/>
        </w:tabs>
        <w:spacing w:line="588" w:lineRule="exact"/>
        <w:ind w:left="430" w:leftChars="200" w:firstLine="504"/>
        <w:rPr>
          <w:rFonts w:ascii="宋体" w:hAnsi="宋体" w:cs="宋体"/>
          <w:color w:val="000000" w:themeColor="text1"/>
          <w:spacing w:val="6"/>
          <w14:textFill>
            <w14:solidFill>
              <w14:schemeClr w14:val="tx1"/>
            </w14:solidFill>
          </w14:textFill>
        </w:rPr>
      </w:pPr>
    </w:p>
    <w:p>
      <w:pPr>
        <w:spacing w:line="360" w:lineRule="auto"/>
        <w:ind w:firstLine="482"/>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说明：</w:t>
      </w:r>
    </w:p>
    <w:p>
      <w:pPr>
        <w:spacing w:line="400" w:lineRule="exact"/>
        <w:ind w:firstLine="430"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1、从业人员、营业收入、资产总额填报上一年度数据，无上一年度数据的新成立企业可不填报。</w:t>
      </w:r>
    </w:p>
    <w:p>
      <w:pPr>
        <w:jc w:val="center"/>
        <w:rPr>
          <w:rFonts w:ascii="宋体" w:hAnsi="宋体" w:cs="宋体"/>
          <w:color w:val="000000" w:themeColor="text1"/>
          <w:sz w:val="28"/>
          <w:szCs w:val="32"/>
          <w:lang w:val="zh-CN"/>
          <w14:textFill>
            <w14:solidFill>
              <w14:schemeClr w14:val="tx1"/>
            </w14:solidFill>
          </w14:textFill>
        </w:rPr>
      </w:pPr>
    </w:p>
    <w:p>
      <w:pPr>
        <w:jc w:val="center"/>
        <w:rPr>
          <w:rFonts w:ascii="宋体" w:hAnsi="宋体" w:cs="宋体"/>
          <w:color w:val="000000" w:themeColor="text1"/>
          <w:sz w:val="28"/>
          <w:szCs w:val="32"/>
          <w:lang w:val="zh-CN"/>
          <w14:textFill>
            <w14:solidFill>
              <w14:schemeClr w14:val="tx1"/>
            </w14:solidFill>
          </w14:textFill>
        </w:rPr>
      </w:pPr>
      <w:r>
        <w:rPr>
          <w:rFonts w:hint="eastAsia" w:ascii="宋体" w:hAnsi="宋体" w:cs="宋体"/>
          <w:color w:val="000000" w:themeColor="text1"/>
          <w:sz w:val="28"/>
          <w:szCs w:val="32"/>
          <w:lang w:val="zh-CN"/>
          <w14:textFill>
            <w14:solidFill>
              <w14:schemeClr w14:val="tx1"/>
            </w14:solidFill>
          </w14:textFill>
        </w:rPr>
        <w:br w:type="page"/>
      </w:r>
    </w:p>
    <w:p>
      <w:pPr>
        <w:pStyle w:val="2"/>
        <w:spacing w:line="240" w:lineRule="auto"/>
        <w:jc w:val="center"/>
        <w:rPr>
          <w:rFonts w:ascii="宋体" w:hAnsi="宋体" w:cs="宋体"/>
          <w:sz w:val="28"/>
          <w:szCs w:val="32"/>
          <w:lang w:val="zh-CN"/>
        </w:rPr>
      </w:pPr>
      <w:r>
        <w:rPr>
          <w:rFonts w:hint="eastAsia" w:ascii="宋体" w:hAnsi="宋体" w:cs="宋体"/>
          <w:sz w:val="28"/>
          <w:szCs w:val="32"/>
          <w:lang w:val="zh-CN"/>
        </w:rPr>
        <w:t>（</w:t>
      </w:r>
      <w:r>
        <w:rPr>
          <w:rFonts w:hint="eastAsia" w:ascii="宋体" w:hAnsi="宋体" w:cs="宋体"/>
          <w:sz w:val="28"/>
          <w:szCs w:val="32"/>
        </w:rPr>
        <w:t>五</w:t>
      </w:r>
      <w:r>
        <w:rPr>
          <w:rFonts w:hint="eastAsia" w:ascii="宋体" w:hAnsi="宋体" w:cs="宋体"/>
          <w:sz w:val="28"/>
          <w:szCs w:val="32"/>
          <w:lang w:val="zh-CN"/>
        </w:rPr>
        <w:t>）监狱企业证明文件（如涉及）</w:t>
      </w:r>
    </w:p>
    <w:p>
      <w:pPr>
        <w:ind w:firstLine="480"/>
        <w:rPr>
          <w:rFonts w:ascii="宋体" w:hAnsi="宋体" w:cs="宋体"/>
        </w:rPr>
      </w:pPr>
    </w:p>
    <w:p>
      <w:pPr>
        <w:widowControl/>
        <w:spacing w:after="225" w:line="360" w:lineRule="auto"/>
        <w:ind w:firstLine="420"/>
        <w:jc w:val="left"/>
        <w:rPr>
          <w:rFonts w:ascii="宋体" w:hAnsi="宋体" w:cs="宋体"/>
          <w:kern w:val="0"/>
          <w:sz w:val="24"/>
          <w:lang w:bidi="ar"/>
        </w:rPr>
      </w:pPr>
    </w:p>
    <w:p>
      <w:pPr>
        <w:widowControl/>
        <w:spacing w:after="225" w:line="360" w:lineRule="auto"/>
        <w:ind w:firstLine="420"/>
        <w:jc w:val="left"/>
        <w:rPr>
          <w:rFonts w:ascii="宋体" w:hAnsi="宋体" w:cs="宋体"/>
          <w:kern w:val="0"/>
          <w:sz w:val="24"/>
          <w:lang w:bidi="ar"/>
        </w:rPr>
      </w:pPr>
      <w:r>
        <w:rPr>
          <w:rFonts w:hint="eastAsia" w:ascii="宋体" w:hAnsi="宋体" w:cs="宋体"/>
          <w:kern w:val="0"/>
          <w:sz w:val="24"/>
          <w:lang w:bidi="ar"/>
        </w:rPr>
        <w:t>监狱企业参加政府采购活动时，应当提供由省级以上监狱管理局、戒毒管理局（含新疆生产建设兵团）出具的属于监狱企业的证明文件。</w:t>
      </w:r>
    </w:p>
    <w:p>
      <w:pPr>
        <w:pStyle w:val="12"/>
        <w:ind w:left="430" w:firstLine="420"/>
        <w:rPr>
          <w:rFonts w:ascii="宋体" w:hAnsi="宋体" w:eastAsia="宋体" w:cs="宋体"/>
        </w:rPr>
      </w:pPr>
    </w:p>
    <w:p>
      <w:pPr>
        <w:pStyle w:val="12"/>
        <w:ind w:left="430" w:firstLine="420"/>
        <w:rPr>
          <w:rFonts w:ascii="宋体" w:hAnsi="宋体" w:eastAsia="宋体" w:cs="宋体"/>
        </w:rPr>
      </w:pPr>
    </w:p>
    <w:p>
      <w:pPr>
        <w:pStyle w:val="12"/>
        <w:ind w:left="430" w:firstLine="420"/>
        <w:rPr>
          <w:rFonts w:ascii="宋体" w:hAnsi="宋体" w:eastAsia="宋体" w:cs="宋体"/>
        </w:rPr>
      </w:pPr>
    </w:p>
    <w:p>
      <w:pPr>
        <w:pStyle w:val="12"/>
        <w:ind w:left="430" w:firstLine="480"/>
        <w:rPr>
          <w:rFonts w:ascii="宋体" w:hAnsi="宋体" w:eastAsia="宋体" w:cs="宋体"/>
          <w:kern w:val="0"/>
          <w:sz w:val="24"/>
          <w:szCs w:val="20"/>
        </w:rPr>
      </w:pPr>
    </w:p>
    <w:p>
      <w:pPr>
        <w:autoSpaceDE w:val="0"/>
        <w:autoSpaceDN w:val="0"/>
        <w:adjustRightInd w:val="0"/>
        <w:spacing w:line="360" w:lineRule="auto"/>
        <w:ind w:firstLine="480"/>
        <w:jc w:val="left"/>
        <w:rPr>
          <w:rFonts w:ascii="宋体" w:hAnsi="宋体" w:cs="宋体"/>
          <w:b/>
          <w:bCs/>
          <w:kern w:val="0"/>
          <w:sz w:val="24"/>
        </w:rPr>
      </w:pPr>
      <w:r>
        <w:rPr>
          <w:rFonts w:hint="eastAsia" w:ascii="宋体" w:hAnsi="宋体" w:cs="宋体"/>
          <w:b/>
          <w:bCs/>
          <w:kern w:val="0"/>
          <w:sz w:val="24"/>
        </w:rPr>
        <w:t>注：在政府采购活动中，监狱企业视同小型、微型企业，享受预留份额。</w:t>
      </w:r>
    </w:p>
    <w:p>
      <w:pPr>
        <w:pStyle w:val="12"/>
        <w:ind w:left="430" w:firstLine="420"/>
        <w:rPr>
          <w:rFonts w:ascii="宋体" w:hAnsi="宋体" w:eastAsia="宋体" w:cs="宋体"/>
        </w:rPr>
      </w:pPr>
    </w:p>
    <w:p>
      <w:pPr>
        <w:pStyle w:val="12"/>
        <w:ind w:left="430" w:firstLine="420"/>
        <w:rPr>
          <w:rFonts w:ascii="宋体" w:hAnsi="宋体" w:eastAsia="宋体" w:cs="宋体"/>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ind w:firstLine="480"/>
        <w:rPr>
          <w:rFonts w:ascii="宋体" w:hAnsi="宋体" w:cs="宋体"/>
        </w:rPr>
      </w:pPr>
    </w:p>
    <w:p>
      <w:pPr>
        <w:ind w:firstLine="480"/>
        <w:rPr>
          <w:rFonts w:ascii="宋体" w:hAnsi="宋体" w:cs="宋体"/>
        </w:rPr>
      </w:pPr>
    </w:p>
    <w:p>
      <w:pPr>
        <w:pStyle w:val="2"/>
        <w:spacing w:line="240" w:lineRule="auto"/>
        <w:jc w:val="center"/>
        <w:rPr>
          <w:rFonts w:ascii="宋体" w:hAnsi="宋体" w:cs="宋体"/>
          <w:sz w:val="28"/>
          <w:szCs w:val="32"/>
          <w:lang w:val="zh-CN"/>
        </w:rPr>
      </w:pPr>
      <w:r>
        <w:rPr>
          <w:rFonts w:hint="eastAsia" w:ascii="宋体" w:hAnsi="宋体" w:cs="宋体"/>
          <w:b w:val="0"/>
          <w:spacing w:val="6"/>
          <w:sz w:val="32"/>
          <w:szCs w:val="32"/>
        </w:rPr>
        <w:br w:type="page"/>
      </w:r>
      <w:r>
        <w:rPr>
          <w:rFonts w:hint="eastAsia" w:ascii="宋体" w:hAnsi="宋体" w:cs="宋体"/>
          <w:sz w:val="28"/>
          <w:szCs w:val="32"/>
          <w:lang w:val="zh-CN"/>
        </w:rPr>
        <w:t>（</w:t>
      </w:r>
      <w:r>
        <w:rPr>
          <w:rFonts w:hint="eastAsia" w:ascii="宋体" w:hAnsi="宋体" w:cs="宋体"/>
          <w:sz w:val="28"/>
          <w:szCs w:val="32"/>
        </w:rPr>
        <w:t>六</w:t>
      </w:r>
      <w:r>
        <w:rPr>
          <w:rFonts w:hint="eastAsia" w:ascii="宋体" w:hAnsi="宋体" w:cs="宋体"/>
          <w:sz w:val="28"/>
          <w:szCs w:val="32"/>
          <w:lang w:val="zh-CN"/>
        </w:rPr>
        <w:t>）残疾人福利性单位声明函（如涉及）</w:t>
      </w:r>
    </w:p>
    <w:p>
      <w:pPr>
        <w:spacing w:line="588" w:lineRule="exact"/>
        <w:jc w:val="center"/>
        <w:rPr>
          <w:rFonts w:ascii="宋体" w:hAnsi="宋体" w:cs="宋体"/>
          <w:b/>
          <w:bCs/>
          <w:szCs w:val="28"/>
        </w:rPr>
      </w:pPr>
      <w:r>
        <w:rPr>
          <w:rFonts w:hint="eastAsia" w:ascii="宋体" w:hAnsi="宋体" w:cs="宋体"/>
          <w:b/>
          <w:bCs/>
          <w:szCs w:val="28"/>
        </w:rPr>
        <w:t>（注：仅残疾人福利性单位提供，非残疾人福利性单位不提供本声明函）</w:t>
      </w:r>
    </w:p>
    <w:p>
      <w:pPr>
        <w:pStyle w:val="12"/>
        <w:ind w:left="430"/>
        <w:rPr>
          <w:rFonts w:ascii="宋体" w:hAnsi="宋体" w:eastAsia="宋体" w:cs="宋体"/>
        </w:rPr>
      </w:pPr>
    </w:p>
    <w:p>
      <w:pPr>
        <w:spacing w:line="360" w:lineRule="auto"/>
        <w:ind w:firstLine="504"/>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w:t>
      </w:r>
      <w:r>
        <w:rPr>
          <w:rFonts w:hint="eastAsia" w:ascii="宋体" w:hAnsi="宋体" w:cs="宋体"/>
          <w:spacing w:val="6"/>
          <w:sz w:val="24"/>
          <w:u w:val="single"/>
        </w:rPr>
        <w:t xml:space="preserve">          </w:t>
      </w:r>
      <w:r>
        <w:rPr>
          <w:rFonts w:hint="eastAsia" w:ascii="宋体" w:hAnsi="宋体" w:cs="宋体"/>
          <w:spacing w:val="6"/>
          <w:sz w:val="24"/>
        </w:rPr>
        <w:t>单位的</w:t>
      </w:r>
      <w:r>
        <w:rPr>
          <w:rFonts w:hint="eastAsia" w:ascii="宋体" w:hAnsi="宋体" w:cs="宋体"/>
          <w:spacing w:val="6"/>
          <w:sz w:val="24"/>
          <w:u w:val="single"/>
        </w:rPr>
        <w:t xml:space="preserve">        </w:t>
      </w:r>
      <w:r>
        <w:rPr>
          <w:rFonts w:hint="eastAsia" w:ascii="宋体" w:hAnsi="宋体" w:cs="宋体"/>
          <w:spacing w:val="6"/>
          <w:sz w:val="24"/>
        </w:rPr>
        <w:t>项目采购活动，由本单位提供服务。</w:t>
      </w:r>
    </w:p>
    <w:p>
      <w:pPr>
        <w:spacing w:line="360" w:lineRule="auto"/>
        <w:ind w:firstLine="504"/>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360" w:lineRule="auto"/>
        <w:ind w:firstLine="624"/>
        <w:rPr>
          <w:rFonts w:ascii="宋体" w:hAnsi="宋体" w:cs="宋体"/>
          <w:spacing w:val="6"/>
          <w:sz w:val="24"/>
        </w:rPr>
      </w:pPr>
    </w:p>
    <w:p>
      <w:pPr>
        <w:spacing w:line="360" w:lineRule="auto"/>
        <w:ind w:firstLine="624"/>
        <w:rPr>
          <w:rFonts w:ascii="宋体" w:hAnsi="宋体" w:cs="宋体"/>
          <w:spacing w:val="6"/>
          <w:sz w:val="24"/>
        </w:rPr>
      </w:pPr>
    </w:p>
    <w:p>
      <w:pPr>
        <w:widowControl/>
        <w:spacing w:line="360" w:lineRule="auto"/>
        <w:ind w:firstLine="624"/>
        <w:jc w:val="left"/>
        <w:rPr>
          <w:rFonts w:ascii="宋体" w:hAnsi="宋体" w:cs="宋体"/>
          <w:sz w:val="24"/>
        </w:rPr>
      </w:pPr>
      <w:r>
        <w:rPr>
          <w:rFonts w:hint="eastAsia" w:ascii="宋体" w:hAnsi="宋体" w:cs="宋体"/>
          <w:spacing w:val="6"/>
          <w:sz w:val="24"/>
        </w:rPr>
        <w:t xml:space="preserve">            </w:t>
      </w:r>
    </w:p>
    <w:p>
      <w:pPr>
        <w:widowControl/>
        <w:spacing w:line="360" w:lineRule="auto"/>
        <w:ind w:firstLine="480"/>
        <w:jc w:val="left"/>
        <w:rPr>
          <w:rFonts w:ascii="宋体" w:hAnsi="宋体" w:cs="宋体"/>
          <w:sz w:val="24"/>
        </w:rPr>
      </w:pPr>
    </w:p>
    <w:p>
      <w:pPr>
        <w:widowControl/>
        <w:spacing w:line="360" w:lineRule="auto"/>
        <w:ind w:firstLine="480"/>
        <w:jc w:val="left"/>
        <w:rPr>
          <w:rFonts w:ascii="宋体" w:hAnsi="宋体" w:cs="宋体"/>
          <w:sz w:val="24"/>
        </w:rPr>
      </w:pPr>
      <w:r>
        <w:rPr>
          <w:rFonts w:hint="eastAsia" w:ascii="宋体" w:hAnsi="宋体" w:cs="宋体"/>
          <w:sz w:val="24"/>
        </w:rPr>
        <w:t>　　</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供应商名称：</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（加盖公章）</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法定代表人或代理人：</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（签字）</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日期：年月日</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p>
    <w:p>
      <w:pPr>
        <w:autoSpaceDE w:val="0"/>
        <w:autoSpaceDN w:val="0"/>
        <w:adjustRightInd w:val="0"/>
        <w:spacing w:line="360" w:lineRule="auto"/>
        <w:ind w:firstLine="480"/>
        <w:jc w:val="left"/>
        <w:rPr>
          <w:rFonts w:ascii="宋体" w:hAnsi="宋体" w:cs="宋体"/>
          <w:b/>
          <w:bCs/>
          <w:kern w:val="0"/>
          <w:sz w:val="24"/>
        </w:rPr>
      </w:pPr>
      <w:r>
        <w:rPr>
          <w:rFonts w:hint="eastAsia" w:ascii="宋体" w:hAnsi="宋体" w:cs="宋体"/>
          <w:b/>
          <w:bCs/>
          <w:kern w:val="0"/>
          <w:sz w:val="24"/>
        </w:rPr>
        <w:t>注：在政府采购活动中，残疾人福利性单位视同小型、微型企业，享受预留份额。</w:t>
      </w:r>
    </w:p>
    <w:p>
      <w:pPr>
        <w:widowControl/>
        <w:jc w:val="left"/>
        <w:rPr>
          <w:rFonts w:ascii="宋体" w:hAnsi="宋体" w:cs="宋体"/>
          <w:b/>
          <w:bCs/>
          <w:color w:val="000000" w:themeColor="text1"/>
          <w:sz w:val="28"/>
          <w:szCs w:val="32"/>
          <w14:textFill>
            <w14:solidFill>
              <w14:schemeClr w14:val="tx1"/>
            </w14:solidFill>
          </w14:textFill>
        </w:rPr>
      </w:pPr>
    </w:p>
    <w:p>
      <w:pPr>
        <w:widowControl/>
        <w:jc w:val="left"/>
        <w:rPr>
          <w:rFonts w:ascii="宋体" w:hAnsi="宋体" w:cs="宋体"/>
          <w:b/>
          <w:bCs/>
          <w:color w:val="000000" w:themeColor="text1"/>
          <w:sz w:val="28"/>
          <w:szCs w:val="32"/>
          <w:lang w:val="zh-CN"/>
          <w14:textFill>
            <w14:solidFill>
              <w14:schemeClr w14:val="tx1"/>
            </w14:solidFill>
          </w14:textFill>
        </w:rPr>
      </w:pPr>
      <w:r>
        <w:rPr>
          <w:rFonts w:ascii="宋体" w:hAnsi="宋体" w:cs="宋体"/>
          <w:color w:val="000000" w:themeColor="text1"/>
          <w:sz w:val="28"/>
          <w:szCs w:val="32"/>
          <w:lang w:val="zh-CN"/>
          <w14:textFill>
            <w14:solidFill>
              <w14:schemeClr w14:val="tx1"/>
            </w14:solidFill>
          </w14:textFill>
        </w:rPr>
        <w:br w:type="page"/>
      </w:r>
    </w:p>
    <w:p>
      <w:pPr>
        <w:pStyle w:val="2"/>
        <w:spacing w:line="240" w:lineRule="auto"/>
        <w:jc w:val="center"/>
        <w:rPr>
          <w:rFonts w:ascii="宋体" w:hAnsi="宋体" w:cs="宋体"/>
          <w:color w:val="000000" w:themeColor="text1"/>
          <w:sz w:val="28"/>
          <w:szCs w:val="32"/>
          <w:lang w:val="zh-CN"/>
          <w14:textFill>
            <w14:solidFill>
              <w14:schemeClr w14:val="tx1"/>
            </w14:solidFill>
          </w14:textFill>
        </w:rPr>
      </w:pPr>
      <w:r>
        <w:rPr>
          <w:rFonts w:hint="eastAsia" w:ascii="宋体" w:hAnsi="宋体" w:cs="宋体"/>
          <w:color w:val="000000" w:themeColor="text1"/>
          <w:sz w:val="28"/>
          <w:szCs w:val="32"/>
          <w:lang w:val="zh-CN"/>
          <w14:textFill>
            <w14:solidFill>
              <w14:schemeClr w14:val="tx1"/>
            </w14:solidFill>
          </w14:textFill>
        </w:rPr>
        <w:t>（七）其他资格证明材料</w:t>
      </w:r>
    </w:p>
    <w:p>
      <w:pPr>
        <w:rPr>
          <w:rFonts w:ascii="宋体" w:hAnsi="宋体" w:cs="宋体"/>
          <w:color w:val="000000" w:themeColor="text1"/>
          <w14:textFill>
            <w14:solidFill>
              <w14:schemeClr w14:val="tx1"/>
            </w14:solidFill>
          </w14:textFill>
        </w:rPr>
      </w:pPr>
    </w:p>
    <w:p>
      <w:pPr>
        <w:pStyle w:val="12"/>
        <w:ind w:firstLine="480"/>
        <w:rPr>
          <w:rFonts w:ascii="宋体" w:hAnsi="宋体" w:eastAsia="宋体" w:cs="宋体"/>
          <w:color w:val="000000" w:themeColor="text1"/>
          <w:kern w:val="0"/>
          <w:sz w:val="24"/>
          <w:szCs w:val="20"/>
          <w14:textFill>
            <w14:solidFill>
              <w14:schemeClr w14:val="tx1"/>
            </w14:solidFill>
          </w14:textFill>
        </w:rPr>
      </w:pPr>
    </w:p>
    <w:p>
      <w:pPr>
        <w:pStyle w:val="12"/>
        <w:ind w:firstLine="48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注：供应商应按照第四章的要求提供相应其他证明材料。格式自拟。</w:t>
      </w:r>
    </w:p>
    <w:p>
      <w:pPr>
        <w:pStyle w:val="12"/>
        <w:ind w:firstLine="480"/>
        <w:rPr>
          <w:rFonts w:ascii="宋体" w:hAnsi="宋体" w:eastAsia="宋体" w:cs="宋体"/>
          <w:color w:val="000000" w:themeColor="text1"/>
          <w:kern w:val="0"/>
          <w:sz w:val="24"/>
          <w14:textFill>
            <w14:solidFill>
              <w14:schemeClr w14:val="tx1"/>
            </w14:solidFill>
          </w14:textFill>
        </w:rPr>
      </w:pPr>
    </w:p>
    <w:p>
      <w:pPr>
        <w:autoSpaceDE w:val="0"/>
        <w:autoSpaceDN w:val="0"/>
        <w:adjustRightInd w:val="0"/>
        <w:spacing w:line="440" w:lineRule="exact"/>
        <w:ind w:firstLine="480"/>
        <w:jc w:val="left"/>
        <w:rPr>
          <w:rFonts w:ascii="宋体" w:hAnsi="宋体" w:cs="宋体"/>
          <w:color w:val="000000" w:themeColor="text1"/>
          <w:sz w:val="36"/>
          <w:szCs w:val="36"/>
          <w14:textFill>
            <w14:solidFill>
              <w14:schemeClr w14:val="tx1"/>
            </w14:solidFill>
          </w14:textFill>
        </w:rPr>
      </w:pPr>
    </w:p>
    <w:p>
      <w:pPr>
        <w:pStyle w:val="12"/>
        <w:ind w:firstLine="0"/>
        <w:rPr>
          <w:rFonts w:ascii="宋体" w:hAnsi="宋体" w:eastAsia="宋体" w:cs="宋体"/>
          <w:color w:val="000000" w:themeColor="text1"/>
          <w:sz w:val="36"/>
          <w:szCs w:val="36"/>
          <w14:textFill>
            <w14:solidFill>
              <w14:schemeClr w14:val="tx1"/>
            </w14:solidFill>
          </w14:textFill>
        </w:rPr>
      </w:pPr>
    </w:p>
    <w:p>
      <w:pPr>
        <w:spacing w:line="360" w:lineRule="auto"/>
        <w:jc w:val="center"/>
        <w:outlineLvl w:val="1"/>
        <w:rPr>
          <w:rFonts w:ascii="宋体" w:hAnsi="宋体" w:cs="宋体"/>
          <w:b/>
          <w:color w:val="000000" w:themeColor="text1"/>
          <w:sz w:val="32"/>
          <w14:textFill>
            <w14:solidFill>
              <w14:schemeClr w14:val="tx1"/>
            </w14:solidFill>
          </w14:textFill>
        </w:rPr>
      </w:pPr>
      <w:bookmarkStart w:id="85" w:name="_Toc27691"/>
      <w:r>
        <w:rPr>
          <w:rFonts w:hint="eastAsia" w:ascii="宋体" w:hAnsi="宋体" w:cs="宋体"/>
          <w:color w:val="000000" w:themeColor="text1"/>
          <w:lang w:val="zh-CN"/>
          <w14:textFill>
            <w14:solidFill>
              <w14:schemeClr w14:val="tx1"/>
            </w14:solidFill>
          </w14:textFill>
        </w:rPr>
        <w:br w:type="page"/>
      </w:r>
      <w:r>
        <w:rPr>
          <w:rFonts w:hint="eastAsia" w:ascii="宋体" w:hAnsi="宋体" w:cs="宋体"/>
          <w:b/>
          <w:color w:val="000000" w:themeColor="text1"/>
          <w:sz w:val="32"/>
          <w14:textFill>
            <w14:solidFill>
              <w14:schemeClr w14:val="tx1"/>
            </w14:solidFill>
          </w14:textFill>
        </w:rPr>
        <w:t>二、其他响应文件格式</w:t>
      </w:r>
      <w:bookmarkEnd w:id="85"/>
    </w:p>
    <w:p>
      <w:pPr>
        <w:pStyle w:val="2"/>
        <w:spacing w:line="240" w:lineRule="auto"/>
        <w:rPr>
          <w:rFonts w:ascii="宋体" w:hAnsi="宋体" w:cs="宋体"/>
          <w:color w:val="000000" w:themeColor="text1"/>
          <w:sz w:val="28"/>
          <w:lang w:val="zh-CN"/>
          <w14:textFill>
            <w14:solidFill>
              <w14:schemeClr w14:val="tx1"/>
            </w14:solidFill>
          </w14:textFill>
        </w:rPr>
      </w:pPr>
      <w:r>
        <w:rPr>
          <w:rFonts w:hint="eastAsia" w:ascii="宋体" w:hAnsi="宋体" w:cs="宋体"/>
          <w:color w:val="000000" w:themeColor="text1"/>
          <w:sz w:val="28"/>
          <w:lang w:val="zh-CN"/>
          <w14:textFill>
            <w14:solidFill>
              <w14:schemeClr w14:val="tx1"/>
            </w14:solidFill>
          </w14:textFill>
        </w:rPr>
        <w:t>1、其他响应件密封包装最外层格式</w:t>
      </w:r>
    </w:p>
    <w:tbl>
      <w:tblPr>
        <w:tblStyle w:val="25"/>
        <w:tblW w:w="0" w:type="auto"/>
        <w:tblInd w:w="0" w:type="dxa"/>
        <w:tblLayout w:type="fixed"/>
        <w:tblCellMar>
          <w:top w:w="0" w:type="dxa"/>
          <w:left w:w="108" w:type="dxa"/>
          <w:bottom w:w="0" w:type="dxa"/>
          <w:right w:w="108" w:type="dxa"/>
        </w:tblCellMar>
      </w:tblPr>
      <w:tblGrid>
        <w:gridCol w:w="8980"/>
      </w:tblGrid>
      <w:tr>
        <w:trPr>
          <w:trHeight w:val="3543" w:hRule="atLeast"/>
        </w:trPr>
        <w:tc>
          <w:tcPr>
            <w:tcW w:w="8980" w:type="dxa"/>
            <w:tcBorders>
              <w:top w:val="double" w:color="auto" w:sz="4" w:space="0"/>
              <w:left w:val="double" w:color="auto" w:sz="4" w:space="0"/>
              <w:bottom w:val="double" w:color="auto" w:sz="4" w:space="0"/>
              <w:right w:val="double" w:color="auto" w:sz="4" w:space="0"/>
            </w:tcBorders>
          </w:tcPr>
          <w:p>
            <w:pPr>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邛崃市综合行政执法局数字化城市管理信息采集和处理业务市场化服务项目</w:t>
            </w:r>
          </w:p>
          <w:p>
            <w:pPr>
              <w:autoSpaceDE w:val="0"/>
              <w:autoSpaceDN w:val="0"/>
              <w:adjustRightInd w:val="0"/>
              <w:spacing w:line="360" w:lineRule="auto"/>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项目编号：</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p>
          <w:p>
            <w:pPr>
              <w:autoSpaceDE w:val="0"/>
              <w:autoSpaceDN w:val="0"/>
              <w:adjustRightInd w:val="0"/>
              <w:spacing w:line="360" w:lineRule="auto"/>
              <w:ind w:firstLine="480"/>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其他响应文件</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p>
          <w:p>
            <w:pPr>
              <w:autoSpaceDE w:val="0"/>
              <w:autoSpaceDN w:val="0"/>
              <w:adjustRightInd w:val="0"/>
              <w:spacing w:line="360" w:lineRule="auto"/>
              <w:ind w:firstLine="480"/>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供应商名称：（加盖公章）</w:t>
            </w:r>
          </w:p>
          <w:p>
            <w:pPr>
              <w:autoSpaceDE w:val="0"/>
              <w:autoSpaceDN w:val="0"/>
              <w:adjustRightInd w:val="0"/>
              <w:ind w:firstLine="482"/>
              <w:jc w:val="center"/>
              <w:rPr>
                <w:rFonts w:ascii="宋体" w:hAnsi="宋体" w:cs="宋体"/>
                <w:b/>
                <w:bCs/>
                <w:color w:val="000000" w:themeColor="text1"/>
                <w:lang w:val="zh-CN"/>
                <w14:textFill>
                  <w14:solidFill>
                    <w14:schemeClr w14:val="tx1"/>
                  </w14:solidFill>
                </w14:textFill>
              </w:rPr>
            </w:pPr>
          </w:p>
        </w:tc>
      </w:tr>
    </w:tbl>
    <w:p>
      <w:pPr>
        <w:pStyle w:val="2"/>
        <w:spacing w:line="240" w:lineRule="auto"/>
        <w:rPr>
          <w:rFonts w:ascii="宋体" w:hAnsi="宋体" w:cs="宋体"/>
          <w:color w:val="000000" w:themeColor="text1"/>
          <w:sz w:val="28"/>
          <w:lang w:val="zh-CN"/>
          <w14:textFill>
            <w14:solidFill>
              <w14:schemeClr w14:val="tx1"/>
            </w14:solidFill>
          </w14:textFill>
        </w:rPr>
      </w:pPr>
      <w:r>
        <w:rPr>
          <w:rFonts w:hint="eastAsia" w:ascii="宋体" w:hAnsi="宋体" w:cs="宋体"/>
          <w:color w:val="000000" w:themeColor="text1"/>
          <w:sz w:val="28"/>
          <w:lang w:val="zh-CN"/>
          <w14:textFill>
            <w14:solidFill>
              <w14:schemeClr w14:val="tx1"/>
            </w14:solidFill>
          </w14:textFill>
        </w:rPr>
        <w:t>2、其他响应文件封面格式</w:t>
      </w:r>
    </w:p>
    <w:tbl>
      <w:tblPr>
        <w:tblStyle w:val="25"/>
        <w:tblW w:w="0" w:type="auto"/>
        <w:tblInd w:w="-115" w:type="dxa"/>
        <w:tblLayout w:type="fixed"/>
        <w:tblCellMar>
          <w:top w:w="0" w:type="dxa"/>
          <w:left w:w="108" w:type="dxa"/>
          <w:bottom w:w="0" w:type="dxa"/>
          <w:right w:w="108" w:type="dxa"/>
        </w:tblCellMar>
      </w:tblPr>
      <w:tblGrid>
        <w:gridCol w:w="9080"/>
      </w:tblGrid>
      <w:tr>
        <w:tblPrEx>
          <w:tblCellMar>
            <w:top w:w="0" w:type="dxa"/>
            <w:left w:w="108" w:type="dxa"/>
            <w:bottom w:w="0" w:type="dxa"/>
            <w:right w:w="108" w:type="dxa"/>
          </w:tblCellMar>
        </w:tblPrEx>
        <w:trPr>
          <w:trHeight w:val="3723" w:hRule="atLeast"/>
        </w:trPr>
        <w:tc>
          <w:tcPr>
            <w:tcW w:w="9080" w:type="dxa"/>
            <w:tcBorders>
              <w:top w:val="double" w:color="auto" w:sz="4" w:space="0"/>
              <w:left w:val="double" w:color="auto" w:sz="4" w:space="0"/>
              <w:bottom w:val="double" w:color="auto" w:sz="4" w:space="0"/>
              <w:right w:val="double" w:color="auto" w:sz="4" w:space="0"/>
            </w:tcBorders>
          </w:tcPr>
          <w:p>
            <w:pPr>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邛崃市综合行政执法局数字化城市管理信息采集和处理业务市场化服务项目</w:t>
            </w:r>
          </w:p>
          <w:p>
            <w:pPr>
              <w:autoSpaceDE w:val="0"/>
              <w:autoSpaceDN w:val="0"/>
              <w:adjustRightInd w:val="0"/>
              <w:spacing w:line="360" w:lineRule="auto"/>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项目编号：      </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p>
          <w:p>
            <w:pPr>
              <w:autoSpaceDE w:val="0"/>
              <w:autoSpaceDN w:val="0"/>
              <w:adjustRightInd w:val="0"/>
              <w:spacing w:line="360" w:lineRule="auto"/>
              <w:ind w:firstLine="480"/>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其他响应文件（正本或副本）</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供应商名称：（加盖公章）</w:t>
            </w:r>
          </w:p>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日期：年月日</w:t>
            </w:r>
          </w:p>
          <w:p>
            <w:pPr>
              <w:autoSpaceDE w:val="0"/>
              <w:autoSpaceDN w:val="0"/>
              <w:adjustRightInd w:val="0"/>
              <w:ind w:firstLine="480"/>
              <w:jc w:val="center"/>
              <w:rPr>
                <w:rFonts w:ascii="宋体" w:hAnsi="宋体" w:cs="宋体"/>
                <w:color w:val="000000" w:themeColor="text1"/>
                <w:lang w:val="zh-CN"/>
                <w14:textFill>
                  <w14:solidFill>
                    <w14:schemeClr w14:val="tx1"/>
                  </w14:solidFill>
                </w14:textFill>
              </w:rPr>
            </w:pPr>
          </w:p>
        </w:tc>
      </w:tr>
    </w:tbl>
    <w:p>
      <w:pPr>
        <w:spacing w:line="440" w:lineRule="exact"/>
        <w:ind w:firstLine="43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温馨提示： 1）其他响应文件正本一份、副本二份；2）其他响应文件应单独密封包装，并于截止时间前送指定地点；3）签字、盖章应符合磋商文件要求。</w:t>
      </w:r>
    </w:p>
    <w:p>
      <w:pPr>
        <w:ind w:firstLine="480"/>
        <w:rPr>
          <w:rFonts w:ascii="宋体" w:hAnsi="宋体" w:cs="宋体"/>
          <w:color w:val="000000" w:themeColor="text1"/>
          <w:lang w:val="zh-CN"/>
          <w14:textFill>
            <w14:solidFill>
              <w14:schemeClr w14:val="tx1"/>
            </w14:solidFill>
          </w14:textFill>
        </w:rPr>
      </w:pPr>
    </w:p>
    <w:p>
      <w:pPr>
        <w:pStyle w:val="12"/>
        <w:rPr>
          <w:rFonts w:ascii="宋体" w:hAnsi="宋体" w:eastAsia="宋体" w:cs="宋体"/>
          <w:color w:val="000000" w:themeColor="text1"/>
          <w:sz w:val="36"/>
          <w:szCs w:val="36"/>
          <w14:textFill>
            <w14:solidFill>
              <w14:schemeClr w14:val="tx1"/>
            </w14:solidFill>
          </w14:textFill>
        </w:rPr>
        <w:sectPr>
          <w:headerReference r:id="rId6" w:type="first"/>
          <w:footerReference r:id="rId7" w:type="first"/>
          <w:type w:val="continuous"/>
          <w:pgSz w:w="11849" w:h="16781"/>
          <w:pgMar w:top="1469" w:right="1083" w:bottom="1440" w:left="1083" w:header="851" w:footer="992" w:gutter="0"/>
          <w:pgNumType w:start="1"/>
          <w:cols w:space="720" w:num="1"/>
          <w:titlePg/>
          <w:docGrid w:type="linesAndChars" w:linePitch="312" w:charSpace="1060"/>
        </w:sectPr>
      </w:pPr>
    </w:p>
    <w:p>
      <w:pPr>
        <w:pStyle w:val="2"/>
        <w:spacing w:line="240" w:lineRule="auto"/>
        <w:jc w:val="center"/>
        <w:rPr>
          <w:rFonts w:ascii="宋体" w:hAnsi="宋体" w:cs="宋体"/>
          <w:color w:val="000000" w:themeColor="text1"/>
          <w:sz w:val="28"/>
          <w:szCs w:val="32"/>
          <w:lang w:val="zh-CN"/>
          <w14:textFill>
            <w14:solidFill>
              <w14:schemeClr w14:val="tx1"/>
            </w14:solidFill>
          </w14:textFill>
        </w:rPr>
      </w:pPr>
      <w:r>
        <w:rPr>
          <w:rFonts w:hint="eastAsia" w:ascii="宋体" w:hAnsi="宋体" w:cs="宋体"/>
          <w:color w:val="000000" w:themeColor="text1"/>
          <w:sz w:val="28"/>
          <w:szCs w:val="32"/>
          <w:lang w:val="zh-CN"/>
          <w14:textFill>
            <w14:solidFill>
              <w14:schemeClr w14:val="tx1"/>
            </w14:solidFill>
          </w14:textFill>
        </w:rPr>
        <w:t>（</w:t>
      </w:r>
      <w:r>
        <w:rPr>
          <w:rFonts w:hint="eastAsia" w:ascii="宋体" w:hAnsi="宋体" w:cs="宋体"/>
          <w:color w:val="000000" w:themeColor="text1"/>
          <w:sz w:val="28"/>
          <w:szCs w:val="32"/>
          <w14:textFill>
            <w14:solidFill>
              <w14:schemeClr w14:val="tx1"/>
            </w14:solidFill>
          </w14:textFill>
        </w:rPr>
        <w:t>一</w:t>
      </w:r>
      <w:r>
        <w:rPr>
          <w:rFonts w:hint="eastAsia" w:ascii="宋体" w:hAnsi="宋体" w:cs="宋体"/>
          <w:color w:val="000000" w:themeColor="text1"/>
          <w:sz w:val="28"/>
          <w:szCs w:val="32"/>
          <w:lang w:val="zh-CN"/>
          <w14:textFill>
            <w14:solidFill>
              <w14:schemeClr w14:val="tx1"/>
            </w14:solidFill>
          </w14:textFill>
        </w:rPr>
        <w:t>）响应函</w:t>
      </w:r>
    </w:p>
    <w:p>
      <w:pPr>
        <w:autoSpaceDE w:val="0"/>
        <w:autoSpaceDN w:val="0"/>
        <w:adjustRightInd w:val="0"/>
        <w:snapToGrid w:val="0"/>
        <w:spacing w:line="360" w:lineRule="auto"/>
        <w:ind w:firstLine="482"/>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致：四川同方建设咨询有限公司 </w:t>
      </w:r>
    </w:p>
    <w:p>
      <w:pPr>
        <w:autoSpaceDE w:val="0"/>
        <w:autoSpaceDN w:val="0"/>
        <w:adjustRightInd w:val="0"/>
        <w:snapToGrid w:val="0"/>
        <w:spacing w:line="360" w:lineRule="auto"/>
        <w:ind w:firstLine="482"/>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根据贵方为</w:t>
      </w:r>
      <w:r>
        <w:rPr>
          <w:rFonts w:hint="eastAsia" w:ascii="宋体" w:hAnsi="宋体" w:cs="宋体"/>
          <w:color w:val="000000" w:themeColor="text1"/>
          <w:sz w:val="24"/>
          <w:u w:val="single"/>
          <w14:textFill>
            <w14:solidFill>
              <w14:schemeClr w14:val="tx1"/>
            </w14:solidFill>
          </w14:textFill>
        </w:rPr>
        <w:t>　　　　　　　</w:t>
      </w:r>
      <w:r>
        <w:rPr>
          <w:rFonts w:hint="eastAsia" w:ascii="宋体" w:hAnsi="宋体" w:cs="宋体"/>
          <w:color w:val="000000" w:themeColor="text1"/>
          <w:sz w:val="24"/>
          <w14:textFill>
            <w14:solidFill>
              <w14:schemeClr w14:val="tx1"/>
            </w14:solidFill>
          </w14:textFill>
        </w:rPr>
        <w:t>项目</w:t>
      </w:r>
      <w:r>
        <w:rPr>
          <w:rFonts w:hint="eastAsia" w:ascii="宋体" w:hAnsi="宋体" w:cs="宋体"/>
          <w:color w:val="000000" w:themeColor="text1"/>
          <w:sz w:val="24"/>
          <w:lang w:val="zh-CN"/>
          <w14:textFill>
            <w14:solidFill>
              <w14:schemeClr w14:val="tx1"/>
            </w14:solidFill>
          </w14:textFill>
        </w:rPr>
        <w:t>（项目编号：</w:t>
      </w:r>
      <w:r>
        <w:rPr>
          <w:rFonts w:hint="eastAsia" w:ascii="宋体" w:hAnsi="宋体" w:cs="宋体"/>
          <w:color w:val="000000" w:themeColor="text1"/>
          <w:sz w:val="24"/>
          <w:u w:val="single"/>
          <w:lang w:val="zh-CN"/>
          <w14:textFill>
            <w14:solidFill>
              <w14:schemeClr w14:val="tx1"/>
            </w14:solidFill>
          </w14:textFill>
        </w:rPr>
        <w:t>　　   　　</w:t>
      </w:r>
      <w:r>
        <w:rPr>
          <w:rFonts w:hint="eastAsia" w:ascii="宋体" w:hAnsi="宋体" w:cs="宋体"/>
          <w:color w:val="000000" w:themeColor="text1"/>
          <w:sz w:val="24"/>
          <w:lang w:val="zh-CN"/>
          <w14:textFill>
            <w14:solidFill>
              <w14:schemeClr w14:val="tx1"/>
            </w14:solidFill>
          </w14:textFill>
        </w:rPr>
        <w:t>）的磋商邀请，代理人____________（全名、职务）经正式授权并代表供应商________________（供应商名称、地址）提交</w:t>
      </w:r>
      <w:r>
        <w:rPr>
          <w:rFonts w:hint="eastAsia" w:ascii="宋体" w:hAnsi="宋体" w:cs="宋体"/>
          <w:color w:val="000000" w:themeColor="text1"/>
          <w:sz w:val="24"/>
          <w14:textFill>
            <w14:solidFill>
              <w14:schemeClr w14:val="tx1"/>
            </w14:solidFill>
          </w14:textFill>
        </w:rPr>
        <w:t>本项目响应文件</w:t>
      </w:r>
      <w:r>
        <w:rPr>
          <w:rFonts w:hint="eastAsia" w:ascii="宋体" w:hAnsi="宋体" w:cs="宋体"/>
          <w:color w:val="000000" w:themeColor="text1"/>
          <w:sz w:val="24"/>
          <w:lang w:val="zh-CN"/>
          <w14:textFill>
            <w14:solidFill>
              <w14:schemeClr w14:val="tx1"/>
            </w14:solidFill>
          </w14:textFill>
        </w:rPr>
        <w:t>。</w:t>
      </w:r>
    </w:p>
    <w:p>
      <w:pPr>
        <w:autoSpaceDE w:val="0"/>
        <w:autoSpaceDN w:val="0"/>
        <w:adjustRightInd w:val="0"/>
        <w:snapToGrid w:val="0"/>
        <w:spacing w:line="360" w:lineRule="auto"/>
        <w:ind w:firstLine="482"/>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据此函，签字代表宣布同意如下：</w:t>
      </w:r>
    </w:p>
    <w:p>
      <w:pPr>
        <w:numPr>
          <w:ilvl w:val="0"/>
          <w:numId w:val="6"/>
        </w:num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项目进度和质量严格按磋商文件的规定执行，否则将承担由此产生的一切责任。</w:t>
      </w:r>
    </w:p>
    <w:p>
      <w:pPr>
        <w:numPr>
          <w:ilvl w:val="0"/>
          <w:numId w:val="6"/>
        </w:numPr>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我方已详细审查了全部磋商文件，包括修改文件（如有的话）以及全部参考资料和有关附件。我们完全理解并同意放弃对这方面有不明及误解的权力。</w:t>
      </w:r>
    </w:p>
    <w:p>
      <w:pPr>
        <w:pStyle w:val="9"/>
        <w:numPr>
          <w:ilvl w:val="0"/>
          <w:numId w:val="6"/>
        </w:numPr>
        <w:spacing w:line="360" w:lineRule="auto"/>
        <w:ind w:firstLine="480"/>
        <w:rPr>
          <w:rFonts w:cs="宋体"/>
          <w:color w:val="000000" w:themeColor="text1"/>
          <w:sz w:val="24"/>
          <w:szCs w:val="24"/>
          <w:lang w:val="zh-CN"/>
          <w14:textFill>
            <w14:solidFill>
              <w14:schemeClr w14:val="tx1"/>
            </w14:solidFill>
          </w14:textFill>
        </w:rPr>
      </w:pPr>
      <w:r>
        <w:rPr>
          <w:rFonts w:hint="eastAsia" w:cs="宋体"/>
          <w:color w:val="000000" w:themeColor="text1"/>
          <w:sz w:val="24"/>
          <w:szCs w:val="24"/>
          <w:lang w:val="zh-CN"/>
          <w14:textFill>
            <w14:solidFill>
              <w14:schemeClr w14:val="tx1"/>
            </w14:solidFill>
          </w14:textFill>
        </w:rPr>
        <w:t>我方完全接受和满足本项目磋商文件中规定的实质性要求，如对磋商文件有异议，已依法进行维权救济，不存在对磋商文件有异议的同时又参加磋商以求侥幸成交或者为实现其他非法目的的行为。</w:t>
      </w:r>
    </w:p>
    <w:p>
      <w:pPr>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）我方同意响应文件有效期为从递交响应文件截止日期起</w:t>
      </w:r>
      <w:r>
        <w:rPr>
          <w:rFonts w:hint="eastAsia" w:ascii="宋体" w:hAnsi="宋体" w:cs="宋体"/>
          <w:color w:val="000000" w:themeColor="text1"/>
          <w:sz w:val="24"/>
          <w:u w:val="single"/>
          <w:lang w:val="zh-CN"/>
          <w14:textFill>
            <w14:solidFill>
              <w14:schemeClr w14:val="tx1"/>
            </w14:solidFill>
          </w14:textFill>
        </w:rPr>
        <w:t xml:space="preserve"> </w:t>
      </w:r>
      <w:r>
        <w:rPr>
          <w:rFonts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天内有效。</w:t>
      </w:r>
    </w:p>
    <w:p>
      <w:pPr>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）我方同意提供采购人可能要求的与磋商有关的任何其它资料或数据。</w:t>
      </w:r>
    </w:p>
    <w:p>
      <w:pPr>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（6）如我方有意进行成都市中小企业政府采购信用融资活动，我单位将严格按照信用融资活动相关规定进行，同时真实、完整、准确地向融资机构提供信用融资审查所需相关资料，遵照融资约定及时还本付息。</w:t>
      </w:r>
    </w:p>
    <w:p>
      <w:pPr>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）我方将按磋商文件的规定履行合同责任和义务，并对提交的材料中的所有陈述和声明的真实性和完整性负责。</w:t>
      </w:r>
    </w:p>
    <w:p>
      <w:pPr>
        <w:autoSpaceDE w:val="0"/>
        <w:autoSpaceDN w:val="0"/>
        <w:adjustRightInd w:val="0"/>
        <w:snapToGrid w:val="0"/>
        <w:spacing w:line="360" w:lineRule="auto"/>
        <w:ind w:firstLine="482"/>
        <w:jc w:val="left"/>
        <w:rPr>
          <w:rFonts w:ascii="宋体" w:hAnsi="宋体" w:cs="宋体"/>
          <w:color w:val="000000" w:themeColor="text1"/>
          <w:sz w:val="24"/>
          <w:lang w:val="zh-CN"/>
          <w14:textFill>
            <w14:solidFill>
              <w14:schemeClr w14:val="tx1"/>
            </w14:solidFill>
          </w14:textFill>
        </w:rPr>
      </w:pPr>
    </w:p>
    <w:p>
      <w:pPr>
        <w:snapToGrid w:val="0"/>
        <w:spacing w:line="360" w:lineRule="auto"/>
        <w:ind w:firstLine="482"/>
        <w:rPr>
          <w:rFonts w:ascii="宋体" w:hAnsi="宋体" w:cs="宋体"/>
          <w:color w:val="000000" w:themeColor="text1"/>
          <w:sz w:val="24"/>
          <w:lang w:val="zh-CN"/>
          <w14:textFill>
            <w14:solidFill>
              <w14:schemeClr w14:val="tx1"/>
            </w14:solidFill>
          </w14:textFill>
        </w:rPr>
      </w:pPr>
    </w:p>
    <w:p>
      <w:pPr>
        <w:spacing w:line="360" w:lineRule="auto"/>
        <w:ind w:firstLine="480"/>
        <w:rPr>
          <w:rFonts w:ascii="宋体" w:hAnsi="宋体" w:cs="宋体"/>
          <w:color w:val="000000" w:themeColor="text1"/>
          <w14:textFill>
            <w14:solidFill>
              <w14:schemeClr w14:val="tx1"/>
            </w14:solidFill>
          </w14:textFill>
        </w:rPr>
      </w:pP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供应商名称：</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（加盖公章）</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法定代表人或代理人：</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（签字）</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日期：年月日</w:t>
      </w:r>
    </w:p>
    <w:p>
      <w:pPr>
        <w:pStyle w:val="2"/>
        <w:spacing w:line="240" w:lineRule="auto"/>
        <w:jc w:val="center"/>
        <w:rPr>
          <w:rFonts w:ascii="宋体" w:hAnsi="宋体" w:cs="宋体"/>
          <w:color w:val="000000" w:themeColor="text1"/>
          <w:sz w:val="28"/>
          <w:lang w:val="zh-CN"/>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sz w:val="28"/>
          <w:szCs w:val="32"/>
          <w:lang w:val="zh-CN"/>
          <w14:textFill>
            <w14:solidFill>
              <w14:schemeClr w14:val="tx1"/>
            </w14:solidFill>
          </w14:textFill>
        </w:rPr>
        <w:t>（</w:t>
      </w:r>
      <w:r>
        <w:rPr>
          <w:rFonts w:hint="eastAsia" w:ascii="宋体" w:hAnsi="宋体" w:cs="宋体"/>
          <w:color w:val="000000" w:themeColor="text1"/>
          <w:sz w:val="28"/>
          <w:szCs w:val="32"/>
          <w14:textFill>
            <w14:solidFill>
              <w14:schemeClr w14:val="tx1"/>
            </w14:solidFill>
          </w14:textFill>
        </w:rPr>
        <w:t>二</w:t>
      </w:r>
      <w:r>
        <w:rPr>
          <w:rFonts w:hint="eastAsia" w:ascii="宋体" w:hAnsi="宋体" w:cs="宋体"/>
          <w:color w:val="000000" w:themeColor="text1"/>
          <w:sz w:val="28"/>
          <w:szCs w:val="32"/>
          <w:lang w:val="zh-CN"/>
          <w14:textFill>
            <w14:solidFill>
              <w14:schemeClr w14:val="tx1"/>
            </w14:solidFill>
          </w14:textFill>
        </w:rPr>
        <w:t>）首轮报价函</w:t>
      </w:r>
    </w:p>
    <w:tbl>
      <w:tblPr>
        <w:tblStyle w:val="25"/>
        <w:tblW w:w="993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4"/>
        <w:gridCol w:w="6463"/>
        <w:gridCol w:w="141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18" w:hRule="atLeast"/>
          <w:jc w:val="center"/>
        </w:trPr>
        <w:tc>
          <w:tcPr>
            <w:tcW w:w="2064" w:type="dxa"/>
            <w:tcBorders>
              <w:top w:val="single" w:color="auto" w:sz="4" w:space="0"/>
              <w:left w:val="single" w:color="auto" w:sz="4" w:space="0"/>
              <w:bottom w:val="single" w:color="000000" w:sz="6" w:space="0"/>
            </w:tcBorders>
            <w:vAlign w:val="center"/>
          </w:tcPr>
          <w:p>
            <w:pPr>
              <w:wordWrap w:val="0"/>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6463" w:type="dxa"/>
            <w:tcBorders>
              <w:top w:val="single" w:color="auto" w:sz="4" w:space="0"/>
              <w:bottom w:val="single" w:color="000000" w:sz="6" w:space="0"/>
              <w:right w:val="single" w:color="auto" w:sz="4" w:space="0"/>
            </w:tcBorders>
            <w:vAlign w:val="center"/>
          </w:tcPr>
          <w:p>
            <w:pPr>
              <w:wordWrap w:val="0"/>
              <w:topLinePunct/>
              <w:jc w:val="center"/>
              <w:rPr>
                <w:rFonts w:ascii="宋体" w:hAnsi="宋体" w:cs="宋体"/>
                <w:color w:val="000000" w:themeColor="text1"/>
                <w:szCs w:val="21"/>
                <w14:textFill>
                  <w14:solidFill>
                    <w14:schemeClr w14:val="tx1"/>
                  </w14:solidFill>
                </w14:textFill>
              </w:rPr>
            </w:pPr>
          </w:p>
        </w:tc>
        <w:tc>
          <w:tcPr>
            <w:tcW w:w="1412" w:type="dxa"/>
            <w:tcBorders>
              <w:top w:val="single" w:color="auto" w:sz="4" w:space="0"/>
              <w:left w:val="single" w:color="auto" w:sz="4" w:space="0"/>
              <w:bottom w:val="single" w:color="000000" w:sz="6" w:space="0"/>
              <w:right w:val="single" w:color="auto" w:sz="4" w:space="0"/>
            </w:tcBorders>
            <w:vAlign w:val="center"/>
          </w:tcPr>
          <w:p>
            <w:pPr>
              <w:wordWrap w:val="0"/>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28" w:hRule="atLeast"/>
          <w:jc w:val="center"/>
        </w:trPr>
        <w:tc>
          <w:tcPr>
            <w:tcW w:w="2064" w:type="dxa"/>
            <w:tcBorders>
              <w:top w:val="single" w:color="000000" w:sz="6" w:space="0"/>
              <w:left w:val="single" w:color="auto" w:sz="4" w:space="0"/>
            </w:tcBorders>
            <w:vAlign w:val="center"/>
          </w:tcPr>
          <w:p>
            <w:pPr>
              <w:wordWrap w:val="0"/>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p>
        </w:tc>
        <w:tc>
          <w:tcPr>
            <w:tcW w:w="6463" w:type="dxa"/>
            <w:tcBorders>
              <w:top w:val="single" w:color="000000" w:sz="6" w:space="0"/>
              <w:right w:val="single" w:color="auto" w:sz="4" w:space="0"/>
            </w:tcBorders>
            <w:vAlign w:val="center"/>
          </w:tcPr>
          <w:p>
            <w:pPr>
              <w:wordWrap w:val="0"/>
              <w:topLinePunct/>
              <w:ind w:firstLine="480"/>
              <w:jc w:val="center"/>
              <w:rPr>
                <w:rFonts w:ascii="宋体" w:hAnsi="宋体" w:cs="宋体"/>
                <w:color w:val="000000" w:themeColor="text1"/>
                <w:szCs w:val="21"/>
                <w14:textFill>
                  <w14:solidFill>
                    <w14:schemeClr w14:val="tx1"/>
                  </w14:solidFill>
                </w14:textFill>
              </w:rPr>
            </w:pPr>
          </w:p>
        </w:tc>
        <w:tc>
          <w:tcPr>
            <w:tcW w:w="1412" w:type="dxa"/>
            <w:vMerge w:val="restart"/>
            <w:tcBorders>
              <w:top w:val="single" w:color="000000" w:sz="6" w:space="0"/>
              <w:left w:val="single" w:color="auto" w:sz="4" w:space="0"/>
              <w:bottom w:val="single" w:color="auto" w:sz="4" w:space="0"/>
              <w:right w:val="single" w:color="auto" w:sz="4" w:space="0"/>
            </w:tcBorders>
            <w:vAlign w:val="center"/>
          </w:tcPr>
          <w:p>
            <w:pPr>
              <w:wordWrap w:val="0"/>
              <w:topLinePunct/>
              <w:ind w:firstLine="480"/>
              <w:jc w:val="center"/>
              <w:rPr>
                <w:rFonts w:ascii="宋体" w:hAnsi="宋体" w:cs="宋体"/>
                <w:color w:val="000000" w:themeColor="text1"/>
                <w:szCs w:val="21"/>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674" w:hRule="atLeast"/>
          <w:jc w:val="center"/>
        </w:trPr>
        <w:tc>
          <w:tcPr>
            <w:tcW w:w="2064" w:type="dxa"/>
            <w:tcBorders>
              <w:top w:val="single" w:color="auto" w:sz="4" w:space="0"/>
              <w:left w:val="single" w:color="auto" w:sz="4" w:space="0"/>
              <w:bottom w:val="single" w:color="auto" w:sz="4" w:space="0"/>
              <w:right w:val="single" w:color="auto" w:sz="4" w:space="0"/>
            </w:tcBorders>
            <w:vAlign w:val="center"/>
          </w:tcPr>
          <w:p>
            <w:pPr>
              <w:wordWrap w:val="0"/>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w:t>
            </w:r>
          </w:p>
        </w:tc>
        <w:tc>
          <w:tcPr>
            <w:tcW w:w="6463" w:type="dxa"/>
            <w:tcBorders>
              <w:top w:val="single" w:color="auto" w:sz="4" w:space="0"/>
              <w:bottom w:val="single" w:color="auto" w:sz="4" w:space="0"/>
              <w:right w:val="single" w:color="auto" w:sz="4" w:space="0"/>
            </w:tcBorders>
            <w:vAlign w:val="center"/>
          </w:tcPr>
          <w:p>
            <w:pPr>
              <w:wordWrap w:val="0"/>
              <w:topLinePunct/>
              <w:spacing w:line="360" w:lineRule="auto"/>
              <w:ind w:firstLine="215"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元/年</w:t>
            </w:r>
          </w:p>
        </w:tc>
        <w:tc>
          <w:tcPr>
            <w:tcW w:w="1412" w:type="dxa"/>
            <w:vMerge w:val="continue"/>
            <w:tcBorders>
              <w:top w:val="single" w:color="auto" w:sz="4" w:space="0"/>
              <w:left w:val="single" w:color="auto" w:sz="4" w:space="0"/>
              <w:bottom w:val="single" w:color="auto" w:sz="4" w:space="0"/>
              <w:right w:val="single" w:color="auto" w:sz="4" w:space="0"/>
            </w:tcBorders>
            <w:vAlign w:val="center"/>
          </w:tcPr>
          <w:p>
            <w:pPr>
              <w:wordWrap w:val="0"/>
              <w:topLinePunct/>
              <w:jc w:val="center"/>
              <w:rPr>
                <w:rFonts w:ascii="宋体" w:hAnsi="宋体" w:cs="宋体"/>
                <w:color w:val="000000" w:themeColor="text1"/>
                <w:szCs w:val="21"/>
                <w14:textFill>
                  <w14:solidFill>
                    <w14:schemeClr w14:val="tx1"/>
                  </w14:solidFill>
                </w14:textFill>
              </w:rPr>
            </w:pPr>
          </w:p>
        </w:tc>
      </w:tr>
    </w:tbl>
    <w:p>
      <w:pPr>
        <w:spacing w:line="460" w:lineRule="exact"/>
        <w:ind w:firstLine="430" w:firstLineChars="200"/>
        <w:rPr>
          <w:rFonts w:ascii="宋体" w:hAnsi="宋体" w:cs="宋体"/>
          <w:color w:val="000000" w:themeColor="text1"/>
          <w:sz w:val="18"/>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w:t>
      </w:r>
      <w:r>
        <w:rPr>
          <w:rFonts w:hint="eastAsia" w:ascii="宋体" w:hAnsi="宋体" w:cs="宋体"/>
          <w:color w:val="000000" w:themeColor="text1"/>
          <w:szCs w:val="21"/>
          <w14:textFill>
            <w14:solidFill>
              <w14:schemeClr w14:val="tx1"/>
            </w14:solidFill>
          </w14:textFill>
        </w:rPr>
        <w:t>报价包含本项目所涉及人员劳务、差旅、设备投入、利润、保险、风险、税金等费用。</w:t>
      </w:r>
    </w:p>
    <w:p>
      <w:pPr>
        <w:pStyle w:val="12"/>
        <w:rPr>
          <w:rFonts w:ascii="宋体" w:hAnsi="宋体" w:eastAsia="宋体" w:cs="宋体"/>
          <w:color w:val="000000" w:themeColor="text1"/>
          <w:sz w:val="21"/>
          <w:szCs w:val="21"/>
          <w14:textFill>
            <w14:solidFill>
              <w14:schemeClr w14:val="tx1"/>
            </w14:solidFill>
          </w14:textFill>
        </w:rPr>
      </w:pPr>
    </w:p>
    <w:p>
      <w:pPr>
        <w:pStyle w:val="12"/>
        <w:ind w:firstLine="0"/>
        <w:rPr>
          <w:rFonts w:ascii="宋体" w:hAnsi="宋体" w:eastAsia="宋体" w:cs="宋体"/>
          <w:color w:val="000000" w:themeColor="text1"/>
          <w14:textFill>
            <w14:solidFill>
              <w14:schemeClr w14:val="tx1"/>
            </w14:solidFill>
          </w14:textFill>
        </w:rPr>
      </w:pPr>
    </w:p>
    <w:p>
      <w:pPr>
        <w:spacing w:line="360" w:lineRule="auto"/>
        <w:ind w:firstLine="480"/>
        <w:rPr>
          <w:rFonts w:ascii="宋体" w:hAnsi="宋体" w:cs="宋体"/>
          <w:color w:val="000000" w:themeColor="text1"/>
          <w14:textFill>
            <w14:solidFill>
              <w14:schemeClr w14:val="tx1"/>
            </w14:solidFill>
          </w14:textFill>
        </w:rPr>
      </w:pP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供应商名称：</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（加盖公章）</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法定代表人或代理人：</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（签字）</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日期：年月日</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br w:type="page"/>
      </w:r>
    </w:p>
    <w:p>
      <w:pPr>
        <w:pStyle w:val="2"/>
        <w:spacing w:line="240" w:lineRule="auto"/>
        <w:jc w:val="center"/>
        <w:rPr>
          <w:rFonts w:ascii="宋体" w:hAnsi="宋体" w:cs="宋体"/>
          <w:color w:val="000000" w:themeColor="text1"/>
          <w:sz w:val="28"/>
          <w:szCs w:val="32"/>
          <w:lang w:val="zh-CN"/>
          <w14:textFill>
            <w14:solidFill>
              <w14:schemeClr w14:val="tx1"/>
            </w14:solidFill>
          </w14:textFill>
        </w:rPr>
      </w:pPr>
      <w:r>
        <w:rPr>
          <w:rFonts w:hint="eastAsia" w:ascii="宋体" w:hAnsi="宋体" w:cs="宋体"/>
          <w:color w:val="000000" w:themeColor="text1"/>
          <w:sz w:val="28"/>
          <w:szCs w:val="32"/>
          <w:lang w:val="zh-CN"/>
          <w14:textFill>
            <w14:solidFill>
              <w14:schemeClr w14:val="tx1"/>
            </w14:solidFill>
          </w14:textFill>
        </w:rPr>
        <w:t>（三）供应商基本情况表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6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供应商名称</w:t>
            </w:r>
          </w:p>
        </w:tc>
        <w:tc>
          <w:tcPr>
            <w:tcW w:w="7560" w:type="dxa"/>
            <w:gridSpan w:val="10"/>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注册地址</w:t>
            </w:r>
          </w:p>
        </w:tc>
        <w:tc>
          <w:tcPr>
            <w:tcW w:w="4680" w:type="dxa"/>
            <w:gridSpan w:val="5"/>
            <w:vAlign w:val="center"/>
          </w:tcPr>
          <w:p>
            <w:pPr>
              <w:jc w:val="center"/>
              <w:rPr>
                <w:rFonts w:ascii="宋体" w:hAnsi="宋体" w:cs="宋体"/>
                <w:bCs/>
                <w:color w:val="000000" w:themeColor="text1"/>
                <w:szCs w:val="21"/>
                <w14:textFill>
                  <w14:solidFill>
                    <w14:schemeClr w14:val="tx1"/>
                  </w14:solidFill>
                </w14:textFill>
              </w:rPr>
            </w:pPr>
          </w:p>
        </w:tc>
        <w:tc>
          <w:tcPr>
            <w:tcW w:w="1260" w:type="dxa"/>
            <w:gridSpan w:val="3"/>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邮政编码</w:t>
            </w:r>
          </w:p>
        </w:tc>
        <w:tc>
          <w:tcPr>
            <w:tcW w:w="1620" w:type="dxa"/>
            <w:gridSpan w:val="2"/>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联系方式</w:t>
            </w:r>
          </w:p>
        </w:tc>
        <w:tc>
          <w:tcPr>
            <w:tcW w:w="1260"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联系人</w:t>
            </w:r>
          </w:p>
        </w:tc>
        <w:tc>
          <w:tcPr>
            <w:tcW w:w="3420" w:type="dxa"/>
            <w:gridSpan w:val="4"/>
            <w:vAlign w:val="center"/>
          </w:tcPr>
          <w:p>
            <w:pPr>
              <w:jc w:val="center"/>
              <w:rPr>
                <w:rFonts w:ascii="宋体" w:hAnsi="宋体" w:cs="宋体"/>
                <w:bCs/>
                <w:color w:val="000000" w:themeColor="text1"/>
                <w:szCs w:val="21"/>
                <w14:textFill>
                  <w14:solidFill>
                    <w14:schemeClr w14:val="tx1"/>
                  </w14:solidFill>
                </w14:textFill>
              </w:rPr>
            </w:pPr>
          </w:p>
        </w:tc>
        <w:tc>
          <w:tcPr>
            <w:tcW w:w="1260" w:type="dxa"/>
            <w:gridSpan w:val="3"/>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p>
        </w:tc>
        <w:tc>
          <w:tcPr>
            <w:tcW w:w="1620" w:type="dxa"/>
            <w:gridSpan w:val="2"/>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宋体" w:hAnsi="宋体" w:cs="宋体"/>
                <w:bCs/>
                <w:color w:val="000000" w:themeColor="text1"/>
                <w:szCs w:val="21"/>
                <w14:textFill>
                  <w14:solidFill>
                    <w14:schemeClr w14:val="tx1"/>
                  </w14:solidFill>
                </w14:textFill>
              </w:rPr>
            </w:pPr>
          </w:p>
        </w:tc>
        <w:tc>
          <w:tcPr>
            <w:tcW w:w="1260"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传真</w:t>
            </w:r>
          </w:p>
        </w:tc>
        <w:tc>
          <w:tcPr>
            <w:tcW w:w="3420" w:type="dxa"/>
            <w:gridSpan w:val="4"/>
            <w:vAlign w:val="center"/>
          </w:tcPr>
          <w:p>
            <w:pPr>
              <w:jc w:val="center"/>
              <w:rPr>
                <w:rFonts w:ascii="宋体" w:hAnsi="宋体" w:cs="宋体"/>
                <w:bCs/>
                <w:color w:val="000000" w:themeColor="text1"/>
                <w:szCs w:val="21"/>
                <w14:textFill>
                  <w14:solidFill>
                    <w14:schemeClr w14:val="tx1"/>
                  </w14:solidFill>
                </w14:textFill>
              </w:rPr>
            </w:pPr>
          </w:p>
        </w:tc>
        <w:tc>
          <w:tcPr>
            <w:tcW w:w="1260" w:type="dxa"/>
            <w:gridSpan w:val="3"/>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网址</w:t>
            </w:r>
          </w:p>
        </w:tc>
        <w:tc>
          <w:tcPr>
            <w:tcW w:w="1620" w:type="dxa"/>
            <w:gridSpan w:val="2"/>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组织结构</w:t>
            </w:r>
          </w:p>
        </w:tc>
        <w:tc>
          <w:tcPr>
            <w:tcW w:w="7560" w:type="dxa"/>
            <w:gridSpan w:val="10"/>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法定代表人</w:t>
            </w:r>
          </w:p>
        </w:tc>
        <w:tc>
          <w:tcPr>
            <w:tcW w:w="1260"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姓名</w:t>
            </w:r>
          </w:p>
        </w:tc>
        <w:tc>
          <w:tcPr>
            <w:tcW w:w="1260" w:type="dxa"/>
            <w:vAlign w:val="center"/>
          </w:tcPr>
          <w:p>
            <w:pPr>
              <w:jc w:val="center"/>
              <w:rPr>
                <w:rFonts w:ascii="宋体" w:hAnsi="宋体" w:cs="宋体"/>
                <w:bCs/>
                <w:color w:val="000000" w:themeColor="text1"/>
                <w:szCs w:val="21"/>
                <w14:textFill>
                  <w14:solidFill>
                    <w14:schemeClr w14:val="tx1"/>
                  </w14:solidFill>
                </w14:textFill>
              </w:rPr>
            </w:pPr>
          </w:p>
        </w:tc>
        <w:tc>
          <w:tcPr>
            <w:tcW w:w="1260"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技术职称</w:t>
            </w:r>
          </w:p>
        </w:tc>
        <w:tc>
          <w:tcPr>
            <w:tcW w:w="1260" w:type="dxa"/>
            <w:gridSpan w:val="3"/>
            <w:vAlign w:val="center"/>
          </w:tcPr>
          <w:p>
            <w:pPr>
              <w:jc w:val="center"/>
              <w:rPr>
                <w:rFonts w:ascii="宋体" w:hAnsi="宋体" w:cs="宋体"/>
                <w:bCs/>
                <w:color w:val="000000" w:themeColor="text1"/>
                <w:szCs w:val="21"/>
                <w14:textFill>
                  <w14:solidFill>
                    <w14:schemeClr w14:val="tx1"/>
                  </w14:solidFill>
                </w14:textFill>
              </w:rPr>
            </w:pPr>
          </w:p>
        </w:tc>
        <w:tc>
          <w:tcPr>
            <w:tcW w:w="1260" w:type="dxa"/>
            <w:gridSpan w:val="3"/>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p>
        </w:tc>
        <w:tc>
          <w:tcPr>
            <w:tcW w:w="1260" w:type="dxa"/>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技术负责人</w:t>
            </w:r>
          </w:p>
        </w:tc>
        <w:tc>
          <w:tcPr>
            <w:tcW w:w="1260"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姓名</w:t>
            </w:r>
          </w:p>
        </w:tc>
        <w:tc>
          <w:tcPr>
            <w:tcW w:w="1260" w:type="dxa"/>
            <w:vAlign w:val="center"/>
          </w:tcPr>
          <w:p>
            <w:pPr>
              <w:jc w:val="center"/>
              <w:rPr>
                <w:rFonts w:ascii="宋体" w:hAnsi="宋体" w:cs="宋体"/>
                <w:bCs/>
                <w:color w:val="000000" w:themeColor="text1"/>
                <w:szCs w:val="21"/>
                <w14:textFill>
                  <w14:solidFill>
                    <w14:schemeClr w14:val="tx1"/>
                  </w14:solidFill>
                </w14:textFill>
              </w:rPr>
            </w:pPr>
          </w:p>
        </w:tc>
        <w:tc>
          <w:tcPr>
            <w:tcW w:w="1260"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技术职称</w:t>
            </w:r>
          </w:p>
        </w:tc>
        <w:tc>
          <w:tcPr>
            <w:tcW w:w="1260" w:type="dxa"/>
            <w:gridSpan w:val="3"/>
            <w:vAlign w:val="center"/>
          </w:tcPr>
          <w:p>
            <w:pPr>
              <w:jc w:val="center"/>
              <w:rPr>
                <w:rFonts w:ascii="宋体" w:hAnsi="宋体" w:cs="宋体"/>
                <w:bCs/>
                <w:color w:val="000000" w:themeColor="text1"/>
                <w:szCs w:val="21"/>
                <w14:textFill>
                  <w14:solidFill>
                    <w14:schemeClr w14:val="tx1"/>
                  </w14:solidFill>
                </w14:textFill>
              </w:rPr>
            </w:pPr>
          </w:p>
        </w:tc>
        <w:tc>
          <w:tcPr>
            <w:tcW w:w="1260" w:type="dxa"/>
            <w:gridSpan w:val="3"/>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p>
        </w:tc>
        <w:tc>
          <w:tcPr>
            <w:tcW w:w="1260" w:type="dxa"/>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成立时间</w:t>
            </w:r>
          </w:p>
        </w:tc>
        <w:tc>
          <w:tcPr>
            <w:tcW w:w="2520" w:type="dxa"/>
            <w:gridSpan w:val="2"/>
            <w:vAlign w:val="center"/>
          </w:tcPr>
          <w:p>
            <w:pPr>
              <w:jc w:val="center"/>
              <w:rPr>
                <w:rFonts w:ascii="宋体" w:hAnsi="宋体" w:cs="宋体"/>
                <w:bCs/>
                <w:color w:val="000000" w:themeColor="text1"/>
                <w:szCs w:val="21"/>
                <w14:textFill>
                  <w14:solidFill>
                    <w14:schemeClr w14:val="tx1"/>
                  </w14:solidFill>
                </w14:textFill>
              </w:rPr>
            </w:pPr>
          </w:p>
        </w:tc>
        <w:tc>
          <w:tcPr>
            <w:tcW w:w="5040" w:type="dxa"/>
            <w:gridSpan w:val="8"/>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企业资质等级</w:t>
            </w:r>
          </w:p>
        </w:tc>
        <w:tc>
          <w:tcPr>
            <w:tcW w:w="2520" w:type="dxa"/>
            <w:gridSpan w:val="2"/>
            <w:vAlign w:val="center"/>
          </w:tcPr>
          <w:p>
            <w:pPr>
              <w:jc w:val="center"/>
              <w:rPr>
                <w:rFonts w:ascii="宋体" w:hAnsi="宋体" w:cs="宋体"/>
                <w:bCs/>
                <w:color w:val="000000" w:themeColor="text1"/>
                <w:szCs w:val="21"/>
                <w14:textFill>
                  <w14:solidFill>
                    <w14:schemeClr w14:val="tx1"/>
                  </w14:solidFill>
                </w14:textFill>
              </w:rPr>
            </w:pPr>
          </w:p>
        </w:tc>
        <w:tc>
          <w:tcPr>
            <w:tcW w:w="1680" w:type="dxa"/>
            <w:gridSpan w:val="2"/>
            <w:vMerge w:val="restart"/>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其中</w:t>
            </w:r>
          </w:p>
        </w:tc>
        <w:tc>
          <w:tcPr>
            <w:tcW w:w="1680" w:type="dxa"/>
            <w:gridSpan w:val="3"/>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项目经理</w:t>
            </w:r>
          </w:p>
        </w:tc>
        <w:tc>
          <w:tcPr>
            <w:tcW w:w="1680" w:type="dxa"/>
            <w:gridSpan w:val="3"/>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营业执照</w:t>
            </w:r>
            <w:r>
              <w:rPr>
                <w:rFonts w:hint="eastAsia" w:ascii="宋体" w:hAnsi="宋体" w:cs="宋体"/>
                <w:color w:val="000000" w:themeColor="text1"/>
                <w14:textFill>
                  <w14:solidFill>
                    <w14:schemeClr w14:val="tx1"/>
                  </w14:solidFill>
                </w14:textFill>
              </w:rPr>
              <w:t>号</w:t>
            </w:r>
          </w:p>
        </w:tc>
        <w:tc>
          <w:tcPr>
            <w:tcW w:w="2520" w:type="dxa"/>
            <w:gridSpan w:val="2"/>
            <w:vAlign w:val="center"/>
          </w:tcPr>
          <w:p>
            <w:pPr>
              <w:jc w:val="center"/>
              <w:rPr>
                <w:rFonts w:ascii="宋体" w:hAnsi="宋体" w:cs="宋体"/>
                <w:bCs/>
                <w:color w:val="000000" w:themeColor="text1"/>
                <w:szCs w:val="21"/>
                <w14:textFill>
                  <w14:solidFill>
                    <w14:schemeClr w14:val="tx1"/>
                  </w14:solidFill>
                </w14:textFill>
              </w:rPr>
            </w:pPr>
          </w:p>
        </w:tc>
        <w:tc>
          <w:tcPr>
            <w:tcW w:w="1680" w:type="dxa"/>
            <w:gridSpan w:val="2"/>
            <w:vMerge w:val="continue"/>
            <w:vAlign w:val="center"/>
          </w:tcPr>
          <w:p>
            <w:pPr>
              <w:jc w:val="center"/>
              <w:rPr>
                <w:rFonts w:ascii="宋体" w:hAnsi="宋体" w:cs="宋体"/>
                <w:bCs/>
                <w:color w:val="000000" w:themeColor="text1"/>
                <w:szCs w:val="21"/>
                <w14:textFill>
                  <w14:solidFill>
                    <w14:schemeClr w14:val="tx1"/>
                  </w14:solidFill>
                </w14:textFill>
              </w:rPr>
            </w:pPr>
          </w:p>
        </w:tc>
        <w:tc>
          <w:tcPr>
            <w:tcW w:w="1680" w:type="dxa"/>
            <w:gridSpan w:val="3"/>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高级职称人员</w:t>
            </w:r>
          </w:p>
        </w:tc>
        <w:tc>
          <w:tcPr>
            <w:tcW w:w="1680" w:type="dxa"/>
            <w:gridSpan w:val="3"/>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注册资金</w:t>
            </w:r>
          </w:p>
        </w:tc>
        <w:tc>
          <w:tcPr>
            <w:tcW w:w="2520" w:type="dxa"/>
            <w:gridSpan w:val="2"/>
            <w:vAlign w:val="center"/>
          </w:tcPr>
          <w:p>
            <w:pPr>
              <w:jc w:val="center"/>
              <w:rPr>
                <w:rFonts w:ascii="宋体" w:hAnsi="宋体" w:cs="宋体"/>
                <w:bCs/>
                <w:color w:val="000000" w:themeColor="text1"/>
                <w:szCs w:val="21"/>
                <w14:textFill>
                  <w14:solidFill>
                    <w14:schemeClr w14:val="tx1"/>
                  </w14:solidFill>
                </w14:textFill>
              </w:rPr>
            </w:pPr>
          </w:p>
        </w:tc>
        <w:tc>
          <w:tcPr>
            <w:tcW w:w="1680" w:type="dxa"/>
            <w:gridSpan w:val="2"/>
            <w:vMerge w:val="continue"/>
            <w:vAlign w:val="center"/>
          </w:tcPr>
          <w:p>
            <w:pPr>
              <w:jc w:val="center"/>
              <w:rPr>
                <w:rFonts w:ascii="宋体" w:hAnsi="宋体" w:cs="宋体"/>
                <w:bCs/>
                <w:color w:val="000000" w:themeColor="text1"/>
                <w:szCs w:val="21"/>
                <w14:textFill>
                  <w14:solidFill>
                    <w14:schemeClr w14:val="tx1"/>
                  </w14:solidFill>
                </w14:textFill>
              </w:rPr>
            </w:pPr>
          </w:p>
        </w:tc>
        <w:tc>
          <w:tcPr>
            <w:tcW w:w="1680" w:type="dxa"/>
            <w:gridSpan w:val="3"/>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中级职称人员</w:t>
            </w:r>
          </w:p>
        </w:tc>
        <w:tc>
          <w:tcPr>
            <w:tcW w:w="1680" w:type="dxa"/>
            <w:gridSpan w:val="3"/>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开户银行</w:t>
            </w:r>
          </w:p>
        </w:tc>
        <w:tc>
          <w:tcPr>
            <w:tcW w:w="2520" w:type="dxa"/>
            <w:gridSpan w:val="2"/>
            <w:vAlign w:val="center"/>
          </w:tcPr>
          <w:p>
            <w:pPr>
              <w:jc w:val="center"/>
              <w:rPr>
                <w:rFonts w:ascii="宋体" w:hAnsi="宋体" w:cs="宋体"/>
                <w:bCs/>
                <w:color w:val="000000" w:themeColor="text1"/>
                <w:szCs w:val="21"/>
                <w14:textFill>
                  <w14:solidFill>
                    <w14:schemeClr w14:val="tx1"/>
                  </w14:solidFill>
                </w14:textFill>
              </w:rPr>
            </w:pPr>
          </w:p>
        </w:tc>
        <w:tc>
          <w:tcPr>
            <w:tcW w:w="1680" w:type="dxa"/>
            <w:gridSpan w:val="2"/>
            <w:vMerge w:val="continue"/>
            <w:vAlign w:val="center"/>
          </w:tcPr>
          <w:p>
            <w:pPr>
              <w:jc w:val="center"/>
              <w:rPr>
                <w:rFonts w:ascii="宋体" w:hAnsi="宋体" w:cs="宋体"/>
                <w:bCs/>
                <w:color w:val="000000" w:themeColor="text1"/>
                <w:szCs w:val="21"/>
                <w14:textFill>
                  <w14:solidFill>
                    <w14:schemeClr w14:val="tx1"/>
                  </w14:solidFill>
                </w14:textFill>
              </w:rPr>
            </w:pPr>
          </w:p>
        </w:tc>
        <w:tc>
          <w:tcPr>
            <w:tcW w:w="1680" w:type="dxa"/>
            <w:gridSpan w:val="3"/>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初级职称人员</w:t>
            </w:r>
          </w:p>
        </w:tc>
        <w:tc>
          <w:tcPr>
            <w:tcW w:w="1680" w:type="dxa"/>
            <w:gridSpan w:val="3"/>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账号</w:t>
            </w:r>
          </w:p>
        </w:tc>
        <w:tc>
          <w:tcPr>
            <w:tcW w:w="2520" w:type="dxa"/>
            <w:gridSpan w:val="2"/>
            <w:vAlign w:val="center"/>
          </w:tcPr>
          <w:p>
            <w:pPr>
              <w:jc w:val="center"/>
              <w:rPr>
                <w:rFonts w:ascii="宋体" w:hAnsi="宋体" w:cs="宋体"/>
                <w:bCs/>
                <w:color w:val="000000" w:themeColor="text1"/>
                <w:szCs w:val="21"/>
                <w14:textFill>
                  <w14:solidFill>
                    <w14:schemeClr w14:val="tx1"/>
                  </w14:solidFill>
                </w14:textFill>
              </w:rPr>
            </w:pPr>
          </w:p>
        </w:tc>
        <w:tc>
          <w:tcPr>
            <w:tcW w:w="1680" w:type="dxa"/>
            <w:gridSpan w:val="2"/>
            <w:vMerge w:val="continue"/>
            <w:vAlign w:val="center"/>
          </w:tcPr>
          <w:p>
            <w:pPr>
              <w:jc w:val="center"/>
              <w:rPr>
                <w:rFonts w:ascii="宋体" w:hAnsi="宋体" w:cs="宋体"/>
                <w:bCs/>
                <w:color w:val="000000" w:themeColor="text1"/>
                <w:szCs w:val="21"/>
                <w14:textFill>
                  <w14:solidFill>
                    <w14:schemeClr w14:val="tx1"/>
                  </w14:solidFill>
                </w14:textFill>
              </w:rPr>
            </w:pPr>
          </w:p>
        </w:tc>
        <w:tc>
          <w:tcPr>
            <w:tcW w:w="1680" w:type="dxa"/>
            <w:gridSpan w:val="3"/>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技工</w:t>
            </w:r>
          </w:p>
        </w:tc>
        <w:tc>
          <w:tcPr>
            <w:tcW w:w="1680" w:type="dxa"/>
            <w:gridSpan w:val="3"/>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经营范围</w:t>
            </w:r>
          </w:p>
        </w:tc>
        <w:tc>
          <w:tcPr>
            <w:tcW w:w="7560" w:type="dxa"/>
            <w:gridSpan w:val="10"/>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备注</w:t>
            </w:r>
          </w:p>
        </w:tc>
        <w:tc>
          <w:tcPr>
            <w:tcW w:w="7560" w:type="dxa"/>
            <w:gridSpan w:val="10"/>
            <w:vAlign w:val="center"/>
          </w:tcPr>
          <w:p>
            <w:pPr>
              <w:jc w:val="center"/>
              <w:rPr>
                <w:rFonts w:ascii="宋体" w:hAnsi="宋体" w:cs="宋体"/>
                <w:bCs/>
                <w:color w:val="000000" w:themeColor="text1"/>
                <w:szCs w:val="21"/>
                <w14:textFill>
                  <w14:solidFill>
                    <w14:schemeClr w14:val="tx1"/>
                  </w14:solidFill>
                </w14:textFill>
              </w:rPr>
            </w:pPr>
          </w:p>
        </w:tc>
      </w:tr>
    </w:tbl>
    <w:p>
      <w:pPr>
        <w:adjustRightInd w:val="0"/>
        <w:spacing w:line="400" w:lineRule="exact"/>
        <w:jc w:val="left"/>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14:textFill>
            <w14:solidFill>
              <w14:schemeClr w14:val="tx1"/>
            </w14:solidFill>
          </w14:textFill>
        </w:rPr>
      </w:pP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供应商名称：</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（加盖公章）</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法定代表人或代理人：</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（签字）</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日期：年月日</w:t>
      </w:r>
    </w:p>
    <w:p>
      <w:pPr>
        <w:pStyle w:val="2"/>
        <w:spacing w:line="240" w:lineRule="auto"/>
        <w:jc w:val="center"/>
        <w:rPr>
          <w:rFonts w:ascii="宋体" w:hAnsi="宋体" w:cs="宋体"/>
          <w:color w:val="000000" w:themeColor="text1"/>
          <w:sz w:val="28"/>
          <w:szCs w:val="32"/>
          <w:lang w:val="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br w:type="page"/>
      </w:r>
      <w:r>
        <w:rPr>
          <w:rFonts w:hint="eastAsia" w:ascii="宋体" w:hAnsi="宋体" w:cs="宋体"/>
          <w:color w:val="000000" w:themeColor="text1"/>
          <w:sz w:val="28"/>
          <w:szCs w:val="32"/>
          <w:lang w:val="zh-CN"/>
          <w14:textFill>
            <w14:solidFill>
              <w14:schemeClr w14:val="tx1"/>
            </w14:solidFill>
          </w14:textFill>
        </w:rPr>
        <w:t>（四）技术、服务条款偏离表</w:t>
      </w:r>
    </w:p>
    <w:p>
      <w:pPr>
        <w:spacing w:line="360" w:lineRule="auto"/>
        <w:ind w:firstLine="245" w:firstLineChars="1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项目名称：</w:t>
      </w:r>
    </w:p>
    <w:p>
      <w:pPr>
        <w:spacing w:line="360" w:lineRule="auto"/>
        <w:ind w:firstLine="245" w:firstLineChars="100"/>
        <w:rPr>
          <w:rFonts w:ascii="宋体" w:hAnsi="宋体" w:cs="宋体"/>
          <w:color w:val="000000" w:themeColor="text1"/>
          <w:u w:val="single"/>
          <w:lang w:val="zh-CN"/>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项目编号：</w:t>
      </w:r>
    </w:p>
    <w:tbl>
      <w:tblPr>
        <w:tblStyle w:val="25"/>
        <w:tblW w:w="0" w:type="auto"/>
        <w:tblInd w:w="108" w:type="dxa"/>
        <w:tblLayout w:type="fixed"/>
        <w:tblCellMar>
          <w:top w:w="0" w:type="dxa"/>
          <w:left w:w="108" w:type="dxa"/>
          <w:bottom w:w="0" w:type="dxa"/>
          <w:right w:w="108" w:type="dxa"/>
        </w:tblCellMar>
      </w:tblPr>
      <w:tblGrid>
        <w:gridCol w:w="723"/>
        <w:gridCol w:w="3996"/>
        <w:gridCol w:w="2980"/>
        <w:gridCol w:w="1547"/>
      </w:tblGrid>
      <w:tr>
        <w:tblPrEx>
          <w:tblCellMar>
            <w:top w:w="0" w:type="dxa"/>
            <w:left w:w="108" w:type="dxa"/>
            <w:bottom w:w="0" w:type="dxa"/>
            <w:right w:w="108" w:type="dxa"/>
          </w:tblCellMar>
        </w:tblPrEx>
        <w:trPr>
          <w:trHeight w:val="1105" w:hRule="exact"/>
        </w:trPr>
        <w:tc>
          <w:tcPr>
            <w:tcW w:w="723"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3996"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磋商文件技术、服务条款</w:t>
            </w:r>
            <w:r>
              <w:rPr>
                <w:rFonts w:hint="eastAsia" w:ascii="宋体" w:hAnsi="宋体" w:cs="宋体"/>
                <w:color w:val="000000" w:themeColor="text1"/>
                <w14:textFill>
                  <w14:solidFill>
                    <w14:schemeClr w14:val="tx1"/>
                  </w14:solidFill>
                </w14:textFill>
              </w:rPr>
              <w:t>要求</w:t>
            </w:r>
          </w:p>
        </w:tc>
        <w:tc>
          <w:tcPr>
            <w:tcW w:w="2980" w:type="dxa"/>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投标响应</w:t>
            </w:r>
          </w:p>
        </w:tc>
        <w:tc>
          <w:tcPr>
            <w:tcW w:w="1547" w:type="dxa"/>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偏离说明</w:t>
            </w: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c>
          <w:tcPr>
            <w:tcW w:w="39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c>
          <w:tcPr>
            <w:tcW w:w="2980"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c>
          <w:tcPr>
            <w:tcW w:w="39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c>
          <w:tcPr>
            <w:tcW w:w="2980"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c>
          <w:tcPr>
            <w:tcW w:w="39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c>
          <w:tcPr>
            <w:tcW w:w="2980"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399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2980"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399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2980"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399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2980"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double" w:color="auto" w:sz="4" w:space="0"/>
              <w:right w:val="single" w:color="auto" w:sz="6"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3996" w:type="dxa"/>
            <w:tcBorders>
              <w:top w:val="single" w:color="auto" w:sz="6" w:space="0"/>
              <w:left w:val="single" w:color="auto" w:sz="6" w:space="0"/>
              <w:bottom w:val="double" w:color="auto" w:sz="4" w:space="0"/>
              <w:right w:val="single" w:color="auto" w:sz="6"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2980" w:type="dxa"/>
            <w:tcBorders>
              <w:top w:val="single" w:color="auto" w:sz="6" w:space="0"/>
              <w:left w:val="single" w:color="auto" w:sz="6" w:space="0"/>
              <w:bottom w:val="double" w:color="auto" w:sz="4" w:space="0"/>
              <w:right w:val="double" w:color="auto" w:sz="4"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1547" w:type="dxa"/>
            <w:tcBorders>
              <w:top w:val="single" w:color="auto" w:sz="6" w:space="0"/>
              <w:left w:val="single" w:color="auto" w:sz="6" w:space="0"/>
              <w:bottom w:val="double" w:color="auto" w:sz="4" w:space="0"/>
              <w:right w:val="double" w:color="auto" w:sz="4"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r>
    </w:tbl>
    <w:p>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1、本表只填写响应文件中与磋商文件有偏离（包括正偏离和负偏离）的内容，响应文件中技术、服务条款响应与磋商文件技术、服务要求完全一致的，可以不用在此表中列出。若供应商此表不填写，则视作供应商完全响应磋商文件技术、服务要求。</w:t>
      </w:r>
    </w:p>
    <w:p>
      <w:pPr>
        <w:spacing w:line="360" w:lineRule="auto"/>
        <w:ind w:firstLine="480"/>
        <w:rPr>
          <w:rFonts w:ascii="宋体" w:hAnsi="宋体" w:cs="宋体"/>
          <w:color w:val="000000" w:themeColor="text1"/>
          <w:sz w:val="40"/>
          <w:szCs w:val="32"/>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2、供应商须据实填写，不得虚假响应。</w:t>
      </w:r>
    </w:p>
    <w:p>
      <w:pPr>
        <w:spacing w:line="360" w:lineRule="auto"/>
        <w:ind w:firstLine="480"/>
        <w:rPr>
          <w:rFonts w:ascii="宋体" w:hAnsi="宋体" w:cs="宋体"/>
          <w:color w:val="000000" w:themeColor="text1"/>
          <w14:textFill>
            <w14:solidFill>
              <w14:schemeClr w14:val="tx1"/>
            </w14:solidFill>
          </w14:textFill>
        </w:rPr>
      </w:pP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供应商名称：</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（加盖公章）</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法定代表人或代理人：</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（签字）</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日期：年月日</w:t>
      </w:r>
    </w:p>
    <w:p>
      <w:pPr>
        <w:pStyle w:val="2"/>
        <w:spacing w:line="240" w:lineRule="auto"/>
        <w:jc w:val="center"/>
        <w:rPr>
          <w:rFonts w:ascii="宋体" w:hAnsi="宋体" w:cs="宋体"/>
          <w:color w:val="000000" w:themeColor="text1"/>
          <w:sz w:val="28"/>
          <w:szCs w:val="32"/>
          <w:lang w:val="zh-CN"/>
          <w14:textFill>
            <w14:solidFill>
              <w14:schemeClr w14:val="tx1"/>
            </w14:solidFill>
          </w14:textFill>
        </w:rPr>
      </w:pPr>
      <w:r>
        <w:rPr>
          <w:rFonts w:hint="eastAsia" w:ascii="宋体" w:hAnsi="宋体" w:cs="宋体"/>
          <w:b w:val="0"/>
          <w:bCs w:val="0"/>
          <w:color w:val="000000" w:themeColor="text1"/>
          <w:sz w:val="32"/>
          <w:szCs w:val="32"/>
          <w14:textFill>
            <w14:solidFill>
              <w14:schemeClr w14:val="tx1"/>
            </w14:solidFill>
          </w14:textFill>
        </w:rPr>
        <w:br w:type="page"/>
      </w:r>
      <w:r>
        <w:rPr>
          <w:rFonts w:hint="eastAsia" w:ascii="宋体" w:hAnsi="宋体" w:cs="宋体"/>
          <w:color w:val="000000" w:themeColor="text1"/>
          <w:sz w:val="28"/>
          <w:szCs w:val="32"/>
          <w:lang w:val="zh-CN"/>
          <w14:textFill>
            <w14:solidFill>
              <w14:schemeClr w14:val="tx1"/>
            </w14:solidFill>
          </w14:textFill>
        </w:rPr>
        <w:t>（五）商务条款应答表</w:t>
      </w:r>
    </w:p>
    <w:p>
      <w:pPr>
        <w:spacing w:line="360" w:lineRule="auto"/>
        <w:ind w:firstLine="245" w:firstLineChars="1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项目名称：</w:t>
      </w:r>
    </w:p>
    <w:p>
      <w:pPr>
        <w:spacing w:line="360" w:lineRule="auto"/>
        <w:ind w:firstLine="245" w:firstLineChars="100"/>
        <w:rPr>
          <w:rFonts w:ascii="宋体" w:hAnsi="宋体" w:cs="宋体"/>
          <w:color w:val="000000" w:themeColor="text1"/>
          <w:u w:val="single"/>
          <w:lang w:val="zh-CN"/>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项目编号：</w:t>
      </w:r>
    </w:p>
    <w:tbl>
      <w:tblPr>
        <w:tblStyle w:val="25"/>
        <w:tblW w:w="0" w:type="auto"/>
        <w:tblInd w:w="108" w:type="dxa"/>
        <w:tblLayout w:type="fixed"/>
        <w:tblCellMar>
          <w:top w:w="0" w:type="dxa"/>
          <w:left w:w="108" w:type="dxa"/>
          <w:bottom w:w="0" w:type="dxa"/>
          <w:right w:w="108" w:type="dxa"/>
        </w:tblCellMar>
      </w:tblPr>
      <w:tblGrid>
        <w:gridCol w:w="723"/>
        <w:gridCol w:w="3756"/>
        <w:gridCol w:w="3220"/>
        <w:gridCol w:w="1547"/>
      </w:tblGrid>
      <w:tr>
        <w:tblPrEx>
          <w:tblCellMar>
            <w:top w:w="0" w:type="dxa"/>
            <w:left w:w="108" w:type="dxa"/>
            <w:bottom w:w="0" w:type="dxa"/>
            <w:right w:w="108" w:type="dxa"/>
          </w:tblCellMar>
        </w:tblPrEx>
        <w:trPr>
          <w:trHeight w:val="1105" w:hRule="exact"/>
        </w:trPr>
        <w:tc>
          <w:tcPr>
            <w:tcW w:w="723"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3756"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磋商文件的商务要求</w:t>
            </w:r>
          </w:p>
        </w:tc>
        <w:tc>
          <w:tcPr>
            <w:tcW w:w="3220" w:type="dxa"/>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投标响应</w:t>
            </w:r>
          </w:p>
        </w:tc>
        <w:tc>
          <w:tcPr>
            <w:tcW w:w="1547" w:type="dxa"/>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偏离说明</w:t>
            </w: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c>
          <w:tcPr>
            <w:tcW w:w="37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c>
          <w:tcPr>
            <w:tcW w:w="3220"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c>
          <w:tcPr>
            <w:tcW w:w="37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c>
          <w:tcPr>
            <w:tcW w:w="3220"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c>
          <w:tcPr>
            <w:tcW w:w="37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c>
          <w:tcPr>
            <w:tcW w:w="3220"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000000" w:themeColor="text1"/>
                <w:lang w:val="zh-CN"/>
                <w14:textFill>
                  <w14:solidFill>
                    <w14:schemeClr w14:val="tx1"/>
                  </w14:solidFill>
                </w14:textFill>
              </w:rPr>
            </w:pP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375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3220"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375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3220"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375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3220"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double" w:color="auto" w:sz="4" w:space="0"/>
              <w:right w:val="single" w:color="auto" w:sz="6"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3756" w:type="dxa"/>
            <w:tcBorders>
              <w:top w:val="single" w:color="auto" w:sz="6" w:space="0"/>
              <w:left w:val="single" w:color="auto" w:sz="6" w:space="0"/>
              <w:bottom w:val="double" w:color="auto" w:sz="4" w:space="0"/>
              <w:right w:val="single" w:color="auto" w:sz="6"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3220" w:type="dxa"/>
            <w:tcBorders>
              <w:top w:val="single" w:color="auto" w:sz="6" w:space="0"/>
              <w:left w:val="single" w:color="auto" w:sz="6" w:space="0"/>
              <w:bottom w:val="double" w:color="auto" w:sz="4" w:space="0"/>
              <w:right w:val="double" w:color="auto" w:sz="4"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c>
          <w:tcPr>
            <w:tcW w:w="1547" w:type="dxa"/>
            <w:tcBorders>
              <w:top w:val="single" w:color="auto" w:sz="6" w:space="0"/>
              <w:left w:val="single" w:color="auto" w:sz="6" w:space="0"/>
              <w:bottom w:val="double" w:color="auto" w:sz="4" w:space="0"/>
              <w:right w:val="double" w:color="auto" w:sz="4" w:space="0"/>
            </w:tcBorders>
          </w:tcPr>
          <w:p>
            <w:pPr>
              <w:autoSpaceDE w:val="0"/>
              <w:autoSpaceDN w:val="0"/>
              <w:adjustRightInd w:val="0"/>
              <w:ind w:firstLine="480"/>
              <w:jc w:val="left"/>
              <w:rPr>
                <w:rFonts w:ascii="宋体" w:hAnsi="宋体" w:cs="宋体"/>
                <w:color w:val="000000" w:themeColor="text1"/>
                <w14:textFill>
                  <w14:solidFill>
                    <w14:schemeClr w14:val="tx1"/>
                  </w14:solidFill>
                </w14:textFill>
              </w:rPr>
            </w:pPr>
          </w:p>
        </w:tc>
      </w:tr>
    </w:tbl>
    <w:p>
      <w:pPr>
        <w:spacing w:line="360" w:lineRule="auto"/>
        <w:ind w:firstLine="48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注：1、本表只填写响应文件中与磋商文件有偏离（包括正偏离和负偏离）的内容，响应文件中商务条款响应与磋商文件商务要求完全一致的，可以不用在此表中列出。若供应商此表不填写，则视作供应商完全响应磋商文件商务条款要求。</w:t>
      </w:r>
    </w:p>
    <w:p>
      <w:pPr>
        <w:spacing w:line="360" w:lineRule="auto"/>
        <w:ind w:firstLine="48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 xml:space="preserve">   2、供应商须据实填写，不得虚假响应。</w:t>
      </w:r>
    </w:p>
    <w:p>
      <w:pPr>
        <w:spacing w:line="360" w:lineRule="auto"/>
        <w:ind w:firstLine="480"/>
        <w:rPr>
          <w:rFonts w:ascii="宋体" w:hAnsi="宋体" w:cs="宋体"/>
          <w:color w:val="000000" w:themeColor="text1"/>
          <w14:textFill>
            <w14:solidFill>
              <w14:schemeClr w14:val="tx1"/>
            </w14:solidFill>
          </w14:textFill>
        </w:rPr>
      </w:pP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供应商名称：</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（加盖公章）</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法定代表人或代理人：</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（签字）</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日期：年月日</w:t>
      </w:r>
    </w:p>
    <w:p>
      <w:pPr>
        <w:pStyle w:val="2"/>
        <w:spacing w:line="240" w:lineRule="auto"/>
        <w:jc w:val="center"/>
        <w:rPr>
          <w:rFonts w:ascii="宋体" w:hAnsi="宋体" w:cs="宋体"/>
          <w:color w:val="000000" w:themeColor="text1"/>
          <w:sz w:val="28"/>
          <w:szCs w:val="32"/>
          <w:lang w:val="zh-CN"/>
          <w14:textFill>
            <w14:solidFill>
              <w14:schemeClr w14:val="tx1"/>
            </w14:solidFill>
          </w14:textFill>
        </w:rPr>
      </w:pPr>
      <w:r>
        <w:rPr>
          <w:rFonts w:hint="eastAsia" w:ascii="宋体" w:hAnsi="宋体" w:cs="宋体"/>
          <w:color w:val="000000" w:themeColor="text1"/>
          <w:sz w:val="28"/>
          <w:szCs w:val="32"/>
          <w:lang w:val="zh-CN"/>
          <w14:textFill>
            <w14:solidFill>
              <w14:schemeClr w14:val="tx1"/>
            </w14:solidFill>
          </w14:textFill>
        </w:rPr>
        <w:t>（六）供应商本项目管理、技术及其他服务人员情况表</w:t>
      </w:r>
    </w:p>
    <w:p>
      <w:pPr>
        <w:spacing w:line="360" w:lineRule="auto"/>
        <w:ind w:firstLine="245" w:firstLineChars="1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项目名称：</w:t>
      </w:r>
    </w:p>
    <w:p>
      <w:pPr>
        <w:spacing w:line="360" w:lineRule="auto"/>
        <w:ind w:firstLine="245" w:firstLineChars="100"/>
        <w:rPr>
          <w:rFonts w:ascii="宋体" w:hAnsi="宋体" w:cs="宋体"/>
          <w:color w:val="000000" w:themeColor="text1"/>
          <w:u w:val="single"/>
          <w:lang w:val="zh-CN"/>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项目编号：</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082"/>
        <w:gridCol w:w="2082"/>
        <w:gridCol w:w="2082"/>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59" w:type="dxa"/>
            <w:tcBorders>
              <w:top w:val="double" w:color="auto" w:sz="4" w:space="0"/>
              <w:left w:val="double" w:color="auto" w:sz="4" w:space="0"/>
              <w:bottom w:val="single" w:color="auto" w:sz="4" w:space="0"/>
              <w:right w:val="single" w:color="auto" w:sz="4" w:space="0"/>
            </w:tcBorders>
            <w:vAlign w:val="center"/>
          </w:tcPr>
          <w:p>
            <w:pPr>
              <w:autoSpaceDE w:val="0"/>
              <w:autoSpaceDN w:val="0"/>
              <w:adjustRightInd w:val="0"/>
              <w:spacing w:after="12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序 号</w:t>
            </w:r>
          </w:p>
        </w:tc>
        <w:tc>
          <w:tcPr>
            <w:tcW w:w="2082" w:type="dxa"/>
            <w:tcBorders>
              <w:top w:val="double" w:color="auto" w:sz="4" w:space="0"/>
              <w:left w:val="single" w:color="auto" w:sz="4" w:space="0"/>
              <w:bottom w:val="single" w:color="auto" w:sz="4" w:space="0"/>
              <w:right w:val="single" w:color="auto" w:sz="4" w:space="0"/>
            </w:tcBorders>
            <w:vAlign w:val="center"/>
          </w:tcPr>
          <w:p>
            <w:pPr>
              <w:autoSpaceDE w:val="0"/>
              <w:autoSpaceDN w:val="0"/>
              <w:adjustRightInd w:val="0"/>
              <w:spacing w:after="120"/>
              <w:ind w:firstLine="215" w:firstLineChars="10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姓 名</w:t>
            </w:r>
          </w:p>
        </w:tc>
        <w:tc>
          <w:tcPr>
            <w:tcW w:w="2082" w:type="dxa"/>
            <w:tcBorders>
              <w:top w:val="double" w:color="auto" w:sz="4" w:space="0"/>
              <w:left w:val="single" w:color="auto" w:sz="4" w:space="0"/>
              <w:bottom w:val="single" w:color="auto" w:sz="4" w:space="0"/>
              <w:right w:val="single" w:color="auto" w:sz="4" w:space="0"/>
            </w:tcBorders>
            <w:vAlign w:val="center"/>
          </w:tcPr>
          <w:p>
            <w:pPr>
              <w:autoSpaceDE w:val="0"/>
              <w:autoSpaceDN w:val="0"/>
              <w:adjustRightInd w:val="0"/>
              <w:spacing w:after="120"/>
              <w:ind w:firstLine="215" w:firstLineChars="10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职  务</w:t>
            </w:r>
          </w:p>
        </w:tc>
        <w:tc>
          <w:tcPr>
            <w:tcW w:w="2082" w:type="dxa"/>
            <w:tcBorders>
              <w:top w:val="double" w:color="auto" w:sz="4" w:space="0"/>
              <w:left w:val="single" w:color="auto" w:sz="4" w:space="0"/>
              <w:bottom w:val="single" w:color="auto" w:sz="4" w:space="0"/>
              <w:right w:val="single" w:color="auto" w:sz="4" w:space="0"/>
            </w:tcBorders>
            <w:vAlign w:val="center"/>
          </w:tcPr>
          <w:p>
            <w:pPr>
              <w:autoSpaceDE w:val="0"/>
              <w:autoSpaceDN w:val="0"/>
              <w:adjustRightInd w:val="0"/>
              <w:spacing w:after="120"/>
              <w:ind w:firstLine="215" w:firstLineChars="10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证件名称</w:t>
            </w:r>
          </w:p>
        </w:tc>
        <w:tc>
          <w:tcPr>
            <w:tcW w:w="2083" w:type="dxa"/>
            <w:tcBorders>
              <w:top w:val="double" w:color="auto" w:sz="4" w:space="0"/>
              <w:left w:val="single" w:color="auto" w:sz="4" w:space="0"/>
              <w:bottom w:val="single" w:color="auto" w:sz="4" w:space="0"/>
              <w:right w:val="double" w:color="auto" w:sz="4" w:space="0"/>
            </w:tcBorders>
            <w:vAlign w:val="center"/>
          </w:tcPr>
          <w:p>
            <w:pPr>
              <w:autoSpaceDE w:val="0"/>
              <w:autoSpaceDN w:val="0"/>
              <w:adjustRightInd w:val="0"/>
              <w:spacing w:after="120"/>
              <w:ind w:firstLine="215" w:firstLineChars="10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59" w:type="dxa"/>
            <w:tcBorders>
              <w:top w:val="single" w:color="auto" w:sz="4" w:space="0"/>
              <w:left w:val="doub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3" w:type="dxa"/>
            <w:tcBorders>
              <w:top w:val="single" w:color="auto" w:sz="4" w:space="0"/>
              <w:left w:val="single" w:color="auto" w:sz="4" w:space="0"/>
              <w:bottom w:val="single" w:color="auto" w:sz="4" w:space="0"/>
              <w:right w:val="doub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59" w:type="dxa"/>
            <w:tcBorders>
              <w:top w:val="single" w:color="auto" w:sz="4" w:space="0"/>
              <w:left w:val="doub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3" w:type="dxa"/>
            <w:tcBorders>
              <w:top w:val="single" w:color="auto" w:sz="4" w:space="0"/>
              <w:left w:val="single" w:color="auto" w:sz="4" w:space="0"/>
              <w:bottom w:val="single" w:color="auto" w:sz="4" w:space="0"/>
              <w:right w:val="doub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59" w:type="dxa"/>
            <w:tcBorders>
              <w:top w:val="single" w:color="auto" w:sz="4" w:space="0"/>
              <w:left w:val="doub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3" w:type="dxa"/>
            <w:tcBorders>
              <w:top w:val="single" w:color="auto" w:sz="4" w:space="0"/>
              <w:left w:val="single" w:color="auto" w:sz="4" w:space="0"/>
              <w:bottom w:val="single" w:color="auto" w:sz="4" w:space="0"/>
              <w:right w:val="doub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59" w:type="dxa"/>
            <w:tcBorders>
              <w:top w:val="single" w:color="auto" w:sz="4" w:space="0"/>
              <w:left w:val="doub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3" w:type="dxa"/>
            <w:tcBorders>
              <w:top w:val="single" w:color="auto" w:sz="4" w:space="0"/>
              <w:left w:val="single" w:color="auto" w:sz="4" w:space="0"/>
              <w:bottom w:val="single" w:color="auto" w:sz="4" w:space="0"/>
              <w:right w:val="doub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59" w:type="dxa"/>
            <w:tcBorders>
              <w:top w:val="single" w:color="auto" w:sz="4" w:space="0"/>
              <w:left w:val="doub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3" w:type="dxa"/>
            <w:tcBorders>
              <w:top w:val="single" w:color="auto" w:sz="4" w:space="0"/>
              <w:left w:val="single" w:color="auto" w:sz="4" w:space="0"/>
              <w:bottom w:val="single" w:color="auto" w:sz="4" w:space="0"/>
              <w:right w:val="doub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59" w:type="dxa"/>
            <w:tcBorders>
              <w:top w:val="single" w:color="auto" w:sz="4" w:space="0"/>
              <w:left w:val="doub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3" w:type="dxa"/>
            <w:tcBorders>
              <w:top w:val="single" w:color="auto" w:sz="4" w:space="0"/>
              <w:left w:val="single" w:color="auto" w:sz="4" w:space="0"/>
              <w:bottom w:val="single" w:color="auto" w:sz="4" w:space="0"/>
              <w:right w:val="doub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59" w:type="dxa"/>
            <w:tcBorders>
              <w:top w:val="single" w:color="auto" w:sz="4" w:space="0"/>
              <w:left w:val="doub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3" w:type="dxa"/>
            <w:tcBorders>
              <w:top w:val="single" w:color="auto" w:sz="4" w:space="0"/>
              <w:left w:val="single" w:color="auto" w:sz="4" w:space="0"/>
              <w:bottom w:val="single" w:color="auto" w:sz="4" w:space="0"/>
              <w:right w:val="doub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59" w:type="dxa"/>
            <w:tcBorders>
              <w:top w:val="single" w:color="auto" w:sz="4" w:space="0"/>
              <w:left w:val="doub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3" w:type="dxa"/>
            <w:tcBorders>
              <w:top w:val="single" w:color="auto" w:sz="4" w:space="0"/>
              <w:left w:val="single" w:color="auto" w:sz="4" w:space="0"/>
              <w:bottom w:val="single" w:color="auto" w:sz="4" w:space="0"/>
              <w:right w:val="doub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59" w:type="dxa"/>
            <w:tcBorders>
              <w:top w:val="single" w:color="auto" w:sz="4" w:space="0"/>
              <w:left w:val="double" w:color="auto" w:sz="4" w:space="0"/>
              <w:bottom w:val="doub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doub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doub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2" w:type="dxa"/>
            <w:tcBorders>
              <w:top w:val="single" w:color="auto" w:sz="4" w:space="0"/>
              <w:left w:val="single" w:color="auto" w:sz="4" w:space="0"/>
              <w:bottom w:val="double" w:color="auto" w:sz="4" w:space="0"/>
              <w:right w:val="sing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c>
          <w:tcPr>
            <w:tcW w:w="2083" w:type="dxa"/>
            <w:tcBorders>
              <w:top w:val="single" w:color="auto" w:sz="4" w:space="0"/>
              <w:left w:val="single" w:color="auto" w:sz="4" w:space="0"/>
              <w:bottom w:val="double" w:color="auto" w:sz="4" w:space="0"/>
              <w:right w:val="double" w:color="auto" w:sz="4" w:space="0"/>
            </w:tcBorders>
          </w:tcPr>
          <w:p>
            <w:pPr>
              <w:autoSpaceDE w:val="0"/>
              <w:autoSpaceDN w:val="0"/>
              <w:adjustRightInd w:val="0"/>
              <w:spacing w:after="120"/>
              <w:ind w:firstLine="480"/>
              <w:jc w:val="left"/>
              <w:rPr>
                <w:rFonts w:ascii="宋体" w:hAnsi="宋体" w:cs="宋体"/>
                <w:color w:val="000000" w:themeColor="text1"/>
                <w:lang w:val="zh-CN"/>
                <w14:textFill>
                  <w14:solidFill>
                    <w14:schemeClr w14:val="tx1"/>
                  </w14:solidFill>
                </w14:textFill>
              </w:rPr>
            </w:pPr>
          </w:p>
        </w:tc>
      </w:tr>
    </w:tbl>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注：1、供应商在此表中填报拟用于本项目的人员配备情况。</w:t>
      </w:r>
    </w:p>
    <w:p>
      <w:pPr>
        <w:spacing w:line="360" w:lineRule="auto"/>
        <w:ind w:firstLine="48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 xml:space="preserve">    2、如未提供人员的相关证明材料可能会影响供应商的得分，但并不影响响应文件的有效性。</w:t>
      </w:r>
    </w:p>
    <w:p>
      <w:pPr>
        <w:spacing w:line="360" w:lineRule="auto"/>
        <w:ind w:firstLine="480"/>
        <w:rPr>
          <w:rFonts w:ascii="宋体" w:hAnsi="宋体" w:cs="宋体"/>
          <w:color w:val="000000" w:themeColor="text1"/>
          <w14:textFill>
            <w14:solidFill>
              <w14:schemeClr w14:val="tx1"/>
            </w14:solidFill>
          </w14:textFill>
        </w:rPr>
      </w:pP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供应商名称：</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（加盖公章）</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法定代表人或代理人：</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（签字）</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日期：年月日</w:t>
      </w:r>
    </w:p>
    <w:p>
      <w:pPr>
        <w:pStyle w:val="2"/>
        <w:spacing w:line="240" w:lineRule="auto"/>
        <w:jc w:val="center"/>
        <w:rPr>
          <w:rFonts w:ascii="宋体" w:hAnsi="宋体" w:cs="宋体"/>
          <w:color w:val="000000" w:themeColor="text1"/>
          <w:sz w:val="28"/>
          <w:lang w:val="zh-CN"/>
          <w14:textFill>
            <w14:solidFill>
              <w14:schemeClr w14:val="tx1"/>
            </w14:solidFill>
          </w14:textFill>
        </w:rPr>
      </w:pPr>
      <w:r>
        <w:rPr>
          <w:rFonts w:hint="eastAsia" w:ascii="宋体" w:hAnsi="宋体" w:cs="宋体"/>
          <w:color w:val="000000" w:themeColor="text1"/>
          <w:sz w:val="28"/>
          <w:lang w:val="zh-CN"/>
          <w14:textFill>
            <w14:solidFill>
              <w14:schemeClr w14:val="tx1"/>
            </w14:solidFill>
          </w14:textFill>
        </w:rPr>
        <w:t>（</w:t>
      </w:r>
      <w:r>
        <w:rPr>
          <w:rFonts w:hint="eastAsia" w:ascii="宋体" w:hAnsi="宋体" w:cs="宋体"/>
          <w:color w:val="000000" w:themeColor="text1"/>
          <w:sz w:val="28"/>
          <w14:textFill>
            <w14:solidFill>
              <w14:schemeClr w14:val="tx1"/>
            </w14:solidFill>
          </w14:textFill>
        </w:rPr>
        <w:t>七</w:t>
      </w:r>
      <w:r>
        <w:rPr>
          <w:rFonts w:hint="eastAsia" w:ascii="宋体" w:hAnsi="宋体" w:cs="宋体"/>
          <w:color w:val="000000" w:themeColor="text1"/>
          <w:sz w:val="28"/>
          <w:lang w:val="zh-CN"/>
          <w14:textFill>
            <w14:solidFill>
              <w14:schemeClr w14:val="tx1"/>
            </w14:solidFill>
          </w14:textFill>
        </w:rPr>
        <w:t>）供应商类似项目业绩一览表</w:t>
      </w:r>
    </w:p>
    <w:p>
      <w:pPr>
        <w:spacing w:line="400" w:lineRule="exact"/>
        <w:rPr>
          <w:rFonts w:ascii="宋体" w:hAnsi="宋体" w:cs="宋体"/>
          <w:color w:val="000000" w:themeColor="text1"/>
          <w:sz w:val="24"/>
          <w14:textFill>
            <w14:solidFill>
              <w14:schemeClr w14:val="tx1"/>
            </w14:solidFill>
          </w14:textFill>
        </w:rPr>
      </w:pPr>
    </w:p>
    <w:tbl>
      <w:tblPr>
        <w:tblStyle w:val="2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843"/>
        <w:gridCol w:w="1693"/>
        <w:gridCol w:w="1550"/>
        <w:gridCol w:w="1363"/>
        <w:gridCol w:w="1679"/>
        <w:gridCol w:w="1618"/>
        <w:gridCol w:w="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568" w:hRule="atLeast"/>
          <w:jc w:val="center"/>
        </w:trPr>
        <w:tc>
          <w:tcPr>
            <w:tcW w:w="843" w:type="dxa"/>
            <w:vAlign w:val="center"/>
          </w:tcPr>
          <w:p>
            <w:pPr>
              <w:spacing w:line="400" w:lineRule="exact"/>
              <w:ind w:firstLine="107" w:firstLineChars="50"/>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年份</w:t>
            </w:r>
          </w:p>
        </w:tc>
        <w:tc>
          <w:tcPr>
            <w:tcW w:w="1693" w:type="dxa"/>
            <w:vAlign w:val="center"/>
          </w:tcPr>
          <w:p>
            <w:pPr>
              <w:spacing w:line="400" w:lineRule="exac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用户名称</w:t>
            </w:r>
          </w:p>
        </w:tc>
        <w:tc>
          <w:tcPr>
            <w:tcW w:w="1550" w:type="dxa"/>
            <w:vAlign w:val="center"/>
          </w:tcPr>
          <w:p>
            <w:pPr>
              <w:spacing w:line="400" w:lineRule="exac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项目名称</w:t>
            </w:r>
          </w:p>
        </w:tc>
        <w:tc>
          <w:tcPr>
            <w:tcW w:w="1363" w:type="dxa"/>
            <w:vAlign w:val="center"/>
          </w:tcPr>
          <w:p>
            <w:pPr>
              <w:spacing w:line="400" w:lineRule="exac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完成时间</w:t>
            </w:r>
          </w:p>
        </w:tc>
        <w:tc>
          <w:tcPr>
            <w:tcW w:w="1679" w:type="dxa"/>
            <w:vAlign w:val="center"/>
          </w:tcPr>
          <w:p>
            <w:pPr>
              <w:spacing w:line="400" w:lineRule="exact"/>
              <w:ind w:firstLine="107" w:firstLineChars="50"/>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完成质量</w:t>
            </w:r>
          </w:p>
        </w:tc>
        <w:tc>
          <w:tcPr>
            <w:tcW w:w="1632" w:type="dxa"/>
            <w:gridSpan w:val="2"/>
            <w:vAlign w:val="center"/>
          </w:tcPr>
          <w:p>
            <w:pPr>
              <w:spacing w:line="400" w:lineRule="exac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581" w:hRule="atLeast"/>
          <w:jc w:val="center"/>
        </w:trPr>
        <w:tc>
          <w:tcPr>
            <w:tcW w:w="84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9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550"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36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79"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32" w:type="dxa"/>
            <w:gridSpan w:val="2"/>
            <w:vAlign w:val="center"/>
          </w:tcPr>
          <w:p>
            <w:pPr>
              <w:spacing w:line="400" w:lineRule="exact"/>
              <w:jc w:val="center"/>
              <w:rPr>
                <w:rFonts w:ascii="宋体" w:hAnsi="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581" w:hRule="atLeast"/>
          <w:jc w:val="center"/>
        </w:trPr>
        <w:tc>
          <w:tcPr>
            <w:tcW w:w="84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9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550"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36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79"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32" w:type="dxa"/>
            <w:gridSpan w:val="2"/>
            <w:vAlign w:val="center"/>
          </w:tcPr>
          <w:p>
            <w:pPr>
              <w:spacing w:line="400" w:lineRule="exact"/>
              <w:jc w:val="center"/>
              <w:rPr>
                <w:rFonts w:ascii="宋体" w:hAnsi="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581" w:hRule="atLeast"/>
          <w:jc w:val="center"/>
        </w:trPr>
        <w:tc>
          <w:tcPr>
            <w:tcW w:w="84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9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550"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36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79"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32" w:type="dxa"/>
            <w:gridSpan w:val="2"/>
            <w:vAlign w:val="center"/>
          </w:tcPr>
          <w:p>
            <w:pPr>
              <w:spacing w:line="400" w:lineRule="exact"/>
              <w:jc w:val="center"/>
              <w:rPr>
                <w:rFonts w:ascii="宋体" w:hAnsi="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581" w:hRule="atLeast"/>
          <w:jc w:val="center"/>
        </w:trPr>
        <w:tc>
          <w:tcPr>
            <w:tcW w:w="84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9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550"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36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79"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32" w:type="dxa"/>
            <w:gridSpan w:val="2"/>
            <w:vAlign w:val="center"/>
          </w:tcPr>
          <w:p>
            <w:pPr>
              <w:spacing w:line="400" w:lineRule="exact"/>
              <w:jc w:val="center"/>
              <w:rPr>
                <w:rFonts w:ascii="宋体" w:hAnsi="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gridAfter w:val="1"/>
          <w:wAfter w:w="10" w:type="dxa"/>
          <w:cantSplit/>
          <w:trHeight w:val="581" w:hRule="atLeast"/>
          <w:jc w:val="center"/>
        </w:trPr>
        <w:tc>
          <w:tcPr>
            <w:tcW w:w="843" w:type="dxa"/>
            <w:vAlign w:val="center"/>
          </w:tcPr>
          <w:p>
            <w:pPr>
              <w:spacing w:line="400" w:lineRule="exact"/>
              <w:rPr>
                <w:rFonts w:ascii="宋体" w:hAnsi="宋体" w:cs="宋体"/>
                <w:color w:val="000000" w:themeColor="text1"/>
                <w14:textFill>
                  <w14:solidFill>
                    <w14:schemeClr w14:val="tx1"/>
                  </w14:solidFill>
                </w14:textFill>
              </w:rPr>
            </w:pPr>
          </w:p>
        </w:tc>
        <w:tc>
          <w:tcPr>
            <w:tcW w:w="1693" w:type="dxa"/>
            <w:vAlign w:val="center"/>
          </w:tcPr>
          <w:p>
            <w:pPr>
              <w:spacing w:line="400" w:lineRule="exact"/>
              <w:rPr>
                <w:rFonts w:ascii="宋体" w:hAnsi="宋体" w:cs="宋体"/>
                <w:color w:val="000000" w:themeColor="text1"/>
                <w14:textFill>
                  <w14:solidFill>
                    <w14:schemeClr w14:val="tx1"/>
                  </w14:solidFill>
                </w14:textFill>
              </w:rPr>
            </w:pPr>
          </w:p>
        </w:tc>
        <w:tc>
          <w:tcPr>
            <w:tcW w:w="1550" w:type="dxa"/>
            <w:vAlign w:val="center"/>
          </w:tcPr>
          <w:p>
            <w:pPr>
              <w:spacing w:line="400" w:lineRule="exact"/>
              <w:rPr>
                <w:rFonts w:ascii="宋体" w:hAnsi="宋体" w:cs="宋体"/>
                <w:color w:val="000000" w:themeColor="text1"/>
                <w14:textFill>
                  <w14:solidFill>
                    <w14:schemeClr w14:val="tx1"/>
                  </w14:solidFill>
                </w14:textFill>
              </w:rPr>
            </w:pPr>
          </w:p>
        </w:tc>
        <w:tc>
          <w:tcPr>
            <w:tcW w:w="1363" w:type="dxa"/>
            <w:vAlign w:val="center"/>
          </w:tcPr>
          <w:p>
            <w:pPr>
              <w:spacing w:line="400" w:lineRule="exact"/>
              <w:rPr>
                <w:rFonts w:ascii="宋体" w:hAnsi="宋体" w:cs="宋体"/>
                <w:color w:val="000000" w:themeColor="text1"/>
                <w14:textFill>
                  <w14:solidFill>
                    <w14:schemeClr w14:val="tx1"/>
                  </w14:solidFill>
                </w14:textFill>
              </w:rPr>
            </w:pPr>
          </w:p>
        </w:tc>
        <w:tc>
          <w:tcPr>
            <w:tcW w:w="1679" w:type="dxa"/>
            <w:vAlign w:val="center"/>
          </w:tcPr>
          <w:p>
            <w:pPr>
              <w:spacing w:line="400" w:lineRule="exact"/>
              <w:rPr>
                <w:rFonts w:ascii="宋体" w:hAnsi="宋体" w:cs="宋体"/>
                <w:color w:val="000000" w:themeColor="text1"/>
                <w14:textFill>
                  <w14:solidFill>
                    <w14:schemeClr w14:val="tx1"/>
                  </w14:solidFill>
                </w14:textFill>
              </w:rPr>
            </w:pPr>
          </w:p>
        </w:tc>
        <w:tc>
          <w:tcPr>
            <w:tcW w:w="1618" w:type="dxa"/>
            <w:vAlign w:val="center"/>
          </w:tcPr>
          <w:p>
            <w:pPr>
              <w:spacing w:line="400" w:lineRule="exact"/>
              <w:rPr>
                <w:rFonts w:ascii="宋体" w:hAnsi="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581" w:hRule="atLeast"/>
          <w:jc w:val="center"/>
        </w:trPr>
        <w:tc>
          <w:tcPr>
            <w:tcW w:w="843" w:type="dxa"/>
            <w:vAlign w:val="center"/>
          </w:tcPr>
          <w:p>
            <w:pPr>
              <w:spacing w:line="400" w:lineRule="exact"/>
              <w:rPr>
                <w:rFonts w:ascii="宋体" w:hAnsi="宋体" w:cs="宋体"/>
                <w:color w:val="000000" w:themeColor="text1"/>
                <w14:textFill>
                  <w14:solidFill>
                    <w14:schemeClr w14:val="tx1"/>
                  </w14:solidFill>
                </w14:textFill>
              </w:rPr>
            </w:pPr>
          </w:p>
        </w:tc>
        <w:tc>
          <w:tcPr>
            <w:tcW w:w="1693" w:type="dxa"/>
            <w:vAlign w:val="center"/>
          </w:tcPr>
          <w:p>
            <w:pPr>
              <w:spacing w:line="400" w:lineRule="exact"/>
              <w:rPr>
                <w:rFonts w:ascii="宋体" w:hAnsi="宋体" w:cs="宋体"/>
                <w:color w:val="000000" w:themeColor="text1"/>
                <w14:textFill>
                  <w14:solidFill>
                    <w14:schemeClr w14:val="tx1"/>
                  </w14:solidFill>
                </w14:textFill>
              </w:rPr>
            </w:pPr>
          </w:p>
        </w:tc>
        <w:tc>
          <w:tcPr>
            <w:tcW w:w="1550" w:type="dxa"/>
            <w:vAlign w:val="center"/>
          </w:tcPr>
          <w:p>
            <w:pPr>
              <w:spacing w:line="400" w:lineRule="exact"/>
              <w:rPr>
                <w:rFonts w:ascii="宋体" w:hAnsi="宋体" w:cs="宋体"/>
                <w:color w:val="000000" w:themeColor="text1"/>
                <w14:textFill>
                  <w14:solidFill>
                    <w14:schemeClr w14:val="tx1"/>
                  </w14:solidFill>
                </w14:textFill>
              </w:rPr>
            </w:pPr>
          </w:p>
        </w:tc>
        <w:tc>
          <w:tcPr>
            <w:tcW w:w="1363" w:type="dxa"/>
            <w:vAlign w:val="center"/>
          </w:tcPr>
          <w:p>
            <w:pPr>
              <w:spacing w:line="400" w:lineRule="exact"/>
              <w:rPr>
                <w:rFonts w:ascii="宋体" w:hAnsi="宋体" w:cs="宋体"/>
                <w:color w:val="000000" w:themeColor="text1"/>
                <w14:textFill>
                  <w14:solidFill>
                    <w14:schemeClr w14:val="tx1"/>
                  </w14:solidFill>
                </w14:textFill>
              </w:rPr>
            </w:pPr>
          </w:p>
        </w:tc>
        <w:tc>
          <w:tcPr>
            <w:tcW w:w="1679" w:type="dxa"/>
            <w:vAlign w:val="center"/>
          </w:tcPr>
          <w:p>
            <w:pPr>
              <w:spacing w:line="400" w:lineRule="exact"/>
              <w:rPr>
                <w:rFonts w:ascii="宋体" w:hAnsi="宋体" w:cs="宋体"/>
                <w:color w:val="000000" w:themeColor="text1"/>
                <w14:textFill>
                  <w14:solidFill>
                    <w14:schemeClr w14:val="tx1"/>
                  </w14:solidFill>
                </w14:textFill>
              </w:rPr>
            </w:pPr>
          </w:p>
        </w:tc>
        <w:tc>
          <w:tcPr>
            <w:tcW w:w="1632" w:type="dxa"/>
            <w:gridSpan w:val="2"/>
            <w:vAlign w:val="center"/>
          </w:tcPr>
          <w:p>
            <w:pPr>
              <w:spacing w:line="400" w:lineRule="exact"/>
              <w:rPr>
                <w:rFonts w:ascii="宋体" w:hAnsi="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581" w:hRule="atLeast"/>
          <w:jc w:val="center"/>
        </w:trPr>
        <w:tc>
          <w:tcPr>
            <w:tcW w:w="84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9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550"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36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79"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32" w:type="dxa"/>
            <w:gridSpan w:val="2"/>
            <w:vAlign w:val="center"/>
          </w:tcPr>
          <w:p>
            <w:pPr>
              <w:spacing w:line="400" w:lineRule="exact"/>
              <w:jc w:val="center"/>
              <w:rPr>
                <w:rFonts w:ascii="宋体" w:hAnsi="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581" w:hRule="atLeast"/>
          <w:jc w:val="center"/>
        </w:trPr>
        <w:tc>
          <w:tcPr>
            <w:tcW w:w="84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9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550"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36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79"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32" w:type="dxa"/>
            <w:gridSpan w:val="2"/>
            <w:vAlign w:val="center"/>
          </w:tcPr>
          <w:p>
            <w:pPr>
              <w:spacing w:line="400" w:lineRule="exact"/>
              <w:jc w:val="center"/>
              <w:rPr>
                <w:rFonts w:ascii="宋体" w:hAnsi="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501" w:hRule="atLeast"/>
          <w:jc w:val="center"/>
        </w:trPr>
        <w:tc>
          <w:tcPr>
            <w:tcW w:w="84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9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550"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36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79"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32" w:type="dxa"/>
            <w:gridSpan w:val="2"/>
            <w:vAlign w:val="center"/>
          </w:tcPr>
          <w:p>
            <w:pPr>
              <w:spacing w:line="400" w:lineRule="exact"/>
              <w:jc w:val="center"/>
              <w:rPr>
                <w:rFonts w:ascii="宋体" w:hAnsi="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580" w:hRule="atLeast"/>
          <w:jc w:val="center"/>
        </w:trPr>
        <w:tc>
          <w:tcPr>
            <w:tcW w:w="84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9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550"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36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79"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32" w:type="dxa"/>
            <w:gridSpan w:val="2"/>
            <w:vAlign w:val="center"/>
          </w:tcPr>
          <w:p>
            <w:pPr>
              <w:spacing w:line="400" w:lineRule="exact"/>
              <w:jc w:val="center"/>
              <w:rPr>
                <w:rFonts w:ascii="宋体" w:hAnsi="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580" w:hRule="atLeast"/>
          <w:jc w:val="center"/>
        </w:trPr>
        <w:tc>
          <w:tcPr>
            <w:tcW w:w="84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9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550"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36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79"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32" w:type="dxa"/>
            <w:gridSpan w:val="2"/>
            <w:vAlign w:val="center"/>
          </w:tcPr>
          <w:p>
            <w:pPr>
              <w:spacing w:line="400" w:lineRule="exact"/>
              <w:jc w:val="center"/>
              <w:rPr>
                <w:rFonts w:ascii="宋体" w:hAnsi="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432" w:hRule="atLeast"/>
          <w:jc w:val="center"/>
        </w:trPr>
        <w:tc>
          <w:tcPr>
            <w:tcW w:w="84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9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550"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36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79"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32" w:type="dxa"/>
            <w:gridSpan w:val="2"/>
            <w:vAlign w:val="center"/>
          </w:tcPr>
          <w:p>
            <w:pPr>
              <w:spacing w:line="400" w:lineRule="exact"/>
              <w:jc w:val="center"/>
              <w:rPr>
                <w:rFonts w:ascii="宋体" w:hAnsi="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54" w:type="dxa"/>
            <w:bottom w:w="0" w:type="dxa"/>
            <w:right w:w="54" w:type="dxa"/>
          </w:tblCellMar>
        </w:tblPrEx>
        <w:trPr>
          <w:cantSplit/>
          <w:trHeight w:val="447" w:hRule="atLeast"/>
          <w:jc w:val="center"/>
        </w:trPr>
        <w:tc>
          <w:tcPr>
            <w:tcW w:w="84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9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550"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363"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79" w:type="dxa"/>
            <w:vAlign w:val="center"/>
          </w:tcPr>
          <w:p>
            <w:pPr>
              <w:spacing w:line="400" w:lineRule="exact"/>
              <w:jc w:val="center"/>
              <w:rPr>
                <w:rFonts w:ascii="宋体" w:hAnsi="宋体" w:cs="宋体"/>
                <w:color w:val="000000" w:themeColor="text1"/>
                <w14:textFill>
                  <w14:solidFill>
                    <w14:schemeClr w14:val="tx1"/>
                  </w14:solidFill>
                </w14:textFill>
              </w:rPr>
            </w:pPr>
          </w:p>
        </w:tc>
        <w:tc>
          <w:tcPr>
            <w:tcW w:w="1632" w:type="dxa"/>
            <w:gridSpan w:val="2"/>
            <w:vAlign w:val="center"/>
          </w:tcPr>
          <w:p>
            <w:pPr>
              <w:spacing w:line="400" w:lineRule="exact"/>
              <w:jc w:val="center"/>
              <w:rPr>
                <w:rFonts w:ascii="宋体" w:hAnsi="宋体" w:cs="宋体"/>
                <w:color w:val="000000" w:themeColor="text1"/>
                <w14:textFill>
                  <w14:solidFill>
                    <w14:schemeClr w14:val="tx1"/>
                  </w14:solidFill>
                </w14:textFill>
              </w:rPr>
            </w:pPr>
          </w:p>
        </w:tc>
      </w:tr>
    </w:tbl>
    <w:p>
      <w:pPr>
        <w:spacing w:line="360" w:lineRule="auto"/>
        <w:ind w:firstLine="43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注：1、供应商以上业绩需提供有关书面证明材料。（以综合评分表要求为准）；</w:t>
      </w:r>
    </w:p>
    <w:p>
      <w:pPr>
        <w:spacing w:line="360" w:lineRule="auto"/>
        <w:ind w:firstLine="8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2、如未提供业绩的相关证明材料可能会影响供应商的得分，但并不影响响应文件的有效性。</w:t>
      </w:r>
    </w:p>
    <w:p>
      <w:pPr>
        <w:jc w:val="left"/>
        <w:rPr>
          <w:rFonts w:ascii="宋体" w:hAnsi="宋体" w:cs="宋体"/>
          <w:color w:val="000000" w:themeColor="text1"/>
          <w14:textFill>
            <w14:solidFill>
              <w14:schemeClr w14:val="tx1"/>
            </w14:solidFill>
          </w14:textFill>
        </w:rPr>
      </w:pP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供应商名称：</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（加盖公章）</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法定代表人或代理人：</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（签字）</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日期：年月日</w:t>
      </w:r>
    </w:p>
    <w:p>
      <w:pPr>
        <w:jc w:val="left"/>
        <w:rPr>
          <w:rFonts w:ascii="宋体" w:hAnsi="宋体" w:cs="宋体"/>
          <w:color w:val="000000" w:themeColor="text1"/>
          <w:sz w:val="24"/>
          <w14:textFill>
            <w14:solidFill>
              <w14:schemeClr w14:val="tx1"/>
            </w14:solidFill>
          </w14:textFill>
        </w:rPr>
      </w:pPr>
    </w:p>
    <w:p>
      <w:pPr>
        <w:spacing w:line="360" w:lineRule="auto"/>
        <w:ind w:firstLine="860" w:firstLineChars="400"/>
        <w:rPr>
          <w:rFonts w:ascii="宋体" w:hAnsi="宋体" w:cs="宋体"/>
          <w:color w:val="000000" w:themeColor="text1"/>
          <w14:textFill>
            <w14:solidFill>
              <w14:schemeClr w14:val="tx1"/>
            </w14:solidFill>
          </w14:textFill>
        </w:rPr>
      </w:pPr>
      <w:bookmarkStart w:id="86" w:name="_Toc436410129"/>
      <w:bookmarkStart w:id="87" w:name="_Toc436385992"/>
      <w:bookmarkStart w:id="88" w:name="_Toc436820890"/>
      <w:bookmarkStart w:id="89" w:name="_Toc436404120"/>
      <w:bookmarkStart w:id="90" w:name="_Toc307564880"/>
    </w:p>
    <w:bookmarkEnd w:id="86"/>
    <w:bookmarkEnd w:id="87"/>
    <w:bookmarkEnd w:id="88"/>
    <w:bookmarkEnd w:id="89"/>
    <w:bookmarkEnd w:id="90"/>
    <w:p>
      <w:pPr>
        <w:spacing w:line="360" w:lineRule="auto"/>
        <w:ind w:firstLine="860" w:firstLineChars="400"/>
        <w:rPr>
          <w:rFonts w:ascii="宋体" w:hAnsi="宋体" w:cs="宋体"/>
          <w:color w:val="000000" w:themeColor="text1"/>
          <w14:textFill>
            <w14:solidFill>
              <w14:schemeClr w14:val="tx1"/>
            </w14:solidFill>
          </w14:textFill>
        </w:rPr>
      </w:pPr>
    </w:p>
    <w:p>
      <w:pPr>
        <w:pStyle w:val="2"/>
        <w:spacing w:line="240" w:lineRule="auto"/>
        <w:jc w:val="center"/>
        <w:rPr>
          <w:rFonts w:ascii="宋体" w:hAnsi="宋体" w:cs="宋体"/>
          <w:color w:val="000000" w:themeColor="text1"/>
          <w:sz w:val="28"/>
          <w:lang w:val="zh-CN"/>
          <w14:textFill>
            <w14:solidFill>
              <w14:schemeClr w14:val="tx1"/>
            </w14:solidFill>
          </w14:textFill>
        </w:rPr>
      </w:pPr>
      <w:r>
        <w:rPr>
          <w:rFonts w:hint="eastAsia" w:ascii="宋体" w:hAnsi="宋体" w:cs="宋体"/>
          <w:color w:val="000000" w:themeColor="text1"/>
          <w:sz w:val="28"/>
          <w:lang w:val="zh-CN"/>
          <w14:textFill>
            <w14:solidFill>
              <w14:schemeClr w14:val="tx1"/>
            </w14:solidFill>
          </w14:textFill>
        </w:rPr>
        <w:t>（</w:t>
      </w:r>
      <w:r>
        <w:rPr>
          <w:rFonts w:hint="eastAsia" w:ascii="宋体" w:hAnsi="宋体" w:cs="宋体"/>
          <w:color w:val="000000" w:themeColor="text1"/>
          <w:sz w:val="28"/>
          <w14:textFill>
            <w14:solidFill>
              <w14:schemeClr w14:val="tx1"/>
            </w14:solidFill>
          </w14:textFill>
        </w:rPr>
        <w:t>八</w:t>
      </w:r>
      <w:r>
        <w:rPr>
          <w:rFonts w:hint="eastAsia" w:ascii="宋体" w:hAnsi="宋体" w:cs="宋体"/>
          <w:color w:val="000000" w:themeColor="text1"/>
          <w:sz w:val="28"/>
          <w:lang w:val="zh-CN"/>
          <w14:textFill>
            <w14:solidFill>
              <w14:schemeClr w14:val="tx1"/>
            </w14:solidFill>
          </w14:textFill>
        </w:rPr>
        <w:t>）项目</w:t>
      </w:r>
      <w:r>
        <w:rPr>
          <w:rFonts w:hint="eastAsia" w:ascii="宋体" w:hAnsi="宋体" w:cs="宋体"/>
          <w:color w:val="000000" w:themeColor="text1"/>
          <w:sz w:val="28"/>
          <w14:textFill>
            <w14:solidFill>
              <w14:schemeClr w14:val="tx1"/>
            </w14:solidFill>
          </w14:textFill>
        </w:rPr>
        <w:t>实施</w:t>
      </w:r>
      <w:r>
        <w:rPr>
          <w:rFonts w:hint="eastAsia" w:ascii="宋体" w:hAnsi="宋体" w:cs="宋体"/>
          <w:color w:val="000000" w:themeColor="text1"/>
          <w:sz w:val="28"/>
          <w:lang w:val="zh-CN"/>
          <w14:textFill>
            <w14:solidFill>
              <w14:schemeClr w14:val="tx1"/>
            </w14:solidFill>
          </w14:textFill>
        </w:rPr>
        <w:t>方案</w:t>
      </w:r>
    </w:p>
    <w:p>
      <w:pPr>
        <w:jc w:val="center"/>
        <w:rPr>
          <w:rFonts w:ascii="宋体" w:hAnsi="宋体" w:cs="宋体"/>
          <w:b/>
          <w:bCs/>
          <w:color w:val="000000" w:themeColor="text1"/>
          <w:sz w:val="32"/>
          <w:szCs w:val="32"/>
          <w14:textFill>
            <w14:solidFill>
              <w14:schemeClr w14:val="tx1"/>
            </w14:solidFill>
          </w14:textFill>
        </w:rPr>
      </w:pP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本项格式自拟。</w:t>
      </w:r>
    </w:p>
    <w:p>
      <w:pPr>
        <w:jc w:val="center"/>
        <w:rPr>
          <w:rFonts w:ascii="宋体" w:hAnsi="宋体" w:cs="宋体"/>
          <w:color w:val="000000" w:themeColor="text1"/>
          <w:sz w:val="24"/>
          <w14:textFill>
            <w14:solidFill>
              <w14:schemeClr w14:val="tx1"/>
            </w14:solidFill>
          </w14:textFill>
        </w:rPr>
      </w:pPr>
    </w:p>
    <w:p>
      <w:pPr>
        <w:rPr>
          <w:rFonts w:ascii="宋体" w:hAnsi="宋体" w:cs="宋体"/>
          <w:b/>
          <w:color w:val="000000" w:themeColor="text1"/>
          <w:sz w:val="32"/>
          <w:szCs w:val="32"/>
          <w:lang w:val="zh-CN"/>
          <w14:textFill>
            <w14:solidFill>
              <w14:schemeClr w14:val="tx1"/>
            </w14:solidFill>
          </w14:textFill>
        </w:rPr>
      </w:pPr>
    </w:p>
    <w:p>
      <w:pPr>
        <w:spacing w:line="400" w:lineRule="exact"/>
        <w:ind w:firstLine="65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 w:val="32"/>
          <w:szCs w:val="32"/>
          <w:lang w:val="zh-CN"/>
          <w14:textFill>
            <w14:solidFill>
              <w14:schemeClr w14:val="tx1"/>
            </w14:solidFill>
          </w14:textFill>
        </w:rPr>
        <w:br w:type="page"/>
      </w:r>
      <w:bookmarkStart w:id="91" w:name="_Hlk66695508"/>
      <w:bookmarkStart w:id="92" w:name="_Hlk66710647"/>
    </w:p>
    <w:bookmarkEnd w:id="91"/>
    <w:bookmarkEnd w:id="92"/>
    <w:p>
      <w:pPr>
        <w:pStyle w:val="2"/>
        <w:spacing w:line="240" w:lineRule="auto"/>
        <w:jc w:val="center"/>
        <w:rPr>
          <w:rFonts w:ascii="宋体" w:hAnsi="宋体" w:cs="宋体"/>
          <w:color w:val="000000" w:themeColor="text1"/>
          <w:sz w:val="28"/>
          <w:lang w:val="zh-CN"/>
          <w14:textFill>
            <w14:solidFill>
              <w14:schemeClr w14:val="tx1"/>
            </w14:solidFill>
          </w14:textFill>
        </w:rPr>
      </w:pPr>
      <w:r>
        <w:rPr>
          <w:rFonts w:hint="eastAsia" w:ascii="宋体" w:hAnsi="宋体" w:cs="宋体"/>
          <w:color w:val="000000" w:themeColor="text1"/>
          <w:sz w:val="28"/>
          <w:lang w:val="zh-CN"/>
          <w14:textFill>
            <w14:solidFill>
              <w14:schemeClr w14:val="tx1"/>
            </w14:solidFill>
          </w14:textFill>
        </w:rPr>
        <w:t>（九）知识产权的声明函</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四川同方建设咨询有限公司：</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作为项目的供应商，我方声明如下：</w:t>
      </w:r>
    </w:p>
    <w:p>
      <w:pPr>
        <w:pStyle w:val="13"/>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我单位保证在本项目中使用的任何产品和服务（包括部分使用），不会产生因第三方提出侵犯其专利权、商标权或其它知识产权而引起的法律和经济纠纷，如因专利权、商标权或其它知识产权而引起法律和经济纠纷，由我单位承担所有相关责任。</w:t>
      </w:r>
    </w:p>
    <w:p>
      <w:pPr>
        <w:pStyle w:val="13"/>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2、采购人享有本项目实施过程中产生的知识成果及知识产权，我单位保证不会擅自对外发表和出版。</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我单位将在采购项目实施过程中采用自有或者第三方知识成果的，在响应文件中载明，并提供相关知识产权证明文件。使用该知识成果后，我单位将提供开发接口和开发手册等技术资料，并承诺提供无限期支持，采购人享有使用权（含采购人委托第三方在该项目后续开发的使用权）。</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4、如采用我单位所不拥有的知识产权，则在报价中包括合法获取该知识产权的相关费用。</w:t>
      </w:r>
    </w:p>
    <w:p>
      <w:pPr>
        <w:spacing w:line="360" w:lineRule="auto"/>
        <w:ind w:firstLine="480"/>
        <w:rPr>
          <w:rFonts w:ascii="宋体" w:hAnsi="宋体" w:cs="宋体"/>
          <w:sz w:val="24"/>
        </w:rPr>
      </w:pPr>
      <w:r>
        <w:rPr>
          <w:rFonts w:hint="eastAsia" w:ascii="宋体" w:hAnsi="宋体" w:cs="宋体"/>
          <w:color w:val="000000" w:themeColor="text1"/>
          <w:sz w:val="24"/>
          <w14:textFill>
            <w14:solidFill>
              <w14:schemeClr w14:val="tx1"/>
            </w14:solidFill>
          </w14:textFill>
        </w:rPr>
        <w:t>5、</w:t>
      </w:r>
      <w:r>
        <w:rPr>
          <w:rFonts w:hint="eastAsia" w:ascii="宋体" w:hAnsi="宋体" w:cs="宋体"/>
          <w:sz w:val="24"/>
        </w:rPr>
        <w:t>我单位保证拟派本项目的工作人员严格遵守保密要求，不得未经采购人同意向任何第三方泄露本项目相关资料和信息。</w:t>
      </w:r>
    </w:p>
    <w:p>
      <w:pPr>
        <w:ind w:firstLine="480"/>
        <w:rPr>
          <w:rFonts w:ascii="宋体" w:hAnsi="宋体" w:cs="宋体"/>
          <w:color w:val="000000" w:themeColor="text1"/>
          <w14:textFill>
            <w14:solidFill>
              <w14:schemeClr w14:val="tx1"/>
            </w14:solidFill>
          </w14:textFill>
        </w:rPr>
      </w:pPr>
    </w:p>
    <w:p>
      <w:pPr>
        <w:ind w:firstLine="480"/>
        <w:rPr>
          <w:rFonts w:ascii="宋体" w:hAnsi="宋体" w:cs="宋体"/>
          <w:color w:val="000000" w:themeColor="text1"/>
          <w14:textFill>
            <w14:solidFill>
              <w14:schemeClr w14:val="tx1"/>
            </w14:solidFill>
          </w14:textFill>
        </w:rPr>
      </w:pPr>
    </w:p>
    <w:p>
      <w:pPr>
        <w:spacing w:line="360" w:lineRule="auto"/>
        <w:ind w:firstLine="480"/>
        <w:rPr>
          <w:rFonts w:ascii="宋体" w:hAnsi="宋体" w:cs="宋体"/>
          <w:color w:val="000000" w:themeColor="text1"/>
          <w14:textFill>
            <w14:solidFill>
              <w14:schemeClr w14:val="tx1"/>
            </w14:solidFill>
          </w14:textFill>
        </w:rPr>
      </w:pP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供应商名称：</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（加盖公章）</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法定代表人或代理人：</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（签字）</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日期：年月日</w:t>
      </w:r>
    </w:p>
    <w:p>
      <w:pPr>
        <w:pStyle w:val="2"/>
        <w:spacing w:line="240" w:lineRule="auto"/>
        <w:jc w:val="center"/>
        <w:rPr>
          <w:rFonts w:ascii="宋体" w:hAnsi="宋体" w:cs="宋体"/>
          <w:color w:val="000000" w:themeColor="text1"/>
          <w:sz w:val="28"/>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br w:type="page"/>
      </w:r>
      <w:r>
        <w:rPr>
          <w:rFonts w:hint="eastAsia" w:ascii="宋体" w:hAnsi="宋体" w:cs="宋体"/>
          <w:color w:val="000000" w:themeColor="text1"/>
          <w:sz w:val="28"/>
          <w:lang w:val="zh-CN"/>
          <w14:textFill>
            <w14:solidFill>
              <w14:schemeClr w14:val="tx1"/>
            </w14:solidFill>
          </w14:textFill>
        </w:rPr>
        <w:t>（</w:t>
      </w:r>
      <w:r>
        <w:rPr>
          <w:rFonts w:hint="eastAsia" w:ascii="宋体" w:hAnsi="宋体" w:cs="宋体"/>
          <w:color w:val="000000" w:themeColor="text1"/>
          <w:sz w:val="28"/>
          <w14:textFill>
            <w14:solidFill>
              <w14:schemeClr w14:val="tx1"/>
            </w14:solidFill>
          </w14:textFill>
        </w:rPr>
        <w:t>十</w:t>
      </w:r>
      <w:r>
        <w:rPr>
          <w:rFonts w:hint="eastAsia" w:ascii="宋体" w:hAnsi="宋体" w:cs="宋体"/>
          <w:color w:val="000000" w:themeColor="text1"/>
          <w:sz w:val="28"/>
          <w:lang w:val="zh-CN"/>
          <w14:textFill>
            <w14:solidFill>
              <w14:schemeClr w14:val="tx1"/>
            </w14:solidFill>
          </w14:textFill>
        </w:rPr>
        <w:t>）供应商认为应当提供的其他材料（如有，格式自拟）</w:t>
      </w:r>
    </w:p>
    <w:p>
      <w:pPr>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供应商认为应当提供的其他材料（如有，格式自拟）</w:t>
      </w:r>
    </w:p>
    <w:p>
      <w:pPr>
        <w:spacing w:line="360" w:lineRule="auto"/>
        <w:jc w:val="center"/>
        <w:outlineLvl w:val="1"/>
        <w:rPr>
          <w:rFonts w:ascii="宋体" w:hAnsi="宋体" w:cs="宋体"/>
          <w:b/>
          <w:color w:val="000000" w:themeColor="text1"/>
          <w:sz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color w:val="000000" w:themeColor="text1"/>
          <w:sz w:val="32"/>
          <w14:textFill>
            <w14:solidFill>
              <w14:schemeClr w14:val="tx1"/>
            </w14:solidFill>
          </w14:textFill>
        </w:rPr>
        <w:t>三、最后报价表</w:t>
      </w:r>
    </w:p>
    <w:p>
      <w:pPr>
        <w:spacing w:line="48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（本表由供应商自行准备空白页备用，在需要多轮磋商报价时填写递交，不装入响应文件）</w:t>
      </w:r>
    </w:p>
    <w:p>
      <w:pPr>
        <w:rPr>
          <w:rFonts w:ascii="宋体" w:hAnsi="宋体" w:cs="宋体"/>
          <w:color w:val="000000" w:themeColor="text1"/>
          <w:lang w:val="zh-CN"/>
          <w14:textFill>
            <w14:solidFill>
              <w14:schemeClr w14:val="tx1"/>
            </w14:solidFill>
          </w14:textFill>
        </w:rPr>
      </w:pPr>
    </w:p>
    <w:tbl>
      <w:tblPr>
        <w:tblStyle w:val="25"/>
        <w:tblW w:w="993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4"/>
        <w:gridCol w:w="6463"/>
        <w:gridCol w:w="141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1018" w:hRule="atLeast"/>
          <w:jc w:val="center"/>
        </w:trPr>
        <w:tc>
          <w:tcPr>
            <w:tcW w:w="2064" w:type="dxa"/>
            <w:tcBorders>
              <w:top w:val="single" w:color="auto" w:sz="4" w:space="0"/>
              <w:left w:val="single" w:color="auto" w:sz="4" w:space="0"/>
              <w:bottom w:val="single" w:color="000000" w:sz="6" w:space="0"/>
            </w:tcBorders>
            <w:vAlign w:val="center"/>
          </w:tcPr>
          <w:p>
            <w:pPr>
              <w:wordWrap w:val="0"/>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6463" w:type="dxa"/>
            <w:tcBorders>
              <w:top w:val="single" w:color="auto" w:sz="4" w:space="0"/>
              <w:bottom w:val="single" w:color="000000" w:sz="6" w:space="0"/>
              <w:right w:val="single" w:color="auto" w:sz="4" w:space="0"/>
            </w:tcBorders>
            <w:vAlign w:val="center"/>
          </w:tcPr>
          <w:p>
            <w:pPr>
              <w:wordWrap w:val="0"/>
              <w:topLinePunct/>
              <w:jc w:val="center"/>
              <w:rPr>
                <w:rFonts w:ascii="宋体" w:hAnsi="宋体" w:cs="宋体"/>
                <w:color w:val="000000" w:themeColor="text1"/>
                <w:szCs w:val="21"/>
                <w14:textFill>
                  <w14:solidFill>
                    <w14:schemeClr w14:val="tx1"/>
                  </w14:solidFill>
                </w14:textFill>
              </w:rPr>
            </w:pPr>
          </w:p>
        </w:tc>
        <w:tc>
          <w:tcPr>
            <w:tcW w:w="1412" w:type="dxa"/>
            <w:tcBorders>
              <w:top w:val="single" w:color="auto" w:sz="4" w:space="0"/>
              <w:left w:val="single" w:color="auto" w:sz="4" w:space="0"/>
              <w:bottom w:val="single" w:color="000000" w:sz="6" w:space="0"/>
              <w:right w:val="single" w:color="auto" w:sz="4" w:space="0"/>
            </w:tcBorders>
            <w:vAlign w:val="center"/>
          </w:tcPr>
          <w:p>
            <w:pPr>
              <w:wordWrap w:val="0"/>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928" w:hRule="atLeast"/>
          <w:jc w:val="center"/>
        </w:trPr>
        <w:tc>
          <w:tcPr>
            <w:tcW w:w="2064" w:type="dxa"/>
            <w:tcBorders>
              <w:top w:val="single" w:color="000000" w:sz="6" w:space="0"/>
              <w:left w:val="single" w:color="auto" w:sz="4" w:space="0"/>
            </w:tcBorders>
            <w:vAlign w:val="center"/>
          </w:tcPr>
          <w:p>
            <w:pPr>
              <w:wordWrap w:val="0"/>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p>
        </w:tc>
        <w:tc>
          <w:tcPr>
            <w:tcW w:w="6463" w:type="dxa"/>
            <w:tcBorders>
              <w:top w:val="single" w:color="000000" w:sz="6" w:space="0"/>
              <w:right w:val="single" w:color="auto" w:sz="4" w:space="0"/>
            </w:tcBorders>
            <w:vAlign w:val="center"/>
          </w:tcPr>
          <w:p>
            <w:pPr>
              <w:wordWrap w:val="0"/>
              <w:topLinePunct/>
              <w:ind w:firstLine="480"/>
              <w:jc w:val="center"/>
              <w:rPr>
                <w:rFonts w:ascii="宋体" w:hAnsi="宋体" w:cs="宋体"/>
                <w:color w:val="000000" w:themeColor="text1"/>
                <w:szCs w:val="21"/>
                <w14:textFill>
                  <w14:solidFill>
                    <w14:schemeClr w14:val="tx1"/>
                  </w14:solidFill>
                </w14:textFill>
              </w:rPr>
            </w:pPr>
          </w:p>
        </w:tc>
        <w:tc>
          <w:tcPr>
            <w:tcW w:w="1412" w:type="dxa"/>
            <w:vMerge w:val="restart"/>
            <w:tcBorders>
              <w:top w:val="single" w:color="000000" w:sz="6" w:space="0"/>
              <w:left w:val="single" w:color="auto" w:sz="4" w:space="0"/>
              <w:bottom w:val="single" w:color="auto" w:sz="4" w:space="0"/>
              <w:right w:val="single" w:color="auto" w:sz="4" w:space="0"/>
            </w:tcBorders>
            <w:vAlign w:val="center"/>
          </w:tcPr>
          <w:p>
            <w:pPr>
              <w:wordWrap w:val="0"/>
              <w:topLinePunct/>
              <w:ind w:firstLine="480"/>
              <w:jc w:val="center"/>
              <w:rPr>
                <w:rFonts w:ascii="宋体" w:hAnsi="宋体" w:cs="宋体"/>
                <w:color w:val="000000" w:themeColor="text1"/>
                <w:szCs w:val="21"/>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674" w:hRule="atLeast"/>
          <w:jc w:val="center"/>
        </w:trPr>
        <w:tc>
          <w:tcPr>
            <w:tcW w:w="2064" w:type="dxa"/>
            <w:tcBorders>
              <w:top w:val="single" w:color="auto" w:sz="4" w:space="0"/>
              <w:left w:val="single" w:color="auto" w:sz="4" w:space="0"/>
              <w:bottom w:val="single" w:color="auto" w:sz="4" w:space="0"/>
              <w:right w:val="single" w:color="auto" w:sz="4" w:space="0"/>
            </w:tcBorders>
            <w:vAlign w:val="center"/>
          </w:tcPr>
          <w:p>
            <w:pPr>
              <w:wordWrap w:val="0"/>
              <w:topLinePun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w:t>
            </w:r>
          </w:p>
        </w:tc>
        <w:tc>
          <w:tcPr>
            <w:tcW w:w="6463" w:type="dxa"/>
            <w:tcBorders>
              <w:top w:val="single" w:color="auto" w:sz="4" w:space="0"/>
              <w:bottom w:val="single" w:color="auto" w:sz="4" w:space="0"/>
              <w:right w:val="single" w:color="auto" w:sz="4" w:space="0"/>
            </w:tcBorders>
            <w:vAlign w:val="center"/>
          </w:tcPr>
          <w:p>
            <w:pPr>
              <w:wordWrap w:val="0"/>
              <w:topLinePunct/>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元/年</w:t>
            </w:r>
          </w:p>
        </w:tc>
        <w:tc>
          <w:tcPr>
            <w:tcW w:w="1412" w:type="dxa"/>
            <w:vMerge w:val="continue"/>
            <w:tcBorders>
              <w:top w:val="single" w:color="auto" w:sz="4" w:space="0"/>
              <w:left w:val="single" w:color="auto" w:sz="4" w:space="0"/>
              <w:bottom w:val="single" w:color="auto" w:sz="4" w:space="0"/>
              <w:right w:val="single" w:color="auto" w:sz="4" w:space="0"/>
            </w:tcBorders>
            <w:vAlign w:val="center"/>
          </w:tcPr>
          <w:p>
            <w:pPr>
              <w:wordWrap w:val="0"/>
              <w:topLinePunct/>
              <w:jc w:val="center"/>
              <w:rPr>
                <w:rFonts w:ascii="宋体" w:hAnsi="宋体" w:cs="宋体"/>
                <w:color w:val="000000" w:themeColor="text1"/>
                <w:szCs w:val="21"/>
                <w14:textFill>
                  <w14:solidFill>
                    <w14:schemeClr w14:val="tx1"/>
                  </w14:solidFill>
                </w14:textFill>
              </w:rPr>
            </w:pPr>
          </w:p>
        </w:tc>
      </w:tr>
    </w:tbl>
    <w:p>
      <w:pPr>
        <w:spacing w:line="460" w:lineRule="exact"/>
        <w:ind w:firstLine="43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w:t>
      </w:r>
      <w:r>
        <w:rPr>
          <w:rFonts w:hint="eastAsia" w:ascii="宋体" w:hAnsi="宋体" w:cs="宋体"/>
          <w:color w:val="000000" w:themeColor="text1"/>
          <w:szCs w:val="21"/>
          <w14:textFill>
            <w14:solidFill>
              <w14:schemeClr w14:val="tx1"/>
            </w14:solidFill>
          </w14:textFill>
        </w:rPr>
        <w:t>报价包含本项目所涉及人员劳务、差旅、设备投入、利润、保险、风险、税金等费用。</w:t>
      </w:r>
    </w:p>
    <w:p>
      <w:pPr>
        <w:pStyle w:val="12"/>
        <w:rPr>
          <w:rFonts w:ascii="宋体" w:hAnsi="宋体" w:eastAsia="宋体" w:cs="宋体"/>
          <w:color w:val="000000" w:themeColor="text1"/>
          <w:sz w:val="24"/>
          <w14:textFill>
            <w14:solidFill>
              <w14:schemeClr w14:val="tx1"/>
            </w14:solidFill>
          </w14:textFill>
        </w:rPr>
      </w:pPr>
    </w:p>
    <w:p>
      <w:pPr>
        <w:pStyle w:val="12"/>
        <w:ind w:firstLine="0"/>
        <w:rPr>
          <w:rFonts w:ascii="宋体" w:hAnsi="宋体" w:eastAsia="宋体" w:cs="宋体"/>
          <w:color w:val="000000" w:themeColor="text1"/>
          <w14:textFill>
            <w14:solidFill>
              <w14:schemeClr w14:val="tx1"/>
            </w14:solidFill>
          </w14:textFill>
        </w:rPr>
      </w:pPr>
    </w:p>
    <w:p>
      <w:pPr>
        <w:spacing w:line="360" w:lineRule="auto"/>
        <w:ind w:firstLine="480"/>
        <w:rPr>
          <w:rFonts w:ascii="宋体" w:hAnsi="宋体" w:cs="宋体"/>
          <w:color w:val="000000" w:themeColor="text1"/>
          <w14:textFill>
            <w14:solidFill>
              <w14:schemeClr w14:val="tx1"/>
            </w14:solidFill>
          </w14:textFill>
        </w:rPr>
      </w:pP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供应商名称：</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（加盖公章）</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法定代表人或代理人：</w:t>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u w:val="single"/>
          <w:lang w:val="zh-CN"/>
          <w14:textFill>
            <w14:solidFill>
              <w14:schemeClr w14:val="tx1"/>
            </w14:solidFill>
          </w14:textFill>
        </w:rPr>
        <w:tab/>
      </w:r>
      <w:r>
        <w:rPr>
          <w:rFonts w:hint="eastAsia" w:ascii="宋体" w:hAnsi="宋体" w:cs="宋体"/>
          <w:color w:val="000000" w:themeColor="text1"/>
          <w:sz w:val="24"/>
          <w:lang w:val="zh-CN"/>
          <w14:textFill>
            <w14:solidFill>
              <w14:schemeClr w14:val="tx1"/>
            </w14:solidFill>
          </w14:textFill>
        </w:rPr>
        <w:t>（签字）</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日期：年月日</w:t>
      </w:r>
    </w:p>
    <w:p>
      <w:pPr>
        <w:autoSpaceDE w:val="0"/>
        <w:autoSpaceDN w:val="0"/>
        <w:adjustRightInd w:val="0"/>
        <w:spacing w:line="360" w:lineRule="auto"/>
        <w:ind w:firstLine="48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br w:type="page"/>
      </w:r>
    </w:p>
    <w:p>
      <w:pPr>
        <w:pStyle w:val="3"/>
        <w:keepNext w:val="0"/>
        <w:keepLines w:val="0"/>
        <w:spacing w:before="0" w:after="0" w:line="240" w:lineRule="auto"/>
        <w:jc w:val="center"/>
        <w:rPr>
          <w:rFonts w:ascii="宋体" w:hAnsi="宋体" w:cs="宋体"/>
          <w:color w:val="000000" w:themeColor="text1"/>
          <w:sz w:val="36"/>
          <w:szCs w:val="36"/>
          <w14:textFill>
            <w14:solidFill>
              <w14:schemeClr w14:val="tx1"/>
            </w14:solidFill>
          </w14:textFill>
        </w:rPr>
      </w:pPr>
      <w:bookmarkStart w:id="93" w:name="_Toc47706404"/>
      <w:bookmarkStart w:id="94" w:name="_Toc47706313"/>
      <w:r>
        <w:rPr>
          <w:rFonts w:hint="eastAsia" w:ascii="宋体" w:hAnsi="宋体" w:cs="宋体"/>
          <w:color w:val="000000" w:themeColor="text1"/>
          <w:sz w:val="36"/>
          <w:szCs w:val="36"/>
          <w14:textFill>
            <w14:solidFill>
              <w14:schemeClr w14:val="tx1"/>
            </w14:solidFill>
          </w14:textFill>
        </w:rPr>
        <w:t>第七章  评审方法</w:t>
      </w:r>
      <w:bookmarkEnd w:id="93"/>
      <w:bookmarkEnd w:id="94"/>
    </w:p>
    <w:p>
      <w:pPr>
        <w:pStyle w:val="4"/>
        <w:keepNext w:val="0"/>
        <w:keepLines w:val="0"/>
        <w:spacing w:before="0" w:after="0" w:line="360" w:lineRule="auto"/>
        <w:ind w:firstLine="490" w:firstLineChars="200"/>
        <w:rPr>
          <w:rFonts w:ascii="宋体" w:hAnsi="宋体" w:eastAsia="宋体" w:cs="宋体"/>
          <w:color w:val="000000" w:themeColor="text1"/>
          <w:sz w:val="24"/>
          <w:szCs w:val="24"/>
          <w14:textFill>
            <w14:solidFill>
              <w14:schemeClr w14:val="tx1"/>
            </w14:solidFill>
          </w14:textFill>
        </w:rPr>
      </w:pPr>
      <w:bookmarkStart w:id="95" w:name="_Toc101250640"/>
      <w:bookmarkStart w:id="96" w:name="_Toc101338358"/>
      <w:bookmarkStart w:id="97" w:name="_Toc101174146"/>
      <w:bookmarkStart w:id="98" w:name="_Toc209847065"/>
      <w:bookmarkStart w:id="99" w:name="_Toc430773924"/>
      <w:r>
        <w:rPr>
          <w:rFonts w:hint="eastAsia" w:ascii="宋体" w:hAnsi="宋体" w:eastAsia="宋体" w:cs="宋体"/>
          <w:color w:val="000000" w:themeColor="text1"/>
          <w:sz w:val="24"/>
          <w:szCs w:val="24"/>
          <w14:textFill>
            <w14:solidFill>
              <w14:schemeClr w14:val="tx1"/>
            </w14:solidFill>
          </w14:textFill>
        </w:rPr>
        <w:t>1.总则</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 根据《中华人民共和国政府采购法》《中华人民共和国政府采购法实施条例》《政府采购竞争性磋商采购方式管理暂行办法》等法律制度，结合本采购项目特点制定本磋商方法。</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 磋商工作由采购代理机构负责组织，具体磋商由采购代理机构依法组建的磋商小组负责。</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 磋商工作应遵循公平、公正、科学及择优的原则，并以相同的磋商程序和标准对待所有的供应商。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 磋商小组按照磋商文件规定的磋商程序、评分方法和标准进行评审，并独立履行下列职责：</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（一）熟悉和理解磋商文件，确定磋商文件内容是否违反国家有关强制性规定或者磋商文件存在歧义、重大缺陷，根据需要书面要求采购人、采购代理机构对磋商文件作出解释；</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（二）审查供应商响应文件是否满足磋商文件要求，并作出公正评价；</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（三）根据需要要求供应商对响应文件中含义不明确、同类问题表述不一致或者有明显文字和计算错误的内容等作出必要的澄清、说明或者更正；</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（四）推荐成交供应商，或者受采购人委托确定成交供应商；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（五）起草评审报告并进行签署；</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（六）向采购人/采购代理机构、财政部门或者其他监督部门报告非法干预评审工作的行为；</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（七）法律、法规和规章规定的其他职责。</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 （实质性要求）磋商过程独立、保密。供应商非法干预磋商过程的，其响应文件作无效处理。</w:t>
      </w:r>
    </w:p>
    <w:p>
      <w:pPr>
        <w:spacing w:line="360" w:lineRule="auto"/>
        <w:ind w:firstLine="430" w:firstLineChars="200"/>
        <w:rPr>
          <w:rFonts w:ascii="宋体" w:hAnsi="宋体" w:cs="宋体"/>
          <w:color w:val="000000" w:themeColor="text1"/>
          <w14:textFill>
            <w14:solidFill>
              <w14:schemeClr w14:val="tx1"/>
            </w14:solidFill>
          </w14:textFill>
        </w:rPr>
      </w:pPr>
    </w:p>
    <w:p>
      <w:pPr>
        <w:pStyle w:val="4"/>
        <w:keepNext w:val="0"/>
        <w:keepLines w:val="0"/>
        <w:spacing w:before="0" w:after="0" w:line="360" w:lineRule="auto"/>
        <w:ind w:firstLine="49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2.磋商程序</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2.1审查磋商文件和停止评审。</w:t>
      </w:r>
    </w:p>
    <w:p>
      <w:pPr>
        <w:spacing w:line="360" w:lineRule="auto"/>
        <w:ind w:firstLine="49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 磋商小组正式评审前，应当对磋商文件进行熟悉和理解，内容主要包括磋商文件中供应商资格条件要求、采购项目技术、服务和商务要求、磋商办法和标准、政府采购</w:t>
      </w:r>
      <w:r>
        <w:rPr>
          <w:rFonts w:hint="eastAsia" w:ascii="宋体" w:hAnsi="宋体" w:cs="宋体"/>
          <w:b/>
          <w:color w:val="000000" w:themeColor="text1"/>
          <w:sz w:val="24"/>
          <w14:textFill>
            <w14:solidFill>
              <w14:schemeClr w14:val="tx1"/>
            </w14:solidFill>
          </w14:textFill>
        </w:rPr>
        <w:t>政策要求以及政府采购合同主要条款等。</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 本磋商文件有下列情形之一的，磋商小组应当停止评审：</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（1）磋商文件的规定存在歧义、重大缺陷的；</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（2）磋商文件明显以不合理条件对供应商实行差别待遇或者歧视待遇的；</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（3）采购项目属于国家规定的优先、强制采购范围，但是磋商文件未依法体现优先、强制采购相关规定的；</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（4）采购项目属于政府采购促进中小企业发展的范围，但是磋商文件未依法体现促进中小企业发展相关规定的；</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（5）磋商文件将供应商的资格条件列为评分因素的；</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（6）磋商文件载明的成交原则不合法的；</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（7）磋商文件有违反国家其他有关强制性规定的情形。</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 出现本条2.1.2规定应当停止评审情形的，磋商小组应当向采购人书面说明情况。除本条规定的情形外，磋商小组不得以任何方式和理由停止评审。</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2.2资格性审查。</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2.2.1本项目需要磋商小组进行资格性检查。</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在供应商递交响应文件截止时间结束后，采购代理机构组织磋商小组对递交响应文件的供应商进行资格审查。</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资格性审查结束后，磋商小组应当出具资格性审查报告，没有通过资格审查的供应商，磋商小组应当在资格审查报告中说明原因。确定参加磋商的供应商数量采用合格数量制，即磋商小组对各供应商资格审查后，凡符合本竞争性磋商文件规定资格条件的，均进入磋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2.2.3采购人或者采购代理机构宣布未通过资格性审查的供应商名单时，应当告知供应商未通过审查的原因。</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通过资格性审查的供应商不足3家的，终止本次采购活动，并发布终止采购活动公告。</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2.4磋商。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2.4.1磋商小组所有成员集中与通过资格审查的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2.4.2每轮磋商开始前，磋商小组应根据磋商文件的规定，并结合各供应商的响应文件拟定磋商内容。</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2.4.4对磋商文件作出的实质性变动是磋商文件的有效组成部分，磋商小组应当及时以书面形式同时通知所有参加磋商的供应商。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2.4.6磋商过程中，磋商的任何一方不得透露与磋商有关的其他供应商的技术资料、价格和其他信息。</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2.4.7磋商过程中，磋商小组发现或者知晓供应商存在违法、违纪行为的，磋商小组应当将该供应商响应文件作无效处理，不允许其提交最后报价。</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2.4.8磋商完成后，磋商小组应出具磋商情况记录表，磋商情况记录表需包含磋商内容、磋商意见、实质性变动内容等。   </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2.5最后报价。</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及以上供应商，并要求其在规定时间内提交最后报价。</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2.5.3供应商最后报价应当由法定代表人/主要负责人/本人或其授权代表签字确认或加盖公章。最后报价是供应商响应文件的有效组成部分。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2.6比较与评价。由磋商小组采用综合评分法对提交最后报价的供应商的响应文件和最后报价进行综合评分，具体要求详见本章综合评分部分。</w:t>
      </w:r>
    </w:p>
    <w:p>
      <w:pPr>
        <w:spacing w:line="360" w:lineRule="auto"/>
        <w:ind w:firstLine="49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2.7</w:t>
      </w:r>
      <w:r>
        <w:rPr>
          <w:rFonts w:hint="eastAsia" w:ascii="宋体" w:hAnsi="宋体" w:cs="宋体"/>
          <w:sz w:val="24"/>
        </w:rPr>
        <w:t>推荐成交候选供应商。磋商小组应当根据综合评分情况，按照评审得分由高到低顺序推荐3家及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r>
        <w:rPr>
          <w:rFonts w:hint="eastAsia" w:ascii="宋体" w:hAnsi="宋体" w:cs="宋体"/>
          <w:color w:val="000000"/>
          <w:sz w:val="24"/>
        </w:rPr>
        <w:t>排名并列的优先选择少数民族或不发达地区的供应商（以提供不发达地区企业或供应商注册地为少数民族地区的相关证明材料为准）。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小组可推荐的成交候选供应商数量不能满足磋商文件规定的数量的，只有在获得采购人书面同意后，可以根据实际情况推荐成交候选供应商。未获得采购人的书面同意，磋商小组不得在磋商文件规定之外推荐成交候选供应商，否则，采购人可以不予认可。</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2.9采购组织单位现场复核评审结果。</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（1）资格性审查认定错误的；</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（2）分值汇总计算错误的；</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（3）分项评分超出评分标准范围的；</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（4）客观评分不一致的。</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存在本条上述情形的，由磋商小组自主决定是否采纳采购代理机构的书面建议，并承担独立评审责任。磋商小组采纳采购人/采购代理机构书面建议的，应当按照规定现场修改评审结果或者重新评审，并在磋商报告中详细记载有关事宜；不采纳采购代理机构书面建议的，应当书面说明理由。采购人/采购代理机构书面建议未被磋商小组采纳的，应当按照规定程序要求继续组织实施采购活动，不得擅自终止采购活动。采购代理机构认为磋商小组评审结果不合法的，应当书面报告采购项目同级财政部门。</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采购代理机构复核过程中，磋商小组成员不得离开评审现场。</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2.9.2有下列情形之一的，不得现场修改评审结果：</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（1）磋商小组已经出具磋商报告并且离开评审现场的；</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（2）采购代理机构现场复核时，复核工作人员数量不足的；</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（3）采购代理机构现场复核时，没有采购监督人员现场监督的；</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（4）采购代理机构现场复核内容超出规定范围的；</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（5）采购代理机构未提供书面建议的。</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2.10编写磋商报告。磋商小组推荐成交候选供应商后，应向采购人出具磋商报告。磋商报告应当包括以下主要内容：</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（1）邀请供应商参加采购活动的具体方式和相关情况；</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（2）响应文件开启日期和地点；</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（3）获取磋商文件的供应商名单和磋商小组成员名单；</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（4）评审情况记录和说明，包括对供应商的资格审查情况、供应商响应文件审查情况、磋商情况、报价情况等；</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（5）提出的成交候选供应商的排序名单及理由。</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2.12供应商澄清、说明</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2.12.2磋商小组要求供应商澄清、说明或者更正响应文件应当以书面形式作出。供应商的澄清、说明或者更正应当由法定代表人/主要负责人/本人或其授权代表签字或者加盖公章。</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2.13终止磋商采购活动。</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出现下列情形之一的，采购人或者采购代理机构应当终止竞争性磋商采购活动，发布项目终止公告并说明原因，重新开展采购活动：</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（1）因情况变化，不再符合规定的竞争性磋商采购方式适用情形的；</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（2）出现影响采购公正的违法、违规行为的；</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（3）在采购过程中符合要求的供应商或者报价未超过采购预算的供应商不足3家的。</w:t>
      </w:r>
    </w:p>
    <w:p>
      <w:pPr>
        <w:spacing w:line="360" w:lineRule="auto"/>
        <w:ind w:firstLine="490" w:firstLineChars="200"/>
        <w:rPr>
          <w:rFonts w:ascii="宋体" w:hAnsi="宋体" w:cs="宋体"/>
          <w:b/>
          <w:color w:val="000000" w:themeColor="text1"/>
          <w:sz w:val="24"/>
          <w14:textFill>
            <w14:solidFill>
              <w14:schemeClr w14:val="tx1"/>
            </w14:solidFill>
          </w14:textFill>
        </w:rPr>
      </w:pPr>
    </w:p>
    <w:p>
      <w:pPr>
        <w:pStyle w:val="4"/>
        <w:keepNext w:val="0"/>
        <w:keepLines w:val="0"/>
        <w:spacing w:before="0" w:after="0" w:line="360" w:lineRule="auto"/>
        <w:ind w:firstLine="49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3.综合评分</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3.1本次综合评分的因素详见综合评分明细表。</w:t>
      </w:r>
    </w:p>
    <w:p>
      <w:pPr>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除价格因素外，磋商小组成员应当根据自身专业情况独立对每个有效供应商的响应文件进行评价、打分。技术、与技术有关的服务及其他技术类评分因素由抽取的技术方面磋商小组成员独立评分。采购人代表原则上对技术、与技术有关的服务及其他技术类评分因素独立评分。价格及其他不能明确区分的评分因素由磋商小组成员共同评分。磋商小组评分以小组成员自身专业情况并依据综合评分明细表中规定进行。</w:t>
      </w:r>
    </w:p>
    <w:p>
      <w:pPr>
        <w:tabs>
          <w:tab w:val="left" w:pos="600"/>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3.3综合评分明细表</w:t>
      </w:r>
    </w:p>
    <w:p>
      <w:pPr>
        <w:tabs>
          <w:tab w:val="left" w:pos="600"/>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3.3.1综合评分明细表的制定以科学合理、降低评委会自由裁量权为原则。</w:t>
      </w:r>
    </w:p>
    <w:p>
      <w:pPr>
        <w:spacing w:line="360" w:lineRule="auto"/>
        <w:ind w:firstLine="490" w:firstLineChars="200"/>
      </w:pPr>
      <w:r>
        <w:rPr>
          <w:rFonts w:hint="eastAsia" w:ascii="宋体" w:hAnsi="宋体" w:cs="宋体"/>
          <w:color w:val="000000" w:themeColor="text1"/>
          <w:sz w:val="24"/>
          <w14:textFill>
            <w14:solidFill>
              <w14:schemeClr w14:val="tx1"/>
            </w14:solidFill>
          </w14:textFill>
        </w:rPr>
        <w:t>3.3.2综合评分明细表</w:t>
      </w:r>
    </w:p>
    <w:tbl>
      <w:tblPr>
        <w:tblStyle w:val="25"/>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2"/>
        <w:gridCol w:w="1230"/>
        <w:gridCol w:w="6031"/>
        <w:gridCol w:w="775"/>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152" w:type="dxa"/>
            <w:tcMar>
              <w:top w:w="0" w:type="dxa"/>
              <w:left w:w="108" w:type="dxa"/>
              <w:bottom w:w="0" w:type="dxa"/>
              <w:right w:w="108" w:type="dxa"/>
            </w:tcMar>
            <w:vAlign w:val="center"/>
          </w:tcPr>
          <w:p>
            <w:pPr>
              <w:spacing w:before="156" w:beforeLines="50" w:after="156" w:afterLines="50"/>
              <w:jc w:val="center"/>
              <w:rPr>
                <w:rFonts w:ascii="宋体" w:hAnsi="宋体" w:cs="宋体"/>
                <w:b/>
                <w:color w:val="000000"/>
                <w:kern w:val="0"/>
                <w:szCs w:val="21"/>
              </w:rPr>
            </w:pPr>
            <w:r>
              <w:rPr>
                <w:rFonts w:hint="eastAsia" w:ascii="宋体" w:hAnsi="宋体" w:cs="宋体"/>
                <w:b/>
                <w:bCs/>
                <w:color w:val="000000"/>
                <w:kern w:val="0"/>
                <w:szCs w:val="21"/>
              </w:rPr>
              <w:t>评标项目</w:t>
            </w:r>
          </w:p>
        </w:tc>
        <w:tc>
          <w:tcPr>
            <w:tcW w:w="1230" w:type="dxa"/>
            <w:tcMar>
              <w:top w:w="0" w:type="dxa"/>
              <w:left w:w="108" w:type="dxa"/>
              <w:bottom w:w="0" w:type="dxa"/>
              <w:right w:w="108" w:type="dxa"/>
            </w:tcMar>
            <w:vAlign w:val="center"/>
          </w:tcPr>
          <w:p>
            <w:pPr>
              <w:spacing w:before="156" w:beforeLines="50" w:after="156" w:afterLines="50"/>
              <w:jc w:val="center"/>
              <w:rPr>
                <w:rFonts w:ascii="宋体" w:hAnsi="宋体" w:cs="宋体"/>
                <w:b/>
                <w:color w:val="000000"/>
                <w:kern w:val="0"/>
                <w:szCs w:val="21"/>
              </w:rPr>
            </w:pPr>
            <w:r>
              <w:rPr>
                <w:rFonts w:hint="eastAsia" w:ascii="宋体" w:hAnsi="宋体" w:cs="宋体"/>
                <w:b/>
                <w:bCs/>
                <w:color w:val="000000"/>
                <w:kern w:val="0"/>
                <w:szCs w:val="21"/>
              </w:rPr>
              <w:t>评标内容</w:t>
            </w:r>
          </w:p>
        </w:tc>
        <w:tc>
          <w:tcPr>
            <w:tcW w:w="6031" w:type="dxa"/>
            <w:tcMar>
              <w:top w:w="0" w:type="dxa"/>
              <w:left w:w="108" w:type="dxa"/>
              <w:bottom w:w="0" w:type="dxa"/>
              <w:right w:w="108" w:type="dxa"/>
            </w:tcMar>
            <w:vAlign w:val="center"/>
          </w:tcPr>
          <w:p>
            <w:pPr>
              <w:spacing w:before="156" w:beforeLines="50" w:after="156" w:afterLines="50"/>
              <w:ind w:firstLine="430" w:firstLineChars="200"/>
              <w:jc w:val="center"/>
              <w:rPr>
                <w:rFonts w:ascii="宋体" w:hAnsi="宋体" w:cs="宋体"/>
                <w:b/>
                <w:color w:val="000000"/>
                <w:kern w:val="0"/>
                <w:szCs w:val="21"/>
              </w:rPr>
            </w:pPr>
            <w:r>
              <w:rPr>
                <w:rFonts w:hint="eastAsia" w:ascii="宋体" w:hAnsi="宋体" w:cs="宋体"/>
                <w:b/>
                <w:bCs/>
                <w:color w:val="000000"/>
                <w:kern w:val="0"/>
                <w:szCs w:val="21"/>
              </w:rPr>
              <w:t>评审标准</w:t>
            </w:r>
          </w:p>
        </w:tc>
        <w:tc>
          <w:tcPr>
            <w:tcW w:w="775" w:type="dxa"/>
            <w:tcMar>
              <w:top w:w="0" w:type="dxa"/>
              <w:left w:w="108" w:type="dxa"/>
              <w:bottom w:w="0" w:type="dxa"/>
              <w:right w:w="108" w:type="dxa"/>
            </w:tcMar>
            <w:vAlign w:val="center"/>
          </w:tcPr>
          <w:p>
            <w:pPr>
              <w:spacing w:before="156" w:beforeLines="50" w:after="156" w:afterLines="50"/>
              <w:jc w:val="center"/>
              <w:rPr>
                <w:rFonts w:ascii="宋体" w:hAnsi="宋体" w:cs="宋体"/>
                <w:b/>
                <w:color w:val="000000"/>
                <w:kern w:val="0"/>
                <w:szCs w:val="21"/>
              </w:rPr>
            </w:pPr>
            <w:r>
              <w:rPr>
                <w:rFonts w:hint="eastAsia" w:ascii="宋体" w:hAnsi="宋体" w:cs="宋体"/>
                <w:b/>
                <w:color w:val="000000"/>
                <w:kern w:val="0"/>
                <w:szCs w:val="21"/>
              </w:rPr>
              <w:t>分值</w:t>
            </w:r>
          </w:p>
        </w:tc>
        <w:tc>
          <w:tcPr>
            <w:tcW w:w="687" w:type="dxa"/>
            <w:tcMar>
              <w:top w:w="0" w:type="dxa"/>
              <w:left w:w="108" w:type="dxa"/>
              <w:bottom w:w="0" w:type="dxa"/>
              <w:right w:w="108" w:type="dxa"/>
            </w:tcMar>
            <w:vAlign w:val="center"/>
          </w:tcPr>
          <w:p>
            <w:pPr>
              <w:spacing w:before="156" w:beforeLines="50" w:after="156" w:afterLines="50"/>
              <w:jc w:val="center"/>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52" w:type="dxa"/>
            <w:tcMar>
              <w:top w:w="0" w:type="dxa"/>
              <w:left w:w="108" w:type="dxa"/>
              <w:bottom w:w="0" w:type="dxa"/>
              <w:right w:w="108" w:type="dxa"/>
            </w:tcMar>
            <w:vAlign w:val="center"/>
          </w:tcPr>
          <w:p>
            <w:pPr>
              <w:jc w:val="center"/>
              <w:rPr>
                <w:rFonts w:ascii="宋体" w:hAnsi="宋体" w:cs="宋体"/>
                <w:b/>
                <w:bCs/>
                <w:color w:val="000000"/>
                <w:kern w:val="0"/>
                <w:szCs w:val="21"/>
              </w:rPr>
            </w:pPr>
            <w:r>
              <w:rPr>
                <w:rFonts w:hint="eastAsia" w:ascii="宋体" w:hAnsi="宋体" w:cs="宋体"/>
                <w:b/>
                <w:bCs/>
                <w:color w:val="000000"/>
                <w:kern w:val="0"/>
                <w:szCs w:val="21"/>
              </w:rPr>
              <w:t>报价</w:t>
            </w:r>
          </w:p>
          <w:p>
            <w:pPr>
              <w:jc w:val="center"/>
              <w:rPr>
                <w:rFonts w:ascii="宋体" w:hAnsi="宋体" w:cs="宋体"/>
                <w:color w:val="000000"/>
                <w:kern w:val="0"/>
                <w:szCs w:val="21"/>
              </w:rPr>
            </w:pPr>
            <w:r>
              <w:rPr>
                <w:rFonts w:hint="eastAsia" w:ascii="宋体" w:hAnsi="宋体" w:cs="宋体"/>
                <w:b/>
                <w:bCs/>
                <w:color w:val="000000"/>
                <w:kern w:val="0"/>
                <w:szCs w:val="21"/>
              </w:rPr>
              <w:t>（</w:t>
            </w:r>
            <w:r>
              <w:rPr>
                <w:rFonts w:ascii="宋体" w:hAnsi="宋体" w:cs="宋体"/>
                <w:b/>
                <w:bCs/>
                <w:color w:val="000000"/>
                <w:kern w:val="0"/>
                <w:szCs w:val="21"/>
              </w:rPr>
              <w:t>30</w:t>
            </w:r>
            <w:r>
              <w:rPr>
                <w:rFonts w:hint="eastAsia" w:ascii="宋体" w:hAnsi="宋体" w:cs="宋体"/>
                <w:b/>
                <w:bCs/>
                <w:color w:val="000000"/>
                <w:kern w:val="0"/>
                <w:szCs w:val="21"/>
              </w:rPr>
              <w:t>分）</w:t>
            </w:r>
          </w:p>
        </w:tc>
        <w:tc>
          <w:tcPr>
            <w:tcW w:w="1230" w:type="dxa"/>
            <w:tcMar>
              <w:top w:w="0" w:type="dxa"/>
              <w:left w:w="108" w:type="dxa"/>
              <w:bottom w:w="0" w:type="dxa"/>
              <w:right w:w="108" w:type="dxa"/>
            </w:tcMar>
            <w:vAlign w:val="center"/>
          </w:tcPr>
          <w:p>
            <w:pPr>
              <w:jc w:val="center"/>
              <w:rPr>
                <w:rFonts w:ascii="宋体" w:hAnsi="宋体" w:cs="宋体"/>
                <w:color w:val="000000"/>
                <w:kern w:val="0"/>
                <w:szCs w:val="21"/>
              </w:rPr>
            </w:pPr>
            <w:r>
              <w:rPr>
                <w:rFonts w:hint="eastAsia" w:ascii="宋体" w:hAnsi="宋体" w:cs="宋体"/>
                <w:bCs/>
                <w:color w:val="000000"/>
                <w:kern w:val="0"/>
                <w:szCs w:val="21"/>
              </w:rPr>
              <w:t>磋商报价</w:t>
            </w:r>
          </w:p>
        </w:tc>
        <w:tc>
          <w:tcPr>
            <w:tcW w:w="6031" w:type="dxa"/>
            <w:tcMar>
              <w:top w:w="0" w:type="dxa"/>
              <w:left w:w="108" w:type="dxa"/>
              <w:bottom w:w="0" w:type="dxa"/>
              <w:right w:w="108" w:type="dxa"/>
            </w:tcMar>
            <w:vAlign w:val="center"/>
          </w:tcPr>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以满足磋商文件要求且磋商结束后所有供应商的评审价中最低的报价为磋商基准价，其价格分为满分。其他供应商的价格分统一按照下列公式计算：磋商报价得分=（磋商基准价/磋商报价）×</w:t>
            </w:r>
            <w:r>
              <w:rPr>
                <w:rFonts w:ascii="宋体" w:hAnsi="宋体" w:cs="宋体"/>
                <w:color w:val="000000"/>
                <w:kern w:val="0"/>
                <w:szCs w:val="21"/>
              </w:rPr>
              <w:t>30</w:t>
            </w:r>
            <w:r>
              <w:rPr>
                <w:rFonts w:hint="eastAsia" w:ascii="宋体" w:hAnsi="宋体" w:cs="宋体"/>
                <w:color w:val="000000"/>
                <w:kern w:val="0"/>
                <w:szCs w:val="21"/>
              </w:rPr>
              <w:t>。</w:t>
            </w:r>
          </w:p>
        </w:tc>
        <w:tc>
          <w:tcPr>
            <w:tcW w:w="775" w:type="dxa"/>
            <w:tcMar>
              <w:top w:w="0" w:type="dxa"/>
              <w:left w:w="108" w:type="dxa"/>
              <w:bottom w:w="0" w:type="dxa"/>
              <w:right w:w="108" w:type="dxa"/>
            </w:tcMar>
            <w:vAlign w:val="center"/>
          </w:tcPr>
          <w:p>
            <w:pPr>
              <w:jc w:val="center"/>
              <w:rPr>
                <w:rFonts w:ascii="宋体" w:hAnsi="宋体" w:cs="宋体"/>
                <w:b/>
                <w:color w:val="000000"/>
                <w:kern w:val="0"/>
                <w:szCs w:val="21"/>
              </w:rPr>
            </w:pPr>
            <w:r>
              <w:rPr>
                <w:rFonts w:ascii="宋体" w:hAnsi="宋体" w:cs="宋体"/>
                <w:b/>
                <w:color w:val="000000"/>
                <w:kern w:val="0"/>
                <w:szCs w:val="21"/>
              </w:rPr>
              <w:t>30</w:t>
            </w:r>
          </w:p>
        </w:tc>
        <w:tc>
          <w:tcPr>
            <w:tcW w:w="687" w:type="dxa"/>
            <w:tcMar>
              <w:top w:w="0" w:type="dxa"/>
              <w:left w:w="108" w:type="dxa"/>
              <w:bottom w:w="0" w:type="dxa"/>
              <w:right w:w="108" w:type="dxa"/>
            </w:tcMar>
            <w:vAlign w:val="center"/>
          </w:tcPr>
          <w:p>
            <w:pPr>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52" w:type="dxa"/>
            <w:tcMar>
              <w:top w:w="0" w:type="dxa"/>
              <w:left w:w="108" w:type="dxa"/>
              <w:bottom w:w="0" w:type="dxa"/>
              <w:right w:w="108" w:type="dxa"/>
            </w:tcMar>
            <w:vAlign w:val="center"/>
          </w:tcPr>
          <w:p>
            <w:pPr>
              <w:jc w:val="center"/>
              <w:rPr>
                <w:rFonts w:ascii="宋体" w:hAnsi="宋体" w:cs="宋体"/>
                <w:b/>
                <w:bCs/>
                <w:color w:val="000000"/>
                <w:kern w:val="0"/>
                <w:szCs w:val="21"/>
              </w:rPr>
            </w:pPr>
            <w:r>
              <w:rPr>
                <w:rFonts w:hint="eastAsia" w:ascii="宋体" w:hAnsi="宋体" w:cs="宋体"/>
                <w:b/>
                <w:bCs/>
                <w:color w:val="000000"/>
                <w:kern w:val="0"/>
                <w:szCs w:val="21"/>
              </w:rPr>
              <w:t>项目概述及分析</w:t>
            </w:r>
          </w:p>
          <w:p>
            <w:pPr>
              <w:jc w:val="center"/>
              <w:rPr>
                <w:rFonts w:ascii="宋体" w:hAnsi="宋体" w:cs="宋体"/>
                <w:b/>
                <w:bCs/>
                <w:color w:val="000000"/>
                <w:kern w:val="0"/>
                <w:szCs w:val="21"/>
              </w:rPr>
            </w:pPr>
            <w:r>
              <w:rPr>
                <w:rFonts w:hint="eastAsia" w:ascii="宋体" w:hAnsi="宋体" w:cs="宋体"/>
                <w:b/>
                <w:bCs/>
                <w:color w:val="000000"/>
                <w:kern w:val="0"/>
                <w:szCs w:val="21"/>
              </w:rPr>
              <w:t>（</w:t>
            </w:r>
            <w:r>
              <w:rPr>
                <w:rFonts w:ascii="宋体" w:hAnsi="宋体" w:cs="宋体"/>
                <w:b/>
                <w:bCs/>
                <w:color w:val="000000"/>
                <w:kern w:val="0"/>
                <w:szCs w:val="21"/>
              </w:rPr>
              <w:t>6</w:t>
            </w:r>
            <w:r>
              <w:rPr>
                <w:rFonts w:hint="eastAsia" w:ascii="宋体" w:hAnsi="宋体" w:cs="宋体"/>
                <w:b/>
                <w:bCs/>
                <w:color w:val="000000"/>
                <w:kern w:val="0"/>
                <w:szCs w:val="21"/>
              </w:rPr>
              <w:t>分）</w:t>
            </w:r>
          </w:p>
        </w:tc>
        <w:tc>
          <w:tcPr>
            <w:tcW w:w="1230" w:type="dxa"/>
            <w:tcMar>
              <w:top w:w="0" w:type="dxa"/>
              <w:left w:w="108" w:type="dxa"/>
              <w:bottom w:w="0"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项目概述</w:t>
            </w:r>
          </w:p>
          <w:p>
            <w:pPr>
              <w:jc w:val="center"/>
              <w:rPr>
                <w:rFonts w:ascii="宋体" w:hAnsi="宋体" w:cs="宋体"/>
                <w:color w:val="000000"/>
                <w:kern w:val="0"/>
                <w:szCs w:val="21"/>
              </w:rPr>
            </w:pPr>
            <w:r>
              <w:rPr>
                <w:rFonts w:hint="eastAsia" w:ascii="宋体" w:hAnsi="宋体" w:cs="宋体"/>
                <w:color w:val="000000"/>
                <w:kern w:val="0"/>
                <w:szCs w:val="21"/>
              </w:rPr>
              <w:t>及分析</w:t>
            </w:r>
          </w:p>
        </w:tc>
        <w:tc>
          <w:tcPr>
            <w:tcW w:w="6031" w:type="dxa"/>
            <w:tcMar>
              <w:top w:w="0" w:type="dxa"/>
              <w:left w:w="108" w:type="dxa"/>
              <w:bottom w:w="0" w:type="dxa"/>
              <w:right w:w="108" w:type="dxa"/>
            </w:tcMar>
            <w:vAlign w:val="center"/>
          </w:tcPr>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供应商针对本项目实际服务需求进行概述及分析，包括但不限于：</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数字城管信息采集工作意义；</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信息采集人员组建；</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项目实施要求等进行综合阐述。</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根据供应商概述及分析是否到位，清楚、具有针对性等综合评分：满分</w:t>
            </w:r>
            <w:r>
              <w:rPr>
                <w:rFonts w:ascii="宋体" w:hAnsi="宋体" w:cs="宋体"/>
                <w:color w:val="000000"/>
                <w:kern w:val="0"/>
                <w:szCs w:val="21"/>
              </w:rPr>
              <w:t>6</w:t>
            </w:r>
            <w:r>
              <w:rPr>
                <w:rFonts w:hint="eastAsia" w:ascii="宋体" w:hAnsi="宋体" w:cs="宋体"/>
                <w:color w:val="000000"/>
                <w:kern w:val="0"/>
                <w:szCs w:val="21"/>
              </w:rPr>
              <w:t>分，每有一项内容缺失扣</w:t>
            </w:r>
            <w:r>
              <w:rPr>
                <w:rFonts w:ascii="宋体" w:hAnsi="宋体" w:cs="宋体"/>
                <w:color w:val="000000"/>
                <w:kern w:val="0"/>
                <w:szCs w:val="21"/>
              </w:rPr>
              <w:t>2</w:t>
            </w:r>
            <w:r>
              <w:rPr>
                <w:rFonts w:hint="eastAsia" w:ascii="宋体" w:hAnsi="宋体" w:cs="宋体"/>
                <w:color w:val="000000"/>
                <w:kern w:val="0"/>
                <w:szCs w:val="21"/>
              </w:rPr>
              <w:t>分，每有一项内容有缺陷或不足的扣1分，扣完为止。</w:t>
            </w:r>
          </w:p>
          <w:p>
            <w:pPr>
              <w:ind w:left="107" w:leftChars="50" w:right="107" w:rightChars="50" w:firstLine="370" w:firstLineChars="200"/>
              <w:rPr>
                <w:rFonts w:ascii="宋体" w:hAnsi="宋体" w:cs="宋体"/>
                <w:color w:val="000000"/>
                <w:kern w:val="0"/>
                <w:szCs w:val="21"/>
              </w:rPr>
            </w:pPr>
            <w:r>
              <w:rPr>
                <w:rFonts w:hint="eastAsia" w:ascii="宋体" w:hAnsi="宋体" w:cs="宋体"/>
                <w:b/>
                <w:bCs/>
                <w:color w:val="000000"/>
                <w:kern w:val="0"/>
                <w:sz w:val="18"/>
                <w:szCs w:val="18"/>
              </w:rPr>
              <w:t>注：缺陷或不足是指存在如：内容不完善，对项目理解存在偏差、相关内容与项目无关、前后相同问题内容冲突等类似缺陷或瑕疵，以评审专家结合项目实际情况和响应文件响应独立评审为准。</w:t>
            </w:r>
          </w:p>
        </w:tc>
        <w:tc>
          <w:tcPr>
            <w:tcW w:w="775" w:type="dxa"/>
            <w:tcMar>
              <w:top w:w="0" w:type="dxa"/>
              <w:left w:w="108" w:type="dxa"/>
              <w:bottom w:w="0" w:type="dxa"/>
              <w:right w:w="108" w:type="dxa"/>
            </w:tcMar>
            <w:vAlign w:val="center"/>
          </w:tcPr>
          <w:p>
            <w:pPr>
              <w:jc w:val="center"/>
              <w:rPr>
                <w:rFonts w:ascii="宋体" w:hAnsi="宋体" w:cs="宋体"/>
                <w:b/>
                <w:color w:val="000000"/>
                <w:kern w:val="0"/>
                <w:szCs w:val="21"/>
              </w:rPr>
            </w:pPr>
            <w:r>
              <w:rPr>
                <w:rFonts w:ascii="宋体" w:hAnsi="宋体" w:cs="宋体"/>
                <w:b/>
                <w:color w:val="000000"/>
                <w:kern w:val="0"/>
                <w:szCs w:val="21"/>
              </w:rPr>
              <w:t>6</w:t>
            </w:r>
          </w:p>
        </w:tc>
        <w:tc>
          <w:tcPr>
            <w:tcW w:w="687" w:type="dxa"/>
            <w:tcMar>
              <w:top w:w="0" w:type="dxa"/>
              <w:left w:w="108" w:type="dxa"/>
              <w:bottom w:w="0" w:type="dxa"/>
              <w:right w:w="108" w:type="dxa"/>
            </w:tcMar>
            <w:vAlign w:val="center"/>
          </w:tcPr>
          <w:p>
            <w:pPr>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52" w:type="dxa"/>
            <w:vMerge w:val="restart"/>
            <w:tcMar>
              <w:top w:w="0" w:type="dxa"/>
              <w:left w:w="108" w:type="dxa"/>
              <w:bottom w:w="0" w:type="dxa"/>
              <w:right w:w="108" w:type="dxa"/>
            </w:tcMar>
            <w:vAlign w:val="center"/>
          </w:tcPr>
          <w:p>
            <w:pPr>
              <w:jc w:val="center"/>
              <w:rPr>
                <w:rFonts w:ascii="宋体" w:hAnsi="宋体" w:cs="宋体"/>
                <w:b/>
                <w:bCs/>
                <w:color w:val="000000"/>
                <w:kern w:val="0"/>
                <w:szCs w:val="21"/>
              </w:rPr>
            </w:pPr>
            <w:r>
              <w:rPr>
                <w:rFonts w:hint="eastAsia" w:ascii="宋体" w:hAnsi="宋体" w:cs="宋体"/>
                <w:b/>
                <w:bCs/>
                <w:color w:val="000000"/>
                <w:kern w:val="0"/>
                <w:szCs w:val="21"/>
              </w:rPr>
              <w:t>技术部分（</w:t>
            </w:r>
            <w:r>
              <w:rPr>
                <w:rFonts w:ascii="宋体" w:hAnsi="宋体" w:cs="宋体"/>
                <w:b/>
                <w:bCs/>
                <w:color w:val="000000"/>
                <w:kern w:val="0"/>
                <w:szCs w:val="21"/>
              </w:rPr>
              <w:t>44</w:t>
            </w:r>
            <w:r>
              <w:rPr>
                <w:rFonts w:hint="eastAsia" w:ascii="宋体" w:hAnsi="宋体" w:cs="宋体"/>
                <w:b/>
                <w:bCs/>
                <w:color w:val="000000"/>
                <w:kern w:val="0"/>
                <w:szCs w:val="21"/>
              </w:rPr>
              <w:t>分）</w:t>
            </w:r>
          </w:p>
        </w:tc>
        <w:tc>
          <w:tcPr>
            <w:tcW w:w="1230" w:type="dxa"/>
            <w:tcMar>
              <w:top w:w="0" w:type="dxa"/>
              <w:left w:w="108" w:type="dxa"/>
              <w:bottom w:w="0" w:type="dxa"/>
              <w:right w:w="108" w:type="dxa"/>
            </w:tcMar>
            <w:vAlign w:val="center"/>
          </w:tcPr>
          <w:p>
            <w:pPr>
              <w:jc w:val="center"/>
              <w:rPr>
                <w:rFonts w:ascii="宋体" w:hAnsi="宋体" w:cs="宋体"/>
                <w:b/>
                <w:bCs/>
                <w:color w:val="000000"/>
                <w:kern w:val="0"/>
                <w:szCs w:val="21"/>
              </w:rPr>
            </w:pPr>
            <w:r>
              <w:rPr>
                <w:rFonts w:hint="eastAsia" w:ascii="宋体" w:hAnsi="宋体" w:cs="宋体"/>
                <w:color w:val="000000"/>
                <w:kern w:val="0"/>
                <w:szCs w:val="21"/>
              </w:rPr>
              <w:t>服务方案</w:t>
            </w:r>
          </w:p>
        </w:tc>
        <w:tc>
          <w:tcPr>
            <w:tcW w:w="6031" w:type="dxa"/>
            <w:tcMar>
              <w:top w:w="0" w:type="dxa"/>
              <w:left w:w="108" w:type="dxa"/>
              <w:bottom w:w="0" w:type="dxa"/>
              <w:right w:w="108" w:type="dxa"/>
            </w:tcMar>
            <w:vAlign w:val="center"/>
          </w:tcPr>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供应商根据自身情况结合本项目需求拟定服务方案，针对本项目提供的内容包括但不限于：</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1.有详细的启动保障方案、启动实施进度表，并符合项目启动要求；</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2.严格按照数字城管行业标准，科学制定信息采集业务流程规范；</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3.根据项目需求和业务流程，合理编制信息采集班次，提出每班制人员配置方案；</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4.提出合理的责任网格划分和巡查密度、巡查路径的设定，实现数字城管实施区域、管理时段的全覆盖；</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5.制定科学的城市管理重点问题保障举措；</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6.制定了培训方案，有详细的培训制度、培训内容、培训方式等；</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7.建立数字城管工作运行报告和数据挖掘分析报告月报机制；</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8.针对本项目提供与上一轮服务单位的工作交接方案，确保本项目有序开展。</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服务方案工作流程、方案明确、合理，符合作业规范，完全满足上述内容的得</w:t>
            </w:r>
            <w:r>
              <w:rPr>
                <w:rFonts w:ascii="宋体" w:hAnsi="宋体" w:cs="宋体"/>
                <w:color w:val="000000"/>
                <w:kern w:val="0"/>
                <w:szCs w:val="21"/>
              </w:rPr>
              <w:t>8</w:t>
            </w:r>
            <w:r>
              <w:rPr>
                <w:rFonts w:hint="eastAsia" w:ascii="宋体" w:hAnsi="宋体" w:cs="宋体"/>
                <w:color w:val="000000"/>
                <w:kern w:val="0"/>
                <w:szCs w:val="21"/>
              </w:rPr>
              <w:t>分，每有一项内容缺失扣</w:t>
            </w:r>
            <w:r>
              <w:rPr>
                <w:rFonts w:ascii="宋体" w:hAnsi="宋体" w:cs="宋体"/>
                <w:color w:val="000000"/>
                <w:kern w:val="0"/>
                <w:szCs w:val="21"/>
              </w:rPr>
              <w:t>1</w:t>
            </w:r>
            <w:r>
              <w:rPr>
                <w:rFonts w:hint="eastAsia" w:ascii="宋体" w:hAnsi="宋体" w:cs="宋体"/>
                <w:color w:val="000000"/>
                <w:kern w:val="0"/>
                <w:szCs w:val="21"/>
              </w:rPr>
              <w:t>分，每有一项内容有缺陷或不足的扣</w:t>
            </w:r>
            <w:r>
              <w:rPr>
                <w:rFonts w:ascii="宋体" w:hAnsi="宋体" w:cs="宋体"/>
                <w:color w:val="000000"/>
                <w:kern w:val="0"/>
                <w:szCs w:val="21"/>
              </w:rPr>
              <w:t>0.5</w:t>
            </w:r>
            <w:r>
              <w:rPr>
                <w:rFonts w:hint="eastAsia" w:ascii="宋体" w:hAnsi="宋体" w:cs="宋体"/>
                <w:color w:val="000000"/>
                <w:kern w:val="0"/>
                <w:szCs w:val="21"/>
              </w:rPr>
              <w:t>分，扣完为止。</w:t>
            </w:r>
          </w:p>
          <w:p>
            <w:pPr>
              <w:ind w:left="107" w:leftChars="50" w:right="107" w:rightChars="50" w:firstLine="370" w:firstLineChars="200"/>
              <w:rPr>
                <w:rFonts w:hint="eastAsia"/>
                <w:b/>
                <w:bCs/>
                <w:sz w:val="18"/>
                <w:szCs w:val="18"/>
              </w:rPr>
            </w:pPr>
            <w:r>
              <w:rPr>
                <w:rFonts w:hint="eastAsia" w:ascii="宋体" w:hAnsi="宋体" w:cs="宋体"/>
                <w:b/>
                <w:bCs/>
                <w:color w:val="000000"/>
                <w:kern w:val="0"/>
                <w:sz w:val="18"/>
                <w:szCs w:val="18"/>
              </w:rPr>
              <w:t>注：缺陷或不足是</w:t>
            </w:r>
            <w:r>
              <w:rPr>
                <w:rFonts w:ascii="宋体" w:hAnsi="宋体" w:cs="宋体"/>
                <w:b/>
                <w:bCs/>
                <w:color w:val="000000"/>
                <w:kern w:val="0"/>
                <w:sz w:val="18"/>
                <w:szCs w:val="18"/>
              </w:rPr>
              <w:t>指存在如：内容不完善，对项目理解存在偏差，相关内容不符合项目要求，相关</w:t>
            </w:r>
            <w:r>
              <w:rPr>
                <w:rFonts w:hint="eastAsia" w:ascii="宋体" w:hAnsi="宋体" w:cs="宋体"/>
                <w:b/>
                <w:bCs/>
                <w:color w:val="000000"/>
                <w:kern w:val="0"/>
                <w:sz w:val="18"/>
                <w:szCs w:val="18"/>
              </w:rPr>
              <w:t>方案</w:t>
            </w:r>
            <w:r>
              <w:rPr>
                <w:rFonts w:ascii="宋体" w:hAnsi="宋体" w:cs="宋体"/>
                <w:b/>
                <w:bCs/>
                <w:color w:val="000000"/>
                <w:kern w:val="0"/>
                <w:sz w:val="18"/>
                <w:szCs w:val="18"/>
              </w:rPr>
              <w:t>与项目不匹配</w:t>
            </w:r>
            <w:r>
              <w:rPr>
                <w:rFonts w:hint="eastAsia" w:ascii="宋体" w:hAnsi="宋体" w:cs="宋体"/>
                <w:b/>
                <w:bCs/>
                <w:color w:val="000000"/>
                <w:kern w:val="0"/>
                <w:sz w:val="18"/>
                <w:szCs w:val="18"/>
              </w:rPr>
              <w:t>、内容与项目无关、前后同等问题描述不一致</w:t>
            </w:r>
            <w:r>
              <w:rPr>
                <w:rFonts w:ascii="宋体" w:hAnsi="宋体" w:cs="宋体"/>
                <w:b/>
                <w:bCs/>
                <w:color w:val="000000"/>
                <w:kern w:val="0"/>
                <w:sz w:val="18"/>
                <w:szCs w:val="18"/>
              </w:rPr>
              <w:t>等类似缺陷或瑕疵</w:t>
            </w:r>
            <w:r>
              <w:rPr>
                <w:rFonts w:hint="eastAsia" w:ascii="宋体" w:hAnsi="宋体" w:cs="宋体"/>
                <w:b/>
                <w:bCs/>
                <w:color w:val="000000"/>
                <w:kern w:val="0"/>
                <w:sz w:val="18"/>
                <w:szCs w:val="18"/>
              </w:rPr>
              <w:t>，</w:t>
            </w:r>
            <w:r>
              <w:rPr>
                <w:rFonts w:ascii="宋体" w:hAnsi="宋体" w:cs="宋体"/>
                <w:b/>
                <w:bCs/>
                <w:color w:val="000000"/>
                <w:kern w:val="0"/>
                <w:sz w:val="18"/>
                <w:szCs w:val="18"/>
              </w:rPr>
              <w:t>以评审专家结合项目实际情况和响应文件响应独立评审为准</w:t>
            </w:r>
            <w:r>
              <w:rPr>
                <w:rFonts w:hint="eastAsia" w:ascii="宋体" w:hAnsi="宋体" w:cs="宋体"/>
                <w:b/>
                <w:bCs/>
                <w:color w:val="000000"/>
                <w:kern w:val="0"/>
                <w:sz w:val="18"/>
                <w:szCs w:val="18"/>
              </w:rPr>
              <w:t>。</w:t>
            </w:r>
          </w:p>
        </w:tc>
        <w:tc>
          <w:tcPr>
            <w:tcW w:w="775" w:type="dxa"/>
            <w:tcMar>
              <w:top w:w="0" w:type="dxa"/>
              <w:left w:w="108" w:type="dxa"/>
              <w:bottom w:w="0" w:type="dxa"/>
              <w:right w:w="108" w:type="dxa"/>
            </w:tcMar>
            <w:vAlign w:val="center"/>
          </w:tcPr>
          <w:p>
            <w:pPr>
              <w:jc w:val="center"/>
              <w:rPr>
                <w:rFonts w:ascii="宋体" w:hAnsi="宋体" w:cs="宋体"/>
                <w:b/>
                <w:bCs/>
                <w:color w:val="000000"/>
                <w:kern w:val="0"/>
                <w:szCs w:val="21"/>
              </w:rPr>
            </w:pPr>
            <w:r>
              <w:rPr>
                <w:rFonts w:ascii="宋体" w:hAnsi="宋体" w:cs="宋体"/>
                <w:b/>
                <w:bCs/>
                <w:color w:val="000000"/>
                <w:kern w:val="0"/>
                <w:szCs w:val="21"/>
              </w:rPr>
              <w:t>8</w:t>
            </w:r>
          </w:p>
        </w:tc>
        <w:tc>
          <w:tcPr>
            <w:tcW w:w="687" w:type="dxa"/>
            <w:tcMar>
              <w:top w:w="0" w:type="dxa"/>
              <w:left w:w="108" w:type="dxa"/>
              <w:bottom w:w="0" w:type="dxa"/>
              <w:right w:w="108" w:type="dxa"/>
            </w:tcMar>
            <w:vAlign w:val="center"/>
          </w:tcPr>
          <w:p>
            <w:pPr>
              <w:jc w:val="center"/>
              <w:rPr>
                <w:rFonts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52" w:type="dxa"/>
            <w:vMerge w:val="continue"/>
            <w:tcMar>
              <w:top w:w="0" w:type="dxa"/>
              <w:left w:w="108" w:type="dxa"/>
              <w:bottom w:w="0" w:type="dxa"/>
              <w:right w:w="108" w:type="dxa"/>
            </w:tcMar>
            <w:vAlign w:val="center"/>
          </w:tcPr>
          <w:p>
            <w:pPr>
              <w:jc w:val="center"/>
              <w:rPr>
                <w:rFonts w:ascii="宋体" w:hAnsi="宋体" w:cs="宋体"/>
                <w:b/>
                <w:bCs/>
                <w:color w:val="000000"/>
                <w:kern w:val="0"/>
                <w:szCs w:val="21"/>
              </w:rPr>
            </w:pPr>
          </w:p>
        </w:tc>
        <w:tc>
          <w:tcPr>
            <w:tcW w:w="1230" w:type="dxa"/>
            <w:tcMar>
              <w:top w:w="0" w:type="dxa"/>
              <w:left w:w="108" w:type="dxa"/>
              <w:bottom w:w="0" w:type="dxa"/>
              <w:right w:w="108" w:type="dxa"/>
            </w:tcMar>
            <w:vAlign w:val="center"/>
          </w:tcPr>
          <w:p>
            <w:pPr>
              <w:jc w:val="center"/>
              <w:rPr>
                <w:rFonts w:ascii="宋体" w:hAnsi="宋体" w:cs="宋体"/>
                <w:b/>
                <w:color w:val="000000"/>
                <w:kern w:val="0"/>
                <w:szCs w:val="21"/>
              </w:rPr>
            </w:pPr>
            <w:r>
              <w:rPr>
                <w:rFonts w:hint="eastAsia" w:ascii="宋体" w:hAnsi="宋体" w:cs="宋体"/>
                <w:color w:val="000000"/>
                <w:kern w:val="0"/>
                <w:szCs w:val="21"/>
              </w:rPr>
              <w:t>管理制度</w:t>
            </w:r>
          </w:p>
        </w:tc>
        <w:tc>
          <w:tcPr>
            <w:tcW w:w="6031" w:type="dxa"/>
            <w:tcMar>
              <w:top w:w="0" w:type="dxa"/>
              <w:left w:w="108" w:type="dxa"/>
              <w:bottom w:w="0" w:type="dxa"/>
              <w:right w:w="108" w:type="dxa"/>
            </w:tcMar>
            <w:vAlign w:val="center"/>
          </w:tcPr>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根据供应商提供的管理制度方案进行评分，提供的内容包括但不限于：</w:t>
            </w:r>
          </w:p>
          <w:p>
            <w:pPr>
              <w:ind w:left="107" w:leftChars="50" w:right="107" w:rightChars="50" w:firstLine="430" w:firstLineChars="200"/>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制定内部管理制度，包括员工行为规范、福利保障、保密安全和日常行政管理制度等；</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制定岗位考核办法，考核办法包括：信息采集员考核办法、管理人员考核办法；</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3.制定监督和执行制度，实行奖优罚劣的激励机制和末位淘汰机制，保证队伍的整体素质和高水准的业务水平。</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以管理制度是否健全有效作为评分依据。供应商提供的管理制度健全、完全满足上述内容的得6分，每有一项内容缺失扣2分，每有一项内容有缺陷或不足的扣1分，扣完为止。</w:t>
            </w:r>
          </w:p>
          <w:p>
            <w:pPr>
              <w:ind w:left="107" w:leftChars="50" w:right="107" w:rightChars="50" w:firstLine="370" w:firstLineChars="200"/>
              <w:rPr>
                <w:rFonts w:hint="eastAsia"/>
                <w:b/>
                <w:bCs/>
                <w:sz w:val="18"/>
                <w:szCs w:val="18"/>
              </w:rPr>
            </w:pPr>
            <w:r>
              <w:rPr>
                <w:rFonts w:hint="eastAsia" w:ascii="宋体" w:hAnsi="宋体" w:cs="宋体"/>
                <w:b/>
                <w:bCs/>
                <w:color w:val="000000"/>
                <w:kern w:val="0"/>
                <w:sz w:val="18"/>
                <w:szCs w:val="18"/>
              </w:rPr>
              <w:t>注：缺陷或不足是指存在如：内容不完善，对项目理解存在偏差，相关内容不符合项目要求，管理制度与项目不匹配、前后逻辑相悖等类似缺陷或瑕疵，以评审专家结合项目实际情况和响应文件响应独立评审为准。</w:t>
            </w:r>
          </w:p>
        </w:tc>
        <w:tc>
          <w:tcPr>
            <w:tcW w:w="775" w:type="dxa"/>
            <w:tcMar>
              <w:top w:w="0" w:type="dxa"/>
              <w:left w:w="108" w:type="dxa"/>
              <w:bottom w:w="0" w:type="dxa"/>
              <w:right w:w="108" w:type="dxa"/>
            </w:tcMar>
            <w:vAlign w:val="center"/>
          </w:tcPr>
          <w:p>
            <w:pPr>
              <w:jc w:val="center"/>
              <w:rPr>
                <w:rFonts w:ascii="宋体" w:hAnsi="宋体" w:cs="宋体"/>
                <w:b/>
                <w:bCs/>
                <w:color w:val="000000"/>
                <w:kern w:val="0"/>
                <w:szCs w:val="21"/>
              </w:rPr>
            </w:pPr>
            <w:r>
              <w:rPr>
                <w:rFonts w:hint="eastAsia" w:ascii="宋体" w:hAnsi="宋体" w:cs="宋体"/>
                <w:b/>
                <w:bCs/>
                <w:color w:val="000000"/>
                <w:kern w:val="0"/>
                <w:szCs w:val="21"/>
              </w:rPr>
              <w:t>6</w:t>
            </w:r>
          </w:p>
        </w:tc>
        <w:tc>
          <w:tcPr>
            <w:tcW w:w="687" w:type="dxa"/>
            <w:tcMar>
              <w:top w:w="0" w:type="dxa"/>
              <w:left w:w="108" w:type="dxa"/>
              <w:bottom w:w="0" w:type="dxa"/>
              <w:right w:w="108" w:type="dxa"/>
            </w:tcMar>
            <w:vAlign w:val="center"/>
          </w:tcPr>
          <w:p>
            <w:pPr>
              <w:jc w:val="center"/>
              <w:rPr>
                <w:rFonts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52" w:type="dxa"/>
            <w:vMerge w:val="continue"/>
            <w:tcMar>
              <w:top w:w="0" w:type="dxa"/>
              <w:left w:w="108" w:type="dxa"/>
              <w:bottom w:w="0" w:type="dxa"/>
              <w:right w:w="108" w:type="dxa"/>
            </w:tcMar>
            <w:vAlign w:val="center"/>
          </w:tcPr>
          <w:p>
            <w:pPr>
              <w:jc w:val="center"/>
              <w:rPr>
                <w:rFonts w:ascii="宋体" w:hAnsi="宋体" w:cs="宋体"/>
                <w:b/>
                <w:bCs/>
                <w:color w:val="000000"/>
                <w:kern w:val="0"/>
                <w:szCs w:val="21"/>
              </w:rPr>
            </w:pPr>
          </w:p>
        </w:tc>
        <w:tc>
          <w:tcPr>
            <w:tcW w:w="1230" w:type="dxa"/>
            <w:tcMar>
              <w:top w:w="0" w:type="dxa"/>
              <w:left w:w="108" w:type="dxa"/>
              <w:bottom w:w="0"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人员配备</w:t>
            </w:r>
          </w:p>
        </w:tc>
        <w:tc>
          <w:tcPr>
            <w:tcW w:w="6031" w:type="dxa"/>
            <w:tcMar>
              <w:top w:w="0" w:type="dxa"/>
              <w:left w:w="108" w:type="dxa"/>
              <w:bottom w:w="0" w:type="dxa"/>
              <w:right w:w="108" w:type="dxa"/>
            </w:tcMar>
            <w:vAlign w:val="center"/>
          </w:tcPr>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根据供应商提供的人员配备情况进行评分，提供的内容包括但不限于：</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完善的层级管理图；</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科学合理的层级管理体系及人员配置、时间安排；</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合理的人员排班安排，岗位职责描述及明确的分工。</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上述内容齐全，供应商提供人员配备情况内容描述细致、符合本项目需求及实际情况得6分，每有一项内容缺失扣2分，每有一项内容有缺陷或不足的扣1分，扣完为止。</w:t>
            </w:r>
          </w:p>
          <w:p>
            <w:pPr>
              <w:ind w:left="107" w:leftChars="50" w:right="107" w:rightChars="50" w:firstLine="370" w:firstLineChars="200"/>
              <w:rPr>
                <w:rFonts w:hint="eastAsia"/>
              </w:rPr>
            </w:pPr>
            <w:r>
              <w:rPr>
                <w:rFonts w:hint="eastAsia" w:ascii="宋体" w:hAnsi="宋体" w:cs="宋体"/>
                <w:b/>
                <w:bCs/>
                <w:color w:val="000000"/>
                <w:kern w:val="0"/>
                <w:sz w:val="18"/>
                <w:szCs w:val="18"/>
              </w:rPr>
              <w:t>注：缺陷或不足是指存在如：内容不完善，对项目理解存在偏差，相关内容不符合项目要求，专业人员配备与项目不匹配、前后内容冲突等类似缺陷或瑕疵，以评审专家结合项目实际情况和响应文件响应独立评审为准。</w:t>
            </w:r>
          </w:p>
        </w:tc>
        <w:tc>
          <w:tcPr>
            <w:tcW w:w="775" w:type="dxa"/>
            <w:tcMar>
              <w:top w:w="0" w:type="dxa"/>
              <w:left w:w="108" w:type="dxa"/>
              <w:bottom w:w="0" w:type="dxa"/>
              <w:right w:w="108" w:type="dxa"/>
            </w:tcMar>
            <w:vAlign w:val="center"/>
          </w:tcPr>
          <w:p>
            <w:pPr>
              <w:jc w:val="center"/>
              <w:rPr>
                <w:rFonts w:ascii="宋体" w:hAnsi="宋体" w:cs="宋体"/>
                <w:b/>
                <w:bCs/>
                <w:color w:val="000000"/>
                <w:kern w:val="0"/>
                <w:szCs w:val="21"/>
              </w:rPr>
            </w:pPr>
            <w:r>
              <w:rPr>
                <w:rFonts w:hint="eastAsia" w:ascii="宋体" w:hAnsi="宋体" w:cs="宋体"/>
                <w:b/>
                <w:bCs/>
                <w:color w:val="000000"/>
                <w:kern w:val="0"/>
                <w:szCs w:val="21"/>
              </w:rPr>
              <w:t>6</w:t>
            </w:r>
          </w:p>
        </w:tc>
        <w:tc>
          <w:tcPr>
            <w:tcW w:w="687" w:type="dxa"/>
            <w:tcMar>
              <w:top w:w="0" w:type="dxa"/>
              <w:left w:w="108" w:type="dxa"/>
              <w:bottom w:w="0" w:type="dxa"/>
              <w:right w:w="108" w:type="dxa"/>
            </w:tcMar>
            <w:vAlign w:val="center"/>
          </w:tcPr>
          <w:p>
            <w:pPr>
              <w:jc w:val="center"/>
              <w:rPr>
                <w:rFonts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52" w:type="dxa"/>
            <w:vMerge w:val="continue"/>
            <w:tcMar>
              <w:top w:w="0" w:type="dxa"/>
              <w:left w:w="108" w:type="dxa"/>
              <w:bottom w:w="0" w:type="dxa"/>
              <w:right w:w="108" w:type="dxa"/>
            </w:tcMar>
            <w:vAlign w:val="center"/>
          </w:tcPr>
          <w:p>
            <w:pPr>
              <w:jc w:val="center"/>
              <w:rPr>
                <w:rFonts w:ascii="宋体" w:hAnsi="宋体" w:cs="宋体"/>
                <w:b/>
                <w:bCs/>
                <w:color w:val="000000"/>
                <w:kern w:val="0"/>
                <w:szCs w:val="21"/>
              </w:rPr>
            </w:pPr>
          </w:p>
        </w:tc>
        <w:tc>
          <w:tcPr>
            <w:tcW w:w="1230" w:type="dxa"/>
            <w:tcMar>
              <w:top w:w="0" w:type="dxa"/>
              <w:left w:w="108" w:type="dxa"/>
              <w:bottom w:w="0"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设备设施投入与维护措施</w:t>
            </w:r>
          </w:p>
        </w:tc>
        <w:tc>
          <w:tcPr>
            <w:tcW w:w="6031" w:type="dxa"/>
            <w:tcMar>
              <w:top w:w="0" w:type="dxa"/>
              <w:left w:w="108" w:type="dxa"/>
              <w:bottom w:w="0" w:type="dxa"/>
              <w:right w:w="108" w:type="dxa"/>
            </w:tcMar>
            <w:vAlign w:val="center"/>
          </w:tcPr>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根据供应商针对本项目制定的设备设施投入与维护安全措施进行评分，包括但不限于：</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开展信息采集和应急工作所提供的设备清单；</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设备管理维护办法。</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供应商提供的设备设施投入与维护方案描述细致、符合本项目需求及工作需要、上述内容齐全的得4分，每有一项内容缺失扣2分，每有一项内容有缺陷或不足的扣1分，扣完为止。</w:t>
            </w:r>
          </w:p>
          <w:p>
            <w:pPr>
              <w:ind w:left="107" w:leftChars="50" w:right="107" w:rightChars="50" w:firstLine="370" w:firstLineChars="200"/>
              <w:rPr>
                <w:rFonts w:ascii="宋体" w:hAnsi="宋体" w:cs="宋体"/>
                <w:color w:val="000000"/>
                <w:kern w:val="0"/>
                <w:szCs w:val="21"/>
              </w:rPr>
            </w:pPr>
            <w:r>
              <w:rPr>
                <w:rFonts w:hint="eastAsia" w:ascii="宋体" w:hAnsi="宋体" w:cs="宋体"/>
                <w:b/>
                <w:bCs/>
                <w:color w:val="000000"/>
                <w:kern w:val="0"/>
                <w:sz w:val="18"/>
                <w:szCs w:val="18"/>
              </w:rPr>
              <w:t>注：缺陷或不足是指存在如：内容不完善，对项目理解存在偏差，相关内容不符合项目要求，措施内容与项目不匹配、前后内容冲突等类似缺陷或瑕疵，以评审专家结合项目实际情况和响应文件响应独立评审为准。</w:t>
            </w:r>
          </w:p>
        </w:tc>
        <w:tc>
          <w:tcPr>
            <w:tcW w:w="775" w:type="dxa"/>
            <w:tcMar>
              <w:top w:w="0" w:type="dxa"/>
              <w:left w:w="108" w:type="dxa"/>
              <w:bottom w:w="0" w:type="dxa"/>
              <w:right w:w="108" w:type="dxa"/>
            </w:tcMar>
            <w:vAlign w:val="center"/>
          </w:tcPr>
          <w:p>
            <w:pPr>
              <w:jc w:val="center"/>
              <w:rPr>
                <w:rFonts w:ascii="宋体" w:hAnsi="宋体" w:cs="宋体"/>
                <w:b/>
                <w:bCs/>
                <w:color w:val="000000"/>
                <w:kern w:val="0"/>
                <w:szCs w:val="21"/>
              </w:rPr>
            </w:pPr>
            <w:r>
              <w:rPr>
                <w:rFonts w:hint="eastAsia" w:ascii="宋体" w:hAnsi="宋体" w:cs="宋体"/>
                <w:b/>
                <w:bCs/>
                <w:color w:val="000000"/>
                <w:kern w:val="0"/>
                <w:szCs w:val="21"/>
              </w:rPr>
              <w:t>4</w:t>
            </w:r>
          </w:p>
        </w:tc>
        <w:tc>
          <w:tcPr>
            <w:tcW w:w="687" w:type="dxa"/>
            <w:tcMar>
              <w:top w:w="0" w:type="dxa"/>
              <w:left w:w="108" w:type="dxa"/>
              <w:bottom w:w="0" w:type="dxa"/>
              <w:right w:w="108" w:type="dxa"/>
            </w:tcMar>
            <w:vAlign w:val="center"/>
          </w:tcPr>
          <w:p>
            <w:pPr>
              <w:jc w:val="center"/>
              <w:rPr>
                <w:rFonts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52" w:type="dxa"/>
            <w:vMerge w:val="continue"/>
            <w:tcMar>
              <w:top w:w="0" w:type="dxa"/>
              <w:left w:w="108" w:type="dxa"/>
              <w:bottom w:w="0" w:type="dxa"/>
              <w:right w:w="108" w:type="dxa"/>
            </w:tcMar>
            <w:vAlign w:val="center"/>
          </w:tcPr>
          <w:p>
            <w:pPr>
              <w:jc w:val="center"/>
              <w:rPr>
                <w:rFonts w:ascii="宋体" w:hAnsi="宋体" w:cs="宋体"/>
                <w:b/>
                <w:bCs/>
                <w:color w:val="000000"/>
                <w:kern w:val="0"/>
                <w:szCs w:val="21"/>
              </w:rPr>
            </w:pPr>
          </w:p>
        </w:tc>
        <w:tc>
          <w:tcPr>
            <w:tcW w:w="1230" w:type="dxa"/>
            <w:tcMar>
              <w:top w:w="0" w:type="dxa"/>
              <w:left w:w="108" w:type="dxa"/>
              <w:bottom w:w="0" w:type="dxa"/>
              <w:right w:w="108" w:type="dxa"/>
            </w:tcMar>
            <w:vAlign w:val="center"/>
          </w:tcPr>
          <w:p>
            <w:pPr>
              <w:jc w:val="center"/>
              <w:rPr>
                <w:rFonts w:ascii="宋体" w:hAnsi="宋体" w:cs="宋体"/>
                <w:b/>
                <w:color w:val="000000"/>
                <w:kern w:val="0"/>
                <w:szCs w:val="21"/>
              </w:rPr>
            </w:pPr>
            <w:r>
              <w:rPr>
                <w:rFonts w:hint="eastAsia" w:ascii="宋体" w:hAnsi="宋体" w:cs="宋体"/>
                <w:color w:val="000000"/>
                <w:kern w:val="0"/>
                <w:szCs w:val="21"/>
              </w:rPr>
              <w:t>作业服务质量控制措施</w:t>
            </w:r>
          </w:p>
        </w:tc>
        <w:tc>
          <w:tcPr>
            <w:tcW w:w="6031" w:type="dxa"/>
            <w:tcMar>
              <w:top w:w="0" w:type="dxa"/>
              <w:left w:w="108" w:type="dxa"/>
              <w:bottom w:w="0" w:type="dxa"/>
              <w:right w:w="108" w:type="dxa"/>
            </w:tcMar>
            <w:vAlign w:val="center"/>
          </w:tcPr>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根据供应商针对本项目制定的作业服务质量控制措施进行评分，包括但不限于：</w:t>
            </w:r>
          </w:p>
          <w:p>
            <w:pPr>
              <w:ind w:left="107" w:leftChars="50" w:right="107" w:rightChars="50" w:firstLine="430" w:firstLineChars="200"/>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建立专门机构负责质量管理；</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建立质量管理制度和流程，保证项目质量需求的实现；</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建立对漏报、投诉、错报等问题跟踪、反馈制度；</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w:t>
            </w:r>
            <w:r>
              <w:rPr>
                <w:rFonts w:hint="eastAsia" w:ascii="宋体" w:hAnsi="宋体" w:cs="宋体"/>
                <w:color w:val="000000"/>
                <w:kern w:val="0"/>
                <w:szCs w:val="21"/>
              </w:rPr>
              <w:t>建立质量问题处罚机制，有效杜绝虚假信息、重大漏报等问题的发生。</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供应商提供的作业服务质量控制措施有专门的质量管理机构，有质量管理制度和流程，控制措施明确、详尽、合理的得8分；每有一项内容缺失扣2分，每有一项内容有缺陷的或不足的扣1分，扣完为止。</w:t>
            </w:r>
          </w:p>
          <w:p>
            <w:pPr>
              <w:ind w:left="107" w:leftChars="50" w:right="107" w:rightChars="50" w:firstLine="370" w:firstLineChars="200"/>
              <w:rPr>
                <w:rFonts w:ascii="宋体" w:hAnsi="宋体" w:cs="宋体"/>
                <w:color w:val="000000"/>
                <w:kern w:val="0"/>
                <w:szCs w:val="21"/>
              </w:rPr>
            </w:pPr>
            <w:r>
              <w:rPr>
                <w:rFonts w:hint="eastAsia" w:ascii="宋体" w:hAnsi="宋体" w:cs="宋体"/>
                <w:b/>
                <w:bCs/>
                <w:color w:val="000000"/>
                <w:kern w:val="0"/>
                <w:sz w:val="18"/>
                <w:szCs w:val="18"/>
              </w:rPr>
              <w:t>注：缺陷或不足是指存在如：内容不完善，对项目理解存在偏差，相关内容不符合项目要求，措施内容与项目不匹配、前后内容冲突等类似缺陷或瑕疵，以评审专家结合项目实际情况和响应文件响应独立评审为准。</w:t>
            </w:r>
          </w:p>
        </w:tc>
        <w:tc>
          <w:tcPr>
            <w:tcW w:w="775" w:type="dxa"/>
            <w:tcMar>
              <w:top w:w="0" w:type="dxa"/>
              <w:left w:w="108" w:type="dxa"/>
              <w:bottom w:w="0" w:type="dxa"/>
              <w:right w:w="108" w:type="dxa"/>
            </w:tcMar>
            <w:vAlign w:val="center"/>
          </w:tcPr>
          <w:p>
            <w:pPr>
              <w:jc w:val="center"/>
              <w:rPr>
                <w:rFonts w:ascii="宋体" w:hAnsi="宋体" w:cs="宋体"/>
                <w:b/>
                <w:bCs/>
                <w:color w:val="000000"/>
                <w:kern w:val="0"/>
                <w:szCs w:val="21"/>
              </w:rPr>
            </w:pPr>
            <w:r>
              <w:rPr>
                <w:rFonts w:hint="eastAsia" w:ascii="宋体" w:hAnsi="宋体" w:cs="宋体"/>
                <w:b/>
                <w:bCs/>
                <w:color w:val="000000"/>
                <w:kern w:val="0"/>
                <w:szCs w:val="21"/>
              </w:rPr>
              <w:t>8</w:t>
            </w:r>
          </w:p>
        </w:tc>
        <w:tc>
          <w:tcPr>
            <w:tcW w:w="687" w:type="dxa"/>
            <w:tcMar>
              <w:top w:w="0" w:type="dxa"/>
              <w:left w:w="108" w:type="dxa"/>
              <w:bottom w:w="0" w:type="dxa"/>
              <w:right w:w="108" w:type="dxa"/>
            </w:tcMar>
            <w:vAlign w:val="center"/>
          </w:tcPr>
          <w:p>
            <w:pPr>
              <w:jc w:val="center"/>
              <w:rPr>
                <w:rFonts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52" w:type="dxa"/>
            <w:vMerge w:val="continue"/>
            <w:tcMar>
              <w:top w:w="0" w:type="dxa"/>
              <w:left w:w="108" w:type="dxa"/>
              <w:bottom w:w="0" w:type="dxa"/>
              <w:right w:w="108" w:type="dxa"/>
            </w:tcMar>
            <w:vAlign w:val="center"/>
          </w:tcPr>
          <w:p>
            <w:pPr>
              <w:jc w:val="center"/>
              <w:rPr>
                <w:rFonts w:ascii="宋体" w:hAnsi="宋体" w:cs="宋体"/>
                <w:b/>
                <w:bCs/>
                <w:color w:val="000000"/>
                <w:kern w:val="0"/>
                <w:szCs w:val="21"/>
              </w:rPr>
            </w:pPr>
          </w:p>
        </w:tc>
        <w:tc>
          <w:tcPr>
            <w:tcW w:w="1230" w:type="dxa"/>
            <w:tcMar>
              <w:top w:w="0" w:type="dxa"/>
              <w:left w:w="108" w:type="dxa"/>
              <w:bottom w:w="0" w:type="dxa"/>
              <w:right w:w="108" w:type="dxa"/>
            </w:tcMar>
            <w:vAlign w:val="center"/>
          </w:tcPr>
          <w:p>
            <w:pPr>
              <w:jc w:val="center"/>
              <w:rPr>
                <w:rFonts w:ascii="宋体" w:hAnsi="宋体" w:cs="宋体"/>
                <w:b/>
                <w:bCs/>
                <w:color w:val="000000"/>
                <w:kern w:val="0"/>
                <w:szCs w:val="21"/>
              </w:rPr>
            </w:pPr>
            <w:r>
              <w:rPr>
                <w:rFonts w:hint="eastAsia" w:ascii="宋体" w:hAnsi="宋体" w:cs="宋体"/>
                <w:color w:val="000000"/>
                <w:kern w:val="0"/>
                <w:szCs w:val="21"/>
              </w:rPr>
              <w:t>应急预案</w:t>
            </w:r>
          </w:p>
        </w:tc>
        <w:tc>
          <w:tcPr>
            <w:tcW w:w="6031" w:type="dxa"/>
            <w:tcMar>
              <w:top w:w="0" w:type="dxa"/>
              <w:left w:w="108" w:type="dxa"/>
              <w:bottom w:w="0" w:type="dxa"/>
              <w:right w:w="108" w:type="dxa"/>
            </w:tcMar>
            <w:vAlign w:val="center"/>
          </w:tcPr>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根据供应商针对本项目制定的应急预案进行评分，包括但不限于：</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极端（恶劣）天气的应急预案；</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出现停电、断网等临时事故的应急预案；</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巡查人员出现交通事故或与他人因巡查工作出现纠纷的应急预案；</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w:t>
            </w:r>
            <w:r>
              <w:rPr>
                <w:rFonts w:hint="eastAsia" w:ascii="宋体" w:hAnsi="宋体" w:cs="宋体"/>
                <w:color w:val="000000"/>
                <w:kern w:val="0"/>
                <w:szCs w:val="21"/>
              </w:rPr>
              <w:t>遇到重大节庆活动、专项普查等非常态任务时的应急预案。</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供应商提供的应急预案在处理特殊情况时，紧急处理措施与人员调配方案明确、详尽、可操作性强；完全满足上述内容的得8分，每有一项内容缺失扣2分，每有一项内容有缺陷或不足的扣1分，扣完为止。</w:t>
            </w:r>
          </w:p>
          <w:p>
            <w:pPr>
              <w:ind w:left="107" w:leftChars="50" w:right="107" w:rightChars="50" w:firstLine="370" w:firstLineChars="200"/>
              <w:rPr>
                <w:rFonts w:ascii="宋体" w:hAnsi="宋体" w:cs="宋体"/>
                <w:color w:val="000000"/>
                <w:kern w:val="0"/>
                <w:szCs w:val="21"/>
              </w:rPr>
            </w:pPr>
            <w:r>
              <w:rPr>
                <w:rFonts w:hint="eastAsia" w:ascii="宋体" w:hAnsi="宋体" w:cs="宋体"/>
                <w:b/>
                <w:bCs/>
                <w:color w:val="000000"/>
                <w:kern w:val="0"/>
                <w:sz w:val="18"/>
                <w:szCs w:val="18"/>
              </w:rPr>
              <w:t>注：缺陷或不足是指存在如：内容不完善，对项目理解存在偏差，相关内容不符合项目要求，预案内容与项目不匹配、前后相同问题内容冲突等类似缺陷或瑕疵，以评审专家结合项目实际情况和响应文件响应独立评审为准。</w:t>
            </w:r>
          </w:p>
        </w:tc>
        <w:tc>
          <w:tcPr>
            <w:tcW w:w="775" w:type="dxa"/>
            <w:tcMar>
              <w:top w:w="0" w:type="dxa"/>
              <w:left w:w="108" w:type="dxa"/>
              <w:bottom w:w="0" w:type="dxa"/>
              <w:right w:w="108" w:type="dxa"/>
            </w:tcMar>
            <w:vAlign w:val="center"/>
          </w:tcPr>
          <w:p>
            <w:pPr>
              <w:jc w:val="center"/>
              <w:rPr>
                <w:rFonts w:ascii="宋体" w:hAnsi="宋体" w:cs="宋体"/>
                <w:b/>
                <w:bCs/>
                <w:color w:val="000000"/>
                <w:kern w:val="0"/>
                <w:szCs w:val="21"/>
              </w:rPr>
            </w:pPr>
            <w:r>
              <w:rPr>
                <w:rFonts w:hint="eastAsia" w:ascii="宋体" w:hAnsi="宋体" w:cs="宋体"/>
                <w:b/>
                <w:bCs/>
                <w:color w:val="000000"/>
                <w:kern w:val="0"/>
                <w:szCs w:val="21"/>
              </w:rPr>
              <w:t>8</w:t>
            </w:r>
          </w:p>
        </w:tc>
        <w:tc>
          <w:tcPr>
            <w:tcW w:w="687" w:type="dxa"/>
            <w:tcMar>
              <w:top w:w="0" w:type="dxa"/>
              <w:left w:w="108" w:type="dxa"/>
              <w:bottom w:w="0" w:type="dxa"/>
              <w:right w:w="108" w:type="dxa"/>
            </w:tcMar>
            <w:vAlign w:val="center"/>
          </w:tcPr>
          <w:p>
            <w:pPr>
              <w:jc w:val="center"/>
              <w:rPr>
                <w:rFonts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52" w:type="dxa"/>
            <w:vMerge w:val="continue"/>
            <w:tcMar>
              <w:top w:w="0" w:type="dxa"/>
              <w:left w:w="108" w:type="dxa"/>
              <w:bottom w:w="0" w:type="dxa"/>
              <w:right w:w="108" w:type="dxa"/>
            </w:tcMar>
            <w:vAlign w:val="center"/>
          </w:tcPr>
          <w:p>
            <w:pPr>
              <w:jc w:val="center"/>
              <w:rPr>
                <w:rFonts w:ascii="宋体" w:hAnsi="宋体" w:cs="宋体"/>
                <w:b/>
                <w:bCs/>
                <w:color w:val="000000"/>
                <w:kern w:val="0"/>
                <w:szCs w:val="21"/>
              </w:rPr>
            </w:pPr>
          </w:p>
        </w:tc>
        <w:tc>
          <w:tcPr>
            <w:tcW w:w="1230" w:type="dxa"/>
            <w:tcMar>
              <w:top w:w="0" w:type="dxa"/>
              <w:left w:w="108" w:type="dxa"/>
              <w:bottom w:w="0" w:type="dxa"/>
              <w:right w:w="108" w:type="dxa"/>
            </w:tcMar>
            <w:vAlign w:val="center"/>
          </w:tcPr>
          <w:p>
            <w:pPr>
              <w:jc w:val="center"/>
              <w:rPr>
                <w:rFonts w:ascii="宋体" w:hAnsi="宋体" w:cs="宋体"/>
                <w:b/>
                <w:bCs/>
                <w:color w:val="000000"/>
                <w:kern w:val="0"/>
                <w:szCs w:val="21"/>
              </w:rPr>
            </w:pPr>
            <w:r>
              <w:rPr>
                <w:rFonts w:hint="eastAsia" w:ascii="宋体" w:hAnsi="宋体" w:cs="宋体"/>
                <w:color w:val="000000"/>
                <w:kern w:val="0"/>
                <w:szCs w:val="21"/>
              </w:rPr>
              <w:t>安全文明措施</w:t>
            </w:r>
          </w:p>
        </w:tc>
        <w:tc>
          <w:tcPr>
            <w:tcW w:w="6031" w:type="dxa"/>
            <w:tcMar>
              <w:top w:w="0" w:type="dxa"/>
              <w:left w:w="108" w:type="dxa"/>
              <w:bottom w:w="0" w:type="dxa"/>
              <w:right w:w="108" w:type="dxa"/>
            </w:tcMar>
            <w:vAlign w:val="center"/>
          </w:tcPr>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根据供应商针对本项目制定的安全文明措施进行评分，包括但不限于：</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1.信息采集安全文明作业管理规定；</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2.安全文明措施。</w:t>
            </w:r>
          </w:p>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供应商提供的安全文明措施周全、可靠，制度完善的得4分，每有一项内容缺失扣2分，每有一项内容有缺陷或不足的扣1分，扣完为止。</w:t>
            </w:r>
          </w:p>
          <w:p>
            <w:pPr>
              <w:ind w:left="107" w:leftChars="50" w:right="107" w:rightChars="50" w:firstLine="370" w:firstLineChars="200"/>
              <w:rPr>
                <w:rFonts w:ascii="宋体" w:hAnsi="宋体" w:cs="宋体"/>
                <w:color w:val="000000"/>
                <w:kern w:val="0"/>
                <w:szCs w:val="21"/>
              </w:rPr>
            </w:pPr>
            <w:r>
              <w:rPr>
                <w:rFonts w:hint="eastAsia" w:ascii="宋体" w:hAnsi="宋体" w:cs="宋体"/>
                <w:b/>
                <w:bCs/>
                <w:color w:val="000000"/>
                <w:kern w:val="0"/>
                <w:sz w:val="18"/>
                <w:szCs w:val="18"/>
              </w:rPr>
              <w:t>注：缺陷或不足是指存在如：内容不完善，对项目理解存在偏差，相关内容不符合项目要求，措施内容与项目不匹配、前后相同问题内容冲突等类似缺陷或瑕疵，以评审专家结合项目实际情况和响应文件响应独立评审为准。</w:t>
            </w:r>
          </w:p>
        </w:tc>
        <w:tc>
          <w:tcPr>
            <w:tcW w:w="775" w:type="dxa"/>
            <w:tcMar>
              <w:top w:w="0" w:type="dxa"/>
              <w:left w:w="108" w:type="dxa"/>
              <w:bottom w:w="0" w:type="dxa"/>
              <w:right w:w="108" w:type="dxa"/>
            </w:tcMar>
            <w:vAlign w:val="center"/>
          </w:tcPr>
          <w:p>
            <w:pPr>
              <w:jc w:val="center"/>
              <w:rPr>
                <w:rFonts w:ascii="宋体" w:hAnsi="宋体" w:cs="宋体"/>
                <w:b/>
                <w:bCs/>
                <w:color w:val="000000"/>
                <w:kern w:val="0"/>
                <w:szCs w:val="21"/>
              </w:rPr>
            </w:pPr>
            <w:r>
              <w:rPr>
                <w:rFonts w:hint="eastAsia" w:ascii="宋体" w:hAnsi="宋体" w:cs="宋体"/>
                <w:b/>
                <w:bCs/>
                <w:color w:val="000000"/>
                <w:kern w:val="0"/>
                <w:szCs w:val="21"/>
              </w:rPr>
              <w:t>4</w:t>
            </w:r>
          </w:p>
        </w:tc>
        <w:tc>
          <w:tcPr>
            <w:tcW w:w="687" w:type="dxa"/>
            <w:tcMar>
              <w:top w:w="0" w:type="dxa"/>
              <w:left w:w="108" w:type="dxa"/>
              <w:bottom w:w="0" w:type="dxa"/>
              <w:right w:w="108" w:type="dxa"/>
            </w:tcMar>
            <w:vAlign w:val="center"/>
          </w:tcPr>
          <w:p>
            <w:pPr>
              <w:jc w:val="center"/>
              <w:rPr>
                <w:rFonts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52" w:type="dxa"/>
            <w:vMerge w:val="restart"/>
            <w:tcMar>
              <w:top w:w="0" w:type="dxa"/>
              <w:left w:w="108" w:type="dxa"/>
              <w:bottom w:w="0" w:type="dxa"/>
              <w:right w:w="108" w:type="dxa"/>
            </w:tcMar>
            <w:vAlign w:val="center"/>
          </w:tcPr>
          <w:p>
            <w:pPr>
              <w:jc w:val="center"/>
              <w:rPr>
                <w:rFonts w:ascii="宋体" w:hAnsi="宋体" w:cs="宋体"/>
                <w:b/>
                <w:bCs/>
                <w:color w:val="000000"/>
                <w:kern w:val="0"/>
                <w:szCs w:val="21"/>
              </w:rPr>
            </w:pPr>
            <w:r>
              <w:rPr>
                <w:rFonts w:hint="eastAsia" w:ascii="宋体" w:hAnsi="宋体" w:cs="宋体"/>
                <w:b/>
                <w:bCs/>
                <w:color w:val="000000"/>
                <w:kern w:val="0"/>
                <w:szCs w:val="21"/>
              </w:rPr>
              <w:t>综合实力（1</w:t>
            </w:r>
            <w:r>
              <w:rPr>
                <w:rFonts w:ascii="宋体" w:hAnsi="宋体" w:cs="宋体"/>
                <w:b/>
                <w:bCs/>
                <w:color w:val="000000"/>
                <w:kern w:val="0"/>
                <w:szCs w:val="21"/>
              </w:rPr>
              <w:t>2</w:t>
            </w:r>
            <w:r>
              <w:rPr>
                <w:rFonts w:hint="eastAsia" w:ascii="宋体" w:hAnsi="宋体" w:cs="宋体"/>
                <w:b/>
                <w:bCs/>
                <w:color w:val="000000"/>
                <w:kern w:val="0"/>
                <w:szCs w:val="21"/>
              </w:rPr>
              <w:t>分）</w:t>
            </w:r>
          </w:p>
        </w:tc>
        <w:tc>
          <w:tcPr>
            <w:tcW w:w="1230" w:type="dxa"/>
            <w:tcMar>
              <w:top w:w="0" w:type="dxa"/>
              <w:left w:w="108" w:type="dxa"/>
              <w:bottom w:w="0"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人员服务能力</w:t>
            </w:r>
          </w:p>
        </w:tc>
        <w:tc>
          <w:tcPr>
            <w:tcW w:w="6031" w:type="dxa"/>
            <w:tcMar>
              <w:top w:w="0" w:type="dxa"/>
              <w:left w:w="108" w:type="dxa"/>
              <w:bottom w:w="0" w:type="dxa"/>
              <w:right w:w="108" w:type="dxa"/>
            </w:tcMar>
            <w:vAlign w:val="center"/>
          </w:tcPr>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1.拟派驻本项目的管理人员（项目经理）具有数字城管信息采集项目3年及以上工作经验的得3分；2年及以上工作经验的得2分；1年及以上工作经验的得1分；本项最多得3分。</w:t>
            </w:r>
          </w:p>
          <w:p>
            <w:pPr>
              <w:ind w:left="107" w:leftChars="50" w:right="107" w:rightChars="50" w:firstLine="430" w:firstLineChars="200"/>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.拟派驻本项目的管理人员（项目助理）具有数字城管信息采集项目3年及以上工作经验的得3分；2年及以上工作经验的得2分；1年及以上工作经验的得1分；本项最多得3分。</w:t>
            </w:r>
          </w:p>
          <w:p>
            <w:pPr>
              <w:ind w:left="107" w:leftChars="50" w:right="107" w:rightChars="50" w:firstLine="370" w:firstLineChars="200"/>
              <w:rPr>
                <w:rFonts w:ascii="宋体" w:hAnsi="宋体" w:cs="宋体"/>
                <w:color w:val="000000"/>
                <w:kern w:val="0"/>
                <w:szCs w:val="21"/>
              </w:rPr>
            </w:pPr>
            <w:r>
              <w:rPr>
                <w:rFonts w:hint="eastAsia" w:ascii="宋体" w:hAnsi="宋体" w:cs="宋体"/>
                <w:color w:val="000000"/>
                <w:sz w:val="18"/>
                <w:szCs w:val="18"/>
              </w:rPr>
              <w:t>注：提供合同复印件加盖供应商鲜章，若合同中不能体现管理人员名字的，提供以往或现在履约合同期内业主方出具的加盖公章的工作证明材料。</w:t>
            </w:r>
          </w:p>
        </w:tc>
        <w:tc>
          <w:tcPr>
            <w:tcW w:w="775" w:type="dxa"/>
            <w:tcMar>
              <w:top w:w="0" w:type="dxa"/>
              <w:left w:w="108" w:type="dxa"/>
              <w:bottom w:w="0" w:type="dxa"/>
              <w:right w:w="108" w:type="dxa"/>
            </w:tcMar>
            <w:vAlign w:val="center"/>
          </w:tcPr>
          <w:p>
            <w:pPr>
              <w:jc w:val="center"/>
              <w:rPr>
                <w:rFonts w:ascii="宋体" w:hAnsi="宋体" w:cs="宋体"/>
                <w:b/>
                <w:color w:val="000000"/>
                <w:kern w:val="0"/>
                <w:szCs w:val="21"/>
              </w:rPr>
            </w:pPr>
            <w:r>
              <w:rPr>
                <w:rFonts w:hint="eastAsia" w:ascii="宋体" w:hAnsi="宋体" w:cs="宋体"/>
                <w:b/>
                <w:color w:val="000000"/>
                <w:kern w:val="0"/>
                <w:szCs w:val="21"/>
              </w:rPr>
              <w:t>6</w:t>
            </w:r>
          </w:p>
        </w:tc>
        <w:tc>
          <w:tcPr>
            <w:tcW w:w="687" w:type="dxa"/>
            <w:tcMar>
              <w:top w:w="0" w:type="dxa"/>
              <w:left w:w="108" w:type="dxa"/>
              <w:bottom w:w="0" w:type="dxa"/>
              <w:right w:w="108" w:type="dxa"/>
            </w:tcMar>
            <w:vAlign w:val="center"/>
          </w:tcPr>
          <w:p>
            <w:pPr>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52" w:type="dxa"/>
            <w:vMerge w:val="continue"/>
            <w:tcMar>
              <w:top w:w="0" w:type="dxa"/>
              <w:left w:w="108" w:type="dxa"/>
              <w:bottom w:w="0" w:type="dxa"/>
              <w:right w:w="108" w:type="dxa"/>
            </w:tcMar>
            <w:vAlign w:val="center"/>
          </w:tcPr>
          <w:p>
            <w:pPr>
              <w:jc w:val="center"/>
              <w:rPr>
                <w:rFonts w:ascii="宋体" w:hAnsi="宋体" w:cs="宋体"/>
                <w:b/>
                <w:bCs/>
                <w:color w:val="000000"/>
                <w:kern w:val="0"/>
                <w:szCs w:val="21"/>
              </w:rPr>
            </w:pPr>
          </w:p>
        </w:tc>
        <w:tc>
          <w:tcPr>
            <w:tcW w:w="1230" w:type="dxa"/>
            <w:tcMar>
              <w:top w:w="0" w:type="dxa"/>
              <w:left w:w="108" w:type="dxa"/>
              <w:bottom w:w="0" w:type="dxa"/>
              <w:right w:w="108" w:type="dxa"/>
            </w:tcMar>
            <w:vAlign w:val="center"/>
          </w:tcPr>
          <w:p>
            <w:pPr>
              <w:jc w:val="center"/>
              <w:rPr>
                <w:rFonts w:ascii="宋体" w:hAnsi="宋体" w:cs="宋体"/>
                <w:color w:val="000000"/>
                <w:kern w:val="0"/>
                <w:szCs w:val="21"/>
              </w:rPr>
            </w:pPr>
            <w:r>
              <w:rPr>
                <w:rFonts w:hint="eastAsia" w:ascii="宋体" w:hAnsi="宋体" w:cs="宋体"/>
                <w:color w:val="000000"/>
                <w:kern w:val="0"/>
                <w:szCs w:val="21"/>
              </w:rPr>
              <w:t>企业实力</w:t>
            </w:r>
          </w:p>
        </w:tc>
        <w:tc>
          <w:tcPr>
            <w:tcW w:w="6031" w:type="dxa"/>
            <w:tcMar>
              <w:top w:w="0" w:type="dxa"/>
              <w:left w:w="108" w:type="dxa"/>
              <w:bottom w:w="0" w:type="dxa"/>
              <w:right w:w="108" w:type="dxa"/>
            </w:tcMar>
            <w:vAlign w:val="center"/>
          </w:tcPr>
          <w:p>
            <w:pPr>
              <w:ind w:left="107" w:leftChars="50" w:right="107" w:rightChars="50" w:firstLine="430" w:firstLineChars="200"/>
              <w:rPr>
                <w:rFonts w:ascii="宋体" w:hAnsi="宋体" w:cs="宋体"/>
                <w:color w:val="000000"/>
                <w:kern w:val="0"/>
                <w:szCs w:val="21"/>
              </w:rPr>
            </w:pPr>
            <w:r>
              <w:rPr>
                <w:rFonts w:hint="eastAsia" w:ascii="宋体" w:hAnsi="宋体" w:cs="宋体"/>
                <w:color w:val="000000"/>
                <w:kern w:val="0"/>
                <w:szCs w:val="21"/>
              </w:rPr>
              <w:t>具有质量管理体系认证证书、职业健康安全管理体系认证证书、环境管理体系认证证明材料复印件，且认证范围包含市政信息咨询服务或信息采集的每项得2分，如认证范围不符合的每项得1分，未提供不得分；本项最多得6分。</w:t>
            </w:r>
          </w:p>
          <w:p>
            <w:pPr>
              <w:ind w:left="107" w:leftChars="50" w:right="107" w:rightChars="50" w:firstLine="370" w:firstLineChars="200"/>
              <w:rPr>
                <w:rFonts w:ascii="宋体" w:hAnsi="宋体" w:cs="宋体"/>
                <w:color w:val="000000"/>
                <w:kern w:val="0"/>
                <w:szCs w:val="21"/>
              </w:rPr>
            </w:pPr>
            <w:r>
              <w:rPr>
                <w:rFonts w:hint="eastAsia" w:ascii="宋体" w:hAnsi="宋体" w:cs="宋体"/>
                <w:color w:val="000000"/>
                <w:sz w:val="18"/>
                <w:szCs w:val="18"/>
              </w:rPr>
              <w:t>注：提</w:t>
            </w:r>
            <w:r>
              <w:rPr>
                <w:rFonts w:hint="eastAsia" w:ascii="宋体" w:hAnsi="宋体" w:cs="宋体"/>
                <w:color w:val="000000"/>
                <w:kern w:val="0"/>
                <w:sz w:val="18"/>
                <w:szCs w:val="18"/>
              </w:rPr>
              <w:t>供认监委官网查询截图及证书复印件加盖供应商鲜章。</w:t>
            </w:r>
          </w:p>
        </w:tc>
        <w:tc>
          <w:tcPr>
            <w:tcW w:w="775" w:type="dxa"/>
            <w:tcMar>
              <w:top w:w="0" w:type="dxa"/>
              <w:left w:w="108" w:type="dxa"/>
              <w:bottom w:w="0" w:type="dxa"/>
              <w:right w:w="108" w:type="dxa"/>
            </w:tcMar>
            <w:vAlign w:val="center"/>
          </w:tcPr>
          <w:p>
            <w:pPr>
              <w:jc w:val="center"/>
              <w:rPr>
                <w:rFonts w:ascii="宋体" w:hAnsi="宋体" w:cs="宋体"/>
                <w:b/>
                <w:color w:val="000000"/>
                <w:kern w:val="0"/>
                <w:szCs w:val="21"/>
              </w:rPr>
            </w:pPr>
            <w:r>
              <w:rPr>
                <w:rFonts w:ascii="宋体" w:hAnsi="宋体" w:cs="宋体"/>
                <w:b/>
                <w:color w:val="000000"/>
                <w:kern w:val="0"/>
                <w:szCs w:val="21"/>
              </w:rPr>
              <w:t>6</w:t>
            </w:r>
          </w:p>
        </w:tc>
        <w:tc>
          <w:tcPr>
            <w:tcW w:w="687" w:type="dxa"/>
            <w:tcMar>
              <w:top w:w="0" w:type="dxa"/>
              <w:left w:w="108" w:type="dxa"/>
              <w:bottom w:w="0" w:type="dxa"/>
              <w:right w:w="108" w:type="dxa"/>
            </w:tcMar>
            <w:vAlign w:val="center"/>
          </w:tcPr>
          <w:p>
            <w:pPr>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382" w:type="dxa"/>
            <w:gridSpan w:val="2"/>
            <w:tcMar>
              <w:top w:w="0" w:type="dxa"/>
              <w:left w:w="108" w:type="dxa"/>
              <w:bottom w:w="0" w:type="dxa"/>
              <w:right w:w="108" w:type="dxa"/>
            </w:tcMar>
            <w:vAlign w:val="center"/>
          </w:tcPr>
          <w:p>
            <w:pPr>
              <w:jc w:val="center"/>
              <w:rPr>
                <w:rFonts w:ascii="宋体" w:hAnsi="宋体" w:cs="宋体"/>
                <w:bCs/>
                <w:color w:val="000000"/>
                <w:kern w:val="0"/>
                <w:szCs w:val="21"/>
              </w:rPr>
            </w:pPr>
            <w:r>
              <w:rPr>
                <w:rFonts w:hint="eastAsia" w:ascii="宋体" w:hAnsi="宋体" w:cs="宋体"/>
                <w:b/>
                <w:bCs/>
                <w:color w:val="000000"/>
                <w:kern w:val="0"/>
                <w:szCs w:val="21"/>
              </w:rPr>
              <w:t>履约能力（</w:t>
            </w:r>
            <w:r>
              <w:rPr>
                <w:rFonts w:ascii="宋体" w:hAnsi="宋体" w:cs="宋体"/>
                <w:b/>
                <w:bCs/>
                <w:color w:val="000000"/>
                <w:kern w:val="0"/>
                <w:szCs w:val="21"/>
              </w:rPr>
              <w:t>8</w:t>
            </w:r>
            <w:r>
              <w:rPr>
                <w:rFonts w:hint="eastAsia" w:ascii="宋体" w:hAnsi="宋体" w:cs="宋体"/>
                <w:b/>
                <w:bCs/>
                <w:color w:val="000000"/>
                <w:kern w:val="0"/>
                <w:szCs w:val="21"/>
              </w:rPr>
              <w:t>分）</w:t>
            </w:r>
          </w:p>
        </w:tc>
        <w:tc>
          <w:tcPr>
            <w:tcW w:w="6031" w:type="dxa"/>
            <w:tcMar>
              <w:top w:w="0" w:type="dxa"/>
              <w:left w:w="108" w:type="dxa"/>
              <w:bottom w:w="0" w:type="dxa"/>
              <w:right w:w="108" w:type="dxa"/>
            </w:tcMar>
            <w:vAlign w:val="center"/>
          </w:tcPr>
          <w:p>
            <w:pPr>
              <w:ind w:left="107" w:leftChars="50" w:right="107" w:rightChars="50" w:firstLine="430" w:firstLineChars="200"/>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018</w:t>
            </w:r>
            <w:r>
              <w:rPr>
                <w:rFonts w:hint="eastAsia" w:ascii="宋体" w:hAnsi="宋体" w:cs="宋体"/>
                <w:color w:val="000000"/>
                <w:szCs w:val="21"/>
              </w:rPr>
              <w:t>年1月1日至今供应商每具有1个类似项目业绩得</w:t>
            </w:r>
            <w:r>
              <w:rPr>
                <w:rFonts w:ascii="宋体" w:hAnsi="宋体" w:cs="宋体"/>
                <w:color w:val="000000"/>
                <w:szCs w:val="21"/>
              </w:rPr>
              <w:t>2</w:t>
            </w:r>
            <w:r>
              <w:rPr>
                <w:rFonts w:hint="eastAsia" w:ascii="宋体" w:hAnsi="宋体" w:cs="宋体"/>
                <w:color w:val="000000"/>
                <w:szCs w:val="21"/>
              </w:rPr>
              <w:t>分；最多得</w:t>
            </w:r>
            <w:r>
              <w:rPr>
                <w:rFonts w:ascii="宋体" w:hAnsi="宋体" w:cs="宋体"/>
                <w:color w:val="000000"/>
                <w:szCs w:val="21"/>
              </w:rPr>
              <w:t>8</w:t>
            </w:r>
            <w:r>
              <w:rPr>
                <w:rFonts w:hint="eastAsia" w:ascii="宋体" w:hAnsi="宋体" w:cs="宋体"/>
                <w:color w:val="000000"/>
                <w:szCs w:val="21"/>
              </w:rPr>
              <w:t>分。</w:t>
            </w:r>
          </w:p>
          <w:p>
            <w:pPr>
              <w:ind w:left="107" w:leftChars="50" w:right="107" w:rightChars="50" w:firstLine="370" w:firstLineChars="200"/>
              <w:rPr>
                <w:rFonts w:ascii="宋体" w:hAnsi="宋体" w:cs="宋体"/>
                <w:color w:val="000000"/>
                <w:kern w:val="0"/>
                <w:szCs w:val="21"/>
              </w:rPr>
            </w:pPr>
            <w:r>
              <w:rPr>
                <w:rFonts w:hint="eastAsia" w:ascii="宋体" w:hAnsi="宋体" w:cs="宋体"/>
                <w:color w:val="000000"/>
                <w:sz w:val="18"/>
                <w:szCs w:val="18"/>
              </w:rPr>
              <w:t>注：提供合同和中标（成交）通知书复印件或扫描件加盖供应商鲜章（以合同签订之日算），同一业主多个合同按一个业绩计算。</w:t>
            </w:r>
          </w:p>
        </w:tc>
        <w:tc>
          <w:tcPr>
            <w:tcW w:w="775" w:type="dxa"/>
            <w:tcMar>
              <w:top w:w="0" w:type="dxa"/>
              <w:left w:w="108" w:type="dxa"/>
              <w:bottom w:w="0" w:type="dxa"/>
              <w:right w:w="108" w:type="dxa"/>
            </w:tcMar>
            <w:vAlign w:val="center"/>
          </w:tcPr>
          <w:p>
            <w:pPr>
              <w:jc w:val="center"/>
              <w:rPr>
                <w:rFonts w:ascii="宋体" w:hAnsi="宋体" w:cs="宋体"/>
                <w:b/>
                <w:bCs/>
                <w:color w:val="000000"/>
                <w:kern w:val="0"/>
                <w:szCs w:val="21"/>
              </w:rPr>
            </w:pPr>
            <w:r>
              <w:rPr>
                <w:rFonts w:ascii="宋体" w:hAnsi="宋体" w:cs="宋体"/>
                <w:b/>
                <w:bCs/>
                <w:color w:val="000000"/>
                <w:kern w:val="0"/>
                <w:szCs w:val="21"/>
              </w:rPr>
              <w:t>8</w:t>
            </w:r>
          </w:p>
        </w:tc>
        <w:tc>
          <w:tcPr>
            <w:tcW w:w="687" w:type="dxa"/>
            <w:tcMar>
              <w:top w:w="0" w:type="dxa"/>
              <w:left w:w="108" w:type="dxa"/>
              <w:bottom w:w="0" w:type="dxa"/>
              <w:right w:w="108" w:type="dxa"/>
            </w:tcMar>
            <w:vAlign w:val="center"/>
          </w:tcPr>
          <w:p>
            <w:pPr>
              <w:jc w:val="center"/>
              <w:rPr>
                <w:rFonts w:ascii="宋体" w:hAnsi="宋体" w:cs="宋体"/>
                <w:b/>
                <w:bCs/>
                <w:color w:val="000000"/>
                <w:kern w:val="0"/>
                <w:szCs w:val="21"/>
              </w:rPr>
            </w:pPr>
          </w:p>
        </w:tc>
      </w:tr>
    </w:tbl>
    <w:p>
      <w:pPr>
        <w:spacing w:line="360" w:lineRule="auto"/>
        <w:ind w:firstLine="430" w:firstLineChars="200"/>
        <w:rPr>
          <w:rFonts w:ascii="宋体" w:hAnsi="宋体" w:cs="宋体"/>
          <w:b/>
          <w:color w:val="000000" w:themeColor="text1"/>
          <w:szCs w:val="21"/>
          <w14:textFill>
            <w14:solidFill>
              <w14:schemeClr w14:val="tx1"/>
            </w14:solidFill>
          </w14:textFill>
        </w:rPr>
      </w:pPr>
    </w:p>
    <w:p>
      <w:pPr>
        <w:spacing w:line="360" w:lineRule="auto"/>
        <w:ind w:firstLine="430"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注：评分的取值按四舍五入法，保留小数点后两位。</w:t>
      </w:r>
    </w:p>
    <w:bookmarkEnd w:id="95"/>
    <w:bookmarkEnd w:id="96"/>
    <w:bookmarkEnd w:id="97"/>
    <w:bookmarkEnd w:id="98"/>
    <w:p>
      <w:pPr>
        <w:spacing w:line="360" w:lineRule="auto"/>
        <w:ind w:firstLine="490"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4.磋商纪律及注意事项</w:t>
      </w:r>
    </w:p>
    <w:p>
      <w:pPr>
        <w:tabs>
          <w:tab w:val="left" w:pos="851"/>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4.1磋商小组内部讨论的情况和意见必须保密，任何人不得以任何形式透露给供应商或与供应商有关的单位或个人。</w:t>
      </w:r>
    </w:p>
    <w:p>
      <w:pPr>
        <w:tabs>
          <w:tab w:val="left" w:pos="851"/>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4.2在磋商过程中，供应商不得以任何形式对磋商小组成员进行旨在影响谈判结果的私下接触，否则将取消其参与磋商的资格。</w:t>
      </w:r>
    </w:p>
    <w:p>
      <w:pPr>
        <w:tabs>
          <w:tab w:val="left" w:pos="851"/>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4.3对各供应商的商业秘密，磋商小组成员应予以保密，不得泄露给其他供应商。</w:t>
      </w:r>
    </w:p>
    <w:p>
      <w:pPr>
        <w:tabs>
          <w:tab w:val="left" w:pos="851"/>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磋商小组独立评判，推荐成交候选人，并写出书面报告。</w:t>
      </w:r>
    </w:p>
    <w:p>
      <w:pPr>
        <w:tabs>
          <w:tab w:val="left" w:pos="851"/>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磋商小组可根据需要对供应商进行实地考察。</w:t>
      </w:r>
    </w:p>
    <w:p>
      <w:pPr>
        <w:tabs>
          <w:tab w:val="left" w:pos="7665"/>
        </w:tabs>
        <w:spacing w:line="360" w:lineRule="auto"/>
        <w:ind w:firstLine="49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bookmarkEnd w:id="99"/>
      <w:r>
        <w:rPr>
          <w:rFonts w:hint="eastAsia" w:ascii="宋体" w:hAnsi="宋体" w:cs="宋体"/>
          <w:b/>
          <w:color w:val="000000" w:themeColor="text1"/>
          <w:sz w:val="24"/>
          <w14:textFill>
            <w14:solidFill>
              <w14:schemeClr w14:val="tx1"/>
            </w14:solidFill>
          </w14:textFill>
        </w:rPr>
        <w:t>磋商小组在政府采购活动中承担以下义务：</w:t>
      </w:r>
    </w:p>
    <w:p>
      <w:pPr>
        <w:tabs>
          <w:tab w:val="left" w:pos="7665"/>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（一）遵守评审工作纪律；</w:t>
      </w:r>
    </w:p>
    <w:p>
      <w:pPr>
        <w:tabs>
          <w:tab w:val="left" w:pos="7665"/>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（二）按照客观、公正、审慎的原则，根据磋商文件规定的评审程序、评审方法和评审标准进行独立评审；</w:t>
      </w:r>
    </w:p>
    <w:p>
      <w:pPr>
        <w:tabs>
          <w:tab w:val="left" w:pos="7665"/>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（三）不得泄露评审文件、评审情况和在评审过程中获悉的商业秘密；</w:t>
      </w:r>
    </w:p>
    <w:p>
      <w:pPr>
        <w:tabs>
          <w:tab w:val="left" w:pos="7665"/>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（六）及时向财政、监察等部门举报在评审过程中受到非法干预的情况；</w:t>
      </w:r>
    </w:p>
    <w:p>
      <w:pPr>
        <w:tabs>
          <w:tab w:val="left" w:pos="7665"/>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（七）配合答复处理供应商的询问、质疑和投诉等事项；</w:t>
      </w:r>
    </w:p>
    <w:p>
      <w:pPr>
        <w:tabs>
          <w:tab w:val="left" w:pos="7665"/>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（八）法律、法规和规章规定的其他义务。</w:t>
      </w:r>
    </w:p>
    <w:p>
      <w:pPr>
        <w:tabs>
          <w:tab w:val="left" w:pos="7665"/>
        </w:tabs>
        <w:spacing w:line="360" w:lineRule="auto"/>
        <w:ind w:firstLine="490"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6.评审专家在政府采购活动中应当遵守以下工作纪律：</w:t>
      </w:r>
    </w:p>
    <w:p>
      <w:pPr>
        <w:tabs>
          <w:tab w:val="left" w:pos="7665"/>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（二）评审前，应当将通讯工具或者相关电子设备交由采购代理机构统一保管；</w:t>
      </w:r>
    </w:p>
    <w:p>
      <w:pPr>
        <w:tabs>
          <w:tab w:val="left" w:pos="7665"/>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（三）评审过程中，不得与外界联系，因发生不可预见情况，确实需要与外界联系的，应当在监督人员监督之下办理；</w:t>
      </w:r>
    </w:p>
    <w:p>
      <w:pPr>
        <w:tabs>
          <w:tab w:val="left" w:pos="7665"/>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（五）在评审过程中和评审结束后，不得记录、复制或带走任何评审资料，不得向外界透露评审内容；</w:t>
      </w:r>
    </w:p>
    <w:p>
      <w:pPr>
        <w:tabs>
          <w:tab w:val="left" w:pos="7665"/>
        </w:tabs>
        <w:spacing w:line="360" w:lineRule="auto"/>
        <w:ind w:firstLine="49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（六）评审现场服从采购代理机构工作人员的管理，接受现场监督人员的合法监督；</w:t>
      </w:r>
    </w:p>
    <w:p>
      <w:pPr>
        <w:tabs>
          <w:tab w:val="left" w:pos="7665"/>
        </w:tabs>
        <w:spacing w:line="360" w:lineRule="auto"/>
        <w:ind w:firstLine="490" w:firstLineChars="200"/>
        <w:rPr>
          <w:rFonts w:ascii="宋体" w:hAnsi="宋体" w:cs="宋体"/>
          <w:b/>
          <w:color w:val="000000" w:themeColor="text1"/>
          <w:sz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（七）遵守有关廉洁自律规定，不得私下接触供应商，不得收受供应商及有关业务单位和个人的财物或好处，不得接受采购代理机构的请托。</w:t>
      </w:r>
    </w:p>
    <w:p>
      <w:pPr>
        <w:pStyle w:val="3"/>
        <w:keepNext w:val="0"/>
        <w:keepLines w:val="0"/>
        <w:tabs>
          <w:tab w:val="left" w:pos="7665"/>
        </w:tabs>
        <w:spacing w:before="0" w:after="0" w:line="240" w:lineRule="auto"/>
        <w:jc w:val="center"/>
        <w:rPr>
          <w:rFonts w:ascii="宋体" w:hAnsi="宋体" w:cs="宋体"/>
          <w:color w:val="000000" w:themeColor="text1"/>
          <w:sz w:val="36"/>
          <w:szCs w:val="36"/>
          <w14:textFill>
            <w14:solidFill>
              <w14:schemeClr w14:val="tx1"/>
            </w14:solidFill>
          </w14:textFill>
        </w:rPr>
      </w:pPr>
      <w:r>
        <w:rPr>
          <w:rFonts w:hint="eastAsia" w:ascii="宋体" w:hAnsi="宋体" w:cs="宋体"/>
          <w:b w:val="0"/>
          <w:color w:val="000000" w:themeColor="text1"/>
          <w:sz w:val="32"/>
          <w14:textFill>
            <w14:solidFill>
              <w14:schemeClr w14:val="tx1"/>
            </w14:solidFill>
          </w14:textFill>
        </w:rPr>
        <w:br w:type="page"/>
      </w:r>
      <w:bookmarkStart w:id="100" w:name="_Toc47706405"/>
      <w:bookmarkStart w:id="101" w:name="_Toc47706314"/>
      <w:r>
        <w:rPr>
          <w:rFonts w:hint="eastAsia" w:ascii="宋体" w:hAnsi="宋体" w:cs="宋体"/>
          <w:color w:val="000000" w:themeColor="text1"/>
          <w:sz w:val="36"/>
          <w:szCs w:val="36"/>
          <w14:textFill>
            <w14:solidFill>
              <w14:schemeClr w14:val="tx1"/>
            </w14:solidFill>
          </w14:textFill>
        </w:rPr>
        <w:t>第八章  政府采购合同（草案）</w:t>
      </w:r>
      <w:bookmarkEnd w:id="100"/>
      <w:bookmarkEnd w:id="101"/>
    </w:p>
    <w:bookmarkEnd w:id="78"/>
    <w:bookmarkEnd w:id="79"/>
    <w:bookmarkEnd w:id="80"/>
    <w:p>
      <w:pPr>
        <w:spacing w:line="360" w:lineRule="auto"/>
        <w:ind w:firstLine="490" w:firstLineChars="200"/>
        <w:jc w:val="center"/>
        <w:rPr>
          <w:rFonts w:ascii="宋体" w:hAnsi="宋体" w:cs="仿宋"/>
          <w:b/>
          <w:color w:val="000000"/>
          <w:kern w:val="0"/>
          <w:sz w:val="24"/>
          <w:szCs w:val="20"/>
        </w:rPr>
      </w:pPr>
      <w:bookmarkStart w:id="102" w:name="_Hlt101846155"/>
      <w:bookmarkEnd w:id="102"/>
      <w:r>
        <w:rPr>
          <w:rFonts w:hint="eastAsia" w:ascii="宋体" w:hAnsi="宋体" w:cs="仿宋"/>
          <w:b/>
          <w:color w:val="000000"/>
          <w:kern w:val="0"/>
          <w:sz w:val="24"/>
          <w:szCs w:val="20"/>
        </w:rPr>
        <w:t>（参考文本）</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合同编号：与项目编号一致。</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签订地点：XXXX。</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签订时间：XXXX 年 XX 月 XX 日。</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采购人（甲方）：</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供应商（乙方）：</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依据《中华人民共和国民法典》、《中华人民共和国政府采购法》与项目行业有关的法律法规，以及 XXXX 项目（项目编号：XXXX）的《采购文件》，乙方的《响应文件》及《中标通知书》，甲、乙双方同意签订本合同。详细技术说明及其他有关合同项目的特定信息由合同附件予以说明，合同附件及本项目的《采购文件》、《响应文件》、《中标通知书》等均为本合同的组成部分。</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第一条 项目基本情况</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第二条 合同期限</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第三条 服务内容与质量标准</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1、XXXX；</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2、XXXX；</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3、XXXX．</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第四条 服务费用及支付方式</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（一）本项目服务费用由以下组成：</w:t>
      </w:r>
    </w:p>
    <w:p>
      <w:pPr>
        <w:spacing w:line="360" w:lineRule="auto"/>
        <w:ind w:firstLine="49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1）成交价格即为合同价格，合同价格款按月支付，服务质量按月考核。考核采取日常考核和排名考核两类，综合评定服务质量，考核结果作为拨付信息采集和处理服务费的依据，次月15日前支付上月服务费用</w:t>
      </w:r>
      <w:r>
        <w:rPr>
          <w:rFonts w:hint="eastAsia" w:ascii="宋体" w:hAnsi="宋体" w:cs="宋体"/>
          <w:color w:val="000000"/>
          <w:kern w:val="0"/>
          <w:sz w:val="24"/>
        </w:rPr>
        <w:t>（成交价格分摊每月服务费）；</w:t>
      </w:r>
    </w:p>
    <w:p>
      <w:pPr>
        <w:spacing w:before="60" w:after="60" w:line="360" w:lineRule="auto"/>
        <w:ind w:firstLine="490" w:firstLineChars="200"/>
        <w:rPr>
          <w:rFonts w:ascii="宋体" w:hAnsi="宋体"/>
          <w:color w:val="000000"/>
          <w:sz w:val="32"/>
        </w:rPr>
      </w:pPr>
      <w:r>
        <w:rPr>
          <w:rFonts w:hint="eastAsia" w:ascii="宋体" w:hAnsi="宋体" w:cs="宋体"/>
          <w:color w:val="000000"/>
          <w:sz w:val="24"/>
        </w:rPr>
        <w:t>（</w:t>
      </w:r>
      <w:r>
        <w:rPr>
          <w:rFonts w:ascii="宋体" w:hAnsi="宋体" w:cs="宋体"/>
          <w:color w:val="000000"/>
          <w:sz w:val="24"/>
        </w:rPr>
        <w:t>2）对于满足合同约定的资金支付条件的，自收到发票后30日内将资金支付到采购合同约定账户。</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（二）服务费支付方式：</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第五条 知识产权</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乙方应保证所提供的服务或其任何一部分均不会侵犯任何第三方的专利权、商标权或著作权。</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第六条 无产权瑕疵条款</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乙方保证所提供的服务的所有权完全属于乙方且无任何抵押、查封等产权瑕疵。如有产权瑕疵的，视为乙方违约。乙方应负担由此而产生的一切损失。</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第七条 履约保证金</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1、成交金额的5%。</w:t>
      </w:r>
    </w:p>
    <w:p>
      <w:pPr>
        <w:spacing w:line="460" w:lineRule="exact"/>
        <w:ind w:firstLine="490" w:firstLineChars="200"/>
        <w:rPr>
          <w:rFonts w:ascii="宋体" w:hAnsi="宋体" w:cs="等线"/>
          <w:color w:val="000000"/>
          <w:kern w:val="0"/>
          <w:sz w:val="24"/>
        </w:rPr>
      </w:pPr>
      <w:r>
        <w:rPr>
          <w:rFonts w:ascii="宋体" w:hAnsi="宋体" w:cs="等线"/>
          <w:color w:val="000000"/>
          <w:kern w:val="0"/>
          <w:sz w:val="24"/>
        </w:rPr>
        <w:t>2</w:t>
      </w:r>
      <w:r>
        <w:rPr>
          <w:rFonts w:hint="eastAsia" w:ascii="宋体" w:hAnsi="宋体" w:cs="等线"/>
          <w:color w:val="000000"/>
          <w:kern w:val="0"/>
          <w:sz w:val="24"/>
        </w:rPr>
        <w:t>、履行合同约定完毕后,服务质量达到要求，无违约责任情况，乙方凭“验收合格证明”到甲方处办理，无息退还。</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第八条 甲方的权利和义务</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2、负责检查监督乙方管理工作的实施及制度的执行情况。</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3、根据本合同规定，按时向乙方支付应付服务费用。</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4、国家法律、法规所规定由甲方承担的其他责任。</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第九条 乙方的权利和义务</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1、对本合同规定的委托服务范围内的项目享有管理权及服务义务。</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2、根据本合同的规定向甲方收取相关服务费用，并有权在本项目管理范围内管理及合理使用。</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3、及时向甲方通告本项目服务范围内有关服务的重大事项，及时配合处理投诉。</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4、接受项目行业管理部门及政府有关部门的指导，接受甲方的监督。</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5、国家法律、法规所规定由乙方承担的其他责任。</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第十条 违约责任</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1、甲乙双方必须遵守本合同并执行合同中的各项规定，保证本合同的正常履行。</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第十一条 不可抗力事件处理</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1、在合同有效期内，任何一方因不可抗力事件导致不能履行合同，则合同履行期可延长，其延长期与不可抗力影响期相同。</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2、不可抗力事件发生后，应立即通知对方，并寄送有关权威机构出具的证明。</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3、不可抗力事件延续 XX 天以上，双方应通过友好协商，确定是否继续履行合同。</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第十二条 解决合同纠纷的方式</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在执行本合同中发生的或与本合同有关的争端，双方应通过友好协商解决，经协商在XX 天内不能达成协议时，应提交项目所在地人民法院审判。</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第十三条 合同生效及其他</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1、合同经双方法定代表人/单位负责人或授权委托代理人签字并加盖单位公章后生效。</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2、合同执行中涉及采购资金和采购内容修改或补充的，须经政府采购监管部门审批，并签书面补充协议报政府采购监督管理部门备案，方可作为主合同不可分割的一部分。</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3、本合同一式 XX 份，自双方签章之日起起效。甲方 XX 份，乙方 XX 份，政府采购代理机构 XX 份，具有同等法律效力。</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第十四条 附件</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1、项目采购文件</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2、项目修改澄清文件</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3、项目响应文件</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4、成交通知书</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5、其他</w:t>
      </w:r>
    </w:p>
    <w:p>
      <w:pPr>
        <w:spacing w:line="460" w:lineRule="exact"/>
        <w:ind w:firstLine="490" w:firstLineChars="200"/>
        <w:rPr>
          <w:rFonts w:ascii="宋体" w:hAnsi="宋体" w:cs="等线"/>
          <w:color w:val="000000"/>
          <w:kern w:val="0"/>
          <w:sz w:val="24"/>
        </w:rPr>
      </w:pP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 xml:space="preserve">甲方： （盖章）                       </w:t>
      </w:r>
      <w:r>
        <w:rPr>
          <w:rFonts w:ascii="宋体" w:hAnsi="宋体" w:cs="等线"/>
          <w:color w:val="000000"/>
          <w:kern w:val="0"/>
          <w:sz w:val="24"/>
        </w:rPr>
        <w:t xml:space="preserve"> </w:t>
      </w:r>
      <w:r>
        <w:rPr>
          <w:rFonts w:hint="eastAsia" w:ascii="宋体" w:hAnsi="宋体" w:cs="等线"/>
          <w:color w:val="000000"/>
          <w:kern w:val="0"/>
          <w:sz w:val="24"/>
        </w:rPr>
        <w:t>乙方： （盖章）</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 xml:space="preserve">法定代表人/单位负责人（授权代表）：   </w:t>
      </w:r>
      <w:r>
        <w:rPr>
          <w:rFonts w:ascii="宋体" w:hAnsi="宋体" w:cs="等线"/>
          <w:color w:val="000000"/>
          <w:kern w:val="0"/>
          <w:sz w:val="24"/>
        </w:rPr>
        <w:t xml:space="preserve"> </w:t>
      </w:r>
      <w:r>
        <w:rPr>
          <w:rFonts w:hint="eastAsia" w:ascii="宋体" w:hAnsi="宋体" w:cs="等线"/>
          <w:color w:val="000000"/>
          <w:kern w:val="0"/>
          <w:sz w:val="24"/>
        </w:rPr>
        <w:t>法定代表人（授权代表）：</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地 址：                                地 址：</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开户银行：                             开户银行：</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账号：                                 账号：</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电 话：                                电 话：</w:t>
      </w:r>
    </w:p>
    <w:p>
      <w:pPr>
        <w:spacing w:line="460" w:lineRule="exact"/>
        <w:ind w:firstLine="490" w:firstLineChars="200"/>
        <w:rPr>
          <w:rFonts w:ascii="宋体" w:hAnsi="宋体" w:cs="等线"/>
          <w:color w:val="000000"/>
          <w:kern w:val="0"/>
          <w:sz w:val="24"/>
        </w:rPr>
      </w:pPr>
      <w:r>
        <w:rPr>
          <w:rFonts w:hint="eastAsia" w:ascii="宋体" w:hAnsi="宋体" w:cs="等线"/>
          <w:color w:val="000000"/>
          <w:kern w:val="0"/>
          <w:sz w:val="24"/>
        </w:rPr>
        <w:t xml:space="preserve">传 真：                               </w:t>
      </w:r>
      <w:r>
        <w:rPr>
          <w:rFonts w:ascii="宋体" w:hAnsi="宋体" w:cs="等线"/>
          <w:color w:val="000000"/>
          <w:kern w:val="0"/>
          <w:sz w:val="24"/>
        </w:rPr>
        <w:t xml:space="preserve"> </w:t>
      </w:r>
      <w:r>
        <w:rPr>
          <w:rFonts w:hint="eastAsia" w:ascii="宋体" w:hAnsi="宋体" w:cs="等线"/>
          <w:color w:val="000000"/>
          <w:kern w:val="0"/>
          <w:sz w:val="24"/>
        </w:rPr>
        <w:t>传 真：</w:t>
      </w:r>
    </w:p>
    <w:p>
      <w:pPr>
        <w:spacing w:line="400" w:lineRule="exact"/>
        <w:ind w:firstLine="490" w:firstLineChars="200"/>
        <w:rPr>
          <w:rFonts w:ascii="宋体" w:hAnsi="宋体" w:cs="等线"/>
          <w:color w:val="000000"/>
          <w:kern w:val="0"/>
          <w:sz w:val="24"/>
        </w:rPr>
      </w:pPr>
      <w:r>
        <w:rPr>
          <w:rFonts w:hint="eastAsia" w:ascii="宋体" w:hAnsi="宋体" w:cs="等线"/>
          <w:color w:val="000000"/>
          <w:kern w:val="0"/>
          <w:sz w:val="24"/>
        </w:rPr>
        <w:t xml:space="preserve">签约日期：XX 年 XX 月 XX 日          </w:t>
      </w:r>
      <w:r>
        <w:rPr>
          <w:rFonts w:ascii="宋体" w:hAnsi="宋体" w:cs="等线"/>
          <w:color w:val="000000"/>
          <w:kern w:val="0"/>
          <w:sz w:val="24"/>
        </w:rPr>
        <w:t xml:space="preserve">  </w:t>
      </w:r>
      <w:r>
        <w:rPr>
          <w:rFonts w:hint="eastAsia" w:ascii="宋体" w:hAnsi="宋体" w:cs="等线"/>
          <w:color w:val="000000"/>
          <w:kern w:val="0"/>
          <w:sz w:val="24"/>
        </w:rPr>
        <w:t>签约日期：XX 年 XX 月 XX 日</w:t>
      </w:r>
    </w:p>
    <w:p>
      <w:pPr>
        <w:spacing w:line="400" w:lineRule="exact"/>
        <w:ind w:firstLine="430" w:firstLineChars="200"/>
        <w:rPr>
          <w:rFonts w:ascii="宋体" w:hAnsi="宋体" w:cs="仿宋"/>
          <w:color w:val="000000"/>
          <w:kern w:val="0"/>
          <w:szCs w:val="21"/>
        </w:rPr>
      </w:pPr>
      <w:bookmarkStart w:id="103" w:name="_Toc16673160"/>
      <w:r>
        <w:rPr>
          <w:rFonts w:hint="eastAsia" w:ascii="宋体" w:hAnsi="宋体" w:cs="仿宋"/>
          <w:b/>
          <w:color w:val="000000"/>
          <w:kern w:val="0"/>
          <w:szCs w:val="21"/>
        </w:rPr>
        <w:t>注：合同条款可根据采购人及中标人签订合同时的实际情况进行修改调整，但不得改变磋商文件、响应文件约定的实质性内容。</w:t>
      </w:r>
      <w:bookmarkEnd w:id="103"/>
    </w:p>
    <w:p>
      <w:pPr>
        <w:pStyle w:val="4"/>
        <w:keepNext w:val="0"/>
        <w:keepLines w:val="0"/>
        <w:spacing w:before="0" w:after="0" w:line="400" w:lineRule="exact"/>
        <w:rPr>
          <w:rFonts w:ascii="宋体" w:hAnsi="宋体" w:eastAsia="宋体" w:cs="宋体"/>
          <w:color w:val="000000" w:themeColor="text1"/>
          <w14:textFill>
            <w14:solidFill>
              <w14:schemeClr w14:val="tx1"/>
            </w14:solidFill>
          </w14:textFill>
        </w:rPr>
      </w:pPr>
    </w:p>
    <w:sectPr>
      <w:footerReference r:id="rId8" w:type="default"/>
      <w:pgSz w:w="11849" w:h="16781"/>
      <w:pgMar w:top="1440" w:right="1083" w:bottom="1440" w:left="1083" w:header="851" w:footer="992" w:gutter="0"/>
      <w:cols w:space="720" w:num="1"/>
      <w:titlePg/>
      <w:docGrid w:type="linesAndChars" w:linePitch="312" w:charSpace="1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lang w:val="zh-CN"/>
      </w:rPr>
    </w:pPr>
    <w:r>
      <w:rPr>
        <w:lang w:val="zh-CN"/>
      </w:rPr>
      <w:fldChar w:fldCharType="begin"/>
    </w:r>
    <w:r>
      <w:rPr>
        <w:lang w:val="zh-CN"/>
      </w:rPr>
      <w:instrText xml:space="preserve"> PAGE   \* MERGEFORMAT </w:instrText>
    </w:r>
    <w:r>
      <w:rPr>
        <w:lang w:val="zh-CN"/>
      </w:rPr>
      <w:fldChar w:fldCharType="separate"/>
    </w:r>
    <w:r>
      <w:rPr>
        <w:lang w:val="zh-CN"/>
      </w:rPr>
      <w:t>29</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lang w:val="zh-CN"/>
      </w:rPr>
      <w:fldChar w:fldCharType="begin"/>
    </w:r>
    <w:r>
      <w:rPr>
        <w:lang w:val="zh-CN"/>
      </w:rPr>
      <w:instrText xml:space="preserve">PAGE   \* MERGEFORMAT</w:instrText>
    </w:r>
    <w:r>
      <w:rPr>
        <w:lang w:val="zh-CN"/>
      </w:rPr>
      <w:fldChar w:fldCharType="separate"/>
    </w:r>
    <w:r>
      <w:rPr>
        <w:lang w:val="zh-CN"/>
      </w:rPr>
      <w:t>45</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lang w:val="zh-CN"/>
      </w:rPr>
    </w:pPr>
    <w:r>
      <w:rPr>
        <w:lang w:val="zh-CN"/>
      </w:rPr>
      <w:fldChar w:fldCharType="begin"/>
    </w:r>
    <w:r>
      <w:rPr>
        <w:lang w:val="zh-CN"/>
      </w:rPr>
      <w:instrText xml:space="preserve"> PAGE   \* MERGEFORMAT </w:instrText>
    </w:r>
    <w:r>
      <w:rPr>
        <w:lang w:val="zh-CN"/>
      </w:rPr>
      <w:fldChar w:fldCharType="separate"/>
    </w:r>
    <w:r>
      <w:rPr>
        <w:lang w:val="zh-CN"/>
      </w:rPr>
      <w:t>66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ascii="隶书" w:hAnsi="隶书" w:eastAsia="隶书" w:cs="隶书"/>
        <w:sz w:val="21"/>
        <w:szCs w:val="21"/>
      </w:rPr>
    </w:pPr>
    <w:r>
      <w:rPr>
        <w:rFonts w:hint="eastAsia" w:ascii="隶书" w:hAnsi="隶书" w:eastAsia="隶书" w:cs="隶书"/>
        <w:sz w:val="21"/>
        <w:szCs w:val="21"/>
      </w:rPr>
      <w:t>邛崃市综合行政执法局数字化城市管理信息采集和处理业务市场化服务项目</w:t>
    </w:r>
  </w:p>
  <w:p>
    <w:pPr>
      <w:pStyle w:val="18"/>
      <w:pBdr>
        <w:bottom w:val="none" w:color="auto" w:sz="0" w:space="0"/>
      </w:pBdr>
      <w:jc w:val="both"/>
    </w:pPr>
    <w:r>
      <w:rPr>
        <w:rFonts w:ascii="隶书" w:hAnsi="隶书" w:eastAsia="隶书" w:cs="隶书"/>
      </w:rPr>
      <w:drawing>
        <wp:anchor distT="0" distB="0" distL="114300" distR="114300" simplePos="0" relativeHeight="251660288" behindDoc="0" locked="0" layoutInCell="1" allowOverlap="1">
          <wp:simplePos x="0" y="0"/>
          <wp:positionH relativeFrom="column">
            <wp:posOffset>-85725</wp:posOffset>
          </wp:positionH>
          <wp:positionV relativeFrom="paragraph">
            <wp:posOffset>-623570</wp:posOffset>
          </wp:positionV>
          <wp:extent cx="699770" cy="586740"/>
          <wp:effectExtent l="0" t="0" r="0" b="0"/>
          <wp:wrapNone/>
          <wp:docPr id="2049"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图片 20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9770" cy="58674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jc w:val="right"/>
      <w:rPr>
        <w:rFonts w:eastAsia="隶书"/>
      </w:rPr>
    </w:pPr>
    <w:r>
      <w:rPr>
        <w:rFonts w:ascii="隶书" w:hAnsi="隶书" w:eastAsia="隶书" w:cs="隶书"/>
      </w:rPr>
      <w:drawing>
        <wp:anchor distT="0" distB="0" distL="114300" distR="114300" simplePos="0" relativeHeight="251661312" behindDoc="0" locked="0" layoutInCell="1" allowOverlap="1">
          <wp:simplePos x="0" y="0"/>
          <wp:positionH relativeFrom="column">
            <wp:posOffset>-85725</wp:posOffset>
          </wp:positionH>
          <wp:positionV relativeFrom="paragraph">
            <wp:posOffset>-344805</wp:posOffset>
          </wp:positionV>
          <wp:extent cx="699770" cy="586740"/>
          <wp:effectExtent l="0" t="0" r="0" b="381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9770" cy="586740"/>
                  </a:xfrm>
                  <a:prstGeom prst="rect">
                    <a:avLst/>
                  </a:prstGeom>
                  <a:noFill/>
                  <a:ln>
                    <a:noFill/>
                  </a:ln>
                </pic:spPr>
              </pic:pic>
            </a:graphicData>
          </a:graphic>
        </wp:anchor>
      </w:drawing>
    </w:r>
    <w:r>
      <w:rPr>
        <w:rFonts w:hint="eastAsia" w:ascii="隶书" w:hAnsi="隶书" w:eastAsia="隶书" w:cs="隶书"/>
        <w:sz w:val="21"/>
        <w:szCs w:val="21"/>
      </w:rPr>
      <w:t>邛崃市综合行政执法局数字化城市管理信息采集和处理业务市场化服务项目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9671E"/>
    <w:multiLevelType w:val="multilevel"/>
    <w:tmpl w:val="0689671E"/>
    <w:lvl w:ilvl="0" w:tentative="0">
      <w:start w:val="1"/>
      <w:numFmt w:val="chineseCountingThousand"/>
      <w:lvlText w:val="%1."/>
      <w:lvlJc w:val="left"/>
      <w:pPr>
        <w:tabs>
          <w:tab w:val="left" w:pos="567"/>
        </w:tabs>
        <w:ind w:left="567" w:hanging="425"/>
      </w:pPr>
      <w:rPr>
        <w:rFonts w:hint="eastAsia" w:ascii="黑体" w:eastAsia="黑体"/>
        <w:sz w:val="32"/>
        <w:szCs w:val="32"/>
      </w:rPr>
    </w:lvl>
    <w:lvl w:ilvl="1" w:tentative="0">
      <w:start w:val="1"/>
      <w:numFmt w:val="decimal"/>
      <w:pStyle w:val="63"/>
      <w:isLgl/>
      <w:lvlText w:val="%1.%2."/>
      <w:lvlJc w:val="left"/>
      <w:pPr>
        <w:tabs>
          <w:tab w:val="left" w:pos="709"/>
        </w:tabs>
        <w:ind w:left="709" w:hanging="567"/>
      </w:pPr>
      <w:rPr>
        <w:rFonts w:hint="eastAsia"/>
      </w:rPr>
    </w:lvl>
    <w:lvl w:ilvl="2" w:tentative="0">
      <w:start w:val="1"/>
      <w:numFmt w:val="decimal"/>
      <w:isLgl/>
      <w:lvlText w:val="%1.%2.%3."/>
      <w:lvlJc w:val="left"/>
      <w:pPr>
        <w:tabs>
          <w:tab w:val="left" w:pos="1419"/>
        </w:tabs>
        <w:ind w:left="1419" w:hanging="709"/>
      </w:pPr>
      <w:rPr>
        <w:rFonts w:hint="eastAsia"/>
      </w:rPr>
    </w:lvl>
    <w:lvl w:ilvl="3" w:tentative="0">
      <w:start w:val="1"/>
      <w:numFmt w:val="decimal"/>
      <w:isLgl/>
      <w:lvlText w:val="%1.%2.%3.%4."/>
      <w:lvlJc w:val="left"/>
      <w:pPr>
        <w:tabs>
          <w:tab w:val="left" w:pos="753"/>
        </w:tabs>
        <w:ind w:left="753" w:hanging="851"/>
      </w:pPr>
      <w:rPr>
        <w:rFonts w:hint="eastAsia"/>
      </w:rPr>
    </w:lvl>
    <w:lvl w:ilvl="4" w:tentative="0">
      <w:start w:val="1"/>
      <w:numFmt w:val="decimal"/>
      <w:lvlText w:val="%1.%2.%3.%4.%5."/>
      <w:lvlJc w:val="left"/>
      <w:pPr>
        <w:tabs>
          <w:tab w:val="left" w:pos="894"/>
        </w:tabs>
        <w:ind w:left="894" w:hanging="992"/>
      </w:pPr>
      <w:rPr>
        <w:rFonts w:hint="eastAsia"/>
      </w:rPr>
    </w:lvl>
    <w:lvl w:ilvl="5" w:tentative="0">
      <w:start w:val="1"/>
      <w:numFmt w:val="decimal"/>
      <w:lvlText w:val="%1.%2.%3.%4.%5.%6."/>
      <w:lvlJc w:val="left"/>
      <w:pPr>
        <w:tabs>
          <w:tab w:val="left" w:pos="1036"/>
        </w:tabs>
        <w:ind w:left="1036" w:hanging="1134"/>
      </w:pPr>
      <w:rPr>
        <w:rFonts w:hint="eastAsia"/>
      </w:rPr>
    </w:lvl>
    <w:lvl w:ilvl="6" w:tentative="0">
      <w:start w:val="1"/>
      <w:numFmt w:val="decimal"/>
      <w:lvlText w:val="%1.%2.%3.%4.%5.%6.%7."/>
      <w:lvlJc w:val="left"/>
      <w:pPr>
        <w:tabs>
          <w:tab w:val="left" w:pos="1178"/>
        </w:tabs>
        <w:ind w:left="1178" w:hanging="1276"/>
      </w:pPr>
      <w:rPr>
        <w:rFonts w:hint="eastAsia"/>
      </w:rPr>
    </w:lvl>
    <w:lvl w:ilvl="7" w:tentative="0">
      <w:start w:val="1"/>
      <w:numFmt w:val="decimal"/>
      <w:lvlText w:val="%1.%2.%3.%4.%5.%6.%7.%8."/>
      <w:lvlJc w:val="left"/>
      <w:pPr>
        <w:tabs>
          <w:tab w:val="left" w:pos="1320"/>
        </w:tabs>
        <w:ind w:left="1320" w:hanging="1418"/>
      </w:pPr>
      <w:rPr>
        <w:rFonts w:hint="eastAsia"/>
      </w:rPr>
    </w:lvl>
    <w:lvl w:ilvl="8" w:tentative="0">
      <w:start w:val="1"/>
      <w:numFmt w:val="decimal"/>
      <w:lvlText w:val="%1.%2.%3.%4.%5.%6.%7.%8.%9."/>
      <w:lvlJc w:val="left"/>
      <w:pPr>
        <w:tabs>
          <w:tab w:val="left" w:pos="1461"/>
        </w:tabs>
        <w:ind w:left="1461" w:hanging="1559"/>
      </w:pPr>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lang w:val="en-US"/>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17237C2"/>
    <w:multiLevelType w:val="multilevel"/>
    <w:tmpl w:val="517237C2"/>
    <w:lvl w:ilvl="0" w:tentative="0">
      <w:start w:val="1"/>
      <w:numFmt w:val="decimal"/>
      <w:lvlText w:val="%1"/>
      <w:lvlJc w:val="left"/>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72F919"/>
    <w:multiLevelType w:val="singleLevel"/>
    <w:tmpl w:val="5A72F919"/>
    <w:lvl w:ilvl="0" w:tentative="0">
      <w:start w:val="1"/>
      <w:numFmt w:val="decimal"/>
      <w:suff w:val="nothing"/>
      <w:lvlText w:val="（%1）"/>
      <w:lvlJc w:val="left"/>
    </w:lvl>
  </w:abstractNum>
  <w:abstractNum w:abstractNumId="4">
    <w:nsid w:val="5AAA1758"/>
    <w:multiLevelType w:val="singleLevel"/>
    <w:tmpl w:val="5AAA1758"/>
    <w:lvl w:ilvl="0" w:tentative="0">
      <w:start w:val="1"/>
      <w:numFmt w:val="decimal"/>
      <w:suff w:val="nothing"/>
      <w:lvlText w:val="%1、"/>
      <w:lvlJc w:val="left"/>
    </w:lvl>
  </w:abstractNum>
  <w:abstractNum w:abstractNumId="5">
    <w:nsid w:val="5AAA17F5"/>
    <w:multiLevelType w:val="singleLevel"/>
    <w:tmpl w:val="5AAA17F5"/>
    <w:lvl w:ilvl="0" w:tentative="0">
      <w:start w:val="5"/>
      <w:numFmt w:val="decimal"/>
      <w:suff w:val="nothing"/>
      <w:lvlText w:val="%1、"/>
      <w:lvlJc w:val="left"/>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08"/>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CC"/>
    <w:rsid w:val="0000003A"/>
    <w:rsid w:val="00001660"/>
    <w:rsid w:val="00004B89"/>
    <w:rsid w:val="0000753B"/>
    <w:rsid w:val="00013385"/>
    <w:rsid w:val="0001438F"/>
    <w:rsid w:val="00014483"/>
    <w:rsid w:val="00015AD4"/>
    <w:rsid w:val="0001627A"/>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4F57"/>
    <w:rsid w:val="00055034"/>
    <w:rsid w:val="00055C21"/>
    <w:rsid w:val="000567A9"/>
    <w:rsid w:val="00056979"/>
    <w:rsid w:val="00056F9B"/>
    <w:rsid w:val="00057397"/>
    <w:rsid w:val="00061109"/>
    <w:rsid w:val="00061464"/>
    <w:rsid w:val="0006243C"/>
    <w:rsid w:val="0006264C"/>
    <w:rsid w:val="000657E0"/>
    <w:rsid w:val="00065D75"/>
    <w:rsid w:val="0006634F"/>
    <w:rsid w:val="0006738D"/>
    <w:rsid w:val="000727F2"/>
    <w:rsid w:val="00072FDD"/>
    <w:rsid w:val="00073144"/>
    <w:rsid w:val="000731F0"/>
    <w:rsid w:val="000739F4"/>
    <w:rsid w:val="00073AE5"/>
    <w:rsid w:val="00073B7E"/>
    <w:rsid w:val="00074138"/>
    <w:rsid w:val="000743DD"/>
    <w:rsid w:val="0007588A"/>
    <w:rsid w:val="00075C4C"/>
    <w:rsid w:val="00077EF1"/>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A4E"/>
    <w:rsid w:val="000A1D01"/>
    <w:rsid w:val="000A2A84"/>
    <w:rsid w:val="000A3077"/>
    <w:rsid w:val="000A32C6"/>
    <w:rsid w:val="000A3D02"/>
    <w:rsid w:val="000A3D83"/>
    <w:rsid w:val="000A4196"/>
    <w:rsid w:val="000A42C7"/>
    <w:rsid w:val="000A4B2E"/>
    <w:rsid w:val="000A4EA5"/>
    <w:rsid w:val="000A5821"/>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1E67"/>
    <w:rsid w:val="000D319D"/>
    <w:rsid w:val="000D4073"/>
    <w:rsid w:val="000D4EFB"/>
    <w:rsid w:val="000D5213"/>
    <w:rsid w:val="000D705A"/>
    <w:rsid w:val="000D710C"/>
    <w:rsid w:val="000E06DD"/>
    <w:rsid w:val="000E0A69"/>
    <w:rsid w:val="000E0E50"/>
    <w:rsid w:val="000E28E6"/>
    <w:rsid w:val="000E4A3F"/>
    <w:rsid w:val="000E583C"/>
    <w:rsid w:val="000E6476"/>
    <w:rsid w:val="000E6CD7"/>
    <w:rsid w:val="000F1A9B"/>
    <w:rsid w:val="000F422B"/>
    <w:rsid w:val="000F45A9"/>
    <w:rsid w:val="000F6854"/>
    <w:rsid w:val="00100B7D"/>
    <w:rsid w:val="00100C85"/>
    <w:rsid w:val="00100FCD"/>
    <w:rsid w:val="0010167E"/>
    <w:rsid w:val="00101CB5"/>
    <w:rsid w:val="001033D2"/>
    <w:rsid w:val="00103BA3"/>
    <w:rsid w:val="00105014"/>
    <w:rsid w:val="00106298"/>
    <w:rsid w:val="0010666F"/>
    <w:rsid w:val="001114EB"/>
    <w:rsid w:val="001116C7"/>
    <w:rsid w:val="00111F41"/>
    <w:rsid w:val="00114DE5"/>
    <w:rsid w:val="00114EBA"/>
    <w:rsid w:val="001150A5"/>
    <w:rsid w:val="001212C2"/>
    <w:rsid w:val="0012276E"/>
    <w:rsid w:val="001239E7"/>
    <w:rsid w:val="00123E53"/>
    <w:rsid w:val="00123FC0"/>
    <w:rsid w:val="00126265"/>
    <w:rsid w:val="00126D87"/>
    <w:rsid w:val="00131F14"/>
    <w:rsid w:val="001329EB"/>
    <w:rsid w:val="001345C8"/>
    <w:rsid w:val="0013590F"/>
    <w:rsid w:val="00136485"/>
    <w:rsid w:val="00136D53"/>
    <w:rsid w:val="00137013"/>
    <w:rsid w:val="00141A54"/>
    <w:rsid w:val="00142470"/>
    <w:rsid w:val="001434A9"/>
    <w:rsid w:val="0014425B"/>
    <w:rsid w:val="001451F2"/>
    <w:rsid w:val="001464DD"/>
    <w:rsid w:val="001500D3"/>
    <w:rsid w:val="00150BFF"/>
    <w:rsid w:val="00151441"/>
    <w:rsid w:val="00152074"/>
    <w:rsid w:val="00153D4C"/>
    <w:rsid w:val="001550E7"/>
    <w:rsid w:val="0015550E"/>
    <w:rsid w:val="00156466"/>
    <w:rsid w:val="00156D44"/>
    <w:rsid w:val="001575FD"/>
    <w:rsid w:val="0016110B"/>
    <w:rsid w:val="00161AEF"/>
    <w:rsid w:val="00162078"/>
    <w:rsid w:val="0016341A"/>
    <w:rsid w:val="001648CD"/>
    <w:rsid w:val="001652F8"/>
    <w:rsid w:val="00165833"/>
    <w:rsid w:val="00167ED2"/>
    <w:rsid w:val="00170C8C"/>
    <w:rsid w:val="00173669"/>
    <w:rsid w:val="001746B3"/>
    <w:rsid w:val="00175AEB"/>
    <w:rsid w:val="001763A5"/>
    <w:rsid w:val="001836F5"/>
    <w:rsid w:val="0018382C"/>
    <w:rsid w:val="0018390E"/>
    <w:rsid w:val="00183F9B"/>
    <w:rsid w:val="00185A39"/>
    <w:rsid w:val="00185F2C"/>
    <w:rsid w:val="00186A43"/>
    <w:rsid w:val="00186AEA"/>
    <w:rsid w:val="00186E6A"/>
    <w:rsid w:val="0018751C"/>
    <w:rsid w:val="001876EA"/>
    <w:rsid w:val="00187C36"/>
    <w:rsid w:val="00187D88"/>
    <w:rsid w:val="0019037D"/>
    <w:rsid w:val="00193802"/>
    <w:rsid w:val="00193E56"/>
    <w:rsid w:val="001961BF"/>
    <w:rsid w:val="00196A94"/>
    <w:rsid w:val="00196B7A"/>
    <w:rsid w:val="001974BF"/>
    <w:rsid w:val="0019756E"/>
    <w:rsid w:val="001A097E"/>
    <w:rsid w:val="001A0BC1"/>
    <w:rsid w:val="001A0BE4"/>
    <w:rsid w:val="001A0EB0"/>
    <w:rsid w:val="001A20A4"/>
    <w:rsid w:val="001A4D34"/>
    <w:rsid w:val="001A67F1"/>
    <w:rsid w:val="001A761A"/>
    <w:rsid w:val="001B053F"/>
    <w:rsid w:val="001B1F0F"/>
    <w:rsid w:val="001B22E9"/>
    <w:rsid w:val="001B334A"/>
    <w:rsid w:val="001B3E78"/>
    <w:rsid w:val="001B4B2D"/>
    <w:rsid w:val="001B66C9"/>
    <w:rsid w:val="001B6C5B"/>
    <w:rsid w:val="001B7851"/>
    <w:rsid w:val="001B7D96"/>
    <w:rsid w:val="001C269B"/>
    <w:rsid w:val="001C2CAE"/>
    <w:rsid w:val="001C4A5B"/>
    <w:rsid w:val="001C5AF6"/>
    <w:rsid w:val="001D0F62"/>
    <w:rsid w:val="001D2331"/>
    <w:rsid w:val="001D30E3"/>
    <w:rsid w:val="001D3913"/>
    <w:rsid w:val="001D3B7C"/>
    <w:rsid w:val="001D5103"/>
    <w:rsid w:val="001E0521"/>
    <w:rsid w:val="001E0CB9"/>
    <w:rsid w:val="001E148C"/>
    <w:rsid w:val="001E3B05"/>
    <w:rsid w:val="001E5BB0"/>
    <w:rsid w:val="001E6EBF"/>
    <w:rsid w:val="001E6EC9"/>
    <w:rsid w:val="001E6EF9"/>
    <w:rsid w:val="001E7E31"/>
    <w:rsid w:val="001F035E"/>
    <w:rsid w:val="001F1E7D"/>
    <w:rsid w:val="001F2E29"/>
    <w:rsid w:val="001F492D"/>
    <w:rsid w:val="001F4AF0"/>
    <w:rsid w:val="001F64F5"/>
    <w:rsid w:val="001F79FC"/>
    <w:rsid w:val="001F7DBD"/>
    <w:rsid w:val="0020030E"/>
    <w:rsid w:val="00203068"/>
    <w:rsid w:val="00205336"/>
    <w:rsid w:val="00206D18"/>
    <w:rsid w:val="0021013C"/>
    <w:rsid w:val="0021025F"/>
    <w:rsid w:val="0021056A"/>
    <w:rsid w:val="002120D0"/>
    <w:rsid w:val="002125E6"/>
    <w:rsid w:val="00215638"/>
    <w:rsid w:val="0021668E"/>
    <w:rsid w:val="00220283"/>
    <w:rsid w:val="00224333"/>
    <w:rsid w:val="00224CDC"/>
    <w:rsid w:val="002270B2"/>
    <w:rsid w:val="00230304"/>
    <w:rsid w:val="00230D10"/>
    <w:rsid w:val="002320BC"/>
    <w:rsid w:val="002332EA"/>
    <w:rsid w:val="002342C9"/>
    <w:rsid w:val="00236A5C"/>
    <w:rsid w:val="0024186F"/>
    <w:rsid w:val="00241AF6"/>
    <w:rsid w:val="00242277"/>
    <w:rsid w:val="00244015"/>
    <w:rsid w:val="0024529B"/>
    <w:rsid w:val="00245E6C"/>
    <w:rsid w:val="002470DA"/>
    <w:rsid w:val="0025006F"/>
    <w:rsid w:val="00250692"/>
    <w:rsid w:val="002509D0"/>
    <w:rsid w:val="002510B3"/>
    <w:rsid w:val="00252DDB"/>
    <w:rsid w:val="0025359C"/>
    <w:rsid w:val="002543C9"/>
    <w:rsid w:val="00254F39"/>
    <w:rsid w:val="002554B2"/>
    <w:rsid w:val="00255D4B"/>
    <w:rsid w:val="00262A61"/>
    <w:rsid w:val="00263B9A"/>
    <w:rsid w:val="00265F18"/>
    <w:rsid w:val="002665C5"/>
    <w:rsid w:val="00266E06"/>
    <w:rsid w:val="002703E3"/>
    <w:rsid w:val="00272326"/>
    <w:rsid w:val="0027252A"/>
    <w:rsid w:val="00277B58"/>
    <w:rsid w:val="00280D8F"/>
    <w:rsid w:val="00281347"/>
    <w:rsid w:val="00283118"/>
    <w:rsid w:val="002857AA"/>
    <w:rsid w:val="0029048E"/>
    <w:rsid w:val="00290AEB"/>
    <w:rsid w:val="00291539"/>
    <w:rsid w:val="00292632"/>
    <w:rsid w:val="00294EBC"/>
    <w:rsid w:val="0029626C"/>
    <w:rsid w:val="00296510"/>
    <w:rsid w:val="00297B8B"/>
    <w:rsid w:val="00297D0C"/>
    <w:rsid w:val="002A0B7A"/>
    <w:rsid w:val="002A0C3D"/>
    <w:rsid w:val="002A0C82"/>
    <w:rsid w:val="002A1E56"/>
    <w:rsid w:val="002A3D39"/>
    <w:rsid w:val="002A4317"/>
    <w:rsid w:val="002A750B"/>
    <w:rsid w:val="002A7785"/>
    <w:rsid w:val="002A7D03"/>
    <w:rsid w:val="002B067F"/>
    <w:rsid w:val="002B06DF"/>
    <w:rsid w:val="002B3263"/>
    <w:rsid w:val="002B3FE9"/>
    <w:rsid w:val="002B410C"/>
    <w:rsid w:val="002B4920"/>
    <w:rsid w:val="002B5EB0"/>
    <w:rsid w:val="002B6D25"/>
    <w:rsid w:val="002B7D1D"/>
    <w:rsid w:val="002C0169"/>
    <w:rsid w:val="002C0185"/>
    <w:rsid w:val="002C04FA"/>
    <w:rsid w:val="002C0964"/>
    <w:rsid w:val="002C2154"/>
    <w:rsid w:val="002C3905"/>
    <w:rsid w:val="002C3D68"/>
    <w:rsid w:val="002C67ED"/>
    <w:rsid w:val="002C7DDE"/>
    <w:rsid w:val="002D2A3C"/>
    <w:rsid w:val="002D2EA2"/>
    <w:rsid w:val="002D44CE"/>
    <w:rsid w:val="002D5D7E"/>
    <w:rsid w:val="002D6435"/>
    <w:rsid w:val="002D73AE"/>
    <w:rsid w:val="002E1456"/>
    <w:rsid w:val="002E2016"/>
    <w:rsid w:val="002E2A43"/>
    <w:rsid w:val="002E372F"/>
    <w:rsid w:val="002E38A1"/>
    <w:rsid w:val="002E53EC"/>
    <w:rsid w:val="002E7B45"/>
    <w:rsid w:val="002F0D48"/>
    <w:rsid w:val="002F26FF"/>
    <w:rsid w:val="002F336A"/>
    <w:rsid w:val="002F3919"/>
    <w:rsid w:val="002F5A38"/>
    <w:rsid w:val="002F7453"/>
    <w:rsid w:val="002F797B"/>
    <w:rsid w:val="00301E24"/>
    <w:rsid w:val="00302602"/>
    <w:rsid w:val="0030262F"/>
    <w:rsid w:val="003027E7"/>
    <w:rsid w:val="00303C8B"/>
    <w:rsid w:val="00306772"/>
    <w:rsid w:val="00306A59"/>
    <w:rsid w:val="00306EED"/>
    <w:rsid w:val="00306F89"/>
    <w:rsid w:val="00310E1D"/>
    <w:rsid w:val="00311669"/>
    <w:rsid w:val="0031253B"/>
    <w:rsid w:val="003136A5"/>
    <w:rsid w:val="00314009"/>
    <w:rsid w:val="00315A72"/>
    <w:rsid w:val="0031795E"/>
    <w:rsid w:val="00321BCE"/>
    <w:rsid w:val="003230A0"/>
    <w:rsid w:val="00323546"/>
    <w:rsid w:val="00323A1E"/>
    <w:rsid w:val="0032451F"/>
    <w:rsid w:val="00324585"/>
    <w:rsid w:val="003245A1"/>
    <w:rsid w:val="00327B03"/>
    <w:rsid w:val="00327DE1"/>
    <w:rsid w:val="00331FC6"/>
    <w:rsid w:val="0033261E"/>
    <w:rsid w:val="003331D2"/>
    <w:rsid w:val="00333BEC"/>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2D15"/>
    <w:rsid w:val="00364647"/>
    <w:rsid w:val="0037029D"/>
    <w:rsid w:val="00370C8A"/>
    <w:rsid w:val="0037288F"/>
    <w:rsid w:val="00372E53"/>
    <w:rsid w:val="00373951"/>
    <w:rsid w:val="0037405F"/>
    <w:rsid w:val="00374782"/>
    <w:rsid w:val="00375F76"/>
    <w:rsid w:val="0037714C"/>
    <w:rsid w:val="00381E2B"/>
    <w:rsid w:val="00382A01"/>
    <w:rsid w:val="00383BFA"/>
    <w:rsid w:val="00384FE6"/>
    <w:rsid w:val="003851CE"/>
    <w:rsid w:val="00385AB6"/>
    <w:rsid w:val="00386948"/>
    <w:rsid w:val="00386C0A"/>
    <w:rsid w:val="00391AC8"/>
    <w:rsid w:val="003924E0"/>
    <w:rsid w:val="00394101"/>
    <w:rsid w:val="00395323"/>
    <w:rsid w:val="00395A66"/>
    <w:rsid w:val="0039654A"/>
    <w:rsid w:val="0039658A"/>
    <w:rsid w:val="00396685"/>
    <w:rsid w:val="00396DEE"/>
    <w:rsid w:val="003A15DF"/>
    <w:rsid w:val="003A44B1"/>
    <w:rsid w:val="003B032D"/>
    <w:rsid w:val="003B035C"/>
    <w:rsid w:val="003B07A2"/>
    <w:rsid w:val="003B0E74"/>
    <w:rsid w:val="003B0FE8"/>
    <w:rsid w:val="003B18B7"/>
    <w:rsid w:val="003B1AB5"/>
    <w:rsid w:val="003B1E98"/>
    <w:rsid w:val="003B22D9"/>
    <w:rsid w:val="003B3290"/>
    <w:rsid w:val="003B3755"/>
    <w:rsid w:val="003B4511"/>
    <w:rsid w:val="003B4C27"/>
    <w:rsid w:val="003B5E30"/>
    <w:rsid w:val="003B6F87"/>
    <w:rsid w:val="003C0054"/>
    <w:rsid w:val="003C027C"/>
    <w:rsid w:val="003C0851"/>
    <w:rsid w:val="003C14AB"/>
    <w:rsid w:val="003C1E7C"/>
    <w:rsid w:val="003C668B"/>
    <w:rsid w:val="003D1437"/>
    <w:rsid w:val="003D3B7C"/>
    <w:rsid w:val="003D629B"/>
    <w:rsid w:val="003D6FFA"/>
    <w:rsid w:val="003D72B6"/>
    <w:rsid w:val="003E1A9A"/>
    <w:rsid w:val="003E35F5"/>
    <w:rsid w:val="003E44CB"/>
    <w:rsid w:val="003E44F0"/>
    <w:rsid w:val="003E5C6E"/>
    <w:rsid w:val="003F2938"/>
    <w:rsid w:val="003F2AFF"/>
    <w:rsid w:val="003F3163"/>
    <w:rsid w:val="003F3CC4"/>
    <w:rsid w:val="003F4247"/>
    <w:rsid w:val="003F4F88"/>
    <w:rsid w:val="003F688C"/>
    <w:rsid w:val="003F7462"/>
    <w:rsid w:val="00400273"/>
    <w:rsid w:val="00400415"/>
    <w:rsid w:val="00400F8F"/>
    <w:rsid w:val="00401075"/>
    <w:rsid w:val="00403397"/>
    <w:rsid w:val="00404202"/>
    <w:rsid w:val="00405597"/>
    <w:rsid w:val="004056A0"/>
    <w:rsid w:val="00405BBC"/>
    <w:rsid w:val="004065C5"/>
    <w:rsid w:val="00406C2F"/>
    <w:rsid w:val="004071DA"/>
    <w:rsid w:val="00411EE5"/>
    <w:rsid w:val="0041210C"/>
    <w:rsid w:val="004142F8"/>
    <w:rsid w:val="00420862"/>
    <w:rsid w:val="00420880"/>
    <w:rsid w:val="00420F2F"/>
    <w:rsid w:val="00421009"/>
    <w:rsid w:val="004233F9"/>
    <w:rsid w:val="0042372A"/>
    <w:rsid w:val="004259A8"/>
    <w:rsid w:val="00425A12"/>
    <w:rsid w:val="00425ACB"/>
    <w:rsid w:val="00425E38"/>
    <w:rsid w:val="00427793"/>
    <w:rsid w:val="004277FA"/>
    <w:rsid w:val="00430020"/>
    <w:rsid w:val="004311CB"/>
    <w:rsid w:val="00431D7B"/>
    <w:rsid w:val="00432183"/>
    <w:rsid w:val="004347BF"/>
    <w:rsid w:val="00434EDB"/>
    <w:rsid w:val="00436108"/>
    <w:rsid w:val="004368E1"/>
    <w:rsid w:val="00436A1E"/>
    <w:rsid w:val="00437349"/>
    <w:rsid w:val="00437F68"/>
    <w:rsid w:val="00440010"/>
    <w:rsid w:val="00441245"/>
    <w:rsid w:val="00441691"/>
    <w:rsid w:val="00442203"/>
    <w:rsid w:val="00442832"/>
    <w:rsid w:val="0044404B"/>
    <w:rsid w:val="004440D6"/>
    <w:rsid w:val="00444373"/>
    <w:rsid w:val="0044451B"/>
    <w:rsid w:val="00446C23"/>
    <w:rsid w:val="00447598"/>
    <w:rsid w:val="00447BD4"/>
    <w:rsid w:val="00447F5D"/>
    <w:rsid w:val="00450C35"/>
    <w:rsid w:val="00451934"/>
    <w:rsid w:val="004522CD"/>
    <w:rsid w:val="00453DA2"/>
    <w:rsid w:val="00454103"/>
    <w:rsid w:val="00456646"/>
    <w:rsid w:val="004569C9"/>
    <w:rsid w:val="00457905"/>
    <w:rsid w:val="00457964"/>
    <w:rsid w:val="004643AF"/>
    <w:rsid w:val="00464C62"/>
    <w:rsid w:val="0046506E"/>
    <w:rsid w:val="00465A54"/>
    <w:rsid w:val="004677D8"/>
    <w:rsid w:val="00470E65"/>
    <w:rsid w:val="00470F6A"/>
    <w:rsid w:val="00472927"/>
    <w:rsid w:val="00474121"/>
    <w:rsid w:val="004746B7"/>
    <w:rsid w:val="00474A2F"/>
    <w:rsid w:val="004753B1"/>
    <w:rsid w:val="00476556"/>
    <w:rsid w:val="004766FC"/>
    <w:rsid w:val="00481A4F"/>
    <w:rsid w:val="004828AD"/>
    <w:rsid w:val="004837E8"/>
    <w:rsid w:val="004838FB"/>
    <w:rsid w:val="00484A3D"/>
    <w:rsid w:val="0048581D"/>
    <w:rsid w:val="004859C3"/>
    <w:rsid w:val="00485EDF"/>
    <w:rsid w:val="00490A1F"/>
    <w:rsid w:val="004924E2"/>
    <w:rsid w:val="0049282E"/>
    <w:rsid w:val="0049425B"/>
    <w:rsid w:val="0049428A"/>
    <w:rsid w:val="00494369"/>
    <w:rsid w:val="004967DA"/>
    <w:rsid w:val="00496D82"/>
    <w:rsid w:val="004A0510"/>
    <w:rsid w:val="004A11B8"/>
    <w:rsid w:val="004A228D"/>
    <w:rsid w:val="004A2B4F"/>
    <w:rsid w:val="004A529A"/>
    <w:rsid w:val="004A6596"/>
    <w:rsid w:val="004A7A3A"/>
    <w:rsid w:val="004A7ED0"/>
    <w:rsid w:val="004B1CB6"/>
    <w:rsid w:val="004B2E17"/>
    <w:rsid w:val="004B30CC"/>
    <w:rsid w:val="004B31F5"/>
    <w:rsid w:val="004B42C6"/>
    <w:rsid w:val="004B46E7"/>
    <w:rsid w:val="004B4E67"/>
    <w:rsid w:val="004B56B6"/>
    <w:rsid w:val="004B58B4"/>
    <w:rsid w:val="004B7913"/>
    <w:rsid w:val="004B7CD4"/>
    <w:rsid w:val="004B7EC7"/>
    <w:rsid w:val="004C1A76"/>
    <w:rsid w:val="004C2D18"/>
    <w:rsid w:val="004C3CC5"/>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0D95"/>
    <w:rsid w:val="004F2BA1"/>
    <w:rsid w:val="004F4A10"/>
    <w:rsid w:val="004F6640"/>
    <w:rsid w:val="004F6D0A"/>
    <w:rsid w:val="004F761A"/>
    <w:rsid w:val="004F7904"/>
    <w:rsid w:val="00500450"/>
    <w:rsid w:val="005023EE"/>
    <w:rsid w:val="00503CA8"/>
    <w:rsid w:val="005104C6"/>
    <w:rsid w:val="0051137A"/>
    <w:rsid w:val="00511759"/>
    <w:rsid w:val="00512F35"/>
    <w:rsid w:val="00515F84"/>
    <w:rsid w:val="00516884"/>
    <w:rsid w:val="00516E92"/>
    <w:rsid w:val="0051796C"/>
    <w:rsid w:val="0052149F"/>
    <w:rsid w:val="00522554"/>
    <w:rsid w:val="005234C2"/>
    <w:rsid w:val="00523933"/>
    <w:rsid w:val="00524715"/>
    <w:rsid w:val="00526ED9"/>
    <w:rsid w:val="005275DB"/>
    <w:rsid w:val="00532F98"/>
    <w:rsid w:val="0053406C"/>
    <w:rsid w:val="00534655"/>
    <w:rsid w:val="0053476C"/>
    <w:rsid w:val="0053654A"/>
    <w:rsid w:val="005376FB"/>
    <w:rsid w:val="005379D8"/>
    <w:rsid w:val="00537DFF"/>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692"/>
    <w:rsid w:val="00560776"/>
    <w:rsid w:val="005651F2"/>
    <w:rsid w:val="005661EB"/>
    <w:rsid w:val="00566BF2"/>
    <w:rsid w:val="00566C37"/>
    <w:rsid w:val="00567FBF"/>
    <w:rsid w:val="0057020D"/>
    <w:rsid w:val="005710B2"/>
    <w:rsid w:val="005715A3"/>
    <w:rsid w:val="00573BBC"/>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706"/>
    <w:rsid w:val="005B3818"/>
    <w:rsid w:val="005B3A59"/>
    <w:rsid w:val="005B479D"/>
    <w:rsid w:val="005B4B72"/>
    <w:rsid w:val="005B52B1"/>
    <w:rsid w:val="005B5AEB"/>
    <w:rsid w:val="005B7719"/>
    <w:rsid w:val="005C0748"/>
    <w:rsid w:val="005C08FA"/>
    <w:rsid w:val="005C0B06"/>
    <w:rsid w:val="005C10F2"/>
    <w:rsid w:val="005C16AF"/>
    <w:rsid w:val="005C3E17"/>
    <w:rsid w:val="005D1258"/>
    <w:rsid w:val="005D19CB"/>
    <w:rsid w:val="005D3DE5"/>
    <w:rsid w:val="005D691C"/>
    <w:rsid w:val="005D72BC"/>
    <w:rsid w:val="005D7BAC"/>
    <w:rsid w:val="005E0927"/>
    <w:rsid w:val="005E0EB8"/>
    <w:rsid w:val="005E1042"/>
    <w:rsid w:val="005E1FF0"/>
    <w:rsid w:val="005E290B"/>
    <w:rsid w:val="005E5AE3"/>
    <w:rsid w:val="005E61DB"/>
    <w:rsid w:val="005F038E"/>
    <w:rsid w:val="005F28F4"/>
    <w:rsid w:val="005F39AC"/>
    <w:rsid w:val="005F6B77"/>
    <w:rsid w:val="006003EE"/>
    <w:rsid w:val="00605067"/>
    <w:rsid w:val="00605136"/>
    <w:rsid w:val="0060560B"/>
    <w:rsid w:val="00606299"/>
    <w:rsid w:val="006063A3"/>
    <w:rsid w:val="00606464"/>
    <w:rsid w:val="00606E5C"/>
    <w:rsid w:val="0060753A"/>
    <w:rsid w:val="00610DCC"/>
    <w:rsid w:val="006120A9"/>
    <w:rsid w:val="00612C9E"/>
    <w:rsid w:val="0061315B"/>
    <w:rsid w:val="00614B06"/>
    <w:rsid w:val="00614DE1"/>
    <w:rsid w:val="006169D0"/>
    <w:rsid w:val="00616C8F"/>
    <w:rsid w:val="00616EAA"/>
    <w:rsid w:val="006173CA"/>
    <w:rsid w:val="00617F3B"/>
    <w:rsid w:val="0062060B"/>
    <w:rsid w:val="00621870"/>
    <w:rsid w:val="00626234"/>
    <w:rsid w:val="00627813"/>
    <w:rsid w:val="00630CE7"/>
    <w:rsid w:val="00633FA7"/>
    <w:rsid w:val="006345DE"/>
    <w:rsid w:val="00635F76"/>
    <w:rsid w:val="00640965"/>
    <w:rsid w:val="00643045"/>
    <w:rsid w:val="0064574D"/>
    <w:rsid w:val="00645C78"/>
    <w:rsid w:val="00646470"/>
    <w:rsid w:val="00646570"/>
    <w:rsid w:val="00650EC4"/>
    <w:rsid w:val="00652426"/>
    <w:rsid w:val="0065519A"/>
    <w:rsid w:val="00656660"/>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5C02"/>
    <w:rsid w:val="00676BDE"/>
    <w:rsid w:val="00677219"/>
    <w:rsid w:val="00677EB4"/>
    <w:rsid w:val="00680276"/>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2F68"/>
    <w:rsid w:val="00693260"/>
    <w:rsid w:val="00693EA5"/>
    <w:rsid w:val="006959B9"/>
    <w:rsid w:val="00695A3E"/>
    <w:rsid w:val="006975F4"/>
    <w:rsid w:val="006A0565"/>
    <w:rsid w:val="006A0C8E"/>
    <w:rsid w:val="006A2A06"/>
    <w:rsid w:val="006A357E"/>
    <w:rsid w:val="006A45A1"/>
    <w:rsid w:val="006A4E33"/>
    <w:rsid w:val="006A5CDB"/>
    <w:rsid w:val="006A66F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4C0E"/>
    <w:rsid w:val="006C5CD3"/>
    <w:rsid w:val="006C5DBB"/>
    <w:rsid w:val="006D1852"/>
    <w:rsid w:val="006D219E"/>
    <w:rsid w:val="006D2D0E"/>
    <w:rsid w:val="006D4E10"/>
    <w:rsid w:val="006D539E"/>
    <w:rsid w:val="006D634E"/>
    <w:rsid w:val="006D73C5"/>
    <w:rsid w:val="006D7AEE"/>
    <w:rsid w:val="006E0F4A"/>
    <w:rsid w:val="006E1B6F"/>
    <w:rsid w:val="006E280B"/>
    <w:rsid w:val="006E3610"/>
    <w:rsid w:val="006E3819"/>
    <w:rsid w:val="006E3977"/>
    <w:rsid w:val="006E3EA3"/>
    <w:rsid w:val="006E451F"/>
    <w:rsid w:val="006E57C3"/>
    <w:rsid w:val="006E5B7C"/>
    <w:rsid w:val="006E6C7E"/>
    <w:rsid w:val="006E7778"/>
    <w:rsid w:val="006F19FC"/>
    <w:rsid w:val="006F6F4D"/>
    <w:rsid w:val="006F72D9"/>
    <w:rsid w:val="006F74F3"/>
    <w:rsid w:val="00702BA6"/>
    <w:rsid w:val="00703E8A"/>
    <w:rsid w:val="00704355"/>
    <w:rsid w:val="00706597"/>
    <w:rsid w:val="007068BA"/>
    <w:rsid w:val="00707A0B"/>
    <w:rsid w:val="00707B59"/>
    <w:rsid w:val="0071004A"/>
    <w:rsid w:val="00710A76"/>
    <w:rsid w:val="0071161C"/>
    <w:rsid w:val="007133A8"/>
    <w:rsid w:val="00716115"/>
    <w:rsid w:val="00716B69"/>
    <w:rsid w:val="00721582"/>
    <w:rsid w:val="00721914"/>
    <w:rsid w:val="007236E6"/>
    <w:rsid w:val="00724271"/>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4AC"/>
    <w:rsid w:val="00746AD4"/>
    <w:rsid w:val="00750B7E"/>
    <w:rsid w:val="007515C4"/>
    <w:rsid w:val="007522B7"/>
    <w:rsid w:val="0075277D"/>
    <w:rsid w:val="00753728"/>
    <w:rsid w:val="00753D14"/>
    <w:rsid w:val="007540CC"/>
    <w:rsid w:val="00755A08"/>
    <w:rsid w:val="00756231"/>
    <w:rsid w:val="00757287"/>
    <w:rsid w:val="00757425"/>
    <w:rsid w:val="00757D3C"/>
    <w:rsid w:val="007604E9"/>
    <w:rsid w:val="00762181"/>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787"/>
    <w:rsid w:val="007818C9"/>
    <w:rsid w:val="00782920"/>
    <w:rsid w:val="007865E1"/>
    <w:rsid w:val="007866F2"/>
    <w:rsid w:val="00790706"/>
    <w:rsid w:val="007A009E"/>
    <w:rsid w:val="007A01F7"/>
    <w:rsid w:val="007A0F8C"/>
    <w:rsid w:val="007A13C0"/>
    <w:rsid w:val="007A4490"/>
    <w:rsid w:val="007A4EE5"/>
    <w:rsid w:val="007A4F56"/>
    <w:rsid w:val="007A7069"/>
    <w:rsid w:val="007A70D1"/>
    <w:rsid w:val="007A7526"/>
    <w:rsid w:val="007A7C36"/>
    <w:rsid w:val="007B0C17"/>
    <w:rsid w:val="007B100D"/>
    <w:rsid w:val="007B1854"/>
    <w:rsid w:val="007B2811"/>
    <w:rsid w:val="007B283B"/>
    <w:rsid w:val="007B29C3"/>
    <w:rsid w:val="007B2C1D"/>
    <w:rsid w:val="007B2F12"/>
    <w:rsid w:val="007B4385"/>
    <w:rsid w:val="007B5FA8"/>
    <w:rsid w:val="007B6900"/>
    <w:rsid w:val="007B7884"/>
    <w:rsid w:val="007C0294"/>
    <w:rsid w:val="007C12CC"/>
    <w:rsid w:val="007C307B"/>
    <w:rsid w:val="007C3B0F"/>
    <w:rsid w:val="007C3F13"/>
    <w:rsid w:val="007C563E"/>
    <w:rsid w:val="007C6221"/>
    <w:rsid w:val="007C6E92"/>
    <w:rsid w:val="007C717B"/>
    <w:rsid w:val="007C7F35"/>
    <w:rsid w:val="007D05B7"/>
    <w:rsid w:val="007D2B50"/>
    <w:rsid w:val="007D39E5"/>
    <w:rsid w:val="007D425A"/>
    <w:rsid w:val="007D54E9"/>
    <w:rsid w:val="007D5A19"/>
    <w:rsid w:val="007D6CCB"/>
    <w:rsid w:val="007E193D"/>
    <w:rsid w:val="007E31A6"/>
    <w:rsid w:val="007E37B8"/>
    <w:rsid w:val="007E4D85"/>
    <w:rsid w:val="007E4F90"/>
    <w:rsid w:val="007F00ED"/>
    <w:rsid w:val="007F2474"/>
    <w:rsid w:val="007F4AB1"/>
    <w:rsid w:val="007F5FAD"/>
    <w:rsid w:val="007F620C"/>
    <w:rsid w:val="008004E8"/>
    <w:rsid w:val="00801B05"/>
    <w:rsid w:val="008025D3"/>
    <w:rsid w:val="00805A0D"/>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BCD"/>
    <w:rsid w:val="00821FBB"/>
    <w:rsid w:val="00824840"/>
    <w:rsid w:val="008265AD"/>
    <w:rsid w:val="008266FA"/>
    <w:rsid w:val="00830484"/>
    <w:rsid w:val="00830A98"/>
    <w:rsid w:val="00831330"/>
    <w:rsid w:val="00831AF4"/>
    <w:rsid w:val="008324B6"/>
    <w:rsid w:val="00835E74"/>
    <w:rsid w:val="008373DB"/>
    <w:rsid w:val="00840B26"/>
    <w:rsid w:val="00840D1C"/>
    <w:rsid w:val="00841CA6"/>
    <w:rsid w:val="00843A50"/>
    <w:rsid w:val="00843C8D"/>
    <w:rsid w:val="00844361"/>
    <w:rsid w:val="00844A15"/>
    <w:rsid w:val="00845524"/>
    <w:rsid w:val="00847236"/>
    <w:rsid w:val="008510BC"/>
    <w:rsid w:val="00851335"/>
    <w:rsid w:val="00851377"/>
    <w:rsid w:val="00851D92"/>
    <w:rsid w:val="00852BC0"/>
    <w:rsid w:val="00852E08"/>
    <w:rsid w:val="00855B24"/>
    <w:rsid w:val="00855E84"/>
    <w:rsid w:val="00857EA5"/>
    <w:rsid w:val="00863B9D"/>
    <w:rsid w:val="00865464"/>
    <w:rsid w:val="0087069A"/>
    <w:rsid w:val="008708ED"/>
    <w:rsid w:val="0087135D"/>
    <w:rsid w:val="00874451"/>
    <w:rsid w:val="00875714"/>
    <w:rsid w:val="00877038"/>
    <w:rsid w:val="00877ABD"/>
    <w:rsid w:val="00880079"/>
    <w:rsid w:val="00882E0C"/>
    <w:rsid w:val="008834FA"/>
    <w:rsid w:val="008847F3"/>
    <w:rsid w:val="00885488"/>
    <w:rsid w:val="00887A37"/>
    <w:rsid w:val="008944AF"/>
    <w:rsid w:val="00894C21"/>
    <w:rsid w:val="0089587E"/>
    <w:rsid w:val="008970D5"/>
    <w:rsid w:val="00897B8F"/>
    <w:rsid w:val="008A0B92"/>
    <w:rsid w:val="008A1079"/>
    <w:rsid w:val="008A1875"/>
    <w:rsid w:val="008A3B23"/>
    <w:rsid w:val="008A3E63"/>
    <w:rsid w:val="008A4078"/>
    <w:rsid w:val="008A4DB2"/>
    <w:rsid w:val="008A51A9"/>
    <w:rsid w:val="008B0085"/>
    <w:rsid w:val="008B2B51"/>
    <w:rsid w:val="008B346E"/>
    <w:rsid w:val="008B4E2A"/>
    <w:rsid w:val="008B5136"/>
    <w:rsid w:val="008B68FD"/>
    <w:rsid w:val="008C2E09"/>
    <w:rsid w:val="008C32D0"/>
    <w:rsid w:val="008C3677"/>
    <w:rsid w:val="008C3970"/>
    <w:rsid w:val="008C48F8"/>
    <w:rsid w:val="008C764C"/>
    <w:rsid w:val="008D3C61"/>
    <w:rsid w:val="008D4DE9"/>
    <w:rsid w:val="008D6485"/>
    <w:rsid w:val="008D706D"/>
    <w:rsid w:val="008D746F"/>
    <w:rsid w:val="008E1ADA"/>
    <w:rsid w:val="008E1C35"/>
    <w:rsid w:val="008E2427"/>
    <w:rsid w:val="008E46ED"/>
    <w:rsid w:val="008E4D9D"/>
    <w:rsid w:val="008E5112"/>
    <w:rsid w:val="008E512D"/>
    <w:rsid w:val="008E5891"/>
    <w:rsid w:val="008E5F09"/>
    <w:rsid w:val="008F1A08"/>
    <w:rsid w:val="008F1DDA"/>
    <w:rsid w:val="008F2108"/>
    <w:rsid w:val="008F39B8"/>
    <w:rsid w:val="008F6B8B"/>
    <w:rsid w:val="00901748"/>
    <w:rsid w:val="009018E5"/>
    <w:rsid w:val="009019CF"/>
    <w:rsid w:val="00901C1E"/>
    <w:rsid w:val="00902515"/>
    <w:rsid w:val="00902CF4"/>
    <w:rsid w:val="0090478A"/>
    <w:rsid w:val="00905323"/>
    <w:rsid w:val="009056D3"/>
    <w:rsid w:val="00905841"/>
    <w:rsid w:val="00907D77"/>
    <w:rsid w:val="00910F99"/>
    <w:rsid w:val="00913ABE"/>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4EE5"/>
    <w:rsid w:val="00935053"/>
    <w:rsid w:val="0093520D"/>
    <w:rsid w:val="0093790A"/>
    <w:rsid w:val="009416AB"/>
    <w:rsid w:val="009417EE"/>
    <w:rsid w:val="0094278E"/>
    <w:rsid w:val="00945A9B"/>
    <w:rsid w:val="00951C0F"/>
    <w:rsid w:val="00953320"/>
    <w:rsid w:val="00954A78"/>
    <w:rsid w:val="0095527F"/>
    <w:rsid w:val="009618EC"/>
    <w:rsid w:val="00961BBD"/>
    <w:rsid w:val="0096295D"/>
    <w:rsid w:val="00964479"/>
    <w:rsid w:val="00966E0E"/>
    <w:rsid w:val="00970BD9"/>
    <w:rsid w:val="0097195D"/>
    <w:rsid w:val="009721A4"/>
    <w:rsid w:val="009727F4"/>
    <w:rsid w:val="00972975"/>
    <w:rsid w:val="00973D8C"/>
    <w:rsid w:val="00973F02"/>
    <w:rsid w:val="00973FEF"/>
    <w:rsid w:val="009752EE"/>
    <w:rsid w:val="00977F1D"/>
    <w:rsid w:val="009809FA"/>
    <w:rsid w:val="00980F49"/>
    <w:rsid w:val="009819AA"/>
    <w:rsid w:val="0098255F"/>
    <w:rsid w:val="0098261E"/>
    <w:rsid w:val="00982994"/>
    <w:rsid w:val="009844F8"/>
    <w:rsid w:val="00985A25"/>
    <w:rsid w:val="0098675D"/>
    <w:rsid w:val="00987223"/>
    <w:rsid w:val="00987F3D"/>
    <w:rsid w:val="00990E2B"/>
    <w:rsid w:val="009912D5"/>
    <w:rsid w:val="0099514C"/>
    <w:rsid w:val="00996CE3"/>
    <w:rsid w:val="00996F0B"/>
    <w:rsid w:val="009A07C7"/>
    <w:rsid w:val="009A0958"/>
    <w:rsid w:val="009A1FE1"/>
    <w:rsid w:val="009A4BD5"/>
    <w:rsid w:val="009A4DCC"/>
    <w:rsid w:val="009A4F79"/>
    <w:rsid w:val="009A5259"/>
    <w:rsid w:val="009A636B"/>
    <w:rsid w:val="009A6CC8"/>
    <w:rsid w:val="009A7416"/>
    <w:rsid w:val="009B2A40"/>
    <w:rsid w:val="009B2A72"/>
    <w:rsid w:val="009B520F"/>
    <w:rsid w:val="009B6998"/>
    <w:rsid w:val="009C17E0"/>
    <w:rsid w:val="009C1F4D"/>
    <w:rsid w:val="009C21A8"/>
    <w:rsid w:val="009C2ADE"/>
    <w:rsid w:val="009C58FC"/>
    <w:rsid w:val="009D004A"/>
    <w:rsid w:val="009D0197"/>
    <w:rsid w:val="009D19AE"/>
    <w:rsid w:val="009D1FA3"/>
    <w:rsid w:val="009D2805"/>
    <w:rsid w:val="009D3609"/>
    <w:rsid w:val="009D7994"/>
    <w:rsid w:val="009E1712"/>
    <w:rsid w:val="009E3963"/>
    <w:rsid w:val="009E46B1"/>
    <w:rsid w:val="009E7AD9"/>
    <w:rsid w:val="009F0F9A"/>
    <w:rsid w:val="009F1FFE"/>
    <w:rsid w:val="009F31B2"/>
    <w:rsid w:val="009F60DF"/>
    <w:rsid w:val="00A030EA"/>
    <w:rsid w:val="00A03AE2"/>
    <w:rsid w:val="00A04C2D"/>
    <w:rsid w:val="00A04DCF"/>
    <w:rsid w:val="00A066BF"/>
    <w:rsid w:val="00A068EB"/>
    <w:rsid w:val="00A075EF"/>
    <w:rsid w:val="00A0776C"/>
    <w:rsid w:val="00A100BF"/>
    <w:rsid w:val="00A11CF8"/>
    <w:rsid w:val="00A1253B"/>
    <w:rsid w:val="00A130E7"/>
    <w:rsid w:val="00A168E6"/>
    <w:rsid w:val="00A17860"/>
    <w:rsid w:val="00A21609"/>
    <w:rsid w:val="00A22389"/>
    <w:rsid w:val="00A24090"/>
    <w:rsid w:val="00A24C7F"/>
    <w:rsid w:val="00A25539"/>
    <w:rsid w:val="00A2587A"/>
    <w:rsid w:val="00A25B97"/>
    <w:rsid w:val="00A25BBF"/>
    <w:rsid w:val="00A310D6"/>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490"/>
    <w:rsid w:val="00A51A79"/>
    <w:rsid w:val="00A53021"/>
    <w:rsid w:val="00A53A2C"/>
    <w:rsid w:val="00A55909"/>
    <w:rsid w:val="00A56417"/>
    <w:rsid w:val="00A57448"/>
    <w:rsid w:val="00A602B5"/>
    <w:rsid w:val="00A602B9"/>
    <w:rsid w:val="00A63D93"/>
    <w:rsid w:val="00A65E47"/>
    <w:rsid w:val="00A66011"/>
    <w:rsid w:val="00A67908"/>
    <w:rsid w:val="00A708C8"/>
    <w:rsid w:val="00A70FA9"/>
    <w:rsid w:val="00A71F21"/>
    <w:rsid w:val="00A71F44"/>
    <w:rsid w:val="00A737B7"/>
    <w:rsid w:val="00A77774"/>
    <w:rsid w:val="00A80B2E"/>
    <w:rsid w:val="00A83804"/>
    <w:rsid w:val="00A8489E"/>
    <w:rsid w:val="00A85309"/>
    <w:rsid w:val="00A858C3"/>
    <w:rsid w:val="00A85B90"/>
    <w:rsid w:val="00A87F68"/>
    <w:rsid w:val="00A93D75"/>
    <w:rsid w:val="00A93F81"/>
    <w:rsid w:val="00A94340"/>
    <w:rsid w:val="00A94B75"/>
    <w:rsid w:val="00A94EC9"/>
    <w:rsid w:val="00A97321"/>
    <w:rsid w:val="00A978E5"/>
    <w:rsid w:val="00A97A3B"/>
    <w:rsid w:val="00A97EBF"/>
    <w:rsid w:val="00AA04F9"/>
    <w:rsid w:val="00AA0889"/>
    <w:rsid w:val="00AA13B3"/>
    <w:rsid w:val="00AA2246"/>
    <w:rsid w:val="00AA23BA"/>
    <w:rsid w:val="00AA2CE2"/>
    <w:rsid w:val="00AA2E6B"/>
    <w:rsid w:val="00AA4870"/>
    <w:rsid w:val="00AA4A6D"/>
    <w:rsid w:val="00AA7784"/>
    <w:rsid w:val="00AB11E7"/>
    <w:rsid w:val="00AB455F"/>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4E3"/>
    <w:rsid w:val="00AD4766"/>
    <w:rsid w:val="00AD50EB"/>
    <w:rsid w:val="00AD64A4"/>
    <w:rsid w:val="00AD7006"/>
    <w:rsid w:val="00AD7780"/>
    <w:rsid w:val="00AD7820"/>
    <w:rsid w:val="00AE02D5"/>
    <w:rsid w:val="00AE0937"/>
    <w:rsid w:val="00AE0A4F"/>
    <w:rsid w:val="00AE2347"/>
    <w:rsid w:val="00AE2A71"/>
    <w:rsid w:val="00AE3109"/>
    <w:rsid w:val="00AE32A1"/>
    <w:rsid w:val="00AE4129"/>
    <w:rsid w:val="00AE529B"/>
    <w:rsid w:val="00AE649F"/>
    <w:rsid w:val="00AE6AD3"/>
    <w:rsid w:val="00AE6E76"/>
    <w:rsid w:val="00AF02AD"/>
    <w:rsid w:val="00AF291D"/>
    <w:rsid w:val="00AF30DD"/>
    <w:rsid w:val="00AF4EC1"/>
    <w:rsid w:val="00AF581C"/>
    <w:rsid w:val="00AF5C27"/>
    <w:rsid w:val="00AF613D"/>
    <w:rsid w:val="00AF6A7E"/>
    <w:rsid w:val="00AF7313"/>
    <w:rsid w:val="00B01D46"/>
    <w:rsid w:val="00B03F3C"/>
    <w:rsid w:val="00B04E09"/>
    <w:rsid w:val="00B05431"/>
    <w:rsid w:val="00B06E7A"/>
    <w:rsid w:val="00B104CE"/>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780"/>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9572D"/>
    <w:rsid w:val="00B95FD1"/>
    <w:rsid w:val="00BA0C3F"/>
    <w:rsid w:val="00BA13B5"/>
    <w:rsid w:val="00BA3397"/>
    <w:rsid w:val="00BA606B"/>
    <w:rsid w:val="00BA78B0"/>
    <w:rsid w:val="00BA7DC3"/>
    <w:rsid w:val="00BB249D"/>
    <w:rsid w:val="00BB3ECA"/>
    <w:rsid w:val="00BB40B8"/>
    <w:rsid w:val="00BB471C"/>
    <w:rsid w:val="00BB561E"/>
    <w:rsid w:val="00BB5F5E"/>
    <w:rsid w:val="00BB61E6"/>
    <w:rsid w:val="00BB62E8"/>
    <w:rsid w:val="00BB6415"/>
    <w:rsid w:val="00BB767C"/>
    <w:rsid w:val="00BC045F"/>
    <w:rsid w:val="00BC06C3"/>
    <w:rsid w:val="00BC12CD"/>
    <w:rsid w:val="00BC144C"/>
    <w:rsid w:val="00BC1890"/>
    <w:rsid w:val="00BC229A"/>
    <w:rsid w:val="00BC3097"/>
    <w:rsid w:val="00BC5C4C"/>
    <w:rsid w:val="00BC6B83"/>
    <w:rsid w:val="00BC6DAD"/>
    <w:rsid w:val="00BD1145"/>
    <w:rsid w:val="00BD2189"/>
    <w:rsid w:val="00BD2936"/>
    <w:rsid w:val="00BD40F4"/>
    <w:rsid w:val="00BD5772"/>
    <w:rsid w:val="00BD7565"/>
    <w:rsid w:val="00BE0BFB"/>
    <w:rsid w:val="00BE174B"/>
    <w:rsid w:val="00BE224A"/>
    <w:rsid w:val="00BE2848"/>
    <w:rsid w:val="00BE2A3D"/>
    <w:rsid w:val="00BE2FED"/>
    <w:rsid w:val="00BE3611"/>
    <w:rsid w:val="00BE5099"/>
    <w:rsid w:val="00BE53FC"/>
    <w:rsid w:val="00BE573A"/>
    <w:rsid w:val="00BE63C9"/>
    <w:rsid w:val="00BE79E6"/>
    <w:rsid w:val="00BF26EE"/>
    <w:rsid w:val="00BF2A99"/>
    <w:rsid w:val="00BF2B76"/>
    <w:rsid w:val="00BF303D"/>
    <w:rsid w:val="00BF3D62"/>
    <w:rsid w:val="00BF3FF4"/>
    <w:rsid w:val="00BF5678"/>
    <w:rsid w:val="00BF6518"/>
    <w:rsid w:val="00BF7FC6"/>
    <w:rsid w:val="00C01DA2"/>
    <w:rsid w:val="00C020F9"/>
    <w:rsid w:val="00C0383A"/>
    <w:rsid w:val="00C03EC5"/>
    <w:rsid w:val="00C03FE1"/>
    <w:rsid w:val="00C048B1"/>
    <w:rsid w:val="00C0523B"/>
    <w:rsid w:val="00C0539B"/>
    <w:rsid w:val="00C056EE"/>
    <w:rsid w:val="00C05C8D"/>
    <w:rsid w:val="00C07477"/>
    <w:rsid w:val="00C07B14"/>
    <w:rsid w:val="00C1063E"/>
    <w:rsid w:val="00C10713"/>
    <w:rsid w:val="00C109CE"/>
    <w:rsid w:val="00C117A2"/>
    <w:rsid w:val="00C131FB"/>
    <w:rsid w:val="00C15341"/>
    <w:rsid w:val="00C20E1F"/>
    <w:rsid w:val="00C21258"/>
    <w:rsid w:val="00C215E3"/>
    <w:rsid w:val="00C22E94"/>
    <w:rsid w:val="00C234E3"/>
    <w:rsid w:val="00C23B4B"/>
    <w:rsid w:val="00C373F5"/>
    <w:rsid w:val="00C37429"/>
    <w:rsid w:val="00C411E5"/>
    <w:rsid w:val="00C417AD"/>
    <w:rsid w:val="00C417E1"/>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6749A"/>
    <w:rsid w:val="00C67D8A"/>
    <w:rsid w:val="00C708E8"/>
    <w:rsid w:val="00C7141C"/>
    <w:rsid w:val="00C7317A"/>
    <w:rsid w:val="00C74A60"/>
    <w:rsid w:val="00C76857"/>
    <w:rsid w:val="00C77B4B"/>
    <w:rsid w:val="00C77FD7"/>
    <w:rsid w:val="00C81ECD"/>
    <w:rsid w:val="00C827FF"/>
    <w:rsid w:val="00C83E4F"/>
    <w:rsid w:val="00C84EF2"/>
    <w:rsid w:val="00C8530A"/>
    <w:rsid w:val="00C8595C"/>
    <w:rsid w:val="00C87CFF"/>
    <w:rsid w:val="00C91EEF"/>
    <w:rsid w:val="00C92B04"/>
    <w:rsid w:val="00C93302"/>
    <w:rsid w:val="00C936EE"/>
    <w:rsid w:val="00C937F2"/>
    <w:rsid w:val="00C96476"/>
    <w:rsid w:val="00C966E5"/>
    <w:rsid w:val="00C9746E"/>
    <w:rsid w:val="00C97D01"/>
    <w:rsid w:val="00CA07E5"/>
    <w:rsid w:val="00CA124D"/>
    <w:rsid w:val="00CA2F94"/>
    <w:rsid w:val="00CA5643"/>
    <w:rsid w:val="00CA5CD4"/>
    <w:rsid w:val="00CB0602"/>
    <w:rsid w:val="00CB2706"/>
    <w:rsid w:val="00CB32BB"/>
    <w:rsid w:val="00CB53CC"/>
    <w:rsid w:val="00CB77AC"/>
    <w:rsid w:val="00CC0168"/>
    <w:rsid w:val="00CC02B6"/>
    <w:rsid w:val="00CC038A"/>
    <w:rsid w:val="00CC0515"/>
    <w:rsid w:val="00CC0BA0"/>
    <w:rsid w:val="00CC1EDA"/>
    <w:rsid w:val="00CC218A"/>
    <w:rsid w:val="00CC3230"/>
    <w:rsid w:val="00CC4394"/>
    <w:rsid w:val="00CC44AE"/>
    <w:rsid w:val="00CC5671"/>
    <w:rsid w:val="00CC5A37"/>
    <w:rsid w:val="00CC68F4"/>
    <w:rsid w:val="00CC770D"/>
    <w:rsid w:val="00CD1E58"/>
    <w:rsid w:val="00CD27D3"/>
    <w:rsid w:val="00CD3365"/>
    <w:rsid w:val="00CD471E"/>
    <w:rsid w:val="00CD482D"/>
    <w:rsid w:val="00CD48A2"/>
    <w:rsid w:val="00CD4FD0"/>
    <w:rsid w:val="00CD5B81"/>
    <w:rsid w:val="00CD7A14"/>
    <w:rsid w:val="00CE0582"/>
    <w:rsid w:val="00CE0E5F"/>
    <w:rsid w:val="00CE2DEB"/>
    <w:rsid w:val="00CE2FCF"/>
    <w:rsid w:val="00CE318F"/>
    <w:rsid w:val="00CE352C"/>
    <w:rsid w:val="00CE5461"/>
    <w:rsid w:val="00CE6B10"/>
    <w:rsid w:val="00CE6C4B"/>
    <w:rsid w:val="00CF2A3C"/>
    <w:rsid w:val="00CF36D8"/>
    <w:rsid w:val="00CF43C8"/>
    <w:rsid w:val="00CF46D5"/>
    <w:rsid w:val="00CF4736"/>
    <w:rsid w:val="00CF7ADB"/>
    <w:rsid w:val="00D0033D"/>
    <w:rsid w:val="00D006B0"/>
    <w:rsid w:val="00D00BE4"/>
    <w:rsid w:val="00D02560"/>
    <w:rsid w:val="00D04121"/>
    <w:rsid w:val="00D051E7"/>
    <w:rsid w:val="00D05DD3"/>
    <w:rsid w:val="00D0793C"/>
    <w:rsid w:val="00D07B26"/>
    <w:rsid w:val="00D111BB"/>
    <w:rsid w:val="00D1246C"/>
    <w:rsid w:val="00D12661"/>
    <w:rsid w:val="00D13E2C"/>
    <w:rsid w:val="00D146B1"/>
    <w:rsid w:val="00D14FF6"/>
    <w:rsid w:val="00D155CF"/>
    <w:rsid w:val="00D1702F"/>
    <w:rsid w:val="00D170E0"/>
    <w:rsid w:val="00D20EEA"/>
    <w:rsid w:val="00D229F0"/>
    <w:rsid w:val="00D23291"/>
    <w:rsid w:val="00D23533"/>
    <w:rsid w:val="00D24B67"/>
    <w:rsid w:val="00D25C54"/>
    <w:rsid w:val="00D3330B"/>
    <w:rsid w:val="00D338D3"/>
    <w:rsid w:val="00D33F03"/>
    <w:rsid w:val="00D35F36"/>
    <w:rsid w:val="00D360C6"/>
    <w:rsid w:val="00D365C0"/>
    <w:rsid w:val="00D367F1"/>
    <w:rsid w:val="00D40B48"/>
    <w:rsid w:val="00D42D0E"/>
    <w:rsid w:val="00D43269"/>
    <w:rsid w:val="00D445DC"/>
    <w:rsid w:val="00D45287"/>
    <w:rsid w:val="00D4573D"/>
    <w:rsid w:val="00D46EEB"/>
    <w:rsid w:val="00D475F2"/>
    <w:rsid w:val="00D4768A"/>
    <w:rsid w:val="00D50683"/>
    <w:rsid w:val="00D5094C"/>
    <w:rsid w:val="00D519FF"/>
    <w:rsid w:val="00D52523"/>
    <w:rsid w:val="00D5274E"/>
    <w:rsid w:val="00D53693"/>
    <w:rsid w:val="00D537A9"/>
    <w:rsid w:val="00D547AC"/>
    <w:rsid w:val="00D5490A"/>
    <w:rsid w:val="00D55357"/>
    <w:rsid w:val="00D557A0"/>
    <w:rsid w:val="00D562FA"/>
    <w:rsid w:val="00D567DE"/>
    <w:rsid w:val="00D60A82"/>
    <w:rsid w:val="00D61169"/>
    <w:rsid w:val="00D6122C"/>
    <w:rsid w:val="00D61DD5"/>
    <w:rsid w:val="00D61F43"/>
    <w:rsid w:val="00D638FF"/>
    <w:rsid w:val="00D63F07"/>
    <w:rsid w:val="00D654F0"/>
    <w:rsid w:val="00D664D5"/>
    <w:rsid w:val="00D66C0A"/>
    <w:rsid w:val="00D72E5B"/>
    <w:rsid w:val="00D7319C"/>
    <w:rsid w:val="00D745C3"/>
    <w:rsid w:val="00D75D8E"/>
    <w:rsid w:val="00D763DE"/>
    <w:rsid w:val="00D76FB8"/>
    <w:rsid w:val="00D8053D"/>
    <w:rsid w:val="00D80B1A"/>
    <w:rsid w:val="00D82754"/>
    <w:rsid w:val="00D828CE"/>
    <w:rsid w:val="00D82F67"/>
    <w:rsid w:val="00D83F62"/>
    <w:rsid w:val="00D85C6B"/>
    <w:rsid w:val="00D86DAC"/>
    <w:rsid w:val="00D90AE9"/>
    <w:rsid w:val="00D90CAD"/>
    <w:rsid w:val="00D92A5C"/>
    <w:rsid w:val="00D92F34"/>
    <w:rsid w:val="00D93747"/>
    <w:rsid w:val="00D93C60"/>
    <w:rsid w:val="00D93FCC"/>
    <w:rsid w:val="00D94365"/>
    <w:rsid w:val="00D94388"/>
    <w:rsid w:val="00D94393"/>
    <w:rsid w:val="00D944F3"/>
    <w:rsid w:val="00D9534E"/>
    <w:rsid w:val="00D955F1"/>
    <w:rsid w:val="00DA2236"/>
    <w:rsid w:val="00DA2485"/>
    <w:rsid w:val="00DA3338"/>
    <w:rsid w:val="00DA4B47"/>
    <w:rsid w:val="00DA4D00"/>
    <w:rsid w:val="00DA5FB5"/>
    <w:rsid w:val="00DB307A"/>
    <w:rsid w:val="00DB430C"/>
    <w:rsid w:val="00DB441E"/>
    <w:rsid w:val="00DB4DA3"/>
    <w:rsid w:val="00DB55A2"/>
    <w:rsid w:val="00DB7E3C"/>
    <w:rsid w:val="00DC1D5F"/>
    <w:rsid w:val="00DC1FAD"/>
    <w:rsid w:val="00DC20F9"/>
    <w:rsid w:val="00DC21B7"/>
    <w:rsid w:val="00DC46F4"/>
    <w:rsid w:val="00DC56ED"/>
    <w:rsid w:val="00DC7F24"/>
    <w:rsid w:val="00DD08E7"/>
    <w:rsid w:val="00DD52DE"/>
    <w:rsid w:val="00DD6328"/>
    <w:rsid w:val="00DD68BE"/>
    <w:rsid w:val="00DD7107"/>
    <w:rsid w:val="00DE28C4"/>
    <w:rsid w:val="00DE29A8"/>
    <w:rsid w:val="00DE4225"/>
    <w:rsid w:val="00DE6006"/>
    <w:rsid w:val="00DE7A57"/>
    <w:rsid w:val="00DE7C1A"/>
    <w:rsid w:val="00DF1251"/>
    <w:rsid w:val="00DF1747"/>
    <w:rsid w:val="00DF43EA"/>
    <w:rsid w:val="00DF52BC"/>
    <w:rsid w:val="00DF5FB1"/>
    <w:rsid w:val="00DF7393"/>
    <w:rsid w:val="00DF781B"/>
    <w:rsid w:val="00DF7AF6"/>
    <w:rsid w:val="00E009F3"/>
    <w:rsid w:val="00E00DDC"/>
    <w:rsid w:val="00E01FA7"/>
    <w:rsid w:val="00E0274F"/>
    <w:rsid w:val="00E0432C"/>
    <w:rsid w:val="00E048E5"/>
    <w:rsid w:val="00E061F3"/>
    <w:rsid w:val="00E06B9A"/>
    <w:rsid w:val="00E07B26"/>
    <w:rsid w:val="00E07F21"/>
    <w:rsid w:val="00E126C6"/>
    <w:rsid w:val="00E13FB6"/>
    <w:rsid w:val="00E1487A"/>
    <w:rsid w:val="00E16DAB"/>
    <w:rsid w:val="00E2006D"/>
    <w:rsid w:val="00E21577"/>
    <w:rsid w:val="00E22756"/>
    <w:rsid w:val="00E25815"/>
    <w:rsid w:val="00E25A3E"/>
    <w:rsid w:val="00E26F1D"/>
    <w:rsid w:val="00E3140F"/>
    <w:rsid w:val="00E31A51"/>
    <w:rsid w:val="00E31F6C"/>
    <w:rsid w:val="00E3275C"/>
    <w:rsid w:val="00E33021"/>
    <w:rsid w:val="00E33342"/>
    <w:rsid w:val="00E3344C"/>
    <w:rsid w:val="00E339BB"/>
    <w:rsid w:val="00E35CC1"/>
    <w:rsid w:val="00E40738"/>
    <w:rsid w:val="00E40946"/>
    <w:rsid w:val="00E40B01"/>
    <w:rsid w:val="00E4286C"/>
    <w:rsid w:val="00E42B06"/>
    <w:rsid w:val="00E42FF9"/>
    <w:rsid w:val="00E43C88"/>
    <w:rsid w:val="00E45060"/>
    <w:rsid w:val="00E4695B"/>
    <w:rsid w:val="00E47625"/>
    <w:rsid w:val="00E535E4"/>
    <w:rsid w:val="00E543F8"/>
    <w:rsid w:val="00E55DD8"/>
    <w:rsid w:val="00E56F4D"/>
    <w:rsid w:val="00E57F4D"/>
    <w:rsid w:val="00E57FDC"/>
    <w:rsid w:val="00E600D2"/>
    <w:rsid w:val="00E60ED6"/>
    <w:rsid w:val="00E60F36"/>
    <w:rsid w:val="00E611C6"/>
    <w:rsid w:val="00E62037"/>
    <w:rsid w:val="00E64DD1"/>
    <w:rsid w:val="00E65773"/>
    <w:rsid w:val="00E65A5A"/>
    <w:rsid w:val="00E65DE3"/>
    <w:rsid w:val="00E669F4"/>
    <w:rsid w:val="00E66BA4"/>
    <w:rsid w:val="00E6719F"/>
    <w:rsid w:val="00E726D8"/>
    <w:rsid w:val="00E72946"/>
    <w:rsid w:val="00E757E9"/>
    <w:rsid w:val="00E7593F"/>
    <w:rsid w:val="00E75F78"/>
    <w:rsid w:val="00E768F9"/>
    <w:rsid w:val="00E771B0"/>
    <w:rsid w:val="00E77F8A"/>
    <w:rsid w:val="00E8219A"/>
    <w:rsid w:val="00E829CB"/>
    <w:rsid w:val="00E83AF6"/>
    <w:rsid w:val="00E8554D"/>
    <w:rsid w:val="00E859F8"/>
    <w:rsid w:val="00E875DE"/>
    <w:rsid w:val="00E87C9B"/>
    <w:rsid w:val="00E9018A"/>
    <w:rsid w:val="00E91DFC"/>
    <w:rsid w:val="00E93090"/>
    <w:rsid w:val="00E93C34"/>
    <w:rsid w:val="00E94DF8"/>
    <w:rsid w:val="00EA2BCA"/>
    <w:rsid w:val="00EA2C71"/>
    <w:rsid w:val="00EA502E"/>
    <w:rsid w:val="00EA5232"/>
    <w:rsid w:val="00EA5C2B"/>
    <w:rsid w:val="00EA7E56"/>
    <w:rsid w:val="00EB021E"/>
    <w:rsid w:val="00EB05ED"/>
    <w:rsid w:val="00EB0C4B"/>
    <w:rsid w:val="00EB0DC4"/>
    <w:rsid w:val="00EB0E52"/>
    <w:rsid w:val="00EB1F77"/>
    <w:rsid w:val="00EB506E"/>
    <w:rsid w:val="00EC1EE3"/>
    <w:rsid w:val="00EC63A7"/>
    <w:rsid w:val="00ED0D35"/>
    <w:rsid w:val="00ED1E20"/>
    <w:rsid w:val="00ED2FB9"/>
    <w:rsid w:val="00ED3BF5"/>
    <w:rsid w:val="00ED4147"/>
    <w:rsid w:val="00ED4C47"/>
    <w:rsid w:val="00ED4D48"/>
    <w:rsid w:val="00ED70B4"/>
    <w:rsid w:val="00EE11CC"/>
    <w:rsid w:val="00EE2A0A"/>
    <w:rsid w:val="00EE2DA4"/>
    <w:rsid w:val="00EE4005"/>
    <w:rsid w:val="00EE4C19"/>
    <w:rsid w:val="00EE774B"/>
    <w:rsid w:val="00EF170D"/>
    <w:rsid w:val="00EF19BF"/>
    <w:rsid w:val="00EF23AC"/>
    <w:rsid w:val="00EF33E9"/>
    <w:rsid w:val="00EF36DF"/>
    <w:rsid w:val="00EF65C0"/>
    <w:rsid w:val="00EF7534"/>
    <w:rsid w:val="00EF7B68"/>
    <w:rsid w:val="00EF7BA0"/>
    <w:rsid w:val="00EF7C43"/>
    <w:rsid w:val="00F00972"/>
    <w:rsid w:val="00F01B20"/>
    <w:rsid w:val="00F02047"/>
    <w:rsid w:val="00F02B9B"/>
    <w:rsid w:val="00F032DB"/>
    <w:rsid w:val="00F0346D"/>
    <w:rsid w:val="00F03CD9"/>
    <w:rsid w:val="00F03F58"/>
    <w:rsid w:val="00F05511"/>
    <w:rsid w:val="00F06C75"/>
    <w:rsid w:val="00F0711F"/>
    <w:rsid w:val="00F0715F"/>
    <w:rsid w:val="00F071CD"/>
    <w:rsid w:val="00F07489"/>
    <w:rsid w:val="00F103F2"/>
    <w:rsid w:val="00F10C7F"/>
    <w:rsid w:val="00F11612"/>
    <w:rsid w:val="00F12062"/>
    <w:rsid w:val="00F124CD"/>
    <w:rsid w:val="00F124FC"/>
    <w:rsid w:val="00F127FE"/>
    <w:rsid w:val="00F1285B"/>
    <w:rsid w:val="00F14DB7"/>
    <w:rsid w:val="00F14F6E"/>
    <w:rsid w:val="00F16A0D"/>
    <w:rsid w:val="00F20994"/>
    <w:rsid w:val="00F22C96"/>
    <w:rsid w:val="00F22ED1"/>
    <w:rsid w:val="00F24866"/>
    <w:rsid w:val="00F27225"/>
    <w:rsid w:val="00F30258"/>
    <w:rsid w:val="00F313E2"/>
    <w:rsid w:val="00F3290E"/>
    <w:rsid w:val="00F32B6C"/>
    <w:rsid w:val="00F361E3"/>
    <w:rsid w:val="00F37C85"/>
    <w:rsid w:val="00F401C9"/>
    <w:rsid w:val="00F407D9"/>
    <w:rsid w:val="00F41844"/>
    <w:rsid w:val="00F41C77"/>
    <w:rsid w:val="00F41E24"/>
    <w:rsid w:val="00F45A66"/>
    <w:rsid w:val="00F47A5A"/>
    <w:rsid w:val="00F47EE2"/>
    <w:rsid w:val="00F504AD"/>
    <w:rsid w:val="00F51460"/>
    <w:rsid w:val="00F53276"/>
    <w:rsid w:val="00F54D7F"/>
    <w:rsid w:val="00F54EDC"/>
    <w:rsid w:val="00F60526"/>
    <w:rsid w:val="00F6130E"/>
    <w:rsid w:val="00F61EE2"/>
    <w:rsid w:val="00F625E4"/>
    <w:rsid w:val="00F64FAB"/>
    <w:rsid w:val="00F65ADE"/>
    <w:rsid w:val="00F65C61"/>
    <w:rsid w:val="00F66421"/>
    <w:rsid w:val="00F67759"/>
    <w:rsid w:val="00F72551"/>
    <w:rsid w:val="00F73484"/>
    <w:rsid w:val="00F748B8"/>
    <w:rsid w:val="00F75069"/>
    <w:rsid w:val="00F75123"/>
    <w:rsid w:val="00F76090"/>
    <w:rsid w:val="00F77A80"/>
    <w:rsid w:val="00F77C8E"/>
    <w:rsid w:val="00F80464"/>
    <w:rsid w:val="00F8342E"/>
    <w:rsid w:val="00F83D75"/>
    <w:rsid w:val="00F8456D"/>
    <w:rsid w:val="00F847C6"/>
    <w:rsid w:val="00F86986"/>
    <w:rsid w:val="00F87CC2"/>
    <w:rsid w:val="00F9063F"/>
    <w:rsid w:val="00F90B81"/>
    <w:rsid w:val="00F912E2"/>
    <w:rsid w:val="00F91DD6"/>
    <w:rsid w:val="00F9528D"/>
    <w:rsid w:val="00F95C3C"/>
    <w:rsid w:val="00F96261"/>
    <w:rsid w:val="00F96F2A"/>
    <w:rsid w:val="00F97818"/>
    <w:rsid w:val="00FA1933"/>
    <w:rsid w:val="00FA271F"/>
    <w:rsid w:val="00FA5C81"/>
    <w:rsid w:val="00FA7E7A"/>
    <w:rsid w:val="00FB0E0E"/>
    <w:rsid w:val="00FB0EBD"/>
    <w:rsid w:val="00FB151D"/>
    <w:rsid w:val="00FB25B7"/>
    <w:rsid w:val="00FB27E2"/>
    <w:rsid w:val="00FB2D03"/>
    <w:rsid w:val="00FB3AD4"/>
    <w:rsid w:val="00FB44B4"/>
    <w:rsid w:val="00FB44BC"/>
    <w:rsid w:val="00FB4F69"/>
    <w:rsid w:val="00FB5BC6"/>
    <w:rsid w:val="00FB73F4"/>
    <w:rsid w:val="00FB784C"/>
    <w:rsid w:val="00FC1A86"/>
    <w:rsid w:val="00FC271A"/>
    <w:rsid w:val="00FC3252"/>
    <w:rsid w:val="00FC4899"/>
    <w:rsid w:val="00FC4A60"/>
    <w:rsid w:val="00FC532D"/>
    <w:rsid w:val="00FC6809"/>
    <w:rsid w:val="00FC6B43"/>
    <w:rsid w:val="00FC7074"/>
    <w:rsid w:val="00FD035C"/>
    <w:rsid w:val="00FD0FA7"/>
    <w:rsid w:val="00FD3C9B"/>
    <w:rsid w:val="00FD3D7B"/>
    <w:rsid w:val="00FD4076"/>
    <w:rsid w:val="00FD4A7D"/>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0FF7F56"/>
    <w:rsid w:val="010E6D34"/>
    <w:rsid w:val="014903F9"/>
    <w:rsid w:val="01C67325"/>
    <w:rsid w:val="01E053F1"/>
    <w:rsid w:val="01FD3EB8"/>
    <w:rsid w:val="020177B4"/>
    <w:rsid w:val="020C0328"/>
    <w:rsid w:val="020D5957"/>
    <w:rsid w:val="02124566"/>
    <w:rsid w:val="02237557"/>
    <w:rsid w:val="026435F6"/>
    <w:rsid w:val="026776A4"/>
    <w:rsid w:val="026A46B5"/>
    <w:rsid w:val="028E67B6"/>
    <w:rsid w:val="02A24DD0"/>
    <w:rsid w:val="02DC372B"/>
    <w:rsid w:val="02E91C0F"/>
    <w:rsid w:val="02F04AEB"/>
    <w:rsid w:val="02FE6E47"/>
    <w:rsid w:val="03201B75"/>
    <w:rsid w:val="0326079A"/>
    <w:rsid w:val="032F6F2C"/>
    <w:rsid w:val="034A31D4"/>
    <w:rsid w:val="03542C0B"/>
    <w:rsid w:val="03880AFC"/>
    <w:rsid w:val="038F23AD"/>
    <w:rsid w:val="039C4A75"/>
    <w:rsid w:val="03A7050F"/>
    <w:rsid w:val="03BB024E"/>
    <w:rsid w:val="03BF187E"/>
    <w:rsid w:val="03CB2589"/>
    <w:rsid w:val="03ED38CB"/>
    <w:rsid w:val="04001AA6"/>
    <w:rsid w:val="04006717"/>
    <w:rsid w:val="04354458"/>
    <w:rsid w:val="04506235"/>
    <w:rsid w:val="045752D5"/>
    <w:rsid w:val="04841B7B"/>
    <w:rsid w:val="05274886"/>
    <w:rsid w:val="052C3DC2"/>
    <w:rsid w:val="05330099"/>
    <w:rsid w:val="053522AC"/>
    <w:rsid w:val="05356F9B"/>
    <w:rsid w:val="0552727C"/>
    <w:rsid w:val="055E7AD0"/>
    <w:rsid w:val="056105E9"/>
    <w:rsid w:val="056173FF"/>
    <w:rsid w:val="0591166C"/>
    <w:rsid w:val="05984056"/>
    <w:rsid w:val="05A756C2"/>
    <w:rsid w:val="05B7149D"/>
    <w:rsid w:val="05DA1620"/>
    <w:rsid w:val="05F04A85"/>
    <w:rsid w:val="05F24D0F"/>
    <w:rsid w:val="06166C59"/>
    <w:rsid w:val="061F79BA"/>
    <w:rsid w:val="0627615B"/>
    <w:rsid w:val="062A6E9E"/>
    <w:rsid w:val="063D06F0"/>
    <w:rsid w:val="063D4CF5"/>
    <w:rsid w:val="064A5BF1"/>
    <w:rsid w:val="065B5641"/>
    <w:rsid w:val="06A1517A"/>
    <w:rsid w:val="06C91A4C"/>
    <w:rsid w:val="06DB6A44"/>
    <w:rsid w:val="07614072"/>
    <w:rsid w:val="077836E6"/>
    <w:rsid w:val="07AB2899"/>
    <w:rsid w:val="08167917"/>
    <w:rsid w:val="081C0276"/>
    <w:rsid w:val="08336FB0"/>
    <w:rsid w:val="08440AF0"/>
    <w:rsid w:val="0847245C"/>
    <w:rsid w:val="08490712"/>
    <w:rsid w:val="085D355B"/>
    <w:rsid w:val="08654F0F"/>
    <w:rsid w:val="089B2637"/>
    <w:rsid w:val="08C25186"/>
    <w:rsid w:val="08D64D25"/>
    <w:rsid w:val="08D75FE3"/>
    <w:rsid w:val="09035CD5"/>
    <w:rsid w:val="09045BDB"/>
    <w:rsid w:val="09067CF9"/>
    <w:rsid w:val="0911612D"/>
    <w:rsid w:val="09230506"/>
    <w:rsid w:val="092A2FCE"/>
    <w:rsid w:val="092B2642"/>
    <w:rsid w:val="09342B19"/>
    <w:rsid w:val="0960477C"/>
    <w:rsid w:val="09742D76"/>
    <w:rsid w:val="09930134"/>
    <w:rsid w:val="099311C7"/>
    <w:rsid w:val="09EF30DB"/>
    <w:rsid w:val="09F40A58"/>
    <w:rsid w:val="09FC0872"/>
    <w:rsid w:val="0A1D4262"/>
    <w:rsid w:val="0A361032"/>
    <w:rsid w:val="0A3A2531"/>
    <w:rsid w:val="0A481597"/>
    <w:rsid w:val="0A4F0371"/>
    <w:rsid w:val="0AD46E82"/>
    <w:rsid w:val="0B204F7C"/>
    <w:rsid w:val="0B3502E7"/>
    <w:rsid w:val="0B3A12C6"/>
    <w:rsid w:val="0B4637BE"/>
    <w:rsid w:val="0B587788"/>
    <w:rsid w:val="0B5F2982"/>
    <w:rsid w:val="0B5F5DBF"/>
    <w:rsid w:val="0B747DDE"/>
    <w:rsid w:val="0B863BB0"/>
    <w:rsid w:val="0B90631E"/>
    <w:rsid w:val="0B90723E"/>
    <w:rsid w:val="0BFC145C"/>
    <w:rsid w:val="0C2B4001"/>
    <w:rsid w:val="0C4D2604"/>
    <w:rsid w:val="0C527AF3"/>
    <w:rsid w:val="0C623750"/>
    <w:rsid w:val="0C9E37E6"/>
    <w:rsid w:val="0CC25CCC"/>
    <w:rsid w:val="0CC779B0"/>
    <w:rsid w:val="0CCE5410"/>
    <w:rsid w:val="0CDC2FDC"/>
    <w:rsid w:val="0CE12F34"/>
    <w:rsid w:val="0CE86C02"/>
    <w:rsid w:val="0CED4803"/>
    <w:rsid w:val="0D060D5E"/>
    <w:rsid w:val="0D3006E3"/>
    <w:rsid w:val="0D662A27"/>
    <w:rsid w:val="0D7627D1"/>
    <w:rsid w:val="0D924B40"/>
    <w:rsid w:val="0D930AD9"/>
    <w:rsid w:val="0DB52069"/>
    <w:rsid w:val="0DB64438"/>
    <w:rsid w:val="0DC524F0"/>
    <w:rsid w:val="0DEB29A3"/>
    <w:rsid w:val="0DFC1D83"/>
    <w:rsid w:val="0E120F3A"/>
    <w:rsid w:val="0E1E386C"/>
    <w:rsid w:val="0E444F58"/>
    <w:rsid w:val="0E6A6959"/>
    <w:rsid w:val="0E823DB3"/>
    <w:rsid w:val="0E867004"/>
    <w:rsid w:val="0EB22052"/>
    <w:rsid w:val="0ECE29F6"/>
    <w:rsid w:val="0F094B7B"/>
    <w:rsid w:val="0F0C4E7B"/>
    <w:rsid w:val="0F287427"/>
    <w:rsid w:val="0F3A5892"/>
    <w:rsid w:val="0F400D0D"/>
    <w:rsid w:val="0F4D5A89"/>
    <w:rsid w:val="0F5E4541"/>
    <w:rsid w:val="0F681C5F"/>
    <w:rsid w:val="0F986B08"/>
    <w:rsid w:val="0FA17C81"/>
    <w:rsid w:val="0FA47D8D"/>
    <w:rsid w:val="0FDA15FE"/>
    <w:rsid w:val="0FF87F7E"/>
    <w:rsid w:val="100145F8"/>
    <w:rsid w:val="101E2A39"/>
    <w:rsid w:val="10207C03"/>
    <w:rsid w:val="10235424"/>
    <w:rsid w:val="103E1B95"/>
    <w:rsid w:val="106603AB"/>
    <w:rsid w:val="107E17B7"/>
    <w:rsid w:val="10824646"/>
    <w:rsid w:val="10973A9C"/>
    <w:rsid w:val="10AE4FCD"/>
    <w:rsid w:val="10EB7EA2"/>
    <w:rsid w:val="111F65A2"/>
    <w:rsid w:val="11376513"/>
    <w:rsid w:val="118A391A"/>
    <w:rsid w:val="118C0436"/>
    <w:rsid w:val="118C0A82"/>
    <w:rsid w:val="1198570A"/>
    <w:rsid w:val="119C2FAD"/>
    <w:rsid w:val="11C11FFB"/>
    <w:rsid w:val="11CC04D1"/>
    <w:rsid w:val="11F87B65"/>
    <w:rsid w:val="12050D55"/>
    <w:rsid w:val="12447FFF"/>
    <w:rsid w:val="125016B7"/>
    <w:rsid w:val="12533CCA"/>
    <w:rsid w:val="1267479B"/>
    <w:rsid w:val="12B52700"/>
    <w:rsid w:val="12E06B38"/>
    <w:rsid w:val="13287D5B"/>
    <w:rsid w:val="13341918"/>
    <w:rsid w:val="13375AC8"/>
    <w:rsid w:val="13445F5C"/>
    <w:rsid w:val="137876F0"/>
    <w:rsid w:val="138C3BA9"/>
    <w:rsid w:val="13AF3D65"/>
    <w:rsid w:val="13B97FA2"/>
    <w:rsid w:val="13F15301"/>
    <w:rsid w:val="140B0167"/>
    <w:rsid w:val="14BC044C"/>
    <w:rsid w:val="14C31775"/>
    <w:rsid w:val="14C42E33"/>
    <w:rsid w:val="1502023F"/>
    <w:rsid w:val="150729F7"/>
    <w:rsid w:val="15386086"/>
    <w:rsid w:val="15704EF6"/>
    <w:rsid w:val="15AC22B0"/>
    <w:rsid w:val="15CF0A9A"/>
    <w:rsid w:val="15DA2536"/>
    <w:rsid w:val="1621145D"/>
    <w:rsid w:val="162B0014"/>
    <w:rsid w:val="164546CF"/>
    <w:rsid w:val="16553FD6"/>
    <w:rsid w:val="1675728A"/>
    <w:rsid w:val="167830FB"/>
    <w:rsid w:val="167F5CEF"/>
    <w:rsid w:val="16BB3D1A"/>
    <w:rsid w:val="16BE5118"/>
    <w:rsid w:val="16C267DE"/>
    <w:rsid w:val="16FD33EB"/>
    <w:rsid w:val="1701398E"/>
    <w:rsid w:val="170D612B"/>
    <w:rsid w:val="1711341D"/>
    <w:rsid w:val="173B57F8"/>
    <w:rsid w:val="17667968"/>
    <w:rsid w:val="17977688"/>
    <w:rsid w:val="17A52FE0"/>
    <w:rsid w:val="17BC17EA"/>
    <w:rsid w:val="17E21151"/>
    <w:rsid w:val="180151FD"/>
    <w:rsid w:val="181C1455"/>
    <w:rsid w:val="1848672A"/>
    <w:rsid w:val="1852538E"/>
    <w:rsid w:val="185642A3"/>
    <w:rsid w:val="18720671"/>
    <w:rsid w:val="18812D7C"/>
    <w:rsid w:val="18885C38"/>
    <w:rsid w:val="18905BFE"/>
    <w:rsid w:val="18A13D45"/>
    <w:rsid w:val="18F460B2"/>
    <w:rsid w:val="19660F78"/>
    <w:rsid w:val="196E503F"/>
    <w:rsid w:val="19A154BA"/>
    <w:rsid w:val="19CC068C"/>
    <w:rsid w:val="19FE64C6"/>
    <w:rsid w:val="1A06092B"/>
    <w:rsid w:val="1A162B3E"/>
    <w:rsid w:val="1A207BB8"/>
    <w:rsid w:val="1A452A3C"/>
    <w:rsid w:val="1A4A476F"/>
    <w:rsid w:val="1A5474FF"/>
    <w:rsid w:val="1A5576F2"/>
    <w:rsid w:val="1A6505DF"/>
    <w:rsid w:val="1A784BC1"/>
    <w:rsid w:val="1AA94532"/>
    <w:rsid w:val="1AD0669D"/>
    <w:rsid w:val="1AF50F33"/>
    <w:rsid w:val="1AF515B3"/>
    <w:rsid w:val="1B2741C2"/>
    <w:rsid w:val="1B391768"/>
    <w:rsid w:val="1B777563"/>
    <w:rsid w:val="1B7E6441"/>
    <w:rsid w:val="1B822906"/>
    <w:rsid w:val="1B9F42CA"/>
    <w:rsid w:val="1BA40DA4"/>
    <w:rsid w:val="1BAE74E7"/>
    <w:rsid w:val="1BB33A7D"/>
    <w:rsid w:val="1BDA7ABD"/>
    <w:rsid w:val="1BE45425"/>
    <w:rsid w:val="1BE71BCE"/>
    <w:rsid w:val="1C0616D1"/>
    <w:rsid w:val="1C0717F9"/>
    <w:rsid w:val="1C313074"/>
    <w:rsid w:val="1C322833"/>
    <w:rsid w:val="1C3826E2"/>
    <w:rsid w:val="1C3C7C2A"/>
    <w:rsid w:val="1C3E7085"/>
    <w:rsid w:val="1C6D53E6"/>
    <w:rsid w:val="1CA34FA4"/>
    <w:rsid w:val="1CBE644C"/>
    <w:rsid w:val="1CC55646"/>
    <w:rsid w:val="1CCA1A19"/>
    <w:rsid w:val="1CD20CA2"/>
    <w:rsid w:val="1D045795"/>
    <w:rsid w:val="1D0755F4"/>
    <w:rsid w:val="1D0A61B0"/>
    <w:rsid w:val="1D1120F1"/>
    <w:rsid w:val="1D156A9F"/>
    <w:rsid w:val="1D232721"/>
    <w:rsid w:val="1D316738"/>
    <w:rsid w:val="1D394389"/>
    <w:rsid w:val="1D4E5D23"/>
    <w:rsid w:val="1D655790"/>
    <w:rsid w:val="1D6D625D"/>
    <w:rsid w:val="1D7C2894"/>
    <w:rsid w:val="1D7D0D28"/>
    <w:rsid w:val="1D9808A1"/>
    <w:rsid w:val="1DC12E8E"/>
    <w:rsid w:val="1DDB484B"/>
    <w:rsid w:val="1DF761AC"/>
    <w:rsid w:val="1DFE7BD5"/>
    <w:rsid w:val="1DFF7D6A"/>
    <w:rsid w:val="1E0B6F30"/>
    <w:rsid w:val="1E0B72AA"/>
    <w:rsid w:val="1E7A662A"/>
    <w:rsid w:val="1EAB72FF"/>
    <w:rsid w:val="1EC86370"/>
    <w:rsid w:val="1F0526DE"/>
    <w:rsid w:val="1F092265"/>
    <w:rsid w:val="1F5F118E"/>
    <w:rsid w:val="1F9F33DF"/>
    <w:rsid w:val="2011136A"/>
    <w:rsid w:val="202F49F2"/>
    <w:rsid w:val="20376A17"/>
    <w:rsid w:val="20435328"/>
    <w:rsid w:val="20505046"/>
    <w:rsid w:val="207009DA"/>
    <w:rsid w:val="20935E83"/>
    <w:rsid w:val="20A52965"/>
    <w:rsid w:val="20AE73F4"/>
    <w:rsid w:val="20B42BD9"/>
    <w:rsid w:val="20BC2E50"/>
    <w:rsid w:val="20DF446B"/>
    <w:rsid w:val="20F31062"/>
    <w:rsid w:val="21090409"/>
    <w:rsid w:val="21175510"/>
    <w:rsid w:val="215F43C0"/>
    <w:rsid w:val="218B1A8C"/>
    <w:rsid w:val="21AB17E9"/>
    <w:rsid w:val="21BA1F4F"/>
    <w:rsid w:val="21C34F1A"/>
    <w:rsid w:val="21CE41D0"/>
    <w:rsid w:val="21CF1583"/>
    <w:rsid w:val="22147335"/>
    <w:rsid w:val="22182F0A"/>
    <w:rsid w:val="221A72AA"/>
    <w:rsid w:val="223B58B1"/>
    <w:rsid w:val="225A28D5"/>
    <w:rsid w:val="22640B41"/>
    <w:rsid w:val="227E7FD9"/>
    <w:rsid w:val="22821606"/>
    <w:rsid w:val="22C95FBF"/>
    <w:rsid w:val="22EB2C9D"/>
    <w:rsid w:val="22F93624"/>
    <w:rsid w:val="23092E25"/>
    <w:rsid w:val="23194F56"/>
    <w:rsid w:val="23411FF9"/>
    <w:rsid w:val="235A5828"/>
    <w:rsid w:val="23733AE8"/>
    <w:rsid w:val="237B7BF0"/>
    <w:rsid w:val="23BC1286"/>
    <w:rsid w:val="23BD3A7B"/>
    <w:rsid w:val="23C36A64"/>
    <w:rsid w:val="23CE316E"/>
    <w:rsid w:val="23D2268D"/>
    <w:rsid w:val="23F054E3"/>
    <w:rsid w:val="23F16350"/>
    <w:rsid w:val="24091565"/>
    <w:rsid w:val="244C76BC"/>
    <w:rsid w:val="246607A8"/>
    <w:rsid w:val="24664989"/>
    <w:rsid w:val="248B3896"/>
    <w:rsid w:val="24A14280"/>
    <w:rsid w:val="24D87B8E"/>
    <w:rsid w:val="24DA362E"/>
    <w:rsid w:val="250E43C5"/>
    <w:rsid w:val="25174CA8"/>
    <w:rsid w:val="25572C0C"/>
    <w:rsid w:val="25770400"/>
    <w:rsid w:val="25C703A5"/>
    <w:rsid w:val="26050A77"/>
    <w:rsid w:val="2625345C"/>
    <w:rsid w:val="263B06DB"/>
    <w:rsid w:val="26476E9C"/>
    <w:rsid w:val="26516D47"/>
    <w:rsid w:val="26C87949"/>
    <w:rsid w:val="26D96E41"/>
    <w:rsid w:val="26F222D8"/>
    <w:rsid w:val="27013D15"/>
    <w:rsid w:val="27027DFD"/>
    <w:rsid w:val="27213DC0"/>
    <w:rsid w:val="27280AF8"/>
    <w:rsid w:val="27295718"/>
    <w:rsid w:val="27831B69"/>
    <w:rsid w:val="27846750"/>
    <w:rsid w:val="27B170EB"/>
    <w:rsid w:val="27B34C0D"/>
    <w:rsid w:val="27D369CB"/>
    <w:rsid w:val="28650952"/>
    <w:rsid w:val="28847104"/>
    <w:rsid w:val="2888202C"/>
    <w:rsid w:val="289E0137"/>
    <w:rsid w:val="28A67BAC"/>
    <w:rsid w:val="28F36ADC"/>
    <w:rsid w:val="294649D5"/>
    <w:rsid w:val="295B40E1"/>
    <w:rsid w:val="29640927"/>
    <w:rsid w:val="298207CE"/>
    <w:rsid w:val="29920884"/>
    <w:rsid w:val="29A633E9"/>
    <w:rsid w:val="29B308FA"/>
    <w:rsid w:val="29C93ADC"/>
    <w:rsid w:val="29CC6CDD"/>
    <w:rsid w:val="29D6323A"/>
    <w:rsid w:val="29FB4F1F"/>
    <w:rsid w:val="2A0024E0"/>
    <w:rsid w:val="2A003682"/>
    <w:rsid w:val="2A0C014D"/>
    <w:rsid w:val="2A1E125D"/>
    <w:rsid w:val="2A26533D"/>
    <w:rsid w:val="2A3A584B"/>
    <w:rsid w:val="2A3D6977"/>
    <w:rsid w:val="2A4B7B51"/>
    <w:rsid w:val="2A7D3CA5"/>
    <w:rsid w:val="2A8D0D94"/>
    <w:rsid w:val="2A9A60E1"/>
    <w:rsid w:val="2AA21687"/>
    <w:rsid w:val="2AC34862"/>
    <w:rsid w:val="2B05533A"/>
    <w:rsid w:val="2B1B6103"/>
    <w:rsid w:val="2B1C5690"/>
    <w:rsid w:val="2B1D2AD9"/>
    <w:rsid w:val="2B1E14EA"/>
    <w:rsid w:val="2B22564C"/>
    <w:rsid w:val="2B2F7853"/>
    <w:rsid w:val="2B590214"/>
    <w:rsid w:val="2B735821"/>
    <w:rsid w:val="2BBC63FF"/>
    <w:rsid w:val="2BCF38CD"/>
    <w:rsid w:val="2BD05D30"/>
    <w:rsid w:val="2BE20962"/>
    <w:rsid w:val="2BF214A0"/>
    <w:rsid w:val="2BFD341A"/>
    <w:rsid w:val="2C6F073C"/>
    <w:rsid w:val="2C7C39AF"/>
    <w:rsid w:val="2C9C4581"/>
    <w:rsid w:val="2C9C7D63"/>
    <w:rsid w:val="2CA84471"/>
    <w:rsid w:val="2CAB4F86"/>
    <w:rsid w:val="2CBF28BA"/>
    <w:rsid w:val="2CC2015A"/>
    <w:rsid w:val="2CCB05B9"/>
    <w:rsid w:val="2CDD4C69"/>
    <w:rsid w:val="2CE84CDE"/>
    <w:rsid w:val="2CEC20FD"/>
    <w:rsid w:val="2D2323E1"/>
    <w:rsid w:val="2D28158B"/>
    <w:rsid w:val="2D655B3D"/>
    <w:rsid w:val="2D930085"/>
    <w:rsid w:val="2D9C481B"/>
    <w:rsid w:val="2DA01E52"/>
    <w:rsid w:val="2DB21009"/>
    <w:rsid w:val="2DD9585E"/>
    <w:rsid w:val="2DEA4C28"/>
    <w:rsid w:val="2DF91024"/>
    <w:rsid w:val="2DFE1E86"/>
    <w:rsid w:val="2DFE5F26"/>
    <w:rsid w:val="2E011863"/>
    <w:rsid w:val="2E232707"/>
    <w:rsid w:val="2E2B2AAB"/>
    <w:rsid w:val="2E3C521E"/>
    <w:rsid w:val="2E404720"/>
    <w:rsid w:val="2E7E1F4C"/>
    <w:rsid w:val="2E8E37B6"/>
    <w:rsid w:val="2E8E7D03"/>
    <w:rsid w:val="2E9B5862"/>
    <w:rsid w:val="2EA06B29"/>
    <w:rsid w:val="2EB037A5"/>
    <w:rsid w:val="2EBD6B35"/>
    <w:rsid w:val="2EC671A4"/>
    <w:rsid w:val="2EDC7688"/>
    <w:rsid w:val="2F063D43"/>
    <w:rsid w:val="2F076322"/>
    <w:rsid w:val="2F1838DF"/>
    <w:rsid w:val="2F1E525A"/>
    <w:rsid w:val="2F3A309E"/>
    <w:rsid w:val="2F7A0E5A"/>
    <w:rsid w:val="2F8B3C2B"/>
    <w:rsid w:val="2FC52139"/>
    <w:rsid w:val="2FFC3B50"/>
    <w:rsid w:val="300E3936"/>
    <w:rsid w:val="30236861"/>
    <w:rsid w:val="30397D19"/>
    <w:rsid w:val="30416DC3"/>
    <w:rsid w:val="30541B2F"/>
    <w:rsid w:val="305957A5"/>
    <w:rsid w:val="309E6634"/>
    <w:rsid w:val="30B518F6"/>
    <w:rsid w:val="30C12367"/>
    <w:rsid w:val="30EB64C3"/>
    <w:rsid w:val="30EF57E0"/>
    <w:rsid w:val="30F96665"/>
    <w:rsid w:val="30FE1815"/>
    <w:rsid w:val="31102393"/>
    <w:rsid w:val="311508BF"/>
    <w:rsid w:val="31254604"/>
    <w:rsid w:val="31515F68"/>
    <w:rsid w:val="31914C8E"/>
    <w:rsid w:val="31937CA4"/>
    <w:rsid w:val="31994A6D"/>
    <w:rsid w:val="31D77000"/>
    <w:rsid w:val="32057A41"/>
    <w:rsid w:val="322B22F1"/>
    <w:rsid w:val="322D0732"/>
    <w:rsid w:val="32340F83"/>
    <w:rsid w:val="32363BBA"/>
    <w:rsid w:val="3237077C"/>
    <w:rsid w:val="32484A73"/>
    <w:rsid w:val="324D2EB8"/>
    <w:rsid w:val="325877BC"/>
    <w:rsid w:val="325D0E9B"/>
    <w:rsid w:val="325E2D50"/>
    <w:rsid w:val="32BD71B4"/>
    <w:rsid w:val="32C31D61"/>
    <w:rsid w:val="32CC369B"/>
    <w:rsid w:val="32E66B88"/>
    <w:rsid w:val="32EC4D69"/>
    <w:rsid w:val="330077F5"/>
    <w:rsid w:val="33083699"/>
    <w:rsid w:val="330A1F4A"/>
    <w:rsid w:val="331849E6"/>
    <w:rsid w:val="331C3542"/>
    <w:rsid w:val="331F1125"/>
    <w:rsid w:val="336A2764"/>
    <w:rsid w:val="33754D83"/>
    <w:rsid w:val="33756D7A"/>
    <w:rsid w:val="33791520"/>
    <w:rsid w:val="33976ABE"/>
    <w:rsid w:val="33B60818"/>
    <w:rsid w:val="33C5278B"/>
    <w:rsid w:val="33DE0CE7"/>
    <w:rsid w:val="33E46392"/>
    <w:rsid w:val="33F5462B"/>
    <w:rsid w:val="341F4EF7"/>
    <w:rsid w:val="34211056"/>
    <w:rsid w:val="342353DC"/>
    <w:rsid w:val="342A06AA"/>
    <w:rsid w:val="342A1040"/>
    <w:rsid w:val="34330EAF"/>
    <w:rsid w:val="343B3AE1"/>
    <w:rsid w:val="344A7A05"/>
    <w:rsid w:val="34587F6B"/>
    <w:rsid w:val="345E2D42"/>
    <w:rsid w:val="34722339"/>
    <w:rsid w:val="34733466"/>
    <w:rsid w:val="34834D44"/>
    <w:rsid w:val="349B1C67"/>
    <w:rsid w:val="34A56AB2"/>
    <w:rsid w:val="34C32704"/>
    <w:rsid w:val="34C6389F"/>
    <w:rsid w:val="3505772D"/>
    <w:rsid w:val="35151DB2"/>
    <w:rsid w:val="354536F9"/>
    <w:rsid w:val="35481869"/>
    <w:rsid w:val="35547FCD"/>
    <w:rsid w:val="35741F18"/>
    <w:rsid w:val="359555CA"/>
    <w:rsid w:val="35E46128"/>
    <w:rsid w:val="35FD5539"/>
    <w:rsid w:val="36190CB8"/>
    <w:rsid w:val="36193860"/>
    <w:rsid w:val="3622557C"/>
    <w:rsid w:val="363609A9"/>
    <w:rsid w:val="36675654"/>
    <w:rsid w:val="366A3695"/>
    <w:rsid w:val="36753828"/>
    <w:rsid w:val="36A931EC"/>
    <w:rsid w:val="36B34940"/>
    <w:rsid w:val="36BA61F9"/>
    <w:rsid w:val="36C0789E"/>
    <w:rsid w:val="36C142B1"/>
    <w:rsid w:val="36E7306B"/>
    <w:rsid w:val="36F042B4"/>
    <w:rsid w:val="36F507A9"/>
    <w:rsid w:val="36F74059"/>
    <w:rsid w:val="36F80D83"/>
    <w:rsid w:val="370450E7"/>
    <w:rsid w:val="37333BEF"/>
    <w:rsid w:val="377E6032"/>
    <w:rsid w:val="37AA5C1D"/>
    <w:rsid w:val="37BB4DC0"/>
    <w:rsid w:val="37C757BE"/>
    <w:rsid w:val="37E04BA5"/>
    <w:rsid w:val="37FA62B6"/>
    <w:rsid w:val="382A4EDB"/>
    <w:rsid w:val="382F473F"/>
    <w:rsid w:val="383A34DB"/>
    <w:rsid w:val="389637BA"/>
    <w:rsid w:val="38FF585D"/>
    <w:rsid w:val="39051698"/>
    <w:rsid w:val="391F0D04"/>
    <w:rsid w:val="392033B1"/>
    <w:rsid w:val="39380466"/>
    <w:rsid w:val="39541E27"/>
    <w:rsid w:val="397468FD"/>
    <w:rsid w:val="397B001E"/>
    <w:rsid w:val="399C2BA6"/>
    <w:rsid w:val="39C03363"/>
    <w:rsid w:val="39DE1C38"/>
    <w:rsid w:val="39EB784A"/>
    <w:rsid w:val="39EC69BD"/>
    <w:rsid w:val="3A074A97"/>
    <w:rsid w:val="3A201DCB"/>
    <w:rsid w:val="3A321B22"/>
    <w:rsid w:val="3A3C3FAC"/>
    <w:rsid w:val="3A6A3483"/>
    <w:rsid w:val="3A736507"/>
    <w:rsid w:val="3A890307"/>
    <w:rsid w:val="3AF46441"/>
    <w:rsid w:val="3AF573FE"/>
    <w:rsid w:val="3AFC7F3A"/>
    <w:rsid w:val="3B0069FA"/>
    <w:rsid w:val="3B411C20"/>
    <w:rsid w:val="3B49673B"/>
    <w:rsid w:val="3B54230F"/>
    <w:rsid w:val="3B597B9E"/>
    <w:rsid w:val="3B8F5BEB"/>
    <w:rsid w:val="3B9D0A78"/>
    <w:rsid w:val="3BA06371"/>
    <w:rsid w:val="3BA432FC"/>
    <w:rsid w:val="3BBA40AC"/>
    <w:rsid w:val="3C014AE3"/>
    <w:rsid w:val="3C193885"/>
    <w:rsid w:val="3C214DF0"/>
    <w:rsid w:val="3C3914C7"/>
    <w:rsid w:val="3C410F4A"/>
    <w:rsid w:val="3C703778"/>
    <w:rsid w:val="3C842EEF"/>
    <w:rsid w:val="3CD4717E"/>
    <w:rsid w:val="3CD56D64"/>
    <w:rsid w:val="3CE0503F"/>
    <w:rsid w:val="3CF77CBB"/>
    <w:rsid w:val="3D0955C6"/>
    <w:rsid w:val="3D0A4DC0"/>
    <w:rsid w:val="3D1115F8"/>
    <w:rsid w:val="3D120C23"/>
    <w:rsid w:val="3D3B3DAB"/>
    <w:rsid w:val="3D3F1A66"/>
    <w:rsid w:val="3D71385B"/>
    <w:rsid w:val="3D7D118E"/>
    <w:rsid w:val="3D8B524A"/>
    <w:rsid w:val="3DA86568"/>
    <w:rsid w:val="3DBB67A5"/>
    <w:rsid w:val="3DFF46F6"/>
    <w:rsid w:val="3E2F62CC"/>
    <w:rsid w:val="3E48680B"/>
    <w:rsid w:val="3E54585D"/>
    <w:rsid w:val="3E5B1AD8"/>
    <w:rsid w:val="3E82190B"/>
    <w:rsid w:val="3E906397"/>
    <w:rsid w:val="3EB11BDC"/>
    <w:rsid w:val="3EC00F3B"/>
    <w:rsid w:val="3EC07437"/>
    <w:rsid w:val="3EF36FB7"/>
    <w:rsid w:val="3EFD1F55"/>
    <w:rsid w:val="3F0B1C79"/>
    <w:rsid w:val="3F176754"/>
    <w:rsid w:val="3F1A5F26"/>
    <w:rsid w:val="3FD12631"/>
    <w:rsid w:val="3FF57550"/>
    <w:rsid w:val="4002577E"/>
    <w:rsid w:val="40227BEF"/>
    <w:rsid w:val="40266A53"/>
    <w:rsid w:val="402B7E0A"/>
    <w:rsid w:val="4044068B"/>
    <w:rsid w:val="404D6CFC"/>
    <w:rsid w:val="40571D08"/>
    <w:rsid w:val="407B0764"/>
    <w:rsid w:val="40AA60A0"/>
    <w:rsid w:val="40D47BA5"/>
    <w:rsid w:val="40E157AA"/>
    <w:rsid w:val="40E82E60"/>
    <w:rsid w:val="410D1056"/>
    <w:rsid w:val="4112466D"/>
    <w:rsid w:val="413B5305"/>
    <w:rsid w:val="415B4149"/>
    <w:rsid w:val="41646619"/>
    <w:rsid w:val="41BB7DC2"/>
    <w:rsid w:val="41DE14EE"/>
    <w:rsid w:val="42067B5D"/>
    <w:rsid w:val="42162115"/>
    <w:rsid w:val="42447EE6"/>
    <w:rsid w:val="42753C75"/>
    <w:rsid w:val="427E6758"/>
    <w:rsid w:val="42906919"/>
    <w:rsid w:val="42B66367"/>
    <w:rsid w:val="42C46EBE"/>
    <w:rsid w:val="42C75A1D"/>
    <w:rsid w:val="42E24F9E"/>
    <w:rsid w:val="43435656"/>
    <w:rsid w:val="43675B85"/>
    <w:rsid w:val="43763C56"/>
    <w:rsid w:val="438A77ED"/>
    <w:rsid w:val="439366D7"/>
    <w:rsid w:val="44006EEA"/>
    <w:rsid w:val="441E20A9"/>
    <w:rsid w:val="44506146"/>
    <w:rsid w:val="44545260"/>
    <w:rsid w:val="446B28C6"/>
    <w:rsid w:val="446F0B47"/>
    <w:rsid w:val="44C82A7D"/>
    <w:rsid w:val="44FB5D36"/>
    <w:rsid w:val="45046E04"/>
    <w:rsid w:val="45090E12"/>
    <w:rsid w:val="450E79F0"/>
    <w:rsid w:val="45807DDB"/>
    <w:rsid w:val="459820BA"/>
    <w:rsid w:val="459A32E8"/>
    <w:rsid w:val="45A06B98"/>
    <w:rsid w:val="45AB50A5"/>
    <w:rsid w:val="45D373A9"/>
    <w:rsid w:val="45D63403"/>
    <w:rsid w:val="45EE53DA"/>
    <w:rsid w:val="45FE10A4"/>
    <w:rsid w:val="46021087"/>
    <w:rsid w:val="461362BE"/>
    <w:rsid w:val="46342C04"/>
    <w:rsid w:val="46495486"/>
    <w:rsid w:val="464E7A4D"/>
    <w:rsid w:val="464F0F77"/>
    <w:rsid w:val="46542BA0"/>
    <w:rsid w:val="4668606F"/>
    <w:rsid w:val="46C27B2A"/>
    <w:rsid w:val="46DC15DF"/>
    <w:rsid w:val="46E20826"/>
    <w:rsid w:val="46FF4353"/>
    <w:rsid w:val="47230CBC"/>
    <w:rsid w:val="47266CA8"/>
    <w:rsid w:val="472B5ED1"/>
    <w:rsid w:val="47434813"/>
    <w:rsid w:val="474A2163"/>
    <w:rsid w:val="47960FBC"/>
    <w:rsid w:val="479723B6"/>
    <w:rsid w:val="47BC59FE"/>
    <w:rsid w:val="47C725C6"/>
    <w:rsid w:val="47D84D73"/>
    <w:rsid w:val="48144B3D"/>
    <w:rsid w:val="482D0102"/>
    <w:rsid w:val="48351F56"/>
    <w:rsid w:val="485266A8"/>
    <w:rsid w:val="485603D8"/>
    <w:rsid w:val="485C5C8D"/>
    <w:rsid w:val="48632766"/>
    <w:rsid w:val="488647D1"/>
    <w:rsid w:val="48920788"/>
    <w:rsid w:val="489B784A"/>
    <w:rsid w:val="48A5769D"/>
    <w:rsid w:val="48B0446D"/>
    <w:rsid w:val="48BC5D62"/>
    <w:rsid w:val="48CA05FD"/>
    <w:rsid w:val="48CD5234"/>
    <w:rsid w:val="48E14172"/>
    <w:rsid w:val="48F027BA"/>
    <w:rsid w:val="48FB2E63"/>
    <w:rsid w:val="49026D89"/>
    <w:rsid w:val="49096EE2"/>
    <w:rsid w:val="49B6655D"/>
    <w:rsid w:val="49C4751E"/>
    <w:rsid w:val="49CB6709"/>
    <w:rsid w:val="49D22587"/>
    <w:rsid w:val="49E866B5"/>
    <w:rsid w:val="49F40E4C"/>
    <w:rsid w:val="4A221FA7"/>
    <w:rsid w:val="4A26123E"/>
    <w:rsid w:val="4A575F8B"/>
    <w:rsid w:val="4A6304F1"/>
    <w:rsid w:val="4A935C9C"/>
    <w:rsid w:val="4A9E25AC"/>
    <w:rsid w:val="4B1F2F97"/>
    <w:rsid w:val="4B202F34"/>
    <w:rsid w:val="4B2C3E25"/>
    <w:rsid w:val="4B367E70"/>
    <w:rsid w:val="4B426D36"/>
    <w:rsid w:val="4B497796"/>
    <w:rsid w:val="4B9F5457"/>
    <w:rsid w:val="4BA741A7"/>
    <w:rsid w:val="4C07239F"/>
    <w:rsid w:val="4C1F0728"/>
    <w:rsid w:val="4C1F38D9"/>
    <w:rsid w:val="4C20238F"/>
    <w:rsid w:val="4C4975D2"/>
    <w:rsid w:val="4C566549"/>
    <w:rsid w:val="4C621723"/>
    <w:rsid w:val="4C632709"/>
    <w:rsid w:val="4C7C1CC3"/>
    <w:rsid w:val="4CC90C2F"/>
    <w:rsid w:val="4CD568F4"/>
    <w:rsid w:val="4D0A548B"/>
    <w:rsid w:val="4D353E83"/>
    <w:rsid w:val="4D3C1BFB"/>
    <w:rsid w:val="4D514C98"/>
    <w:rsid w:val="4D7352D2"/>
    <w:rsid w:val="4D916644"/>
    <w:rsid w:val="4D96121E"/>
    <w:rsid w:val="4DAF1D4E"/>
    <w:rsid w:val="4DB27D16"/>
    <w:rsid w:val="4DDD2D52"/>
    <w:rsid w:val="4E1817BB"/>
    <w:rsid w:val="4E216BDF"/>
    <w:rsid w:val="4E753642"/>
    <w:rsid w:val="4E845B37"/>
    <w:rsid w:val="4EC40703"/>
    <w:rsid w:val="4ED82BAC"/>
    <w:rsid w:val="4EDE1B3C"/>
    <w:rsid w:val="4EFC0BF0"/>
    <w:rsid w:val="4F345119"/>
    <w:rsid w:val="4F3E2F21"/>
    <w:rsid w:val="4F522F8D"/>
    <w:rsid w:val="4F6931CD"/>
    <w:rsid w:val="4F81295B"/>
    <w:rsid w:val="4F9850C6"/>
    <w:rsid w:val="4F993F00"/>
    <w:rsid w:val="4F9B3399"/>
    <w:rsid w:val="4FA509D7"/>
    <w:rsid w:val="4FBD7C77"/>
    <w:rsid w:val="4FDA1FEB"/>
    <w:rsid w:val="4FFB7B42"/>
    <w:rsid w:val="500C66F8"/>
    <w:rsid w:val="502E4B4A"/>
    <w:rsid w:val="50547330"/>
    <w:rsid w:val="505C19DD"/>
    <w:rsid w:val="506E1575"/>
    <w:rsid w:val="50971561"/>
    <w:rsid w:val="50C91F90"/>
    <w:rsid w:val="5100370B"/>
    <w:rsid w:val="51302C2F"/>
    <w:rsid w:val="51354015"/>
    <w:rsid w:val="51406172"/>
    <w:rsid w:val="51522B9C"/>
    <w:rsid w:val="516B1143"/>
    <w:rsid w:val="518B0541"/>
    <w:rsid w:val="51B7003C"/>
    <w:rsid w:val="51BC5C5E"/>
    <w:rsid w:val="51C562E4"/>
    <w:rsid w:val="51D44AB7"/>
    <w:rsid w:val="52023637"/>
    <w:rsid w:val="5212281D"/>
    <w:rsid w:val="5229101D"/>
    <w:rsid w:val="52293430"/>
    <w:rsid w:val="52315816"/>
    <w:rsid w:val="52511202"/>
    <w:rsid w:val="525316EB"/>
    <w:rsid w:val="52535FD9"/>
    <w:rsid w:val="529E3E74"/>
    <w:rsid w:val="52C22485"/>
    <w:rsid w:val="52D54673"/>
    <w:rsid w:val="52D95543"/>
    <w:rsid w:val="530B2B8A"/>
    <w:rsid w:val="531D3E0E"/>
    <w:rsid w:val="531E4E78"/>
    <w:rsid w:val="536253E7"/>
    <w:rsid w:val="53704A9A"/>
    <w:rsid w:val="53827915"/>
    <w:rsid w:val="53866219"/>
    <w:rsid w:val="53B36F3A"/>
    <w:rsid w:val="53DC1EC1"/>
    <w:rsid w:val="53E63C5C"/>
    <w:rsid w:val="54306D23"/>
    <w:rsid w:val="543F01ED"/>
    <w:rsid w:val="54561730"/>
    <w:rsid w:val="546B76AA"/>
    <w:rsid w:val="54A048FB"/>
    <w:rsid w:val="54C14E78"/>
    <w:rsid w:val="54C41C5F"/>
    <w:rsid w:val="54EA3BE9"/>
    <w:rsid w:val="54F54166"/>
    <w:rsid w:val="550521EF"/>
    <w:rsid w:val="550725BC"/>
    <w:rsid w:val="550A1FB0"/>
    <w:rsid w:val="551E2BFC"/>
    <w:rsid w:val="55472970"/>
    <w:rsid w:val="554D0141"/>
    <w:rsid w:val="555936AB"/>
    <w:rsid w:val="555D41E7"/>
    <w:rsid w:val="55612EB6"/>
    <w:rsid w:val="556968D6"/>
    <w:rsid w:val="559210F4"/>
    <w:rsid w:val="55A02D59"/>
    <w:rsid w:val="55BA5661"/>
    <w:rsid w:val="55C01AA5"/>
    <w:rsid w:val="55CA28D1"/>
    <w:rsid w:val="55DB4574"/>
    <w:rsid w:val="55F0796C"/>
    <w:rsid w:val="56054FCD"/>
    <w:rsid w:val="56142485"/>
    <w:rsid w:val="561F39DE"/>
    <w:rsid w:val="56427734"/>
    <w:rsid w:val="565D1D94"/>
    <w:rsid w:val="56663B90"/>
    <w:rsid w:val="56950611"/>
    <w:rsid w:val="56A86289"/>
    <w:rsid w:val="56AC30BB"/>
    <w:rsid w:val="56CC37C1"/>
    <w:rsid w:val="56E76ADA"/>
    <w:rsid w:val="56F81B69"/>
    <w:rsid w:val="56FE6742"/>
    <w:rsid w:val="571D4215"/>
    <w:rsid w:val="57356303"/>
    <w:rsid w:val="57386A68"/>
    <w:rsid w:val="574B2A7F"/>
    <w:rsid w:val="574B79E0"/>
    <w:rsid w:val="574C5C26"/>
    <w:rsid w:val="57533409"/>
    <w:rsid w:val="57606737"/>
    <w:rsid w:val="577F45DA"/>
    <w:rsid w:val="578E7DC8"/>
    <w:rsid w:val="57934B68"/>
    <w:rsid w:val="57AE0F5A"/>
    <w:rsid w:val="57B64C4E"/>
    <w:rsid w:val="57C95196"/>
    <w:rsid w:val="57CC7B26"/>
    <w:rsid w:val="582B4167"/>
    <w:rsid w:val="582D09E6"/>
    <w:rsid w:val="585D5DE6"/>
    <w:rsid w:val="585E1C7F"/>
    <w:rsid w:val="587420E9"/>
    <w:rsid w:val="58BE1D65"/>
    <w:rsid w:val="58D22E95"/>
    <w:rsid w:val="58E609EF"/>
    <w:rsid w:val="58ED1BEE"/>
    <w:rsid w:val="590E6527"/>
    <w:rsid w:val="591A4CBA"/>
    <w:rsid w:val="5936338E"/>
    <w:rsid w:val="593D0F80"/>
    <w:rsid w:val="594E083F"/>
    <w:rsid w:val="5983090C"/>
    <w:rsid w:val="59965CDC"/>
    <w:rsid w:val="599B0382"/>
    <w:rsid w:val="59BF0AB3"/>
    <w:rsid w:val="59D17A02"/>
    <w:rsid w:val="59D6073E"/>
    <w:rsid w:val="59F5279B"/>
    <w:rsid w:val="5A1674EA"/>
    <w:rsid w:val="5A3E7AC8"/>
    <w:rsid w:val="5A7E79C3"/>
    <w:rsid w:val="5A895053"/>
    <w:rsid w:val="5A930C57"/>
    <w:rsid w:val="5AAD1F78"/>
    <w:rsid w:val="5AAF53B8"/>
    <w:rsid w:val="5ABC4E86"/>
    <w:rsid w:val="5AD85F72"/>
    <w:rsid w:val="5AEE1556"/>
    <w:rsid w:val="5AF75875"/>
    <w:rsid w:val="5B1E7D62"/>
    <w:rsid w:val="5B1F41A1"/>
    <w:rsid w:val="5B200DC1"/>
    <w:rsid w:val="5B2218C1"/>
    <w:rsid w:val="5B33202B"/>
    <w:rsid w:val="5B34597D"/>
    <w:rsid w:val="5B4918CF"/>
    <w:rsid w:val="5B4B31A4"/>
    <w:rsid w:val="5B6353CB"/>
    <w:rsid w:val="5B7B6B21"/>
    <w:rsid w:val="5B801241"/>
    <w:rsid w:val="5B8018F6"/>
    <w:rsid w:val="5B932B40"/>
    <w:rsid w:val="5BA82BDB"/>
    <w:rsid w:val="5BBD03CF"/>
    <w:rsid w:val="5BEC5075"/>
    <w:rsid w:val="5BF4563C"/>
    <w:rsid w:val="5C570275"/>
    <w:rsid w:val="5C7F3F1B"/>
    <w:rsid w:val="5C9D7384"/>
    <w:rsid w:val="5CCB1182"/>
    <w:rsid w:val="5CDF0070"/>
    <w:rsid w:val="5CEB767E"/>
    <w:rsid w:val="5CF71202"/>
    <w:rsid w:val="5D0964D7"/>
    <w:rsid w:val="5D2E0BF8"/>
    <w:rsid w:val="5D3F14BF"/>
    <w:rsid w:val="5D4034D2"/>
    <w:rsid w:val="5D5A11C2"/>
    <w:rsid w:val="5D5D2EDF"/>
    <w:rsid w:val="5D6002B5"/>
    <w:rsid w:val="5D661808"/>
    <w:rsid w:val="5D793384"/>
    <w:rsid w:val="5D891AC2"/>
    <w:rsid w:val="5DCF54EC"/>
    <w:rsid w:val="5DDC6A66"/>
    <w:rsid w:val="5DE4298A"/>
    <w:rsid w:val="5E0F2B56"/>
    <w:rsid w:val="5E43241E"/>
    <w:rsid w:val="5E4E1178"/>
    <w:rsid w:val="5E923AC8"/>
    <w:rsid w:val="5EB0424F"/>
    <w:rsid w:val="5EC77690"/>
    <w:rsid w:val="5EF43BE5"/>
    <w:rsid w:val="5F1A42AA"/>
    <w:rsid w:val="5F1E3246"/>
    <w:rsid w:val="5F3D656A"/>
    <w:rsid w:val="5F456B68"/>
    <w:rsid w:val="5F625898"/>
    <w:rsid w:val="5F661745"/>
    <w:rsid w:val="5F951CFA"/>
    <w:rsid w:val="5FBE6807"/>
    <w:rsid w:val="5FC074F4"/>
    <w:rsid w:val="5FDE6BB8"/>
    <w:rsid w:val="5FF6387D"/>
    <w:rsid w:val="601D60B7"/>
    <w:rsid w:val="602949F4"/>
    <w:rsid w:val="60581FB5"/>
    <w:rsid w:val="607C62A2"/>
    <w:rsid w:val="607D48E4"/>
    <w:rsid w:val="60974488"/>
    <w:rsid w:val="60AC15B7"/>
    <w:rsid w:val="60AD3913"/>
    <w:rsid w:val="60C73E66"/>
    <w:rsid w:val="60CF1EED"/>
    <w:rsid w:val="612E45E5"/>
    <w:rsid w:val="6132748F"/>
    <w:rsid w:val="61393F2B"/>
    <w:rsid w:val="61514877"/>
    <w:rsid w:val="61532DB6"/>
    <w:rsid w:val="61535D48"/>
    <w:rsid w:val="615B6DF2"/>
    <w:rsid w:val="615E766F"/>
    <w:rsid w:val="61747165"/>
    <w:rsid w:val="618A56C6"/>
    <w:rsid w:val="61B343C9"/>
    <w:rsid w:val="61E83CC0"/>
    <w:rsid w:val="61FE7B71"/>
    <w:rsid w:val="621A1760"/>
    <w:rsid w:val="6226258E"/>
    <w:rsid w:val="623062A0"/>
    <w:rsid w:val="625F0891"/>
    <w:rsid w:val="627B43B1"/>
    <w:rsid w:val="627D303B"/>
    <w:rsid w:val="62AD25EE"/>
    <w:rsid w:val="62C91A52"/>
    <w:rsid w:val="62D473A6"/>
    <w:rsid w:val="62FE75A9"/>
    <w:rsid w:val="632E64AB"/>
    <w:rsid w:val="633A7AE6"/>
    <w:rsid w:val="635A40AF"/>
    <w:rsid w:val="638866D0"/>
    <w:rsid w:val="63A0413C"/>
    <w:rsid w:val="63CA1582"/>
    <w:rsid w:val="63FF749B"/>
    <w:rsid w:val="6430790B"/>
    <w:rsid w:val="6438525F"/>
    <w:rsid w:val="643C3D35"/>
    <w:rsid w:val="64573C41"/>
    <w:rsid w:val="64581506"/>
    <w:rsid w:val="646A6B41"/>
    <w:rsid w:val="64A112C1"/>
    <w:rsid w:val="64A41AEB"/>
    <w:rsid w:val="64AA7F0A"/>
    <w:rsid w:val="64B04103"/>
    <w:rsid w:val="64DF54C0"/>
    <w:rsid w:val="64F27ABC"/>
    <w:rsid w:val="650B0B5E"/>
    <w:rsid w:val="651D6B1A"/>
    <w:rsid w:val="65876665"/>
    <w:rsid w:val="659C237C"/>
    <w:rsid w:val="65A04234"/>
    <w:rsid w:val="65AA6FA4"/>
    <w:rsid w:val="65B315F9"/>
    <w:rsid w:val="65B9668D"/>
    <w:rsid w:val="65BB2A47"/>
    <w:rsid w:val="65BE4CF4"/>
    <w:rsid w:val="65C32EDF"/>
    <w:rsid w:val="65E25329"/>
    <w:rsid w:val="65E45564"/>
    <w:rsid w:val="65FA5E96"/>
    <w:rsid w:val="660403B6"/>
    <w:rsid w:val="660A4334"/>
    <w:rsid w:val="662616A6"/>
    <w:rsid w:val="663B101B"/>
    <w:rsid w:val="664B2A31"/>
    <w:rsid w:val="66C67037"/>
    <w:rsid w:val="66CA2D58"/>
    <w:rsid w:val="67000CC4"/>
    <w:rsid w:val="671E62D1"/>
    <w:rsid w:val="67236732"/>
    <w:rsid w:val="67271ECA"/>
    <w:rsid w:val="67346192"/>
    <w:rsid w:val="67534F4F"/>
    <w:rsid w:val="67603B4E"/>
    <w:rsid w:val="67805538"/>
    <w:rsid w:val="678E3890"/>
    <w:rsid w:val="679154A7"/>
    <w:rsid w:val="679529FF"/>
    <w:rsid w:val="67A32F1D"/>
    <w:rsid w:val="67CA62CC"/>
    <w:rsid w:val="67D05188"/>
    <w:rsid w:val="67E0573D"/>
    <w:rsid w:val="683806E1"/>
    <w:rsid w:val="684C6D82"/>
    <w:rsid w:val="687A7558"/>
    <w:rsid w:val="68910273"/>
    <w:rsid w:val="689543AB"/>
    <w:rsid w:val="689768B0"/>
    <w:rsid w:val="689A51D3"/>
    <w:rsid w:val="689E4351"/>
    <w:rsid w:val="689E675B"/>
    <w:rsid w:val="68C02F4B"/>
    <w:rsid w:val="68E36490"/>
    <w:rsid w:val="68EC631A"/>
    <w:rsid w:val="68F759D7"/>
    <w:rsid w:val="69064E1F"/>
    <w:rsid w:val="693A4844"/>
    <w:rsid w:val="6963464C"/>
    <w:rsid w:val="6979600B"/>
    <w:rsid w:val="6A0D1E19"/>
    <w:rsid w:val="6A3A26DD"/>
    <w:rsid w:val="6A431624"/>
    <w:rsid w:val="6A4871B4"/>
    <w:rsid w:val="6A54447F"/>
    <w:rsid w:val="6A6C04DE"/>
    <w:rsid w:val="6A7A2EB7"/>
    <w:rsid w:val="6A8144CA"/>
    <w:rsid w:val="6A8428CF"/>
    <w:rsid w:val="6AAE4EA1"/>
    <w:rsid w:val="6AB3342D"/>
    <w:rsid w:val="6AB57680"/>
    <w:rsid w:val="6ABC78D2"/>
    <w:rsid w:val="6ABE7D91"/>
    <w:rsid w:val="6AF57F99"/>
    <w:rsid w:val="6B0735B9"/>
    <w:rsid w:val="6B464A26"/>
    <w:rsid w:val="6B902DD0"/>
    <w:rsid w:val="6BB979F3"/>
    <w:rsid w:val="6BE433C5"/>
    <w:rsid w:val="6BF03BA1"/>
    <w:rsid w:val="6BF65C3A"/>
    <w:rsid w:val="6BFC570F"/>
    <w:rsid w:val="6C1A0485"/>
    <w:rsid w:val="6C22047D"/>
    <w:rsid w:val="6C23167F"/>
    <w:rsid w:val="6C4003DC"/>
    <w:rsid w:val="6C496A7C"/>
    <w:rsid w:val="6C4B2C8B"/>
    <w:rsid w:val="6C747623"/>
    <w:rsid w:val="6CD60470"/>
    <w:rsid w:val="6CD607A0"/>
    <w:rsid w:val="6CDE49BA"/>
    <w:rsid w:val="6CE30CF7"/>
    <w:rsid w:val="6D301FF3"/>
    <w:rsid w:val="6D446631"/>
    <w:rsid w:val="6D56108C"/>
    <w:rsid w:val="6D5C193C"/>
    <w:rsid w:val="6D5C2DD9"/>
    <w:rsid w:val="6D676A18"/>
    <w:rsid w:val="6DB34768"/>
    <w:rsid w:val="6DB73F99"/>
    <w:rsid w:val="6DBF0137"/>
    <w:rsid w:val="6DC55F99"/>
    <w:rsid w:val="6DD741CC"/>
    <w:rsid w:val="6E012EA8"/>
    <w:rsid w:val="6E1F179E"/>
    <w:rsid w:val="6E6803C8"/>
    <w:rsid w:val="6E6F0818"/>
    <w:rsid w:val="6E820E47"/>
    <w:rsid w:val="6E890F27"/>
    <w:rsid w:val="6E8E56EE"/>
    <w:rsid w:val="6E9045F7"/>
    <w:rsid w:val="6E9B205C"/>
    <w:rsid w:val="6EF132E8"/>
    <w:rsid w:val="6F2063F9"/>
    <w:rsid w:val="6F2E3CA5"/>
    <w:rsid w:val="6F5337CF"/>
    <w:rsid w:val="6F6A1FC0"/>
    <w:rsid w:val="6F840CB0"/>
    <w:rsid w:val="6F95403E"/>
    <w:rsid w:val="6F9E1382"/>
    <w:rsid w:val="70160D55"/>
    <w:rsid w:val="702150CD"/>
    <w:rsid w:val="70216187"/>
    <w:rsid w:val="702216B1"/>
    <w:rsid w:val="702F0604"/>
    <w:rsid w:val="70596096"/>
    <w:rsid w:val="707715A4"/>
    <w:rsid w:val="70A379C7"/>
    <w:rsid w:val="70B43CE5"/>
    <w:rsid w:val="70CD2302"/>
    <w:rsid w:val="70EA3FD1"/>
    <w:rsid w:val="70FD75B6"/>
    <w:rsid w:val="711E2AA1"/>
    <w:rsid w:val="712D661A"/>
    <w:rsid w:val="713D273B"/>
    <w:rsid w:val="714614A2"/>
    <w:rsid w:val="714878C3"/>
    <w:rsid w:val="71523A84"/>
    <w:rsid w:val="7157608A"/>
    <w:rsid w:val="715B640F"/>
    <w:rsid w:val="71791721"/>
    <w:rsid w:val="717D0F18"/>
    <w:rsid w:val="71AA7DEB"/>
    <w:rsid w:val="71AD14DD"/>
    <w:rsid w:val="71B37596"/>
    <w:rsid w:val="71B53FB1"/>
    <w:rsid w:val="71B67F65"/>
    <w:rsid w:val="71C728B3"/>
    <w:rsid w:val="71F07A75"/>
    <w:rsid w:val="720023CD"/>
    <w:rsid w:val="724572FC"/>
    <w:rsid w:val="72597141"/>
    <w:rsid w:val="726614A3"/>
    <w:rsid w:val="726D740B"/>
    <w:rsid w:val="728B0C2E"/>
    <w:rsid w:val="72A80AB7"/>
    <w:rsid w:val="72C21F61"/>
    <w:rsid w:val="72E5177E"/>
    <w:rsid w:val="7303436D"/>
    <w:rsid w:val="730F7BB5"/>
    <w:rsid w:val="7358703C"/>
    <w:rsid w:val="73697122"/>
    <w:rsid w:val="737811BD"/>
    <w:rsid w:val="739422EE"/>
    <w:rsid w:val="73970DFA"/>
    <w:rsid w:val="73E353AB"/>
    <w:rsid w:val="73ED33F4"/>
    <w:rsid w:val="74186502"/>
    <w:rsid w:val="742A0C93"/>
    <w:rsid w:val="743B0AAD"/>
    <w:rsid w:val="74461D2F"/>
    <w:rsid w:val="74572085"/>
    <w:rsid w:val="74A96776"/>
    <w:rsid w:val="74C71835"/>
    <w:rsid w:val="74D859A3"/>
    <w:rsid w:val="74FA3609"/>
    <w:rsid w:val="7500467D"/>
    <w:rsid w:val="7500516A"/>
    <w:rsid w:val="7527661C"/>
    <w:rsid w:val="75350117"/>
    <w:rsid w:val="753D52E9"/>
    <w:rsid w:val="754D0CBA"/>
    <w:rsid w:val="75501933"/>
    <w:rsid w:val="757D3311"/>
    <w:rsid w:val="759F5470"/>
    <w:rsid w:val="75D03CF0"/>
    <w:rsid w:val="75D94553"/>
    <w:rsid w:val="75DB5760"/>
    <w:rsid w:val="75F425D8"/>
    <w:rsid w:val="76421C71"/>
    <w:rsid w:val="767D6227"/>
    <w:rsid w:val="76A72C41"/>
    <w:rsid w:val="76BC722B"/>
    <w:rsid w:val="76DB7D84"/>
    <w:rsid w:val="76DB7F89"/>
    <w:rsid w:val="76EC31E4"/>
    <w:rsid w:val="76FF014D"/>
    <w:rsid w:val="770A794D"/>
    <w:rsid w:val="77222B55"/>
    <w:rsid w:val="77243942"/>
    <w:rsid w:val="77313E3E"/>
    <w:rsid w:val="77514571"/>
    <w:rsid w:val="77553DE9"/>
    <w:rsid w:val="776F3CFE"/>
    <w:rsid w:val="7770775E"/>
    <w:rsid w:val="77A00725"/>
    <w:rsid w:val="77A10B49"/>
    <w:rsid w:val="77C61F9E"/>
    <w:rsid w:val="77C76122"/>
    <w:rsid w:val="77EA5DDF"/>
    <w:rsid w:val="78045885"/>
    <w:rsid w:val="78280366"/>
    <w:rsid w:val="783B48F5"/>
    <w:rsid w:val="783F5CD1"/>
    <w:rsid w:val="78402489"/>
    <w:rsid w:val="78501FDB"/>
    <w:rsid w:val="78754045"/>
    <w:rsid w:val="78754F85"/>
    <w:rsid w:val="78961CEB"/>
    <w:rsid w:val="789C5A37"/>
    <w:rsid w:val="789E77F1"/>
    <w:rsid w:val="78B506DD"/>
    <w:rsid w:val="79062E84"/>
    <w:rsid w:val="792D04A8"/>
    <w:rsid w:val="793D2E43"/>
    <w:rsid w:val="79511979"/>
    <w:rsid w:val="7959313F"/>
    <w:rsid w:val="798E4403"/>
    <w:rsid w:val="799D2CEE"/>
    <w:rsid w:val="79B73AA8"/>
    <w:rsid w:val="79D05036"/>
    <w:rsid w:val="79EF1AB7"/>
    <w:rsid w:val="79FB59FC"/>
    <w:rsid w:val="7A2215F0"/>
    <w:rsid w:val="7A3E51A6"/>
    <w:rsid w:val="7A9E5E70"/>
    <w:rsid w:val="7A9F67D9"/>
    <w:rsid w:val="7AC753DF"/>
    <w:rsid w:val="7AD769F5"/>
    <w:rsid w:val="7ADA67DE"/>
    <w:rsid w:val="7B1919C4"/>
    <w:rsid w:val="7B476449"/>
    <w:rsid w:val="7B582E26"/>
    <w:rsid w:val="7B887D78"/>
    <w:rsid w:val="7BAB67ED"/>
    <w:rsid w:val="7BC960F1"/>
    <w:rsid w:val="7BEC1660"/>
    <w:rsid w:val="7BF3724C"/>
    <w:rsid w:val="7C085B00"/>
    <w:rsid w:val="7C330EF5"/>
    <w:rsid w:val="7C355E66"/>
    <w:rsid w:val="7C3B566E"/>
    <w:rsid w:val="7C68297C"/>
    <w:rsid w:val="7C7A4689"/>
    <w:rsid w:val="7C9C3A70"/>
    <w:rsid w:val="7CDF7B3A"/>
    <w:rsid w:val="7D1D5AAF"/>
    <w:rsid w:val="7D1F3286"/>
    <w:rsid w:val="7D3E403A"/>
    <w:rsid w:val="7D490576"/>
    <w:rsid w:val="7D581090"/>
    <w:rsid w:val="7D5F2AFE"/>
    <w:rsid w:val="7D6137EC"/>
    <w:rsid w:val="7D891B09"/>
    <w:rsid w:val="7DB04EF5"/>
    <w:rsid w:val="7DCE3853"/>
    <w:rsid w:val="7DD450F7"/>
    <w:rsid w:val="7DFB50F0"/>
    <w:rsid w:val="7DFC3F20"/>
    <w:rsid w:val="7E05625F"/>
    <w:rsid w:val="7E1B7DFC"/>
    <w:rsid w:val="7E1D049F"/>
    <w:rsid w:val="7E547C3D"/>
    <w:rsid w:val="7E644CB7"/>
    <w:rsid w:val="7E8D60A6"/>
    <w:rsid w:val="7E9474B4"/>
    <w:rsid w:val="7ED607AA"/>
    <w:rsid w:val="7EDB0200"/>
    <w:rsid w:val="7EE42D27"/>
    <w:rsid w:val="7EF20A91"/>
    <w:rsid w:val="7F141D4F"/>
    <w:rsid w:val="7F1B250F"/>
    <w:rsid w:val="7F4A28F8"/>
    <w:rsid w:val="7F86490D"/>
    <w:rsid w:val="7F9E10EB"/>
    <w:rsid w:val="7FA75B9A"/>
    <w:rsid w:val="7FA9677D"/>
    <w:rsid w:val="7FC81ACD"/>
    <w:rsid w:val="7FD47996"/>
    <w:rsid w:val="7FF87789"/>
    <w:rsid w:val="7FFE42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spacing w:before="280" w:after="290" w:line="376" w:lineRule="auto"/>
      <w:outlineLvl w:val="3"/>
    </w:pPr>
    <w:rPr>
      <w:rFonts w:ascii="Cambria" w:hAnsi="Cambria"/>
      <w:b/>
      <w:bCs/>
      <w:szCs w:val="28"/>
    </w:rPr>
  </w:style>
  <w:style w:type="paragraph" w:styleId="6">
    <w:name w:val="heading 5"/>
    <w:basedOn w:val="1"/>
    <w:next w:val="1"/>
    <w:qFormat/>
    <w:uiPriority w:val="0"/>
    <w:pPr>
      <w:ind w:left="138"/>
      <w:outlineLvl w:val="4"/>
    </w:pPr>
    <w:rPr>
      <w:rFonts w:ascii="宋体" w:hAnsi="宋体"/>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qFormat/>
    <w:uiPriority w:val="0"/>
    <w:pPr>
      <w:ind w:left="138"/>
      <w:outlineLvl w:val="6"/>
    </w:pPr>
    <w:rPr>
      <w:rFonts w:ascii="宋体" w:hAnsi="宋体"/>
      <w:b/>
      <w:bCs/>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9">
    <w:name w:val="index 8"/>
    <w:basedOn w:val="1"/>
    <w:next w:val="1"/>
    <w:qFormat/>
    <w:uiPriority w:val="0"/>
    <w:pPr>
      <w:spacing w:line="276" w:lineRule="auto"/>
      <w:jc w:val="left"/>
    </w:pPr>
    <w:rPr>
      <w:rFonts w:ascii="宋体" w:hAnsi="宋体"/>
      <w:color w:val="FF0000"/>
      <w:szCs w:val="21"/>
    </w:rPr>
  </w:style>
  <w:style w:type="paragraph" w:styleId="10">
    <w:name w:val="Normal Indent"/>
    <w:basedOn w:val="1"/>
    <w:link w:val="46"/>
    <w:qFormat/>
    <w:uiPriority w:val="0"/>
    <w:pPr>
      <w:ind w:firstLine="420" w:firstLineChars="200"/>
    </w:pPr>
  </w:style>
  <w:style w:type="paragraph" w:styleId="11">
    <w:name w:val="annotation text"/>
    <w:basedOn w:val="1"/>
    <w:link w:val="38"/>
    <w:qFormat/>
    <w:uiPriority w:val="0"/>
    <w:pPr>
      <w:jc w:val="left"/>
    </w:pPr>
    <w:rPr>
      <w:sz w:val="18"/>
      <w:szCs w:val="20"/>
    </w:rPr>
  </w:style>
  <w:style w:type="paragraph" w:styleId="12">
    <w:name w:val="Body Text"/>
    <w:basedOn w:val="1"/>
    <w:next w:val="1"/>
    <w:link w:val="71"/>
    <w:qFormat/>
    <w:uiPriority w:val="0"/>
    <w:pPr>
      <w:spacing w:before="60" w:after="60" w:line="360" w:lineRule="auto"/>
      <w:ind w:firstLine="200"/>
    </w:pPr>
    <w:rPr>
      <w:rFonts w:eastAsia="仿宋_GB2312"/>
      <w:sz w:val="32"/>
    </w:rPr>
  </w:style>
  <w:style w:type="paragraph" w:styleId="13">
    <w:name w:val="Body Text Indent"/>
    <w:basedOn w:val="1"/>
    <w:link w:val="52"/>
    <w:qFormat/>
    <w:uiPriority w:val="0"/>
    <w:pPr>
      <w:ind w:firstLine="630"/>
    </w:pPr>
    <w:rPr>
      <w:sz w:val="32"/>
      <w:szCs w:val="20"/>
    </w:rPr>
  </w:style>
  <w:style w:type="paragraph" w:styleId="14">
    <w:name w:val="Plain Text"/>
    <w:basedOn w:val="1"/>
    <w:link w:val="53"/>
    <w:qFormat/>
    <w:uiPriority w:val="0"/>
    <w:pPr>
      <w:autoSpaceDE w:val="0"/>
      <w:autoSpaceDN w:val="0"/>
      <w:adjustRightInd w:val="0"/>
    </w:pPr>
    <w:rPr>
      <w:rFonts w:ascii="宋体" w:hAnsi="Tms Rmn"/>
      <w:kern w:val="0"/>
      <w:szCs w:val="20"/>
    </w:rPr>
  </w:style>
  <w:style w:type="paragraph" w:styleId="15">
    <w:name w:val="Body Text Indent 2"/>
    <w:basedOn w:val="1"/>
    <w:qFormat/>
    <w:uiPriority w:val="0"/>
    <w:pPr>
      <w:spacing w:after="12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link w:val="50"/>
    <w:qFormat/>
    <w:uiPriority w:val="99"/>
    <w:pPr>
      <w:tabs>
        <w:tab w:val="center" w:pos="4153"/>
        <w:tab w:val="right" w:pos="8306"/>
      </w:tabs>
      <w:snapToGrid w:val="0"/>
      <w:jc w:val="left"/>
    </w:pPr>
    <w:rPr>
      <w:sz w:val="18"/>
      <w:szCs w:val="20"/>
    </w:rPr>
  </w:style>
  <w:style w:type="paragraph" w:styleId="18">
    <w:name w:val="header"/>
    <w:basedOn w:val="1"/>
    <w:link w:val="44"/>
    <w:qFormat/>
    <w:uiPriority w:val="0"/>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39"/>
  </w:style>
  <w:style w:type="paragraph" w:styleId="20">
    <w:name w:val="Body Text Indent 3"/>
    <w:basedOn w:val="1"/>
    <w:link w:val="45"/>
    <w:qFormat/>
    <w:uiPriority w:val="0"/>
    <w:pPr>
      <w:spacing w:after="120"/>
      <w:ind w:left="420" w:leftChars="200"/>
    </w:pPr>
    <w:rPr>
      <w:sz w:val="16"/>
      <w:szCs w:val="16"/>
    </w:rPr>
  </w:style>
  <w:style w:type="paragraph" w:styleId="21">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2">
    <w:name w:val="Title"/>
    <w:basedOn w:val="1"/>
    <w:next w:val="1"/>
    <w:link w:val="74"/>
    <w:qFormat/>
    <w:uiPriority w:val="99"/>
    <w:pPr>
      <w:widowControl/>
      <w:spacing w:after="300"/>
      <w:contextualSpacing/>
      <w:jc w:val="left"/>
    </w:pPr>
    <w:rPr>
      <w:smallCaps/>
      <w:kern w:val="0"/>
      <w:sz w:val="52"/>
      <w:szCs w:val="52"/>
    </w:rPr>
  </w:style>
  <w:style w:type="paragraph" w:styleId="23">
    <w:name w:val="annotation subject"/>
    <w:basedOn w:val="11"/>
    <w:next w:val="11"/>
    <w:link w:val="43"/>
    <w:qFormat/>
    <w:uiPriority w:val="0"/>
    <w:rPr>
      <w:b/>
      <w:bCs/>
      <w:sz w:val="21"/>
      <w:szCs w:val="24"/>
    </w:rPr>
  </w:style>
  <w:style w:type="paragraph" w:styleId="24">
    <w:name w:val="Body Text First Indent 2"/>
    <w:basedOn w:val="13"/>
    <w:unhideWhenUsed/>
    <w:qFormat/>
    <w:uiPriority w:val="0"/>
    <w:pPr>
      <w:spacing w:after="120"/>
      <w:ind w:left="420" w:leftChars="200" w:firstLine="420"/>
    </w:pPr>
    <w:rPr>
      <w:rFonts w:asciiTheme="minorHAnsi" w:hAnsiTheme="minorHAnsi" w:eastAsiaTheme="minorEastAsia" w:cstheme="minorBidi"/>
      <w:sz w:val="21"/>
      <w:szCs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FollowedHyperlink"/>
    <w:qFormat/>
    <w:uiPriority w:val="0"/>
    <w:rPr>
      <w:color w:val="303030"/>
      <w:u w:val="none"/>
    </w:rPr>
  </w:style>
  <w:style w:type="character" w:styleId="30">
    <w:name w:val="Emphasis"/>
    <w:qFormat/>
    <w:uiPriority w:val="0"/>
    <w:rPr>
      <w:color w:val="CC0000"/>
    </w:rPr>
  </w:style>
  <w:style w:type="character" w:styleId="31">
    <w:name w:val="HTML Acronym"/>
    <w:basedOn w:val="27"/>
    <w:qFormat/>
    <w:uiPriority w:val="0"/>
  </w:style>
  <w:style w:type="character" w:styleId="32">
    <w:name w:val="Hyperlink"/>
    <w:qFormat/>
    <w:uiPriority w:val="99"/>
    <w:rPr>
      <w:color w:val="303030"/>
      <w:u w:val="none"/>
    </w:rPr>
  </w:style>
  <w:style w:type="character" w:styleId="33">
    <w:name w:val="annotation reference"/>
    <w:qFormat/>
    <w:uiPriority w:val="0"/>
    <w:rPr>
      <w:sz w:val="21"/>
      <w:szCs w:val="21"/>
    </w:rPr>
  </w:style>
  <w:style w:type="character" w:styleId="34">
    <w:name w:val="HTML Cite"/>
    <w:qFormat/>
    <w:uiPriority w:val="0"/>
    <w:rPr>
      <w:color w:val="008000"/>
    </w:rPr>
  </w:style>
  <w:style w:type="paragraph" w:customStyle="1" w:styleId="35">
    <w:name w:val="标题 5（有编号）（绿盟科技）"/>
    <w:basedOn w:val="1"/>
    <w:next w:val="3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38">
    <w:name w:val="批注文字 字符"/>
    <w:link w:val="11"/>
    <w:qFormat/>
    <w:uiPriority w:val="0"/>
    <w:rPr>
      <w:kern w:val="2"/>
      <w:sz w:val="18"/>
      <w:lang w:bidi="ar-SA"/>
    </w:rPr>
  </w:style>
  <w:style w:type="character" w:customStyle="1" w:styleId="39">
    <w:name w:val="（符号）邀请函中一、"/>
    <w:qFormat/>
    <w:uiPriority w:val="0"/>
    <w:rPr>
      <w:rFonts w:ascii="黑体" w:hAnsi="黑体" w:eastAsia="黑体"/>
      <w:b/>
      <w:bCs/>
      <w:sz w:val="24"/>
    </w:rPr>
  </w:style>
  <w:style w:type="character" w:customStyle="1" w:styleId="40">
    <w:name w:val="blue"/>
    <w:basedOn w:val="27"/>
    <w:qFormat/>
    <w:uiPriority w:val="0"/>
  </w:style>
  <w:style w:type="character" w:customStyle="1" w:styleId="41">
    <w:name w:val="列表段落 字符"/>
    <w:link w:val="42"/>
    <w:qFormat/>
    <w:uiPriority w:val="0"/>
    <w:rPr>
      <w:rFonts w:eastAsia="宋体"/>
      <w:kern w:val="2"/>
      <w:sz w:val="21"/>
      <w:szCs w:val="24"/>
      <w:lang w:val="en-US" w:eastAsia="zh-CN" w:bidi="ar-SA"/>
    </w:rPr>
  </w:style>
  <w:style w:type="paragraph" w:styleId="42">
    <w:name w:val="List Paragraph"/>
    <w:basedOn w:val="1"/>
    <w:link w:val="41"/>
    <w:qFormat/>
    <w:uiPriority w:val="0"/>
    <w:pPr>
      <w:ind w:firstLine="420" w:firstLineChars="200"/>
    </w:pPr>
  </w:style>
  <w:style w:type="character" w:customStyle="1" w:styleId="43">
    <w:name w:val="批注主题 字符"/>
    <w:link w:val="23"/>
    <w:qFormat/>
    <w:uiPriority w:val="0"/>
    <w:rPr>
      <w:b/>
      <w:bCs/>
      <w:kern w:val="2"/>
      <w:sz w:val="21"/>
      <w:szCs w:val="24"/>
      <w:lang w:bidi="ar-SA"/>
    </w:rPr>
  </w:style>
  <w:style w:type="character" w:customStyle="1" w:styleId="44">
    <w:name w:val="页眉 字符"/>
    <w:link w:val="18"/>
    <w:qFormat/>
    <w:uiPriority w:val="0"/>
    <w:rPr>
      <w:rFonts w:eastAsia="宋体"/>
      <w:kern w:val="2"/>
      <w:sz w:val="18"/>
      <w:lang w:val="en-US" w:eastAsia="zh-CN" w:bidi="ar-SA"/>
    </w:rPr>
  </w:style>
  <w:style w:type="character" w:customStyle="1" w:styleId="45">
    <w:name w:val="正文文本缩进 3 字符"/>
    <w:link w:val="20"/>
    <w:qFormat/>
    <w:uiPriority w:val="0"/>
    <w:rPr>
      <w:kern w:val="2"/>
      <w:sz w:val="16"/>
      <w:szCs w:val="16"/>
    </w:rPr>
  </w:style>
  <w:style w:type="character" w:customStyle="1" w:styleId="46">
    <w:name w:val="正文缩进 字符"/>
    <w:link w:val="10"/>
    <w:qFormat/>
    <w:uiPriority w:val="0"/>
    <w:rPr>
      <w:rFonts w:eastAsia="宋体"/>
      <w:kern w:val="2"/>
      <w:sz w:val="21"/>
      <w:szCs w:val="24"/>
      <w:lang w:val="en-US" w:eastAsia="zh-CN" w:bidi="ar-SA"/>
    </w:rPr>
  </w:style>
  <w:style w:type="character" w:customStyle="1" w:styleId="47">
    <w:name w:val="GW-正文 Char"/>
    <w:link w:val="48"/>
    <w:qFormat/>
    <w:uiPriority w:val="0"/>
    <w:rPr>
      <w:rFonts w:eastAsia="仿宋_GB2312"/>
      <w:kern w:val="2"/>
      <w:sz w:val="24"/>
      <w:szCs w:val="24"/>
      <w:lang w:val="en-US" w:eastAsia="zh-CN" w:bidi="ar-SA"/>
    </w:rPr>
  </w:style>
  <w:style w:type="paragraph" w:customStyle="1" w:styleId="48">
    <w:name w:val="GW-正文"/>
    <w:basedOn w:val="1"/>
    <w:link w:val="47"/>
    <w:qFormat/>
    <w:uiPriority w:val="0"/>
    <w:pPr>
      <w:spacing w:line="360" w:lineRule="auto"/>
      <w:ind w:firstLine="200" w:firstLineChars="200"/>
    </w:pPr>
    <w:rPr>
      <w:rFonts w:eastAsia="仿宋_GB2312"/>
      <w:sz w:val="24"/>
    </w:rPr>
  </w:style>
  <w:style w:type="character" w:customStyle="1" w:styleId="49">
    <w:name w:val="批注文字 Char1"/>
    <w:qFormat/>
    <w:uiPriority w:val="0"/>
    <w:rPr>
      <w:kern w:val="2"/>
      <w:sz w:val="18"/>
      <w:lang w:bidi="ar-SA"/>
    </w:rPr>
  </w:style>
  <w:style w:type="character" w:customStyle="1" w:styleId="50">
    <w:name w:val="页脚 字符"/>
    <w:link w:val="17"/>
    <w:qFormat/>
    <w:uiPriority w:val="99"/>
    <w:rPr>
      <w:rFonts w:eastAsia="宋体"/>
      <w:kern w:val="2"/>
      <w:sz w:val="18"/>
      <w:lang w:val="en-US" w:eastAsia="zh-CN" w:bidi="ar-SA"/>
    </w:rPr>
  </w:style>
  <w:style w:type="character" w:customStyle="1" w:styleId="51">
    <w:name w:val="Char Char9"/>
    <w:qFormat/>
    <w:uiPriority w:val="0"/>
    <w:rPr>
      <w:kern w:val="2"/>
      <w:sz w:val="21"/>
    </w:rPr>
  </w:style>
  <w:style w:type="character" w:customStyle="1" w:styleId="52">
    <w:name w:val="正文文本缩进 字符"/>
    <w:link w:val="13"/>
    <w:qFormat/>
    <w:uiPriority w:val="0"/>
    <w:rPr>
      <w:rFonts w:eastAsia="宋体"/>
      <w:kern w:val="2"/>
      <w:sz w:val="32"/>
      <w:lang w:val="en-US" w:eastAsia="zh-CN" w:bidi="ar-SA"/>
    </w:rPr>
  </w:style>
  <w:style w:type="character" w:customStyle="1" w:styleId="53">
    <w:name w:val="纯文本 字符"/>
    <w:link w:val="14"/>
    <w:unhideWhenUsed/>
    <w:qFormat/>
    <w:uiPriority w:val="0"/>
    <w:rPr>
      <w:rFonts w:ascii="宋体" w:hAnsi="Tms Rmn" w:eastAsia="宋体"/>
      <w:sz w:val="21"/>
      <w:lang w:val="en-US" w:eastAsia="zh-CN" w:bidi="ar-SA"/>
    </w:rPr>
  </w:style>
  <w:style w:type="paragraph" w:customStyle="1" w:styleId="54">
    <w:name w:val="_Style 1"/>
    <w:qFormat/>
    <w:uiPriority w:val="1"/>
    <w:pPr>
      <w:widowControl w:val="0"/>
      <w:jc w:val="both"/>
    </w:pPr>
    <w:rPr>
      <w:rFonts w:ascii="Calibri" w:hAnsi="Calibri" w:eastAsia="宋体" w:cs="Times New Roman"/>
      <w:kern w:val="2"/>
      <w:sz w:val="21"/>
      <w:szCs w:val="22"/>
      <w:lang w:val="en-US" w:eastAsia="zh-CN" w:bidi="ar-SA"/>
    </w:rPr>
  </w:style>
  <w:style w:type="paragraph" w:customStyle="1" w:styleId="55">
    <w:name w:val="表格"/>
    <w:basedOn w:val="1"/>
    <w:qFormat/>
    <w:uiPriority w:val="0"/>
    <w:pPr>
      <w:spacing w:line="400" w:lineRule="exact"/>
    </w:pPr>
    <w:rPr>
      <w:sz w:val="24"/>
    </w:rPr>
  </w:style>
  <w:style w:type="paragraph" w:customStyle="1" w:styleId="56">
    <w:name w:val="列出段落1"/>
    <w:basedOn w:val="1"/>
    <w:qFormat/>
    <w:uiPriority w:val="99"/>
    <w:pPr>
      <w:ind w:firstLine="420" w:firstLineChars="200"/>
    </w:pPr>
  </w:style>
  <w:style w:type="paragraph" w:customStyle="1" w:styleId="57">
    <w:name w:val="样式"/>
    <w:link w:val="72"/>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8">
    <w:name w:val="msonormalcxspmiddle"/>
    <w:basedOn w:val="1"/>
    <w:qFormat/>
    <w:uiPriority w:val="99"/>
    <w:pPr>
      <w:spacing w:before="100" w:beforeAutospacing="1" w:after="100" w:afterAutospacing="1"/>
      <w:jc w:val="left"/>
    </w:pPr>
    <w:rPr>
      <w:kern w:val="0"/>
      <w:sz w:val="24"/>
    </w:rPr>
  </w:style>
  <w:style w:type="paragraph" w:customStyle="1" w:styleId="59">
    <w:name w:val="样式 首行缩进:  2 字符"/>
    <w:basedOn w:val="1"/>
    <w:qFormat/>
    <w:uiPriority w:val="0"/>
    <w:pPr>
      <w:spacing w:line="400" w:lineRule="exact"/>
      <w:ind w:firstLine="200" w:firstLineChars="200"/>
    </w:pPr>
    <w:rPr>
      <w:rFonts w:cs="宋体"/>
      <w:sz w:val="24"/>
    </w:rPr>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61">
    <w:name w:val="Char1"/>
    <w:basedOn w:val="1"/>
    <w:next w:val="1"/>
    <w:qFormat/>
    <w:uiPriority w:val="99"/>
    <w:pPr>
      <w:spacing w:line="240" w:lineRule="atLeast"/>
      <w:ind w:left="420" w:firstLine="420"/>
      <w:jc w:val="left"/>
    </w:pPr>
    <w:rPr>
      <w:kern w:val="0"/>
      <w:szCs w:val="21"/>
    </w:rPr>
  </w:style>
  <w:style w:type="paragraph" w:customStyle="1" w:styleId="62">
    <w:name w:val="正文文本 21"/>
    <w:basedOn w:val="1"/>
    <w:qFormat/>
    <w:uiPriority w:val="0"/>
    <w:pPr>
      <w:adjustRightInd w:val="0"/>
      <w:spacing w:line="300" w:lineRule="auto"/>
      <w:ind w:firstLine="640" w:firstLineChars="200"/>
      <w:jc w:val="center"/>
      <w:textAlignment w:val="baseline"/>
    </w:pPr>
    <w:rPr>
      <w:rFonts w:hint="eastAsia" w:ascii="宋体" w:hAnsi="宋体"/>
      <w:kern w:val="0"/>
      <w:sz w:val="24"/>
    </w:rPr>
  </w:style>
  <w:style w:type="paragraph" w:customStyle="1" w:styleId="63">
    <w:name w:val="样式 节标题1 + 段前: 0.5 行 段后: 0.5 行"/>
    <w:basedOn w:val="1"/>
    <w:qFormat/>
    <w:uiPriority w:val="0"/>
    <w:pPr>
      <w:numPr>
        <w:ilvl w:val="1"/>
        <w:numId w:val="2"/>
      </w:numPr>
      <w:spacing w:beforeLines="50" w:afterLines="50"/>
    </w:pPr>
    <w:rPr>
      <w:rFonts w:cs="宋体"/>
      <w:b/>
      <w:bCs/>
      <w:sz w:val="30"/>
      <w:szCs w:val="20"/>
    </w:rPr>
  </w:style>
  <w:style w:type="paragraph" w:customStyle="1" w:styleId="64">
    <w:name w:val="正文首行缩进两字符"/>
    <w:basedOn w:val="1"/>
    <w:qFormat/>
    <w:uiPriority w:val="99"/>
    <w:pPr>
      <w:spacing w:line="360" w:lineRule="auto"/>
      <w:ind w:firstLine="200" w:firstLineChars="200"/>
    </w:pPr>
  </w:style>
  <w:style w:type="paragraph" w:customStyle="1" w:styleId="65">
    <w:name w:val="Table Paragraph"/>
    <w:basedOn w:val="1"/>
    <w:qFormat/>
    <w:uiPriority w:val="1"/>
  </w:style>
  <w:style w:type="paragraph" w:customStyle="1" w:styleId="66">
    <w:name w:val="Char Char Char Char Char Char Char Char Char Char Char Char Char Char1 Char Char Char Char"/>
    <w:basedOn w:val="1"/>
    <w:qFormat/>
    <w:uiPriority w:val="0"/>
    <w:rPr>
      <w:szCs w:val="21"/>
    </w:rPr>
  </w:style>
  <w:style w:type="paragraph" w:customStyle="1" w:styleId="67">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8">
    <w:name w:val="列出段落2"/>
    <w:basedOn w:val="1"/>
    <w:qFormat/>
    <w:uiPriority w:val="0"/>
    <w:pPr>
      <w:ind w:firstLine="420" w:firstLineChars="200"/>
    </w:pPr>
    <w:rPr>
      <w:rFonts w:ascii="Calibri" w:hAnsi="Calibri"/>
      <w:szCs w:val="21"/>
    </w:rPr>
  </w:style>
  <w:style w:type="paragraph" w:customStyle="1" w:styleId="69">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70">
    <w:name w:val="标题 1 字符"/>
    <w:basedOn w:val="27"/>
    <w:link w:val="3"/>
    <w:qFormat/>
    <w:uiPriority w:val="99"/>
    <w:rPr>
      <w:b/>
      <w:bCs/>
      <w:kern w:val="44"/>
      <w:sz w:val="44"/>
      <w:szCs w:val="44"/>
    </w:rPr>
  </w:style>
  <w:style w:type="character" w:customStyle="1" w:styleId="71">
    <w:name w:val="正文文本 字符"/>
    <w:link w:val="12"/>
    <w:qFormat/>
    <w:uiPriority w:val="0"/>
    <w:rPr>
      <w:rFonts w:eastAsia="仿宋_GB2312"/>
      <w:kern w:val="2"/>
      <w:sz w:val="32"/>
      <w:szCs w:val="24"/>
    </w:rPr>
  </w:style>
  <w:style w:type="character" w:customStyle="1" w:styleId="72">
    <w:name w:val="样式 Char Char"/>
    <w:link w:val="57"/>
    <w:qFormat/>
    <w:locked/>
    <w:uiPriority w:val="0"/>
    <w:rPr>
      <w:rFonts w:ascii="宋体" w:hAnsi="宋体" w:cs="宋体"/>
      <w:sz w:val="24"/>
      <w:szCs w:val="24"/>
    </w:rPr>
  </w:style>
  <w:style w:type="character" w:customStyle="1" w:styleId="73">
    <w:name w:val="标题 字符"/>
    <w:basedOn w:val="27"/>
    <w:qFormat/>
    <w:uiPriority w:val="0"/>
    <w:rPr>
      <w:rFonts w:asciiTheme="majorHAnsi" w:hAnsiTheme="majorHAnsi" w:eastAsiaTheme="majorEastAsia" w:cstheme="majorBidi"/>
      <w:b/>
      <w:bCs/>
      <w:kern w:val="2"/>
      <w:sz w:val="32"/>
      <w:szCs w:val="32"/>
    </w:rPr>
  </w:style>
  <w:style w:type="character" w:customStyle="1" w:styleId="74">
    <w:name w:val="标题 字符1"/>
    <w:link w:val="22"/>
    <w:qFormat/>
    <w:locked/>
    <w:uiPriority w:val="99"/>
    <w:rPr>
      <w:smallCaps/>
      <w:sz w:val="52"/>
      <w:szCs w:val="5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8E79EE-671A-4747-A975-F3A46B48429F}">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1</Pages>
  <Words>6206</Words>
  <Characters>35375</Characters>
  <Lines>294</Lines>
  <Paragraphs>82</Paragraphs>
  <TotalTime>9</TotalTime>
  <ScaleCrop>false</ScaleCrop>
  <LinksUpToDate>false</LinksUpToDate>
  <CharactersWithSpaces>41499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2021-09-15T07:36:00Z</dcterms:created>
  <dc:creator>jia xie</dc:creator>
  <cp:lastModifiedBy>久尓久之</cp:lastModifiedBy>
  <cp:lastPrinted>2021-09-15T07:36:00Z</cp:lastPrinted>
  <dcterms:modified xsi:type="dcterms:W3CDTF">2021-09-15T07:38:59Z</dcterms:modified>
  <dc:title>招标编号：xx政采招[xxxx] xxx号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27719E2E085D4E0AB56D78B7A936FA42</vt:lpwstr>
  </property>
</Properties>
</file>