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after="0" w:line="360" w:lineRule="auto"/>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采购项目编号：510182202200076</w:t>
      </w:r>
    </w:p>
    <w:p>
      <w:pPr>
        <w:pageBreakBefore w:val="0"/>
        <w:tabs>
          <w:tab w:val="left" w:pos="2505"/>
          <w:tab w:val="center" w:pos="4204"/>
        </w:tabs>
        <w:kinsoku/>
        <w:wordWrap/>
        <w:overflowPunct/>
        <w:topLinePunct w:val="0"/>
        <w:bidi w:val="0"/>
        <w:spacing w:after="0" w:line="360" w:lineRule="auto"/>
        <w:jc w:val="center"/>
        <w:rPr>
          <w:rFonts w:hint="eastAsia" w:ascii="宋体" w:hAnsi="宋体" w:eastAsia="宋体" w:cs="宋体"/>
          <w:color w:val="auto"/>
          <w:sz w:val="52"/>
          <w:szCs w:val="52"/>
          <w:highlight w:val="none"/>
          <w:lang w:eastAsia="zh-CN"/>
        </w:rPr>
      </w:pPr>
      <w:r>
        <w:rPr>
          <w:rFonts w:hint="eastAsia" w:ascii="宋体" w:hAnsi="宋体" w:eastAsia="宋体" w:cs="宋体"/>
          <w:b/>
          <w:bCs/>
          <w:color w:val="auto"/>
          <w:sz w:val="44"/>
          <w:szCs w:val="44"/>
          <w:highlight w:val="none"/>
          <w:lang w:eastAsia="zh-CN"/>
        </w:rPr>
        <w:t>彭州市“十四五”石化园区及周边地下水自动监测站新增仪器设备及耗材采购项目（</w:t>
      </w:r>
      <w:r>
        <w:rPr>
          <w:rFonts w:hint="eastAsia" w:ascii="宋体" w:hAnsi="宋体" w:eastAsia="宋体" w:cs="宋体"/>
          <w:b/>
          <w:bCs/>
          <w:color w:val="auto"/>
          <w:sz w:val="44"/>
          <w:szCs w:val="44"/>
          <w:highlight w:val="none"/>
          <w:lang w:val="en-US" w:eastAsia="zh-CN"/>
        </w:rPr>
        <w:t>第二次</w:t>
      </w:r>
      <w:r>
        <w:rPr>
          <w:rFonts w:hint="eastAsia" w:ascii="宋体" w:hAnsi="宋体" w:eastAsia="宋体" w:cs="宋体"/>
          <w:b/>
          <w:bCs/>
          <w:color w:val="auto"/>
          <w:sz w:val="44"/>
          <w:szCs w:val="44"/>
          <w:highlight w:val="none"/>
          <w:lang w:eastAsia="zh-CN"/>
        </w:rPr>
        <w:t>）</w:t>
      </w:r>
    </w:p>
    <w:p>
      <w:pPr>
        <w:pageBreakBefore w:val="0"/>
        <w:tabs>
          <w:tab w:val="left" w:pos="2505"/>
          <w:tab w:val="center" w:pos="4204"/>
        </w:tabs>
        <w:kinsoku/>
        <w:wordWrap/>
        <w:overflowPunct/>
        <w:topLinePunct w:val="0"/>
        <w:bidi w:val="0"/>
        <w:spacing w:after="0" w:line="360" w:lineRule="auto"/>
        <w:jc w:val="center"/>
        <w:rPr>
          <w:rFonts w:hint="eastAsia" w:ascii="宋体" w:hAnsi="宋体" w:eastAsia="宋体" w:cs="宋体"/>
          <w:b/>
          <w:bCs/>
          <w:color w:val="auto"/>
          <w:sz w:val="72"/>
          <w:szCs w:val="72"/>
          <w:highlight w:val="none"/>
        </w:rPr>
      </w:pPr>
    </w:p>
    <w:p>
      <w:pPr>
        <w:pageBreakBefore w:val="0"/>
        <w:tabs>
          <w:tab w:val="left" w:pos="2505"/>
          <w:tab w:val="center" w:pos="4204"/>
        </w:tabs>
        <w:kinsoku/>
        <w:wordWrap/>
        <w:overflowPunct/>
        <w:topLinePunct w:val="0"/>
        <w:bidi w:val="0"/>
        <w:spacing w:after="0"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w:t>
      </w:r>
    </w:p>
    <w:p>
      <w:pPr>
        <w:pageBreakBefore w:val="0"/>
        <w:kinsoku/>
        <w:wordWrap/>
        <w:overflowPunct/>
        <w:topLinePunct w:val="0"/>
        <w:bidi w:val="0"/>
        <w:spacing w:after="0"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标</w:t>
      </w:r>
    </w:p>
    <w:p>
      <w:pPr>
        <w:pageBreakBefore w:val="0"/>
        <w:kinsoku/>
        <w:wordWrap/>
        <w:overflowPunct/>
        <w:topLinePunct w:val="0"/>
        <w:bidi w:val="0"/>
        <w:spacing w:after="0"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文</w:t>
      </w:r>
    </w:p>
    <w:p>
      <w:pPr>
        <w:pageBreakBefore w:val="0"/>
        <w:kinsoku/>
        <w:wordWrap/>
        <w:overflowPunct/>
        <w:topLinePunct w:val="0"/>
        <w:bidi w:val="0"/>
        <w:spacing w:after="0"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件</w:t>
      </w:r>
    </w:p>
    <w:p>
      <w:pPr>
        <w:pageBreakBefore w:val="0"/>
        <w:kinsoku/>
        <w:wordWrap/>
        <w:overflowPunct/>
        <w:topLinePunct w:val="0"/>
        <w:bidi w:val="0"/>
        <w:spacing w:after="0" w:line="360" w:lineRule="auto"/>
        <w:jc w:val="center"/>
        <w:rPr>
          <w:rFonts w:hint="eastAsia" w:ascii="宋体" w:hAnsi="宋体" w:eastAsia="宋体" w:cs="宋体"/>
          <w:b/>
          <w:bCs/>
          <w:color w:val="auto"/>
          <w:sz w:val="32"/>
          <w:szCs w:val="32"/>
          <w:highlight w:val="none"/>
        </w:rPr>
      </w:pPr>
    </w:p>
    <w:p>
      <w:pPr>
        <w:pageBreakBefore w:val="0"/>
        <w:kinsoku/>
        <w:wordWrap/>
        <w:overflowPunct/>
        <w:topLinePunct w:val="0"/>
        <w:bidi w:val="0"/>
        <w:spacing w:after="0" w:line="360" w:lineRule="auto"/>
        <w:rPr>
          <w:rFonts w:hint="eastAsia" w:ascii="宋体" w:hAnsi="宋体" w:eastAsia="宋体" w:cs="宋体"/>
          <w:b/>
          <w:bCs/>
          <w:color w:val="auto"/>
          <w:highlight w:val="none"/>
        </w:rPr>
      </w:pPr>
    </w:p>
    <w:p>
      <w:pPr>
        <w:pageBreakBefore w:val="0"/>
        <w:kinsoku/>
        <w:wordWrap/>
        <w:overflowPunct/>
        <w:topLinePunct w:val="0"/>
        <w:bidi w:val="0"/>
        <w:spacing w:after="0" w:line="360" w:lineRule="auto"/>
        <w:jc w:val="center"/>
        <w:rPr>
          <w:rFonts w:hint="eastAsia" w:ascii="宋体" w:hAnsi="宋体" w:eastAsia="宋体" w:cs="宋体"/>
          <w:b/>
          <w:bCs/>
          <w:color w:val="auto"/>
          <w:sz w:val="32"/>
          <w:szCs w:val="32"/>
          <w:highlight w:val="none"/>
          <w:lang w:eastAsia="zh-CN"/>
        </w:rPr>
      </w:pPr>
    </w:p>
    <w:p>
      <w:pPr>
        <w:pageBreakBefore w:val="0"/>
        <w:kinsoku/>
        <w:wordWrap/>
        <w:overflowPunct/>
        <w:topLinePunct w:val="0"/>
        <w:bidi w:val="0"/>
        <w:spacing w:after="0" w:line="360" w:lineRule="auto"/>
        <w:jc w:val="center"/>
        <w:rPr>
          <w:rFonts w:hint="eastAsia" w:ascii="宋体" w:hAnsi="宋体" w:eastAsia="宋体" w:cs="宋体"/>
          <w:b/>
          <w:bCs/>
          <w:color w:val="auto"/>
          <w:sz w:val="32"/>
          <w:szCs w:val="32"/>
          <w:highlight w:val="none"/>
          <w:lang w:eastAsia="zh-CN"/>
        </w:rPr>
      </w:pPr>
      <w:bookmarkStart w:id="0" w:name="PO_代理公司_1"/>
      <w:r>
        <w:rPr>
          <w:rFonts w:hint="eastAsia" w:ascii="宋体" w:hAnsi="宋体" w:eastAsia="宋体" w:cs="宋体"/>
          <w:b/>
          <w:bCs/>
          <w:color w:val="auto"/>
          <w:sz w:val="32"/>
          <w:szCs w:val="32"/>
          <w:highlight w:val="none"/>
        </w:rPr>
        <w:t>采购人：</w:t>
      </w:r>
      <w:r>
        <w:rPr>
          <w:rFonts w:hint="eastAsia" w:ascii="宋体" w:hAnsi="宋体" w:eastAsia="宋体" w:cs="宋体"/>
          <w:b/>
          <w:bCs/>
          <w:color w:val="auto"/>
          <w:sz w:val="32"/>
          <w:szCs w:val="32"/>
          <w:highlight w:val="none"/>
          <w:lang w:eastAsia="zh-CN"/>
        </w:rPr>
        <w:t>成都市彭州生态环境局</w:t>
      </w:r>
    </w:p>
    <w:bookmarkEnd w:id="0"/>
    <w:p>
      <w:pPr>
        <w:pageBreakBefore w:val="0"/>
        <w:kinsoku/>
        <w:wordWrap/>
        <w:overflowPunct/>
        <w:topLinePunct w:val="0"/>
        <w:bidi w:val="0"/>
        <w:spacing w:after="0" w:line="360" w:lineRule="auto"/>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采购代理机构：</w:t>
      </w:r>
      <w:r>
        <w:rPr>
          <w:rFonts w:hint="eastAsia" w:ascii="宋体" w:hAnsi="宋体" w:eastAsia="宋体" w:cs="宋体"/>
          <w:b/>
          <w:bCs/>
          <w:color w:val="auto"/>
          <w:sz w:val="32"/>
          <w:szCs w:val="32"/>
          <w:highlight w:val="none"/>
          <w:lang w:eastAsia="zh-CN"/>
        </w:rPr>
        <w:t>四川尚品达工程咨询有限公司</w:t>
      </w:r>
    </w:p>
    <w:p>
      <w:pPr>
        <w:pageBreakBefore w:val="0"/>
        <w:kinsoku/>
        <w:wordWrap/>
        <w:overflowPunct/>
        <w:topLinePunct w:val="0"/>
        <w:bidi w:val="0"/>
        <w:spacing w:after="0"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共同编制</w:t>
      </w:r>
    </w:p>
    <w:p>
      <w:pPr>
        <w:pageBreakBefore w:val="0"/>
        <w:kinsoku/>
        <w:wordWrap/>
        <w:overflowPunct/>
        <w:topLinePunct w:val="0"/>
        <w:bidi w:val="0"/>
        <w:spacing w:after="0" w:line="360" w:lineRule="auto"/>
        <w:jc w:val="center"/>
        <w:rPr>
          <w:rFonts w:hint="eastAsia" w:ascii="宋体" w:hAnsi="宋体" w:eastAsia="宋体" w:cs="宋体"/>
          <w:color w:val="auto"/>
          <w:sz w:val="32"/>
          <w:szCs w:val="32"/>
          <w:highlight w:val="none"/>
          <w:lang w:val="zh-CN"/>
        </w:rPr>
        <w:sectPr>
          <w:headerReference r:id="rId7" w:type="first"/>
          <w:footerReference r:id="rId10" w:type="first"/>
          <w:headerReference r:id="rId5" w:type="default"/>
          <w:footerReference r:id="rId8" w:type="default"/>
          <w:headerReference r:id="rId6" w:type="even"/>
          <w:footerReference r:id="rId9" w:type="even"/>
          <w:pgSz w:w="11907" w:h="16840"/>
          <w:pgMar w:top="1134" w:right="1134" w:bottom="1134" w:left="1134" w:header="851" w:footer="992" w:gutter="0"/>
          <w:pgNumType w:start="1"/>
          <w:cols w:space="720" w:num="1"/>
          <w:titlePg/>
          <w:docGrid w:linePitch="312" w:charSpace="0"/>
        </w:sectPr>
      </w:pPr>
    </w:p>
    <w:p>
      <w:pPr>
        <w:pStyle w:val="6"/>
        <w:pageBreakBefore w:val="0"/>
        <w:kinsoku/>
        <w:wordWrap/>
        <w:overflowPunct/>
        <w:topLinePunct w:val="0"/>
        <w:bidi w:val="0"/>
        <w:spacing w:before="0" w:after="0"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目 录</w:t>
      </w:r>
    </w:p>
    <w:p>
      <w:pPr>
        <w:pageBreakBefore w:val="0"/>
        <w:kinsoku/>
        <w:wordWrap/>
        <w:overflowPunct/>
        <w:topLinePunct w:val="0"/>
        <w:bidi w:val="0"/>
        <w:spacing w:after="0"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第一章投标邀请………………………………………………………………………2</w:t>
      </w:r>
    </w:p>
    <w:p>
      <w:pPr>
        <w:pageBreakBefore w:val="0"/>
        <w:kinsoku/>
        <w:wordWrap/>
        <w:overflowPunct/>
        <w:topLinePunct w:val="0"/>
        <w:bidi w:val="0"/>
        <w:spacing w:after="0"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第二章投标人须知……………………………………………………………………5</w:t>
      </w:r>
    </w:p>
    <w:p>
      <w:pPr>
        <w:pageBreakBefore w:val="0"/>
        <w:kinsoku/>
        <w:wordWrap/>
        <w:overflowPunct/>
        <w:topLinePunct w:val="0"/>
        <w:bidi w:val="0"/>
        <w:spacing w:after="0" w:line="360" w:lineRule="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第三章投标文件格式…………………………………………………………………2</w:t>
      </w:r>
      <w:r>
        <w:rPr>
          <w:rFonts w:hint="eastAsia" w:ascii="宋体" w:hAnsi="宋体" w:eastAsia="宋体" w:cs="宋体"/>
          <w:b/>
          <w:color w:val="auto"/>
          <w:sz w:val="24"/>
          <w:highlight w:val="none"/>
          <w:lang w:val="en-US" w:eastAsia="zh-CN"/>
        </w:rPr>
        <w:t>0</w:t>
      </w:r>
    </w:p>
    <w:p>
      <w:pPr>
        <w:pageBreakBefore w:val="0"/>
        <w:kinsoku/>
        <w:wordWrap/>
        <w:overflowPunct/>
        <w:topLinePunct w:val="0"/>
        <w:bidi w:val="0"/>
        <w:spacing w:after="0"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第四章投标人和投标产品的资格、资质性及其他类似效力要求…………………4</w:t>
      </w:r>
      <w:r>
        <w:rPr>
          <w:rFonts w:hint="eastAsia" w:ascii="宋体" w:hAnsi="宋体" w:eastAsia="宋体" w:cs="宋体"/>
          <w:b/>
          <w:color w:val="auto"/>
          <w:sz w:val="24"/>
          <w:highlight w:val="none"/>
          <w:lang w:val="en-US" w:eastAsia="zh-CN"/>
        </w:rPr>
        <w:t>5</w:t>
      </w:r>
    </w:p>
    <w:p>
      <w:pPr>
        <w:pageBreakBefore w:val="0"/>
        <w:kinsoku/>
        <w:wordWrap/>
        <w:overflowPunct/>
        <w:topLinePunct w:val="0"/>
        <w:bidi w:val="0"/>
        <w:spacing w:after="0"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第五章投标人应当提供的资格、资质性及其他类似效力要求的相关证明材料…</w:t>
      </w:r>
      <w:r>
        <w:rPr>
          <w:rFonts w:hint="eastAsia" w:ascii="宋体" w:hAnsi="宋体" w:eastAsia="宋体" w:cs="宋体"/>
          <w:b/>
          <w:color w:val="auto"/>
          <w:sz w:val="24"/>
          <w:highlight w:val="none"/>
          <w:lang w:val="en-US" w:eastAsia="zh-CN"/>
        </w:rPr>
        <w:t>47</w:t>
      </w:r>
    </w:p>
    <w:p>
      <w:pPr>
        <w:pageBreakBefore w:val="0"/>
        <w:kinsoku/>
        <w:wordWrap/>
        <w:overflowPunct/>
        <w:topLinePunct w:val="0"/>
        <w:bidi w:val="0"/>
        <w:spacing w:after="0"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第六章招标项目技术、服务、商务及其他要求……………………………………</w:t>
      </w:r>
      <w:r>
        <w:rPr>
          <w:rFonts w:hint="eastAsia" w:ascii="宋体" w:hAnsi="宋体" w:eastAsia="宋体" w:cs="宋体"/>
          <w:b/>
          <w:color w:val="auto"/>
          <w:sz w:val="24"/>
          <w:highlight w:val="none"/>
          <w:lang w:val="en-US" w:eastAsia="zh-CN"/>
        </w:rPr>
        <w:t>49</w:t>
      </w:r>
    </w:p>
    <w:p>
      <w:pPr>
        <w:pageBreakBefore w:val="0"/>
        <w:kinsoku/>
        <w:wordWrap/>
        <w:overflowPunct/>
        <w:topLinePunct w:val="0"/>
        <w:bidi w:val="0"/>
        <w:spacing w:after="0"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第七章评标办法………………………………………………………………………</w:t>
      </w:r>
      <w:r>
        <w:rPr>
          <w:rFonts w:hint="eastAsia" w:ascii="宋体" w:hAnsi="宋体" w:eastAsia="宋体" w:cs="宋体"/>
          <w:b/>
          <w:color w:val="auto"/>
          <w:sz w:val="24"/>
          <w:highlight w:val="none"/>
          <w:lang w:val="en-US" w:eastAsia="zh-CN"/>
        </w:rPr>
        <w:t>57</w:t>
      </w:r>
    </w:p>
    <w:p>
      <w:pPr>
        <w:pageBreakBefore w:val="0"/>
        <w:kinsoku/>
        <w:wordWrap/>
        <w:overflowPunct/>
        <w:topLinePunct w:val="0"/>
        <w:bidi w:val="0"/>
        <w:spacing w:after="0"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第八章政府采购合同（草案）………………………………………………………</w:t>
      </w:r>
      <w:r>
        <w:rPr>
          <w:rFonts w:hint="eastAsia" w:ascii="宋体" w:hAnsi="宋体" w:eastAsia="宋体" w:cs="宋体"/>
          <w:b/>
          <w:color w:val="auto"/>
          <w:sz w:val="24"/>
          <w:highlight w:val="none"/>
          <w:lang w:val="en-US" w:eastAsia="zh-CN"/>
        </w:rPr>
        <w:t>67</w:t>
      </w:r>
    </w:p>
    <w:p>
      <w:pPr>
        <w:pageBreakBefore w:val="0"/>
        <w:kinsoku/>
        <w:wordWrap/>
        <w:overflowPunct/>
        <w:topLinePunct w:val="0"/>
        <w:bidi w:val="0"/>
        <w:spacing w:after="0" w:line="360" w:lineRule="auto"/>
        <w:rPr>
          <w:rFonts w:hint="eastAsia" w:ascii="宋体" w:hAnsi="宋体" w:eastAsia="宋体" w:cs="宋体"/>
          <w:color w:val="auto"/>
          <w:highlight w:val="none"/>
        </w:rPr>
      </w:pPr>
    </w:p>
    <w:p>
      <w:pPr>
        <w:pageBreakBefore w:val="0"/>
        <w:kinsoku/>
        <w:wordWrap/>
        <w:overflowPunct/>
        <w:topLinePunct w:val="0"/>
        <w:bidi w:val="0"/>
        <w:spacing w:after="0" w:line="360" w:lineRule="auto"/>
        <w:rPr>
          <w:rFonts w:hint="eastAsia" w:ascii="宋体" w:hAnsi="宋体" w:eastAsia="宋体" w:cs="宋体"/>
          <w:color w:val="auto"/>
          <w:highlight w:val="none"/>
        </w:rPr>
      </w:pPr>
    </w:p>
    <w:p>
      <w:pPr>
        <w:pageBreakBefore w:val="0"/>
        <w:kinsoku/>
        <w:wordWrap/>
        <w:overflowPunct/>
        <w:topLinePunct w:val="0"/>
        <w:bidi w:val="0"/>
        <w:spacing w:after="0" w:line="360" w:lineRule="auto"/>
        <w:rPr>
          <w:rFonts w:hint="eastAsia" w:ascii="宋体" w:hAnsi="宋体" w:eastAsia="宋体" w:cs="宋体"/>
          <w:color w:val="auto"/>
          <w:highlight w:val="none"/>
        </w:rPr>
      </w:pPr>
    </w:p>
    <w:p>
      <w:pPr>
        <w:pageBreakBefore w:val="0"/>
        <w:kinsoku/>
        <w:wordWrap/>
        <w:overflowPunct/>
        <w:topLinePunct w:val="0"/>
        <w:bidi w:val="0"/>
        <w:spacing w:after="0" w:line="360" w:lineRule="auto"/>
        <w:rPr>
          <w:rFonts w:hint="eastAsia" w:ascii="宋体" w:hAnsi="宋体" w:eastAsia="宋体" w:cs="宋体"/>
          <w:color w:val="auto"/>
          <w:highlight w:val="none"/>
        </w:rPr>
      </w:pPr>
    </w:p>
    <w:p>
      <w:pPr>
        <w:pageBreakBefore w:val="0"/>
        <w:kinsoku/>
        <w:wordWrap/>
        <w:overflowPunct/>
        <w:topLinePunct w:val="0"/>
        <w:bidi w:val="0"/>
        <w:spacing w:after="0" w:line="360" w:lineRule="auto"/>
        <w:rPr>
          <w:rFonts w:hint="eastAsia" w:ascii="宋体" w:hAnsi="宋体" w:eastAsia="宋体" w:cs="宋体"/>
          <w:color w:val="auto"/>
          <w:highlight w:val="none"/>
        </w:rPr>
      </w:pPr>
    </w:p>
    <w:p>
      <w:pPr>
        <w:pageBreakBefore w:val="0"/>
        <w:kinsoku/>
        <w:wordWrap/>
        <w:overflowPunct/>
        <w:topLinePunct w:val="0"/>
        <w:bidi w:val="0"/>
        <w:spacing w:after="0" w:line="360" w:lineRule="auto"/>
        <w:rPr>
          <w:rFonts w:hint="eastAsia" w:ascii="宋体" w:hAnsi="宋体" w:eastAsia="宋体" w:cs="宋体"/>
          <w:color w:val="auto"/>
          <w:highlight w:val="none"/>
        </w:rPr>
      </w:pPr>
    </w:p>
    <w:p>
      <w:pPr>
        <w:pageBreakBefore w:val="0"/>
        <w:kinsoku/>
        <w:wordWrap/>
        <w:overflowPunct/>
        <w:topLinePunct w:val="0"/>
        <w:bidi w:val="0"/>
        <w:spacing w:after="0" w:line="360" w:lineRule="auto"/>
        <w:rPr>
          <w:rFonts w:hint="eastAsia" w:ascii="宋体" w:hAnsi="宋体" w:eastAsia="宋体" w:cs="宋体"/>
          <w:color w:val="auto"/>
          <w:highlight w:val="none"/>
        </w:rPr>
      </w:pPr>
    </w:p>
    <w:p>
      <w:pPr>
        <w:pageBreakBefore w:val="0"/>
        <w:kinsoku/>
        <w:wordWrap/>
        <w:overflowPunct/>
        <w:topLinePunct w:val="0"/>
        <w:bidi w:val="0"/>
        <w:spacing w:after="0" w:line="360" w:lineRule="auto"/>
        <w:rPr>
          <w:rFonts w:hint="eastAsia" w:ascii="宋体" w:hAnsi="宋体" w:eastAsia="宋体" w:cs="宋体"/>
          <w:color w:val="auto"/>
          <w:highlight w:val="none"/>
        </w:rPr>
      </w:pPr>
    </w:p>
    <w:p>
      <w:pPr>
        <w:pageBreakBefore w:val="0"/>
        <w:kinsoku/>
        <w:wordWrap/>
        <w:overflowPunct/>
        <w:topLinePunct w:val="0"/>
        <w:bidi w:val="0"/>
        <w:spacing w:after="0" w:line="360" w:lineRule="auto"/>
        <w:rPr>
          <w:rFonts w:hint="eastAsia" w:ascii="宋体" w:hAnsi="宋体" w:eastAsia="宋体" w:cs="宋体"/>
          <w:color w:val="auto"/>
          <w:highlight w:val="none"/>
        </w:rPr>
      </w:pPr>
    </w:p>
    <w:p>
      <w:pPr>
        <w:pageBreakBefore w:val="0"/>
        <w:kinsoku/>
        <w:wordWrap/>
        <w:overflowPunct/>
        <w:topLinePunct w:val="0"/>
        <w:bidi w:val="0"/>
        <w:spacing w:after="0" w:line="360" w:lineRule="auto"/>
        <w:rPr>
          <w:rFonts w:hint="eastAsia" w:ascii="宋体" w:hAnsi="宋体" w:eastAsia="宋体" w:cs="宋体"/>
          <w:color w:val="auto"/>
          <w:highlight w:val="none"/>
        </w:rPr>
      </w:pPr>
    </w:p>
    <w:p>
      <w:pPr>
        <w:pageBreakBefore w:val="0"/>
        <w:kinsoku/>
        <w:wordWrap/>
        <w:overflowPunct/>
        <w:topLinePunct w:val="0"/>
        <w:bidi w:val="0"/>
        <w:spacing w:after="0" w:line="360" w:lineRule="auto"/>
        <w:rPr>
          <w:rFonts w:hint="eastAsia" w:ascii="宋体" w:hAnsi="宋体" w:eastAsia="宋体" w:cs="宋体"/>
          <w:color w:val="auto"/>
          <w:highlight w:val="none"/>
        </w:rPr>
      </w:pPr>
    </w:p>
    <w:p>
      <w:pPr>
        <w:pageBreakBefore w:val="0"/>
        <w:kinsoku/>
        <w:wordWrap/>
        <w:overflowPunct/>
        <w:topLinePunct w:val="0"/>
        <w:bidi w:val="0"/>
        <w:spacing w:after="0" w:line="360" w:lineRule="auto"/>
        <w:rPr>
          <w:rFonts w:hint="eastAsia" w:ascii="宋体" w:hAnsi="宋体" w:eastAsia="宋体" w:cs="宋体"/>
          <w:color w:val="auto"/>
          <w:highlight w:val="none"/>
        </w:rPr>
      </w:pPr>
    </w:p>
    <w:p>
      <w:pPr>
        <w:pageBreakBefore w:val="0"/>
        <w:tabs>
          <w:tab w:val="left" w:pos="315"/>
        </w:tabs>
        <w:kinsoku/>
        <w:wordWrap/>
        <w:overflowPunct/>
        <w:topLinePunct w:val="0"/>
        <w:bidi w:val="0"/>
        <w:spacing w:after="0" w:line="360" w:lineRule="auto"/>
        <w:jc w:val="left"/>
        <w:rPr>
          <w:rFonts w:hint="eastAsia" w:ascii="宋体" w:hAnsi="宋体" w:eastAsia="宋体" w:cs="宋体"/>
          <w:color w:val="auto"/>
          <w:highlight w:val="none"/>
        </w:rPr>
        <w:sectPr>
          <w:footerReference r:id="rId13" w:type="first"/>
          <w:footerReference r:id="rId11" w:type="default"/>
          <w:footerReference r:id="rId12" w:type="even"/>
          <w:pgSz w:w="11907" w:h="16840"/>
          <w:pgMar w:top="1134" w:right="1134" w:bottom="1134" w:left="1134" w:header="454" w:footer="686" w:gutter="0"/>
          <w:pgNumType w:start="1"/>
          <w:cols w:space="720" w:num="1"/>
          <w:titlePg/>
          <w:docGrid w:linePitch="312" w:charSpace="0"/>
        </w:sectPr>
      </w:pPr>
      <w:r>
        <w:rPr>
          <w:rFonts w:hint="eastAsia" w:ascii="宋体" w:hAnsi="宋体" w:eastAsia="宋体" w:cs="宋体"/>
          <w:color w:val="auto"/>
          <w:highlight w:val="none"/>
        </w:rPr>
        <w:tab/>
      </w:r>
    </w:p>
    <w:p>
      <w:pPr>
        <w:pStyle w:val="3"/>
        <w:pageBreakBefore w:val="0"/>
        <w:kinsoku/>
        <w:wordWrap/>
        <w:overflowPunct/>
        <w:topLinePunct w:val="0"/>
        <w:bidi w:val="0"/>
        <w:spacing w:before="0" w:after="0" w:line="360" w:lineRule="auto"/>
        <w:jc w:val="center"/>
        <w:rPr>
          <w:rFonts w:hint="eastAsia" w:ascii="宋体" w:hAnsi="宋体" w:eastAsia="宋体" w:cs="宋体"/>
          <w:color w:val="auto"/>
          <w:sz w:val="36"/>
          <w:szCs w:val="36"/>
          <w:highlight w:val="none"/>
        </w:rPr>
      </w:pPr>
      <w:bookmarkStart w:id="1" w:name="_Hlt101843627"/>
      <w:bookmarkEnd w:id="1"/>
      <w:bookmarkStart w:id="2" w:name="_Hlt101233737"/>
      <w:bookmarkEnd w:id="2"/>
      <w:bookmarkStart w:id="3" w:name="_Toc24584"/>
      <w:bookmarkStart w:id="4" w:name="_Toc6066"/>
      <w:r>
        <w:rPr>
          <w:rFonts w:hint="eastAsia" w:ascii="宋体" w:hAnsi="宋体" w:eastAsia="宋体" w:cs="宋体"/>
          <w:color w:val="auto"/>
          <w:sz w:val="36"/>
          <w:szCs w:val="36"/>
          <w:highlight w:val="none"/>
        </w:rPr>
        <w:t>第一章  投标邀请</w:t>
      </w:r>
      <w:bookmarkEnd w:id="3"/>
      <w:bookmarkEnd w:id="4"/>
    </w:p>
    <w:p>
      <w:pPr>
        <w:pageBreakBefore w:val="0"/>
        <w:tabs>
          <w:tab w:val="left" w:pos="7665"/>
        </w:tabs>
        <w:kinsoku/>
        <w:wordWrap/>
        <w:overflowPunct/>
        <w:topLinePunct w:val="0"/>
        <w:bidi w:val="0"/>
        <w:spacing w:after="0"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四川尚品达工程咨询有限公司</w:t>
      </w:r>
      <w:r>
        <w:rPr>
          <w:rFonts w:hint="eastAsia" w:ascii="宋体" w:hAnsi="宋体" w:eastAsia="宋体" w:cs="宋体"/>
          <w:color w:val="auto"/>
          <w:sz w:val="24"/>
          <w:highlight w:val="none"/>
          <w:u w:val="single"/>
        </w:rPr>
        <w:t>（采购代理机构）</w:t>
      </w:r>
      <w:r>
        <w:rPr>
          <w:rFonts w:hint="eastAsia" w:ascii="宋体" w:hAnsi="宋体" w:eastAsia="宋体" w:cs="宋体"/>
          <w:color w:val="auto"/>
          <w:sz w:val="24"/>
          <w:highlight w:val="none"/>
        </w:rPr>
        <w:t>受</w:t>
      </w:r>
      <w:r>
        <w:rPr>
          <w:rFonts w:hint="eastAsia" w:ascii="宋体" w:hAnsi="宋体" w:eastAsia="宋体" w:cs="宋体"/>
          <w:color w:val="auto"/>
          <w:sz w:val="24"/>
          <w:highlight w:val="none"/>
          <w:u w:val="single"/>
          <w:lang w:eastAsia="zh-CN"/>
        </w:rPr>
        <w:t>成都市彭州生态环境局</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委托，拟对</w:t>
      </w:r>
      <w:bookmarkStart w:id="5" w:name="PO_默认文件内容_4"/>
      <w:r>
        <w:rPr>
          <w:rFonts w:hint="eastAsia" w:ascii="宋体" w:hAnsi="宋体" w:eastAsia="宋体" w:cs="宋体"/>
          <w:color w:val="auto"/>
          <w:sz w:val="24"/>
          <w:highlight w:val="none"/>
          <w:u w:val="single"/>
          <w:lang w:eastAsia="zh-CN"/>
        </w:rPr>
        <w:t>彭州市“十四五”石化园区及周边地下水自动监测站新增仪器设备及耗材采购项目（</w:t>
      </w:r>
      <w:r>
        <w:rPr>
          <w:rFonts w:hint="eastAsia" w:ascii="宋体" w:hAnsi="宋体" w:eastAsia="宋体" w:cs="宋体"/>
          <w:color w:val="auto"/>
          <w:sz w:val="24"/>
          <w:highlight w:val="none"/>
          <w:u w:val="single"/>
          <w:lang w:val="en-US" w:eastAsia="zh-CN"/>
        </w:rPr>
        <w:t>第二次</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rPr>
        <w:t>进行国内公开招标，兹邀请符合本次招标要求的投标人参加投标。</w:t>
      </w:r>
      <w:bookmarkEnd w:id="5"/>
    </w:p>
    <w:p>
      <w:pPr>
        <w:pageBreakBefore w:val="0"/>
        <w:kinsoku/>
        <w:wordWrap/>
        <w:overflowPunct/>
        <w:topLinePunct w:val="0"/>
        <w:bidi w:val="0"/>
        <w:spacing w:after="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一、采购项目编号：510182202200076</w:t>
      </w:r>
    </w:p>
    <w:p>
      <w:pPr>
        <w:pageBreakBefore w:val="0"/>
        <w:kinsoku/>
        <w:wordWrap/>
        <w:overflowPunct/>
        <w:topLinePunct w:val="0"/>
        <w:bidi w:val="0"/>
        <w:spacing w:after="0" w:line="360" w:lineRule="auto"/>
        <w:ind w:right="31" w:rightChars="15" w:firstLine="482" w:firstLineChars="200"/>
        <w:rPr>
          <w:rFonts w:hint="eastAsia" w:ascii="宋体" w:hAnsi="宋体" w:eastAsia="宋体" w:cs="宋体"/>
          <w:b/>
          <w:color w:val="auto"/>
          <w:sz w:val="24"/>
          <w:szCs w:val="32"/>
          <w:highlight w:val="none"/>
        </w:rPr>
      </w:pPr>
      <w:r>
        <w:rPr>
          <w:rFonts w:hint="eastAsia" w:ascii="宋体" w:hAnsi="宋体" w:eastAsia="宋体" w:cs="宋体"/>
          <w:b/>
          <w:bCs/>
          <w:color w:val="auto"/>
          <w:sz w:val="24"/>
          <w:highlight w:val="none"/>
        </w:rPr>
        <w:t>二、</w:t>
      </w:r>
      <w:r>
        <w:rPr>
          <w:rFonts w:hint="eastAsia" w:ascii="宋体" w:hAnsi="宋体" w:eastAsia="宋体" w:cs="宋体"/>
          <w:b/>
          <w:color w:val="auto"/>
          <w:sz w:val="24"/>
          <w:highlight w:val="none"/>
        </w:rPr>
        <w:t>招标项目名称：</w:t>
      </w:r>
      <w:r>
        <w:rPr>
          <w:rFonts w:hint="eastAsia" w:ascii="宋体" w:hAnsi="宋体" w:eastAsia="宋体" w:cs="宋体"/>
          <w:b/>
          <w:color w:val="auto"/>
          <w:sz w:val="24"/>
          <w:highlight w:val="none"/>
          <w:lang w:eastAsia="zh-CN"/>
        </w:rPr>
        <w:t>彭州市“十四五”石化园区及周边地下水自动监测站新增仪器设备及耗材采购项目（第二次）</w:t>
      </w:r>
      <w:r>
        <w:rPr>
          <w:rFonts w:hint="eastAsia" w:ascii="宋体" w:hAnsi="宋体" w:eastAsia="宋体" w:cs="宋体"/>
          <w:b/>
          <w:color w:val="auto"/>
          <w:sz w:val="24"/>
          <w:szCs w:val="32"/>
          <w:highlight w:val="none"/>
        </w:rPr>
        <w:t>。</w:t>
      </w:r>
    </w:p>
    <w:p>
      <w:pPr>
        <w:pageBreakBefore w:val="0"/>
        <w:kinsoku/>
        <w:wordWrap/>
        <w:overflowPunct/>
        <w:topLinePunct w:val="0"/>
        <w:bidi w:val="0"/>
        <w:spacing w:after="0" w:line="360" w:lineRule="auto"/>
        <w:ind w:right="31" w:rightChars="15"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color w:val="auto"/>
          <w:sz w:val="24"/>
          <w:szCs w:val="28"/>
          <w:highlight w:val="none"/>
        </w:rPr>
        <w:t>三、资金来源：</w:t>
      </w:r>
      <w:bookmarkStart w:id="6" w:name="PO_资金性质_1"/>
      <w:r>
        <w:rPr>
          <w:rFonts w:hint="eastAsia" w:ascii="宋体" w:hAnsi="宋体" w:eastAsia="宋体" w:cs="宋体"/>
          <w:color w:val="auto"/>
          <w:sz w:val="24"/>
          <w:highlight w:val="none"/>
        </w:rPr>
        <w:t>财政资金</w:t>
      </w:r>
      <w:bookmarkEnd w:id="6"/>
      <w:r>
        <w:rPr>
          <w:rFonts w:hint="eastAsia" w:ascii="宋体" w:hAnsi="宋体" w:eastAsia="宋体" w:cs="宋体"/>
          <w:color w:val="auto"/>
          <w:sz w:val="24"/>
          <w:highlight w:val="none"/>
        </w:rPr>
        <w:t>。采购计划文号：</w:t>
      </w:r>
      <w:r>
        <w:rPr>
          <w:rFonts w:hint="eastAsia" w:ascii="宋体" w:hAnsi="宋体" w:eastAsia="宋体" w:cs="宋体"/>
          <w:color w:val="auto"/>
          <w:sz w:val="24"/>
          <w:highlight w:val="none"/>
          <w:u w:val="single"/>
          <w:lang w:val="en-US" w:eastAsia="zh-CN"/>
        </w:rPr>
        <w:t>51018222210200000542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采购目录</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A032405</w:t>
      </w:r>
      <w:r>
        <w:rPr>
          <w:rFonts w:hint="eastAsia" w:ascii="宋体" w:hAnsi="宋体" w:eastAsia="宋体" w:cs="宋体"/>
          <w:color w:val="auto"/>
          <w:sz w:val="24"/>
          <w:highlight w:val="none"/>
          <w:u w:val="single"/>
          <w:lang w:val="en-US" w:eastAsia="zh-CN"/>
        </w:rPr>
        <w:t>-环保监测设备</w:t>
      </w:r>
      <w:r>
        <w:rPr>
          <w:rFonts w:hint="eastAsia" w:ascii="宋体" w:hAnsi="宋体" w:eastAsia="宋体" w:cs="宋体"/>
          <w:color w:val="auto"/>
          <w:sz w:val="24"/>
          <w:highlight w:val="none"/>
        </w:rPr>
        <w:t>；预算金额：</w:t>
      </w:r>
      <w:r>
        <w:rPr>
          <w:rFonts w:hint="eastAsia" w:ascii="宋体" w:hAnsi="宋体" w:eastAsia="宋体" w:cs="宋体"/>
          <w:color w:val="auto"/>
          <w:sz w:val="24"/>
          <w:highlight w:val="none"/>
          <w:u w:val="single"/>
          <w:lang w:val="en-US" w:eastAsia="zh-CN"/>
        </w:rPr>
        <w:t>580万元</w:t>
      </w:r>
      <w:r>
        <w:rPr>
          <w:rFonts w:hint="eastAsia" w:ascii="宋体" w:hAnsi="宋体" w:eastAsia="宋体" w:cs="宋体"/>
          <w:color w:val="auto"/>
          <w:sz w:val="24"/>
          <w:highlight w:val="none"/>
        </w:rPr>
        <w:t>；最高限价：</w:t>
      </w:r>
      <w:r>
        <w:rPr>
          <w:rFonts w:hint="eastAsia" w:ascii="宋体" w:hAnsi="宋体" w:eastAsia="宋体" w:cs="宋体"/>
          <w:color w:val="auto"/>
          <w:sz w:val="24"/>
          <w:highlight w:val="none"/>
          <w:u w:val="single"/>
          <w:lang w:val="en-US" w:eastAsia="zh-CN"/>
        </w:rPr>
        <w:t>580万元。</w:t>
      </w:r>
    </w:p>
    <w:p>
      <w:pPr>
        <w:pageBreakBefore w:val="0"/>
        <w:kinsoku/>
        <w:wordWrap/>
        <w:overflowPunct/>
        <w:topLinePunct w:val="0"/>
        <w:bidi w:val="0"/>
        <w:spacing w:after="0"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四</w:t>
      </w:r>
      <w:r>
        <w:rPr>
          <w:rFonts w:hint="eastAsia" w:ascii="宋体" w:hAnsi="宋体" w:eastAsia="宋体" w:cs="宋体"/>
          <w:b/>
          <w:bCs/>
          <w:color w:val="auto"/>
          <w:sz w:val="24"/>
          <w:highlight w:val="none"/>
        </w:rPr>
        <w:t>、</w:t>
      </w:r>
      <w:r>
        <w:rPr>
          <w:rFonts w:hint="eastAsia" w:ascii="宋体" w:hAnsi="宋体" w:eastAsia="宋体" w:cs="宋体"/>
          <w:b/>
          <w:color w:val="auto"/>
          <w:sz w:val="24"/>
          <w:highlight w:val="none"/>
        </w:rPr>
        <w:t>招标项目简介：</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szCs w:val="28"/>
          <w:highlight w:val="none"/>
        </w:rPr>
      </w:pPr>
      <w:bookmarkStart w:id="7" w:name="PO_默认文件内容_3"/>
      <w:r>
        <w:rPr>
          <w:rFonts w:hint="eastAsia" w:ascii="宋体" w:hAnsi="宋体" w:eastAsia="宋体" w:cs="宋体"/>
          <w:bCs/>
          <w:color w:val="auto"/>
          <w:sz w:val="24"/>
          <w:highlight w:val="none"/>
          <w:lang w:val="en-US" w:eastAsia="zh-CN"/>
        </w:rPr>
        <w:t>成都市彭州生态环境局拟采购一名投标人提供“十四五”石化园区及周边地下水自动监测站新增仪器设备及耗材。本项目1个包。</w:t>
      </w:r>
      <w:r>
        <w:rPr>
          <w:rFonts w:hint="eastAsia" w:ascii="宋体" w:hAnsi="宋体" w:eastAsia="宋体" w:cs="宋体"/>
          <w:b/>
          <w:bCs/>
          <w:color w:val="auto"/>
          <w:spacing w:val="-4"/>
          <w:sz w:val="24"/>
          <w:highlight w:val="none"/>
          <w:lang w:val="en-US" w:eastAsia="zh-CN"/>
        </w:rPr>
        <w:t>本项目采购标的名称</w:t>
      </w:r>
      <w:r>
        <w:rPr>
          <w:rFonts w:hint="eastAsia" w:ascii="宋体" w:hAnsi="宋体" w:eastAsia="宋体" w:cs="宋体"/>
          <w:color w:val="auto"/>
          <w:spacing w:val="-4"/>
          <w:sz w:val="24"/>
          <w:highlight w:val="none"/>
          <w:lang w:val="en-US" w:eastAsia="zh-CN"/>
        </w:rPr>
        <w:t>：</w:t>
      </w:r>
      <w:r>
        <w:rPr>
          <w:rFonts w:hint="eastAsia" w:ascii="宋体" w:hAnsi="宋体" w:eastAsia="宋体" w:cs="宋体"/>
          <w:color w:val="auto"/>
          <w:spacing w:val="-4"/>
          <w:sz w:val="24"/>
          <w:highlight w:val="none"/>
          <w:u w:val="single"/>
          <w:lang w:val="en-US" w:eastAsia="zh-CN"/>
        </w:rPr>
        <w:t>挥发性有机物在线分析仪、氰化物在线分析仪、水中油在线分析仪、超纯水制备装置、系统集成、辅助系统</w:t>
      </w:r>
      <w:r>
        <w:rPr>
          <w:rFonts w:hint="eastAsia" w:ascii="宋体" w:hAnsi="宋体" w:eastAsia="宋体" w:cs="宋体"/>
          <w:color w:val="auto"/>
          <w:spacing w:val="-4"/>
          <w:sz w:val="24"/>
          <w:highlight w:val="none"/>
          <w:lang w:val="en-US" w:eastAsia="zh-CN"/>
        </w:rPr>
        <w:t>，</w:t>
      </w:r>
      <w:r>
        <w:rPr>
          <w:rFonts w:hint="eastAsia" w:ascii="宋体" w:hAnsi="宋体" w:eastAsia="宋体" w:cs="宋体"/>
          <w:b/>
          <w:bCs/>
          <w:color w:val="auto"/>
          <w:spacing w:val="-4"/>
          <w:sz w:val="24"/>
          <w:highlight w:val="none"/>
          <w:lang w:val="en-US" w:eastAsia="zh-CN"/>
        </w:rPr>
        <w:t>采购标的对应的中小企业划分标准所属行业为</w:t>
      </w:r>
      <w:r>
        <w:rPr>
          <w:rFonts w:hint="eastAsia" w:ascii="宋体" w:hAnsi="宋体" w:eastAsia="宋体" w:cs="宋体"/>
          <w:color w:val="auto"/>
          <w:spacing w:val="-4"/>
          <w:sz w:val="24"/>
          <w:highlight w:val="none"/>
          <w:lang w:val="en-US" w:eastAsia="zh-CN"/>
        </w:rPr>
        <w:t>：</w:t>
      </w:r>
      <w:r>
        <w:rPr>
          <w:rFonts w:hint="eastAsia" w:ascii="宋体" w:hAnsi="宋体" w:eastAsia="宋体" w:cs="宋体"/>
          <w:color w:val="auto"/>
          <w:spacing w:val="-4"/>
          <w:sz w:val="24"/>
          <w:highlight w:val="none"/>
          <w:u w:val="single"/>
          <w:lang w:val="en-US" w:eastAsia="zh-CN"/>
        </w:rPr>
        <w:t>工业</w:t>
      </w:r>
      <w:r>
        <w:rPr>
          <w:rFonts w:hint="eastAsia" w:ascii="宋体" w:hAnsi="宋体" w:eastAsia="宋体" w:cs="宋体"/>
          <w:color w:val="auto"/>
          <w:spacing w:val="-4"/>
          <w:sz w:val="24"/>
          <w:highlight w:val="none"/>
          <w:lang w:val="en-US" w:eastAsia="zh-CN"/>
        </w:rPr>
        <w:t>。</w:t>
      </w:r>
      <w:r>
        <w:rPr>
          <w:rFonts w:hint="eastAsia" w:ascii="宋体" w:hAnsi="宋体" w:eastAsia="宋体" w:cs="宋体"/>
          <w:color w:val="auto"/>
          <w:spacing w:val="-4"/>
          <w:sz w:val="24"/>
          <w:highlight w:val="none"/>
        </w:rPr>
        <w:t>（</w:t>
      </w:r>
      <w:r>
        <w:rPr>
          <w:rFonts w:hint="eastAsia" w:ascii="宋体" w:hAnsi="宋体" w:eastAsia="宋体" w:cs="宋体"/>
          <w:color w:val="auto"/>
          <w:sz w:val="24"/>
          <w:szCs w:val="28"/>
          <w:highlight w:val="none"/>
        </w:rPr>
        <w:t>具体详见招标文件第六章）</w:t>
      </w:r>
      <w:bookmarkEnd w:id="7"/>
    </w:p>
    <w:p>
      <w:pPr>
        <w:pageBreakBefore w:val="0"/>
        <w:kinsoku/>
        <w:wordWrap/>
        <w:overflowPunct/>
        <w:topLinePunct w:val="0"/>
        <w:bidi w:val="0"/>
        <w:spacing w:after="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五、投标人参加本次政府采购活动，应当在提交投标文件前具备下列条件：</w:t>
      </w:r>
    </w:p>
    <w:p>
      <w:pPr>
        <w:pStyle w:val="26"/>
        <w:pageBreakBefore w:val="0"/>
        <w:kinsoku/>
        <w:wordWrap/>
        <w:overflowPunct/>
        <w:topLinePunct w:val="0"/>
        <w:bidi w:val="0"/>
        <w:spacing w:after="0" w:line="360" w:lineRule="auto"/>
        <w:ind w:firstLine="600" w:firstLineChars="250"/>
        <w:rPr>
          <w:rFonts w:hint="eastAsia" w:ascii="宋体" w:hAnsi="宋体" w:eastAsia="宋体" w:cs="宋体"/>
          <w:color w:val="auto"/>
          <w:sz w:val="24"/>
          <w:highlight w:val="none"/>
        </w:rPr>
      </w:pPr>
      <w:bookmarkStart w:id="8" w:name="PO_供应商资格条件_1"/>
      <w:r>
        <w:rPr>
          <w:rFonts w:hint="eastAsia" w:ascii="宋体" w:hAnsi="宋体" w:eastAsia="宋体" w:cs="宋体"/>
          <w:color w:val="auto"/>
          <w:sz w:val="24"/>
          <w:highlight w:val="none"/>
        </w:rPr>
        <w:t>1、具有独立承担民事责任的能力；</w:t>
      </w:r>
    </w:p>
    <w:p>
      <w:pPr>
        <w:pageBreakBefore w:val="0"/>
        <w:tabs>
          <w:tab w:val="left" w:pos="7665"/>
        </w:tabs>
        <w:kinsoku/>
        <w:wordWrap/>
        <w:overflowPunct/>
        <w:topLinePunct w:val="0"/>
        <w:bidi w:val="0"/>
        <w:spacing w:after="0"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pageBreakBefore w:val="0"/>
        <w:tabs>
          <w:tab w:val="left" w:pos="7665"/>
        </w:tabs>
        <w:kinsoku/>
        <w:wordWrap/>
        <w:overflowPunct/>
        <w:topLinePunct w:val="0"/>
        <w:bidi w:val="0"/>
        <w:spacing w:after="0"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3、具有履行合同所必须的设备和专业技术能力；</w:t>
      </w:r>
    </w:p>
    <w:p>
      <w:pPr>
        <w:pageBreakBefore w:val="0"/>
        <w:tabs>
          <w:tab w:val="left" w:pos="7665"/>
        </w:tabs>
        <w:kinsoku/>
        <w:wordWrap/>
        <w:overflowPunct/>
        <w:topLinePunct w:val="0"/>
        <w:bidi w:val="0"/>
        <w:spacing w:after="0"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4、具有依法缴纳税收和社会保障资金的良好记录；</w:t>
      </w:r>
    </w:p>
    <w:p>
      <w:pPr>
        <w:pageBreakBefore w:val="0"/>
        <w:tabs>
          <w:tab w:val="left" w:pos="7665"/>
        </w:tabs>
        <w:kinsoku/>
        <w:wordWrap/>
        <w:overflowPunct/>
        <w:topLinePunct w:val="0"/>
        <w:bidi w:val="0"/>
        <w:spacing w:after="0"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5、参加本次政府采购活动前三年内，在经营活动中没有重大违法记录；</w:t>
      </w:r>
    </w:p>
    <w:p>
      <w:pPr>
        <w:pStyle w:val="26"/>
        <w:pageBreakBefore w:val="0"/>
        <w:kinsoku/>
        <w:wordWrap/>
        <w:overflowPunct/>
        <w:topLinePunct w:val="0"/>
        <w:bidi w:val="0"/>
        <w:spacing w:after="0"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6、符合法律、行政法规规定的其他条件；</w:t>
      </w:r>
    </w:p>
    <w:p>
      <w:pPr>
        <w:pStyle w:val="26"/>
        <w:pageBreakBefore w:val="0"/>
        <w:kinsoku/>
        <w:wordWrap/>
        <w:overflowPunct/>
        <w:topLinePunct w:val="0"/>
        <w:bidi w:val="0"/>
        <w:spacing w:after="0"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7、根据采购项目提出的特殊条件：</w:t>
      </w:r>
      <w:r>
        <w:rPr>
          <w:rFonts w:hint="eastAsia" w:ascii="宋体" w:hAnsi="宋体" w:eastAsia="宋体" w:cs="宋体"/>
          <w:color w:val="auto"/>
          <w:sz w:val="24"/>
          <w:highlight w:val="none"/>
          <w:lang w:val="en-US" w:eastAsia="zh-CN"/>
        </w:rPr>
        <w:t>无</w:t>
      </w:r>
      <w:r>
        <w:rPr>
          <w:rFonts w:hint="eastAsia" w:ascii="宋体" w:hAnsi="宋体" w:eastAsia="宋体" w:cs="宋体"/>
          <w:color w:val="auto"/>
          <w:sz w:val="24"/>
          <w:highlight w:val="none"/>
        </w:rPr>
        <w:t>；</w:t>
      </w:r>
    </w:p>
    <w:p>
      <w:pPr>
        <w:pStyle w:val="26"/>
        <w:pageBreakBefore w:val="0"/>
        <w:kinsoku/>
        <w:wordWrap/>
        <w:overflowPunct/>
        <w:topLinePunct w:val="0"/>
        <w:bidi w:val="0"/>
        <w:spacing w:after="0" w:line="360" w:lineRule="auto"/>
        <w:ind w:firstLine="600" w:firstLineChars="2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8、落实政府采购政策需满足的资格要求：本项目非专门面向中小企业采购。</w:t>
      </w:r>
    </w:p>
    <w:p>
      <w:pPr>
        <w:pStyle w:val="26"/>
        <w:pageBreakBefore w:val="0"/>
        <w:kinsoku/>
        <w:wordWrap/>
        <w:overflowPunct/>
        <w:topLinePunct w:val="0"/>
        <w:bidi w:val="0"/>
        <w:spacing w:after="0"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、本次政府采购活动不接受联合体的形式参加投标。</w:t>
      </w:r>
    </w:p>
    <w:bookmarkEnd w:id="8"/>
    <w:p>
      <w:pPr>
        <w:pStyle w:val="26"/>
        <w:pageBreakBefore w:val="0"/>
        <w:kinsoku/>
        <w:wordWrap/>
        <w:overflowPunct/>
        <w:topLinePunct w:val="0"/>
        <w:bidi w:val="0"/>
        <w:spacing w:after="0" w:line="360" w:lineRule="auto"/>
        <w:ind w:firstLine="602" w:firstLineChars="2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六、禁止参加本次采购活动的</w:t>
      </w:r>
      <w:r>
        <w:rPr>
          <w:rFonts w:hint="eastAsia" w:ascii="宋体" w:hAnsi="宋体" w:eastAsia="宋体" w:cs="宋体"/>
          <w:b/>
          <w:bCs/>
          <w:color w:val="auto"/>
          <w:sz w:val="24"/>
          <w:highlight w:val="none"/>
        </w:rPr>
        <w:t>投标人</w:t>
      </w:r>
    </w:p>
    <w:p>
      <w:pPr>
        <w:pStyle w:val="26"/>
        <w:pageBreakBefore w:val="0"/>
        <w:kinsoku/>
        <w:wordWrap/>
        <w:overflowPunct/>
        <w:topLinePunct w:val="0"/>
        <w:bidi w:val="0"/>
        <w:spacing w:after="0"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根据《关于在政府采购活动中查询及使用信用记录有关问题的通知》（财库〔 2016 〕 125 号 ） 的 要 求 ， 采 购 代 理 机 构 将 通 过 “ 信用中国 ” 网 站（www.creditchina.gov.cn）、“中国政府采购网”网站（www.ccgp.gov.cn）等渠道查询投标人在开标当日之前的信用信息记录并保存信用记录结果网页截图，拒绝列入失信被执行人、重大税收违法案件当事人名单、政府采购严重违法失信行为记录名单及其他不符合《中华人民共和国政府采购法》第二十二条规定条件的投标人参加本项目的采购活动（</w:t>
      </w:r>
      <w:r>
        <w:rPr>
          <w:rFonts w:hint="eastAsia" w:ascii="宋体" w:hAnsi="宋体" w:eastAsia="宋体" w:cs="宋体"/>
          <w:color w:val="auto"/>
          <w:sz w:val="24"/>
          <w:highlight w:val="none"/>
          <w:lang w:val="en-US" w:eastAsia="zh-CN"/>
        </w:rPr>
        <w:t>采购人或</w:t>
      </w:r>
      <w:r>
        <w:rPr>
          <w:rFonts w:hint="eastAsia" w:ascii="宋体" w:hAnsi="宋体" w:eastAsia="宋体" w:cs="宋体"/>
          <w:color w:val="auto"/>
          <w:sz w:val="24"/>
          <w:highlight w:val="none"/>
        </w:rPr>
        <w:t>采购代理机构出具的信用记录结果网页截图即可，投标人无须提供）。非企业参与投标时由投标人在投标文件中自行提供承诺函，格式自拟。</w:t>
      </w:r>
    </w:p>
    <w:p>
      <w:pPr>
        <w:pageBreakBefore w:val="0"/>
        <w:kinsoku/>
        <w:wordWrap/>
        <w:overflowPunct/>
        <w:topLinePunct w:val="0"/>
        <w:bidi w:val="0"/>
        <w:spacing w:after="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七、招标文件获取时间、地点：</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bookmarkStart w:id="192" w:name="_GoBack"/>
      <w:r>
        <w:rPr>
          <w:rFonts w:hint="eastAsia" w:ascii="宋体" w:hAnsi="宋体" w:eastAsia="宋体" w:cs="宋体"/>
          <w:color w:val="auto"/>
          <w:sz w:val="24"/>
          <w:highlight w:val="none"/>
        </w:rPr>
        <w:t>招标文件获取时间：202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29</w:t>
      </w:r>
      <w:r>
        <w:rPr>
          <w:rFonts w:hint="eastAsia" w:ascii="宋体" w:hAnsi="宋体" w:eastAsia="宋体" w:cs="宋体"/>
          <w:color w:val="auto"/>
          <w:sz w:val="24"/>
          <w:highlight w:val="none"/>
        </w:rPr>
        <w:t>日至202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rPr>
        <w:t xml:space="preserve">（北京时间，法定节假日除外） </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招标文件获取方式：投标人</w:t>
      </w:r>
      <w:r>
        <w:rPr>
          <w:rFonts w:hint="eastAsia" w:ascii="宋体" w:hAnsi="宋体" w:eastAsia="宋体" w:cs="宋体"/>
          <w:b w:val="0"/>
          <w:bCs w:val="0"/>
          <w:color w:val="auto"/>
          <w:sz w:val="24"/>
          <w:szCs w:val="24"/>
          <w:highlight w:val="none"/>
          <w:lang w:eastAsia="zh-CN"/>
        </w:rPr>
        <w:t>从“政府采购云平台”获取采购文件（网址：https://www.zcygov.cn）。登录“政府采购云平台”—项目采购—获取采购文件—申请获取采购文件。</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（1）本项目招标文件免费获取（</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资格不能转让）。</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（2）投标人只有在“政府采购云平台”完成获取招标文件申请并下载招标文件后才视作依法参与本项目。如未在“政府采购云平台”内完成相关流程，引起的投标无效责任自负。</w:t>
      </w:r>
    </w:p>
    <w:p>
      <w:pPr>
        <w:pageBreakBefore w:val="0"/>
        <w:kinsoku/>
        <w:wordWrap/>
        <w:overflowPunct/>
        <w:topLinePunct w:val="0"/>
        <w:bidi w:val="0"/>
        <w:spacing w:after="0"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（3）本项目为电子招标投标项目，投标人参与本项目全过程中凡涉及系统操作请详见《供应商政府采购项目电子交易操作指南》。</w:t>
      </w:r>
    </w:p>
    <w:p>
      <w:pPr>
        <w:pageBreakBefore w:val="0"/>
        <w:kinsoku/>
        <w:wordWrap/>
        <w:overflowPunct/>
        <w:topLinePunct w:val="0"/>
        <w:bidi w:val="0"/>
        <w:spacing w:after="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szCs w:val="28"/>
          <w:highlight w:val="none"/>
        </w:rPr>
        <w:t>八、</w:t>
      </w:r>
      <w:r>
        <w:rPr>
          <w:rFonts w:hint="eastAsia" w:ascii="宋体" w:hAnsi="宋体" w:eastAsia="宋体" w:cs="宋体"/>
          <w:b/>
          <w:color w:val="auto"/>
          <w:sz w:val="24"/>
          <w:highlight w:val="none"/>
        </w:rPr>
        <w:t>投标截止时间和开标时间：</w:t>
      </w: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日1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(北京时间)</w:t>
      </w:r>
      <w:r>
        <w:rPr>
          <w:rFonts w:hint="eastAsia" w:ascii="宋体" w:hAnsi="宋体" w:eastAsia="宋体" w:cs="宋体"/>
          <w:color w:val="auto"/>
          <w:sz w:val="24"/>
          <w:szCs w:val="28"/>
          <w:highlight w:val="none"/>
        </w:rPr>
        <w:t>。</w:t>
      </w:r>
    </w:p>
    <w:p>
      <w:pPr>
        <w:pStyle w:val="10"/>
        <w:pageBreakBefore w:val="0"/>
        <w:kinsoku/>
        <w:wordWrap/>
        <w:overflowPunct/>
        <w:topLinePunct w:val="0"/>
        <w:bidi w:val="0"/>
        <w:spacing w:after="0" w:line="360" w:lineRule="auto"/>
        <w:ind w:firstLine="48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投标截止时间前，投标人应将加密的电子投标文件递交至“政府采购云平台”对应项目（包件）。</w:t>
      </w:r>
    </w:p>
    <w:bookmarkEnd w:id="192"/>
    <w:p>
      <w:pPr>
        <w:pageBreakBefore w:val="0"/>
        <w:numPr>
          <w:ilvl w:val="0"/>
          <w:numId w:val="3"/>
        </w:numPr>
        <w:kinsoku/>
        <w:wordWrap/>
        <w:overflowPunct/>
        <w:topLinePunct w:val="0"/>
        <w:bidi w:val="0"/>
        <w:spacing w:after="0" w:line="360" w:lineRule="auto"/>
        <w:ind w:firstLine="489" w:firstLineChars="203"/>
        <w:rPr>
          <w:rFonts w:hint="eastAsia" w:ascii="宋体" w:hAnsi="宋体" w:eastAsia="宋体" w:cs="宋体"/>
          <w:b/>
          <w:color w:val="auto"/>
          <w:sz w:val="24"/>
          <w:szCs w:val="28"/>
          <w:highlight w:val="none"/>
        </w:rPr>
      </w:pPr>
      <w:r>
        <w:rPr>
          <w:rFonts w:hint="eastAsia" w:ascii="宋体" w:hAnsi="宋体" w:eastAsia="宋体" w:cs="宋体"/>
          <w:b/>
          <w:color w:val="auto"/>
          <w:sz w:val="24"/>
          <w:szCs w:val="28"/>
          <w:highlight w:val="none"/>
        </w:rPr>
        <w:t>开标地点：</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（1）本项目为不见面开标项目。</w:t>
      </w:r>
    </w:p>
    <w:p>
      <w:pPr>
        <w:pageBreakBefore w:val="0"/>
        <w:kinsoku/>
        <w:wordWrap/>
        <w:overflowPunct/>
        <w:topLinePunct w:val="0"/>
        <w:bidi w:val="0"/>
        <w:spacing w:after="0" w:line="360" w:lineRule="auto"/>
        <w:ind w:firstLine="487" w:firstLineChars="203"/>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（2）开标地点：政府采购云平台(https://www.zcygov.cn)</w:t>
      </w:r>
    </w:p>
    <w:p>
      <w:pPr>
        <w:pageBreakBefore w:val="0"/>
        <w:kinsoku/>
        <w:wordWrap/>
        <w:overflowPunct/>
        <w:topLinePunct w:val="0"/>
        <w:bidi w:val="0"/>
        <w:spacing w:after="0" w:line="360" w:lineRule="auto"/>
        <w:ind w:firstLine="487" w:firstLineChars="203"/>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（3）本项目只接受投标人加密并递交至“政府采购云平台”的投标文件。</w:t>
      </w:r>
    </w:p>
    <w:p>
      <w:pPr>
        <w:pStyle w:val="26"/>
        <w:pageBreakBefore w:val="0"/>
        <w:kinsoku/>
        <w:wordWrap/>
        <w:overflowPunct/>
        <w:topLinePunct w:val="0"/>
        <w:bidi w:val="0"/>
        <w:spacing w:after="0" w:line="360" w:lineRule="auto"/>
        <w:ind w:firstLine="482"/>
        <w:rPr>
          <w:rFonts w:hint="eastAsia" w:ascii="宋体" w:hAnsi="宋体" w:eastAsia="宋体" w:cs="宋体"/>
          <w:b/>
          <w:color w:val="auto"/>
          <w:sz w:val="24"/>
          <w:highlight w:val="none"/>
        </w:rPr>
      </w:pPr>
      <w:bookmarkStart w:id="9" w:name="PO_默认文件内容_13"/>
      <w:r>
        <w:rPr>
          <w:rFonts w:hint="eastAsia" w:ascii="宋体" w:hAnsi="宋体" w:eastAsia="宋体" w:cs="宋体"/>
          <w:b/>
          <w:color w:val="auto"/>
          <w:sz w:val="24"/>
          <w:highlight w:val="none"/>
        </w:rPr>
        <w:t>十、本投标邀请在四川政府采购网（www.ccgp-sichuan.gov.cn）上以公告形式发布。</w:t>
      </w:r>
      <w:bookmarkEnd w:id="9"/>
    </w:p>
    <w:p>
      <w:pPr>
        <w:pStyle w:val="26"/>
        <w:pageBreakBefore w:val="0"/>
        <w:kinsoku/>
        <w:wordWrap/>
        <w:overflowPunct/>
        <w:topLinePunct w:val="0"/>
        <w:bidi w:val="0"/>
        <w:spacing w:after="0" w:line="36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十一、供应商信用融资：</w:t>
      </w:r>
    </w:p>
    <w:p>
      <w:pPr>
        <w:pStyle w:val="10"/>
        <w:pageBreakBefore w:val="0"/>
        <w:kinsoku/>
        <w:wordWrap/>
        <w:overflowPunct/>
        <w:topLinePunct w:val="0"/>
        <w:bidi w:val="0"/>
        <w:spacing w:after="0" w:line="360" w:lineRule="auto"/>
        <w:ind w:firstLine="480"/>
        <w:rPr>
          <w:rFonts w:hint="eastAsia" w:ascii="宋体" w:hAnsi="宋体" w:eastAsia="宋体" w:cs="宋体"/>
          <w:b/>
          <w:color w:val="auto"/>
          <w:sz w:val="24"/>
          <w:highlight w:val="none"/>
        </w:rPr>
      </w:pPr>
      <w:r>
        <w:rPr>
          <w:rFonts w:hint="eastAsia" w:ascii="宋体" w:hAnsi="宋体" w:eastAsia="宋体" w:cs="宋体"/>
          <w:color w:val="auto"/>
          <w:sz w:val="24"/>
          <w:szCs w:val="28"/>
          <w:highlight w:val="none"/>
        </w:rPr>
        <w:t>四川省正在推进政府采购供应商信用融资工作，相关要求详见《四川省财政厅关于推进四川省政府采购供应商信用融资工作的通知》（川财采〔2018〕123 号）、《成都市中小企业政府采购信用融资暂行办法》（成财采〔2019〕17 号）等有关规定，上述文件请在四川政府采购网查询。</w:t>
      </w:r>
    </w:p>
    <w:p>
      <w:pPr>
        <w:pStyle w:val="26"/>
        <w:pageBreakBefore w:val="0"/>
        <w:kinsoku/>
        <w:wordWrap/>
        <w:overflowPunct/>
        <w:topLinePunct w:val="0"/>
        <w:bidi w:val="0"/>
        <w:spacing w:after="0" w:line="36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十二、联系方式</w:t>
      </w:r>
    </w:p>
    <w:p>
      <w:pPr>
        <w:pStyle w:val="26"/>
        <w:pageBreakBefore w:val="0"/>
        <w:kinsoku/>
        <w:wordWrap/>
        <w:overflowPunct/>
        <w:topLinePunct w:val="0"/>
        <w:bidi w:val="0"/>
        <w:spacing w:after="0" w:line="360" w:lineRule="auto"/>
        <w:ind w:firstLine="480"/>
        <w:rPr>
          <w:rFonts w:hint="eastAsia" w:ascii="宋体" w:hAnsi="宋体" w:eastAsia="宋体" w:cs="宋体"/>
          <w:b/>
          <w:bCs/>
          <w:color w:val="auto"/>
          <w:sz w:val="24"/>
          <w:highlight w:val="none"/>
          <w:lang w:eastAsia="zh-CN"/>
        </w:rPr>
      </w:pPr>
      <w:r>
        <w:rPr>
          <w:rFonts w:hint="eastAsia" w:ascii="宋体" w:hAnsi="宋体" w:eastAsia="宋体" w:cs="宋体"/>
          <w:bCs/>
          <w:color w:val="auto"/>
          <w:sz w:val="24"/>
          <w:highlight w:val="none"/>
        </w:rPr>
        <w:t>采 购 人</w:t>
      </w:r>
      <w:r>
        <w:rPr>
          <w:rFonts w:hint="eastAsia" w:ascii="宋体" w:hAnsi="宋体" w:eastAsia="宋体" w:cs="宋体"/>
          <w:b/>
          <w:color w:val="auto"/>
          <w:sz w:val="24"/>
          <w:highlight w:val="none"/>
        </w:rPr>
        <w:t>：</w:t>
      </w:r>
      <w:r>
        <w:rPr>
          <w:rFonts w:hint="eastAsia" w:ascii="宋体" w:hAnsi="宋体" w:eastAsia="宋体" w:cs="宋体"/>
          <w:bCs/>
          <w:color w:val="auto"/>
          <w:sz w:val="24"/>
          <w:highlight w:val="none"/>
          <w:lang w:eastAsia="zh-CN"/>
        </w:rPr>
        <w:t>成都市彭州生态环境局</w:t>
      </w:r>
    </w:p>
    <w:p>
      <w:pPr>
        <w:pStyle w:val="26"/>
        <w:pageBreakBefore w:val="0"/>
        <w:kinsoku/>
        <w:wordWrap/>
        <w:overflowPunct/>
        <w:topLinePunct w:val="0"/>
        <w:bidi w:val="0"/>
        <w:spacing w:after="0"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bCs/>
          <w:color w:val="auto"/>
          <w:sz w:val="24"/>
          <w:highlight w:val="none"/>
        </w:rPr>
        <w:t>地    址：</w:t>
      </w:r>
      <w:r>
        <w:rPr>
          <w:rStyle w:val="23"/>
          <w:rFonts w:hint="eastAsia" w:ascii="宋体" w:hAnsi="宋体" w:eastAsia="宋体" w:cs="宋体"/>
          <w:bCs/>
          <w:color w:val="auto"/>
          <w:sz w:val="24"/>
          <w:highlight w:val="none"/>
          <w:lang w:eastAsia="zh-CN"/>
        </w:rPr>
        <w:t>成都市彭州市致和街道清林西街 28 号</w:t>
      </w:r>
    </w:p>
    <w:p>
      <w:pPr>
        <w:pStyle w:val="26"/>
        <w:pageBreakBefore w:val="0"/>
        <w:kinsoku/>
        <w:wordWrap/>
        <w:overflowPunct/>
        <w:topLinePunct w:val="0"/>
        <w:bidi w:val="0"/>
        <w:spacing w:after="0"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 系 人：</w:t>
      </w:r>
      <w:r>
        <w:rPr>
          <w:rFonts w:hint="eastAsia" w:ascii="宋体" w:hAnsi="宋体" w:eastAsia="宋体" w:cs="宋体"/>
          <w:color w:val="auto"/>
          <w:sz w:val="24"/>
          <w:highlight w:val="none"/>
          <w:lang w:val="en-US" w:eastAsia="zh-CN"/>
        </w:rPr>
        <w:t>罗老师</w:t>
      </w:r>
    </w:p>
    <w:p>
      <w:pPr>
        <w:pStyle w:val="26"/>
        <w:pageBreakBefore w:val="0"/>
        <w:kinsoku/>
        <w:wordWrap/>
        <w:overflowPunct/>
        <w:topLinePunct w:val="0"/>
        <w:bidi w:val="0"/>
        <w:spacing w:after="0"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lang w:eastAsia="zh-CN"/>
        </w:rPr>
        <w:t>028-83886500</w:t>
      </w:r>
    </w:p>
    <w:p>
      <w:pPr>
        <w:pStyle w:val="26"/>
        <w:pageBreakBefore w:val="0"/>
        <w:kinsoku/>
        <w:wordWrap/>
        <w:overflowPunct/>
        <w:topLinePunct w:val="0"/>
        <w:bidi w:val="0"/>
        <w:spacing w:after="0"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bCs/>
          <w:color w:val="auto"/>
          <w:sz w:val="24"/>
          <w:highlight w:val="none"/>
        </w:rPr>
        <w:t>采购代理机构：</w:t>
      </w:r>
      <w:r>
        <w:rPr>
          <w:rFonts w:hint="eastAsia" w:ascii="宋体" w:hAnsi="宋体" w:eastAsia="宋体" w:cs="宋体"/>
          <w:bCs/>
          <w:color w:val="auto"/>
          <w:sz w:val="24"/>
          <w:highlight w:val="none"/>
          <w:lang w:eastAsia="zh-CN"/>
        </w:rPr>
        <w:t>四川尚品达工程咨询有限公司</w:t>
      </w:r>
    </w:p>
    <w:p>
      <w:pPr>
        <w:pStyle w:val="26"/>
        <w:pageBreakBefore w:val="0"/>
        <w:kinsoku/>
        <w:wordWrap/>
        <w:overflowPunct/>
        <w:topLinePunct w:val="0"/>
        <w:bidi w:val="0"/>
        <w:spacing w:after="0" w:line="360" w:lineRule="auto"/>
        <w:ind w:firstLine="480"/>
        <w:rPr>
          <w:rFonts w:hint="eastAsia" w:ascii="宋体" w:hAnsi="宋体" w:eastAsia="宋体" w:cs="宋体"/>
          <w:bCs/>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eastAsia="宋体" w:cs="宋体"/>
          <w:bCs/>
          <w:color w:val="auto"/>
          <w:sz w:val="24"/>
          <w:highlight w:val="none"/>
          <w:lang w:eastAsia="zh-CN"/>
        </w:rPr>
        <w:t>成都市武侯区武科东四路18号联邦财富中心 1-2-1005B</w:t>
      </w:r>
    </w:p>
    <w:p>
      <w:pPr>
        <w:pStyle w:val="26"/>
        <w:pageBreakBefore w:val="0"/>
        <w:kinsoku/>
        <w:wordWrap/>
        <w:overflowPunct/>
        <w:topLinePunct w:val="0"/>
        <w:bidi w:val="0"/>
        <w:spacing w:after="0"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 系 人：</w:t>
      </w:r>
      <w:r>
        <w:rPr>
          <w:rFonts w:hint="eastAsia" w:ascii="宋体" w:hAnsi="宋体" w:eastAsia="宋体" w:cs="宋体"/>
          <w:bCs/>
          <w:color w:val="auto"/>
          <w:sz w:val="24"/>
          <w:highlight w:val="none"/>
          <w:lang w:eastAsia="zh-CN"/>
        </w:rPr>
        <w:t>周女士</w:t>
      </w:r>
    </w:p>
    <w:p>
      <w:pPr>
        <w:pStyle w:val="26"/>
        <w:pageBreakBefore w:val="0"/>
        <w:kinsoku/>
        <w:wordWrap/>
        <w:overflowPunct/>
        <w:topLinePunct w:val="0"/>
        <w:bidi w:val="0"/>
        <w:spacing w:after="0" w:line="360" w:lineRule="auto"/>
        <w:ind w:firstLine="480"/>
        <w:rPr>
          <w:rFonts w:hint="eastAsia" w:ascii="宋体" w:hAnsi="宋体" w:eastAsia="宋体" w:cs="宋体"/>
          <w:color w:val="auto"/>
          <w:highlight w:val="none"/>
        </w:rPr>
      </w:pPr>
      <w:r>
        <w:rPr>
          <w:rFonts w:hint="eastAsia" w:ascii="宋体" w:hAnsi="宋体" w:eastAsia="宋体" w:cs="宋体"/>
          <w:color w:val="auto"/>
          <w:sz w:val="24"/>
          <w:highlight w:val="none"/>
        </w:rPr>
        <w:t>联系电话：</w:t>
      </w:r>
      <w:r>
        <w:rPr>
          <w:rFonts w:hint="eastAsia" w:ascii="宋体" w:hAnsi="宋体" w:eastAsia="宋体" w:cs="宋体"/>
          <w:bCs/>
          <w:color w:val="auto"/>
          <w:sz w:val="24"/>
          <w:highlight w:val="none"/>
          <w:lang w:eastAsia="zh-CN"/>
        </w:rPr>
        <w:t>028-63915936</w:t>
      </w:r>
    </w:p>
    <w:p>
      <w:pPr>
        <w:pStyle w:val="16"/>
        <w:pageBreakBefore w:val="0"/>
        <w:kinsoku/>
        <w:wordWrap/>
        <w:overflowPunct/>
        <w:topLinePunct w:val="0"/>
        <w:bidi w:val="0"/>
        <w:spacing w:before="0" w:beforeAutospacing="0" w:after="0" w:afterAutospacing="0" w:line="360" w:lineRule="auto"/>
        <w:rPr>
          <w:rFonts w:hint="eastAsia" w:ascii="宋体" w:hAnsi="宋体" w:eastAsia="宋体" w:cs="宋体"/>
          <w:color w:val="auto"/>
          <w:sz w:val="36"/>
          <w:szCs w:val="36"/>
          <w:highlight w:val="none"/>
        </w:rPr>
      </w:pPr>
      <w:bookmarkStart w:id="10" w:name="_Toc12497"/>
      <w:bookmarkStart w:id="11" w:name="_Toc12420"/>
      <w:bookmarkStart w:id="12" w:name="_Toc213396945"/>
      <w:bookmarkStart w:id="13" w:name="_Toc213496267"/>
      <w:bookmarkStart w:id="14" w:name="_Toc213396759"/>
      <w:bookmarkStart w:id="15" w:name="_Toc213397009"/>
      <w:bookmarkStart w:id="16" w:name="_Toc217446031"/>
    </w:p>
    <w:p>
      <w:pPr>
        <w:pStyle w:val="16"/>
        <w:pageBreakBefore w:val="0"/>
        <w:kinsoku/>
        <w:wordWrap/>
        <w:overflowPunct/>
        <w:topLinePunct w:val="0"/>
        <w:bidi w:val="0"/>
        <w:spacing w:before="0" w:beforeAutospacing="0" w:after="0" w:afterAutospacing="0" w:line="360" w:lineRule="auto"/>
        <w:rPr>
          <w:rFonts w:hint="eastAsia" w:ascii="宋体" w:hAnsi="宋体" w:eastAsia="宋体" w:cs="宋体"/>
          <w:color w:val="auto"/>
          <w:sz w:val="36"/>
          <w:szCs w:val="36"/>
          <w:highlight w:val="none"/>
        </w:rPr>
      </w:pPr>
    </w:p>
    <w:p>
      <w:pPr>
        <w:pStyle w:val="16"/>
        <w:pageBreakBefore w:val="0"/>
        <w:kinsoku/>
        <w:wordWrap/>
        <w:overflowPunct/>
        <w:topLinePunct w:val="0"/>
        <w:bidi w:val="0"/>
        <w:spacing w:before="0" w:beforeAutospacing="0" w:after="0" w:afterAutospacing="0" w:line="360" w:lineRule="auto"/>
        <w:rPr>
          <w:rFonts w:hint="eastAsia" w:ascii="宋体" w:hAnsi="宋体" w:eastAsia="宋体" w:cs="宋体"/>
          <w:color w:val="auto"/>
          <w:sz w:val="36"/>
          <w:szCs w:val="36"/>
          <w:highlight w:val="none"/>
        </w:rPr>
      </w:pPr>
    </w:p>
    <w:p>
      <w:pPr>
        <w:pStyle w:val="16"/>
        <w:pageBreakBefore w:val="0"/>
        <w:kinsoku/>
        <w:wordWrap/>
        <w:overflowPunct/>
        <w:topLinePunct w:val="0"/>
        <w:bidi w:val="0"/>
        <w:spacing w:before="0" w:beforeAutospacing="0" w:after="0" w:afterAutospacing="0" w:line="360" w:lineRule="auto"/>
        <w:rPr>
          <w:rFonts w:hint="eastAsia" w:ascii="宋体" w:hAnsi="宋体" w:eastAsia="宋体" w:cs="宋体"/>
          <w:color w:val="auto"/>
          <w:sz w:val="36"/>
          <w:szCs w:val="36"/>
          <w:highlight w:val="none"/>
        </w:rPr>
      </w:pPr>
    </w:p>
    <w:p>
      <w:pPr>
        <w:pStyle w:val="16"/>
        <w:pageBreakBefore w:val="0"/>
        <w:kinsoku/>
        <w:wordWrap/>
        <w:overflowPunct/>
        <w:topLinePunct w:val="0"/>
        <w:bidi w:val="0"/>
        <w:spacing w:before="0" w:beforeAutospacing="0" w:after="0" w:afterAutospacing="0" w:line="360" w:lineRule="auto"/>
        <w:rPr>
          <w:rFonts w:hint="eastAsia" w:ascii="宋体" w:hAnsi="宋体" w:eastAsia="宋体" w:cs="宋体"/>
          <w:color w:val="auto"/>
          <w:sz w:val="36"/>
          <w:szCs w:val="36"/>
          <w:highlight w:val="none"/>
        </w:rPr>
      </w:pPr>
    </w:p>
    <w:p>
      <w:pPr>
        <w:keepNext w:val="0"/>
        <w:keepLines w:val="0"/>
        <w:pageBreakBefore w:val="0"/>
        <w:widowControl/>
        <w:suppressLineNumbers w:val="0"/>
        <w:kinsoku/>
        <w:wordWrap/>
        <w:overflowPunct/>
        <w:topLinePunct w:val="0"/>
        <w:bidi w:val="0"/>
        <w:spacing w:after="0" w:line="360" w:lineRule="auto"/>
        <w:jc w:val="left"/>
        <w:rPr>
          <w:rFonts w:hint="eastAsia" w:ascii="宋体" w:hAnsi="宋体" w:eastAsia="宋体" w:cs="宋体"/>
          <w:color w:val="auto"/>
          <w:highlight w:val="none"/>
        </w:rPr>
      </w:pPr>
      <w:r>
        <w:rPr>
          <w:rFonts w:hint="eastAsia" w:ascii="宋体" w:hAnsi="宋体" w:eastAsia="宋体" w:cs="宋体"/>
          <w:b/>
          <w:bCs/>
          <w:color w:val="auto"/>
          <w:kern w:val="0"/>
          <w:sz w:val="24"/>
          <w:szCs w:val="24"/>
          <w:highlight w:val="none"/>
          <w:lang w:val="en-US" w:eastAsia="zh-CN" w:bidi="ar"/>
        </w:rPr>
        <w:t>投标人注意事项：</w:t>
      </w:r>
      <w:r>
        <w:rPr>
          <w:rFonts w:hint="eastAsia" w:ascii="宋体" w:hAnsi="宋体" w:eastAsia="宋体" w:cs="宋体"/>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bidi w:val="0"/>
        <w:spacing w:after="0"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1. 在“政采云平台大厅”，区划切换到“成都市”下面的区划，点击“供应商入驻”或“点击进入”进入供应商注册页面。 </w:t>
      </w:r>
    </w:p>
    <w:p>
      <w:pPr>
        <w:keepNext w:val="0"/>
        <w:keepLines w:val="0"/>
        <w:pageBreakBefore w:val="0"/>
        <w:widowControl/>
        <w:suppressLineNumbers w:val="0"/>
        <w:kinsoku/>
        <w:wordWrap/>
        <w:overflowPunct/>
        <w:topLinePunct w:val="0"/>
        <w:bidi w:val="0"/>
        <w:spacing w:after="0"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2.在“成都政府采购供应商注册”页面，点击“立即登记”进入“提交资料”页面。 </w:t>
      </w:r>
    </w:p>
    <w:p>
      <w:pPr>
        <w:keepNext w:val="0"/>
        <w:keepLines w:val="0"/>
        <w:pageBreakBefore w:val="0"/>
        <w:widowControl/>
        <w:suppressLineNumbers w:val="0"/>
        <w:kinsoku/>
        <w:wordWrap/>
        <w:overflowPunct/>
        <w:topLinePunct w:val="0"/>
        <w:bidi w:val="0"/>
        <w:spacing w:after="0"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3.在“提交资料”页面，第一步先创建账号，填写账号相关的信息，完成后点击“提交注册”，进入下一步“区划选择”。 </w:t>
      </w:r>
    </w:p>
    <w:p>
      <w:pPr>
        <w:keepNext w:val="0"/>
        <w:keepLines w:val="0"/>
        <w:pageBreakBefore w:val="0"/>
        <w:widowControl/>
        <w:suppressLineNumbers w:val="0"/>
        <w:kinsoku/>
        <w:wordWrap/>
        <w:overflowPunct/>
        <w:topLinePunct w:val="0"/>
        <w:bidi w:val="0"/>
        <w:spacing w:after="0"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4.登录平台：创建账号成功后，在账号登录页面输入账号密码进行登录，登录后，系统自动进入“区划选择”页面，之后根据操作指南及网站提示继续操作直至入驻成功。 </w:t>
      </w:r>
    </w:p>
    <w:p>
      <w:pPr>
        <w:keepNext w:val="0"/>
        <w:keepLines w:val="0"/>
        <w:pageBreakBefore w:val="0"/>
        <w:widowControl/>
        <w:suppressLineNumbers w:val="0"/>
        <w:kinsoku/>
        <w:wordWrap/>
        <w:overflowPunct/>
        <w:topLinePunct w:val="0"/>
        <w:bidi w:val="0"/>
        <w:spacing w:after="0"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5.本项目根据四川省财政厅关于印发《四川省政府采购项目电子化采购管理暂行办法》的通知规定实行电子化采购，由于供应商设备、CA、网络等问题导致的后果由供应商承担。</w:t>
      </w:r>
    </w:p>
    <w:p>
      <w:pPr>
        <w:pStyle w:val="16"/>
        <w:pageBreakBefore w:val="0"/>
        <w:kinsoku/>
        <w:wordWrap/>
        <w:overflowPunct/>
        <w:topLinePunct w:val="0"/>
        <w:bidi w:val="0"/>
        <w:spacing w:before="0" w:beforeAutospacing="0" w:after="0" w:afterAutospacing="0" w:line="360" w:lineRule="auto"/>
        <w:rPr>
          <w:rFonts w:hint="eastAsia" w:ascii="宋体" w:hAnsi="宋体" w:eastAsia="宋体" w:cs="宋体"/>
          <w:color w:val="auto"/>
          <w:sz w:val="36"/>
          <w:szCs w:val="36"/>
          <w:highlight w:val="none"/>
        </w:rPr>
        <w:sectPr>
          <w:footerReference r:id="rId15" w:type="default"/>
          <w:headerReference r:id="rId14" w:type="even"/>
          <w:footerReference r:id="rId16" w:type="even"/>
          <w:pgSz w:w="11907" w:h="16840"/>
          <w:pgMar w:top="1134" w:right="1134" w:bottom="1134" w:left="1134" w:header="454" w:footer="686" w:gutter="0"/>
          <w:cols w:space="720" w:num="1"/>
          <w:docGrid w:linePitch="312" w:charSpace="0"/>
        </w:sectPr>
      </w:pPr>
    </w:p>
    <w:p>
      <w:pPr>
        <w:pStyle w:val="3"/>
        <w:pageBreakBefore w:val="0"/>
        <w:kinsoku/>
        <w:wordWrap/>
        <w:overflowPunct/>
        <w:topLinePunct w:val="0"/>
        <w:bidi w:val="0"/>
        <w:spacing w:before="0" w:after="0"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第二章  投标人须知</w:t>
      </w:r>
      <w:bookmarkEnd w:id="10"/>
      <w:bookmarkEnd w:id="11"/>
    </w:p>
    <w:p>
      <w:pPr>
        <w:pStyle w:val="4"/>
        <w:pageBreakBefore w:val="0"/>
        <w:kinsoku/>
        <w:wordWrap/>
        <w:overflowPunct/>
        <w:topLinePunct w:val="0"/>
        <w:bidi w:val="0"/>
        <w:spacing w:before="0"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一、投标人须知附表</w:t>
      </w:r>
    </w:p>
    <w:bookmarkEnd w:id="12"/>
    <w:bookmarkEnd w:id="13"/>
    <w:bookmarkEnd w:id="14"/>
    <w:bookmarkEnd w:id="15"/>
    <w:bookmarkEnd w:id="16"/>
    <w:tbl>
      <w:tblPr>
        <w:tblStyle w:val="21"/>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2238"/>
        <w:gridCol w:w="6425"/>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3" w:hRule="atLeast"/>
          <w:tblHeader/>
          <w:jc w:val="center"/>
        </w:trPr>
        <w:tc>
          <w:tcPr>
            <w:tcW w:w="838" w:type="dxa"/>
            <w:vAlign w:val="center"/>
          </w:tcPr>
          <w:p>
            <w:pPr>
              <w:pStyle w:val="27"/>
              <w:pageBreakBefore w:val="0"/>
              <w:kinsoku/>
              <w:wordWrap/>
              <w:overflowPunct/>
              <w:topLinePunct w:val="0"/>
              <w:bidi w:val="0"/>
              <w:spacing w:after="0" w:line="360" w:lineRule="auto"/>
              <w:ind w:left="9"/>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序号</w:t>
            </w:r>
          </w:p>
        </w:tc>
        <w:tc>
          <w:tcPr>
            <w:tcW w:w="2238" w:type="dxa"/>
            <w:vAlign w:val="center"/>
          </w:tcPr>
          <w:p>
            <w:pPr>
              <w:pStyle w:val="27"/>
              <w:pageBreakBefore w:val="0"/>
              <w:kinsoku/>
              <w:wordWrap/>
              <w:overflowPunct/>
              <w:topLinePunct w:val="0"/>
              <w:bidi w:val="0"/>
              <w:spacing w:after="0" w:line="360" w:lineRule="auto"/>
              <w:ind w:left="38"/>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条款名称</w:t>
            </w:r>
          </w:p>
        </w:tc>
        <w:tc>
          <w:tcPr>
            <w:tcW w:w="6425" w:type="dxa"/>
            <w:vAlign w:val="center"/>
          </w:tcPr>
          <w:p>
            <w:pPr>
              <w:pStyle w:val="27"/>
              <w:pageBreakBefore w:val="0"/>
              <w:kinsoku/>
              <w:wordWrap/>
              <w:overflowPunct/>
              <w:topLinePunct w:val="0"/>
              <w:bidi w:val="0"/>
              <w:spacing w:after="0"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38" w:type="dxa"/>
            <w:vMerge w:val="restart"/>
            <w:vAlign w:val="center"/>
          </w:tcPr>
          <w:p>
            <w:pPr>
              <w:pStyle w:val="27"/>
              <w:pageBreakBefore w:val="0"/>
              <w:kinsoku/>
              <w:wordWrap/>
              <w:overflowPunct/>
              <w:topLinePunct w:val="0"/>
              <w:bidi w:val="0"/>
              <w:spacing w:after="0" w:line="360" w:lineRule="auto"/>
              <w:ind w:right="23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2238" w:type="dxa"/>
            <w:tcBorders>
              <w:bottom w:val="single" w:color="auto" w:sz="4" w:space="0"/>
            </w:tcBorders>
            <w:vAlign w:val="center"/>
          </w:tcPr>
          <w:p>
            <w:pPr>
              <w:pStyle w:val="27"/>
              <w:pageBreakBefore w:val="0"/>
              <w:kinsoku/>
              <w:wordWrap/>
              <w:overflowPunct/>
              <w:topLinePunct w:val="0"/>
              <w:bidi w:val="0"/>
              <w:spacing w:after="0" w:line="360" w:lineRule="auto"/>
              <w:ind w:left="38"/>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采购预算</w:t>
            </w:r>
          </w:p>
          <w:p>
            <w:pPr>
              <w:pStyle w:val="27"/>
              <w:pageBreakBefore w:val="0"/>
              <w:kinsoku/>
              <w:wordWrap/>
              <w:overflowPunct/>
              <w:topLinePunct w:val="0"/>
              <w:bidi w:val="0"/>
              <w:spacing w:after="0" w:line="360" w:lineRule="auto"/>
              <w:ind w:left="38"/>
              <w:jc w:val="center"/>
              <w:rPr>
                <w:rFonts w:hint="eastAsia" w:ascii="宋体" w:hAnsi="宋体" w:eastAsia="宋体" w:cs="宋体"/>
                <w:color w:val="auto"/>
                <w:kern w:val="2"/>
                <w:sz w:val="21"/>
                <w:szCs w:val="21"/>
                <w:highlight w:val="none"/>
              </w:rPr>
            </w:pPr>
            <w:r>
              <w:rPr>
                <w:rFonts w:hint="eastAsia" w:ascii="宋体" w:hAnsi="宋体" w:eastAsia="宋体" w:cs="宋体"/>
                <w:b/>
                <w:bCs/>
                <w:color w:val="auto"/>
                <w:sz w:val="21"/>
                <w:szCs w:val="21"/>
                <w:highlight w:val="none"/>
              </w:rPr>
              <w:t>（实质性要求）</w:t>
            </w:r>
          </w:p>
        </w:tc>
        <w:tc>
          <w:tcPr>
            <w:tcW w:w="6425" w:type="dxa"/>
            <w:tcBorders>
              <w:bottom w:val="single" w:color="auto" w:sz="4" w:space="0"/>
            </w:tcBorders>
          </w:tcPr>
          <w:p>
            <w:pPr>
              <w:pageBreakBefore w:val="0"/>
              <w:widowControl/>
              <w:kinsoku/>
              <w:wordWrap/>
              <w:overflowPunct/>
              <w:topLinePunct w:val="0"/>
              <w:bidi w:val="0"/>
              <w:spacing w:after="0" w:line="360" w:lineRule="auto"/>
              <w:ind w:firstLine="210" w:firstLineChars="100"/>
              <w:rPr>
                <w:rFonts w:hint="eastAsia" w:ascii="宋体" w:hAnsi="宋体" w:eastAsia="宋体" w:cs="宋体"/>
                <w:color w:val="auto"/>
                <w:kern w:val="0"/>
                <w:szCs w:val="21"/>
                <w:highlight w:val="none"/>
                <w:lang w:val="en-US"/>
              </w:rPr>
            </w:pPr>
            <w:bookmarkStart w:id="17" w:name="PO_预算分包信息_1"/>
            <w:r>
              <w:rPr>
                <w:rFonts w:hint="eastAsia" w:ascii="宋体" w:hAnsi="宋体" w:eastAsia="宋体" w:cs="宋体"/>
                <w:color w:val="auto"/>
                <w:kern w:val="0"/>
                <w:szCs w:val="21"/>
                <w:highlight w:val="none"/>
              </w:rPr>
              <w:t>采购预算</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580万元</w:t>
            </w:r>
            <w:r>
              <w:rPr>
                <w:rFonts w:hint="eastAsia" w:ascii="宋体" w:hAnsi="宋体" w:eastAsia="宋体" w:cs="宋体"/>
                <w:color w:val="auto"/>
                <w:kern w:val="0"/>
                <w:sz w:val="21"/>
                <w:szCs w:val="21"/>
                <w:highlight w:val="none"/>
                <w:u w:val="none"/>
                <w:lang w:eastAsia="zh-CN"/>
              </w:rPr>
              <w:t>。</w:t>
            </w:r>
            <w:bookmarkEnd w:id="17"/>
          </w:p>
          <w:p>
            <w:pPr>
              <w:pStyle w:val="27"/>
              <w:pageBreakBefore w:val="0"/>
              <w:kinsoku/>
              <w:wordWrap/>
              <w:overflowPunct/>
              <w:topLinePunct w:val="0"/>
              <w:bidi w:val="0"/>
              <w:spacing w:after="0" w:line="360" w:lineRule="auto"/>
              <w:ind w:firstLine="210" w:firstLineChars="100"/>
              <w:jc w:val="both"/>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超过采购预算的报价为无效投标。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jc w:val="center"/>
        </w:trPr>
        <w:tc>
          <w:tcPr>
            <w:tcW w:w="838" w:type="dxa"/>
            <w:vMerge w:val="continue"/>
            <w:vAlign w:val="center"/>
          </w:tcPr>
          <w:p>
            <w:pPr>
              <w:pStyle w:val="27"/>
              <w:pageBreakBefore w:val="0"/>
              <w:kinsoku/>
              <w:wordWrap/>
              <w:overflowPunct/>
              <w:topLinePunct w:val="0"/>
              <w:bidi w:val="0"/>
              <w:spacing w:after="0" w:line="360" w:lineRule="auto"/>
              <w:ind w:right="230"/>
              <w:jc w:val="center"/>
              <w:rPr>
                <w:rFonts w:hint="eastAsia" w:ascii="宋体" w:hAnsi="宋体" w:eastAsia="宋体" w:cs="宋体"/>
                <w:color w:val="auto"/>
                <w:kern w:val="2"/>
                <w:sz w:val="21"/>
                <w:szCs w:val="21"/>
                <w:highlight w:val="none"/>
              </w:rPr>
            </w:pPr>
          </w:p>
        </w:tc>
        <w:tc>
          <w:tcPr>
            <w:tcW w:w="2238" w:type="dxa"/>
            <w:tcBorders>
              <w:bottom w:val="single" w:color="auto" w:sz="4" w:space="0"/>
            </w:tcBorders>
            <w:vAlign w:val="center"/>
          </w:tcPr>
          <w:p>
            <w:pPr>
              <w:pStyle w:val="27"/>
              <w:pageBreakBefore w:val="0"/>
              <w:kinsoku/>
              <w:wordWrap/>
              <w:overflowPunct/>
              <w:topLinePunct w:val="0"/>
              <w:bidi w:val="0"/>
              <w:spacing w:after="0" w:line="360" w:lineRule="auto"/>
              <w:ind w:left="38"/>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落实政府采购政策需满足的资格要求</w:t>
            </w:r>
          </w:p>
          <w:p>
            <w:pPr>
              <w:pStyle w:val="27"/>
              <w:pageBreakBefore w:val="0"/>
              <w:kinsoku/>
              <w:wordWrap/>
              <w:overflowPunct/>
              <w:topLinePunct w:val="0"/>
              <w:bidi w:val="0"/>
              <w:spacing w:after="0" w:line="360" w:lineRule="auto"/>
              <w:ind w:left="38"/>
              <w:jc w:val="center"/>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lang w:val="zh-CN"/>
              </w:rPr>
              <w:t>（实质性要求）</w:t>
            </w:r>
          </w:p>
        </w:tc>
        <w:tc>
          <w:tcPr>
            <w:tcW w:w="6425" w:type="dxa"/>
            <w:tcBorders>
              <w:bottom w:val="single" w:color="auto" w:sz="4" w:space="0"/>
            </w:tcBorders>
            <w:vAlign w:val="center"/>
          </w:tcPr>
          <w:p>
            <w:pPr>
              <w:pStyle w:val="27"/>
              <w:pageBreakBefore w:val="0"/>
              <w:kinsoku/>
              <w:wordWrap/>
              <w:overflowPunct/>
              <w:topLinePunct w:val="0"/>
              <w:bidi w:val="0"/>
              <w:spacing w:after="0" w:line="360" w:lineRule="auto"/>
              <w:ind w:left="38"/>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本项目</w:t>
            </w:r>
            <w:r>
              <w:rPr>
                <w:rFonts w:hint="eastAsia" w:ascii="宋体" w:hAnsi="宋体" w:eastAsia="宋体" w:cs="宋体"/>
                <w:color w:val="auto"/>
                <w:kern w:val="2"/>
                <w:sz w:val="21"/>
                <w:szCs w:val="21"/>
                <w:highlight w:val="none"/>
                <w:lang w:val="en-US" w:eastAsia="zh-CN"/>
              </w:rPr>
              <w:t>非</w:t>
            </w:r>
            <w:r>
              <w:rPr>
                <w:rFonts w:hint="eastAsia" w:ascii="宋体" w:hAnsi="宋体" w:eastAsia="宋体" w:cs="宋体"/>
                <w:color w:val="auto"/>
                <w:kern w:val="2"/>
                <w:sz w:val="21"/>
                <w:szCs w:val="21"/>
                <w:highlight w:val="none"/>
              </w:rPr>
              <w:t>专门面向中小企业采购</w:t>
            </w:r>
            <w:r>
              <w:rPr>
                <w:rFonts w:hint="eastAsia" w:eastAsia="宋体" w:cs="宋体"/>
                <w:color w:val="auto"/>
                <w:kern w:val="2"/>
                <w:sz w:val="21"/>
                <w:szCs w:val="21"/>
                <w:highlight w:val="none"/>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7" w:hRule="atLeast"/>
          <w:jc w:val="center"/>
        </w:trPr>
        <w:tc>
          <w:tcPr>
            <w:tcW w:w="838" w:type="dxa"/>
            <w:vMerge w:val="continue"/>
            <w:vAlign w:val="center"/>
          </w:tcPr>
          <w:p>
            <w:pPr>
              <w:pageBreakBefore w:val="0"/>
              <w:kinsoku/>
              <w:wordWrap/>
              <w:overflowPunct/>
              <w:topLinePunct w:val="0"/>
              <w:bidi w:val="0"/>
              <w:spacing w:after="0" w:line="360" w:lineRule="auto"/>
              <w:rPr>
                <w:rFonts w:hint="eastAsia" w:ascii="宋体" w:hAnsi="宋体" w:eastAsia="宋体" w:cs="宋体"/>
                <w:color w:val="auto"/>
                <w:szCs w:val="21"/>
                <w:highlight w:val="none"/>
              </w:rPr>
            </w:pPr>
          </w:p>
        </w:tc>
        <w:tc>
          <w:tcPr>
            <w:tcW w:w="2238" w:type="dxa"/>
            <w:tcBorders>
              <w:top w:val="single" w:color="auto" w:sz="4" w:space="0"/>
            </w:tcBorders>
            <w:vAlign w:val="center"/>
          </w:tcPr>
          <w:p>
            <w:pPr>
              <w:pStyle w:val="27"/>
              <w:pageBreakBefore w:val="0"/>
              <w:kinsoku/>
              <w:wordWrap/>
              <w:overflowPunct/>
              <w:topLinePunct w:val="0"/>
              <w:bidi w:val="0"/>
              <w:spacing w:after="0"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最高限价</w:t>
            </w:r>
          </w:p>
          <w:p>
            <w:pPr>
              <w:pStyle w:val="27"/>
              <w:pageBreakBefore w:val="0"/>
              <w:kinsoku/>
              <w:wordWrap/>
              <w:overflowPunct/>
              <w:topLinePunct w:val="0"/>
              <w:bidi w:val="0"/>
              <w:spacing w:after="0"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实质性要求）</w:t>
            </w:r>
          </w:p>
        </w:tc>
        <w:tc>
          <w:tcPr>
            <w:tcW w:w="6425" w:type="dxa"/>
            <w:tcBorders>
              <w:top w:val="single" w:color="auto" w:sz="4" w:space="0"/>
            </w:tcBorders>
          </w:tcPr>
          <w:p>
            <w:pPr>
              <w:pageBreakBefore w:val="0"/>
              <w:widowControl/>
              <w:kinsoku/>
              <w:wordWrap/>
              <w:overflowPunct/>
              <w:topLinePunct w:val="0"/>
              <w:bidi w:val="0"/>
              <w:spacing w:after="0" w:line="360" w:lineRule="auto"/>
              <w:ind w:firstLine="210" w:firstLineChars="100"/>
              <w:rPr>
                <w:rFonts w:hint="eastAsia" w:ascii="宋体" w:hAnsi="宋体" w:eastAsia="宋体" w:cs="宋体"/>
                <w:color w:val="auto"/>
                <w:kern w:val="0"/>
                <w:szCs w:val="21"/>
                <w:highlight w:val="none"/>
                <w:lang w:val="en-US"/>
              </w:rPr>
            </w:pPr>
            <w:bookmarkStart w:id="18" w:name="PO_限价分包信息_1"/>
            <w:r>
              <w:rPr>
                <w:rFonts w:hint="eastAsia" w:ascii="宋体" w:hAnsi="宋体" w:eastAsia="宋体" w:cs="宋体"/>
                <w:color w:val="auto"/>
                <w:kern w:val="0"/>
                <w:szCs w:val="21"/>
                <w:highlight w:val="none"/>
              </w:rPr>
              <w:t>最高限价：</w:t>
            </w:r>
            <w:bookmarkEnd w:id="18"/>
            <w:r>
              <w:rPr>
                <w:rFonts w:hint="eastAsia" w:ascii="宋体" w:hAnsi="宋体" w:eastAsia="宋体" w:cs="宋体"/>
                <w:color w:val="auto"/>
                <w:kern w:val="0"/>
                <w:szCs w:val="21"/>
                <w:highlight w:val="none"/>
                <w:lang w:val="en-US" w:eastAsia="zh-CN"/>
              </w:rPr>
              <w:t>580万元。</w:t>
            </w:r>
          </w:p>
          <w:p>
            <w:pPr>
              <w:pStyle w:val="27"/>
              <w:pageBreakBefore w:val="0"/>
              <w:kinsoku/>
              <w:wordWrap/>
              <w:overflowPunct/>
              <w:topLinePunct w:val="0"/>
              <w:bidi w:val="0"/>
              <w:spacing w:after="0" w:line="360" w:lineRule="auto"/>
              <w:ind w:firstLine="210" w:firstLineChars="100"/>
              <w:jc w:val="both"/>
              <w:rPr>
                <w:rFonts w:hint="eastAsia" w:ascii="宋体" w:hAnsi="宋体" w:eastAsia="宋体" w:cs="宋体"/>
                <w:color w:val="auto"/>
                <w:sz w:val="21"/>
                <w:szCs w:val="21"/>
                <w:highlight w:val="none"/>
              </w:rPr>
            </w:pPr>
            <w:bookmarkStart w:id="19" w:name="PO_默认文件内容_27"/>
            <w:r>
              <w:rPr>
                <w:rFonts w:hint="eastAsia" w:ascii="宋体" w:hAnsi="宋体" w:eastAsia="宋体" w:cs="宋体"/>
                <w:color w:val="auto"/>
                <w:sz w:val="21"/>
                <w:szCs w:val="21"/>
                <w:highlight w:val="none"/>
              </w:rPr>
              <w:t>超过最高限价的报价为无效投标。</w:t>
            </w:r>
            <w:bookmarkEnd w:id="19"/>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4" w:hRule="atLeast"/>
          <w:jc w:val="center"/>
        </w:trPr>
        <w:tc>
          <w:tcPr>
            <w:tcW w:w="838" w:type="dxa"/>
            <w:vMerge w:val="continue"/>
            <w:vAlign w:val="center"/>
          </w:tcPr>
          <w:p>
            <w:pPr>
              <w:pStyle w:val="27"/>
              <w:pageBreakBefore w:val="0"/>
              <w:kinsoku/>
              <w:wordWrap/>
              <w:overflowPunct/>
              <w:topLinePunct w:val="0"/>
              <w:bidi w:val="0"/>
              <w:spacing w:after="0" w:line="360" w:lineRule="auto"/>
              <w:ind w:firstLine="240" w:firstLineChars="100"/>
              <w:jc w:val="both"/>
              <w:rPr>
                <w:rFonts w:hint="eastAsia" w:ascii="宋体" w:hAnsi="宋体" w:eastAsia="宋体" w:cs="宋体"/>
                <w:color w:val="auto"/>
                <w:highlight w:val="none"/>
              </w:rPr>
            </w:pPr>
          </w:p>
        </w:tc>
        <w:tc>
          <w:tcPr>
            <w:tcW w:w="2238" w:type="dxa"/>
            <w:tcBorders>
              <w:top w:val="single" w:color="auto" w:sz="4" w:space="0"/>
            </w:tcBorders>
            <w:vAlign w:val="center"/>
          </w:tcPr>
          <w:p>
            <w:pPr>
              <w:pStyle w:val="27"/>
              <w:pageBreakBefore w:val="0"/>
              <w:kinsoku/>
              <w:wordWrap/>
              <w:overflowPunct/>
              <w:topLinePunct w:val="0"/>
              <w:bidi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w:t>
            </w:r>
          </w:p>
          <w:p>
            <w:pPr>
              <w:pStyle w:val="27"/>
              <w:pageBreakBefore w:val="0"/>
              <w:kinsoku/>
              <w:wordWrap/>
              <w:overflowPunct/>
              <w:topLinePunct w:val="0"/>
              <w:bidi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实质性要求）</w:t>
            </w:r>
          </w:p>
        </w:tc>
        <w:tc>
          <w:tcPr>
            <w:tcW w:w="6425" w:type="dxa"/>
            <w:tcBorders>
              <w:top w:val="single" w:color="auto" w:sz="4" w:space="0"/>
            </w:tcBorders>
            <w:vAlign w:val="center"/>
          </w:tcPr>
          <w:p>
            <w:pPr>
              <w:pStyle w:val="27"/>
              <w:pageBreakBefore w:val="0"/>
              <w:kinsoku/>
              <w:wordWrap/>
              <w:overflowPunct/>
              <w:topLinePunct w:val="0"/>
              <w:bidi w:val="0"/>
              <w:spacing w:after="0" w:line="36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本项目不允许联合体投标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48" w:hRule="atLeast"/>
          <w:jc w:val="center"/>
        </w:trPr>
        <w:tc>
          <w:tcPr>
            <w:tcW w:w="838" w:type="dxa"/>
            <w:vAlign w:val="center"/>
          </w:tcPr>
          <w:p>
            <w:pPr>
              <w:pStyle w:val="27"/>
              <w:pageBreakBefore w:val="0"/>
              <w:kinsoku/>
              <w:wordWrap/>
              <w:overflowPunct/>
              <w:topLinePunct w:val="0"/>
              <w:bidi w:val="0"/>
              <w:spacing w:after="0" w:line="360" w:lineRule="auto"/>
              <w:ind w:right="23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p>
        </w:tc>
        <w:tc>
          <w:tcPr>
            <w:tcW w:w="2238" w:type="dxa"/>
            <w:vAlign w:val="center"/>
          </w:tcPr>
          <w:p>
            <w:pPr>
              <w:pStyle w:val="27"/>
              <w:pageBreakBefore w:val="0"/>
              <w:kinsoku/>
              <w:wordWrap/>
              <w:overflowPunct/>
              <w:topLinePunct w:val="0"/>
              <w:bidi w:val="0"/>
              <w:spacing w:after="0" w:line="360" w:lineRule="auto"/>
              <w:ind w:left="38"/>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低于成本价不正当</w:t>
            </w:r>
          </w:p>
          <w:p>
            <w:pPr>
              <w:pStyle w:val="27"/>
              <w:pageBreakBefore w:val="0"/>
              <w:kinsoku/>
              <w:wordWrap/>
              <w:overflowPunct/>
              <w:topLinePunct w:val="0"/>
              <w:bidi w:val="0"/>
              <w:spacing w:after="0" w:line="360" w:lineRule="auto"/>
              <w:ind w:left="38"/>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竞争预防措施</w:t>
            </w:r>
          </w:p>
          <w:p>
            <w:pPr>
              <w:pStyle w:val="27"/>
              <w:pageBreakBefore w:val="0"/>
              <w:kinsoku/>
              <w:wordWrap/>
              <w:overflowPunct/>
              <w:topLinePunct w:val="0"/>
              <w:bidi w:val="0"/>
              <w:spacing w:after="0" w:line="360" w:lineRule="auto"/>
              <w:ind w:left="38"/>
              <w:jc w:val="center"/>
              <w:rPr>
                <w:rFonts w:hint="eastAsia" w:ascii="宋体" w:hAnsi="宋体" w:eastAsia="宋体" w:cs="宋体"/>
                <w:color w:val="auto"/>
                <w:kern w:val="2"/>
                <w:sz w:val="21"/>
                <w:szCs w:val="21"/>
                <w:highlight w:val="none"/>
              </w:rPr>
            </w:pPr>
            <w:r>
              <w:rPr>
                <w:rFonts w:hint="eastAsia" w:ascii="宋体" w:hAnsi="宋体" w:eastAsia="宋体" w:cs="宋体"/>
                <w:b/>
                <w:bCs/>
                <w:color w:val="auto"/>
                <w:sz w:val="21"/>
                <w:szCs w:val="21"/>
                <w:highlight w:val="none"/>
              </w:rPr>
              <w:t>（实质性要求）</w:t>
            </w:r>
          </w:p>
        </w:tc>
        <w:tc>
          <w:tcPr>
            <w:tcW w:w="6425" w:type="dxa"/>
            <w:vAlign w:val="center"/>
          </w:tcPr>
          <w:p>
            <w:pPr>
              <w:pStyle w:val="27"/>
              <w:pageBreakBefore w:val="0"/>
              <w:kinsoku/>
              <w:wordWrap/>
              <w:overflowPunct/>
              <w:topLinePunct w:val="0"/>
              <w:bidi w:val="0"/>
              <w:spacing w:after="0" w:line="36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评标委员会认为投标人的报价明显低于其他通过符合性审查投标 人的报价，有可能影响产品质量或者不能诚信履约的，应当要求其在评标现场合理的时间内提供书面说明，必要时提交相关证明材料。 投标人书面说明应当按照国家财务会计制度的规定要求，逐项就投标人提供的货物、工程和服务的主营业务成本（应根据投标人企业类型予以区别）、税金及附加、销售费用、管理费用、财务 费用等成本构成事项详细陈述。 </w:t>
            </w:r>
          </w:p>
          <w:p>
            <w:pPr>
              <w:pStyle w:val="27"/>
              <w:pageBreakBefore w:val="0"/>
              <w:kinsoku/>
              <w:wordWrap/>
              <w:overflowPunct/>
              <w:topLinePunct w:val="0"/>
              <w:bidi w:val="0"/>
              <w:spacing w:after="0" w:line="360" w:lineRule="auto"/>
              <w:ind w:firstLine="211" w:firstLineChars="100"/>
              <w:jc w:val="both"/>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注：供应商书面说明应当加盖公章，否则无效。</w:t>
            </w:r>
          </w:p>
          <w:p>
            <w:pPr>
              <w:pStyle w:val="27"/>
              <w:pageBreakBefore w:val="0"/>
              <w:kinsoku/>
              <w:wordWrap/>
              <w:overflowPunct/>
              <w:topLinePunct w:val="0"/>
              <w:bidi w:val="0"/>
              <w:spacing w:after="0" w:line="36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书面说明的签字确认，投标人为法人的，由其法定代表人或者代理人签 字确认；投标人为其他组织的，由其主要负责人或者代理人签字 确认；投标人为自然人的，由其本人或者代理人签字确认。 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 明其报价合理性的，评标委员会应当将其作为无效投标处理。</w:t>
            </w:r>
          </w:p>
          <w:p>
            <w:pPr>
              <w:pStyle w:val="27"/>
              <w:pageBreakBefore w:val="0"/>
              <w:kinsoku/>
              <w:wordWrap/>
              <w:overflowPunct/>
              <w:topLinePunct w:val="0"/>
              <w:bidi w:val="0"/>
              <w:spacing w:after="0" w:line="360" w:lineRule="auto"/>
              <w:ind w:firstLine="211" w:firstLineChars="10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val="zh-CN"/>
              </w:rPr>
              <w:t>投标人提交的书面说明、相关证明材料（如涉及），应当加盖投标人（法定名称）</w:t>
            </w:r>
            <w:r>
              <w:rPr>
                <w:rFonts w:hint="eastAsia" w:ascii="宋体" w:hAnsi="宋体" w:eastAsia="宋体" w:cs="宋体"/>
                <w:b/>
                <w:bCs/>
                <w:color w:val="auto"/>
                <w:kern w:val="0"/>
                <w:sz w:val="21"/>
                <w:szCs w:val="21"/>
                <w:highlight w:val="none"/>
                <w:lang w:val="en-US" w:eastAsia="zh-CN" w:bidi="ar"/>
              </w:rPr>
              <w:t>公章</w:t>
            </w:r>
            <w:r>
              <w:rPr>
                <w:rFonts w:hint="eastAsia" w:ascii="宋体" w:hAnsi="宋体" w:eastAsia="宋体" w:cs="宋体"/>
                <w:b/>
                <w:bCs/>
                <w:color w:val="auto"/>
                <w:sz w:val="21"/>
                <w:szCs w:val="21"/>
                <w:highlight w:val="none"/>
                <w:lang w:val="zh-CN"/>
              </w:rPr>
              <w:t>，在评标委员会要求的时间内通过政府采购云平台进行递交，否则无效（给予投标人澄清、说明的时间不得少于</w:t>
            </w:r>
            <w:r>
              <w:rPr>
                <w:rFonts w:hint="eastAsia" w:ascii="宋体" w:hAnsi="宋体" w:eastAsia="宋体" w:cs="宋体"/>
                <w:b/>
                <w:bCs/>
                <w:color w:val="auto"/>
                <w:sz w:val="21"/>
                <w:szCs w:val="21"/>
                <w:highlight w:val="none"/>
              </w:rPr>
              <w:t>30分钟，</w:t>
            </w:r>
            <w:r>
              <w:rPr>
                <w:rFonts w:hint="eastAsia" w:ascii="宋体" w:hAnsi="宋体" w:eastAsia="宋体" w:cs="宋体"/>
                <w:b/>
                <w:bCs/>
                <w:color w:val="auto"/>
                <w:sz w:val="21"/>
                <w:szCs w:val="21"/>
                <w:highlight w:val="none"/>
                <w:lang w:val="zh-CN"/>
              </w:rPr>
              <w:t>投标人</w:t>
            </w:r>
            <w:r>
              <w:rPr>
                <w:rFonts w:hint="eastAsia" w:ascii="宋体" w:hAnsi="宋体" w:eastAsia="宋体" w:cs="宋体"/>
                <w:b/>
                <w:bCs/>
                <w:color w:val="auto"/>
                <w:sz w:val="21"/>
                <w:szCs w:val="21"/>
                <w:highlight w:val="none"/>
              </w:rPr>
              <w:t>已明确表示澄清、说明完毕的除外</w:t>
            </w:r>
            <w:r>
              <w:rPr>
                <w:rFonts w:hint="eastAsia" w:ascii="宋体" w:hAnsi="宋体" w:eastAsia="宋体" w:cs="宋体"/>
                <w:b/>
                <w:bCs/>
                <w:color w:val="auto"/>
                <w:sz w:val="21"/>
                <w:szCs w:val="21"/>
                <w:highlight w:val="none"/>
                <w:lang w:val="zh-CN"/>
              </w:rPr>
              <w:t>）。如因断电、断网、系统故障或其他不可抗力等因素，导致系统无法使用的，由投标人按评标委员会的要求进行澄清或者说明。</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44" w:hRule="atLeast"/>
          <w:jc w:val="center"/>
        </w:trPr>
        <w:tc>
          <w:tcPr>
            <w:tcW w:w="838" w:type="dxa"/>
            <w:vAlign w:val="center"/>
          </w:tcPr>
          <w:p>
            <w:pPr>
              <w:pStyle w:val="27"/>
              <w:pageBreakBefore w:val="0"/>
              <w:kinsoku/>
              <w:wordWrap/>
              <w:overflowPunct/>
              <w:topLinePunct w:val="0"/>
              <w:bidi w:val="0"/>
              <w:spacing w:after="0" w:line="360" w:lineRule="auto"/>
              <w:ind w:right="23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w:t>
            </w:r>
          </w:p>
        </w:tc>
        <w:tc>
          <w:tcPr>
            <w:tcW w:w="2238" w:type="dxa"/>
            <w:vAlign w:val="center"/>
          </w:tcPr>
          <w:p>
            <w:pPr>
              <w:pStyle w:val="27"/>
              <w:pageBreakBefore w:val="0"/>
              <w:kinsoku/>
              <w:wordWrap/>
              <w:overflowPunct/>
              <w:topLinePunct w:val="0"/>
              <w:bidi w:val="0"/>
              <w:spacing w:after="0"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小微企业（监狱企业、残疾人福利性单位</w:t>
            </w:r>
            <w:r>
              <w:rPr>
                <w:rFonts w:hint="eastAsia" w:ascii="宋体" w:hAnsi="宋体" w:eastAsia="宋体" w:cs="宋体"/>
                <w:color w:val="auto"/>
                <w:sz w:val="21"/>
                <w:szCs w:val="21"/>
                <w:highlight w:val="none"/>
              </w:rPr>
              <w:t>视同小微企业</w:t>
            </w:r>
            <w:r>
              <w:rPr>
                <w:rFonts w:hint="eastAsia" w:ascii="宋体" w:hAnsi="宋体" w:eastAsia="宋体" w:cs="宋体"/>
                <w:color w:val="auto"/>
                <w:kern w:val="2"/>
                <w:sz w:val="21"/>
                <w:szCs w:val="21"/>
                <w:highlight w:val="none"/>
              </w:rPr>
              <w:t>）价格扣除</w:t>
            </w:r>
          </w:p>
          <w:p>
            <w:pPr>
              <w:pStyle w:val="27"/>
              <w:pageBreakBefore w:val="0"/>
              <w:kinsoku/>
              <w:wordWrap/>
              <w:overflowPunct/>
              <w:topLinePunct w:val="0"/>
              <w:bidi w:val="0"/>
              <w:spacing w:after="0" w:line="360" w:lineRule="auto"/>
              <w:jc w:val="center"/>
              <w:rPr>
                <w:rFonts w:hint="eastAsia" w:ascii="宋体" w:hAnsi="宋体" w:eastAsia="宋体" w:cs="宋体"/>
                <w:color w:val="auto"/>
                <w:kern w:val="2"/>
                <w:sz w:val="21"/>
                <w:szCs w:val="21"/>
                <w:highlight w:val="none"/>
              </w:rPr>
            </w:pPr>
          </w:p>
        </w:tc>
        <w:tc>
          <w:tcPr>
            <w:tcW w:w="6425" w:type="dxa"/>
            <w:vAlign w:val="center"/>
          </w:tcPr>
          <w:p>
            <w:pPr>
              <w:pStyle w:val="27"/>
              <w:pageBreakBefore w:val="0"/>
              <w:kinsoku/>
              <w:wordWrap/>
              <w:overflowPunct/>
              <w:topLinePunct w:val="0"/>
              <w:bidi w:val="0"/>
              <w:spacing w:after="0" w:line="36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1.小微企业（监狱企业、残疾人福利性单位视同小微企业）价格扣除</w:t>
            </w:r>
          </w:p>
          <w:p>
            <w:pPr>
              <w:pStyle w:val="27"/>
              <w:pageBreakBefore w:val="0"/>
              <w:kinsoku/>
              <w:wordWrap/>
              <w:overflowPunct/>
              <w:topLinePunct w:val="0"/>
              <w:bidi w:val="0"/>
              <w:spacing w:after="0" w:line="36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小微企业（监狱企业、残疾人福利单位视同小微企业）价格扣除：根据财库[2020]46号文，对小型和微型企业（监狱企业、残疾人福利性单位视同小微企业）的价格给予10%的扣除，用扣除后的价格参与评标。</w:t>
            </w:r>
          </w:p>
          <w:p>
            <w:pPr>
              <w:pStyle w:val="27"/>
              <w:pageBreakBefore w:val="0"/>
              <w:kinsoku/>
              <w:wordWrap/>
              <w:overflowPunct/>
              <w:topLinePunct w:val="0"/>
              <w:bidi w:val="0"/>
              <w:spacing w:after="0" w:line="360" w:lineRule="auto"/>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1.2.参加政府采购活动的中小企业应当提供《中小企业声明函》原件。监狱企业应当提供《监狱企业证明》原件。残疾人福利性单位应当提供《残疾人福利性单位声明函》原件。</w:t>
            </w:r>
          </w:p>
          <w:p>
            <w:pPr>
              <w:pStyle w:val="27"/>
              <w:pageBreakBefore w:val="0"/>
              <w:kinsoku/>
              <w:wordWrap/>
              <w:overflowPunct/>
              <w:topLinePunct w:val="0"/>
              <w:bidi w:val="0"/>
              <w:spacing w:after="0" w:line="360" w:lineRule="auto"/>
              <w:ind w:firstLine="210" w:firstLineChars="1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1.3.残疾人福利性单位属于小型、微型企业的，不重复享受政策。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8" w:hRule="atLeast"/>
          <w:jc w:val="center"/>
        </w:trPr>
        <w:tc>
          <w:tcPr>
            <w:tcW w:w="838" w:type="dxa"/>
            <w:vAlign w:val="center"/>
          </w:tcPr>
          <w:p>
            <w:pPr>
              <w:pStyle w:val="27"/>
              <w:pageBreakBefore w:val="0"/>
              <w:kinsoku/>
              <w:wordWrap/>
              <w:overflowPunct/>
              <w:topLinePunct w:val="0"/>
              <w:bidi w:val="0"/>
              <w:spacing w:after="0" w:line="360" w:lineRule="auto"/>
              <w:ind w:right="23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238" w:type="dxa"/>
            <w:vAlign w:val="center"/>
          </w:tcPr>
          <w:p>
            <w:pPr>
              <w:pageBreakBefore w:val="0"/>
              <w:kinsoku/>
              <w:wordWrap/>
              <w:overflowPunct/>
              <w:topLinePunct w:val="0"/>
              <w:bidi w:val="0"/>
              <w:spacing w:after="0" w:line="360" w:lineRule="auto"/>
              <w:ind w:left="105" w:leftChars="50" w:right="105" w:rightChars="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节能、环保及无线局域网产品政府采购政策</w:t>
            </w:r>
          </w:p>
        </w:tc>
        <w:tc>
          <w:tcPr>
            <w:tcW w:w="6425" w:type="dxa"/>
            <w:vAlign w:val="center"/>
          </w:tcPr>
          <w:p>
            <w:pPr>
              <w:pStyle w:val="27"/>
              <w:pageBreakBefore w:val="0"/>
              <w:kinsoku/>
              <w:wordWrap/>
              <w:overflowPunct/>
              <w:topLinePunct w:val="0"/>
              <w:bidi w:val="0"/>
              <w:spacing w:after="0" w:line="360" w:lineRule="auto"/>
              <w:ind w:firstLine="210" w:firstLineChars="10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一、节能、环保产品政府采购政策：</w:t>
            </w:r>
          </w:p>
          <w:p>
            <w:pPr>
              <w:pStyle w:val="27"/>
              <w:pageBreakBefore w:val="0"/>
              <w:kinsoku/>
              <w:wordWrap/>
              <w:overflowPunct/>
              <w:topLinePunct w:val="0"/>
              <w:bidi w:val="0"/>
              <w:spacing w:after="0" w:line="360" w:lineRule="auto"/>
              <w:ind w:firstLine="210" w:firstLineChars="10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根据《财政部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的规定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pStyle w:val="27"/>
              <w:pageBreakBefore w:val="0"/>
              <w:kinsoku/>
              <w:wordWrap/>
              <w:overflowPunct/>
              <w:topLinePunct w:val="0"/>
              <w:bidi w:val="0"/>
              <w:spacing w:after="0" w:line="360" w:lineRule="auto"/>
              <w:ind w:firstLine="211" w:firstLineChars="100"/>
              <w:jc w:val="both"/>
              <w:rPr>
                <w:rFonts w:hint="eastAsia" w:ascii="宋体" w:hAnsi="宋体" w:eastAsia="宋体" w:cs="宋体"/>
                <w:color w:val="auto"/>
                <w:sz w:val="21"/>
                <w:szCs w:val="21"/>
                <w:highlight w:val="none"/>
                <w:lang w:val="zh-CN" w:eastAsia="zh-CN"/>
              </w:rPr>
            </w:pPr>
            <w:r>
              <w:rPr>
                <w:rFonts w:hint="eastAsia" w:ascii="宋体" w:hAnsi="宋体" w:eastAsia="宋体" w:cs="宋体"/>
                <w:b/>
                <w:bCs/>
                <w:color w:val="auto"/>
                <w:sz w:val="21"/>
                <w:szCs w:val="21"/>
                <w:highlight w:val="none"/>
                <w:lang w:val="zh-CN" w:eastAsia="zh-CN"/>
              </w:rPr>
              <w:t>本项目采购需求中无国家规定的《节能产品政府采购品目清单》内标注“★”的产品。</w:t>
            </w:r>
          </w:p>
          <w:p>
            <w:pPr>
              <w:pStyle w:val="27"/>
              <w:pageBreakBefore w:val="0"/>
              <w:kinsoku/>
              <w:wordWrap/>
              <w:overflowPunct/>
              <w:topLinePunct w:val="0"/>
              <w:bidi w:val="0"/>
              <w:spacing w:after="0" w:line="360" w:lineRule="auto"/>
              <w:ind w:firstLine="210" w:firstLineChars="10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本项目采购的产品属于品目清单优先采购范围的，按照第八章《综合评分明细表》的规则进行加分。</w:t>
            </w:r>
          </w:p>
          <w:p>
            <w:pPr>
              <w:pStyle w:val="27"/>
              <w:pageBreakBefore w:val="0"/>
              <w:kinsoku/>
              <w:wordWrap/>
              <w:overflowPunct/>
              <w:topLinePunct w:val="0"/>
              <w:bidi w:val="0"/>
              <w:spacing w:after="0" w:line="360" w:lineRule="auto"/>
              <w:ind w:firstLine="210" w:firstLineChars="10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注：对政府采购节能产品、环境标志产品实施品目清单管理。财政部、发展改革委、生态环境部等部门确定实施政府优先采购和强制采购的产品类别，以品目清单的形式发布并适时调整。</w:t>
            </w:r>
          </w:p>
          <w:p>
            <w:pPr>
              <w:pStyle w:val="27"/>
              <w:pageBreakBefore w:val="0"/>
              <w:kinsoku/>
              <w:wordWrap/>
              <w:overflowPunct/>
              <w:topLinePunct w:val="0"/>
              <w:bidi w:val="0"/>
              <w:spacing w:after="0" w:line="360" w:lineRule="auto"/>
              <w:ind w:firstLine="210" w:firstLineChars="10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二、无线局域网产品政府采购政策：</w:t>
            </w:r>
          </w:p>
          <w:p>
            <w:pPr>
              <w:pStyle w:val="27"/>
              <w:pageBreakBefore w:val="0"/>
              <w:kinsoku/>
              <w:wordWrap/>
              <w:overflowPunct/>
              <w:topLinePunct w:val="0"/>
              <w:bidi w:val="0"/>
              <w:spacing w:after="0" w:line="360" w:lineRule="auto"/>
              <w:ind w:firstLine="210" w:firstLineChars="1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zh-CN" w:eastAsia="zh-CN"/>
              </w:rPr>
              <w:t>本项目采购的产品属于中国政府采购网公布的《无线局域网认证产品政府采购清单》且在有效期内的，按照第八章《综合评分明细表》的规则进行加分。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27"/>
              <w:pageBreakBefore w:val="0"/>
              <w:kinsoku/>
              <w:wordWrap/>
              <w:overflowPunct/>
              <w:topLinePunct w:val="0"/>
              <w:bidi w:val="0"/>
              <w:spacing w:after="0" w:line="360" w:lineRule="auto"/>
              <w:ind w:right="23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p>
        </w:tc>
        <w:tc>
          <w:tcPr>
            <w:tcW w:w="2238" w:type="dxa"/>
            <w:vAlign w:val="center"/>
          </w:tcPr>
          <w:p>
            <w:pPr>
              <w:pageBreakBefore w:val="0"/>
              <w:kinsoku/>
              <w:wordWrap/>
              <w:overflowPunct/>
              <w:topLinePunct w:val="0"/>
              <w:bidi w:val="0"/>
              <w:spacing w:after="0" w:line="360" w:lineRule="auto"/>
              <w:ind w:left="105" w:leftChars="50" w:right="105" w:rightChars="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评标情况公告</w:t>
            </w:r>
          </w:p>
        </w:tc>
        <w:tc>
          <w:tcPr>
            <w:tcW w:w="6425" w:type="dxa"/>
            <w:vAlign w:val="center"/>
          </w:tcPr>
          <w:p>
            <w:pPr>
              <w:pageBreakBefore w:val="0"/>
              <w:widowControl/>
              <w:kinsoku/>
              <w:wordWrap/>
              <w:overflowPunct/>
              <w:topLinePunct w:val="0"/>
              <w:bidi w:val="0"/>
              <w:spacing w:after="0" w:line="360" w:lineRule="auto"/>
              <w:ind w:firstLine="210" w:firstLineChars="100"/>
              <w:jc w:val="left"/>
              <w:rPr>
                <w:rFonts w:hint="eastAsia" w:ascii="宋体" w:hAnsi="宋体" w:eastAsia="宋体" w:cs="宋体"/>
                <w:color w:val="auto"/>
                <w:szCs w:val="21"/>
                <w:highlight w:val="none"/>
              </w:rPr>
            </w:pPr>
            <w:bookmarkStart w:id="20" w:name="PO_默认文件内容_6"/>
            <w:r>
              <w:rPr>
                <w:rFonts w:hint="eastAsia" w:ascii="宋体" w:hAnsi="宋体" w:eastAsia="宋体" w:cs="宋体"/>
                <w:color w:val="auto"/>
                <w:kern w:val="0"/>
                <w:szCs w:val="21"/>
                <w:highlight w:val="none"/>
              </w:rPr>
              <w:t>所有</w:t>
            </w:r>
            <w:r>
              <w:rPr>
                <w:rFonts w:hint="eastAsia" w:ascii="宋体" w:hAnsi="宋体" w:eastAsia="宋体" w:cs="宋体"/>
                <w:color w:val="auto"/>
                <w:szCs w:val="21"/>
                <w:highlight w:val="none"/>
              </w:rPr>
              <w:t>投标人</w:t>
            </w:r>
            <w:r>
              <w:rPr>
                <w:rFonts w:hint="eastAsia" w:ascii="宋体" w:hAnsi="宋体" w:eastAsia="宋体" w:cs="宋体"/>
                <w:color w:val="auto"/>
                <w:kern w:val="0"/>
                <w:szCs w:val="21"/>
                <w:highlight w:val="none"/>
              </w:rPr>
              <w:t>投标文件资格性、符合性检查情况、采用综合评分法时的总得分和分项汇总得分情况、评标结果等将在四川政府采购网上采购结果公告栏中予以公告。</w:t>
            </w:r>
            <w:bookmarkEnd w:id="2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27"/>
              <w:pageBreakBefore w:val="0"/>
              <w:kinsoku/>
              <w:wordWrap/>
              <w:overflowPunct/>
              <w:topLinePunct w:val="0"/>
              <w:bidi w:val="0"/>
              <w:spacing w:after="0" w:line="360" w:lineRule="auto"/>
              <w:ind w:right="23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w:t>
            </w:r>
          </w:p>
        </w:tc>
        <w:tc>
          <w:tcPr>
            <w:tcW w:w="2238" w:type="dxa"/>
            <w:vAlign w:val="center"/>
          </w:tcPr>
          <w:p>
            <w:pPr>
              <w:pStyle w:val="27"/>
              <w:pageBreakBefore w:val="0"/>
              <w:kinsoku/>
              <w:wordWrap/>
              <w:overflowPunct/>
              <w:topLinePunct w:val="0"/>
              <w:bidi w:val="0"/>
              <w:spacing w:after="0" w:line="360" w:lineRule="auto"/>
              <w:ind w:left="96"/>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投标保证金</w:t>
            </w:r>
          </w:p>
        </w:tc>
        <w:tc>
          <w:tcPr>
            <w:tcW w:w="6425" w:type="dxa"/>
            <w:vAlign w:val="center"/>
          </w:tcPr>
          <w:p>
            <w:pPr>
              <w:pStyle w:val="27"/>
              <w:pageBreakBefore w:val="0"/>
              <w:kinsoku/>
              <w:wordWrap/>
              <w:overflowPunct/>
              <w:topLinePunct w:val="0"/>
              <w:bidi w:val="0"/>
              <w:spacing w:after="0" w:line="360" w:lineRule="auto"/>
              <w:ind w:firstLine="210" w:firstLineChars="1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本项目不</w:t>
            </w:r>
            <w:r>
              <w:rPr>
                <w:rFonts w:hint="eastAsia" w:ascii="宋体" w:hAnsi="宋体" w:eastAsia="宋体" w:cs="宋体"/>
                <w:color w:val="auto"/>
                <w:sz w:val="21"/>
                <w:szCs w:val="21"/>
                <w:highlight w:val="none"/>
              </w:rPr>
              <w:t>缴纳</w:t>
            </w:r>
            <w:r>
              <w:rPr>
                <w:rFonts w:hint="eastAsia" w:ascii="宋体" w:hAnsi="宋体" w:eastAsia="宋体" w:cs="宋体"/>
                <w:color w:val="auto"/>
                <w:sz w:val="21"/>
                <w:szCs w:val="21"/>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0" w:hRule="atLeast"/>
          <w:jc w:val="center"/>
        </w:trPr>
        <w:tc>
          <w:tcPr>
            <w:tcW w:w="838" w:type="dxa"/>
            <w:vAlign w:val="center"/>
          </w:tcPr>
          <w:p>
            <w:pPr>
              <w:pStyle w:val="27"/>
              <w:pageBreakBefore w:val="0"/>
              <w:kinsoku/>
              <w:wordWrap/>
              <w:overflowPunct/>
              <w:topLinePunct w:val="0"/>
              <w:bidi w:val="0"/>
              <w:spacing w:after="0" w:line="360" w:lineRule="auto"/>
              <w:ind w:right="264"/>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w:t>
            </w:r>
          </w:p>
        </w:tc>
        <w:tc>
          <w:tcPr>
            <w:tcW w:w="2238" w:type="dxa"/>
            <w:vAlign w:val="center"/>
          </w:tcPr>
          <w:p>
            <w:pPr>
              <w:pStyle w:val="27"/>
              <w:pageBreakBefore w:val="0"/>
              <w:kinsoku/>
              <w:wordWrap/>
              <w:overflowPunct/>
              <w:topLinePunct w:val="0"/>
              <w:bidi w:val="0"/>
              <w:spacing w:after="0" w:line="360" w:lineRule="auto"/>
              <w:ind w:left="96"/>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履约保证金</w:t>
            </w:r>
          </w:p>
        </w:tc>
        <w:tc>
          <w:tcPr>
            <w:tcW w:w="6425" w:type="dxa"/>
            <w:vAlign w:val="center"/>
          </w:tcPr>
          <w:p>
            <w:pPr>
              <w:pStyle w:val="27"/>
              <w:pageBreakBefore w:val="0"/>
              <w:kinsoku/>
              <w:wordWrap/>
              <w:overflowPunct/>
              <w:topLinePunct w:val="0"/>
              <w:bidi w:val="0"/>
              <w:spacing w:after="0" w:line="360" w:lineRule="auto"/>
              <w:ind w:firstLine="210" w:firstLineChars="1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本项目不</w:t>
            </w:r>
            <w:r>
              <w:rPr>
                <w:rFonts w:hint="eastAsia" w:ascii="宋体" w:hAnsi="宋体" w:eastAsia="宋体" w:cs="宋体"/>
                <w:color w:val="auto"/>
                <w:sz w:val="21"/>
                <w:szCs w:val="21"/>
                <w:highlight w:val="none"/>
              </w:rPr>
              <w:t>缴纳</w:t>
            </w:r>
            <w:r>
              <w:rPr>
                <w:rFonts w:hint="eastAsia" w:ascii="宋体" w:hAnsi="宋体" w:eastAsia="宋体" w:cs="宋体"/>
                <w:color w:val="auto"/>
                <w:sz w:val="21"/>
                <w:szCs w:val="21"/>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0" w:hRule="atLeast"/>
          <w:jc w:val="center"/>
        </w:trPr>
        <w:tc>
          <w:tcPr>
            <w:tcW w:w="838" w:type="dxa"/>
            <w:vAlign w:val="center"/>
          </w:tcPr>
          <w:p>
            <w:pPr>
              <w:pStyle w:val="27"/>
              <w:pageBreakBefore w:val="0"/>
              <w:kinsoku/>
              <w:wordWrap/>
              <w:overflowPunct/>
              <w:topLinePunct w:val="0"/>
              <w:bidi w:val="0"/>
              <w:spacing w:after="0" w:line="360" w:lineRule="auto"/>
              <w:ind w:firstLine="210" w:firstLineChars="1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w:t>
            </w:r>
          </w:p>
        </w:tc>
        <w:tc>
          <w:tcPr>
            <w:tcW w:w="2238" w:type="dxa"/>
            <w:vAlign w:val="center"/>
          </w:tcPr>
          <w:p>
            <w:pPr>
              <w:pageBreakBefore w:val="0"/>
              <w:kinsoku/>
              <w:wordWrap/>
              <w:overflowPunct/>
              <w:topLinePunct w:val="0"/>
              <w:bidi w:val="0"/>
              <w:spacing w:after="0" w:line="360" w:lineRule="auto"/>
              <w:ind w:left="105" w:leftChars="50" w:right="105" w:rightChars="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投标文件的递交</w:t>
            </w:r>
          </w:p>
        </w:tc>
        <w:tc>
          <w:tcPr>
            <w:tcW w:w="6425" w:type="dxa"/>
            <w:vAlign w:val="center"/>
          </w:tcPr>
          <w:p>
            <w:pPr>
              <w:pageBreakBefore w:val="0"/>
              <w:kinsoku/>
              <w:wordWrap/>
              <w:overflowPunct/>
              <w:topLinePunct w:val="0"/>
              <w:bidi w:val="0"/>
              <w:spacing w:after="0" w:line="360" w:lineRule="auto"/>
              <w:ind w:right="105" w:rightChars="50"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详见总则19。</w:t>
            </w:r>
          </w:p>
          <w:p>
            <w:pPr>
              <w:pageBreakBefore w:val="0"/>
              <w:kinsoku/>
              <w:wordWrap/>
              <w:overflowPunct/>
              <w:topLinePunct w:val="0"/>
              <w:bidi w:val="0"/>
              <w:spacing w:after="0" w:line="360" w:lineRule="auto"/>
              <w:ind w:right="105" w:rightChars="50"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注：投标人使用CA证书在投标截止时间前，将电子投标文件上传至政府采购云平台，上传前须对电子投标文件每页是否都有</w:t>
            </w:r>
            <w:r>
              <w:rPr>
                <w:rFonts w:hint="eastAsia" w:ascii="宋体" w:hAnsi="宋体" w:eastAsia="宋体" w:cs="宋体"/>
                <w:color w:val="auto"/>
                <w:kern w:val="0"/>
                <w:szCs w:val="21"/>
                <w:highlight w:val="none"/>
                <w:lang w:val="en-US" w:eastAsia="zh-CN"/>
              </w:rPr>
              <w:t>公章</w:t>
            </w:r>
            <w:r>
              <w:rPr>
                <w:rFonts w:hint="eastAsia" w:ascii="宋体" w:hAnsi="宋体" w:eastAsia="宋体" w:cs="宋体"/>
                <w:color w:val="auto"/>
                <w:kern w:val="0"/>
                <w:szCs w:val="21"/>
                <w:highlight w:val="none"/>
              </w:rPr>
              <w:t>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0" w:hRule="atLeast"/>
          <w:jc w:val="center"/>
        </w:trPr>
        <w:tc>
          <w:tcPr>
            <w:tcW w:w="838" w:type="dxa"/>
            <w:vAlign w:val="center"/>
          </w:tcPr>
          <w:p>
            <w:pPr>
              <w:pStyle w:val="27"/>
              <w:pageBreakBefore w:val="0"/>
              <w:kinsoku/>
              <w:wordWrap/>
              <w:overflowPunct/>
              <w:topLinePunct w:val="0"/>
              <w:bidi w:val="0"/>
              <w:spacing w:after="0" w:line="360" w:lineRule="auto"/>
              <w:ind w:firstLine="210" w:firstLineChars="1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9</w:t>
            </w:r>
          </w:p>
        </w:tc>
        <w:tc>
          <w:tcPr>
            <w:tcW w:w="2238" w:type="dxa"/>
            <w:vAlign w:val="center"/>
          </w:tcPr>
          <w:p>
            <w:pPr>
              <w:pageBreakBefore w:val="0"/>
              <w:kinsoku/>
              <w:wordWrap/>
              <w:overflowPunct/>
              <w:topLinePunct w:val="0"/>
              <w:bidi w:val="0"/>
              <w:spacing w:after="0" w:line="360" w:lineRule="auto"/>
              <w:ind w:left="105" w:leftChars="50" w:right="105" w:rightChars="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开标及开标程序</w:t>
            </w:r>
          </w:p>
        </w:tc>
        <w:tc>
          <w:tcPr>
            <w:tcW w:w="6425" w:type="dxa"/>
            <w:vAlign w:val="center"/>
          </w:tcPr>
          <w:p>
            <w:pPr>
              <w:pageBreakBefore w:val="0"/>
              <w:kinsoku/>
              <w:wordWrap/>
              <w:overflowPunct/>
              <w:topLinePunct w:val="0"/>
              <w:bidi w:val="0"/>
              <w:spacing w:after="0" w:line="360" w:lineRule="auto"/>
              <w:ind w:right="105" w:rightChars="50"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详见总则22。</w:t>
            </w:r>
          </w:p>
          <w:p>
            <w:pPr>
              <w:pageBreakBefore w:val="0"/>
              <w:kinsoku/>
              <w:wordWrap/>
              <w:overflowPunct/>
              <w:topLinePunct w:val="0"/>
              <w:bidi w:val="0"/>
              <w:spacing w:after="0" w:line="360" w:lineRule="auto"/>
              <w:ind w:right="105" w:rightChars="50"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投标文件解密：开启解密后，投标人应在系统提示的解密开始时间后</w:t>
            </w:r>
            <w:r>
              <w:rPr>
                <w:rFonts w:hint="eastAsia" w:ascii="宋体" w:hAnsi="宋体" w:eastAsia="宋体" w:cs="宋体"/>
                <w:color w:val="auto"/>
                <w:kern w:val="0"/>
                <w:szCs w:val="21"/>
                <w:highlight w:val="none"/>
                <w:u w:val="single"/>
              </w:rPr>
              <w:t xml:space="preserve"> </w:t>
            </w:r>
            <w:r>
              <w:rPr>
                <w:rFonts w:hint="eastAsia" w:ascii="宋体" w:hAnsi="宋体" w:eastAsia="宋体" w:cs="宋体"/>
                <w:b/>
                <w:bCs/>
                <w:color w:val="auto"/>
                <w:kern w:val="0"/>
                <w:szCs w:val="21"/>
                <w:highlight w:val="none"/>
                <w:u w:val="single"/>
              </w:rPr>
              <w:t>60</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分钟内 ，使用对投标文件进行加密的CA证书在线完成对投标人递交至政府采购云平台的投标文件的解密。</w:t>
            </w:r>
          </w:p>
          <w:p>
            <w:pPr>
              <w:pageBreakBefore w:val="0"/>
              <w:kinsoku/>
              <w:wordWrap/>
              <w:overflowPunct/>
              <w:topLinePunct w:val="0"/>
              <w:bidi w:val="0"/>
              <w:spacing w:after="0" w:line="360" w:lineRule="auto"/>
              <w:ind w:left="105" w:leftChars="50" w:right="105" w:rightChars="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投标人电脑终端等硬件设备和软件系统配置：投标人电脑终端等硬件设备和软件系统配置应符合开标大厅投标人电脑终端配置要求并运行正常，投标人承担因未尽职责产生的不利后果。</w:t>
            </w:r>
          </w:p>
          <w:p>
            <w:pPr>
              <w:pageBreakBefore w:val="0"/>
              <w:kinsoku/>
              <w:wordWrap/>
              <w:overflowPunct/>
              <w:topLinePunct w:val="0"/>
              <w:bidi w:val="0"/>
              <w:spacing w:after="0" w:line="360" w:lineRule="auto"/>
              <w:ind w:left="105" w:leftChars="50" w:right="105" w:rightChars="5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26" w:hRule="atLeast"/>
          <w:jc w:val="center"/>
        </w:trPr>
        <w:tc>
          <w:tcPr>
            <w:tcW w:w="838" w:type="dxa"/>
            <w:tcBorders>
              <w:top w:val="single" w:color="auto" w:sz="4" w:space="0"/>
              <w:bottom w:val="single" w:color="auto" w:sz="4" w:space="0"/>
            </w:tcBorders>
            <w:vAlign w:val="center"/>
          </w:tcPr>
          <w:p>
            <w:pPr>
              <w:pStyle w:val="27"/>
              <w:pageBreakBefore w:val="0"/>
              <w:kinsoku/>
              <w:wordWrap/>
              <w:overflowPunct/>
              <w:topLinePunct w:val="0"/>
              <w:bidi w:val="0"/>
              <w:spacing w:after="0" w:line="360" w:lineRule="auto"/>
              <w:ind w:right="264"/>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w:t>
            </w:r>
          </w:p>
        </w:tc>
        <w:tc>
          <w:tcPr>
            <w:tcW w:w="2238" w:type="dxa"/>
            <w:tcBorders>
              <w:top w:val="single" w:color="auto" w:sz="4" w:space="0"/>
              <w:bottom w:val="single" w:color="auto" w:sz="4" w:space="0"/>
            </w:tcBorders>
            <w:vAlign w:val="center"/>
          </w:tcPr>
          <w:p>
            <w:pPr>
              <w:pStyle w:val="27"/>
              <w:pageBreakBefore w:val="0"/>
              <w:kinsoku/>
              <w:wordWrap/>
              <w:overflowPunct/>
              <w:topLinePunct w:val="0"/>
              <w:bidi w:val="0"/>
              <w:spacing w:after="0"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采购项目具体事项/采购文件内容咨询</w:t>
            </w:r>
          </w:p>
        </w:tc>
        <w:tc>
          <w:tcPr>
            <w:tcW w:w="6425" w:type="dxa"/>
            <w:tcBorders>
              <w:top w:val="single" w:color="auto" w:sz="4" w:space="0"/>
              <w:bottom w:val="single" w:color="auto" w:sz="4" w:space="0"/>
            </w:tcBorders>
            <w:vAlign w:val="center"/>
          </w:tcPr>
          <w:p>
            <w:pPr>
              <w:pageBreakBefore w:val="0"/>
              <w:kinsoku/>
              <w:wordWrap/>
              <w:overflowPunct/>
              <w:topLinePunct w:val="0"/>
              <w:bidi w:val="0"/>
              <w:spacing w:after="0" w:line="360" w:lineRule="auto"/>
              <w:ind w:firstLine="210" w:firstLineChars="1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eastAsia="zh-CN"/>
              </w:rPr>
              <w:t>周女士</w:t>
            </w:r>
          </w:p>
          <w:p>
            <w:pPr>
              <w:pageBreakBefore w:val="0"/>
              <w:kinsoku/>
              <w:wordWrap/>
              <w:overflowPunct/>
              <w:topLinePunct w:val="0"/>
              <w:bidi w:val="0"/>
              <w:spacing w:after="0" w:line="360" w:lineRule="auto"/>
              <w:ind w:firstLine="210" w:firstLineChars="1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联系电话：</w:t>
            </w:r>
            <w:bookmarkStart w:id="21" w:name="PO_项目负责人手机号_1"/>
            <w:bookmarkEnd w:id="21"/>
            <w:r>
              <w:rPr>
                <w:rFonts w:hint="eastAsia" w:ascii="宋体" w:hAnsi="宋体" w:eastAsia="宋体" w:cs="宋体"/>
                <w:color w:val="auto"/>
                <w:szCs w:val="21"/>
                <w:highlight w:val="none"/>
                <w:lang w:eastAsia="zh-CN"/>
              </w:rPr>
              <w:t>028-63915936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8" w:hRule="atLeast"/>
          <w:jc w:val="center"/>
        </w:trPr>
        <w:tc>
          <w:tcPr>
            <w:tcW w:w="838" w:type="dxa"/>
            <w:tcBorders>
              <w:top w:val="single" w:color="auto" w:sz="4" w:space="0"/>
              <w:bottom w:val="single" w:color="auto" w:sz="4" w:space="0"/>
            </w:tcBorders>
            <w:vAlign w:val="center"/>
          </w:tcPr>
          <w:p>
            <w:pPr>
              <w:pStyle w:val="27"/>
              <w:pageBreakBefore w:val="0"/>
              <w:kinsoku/>
              <w:wordWrap/>
              <w:overflowPunct/>
              <w:topLinePunct w:val="0"/>
              <w:bidi w:val="0"/>
              <w:spacing w:after="0" w:line="360" w:lineRule="auto"/>
              <w:ind w:right="264"/>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w:t>
            </w:r>
          </w:p>
        </w:tc>
        <w:tc>
          <w:tcPr>
            <w:tcW w:w="2238" w:type="dxa"/>
            <w:tcBorders>
              <w:top w:val="single" w:color="auto" w:sz="4" w:space="0"/>
              <w:bottom w:val="single" w:color="auto" w:sz="4" w:space="0"/>
            </w:tcBorders>
            <w:vAlign w:val="center"/>
          </w:tcPr>
          <w:p>
            <w:pPr>
              <w:pStyle w:val="27"/>
              <w:pageBreakBefore w:val="0"/>
              <w:kinsoku/>
              <w:wordWrap/>
              <w:overflowPunct/>
              <w:topLinePunct w:val="0"/>
              <w:bidi w:val="0"/>
              <w:spacing w:after="0"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开标、评标工作咨询</w:t>
            </w:r>
          </w:p>
        </w:tc>
        <w:tc>
          <w:tcPr>
            <w:tcW w:w="6425" w:type="dxa"/>
            <w:tcBorders>
              <w:top w:val="single" w:color="auto" w:sz="4" w:space="0"/>
              <w:bottom w:val="single" w:color="auto" w:sz="4" w:space="0"/>
            </w:tcBorders>
            <w:vAlign w:val="center"/>
          </w:tcPr>
          <w:p>
            <w:pPr>
              <w:pageBreakBefore w:val="0"/>
              <w:kinsoku/>
              <w:wordWrap/>
              <w:overflowPunct/>
              <w:topLinePunct w:val="0"/>
              <w:bidi w:val="0"/>
              <w:spacing w:after="0" w:line="360" w:lineRule="auto"/>
              <w:ind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eastAsia="zh-CN"/>
              </w:rPr>
              <w:t>周女士</w:t>
            </w:r>
          </w:p>
          <w:p>
            <w:pPr>
              <w:pageBreakBefore w:val="0"/>
              <w:kinsoku/>
              <w:wordWrap/>
              <w:overflowPunct/>
              <w:topLinePunct w:val="0"/>
              <w:bidi w:val="0"/>
              <w:spacing w:after="0" w:line="360" w:lineRule="auto"/>
              <w:ind w:firstLine="210" w:firstLineChars="100"/>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028-63915936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pStyle w:val="27"/>
              <w:pageBreakBefore w:val="0"/>
              <w:kinsoku/>
              <w:wordWrap/>
              <w:overflowPunct/>
              <w:topLinePunct w:val="0"/>
              <w:bidi w:val="0"/>
              <w:spacing w:after="0" w:line="360" w:lineRule="auto"/>
              <w:ind w:right="264"/>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w:t>
            </w:r>
          </w:p>
        </w:tc>
        <w:tc>
          <w:tcPr>
            <w:tcW w:w="2238" w:type="dxa"/>
            <w:tcBorders>
              <w:top w:val="single" w:color="auto" w:sz="4" w:space="0"/>
            </w:tcBorders>
            <w:vAlign w:val="center"/>
          </w:tcPr>
          <w:p>
            <w:pPr>
              <w:pageBreakBefore w:val="0"/>
              <w:kinsoku/>
              <w:wordWrap/>
              <w:overflowPunct/>
              <w:topLinePunct w:val="0"/>
              <w:bidi w:val="0"/>
              <w:spacing w:after="0" w:line="360" w:lineRule="auto"/>
              <w:ind w:left="105" w:leftChars="50" w:right="105" w:right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中标通知书领取</w:t>
            </w:r>
          </w:p>
        </w:tc>
        <w:tc>
          <w:tcPr>
            <w:tcW w:w="6425" w:type="dxa"/>
            <w:tcBorders>
              <w:top w:val="single" w:color="auto" w:sz="4" w:space="0"/>
            </w:tcBorders>
            <w:vAlign w:val="center"/>
          </w:tcPr>
          <w:p>
            <w:pPr>
              <w:pageBreakBefore w:val="0"/>
              <w:kinsoku/>
              <w:wordWrap/>
              <w:overflowPunct/>
              <w:topLinePunct w:val="0"/>
              <w:bidi w:val="0"/>
              <w:spacing w:after="0" w:line="360" w:lineRule="auto"/>
              <w:ind w:firstLine="210" w:firstLineChars="1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Cs w:val="21"/>
                <w:highlight w:val="none"/>
                <w:lang w:val="zh-CN"/>
              </w:rPr>
              <w:t>在四川政府采购网公告中标结果同时发出中标通知书，中标人自行登录政府采购云平台下载中标通知书</w:t>
            </w:r>
            <w:r>
              <w:rPr>
                <w:rFonts w:hint="eastAsia" w:ascii="宋体" w:hAnsi="宋体" w:eastAsia="宋体" w:cs="宋体"/>
                <w:color w:val="auto"/>
                <w:szCs w:val="21"/>
                <w:highlight w:val="none"/>
                <w:lang w:val="zh-CN" w:eastAsia="zh-CN"/>
              </w:rPr>
              <w:t>或</w:t>
            </w:r>
            <w:r>
              <w:rPr>
                <w:rFonts w:hint="eastAsia" w:ascii="宋体" w:hAnsi="宋体" w:eastAsia="宋体" w:cs="宋体"/>
                <w:color w:val="auto"/>
                <w:sz w:val="21"/>
                <w:szCs w:val="21"/>
                <w:highlight w:val="none"/>
                <w:lang w:val="zh-CN"/>
              </w:rPr>
              <w:t>凭</w:t>
            </w:r>
            <w:r>
              <w:rPr>
                <w:rFonts w:hint="eastAsia" w:ascii="宋体" w:hAnsi="宋体" w:eastAsia="宋体" w:cs="宋体"/>
                <w:color w:val="auto"/>
                <w:sz w:val="21"/>
                <w:szCs w:val="21"/>
                <w:highlight w:val="none"/>
                <w:lang w:val="zh-CN" w:eastAsia="zh-CN"/>
              </w:rPr>
              <w:t>公司介绍信、经办人有效身份证复印件（加盖公章）到</w:t>
            </w:r>
            <w:r>
              <w:rPr>
                <w:rFonts w:hint="eastAsia" w:ascii="宋体" w:hAnsi="宋体" w:eastAsia="宋体" w:cs="宋体"/>
                <w:color w:val="auto"/>
                <w:sz w:val="21"/>
                <w:szCs w:val="21"/>
                <w:highlight w:val="none"/>
                <w:lang w:val="en-US" w:eastAsia="zh-CN"/>
              </w:rPr>
              <w:t>采购代理机构</w:t>
            </w:r>
            <w:r>
              <w:rPr>
                <w:rFonts w:hint="eastAsia" w:ascii="宋体" w:hAnsi="宋体" w:eastAsia="宋体" w:cs="宋体"/>
                <w:color w:val="auto"/>
                <w:sz w:val="21"/>
                <w:szCs w:val="21"/>
                <w:highlight w:val="none"/>
                <w:lang w:val="zh-CN"/>
              </w:rPr>
              <w:t>领取成交通知书。</w:t>
            </w:r>
          </w:p>
          <w:p>
            <w:pPr>
              <w:pageBreakBefore w:val="0"/>
              <w:kinsoku/>
              <w:wordWrap/>
              <w:overflowPunct/>
              <w:topLinePunct w:val="0"/>
              <w:bidi w:val="0"/>
              <w:spacing w:after="0" w:line="360" w:lineRule="auto"/>
              <w:ind w:firstLine="210" w:firstLineChars="1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联系人：周女士。</w:t>
            </w:r>
          </w:p>
          <w:p>
            <w:pPr>
              <w:pageBreakBefore w:val="0"/>
              <w:kinsoku/>
              <w:wordWrap/>
              <w:overflowPunct/>
              <w:topLinePunct w:val="0"/>
              <w:bidi w:val="0"/>
              <w:spacing w:after="0" w:line="360" w:lineRule="auto"/>
              <w:ind w:firstLine="210" w:firstLineChars="1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联系电话：028-63915936。</w:t>
            </w:r>
          </w:p>
          <w:p>
            <w:pPr>
              <w:pageBreakBefore w:val="0"/>
              <w:kinsoku/>
              <w:wordWrap/>
              <w:overflowPunct/>
              <w:topLinePunct w:val="0"/>
              <w:bidi w:val="0"/>
              <w:spacing w:after="0" w:line="360" w:lineRule="auto"/>
              <w:ind w:firstLine="210" w:firstLineChars="100"/>
              <w:rPr>
                <w:rFonts w:hint="eastAsia" w:ascii="宋体" w:hAnsi="宋体" w:eastAsia="宋体" w:cs="宋体"/>
                <w:color w:val="auto"/>
                <w:highlight w:val="none"/>
                <w:lang w:val="zh-CN"/>
              </w:rPr>
            </w:pPr>
            <w:r>
              <w:rPr>
                <w:rFonts w:hint="eastAsia" w:ascii="宋体" w:hAnsi="宋体" w:eastAsia="宋体" w:cs="宋体"/>
                <w:color w:val="auto"/>
                <w:sz w:val="21"/>
                <w:szCs w:val="21"/>
                <w:highlight w:val="none"/>
                <w:lang w:val="zh-CN"/>
              </w:rPr>
              <w:t>地址：成都市武侯区武科东四路18号联邦财富中心 1-2-1005B。</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pStyle w:val="27"/>
              <w:pageBreakBefore w:val="0"/>
              <w:kinsoku/>
              <w:wordWrap/>
              <w:overflowPunct/>
              <w:topLinePunct w:val="0"/>
              <w:bidi w:val="0"/>
              <w:spacing w:after="0" w:line="360" w:lineRule="auto"/>
              <w:ind w:right="264"/>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13</w:t>
            </w:r>
          </w:p>
        </w:tc>
        <w:tc>
          <w:tcPr>
            <w:tcW w:w="2238" w:type="dxa"/>
            <w:tcBorders>
              <w:top w:val="single" w:color="auto" w:sz="4" w:space="0"/>
            </w:tcBorders>
            <w:vAlign w:val="center"/>
          </w:tcPr>
          <w:p>
            <w:pPr>
              <w:pStyle w:val="27"/>
              <w:pageBreakBefore w:val="0"/>
              <w:kinsoku/>
              <w:wordWrap/>
              <w:overflowPunct/>
              <w:topLinePunct w:val="0"/>
              <w:bidi w:val="0"/>
              <w:spacing w:after="0"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kern w:val="2"/>
                <w:sz w:val="21"/>
                <w:szCs w:val="21"/>
                <w:highlight w:val="none"/>
              </w:rPr>
              <w:t>询问</w:t>
            </w:r>
          </w:p>
        </w:tc>
        <w:tc>
          <w:tcPr>
            <w:tcW w:w="6425" w:type="dxa"/>
            <w:tcBorders>
              <w:top w:val="single" w:color="auto" w:sz="4" w:space="0"/>
            </w:tcBorders>
          </w:tcPr>
          <w:p>
            <w:pPr>
              <w:pageBreakBefore w:val="0"/>
              <w:kinsoku/>
              <w:wordWrap/>
              <w:overflowPunct/>
              <w:topLinePunct w:val="0"/>
              <w:bidi w:val="0"/>
              <w:spacing w:after="0" w:line="360" w:lineRule="auto"/>
              <w:ind w:firstLine="210" w:firstLineChars="100"/>
              <w:rPr>
                <w:rFonts w:hint="eastAsia" w:ascii="宋体" w:hAnsi="宋体" w:eastAsia="宋体" w:cs="宋体"/>
                <w:color w:val="auto"/>
                <w:szCs w:val="21"/>
                <w:highlight w:val="none"/>
                <w:lang w:val="zh-CN"/>
              </w:rPr>
            </w:pPr>
            <w:bookmarkStart w:id="22" w:name="PO_默认文件内容_31"/>
            <w:r>
              <w:rPr>
                <w:rFonts w:hint="eastAsia" w:ascii="宋体" w:hAnsi="宋体" w:eastAsia="宋体" w:cs="宋体"/>
                <w:color w:val="auto"/>
                <w:szCs w:val="21"/>
                <w:highlight w:val="none"/>
                <w:lang w:val="zh-CN"/>
              </w:rPr>
              <w:t>根据委托代理协议约定（采购人负责采购文件技术参数部分的询问，采购代理机构负责采购文件技术参数部分以外的询问）。</w:t>
            </w:r>
          </w:p>
          <w:p>
            <w:pPr>
              <w:pageBreakBefore w:val="0"/>
              <w:kinsoku/>
              <w:wordWrap/>
              <w:overflowPunct/>
              <w:topLinePunct w:val="0"/>
              <w:bidi w:val="0"/>
              <w:spacing w:after="0" w:line="360" w:lineRule="auto"/>
              <w:ind w:firstLine="210" w:firstLine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采 购 人：成都市彭州生态环境局</w:t>
            </w:r>
          </w:p>
          <w:bookmarkEnd w:id="22"/>
          <w:p>
            <w:pPr>
              <w:pageBreakBefore w:val="0"/>
              <w:kinsoku/>
              <w:wordWrap/>
              <w:overflowPunct/>
              <w:topLinePunct w:val="0"/>
              <w:bidi w:val="0"/>
              <w:spacing w:after="0" w:line="360" w:lineRule="auto"/>
              <w:ind w:firstLine="210" w:firstLineChars="100"/>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联 系 人：</w:t>
            </w:r>
            <w:r>
              <w:rPr>
                <w:rFonts w:hint="eastAsia" w:ascii="宋体" w:hAnsi="宋体" w:eastAsia="宋体" w:cs="宋体"/>
                <w:color w:val="auto"/>
                <w:szCs w:val="21"/>
                <w:highlight w:val="none"/>
                <w:lang w:val="en-US" w:eastAsia="zh-CN"/>
              </w:rPr>
              <w:t>罗老师</w:t>
            </w:r>
          </w:p>
          <w:p>
            <w:pPr>
              <w:pageBreakBefore w:val="0"/>
              <w:kinsoku/>
              <w:wordWrap/>
              <w:overflowPunct/>
              <w:topLinePunct w:val="0"/>
              <w:bidi w:val="0"/>
              <w:spacing w:after="0" w:line="360" w:lineRule="auto"/>
              <w:ind w:firstLine="210" w:firstLineChars="100"/>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联系电话：</w:t>
            </w:r>
            <w:r>
              <w:rPr>
                <w:rFonts w:hint="eastAsia" w:ascii="宋体" w:hAnsi="宋体" w:eastAsia="宋体" w:cs="宋体"/>
                <w:color w:val="auto"/>
                <w:sz w:val="21"/>
                <w:szCs w:val="21"/>
                <w:highlight w:val="none"/>
                <w:lang w:val="zh-CN" w:eastAsia="zh-CN"/>
              </w:rPr>
              <w:t>028-83886500</w:t>
            </w:r>
          </w:p>
          <w:p>
            <w:pPr>
              <w:pageBreakBefore w:val="0"/>
              <w:kinsoku/>
              <w:wordWrap/>
              <w:overflowPunct/>
              <w:topLinePunct w:val="0"/>
              <w:bidi w:val="0"/>
              <w:spacing w:after="0" w:line="360" w:lineRule="auto"/>
              <w:ind w:firstLine="210" w:firstLine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采购代理机构：四川尚品达工程咨询有限公司</w:t>
            </w:r>
          </w:p>
          <w:p>
            <w:pPr>
              <w:pageBreakBefore w:val="0"/>
              <w:kinsoku/>
              <w:wordWrap/>
              <w:overflowPunct/>
              <w:topLinePunct w:val="0"/>
              <w:bidi w:val="0"/>
              <w:spacing w:after="0" w:line="360" w:lineRule="auto"/>
              <w:ind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eastAsia="zh-CN"/>
              </w:rPr>
              <w:t>周女士</w:t>
            </w:r>
          </w:p>
          <w:p>
            <w:pPr>
              <w:pageBreakBefore w:val="0"/>
              <w:kinsoku/>
              <w:wordWrap/>
              <w:overflowPunct/>
              <w:topLinePunct w:val="0"/>
              <w:bidi w:val="0"/>
              <w:spacing w:after="0" w:line="360" w:lineRule="auto"/>
              <w:ind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028-63915936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27"/>
              <w:pageBreakBefore w:val="0"/>
              <w:kinsoku/>
              <w:wordWrap/>
              <w:overflowPunct/>
              <w:topLinePunct w:val="0"/>
              <w:bidi w:val="0"/>
              <w:spacing w:after="0" w:line="360" w:lineRule="auto"/>
              <w:ind w:right="264"/>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14</w:t>
            </w:r>
          </w:p>
        </w:tc>
        <w:tc>
          <w:tcPr>
            <w:tcW w:w="2238" w:type="dxa"/>
            <w:vAlign w:val="center"/>
          </w:tcPr>
          <w:p>
            <w:pPr>
              <w:pStyle w:val="27"/>
              <w:pageBreakBefore w:val="0"/>
              <w:kinsoku/>
              <w:wordWrap/>
              <w:overflowPunct/>
              <w:topLinePunct w:val="0"/>
              <w:bidi w:val="0"/>
              <w:spacing w:after="0"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kern w:val="2"/>
                <w:sz w:val="21"/>
                <w:szCs w:val="21"/>
                <w:highlight w:val="none"/>
              </w:rPr>
              <w:t>质疑</w:t>
            </w:r>
          </w:p>
        </w:tc>
        <w:tc>
          <w:tcPr>
            <w:tcW w:w="6425" w:type="dxa"/>
            <w:vAlign w:val="center"/>
          </w:tcPr>
          <w:p>
            <w:pPr>
              <w:pageBreakBefore w:val="0"/>
              <w:kinsoku/>
              <w:wordWrap/>
              <w:overflowPunct/>
              <w:topLinePunct w:val="0"/>
              <w:bidi w:val="0"/>
              <w:spacing w:after="0" w:line="360" w:lineRule="auto"/>
              <w:ind w:right="105" w:rightChars="50" w:firstLine="210" w:firstLineChars="100"/>
              <w:jc w:val="left"/>
              <w:rPr>
                <w:rFonts w:hint="eastAsia" w:ascii="宋体" w:hAnsi="宋体" w:eastAsia="宋体" w:cs="宋体"/>
                <w:color w:val="auto"/>
                <w:szCs w:val="21"/>
                <w:highlight w:val="none"/>
              </w:rPr>
            </w:pPr>
            <w:bookmarkStart w:id="23" w:name="PO_默认文件内容_30"/>
            <w:r>
              <w:rPr>
                <w:rFonts w:hint="eastAsia" w:ascii="宋体" w:hAnsi="宋体" w:eastAsia="宋体" w:cs="宋体"/>
                <w:color w:val="auto"/>
                <w:szCs w:val="21"/>
                <w:highlight w:val="none"/>
              </w:rPr>
              <w:t>根据委托代理协议约定（采购人负责采购文件技术参数部分的质疑答复，采购代理机构负责采购文件技术参数部分以外的质疑答复）</w:t>
            </w:r>
            <w:r>
              <w:rPr>
                <w:rFonts w:hint="eastAsia" w:ascii="宋体" w:hAnsi="宋体" w:eastAsia="宋体" w:cs="宋体"/>
                <w:color w:val="auto"/>
                <w:szCs w:val="21"/>
                <w:highlight w:val="none"/>
                <w:lang w:val="zh-CN"/>
              </w:rPr>
              <w:t>。</w:t>
            </w:r>
          </w:p>
          <w:p>
            <w:pPr>
              <w:pageBreakBefore w:val="0"/>
              <w:kinsoku/>
              <w:wordWrap/>
              <w:overflowPunct/>
              <w:topLinePunct w:val="0"/>
              <w:bidi w:val="0"/>
              <w:spacing w:after="0" w:line="360" w:lineRule="auto"/>
              <w:ind w:firstLine="210" w:firstLine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采 购 人：成都市彭州生态环境局</w:t>
            </w:r>
          </w:p>
          <w:p>
            <w:pPr>
              <w:pageBreakBefore w:val="0"/>
              <w:kinsoku/>
              <w:wordWrap/>
              <w:overflowPunct/>
              <w:topLinePunct w:val="0"/>
              <w:bidi w:val="0"/>
              <w:spacing w:after="0" w:line="360" w:lineRule="auto"/>
              <w:ind w:firstLine="210" w:firstLineChars="100"/>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联 系 人：</w:t>
            </w:r>
            <w:r>
              <w:rPr>
                <w:rFonts w:hint="eastAsia" w:ascii="宋体" w:hAnsi="宋体" w:eastAsia="宋体" w:cs="宋体"/>
                <w:color w:val="auto"/>
                <w:szCs w:val="21"/>
                <w:highlight w:val="none"/>
                <w:lang w:val="en-US" w:eastAsia="zh-CN"/>
              </w:rPr>
              <w:t>罗老师</w:t>
            </w:r>
          </w:p>
          <w:p>
            <w:pPr>
              <w:pageBreakBefore w:val="0"/>
              <w:kinsoku/>
              <w:wordWrap/>
              <w:overflowPunct/>
              <w:topLinePunct w:val="0"/>
              <w:bidi w:val="0"/>
              <w:spacing w:after="0" w:line="360" w:lineRule="auto"/>
              <w:ind w:firstLine="210" w:firstLineChars="100"/>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联系电话：</w:t>
            </w:r>
            <w:r>
              <w:rPr>
                <w:rFonts w:hint="eastAsia" w:ascii="宋体" w:hAnsi="宋体" w:eastAsia="宋体" w:cs="宋体"/>
                <w:color w:val="auto"/>
                <w:sz w:val="21"/>
                <w:szCs w:val="21"/>
                <w:highlight w:val="none"/>
                <w:lang w:val="zh-CN" w:eastAsia="zh-CN"/>
              </w:rPr>
              <w:t>028-83886500</w:t>
            </w:r>
          </w:p>
          <w:p>
            <w:pPr>
              <w:pageBreakBefore w:val="0"/>
              <w:kinsoku/>
              <w:wordWrap/>
              <w:overflowPunct/>
              <w:topLinePunct w:val="0"/>
              <w:bidi w:val="0"/>
              <w:spacing w:after="0" w:line="360" w:lineRule="auto"/>
              <w:ind w:firstLine="210" w:firstLine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采购代理机构：四川尚品达工程咨询有限公司</w:t>
            </w:r>
          </w:p>
          <w:p>
            <w:pPr>
              <w:pageBreakBefore w:val="0"/>
              <w:kinsoku/>
              <w:wordWrap/>
              <w:overflowPunct/>
              <w:topLinePunct w:val="0"/>
              <w:bidi w:val="0"/>
              <w:spacing w:after="0" w:line="360" w:lineRule="auto"/>
              <w:ind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eastAsia="zh-CN"/>
              </w:rPr>
              <w:t>周女士</w:t>
            </w:r>
          </w:p>
          <w:p>
            <w:pPr>
              <w:pageBreakBefore w:val="0"/>
              <w:kinsoku/>
              <w:wordWrap/>
              <w:overflowPunct/>
              <w:topLinePunct w:val="0"/>
              <w:bidi w:val="0"/>
              <w:spacing w:after="0" w:line="360" w:lineRule="auto"/>
              <w:ind w:right="105" w:rightChars="50" w:firstLine="210" w:firstLineChars="100"/>
              <w:jc w:val="left"/>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028-63915936</w:t>
            </w:r>
          </w:p>
          <w:p>
            <w:pPr>
              <w:pageBreakBefore w:val="0"/>
              <w:kinsoku/>
              <w:wordWrap/>
              <w:overflowPunct/>
              <w:topLinePunct w:val="0"/>
              <w:bidi w:val="0"/>
              <w:spacing w:after="0" w:line="360" w:lineRule="auto"/>
              <w:ind w:right="105" w:rightChars="50"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注：根据《中华人民共和国政府采购法》等规定，</w:t>
            </w: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val="zh-CN"/>
              </w:rPr>
              <w:t>按要求获取招标文件的，为依法获取招标文件的</w:t>
            </w: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val="zh-CN"/>
              </w:rPr>
              <w:t>，可以对该文件提出质疑。</w:t>
            </w: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val="zh-CN"/>
              </w:rPr>
              <w:t>质疑不得超出</w:t>
            </w:r>
            <w:r>
              <w:rPr>
                <w:rFonts w:hint="eastAsia" w:ascii="宋体" w:hAnsi="宋体" w:eastAsia="宋体" w:cs="宋体"/>
                <w:color w:val="auto"/>
                <w:szCs w:val="21"/>
                <w:highlight w:val="none"/>
              </w:rPr>
              <w:t>招标</w:t>
            </w:r>
            <w:r>
              <w:rPr>
                <w:rFonts w:hint="eastAsia" w:ascii="宋体" w:hAnsi="宋体" w:eastAsia="宋体" w:cs="宋体"/>
                <w:color w:val="auto"/>
                <w:szCs w:val="21"/>
                <w:highlight w:val="none"/>
                <w:lang w:val="zh-CN"/>
              </w:rPr>
              <w:t>文件、</w:t>
            </w:r>
            <w:r>
              <w:rPr>
                <w:rFonts w:hint="eastAsia" w:ascii="宋体" w:hAnsi="宋体" w:eastAsia="宋体" w:cs="宋体"/>
                <w:color w:val="auto"/>
                <w:szCs w:val="21"/>
                <w:highlight w:val="none"/>
              </w:rPr>
              <w:t>招标</w:t>
            </w:r>
            <w:r>
              <w:rPr>
                <w:rFonts w:hint="eastAsia" w:ascii="宋体" w:hAnsi="宋体" w:eastAsia="宋体" w:cs="宋体"/>
                <w:color w:val="auto"/>
                <w:szCs w:val="21"/>
                <w:highlight w:val="none"/>
                <w:lang w:val="zh-CN"/>
              </w:rPr>
              <w:t>过程、</w:t>
            </w:r>
            <w:r>
              <w:rPr>
                <w:rFonts w:hint="eastAsia" w:ascii="宋体" w:hAnsi="宋体" w:eastAsia="宋体" w:cs="宋体"/>
                <w:color w:val="auto"/>
                <w:szCs w:val="21"/>
                <w:highlight w:val="none"/>
              </w:rPr>
              <w:t>招标</w:t>
            </w:r>
            <w:r>
              <w:rPr>
                <w:rFonts w:hint="eastAsia" w:ascii="宋体" w:hAnsi="宋体" w:eastAsia="宋体" w:cs="宋体"/>
                <w:color w:val="auto"/>
                <w:szCs w:val="21"/>
                <w:highlight w:val="none"/>
                <w:lang w:val="zh-CN"/>
              </w:rPr>
              <w:t>结果的范围</w:t>
            </w:r>
            <w:bookmarkEnd w:id="23"/>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val="zh-CN"/>
              </w:rPr>
              <w:t>针对同一</w:t>
            </w:r>
            <w:r>
              <w:rPr>
                <w:rFonts w:hint="eastAsia" w:ascii="宋体" w:hAnsi="宋体" w:eastAsia="宋体" w:cs="宋体"/>
                <w:color w:val="auto"/>
                <w:szCs w:val="21"/>
                <w:highlight w:val="none"/>
              </w:rPr>
              <w:t>招标</w:t>
            </w:r>
            <w:r>
              <w:rPr>
                <w:rFonts w:hint="eastAsia" w:ascii="宋体" w:hAnsi="宋体" w:eastAsia="宋体" w:cs="宋体"/>
                <w:color w:val="auto"/>
                <w:szCs w:val="21"/>
                <w:highlight w:val="none"/>
                <w:lang w:val="zh-CN"/>
              </w:rPr>
              <w:t>程序环节的质疑应在法定质疑期内一次性提出。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ageBreakBefore w:val="0"/>
              <w:kinsoku/>
              <w:wordWrap/>
              <w:overflowPunct/>
              <w:topLinePunct w:val="0"/>
              <w:bidi w:val="0"/>
              <w:spacing w:after="0" w:line="360" w:lineRule="auto"/>
              <w:ind w:firstLine="315" w:firstLineChars="150"/>
              <w:rPr>
                <w:rFonts w:hint="eastAsia" w:ascii="宋体" w:hAnsi="宋体" w:eastAsia="宋体" w:cs="宋体"/>
                <w:color w:val="auto"/>
                <w:szCs w:val="21"/>
                <w:highlight w:val="none"/>
              </w:rPr>
            </w:pPr>
          </w:p>
          <w:p>
            <w:pPr>
              <w:pageBreakBefore w:val="0"/>
              <w:kinsoku/>
              <w:wordWrap/>
              <w:overflowPunct/>
              <w:topLinePunct w:val="0"/>
              <w:bidi w:val="0"/>
              <w:spacing w:after="0"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238" w:type="dxa"/>
            <w:vAlign w:val="center"/>
          </w:tcPr>
          <w:p>
            <w:pPr>
              <w:pStyle w:val="27"/>
              <w:pageBreakBefore w:val="0"/>
              <w:kinsoku/>
              <w:wordWrap/>
              <w:overflowPunct/>
              <w:topLinePunct w:val="0"/>
              <w:bidi w:val="0"/>
              <w:spacing w:after="0"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供应商投诉</w:t>
            </w:r>
          </w:p>
        </w:tc>
        <w:tc>
          <w:tcPr>
            <w:tcW w:w="6425" w:type="dxa"/>
          </w:tcPr>
          <w:p>
            <w:pPr>
              <w:pageBreakBefore w:val="0"/>
              <w:kinsoku/>
              <w:wordWrap/>
              <w:overflowPunct/>
              <w:topLinePunct w:val="0"/>
              <w:bidi w:val="0"/>
              <w:spacing w:after="0" w:line="360" w:lineRule="auto"/>
              <w:ind w:right="105" w:rightChars="50" w:firstLine="210" w:firstLineChars="1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投诉受理单位：本采购项目同级财政部门，即</w:t>
            </w:r>
            <w:r>
              <w:rPr>
                <w:rFonts w:hint="eastAsia" w:ascii="宋体" w:hAnsi="宋体" w:eastAsia="宋体" w:cs="宋体"/>
                <w:color w:val="auto"/>
                <w:szCs w:val="21"/>
                <w:highlight w:val="none"/>
                <w:lang w:val="en-US" w:eastAsia="zh-CN"/>
              </w:rPr>
              <w:t>彭州市</w:t>
            </w:r>
            <w:r>
              <w:rPr>
                <w:rFonts w:hint="eastAsia" w:ascii="宋体" w:hAnsi="宋体" w:eastAsia="宋体" w:cs="宋体"/>
                <w:color w:val="auto"/>
                <w:szCs w:val="21"/>
                <w:highlight w:val="none"/>
                <w:lang w:val="zh-CN"/>
              </w:rPr>
              <w:t>财政局；联系电话：028-83888323。联系地址：彭州市牡丹大道北二段486号。</w:t>
            </w:r>
          </w:p>
          <w:p>
            <w:pPr>
              <w:pageBreakBefore w:val="0"/>
              <w:kinsoku/>
              <w:wordWrap/>
              <w:overflowPunct/>
              <w:topLinePunct w:val="0"/>
              <w:bidi w:val="0"/>
              <w:spacing w:after="0" w:line="360" w:lineRule="auto"/>
              <w:ind w:right="105" w:rightChars="50"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注：根据《中华人民共和国</w:t>
            </w:r>
            <w:r>
              <w:rPr>
                <w:rFonts w:hint="eastAsia" w:ascii="宋体" w:hAnsi="宋体" w:eastAsia="宋体" w:cs="宋体"/>
                <w:color w:val="auto"/>
                <w:szCs w:val="21"/>
                <w:highlight w:val="none"/>
              </w:rPr>
              <w:t>政府采购法实施条例》的规定，投标人投诉事项不得超出已质疑事项的范围。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6" w:hRule="atLeast"/>
          <w:jc w:val="center"/>
        </w:trPr>
        <w:tc>
          <w:tcPr>
            <w:tcW w:w="838" w:type="dxa"/>
            <w:vAlign w:val="center"/>
          </w:tcPr>
          <w:p>
            <w:pPr>
              <w:pageBreakBefore w:val="0"/>
              <w:kinsoku/>
              <w:wordWrap/>
              <w:overflowPunct/>
              <w:topLinePunct w:val="0"/>
              <w:bidi w:val="0"/>
              <w:spacing w:after="0"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2238" w:type="dxa"/>
            <w:tcBorders>
              <w:right w:val="single" w:color="auto" w:sz="4" w:space="0"/>
            </w:tcBorders>
            <w:vAlign w:val="center"/>
          </w:tcPr>
          <w:p>
            <w:pPr>
              <w:pageBreakBefore w:val="0"/>
              <w:kinsoku/>
              <w:wordWrap/>
              <w:overflowPunct/>
              <w:topLinePunct w:val="0"/>
              <w:bidi w:val="0"/>
              <w:spacing w:after="0"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政府采购合同</w:t>
            </w:r>
          </w:p>
          <w:p>
            <w:pPr>
              <w:pageBreakBefore w:val="0"/>
              <w:kinsoku/>
              <w:wordWrap/>
              <w:overflowPunct/>
              <w:topLinePunct w:val="0"/>
              <w:bidi w:val="0"/>
              <w:spacing w:after="0"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公告备案</w:t>
            </w:r>
          </w:p>
        </w:tc>
        <w:tc>
          <w:tcPr>
            <w:tcW w:w="6425" w:type="dxa"/>
            <w:tcBorders>
              <w:left w:val="single" w:color="auto" w:sz="4" w:space="0"/>
            </w:tcBorders>
          </w:tcPr>
          <w:p>
            <w:pPr>
              <w:pageBreakBefore w:val="0"/>
              <w:kinsoku/>
              <w:wordWrap/>
              <w:overflowPunct/>
              <w:topLinePunct w:val="0"/>
              <w:bidi w:val="0"/>
              <w:spacing w:after="0" w:line="360" w:lineRule="auto"/>
              <w:ind w:firstLine="210" w:firstLineChars="100"/>
              <w:rPr>
                <w:rFonts w:hint="eastAsia" w:ascii="宋体" w:hAnsi="宋体" w:eastAsia="宋体" w:cs="宋体"/>
                <w:color w:val="auto"/>
                <w:szCs w:val="21"/>
                <w:highlight w:val="none"/>
              </w:rPr>
            </w:pPr>
            <w:bookmarkStart w:id="24" w:name="PO_默认文件内容_38"/>
            <w:r>
              <w:rPr>
                <w:rFonts w:hint="eastAsia" w:ascii="宋体" w:hAnsi="宋体" w:eastAsia="宋体" w:cs="宋体"/>
                <w:color w:val="auto"/>
                <w:szCs w:val="21"/>
                <w:highlight w:val="none"/>
              </w:rPr>
              <w:t>政府采购合同签订之日起2个工作日内，采购人应将政府采购合同在四川政府采购网公告；政府采购合同签订之日起七个工作日内，政府采购合同将向本采购项目同级财政部门备案</w:t>
            </w:r>
            <w:r>
              <w:rPr>
                <w:rFonts w:hint="eastAsia" w:ascii="宋体" w:hAnsi="宋体" w:eastAsia="宋体" w:cs="宋体"/>
                <w:color w:val="auto"/>
                <w:szCs w:val="21"/>
                <w:highlight w:val="none"/>
                <w:lang w:val="zh-CN"/>
              </w:rPr>
              <w:t>。</w:t>
            </w:r>
            <w:bookmarkEnd w:id="2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ageBreakBefore w:val="0"/>
              <w:kinsoku/>
              <w:wordWrap/>
              <w:overflowPunct/>
              <w:topLinePunct w:val="0"/>
              <w:bidi w:val="0"/>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2238" w:type="dxa"/>
            <w:tcBorders>
              <w:right w:val="single" w:color="auto" w:sz="4" w:space="0"/>
            </w:tcBorders>
            <w:vAlign w:val="center"/>
          </w:tcPr>
          <w:p>
            <w:pPr>
              <w:pStyle w:val="27"/>
              <w:pageBreakBefore w:val="0"/>
              <w:kinsoku/>
              <w:wordWrap/>
              <w:overflowPunct/>
              <w:topLinePunct w:val="0"/>
              <w:bidi w:val="0"/>
              <w:spacing w:after="0" w:line="360" w:lineRule="auto"/>
              <w:ind w:left="9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采购代理服务费</w:t>
            </w:r>
          </w:p>
        </w:tc>
        <w:tc>
          <w:tcPr>
            <w:tcW w:w="6425" w:type="dxa"/>
            <w:tcBorders>
              <w:left w:val="single" w:color="auto" w:sz="4" w:space="0"/>
            </w:tcBorders>
            <w:vAlign w:val="center"/>
          </w:tcPr>
          <w:p>
            <w:pPr>
              <w:pageBreakBefore w:val="0"/>
              <w:kinsoku/>
              <w:wordWrap/>
              <w:overflowPunct/>
              <w:topLinePunct w:val="0"/>
              <w:bidi w:val="0"/>
              <w:spacing w:after="0"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根据“成本+合理利润”原则，采购代理服务费</w:t>
            </w:r>
            <w:r>
              <w:rPr>
                <w:rFonts w:hint="eastAsia" w:ascii="宋体" w:hAnsi="宋体" w:eastAsia="宋体" w:cs="宋体"/>
                <w:color w:val="auto"/>
                <w:szCs w:val="21"/>
                <w:highlight w:val="none"/>
                <w:lang w:val="en-US" w:eastAsia="zh-CN"/>
              </w:rPr>
              <w:t>70000</w:t>
            </w:r>
            <w:r>
              <w:rPr>
                <w:rFonts w:hint="eastAsia" w:ascii="宋体" w:hAnsi="宋体" w:eastAsia="宋体" w:cs="宋体"/>
                <w:color w:val="auto"/>
                <w:szCs w:val="21"/>
                <w:highlight w:val="none"/>
              </w:rPr>
              <w:t>元，由</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在领取</w:t>
            </w:r>
            <w:r>
              <w:rPr>
                <w:rFonts w:hint="eastAsia" w:ascii="宋体" w:hAnsi="宋体" w:eastAsia="宋体" w:cs="宋体"/>
                <w:color w:val="auto"/>
                <w:szCs w:val="21"/>
                <w:highlight w:val="none"/>
                <w:lang w:val="en-US" w:eastAsia="zh-CN"/>
              </w:rPr>
              <w:t>中标</w:t>
            </w:r>
            <w:r>
              <w:rPr>
                <w:rFonts w:hint="eastAsia" w:ascii="宋体" w:hAnsi="宋体" w:eastAsia="宋体" w:cs="宋体"/>
                <w:color w:val="auto"/>
                <w:szCs w:val="21"/>
                <w:highlight w:val="none"/>
              </w:rPr>
              <w:t>通知书时支付。</w:t>
            </w:r>
          </w:p>
          <w:p>
            <w:pPr>
              <w:pageBreakBefore w:val="0"/>
              <w:kinsoku/>
              <w:wordWrap/>
              <w:overflowPunct/>
              <w:topLinePunct w:val="0"/>
              <w:bidi w:val="0"/>
              <w:spacing w:after="0" w:line="360" w:lineRule="auto"/>
              <w:ind w:firstLine="210" w:firstLine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公司名称：四川尚品达工程咨询有限公司</w:t>
            </w:r>
          </w:p>
          <w:p>
            <w:pPr>
              <w:pageBreakBefore w:val="0"/>
              <w:kinsoku/>
              <w:wordWrap/>
              <w:overflowPunct/>
              <w:topLinePunct w:val="0"/>
              <w:bidi w:val="0"/>
              <w:spacing w:after="0" w:line="360" w:lineRule="auto"/>
              <w:ind w:firstLine="210" w:firstLine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开户行：招商银行股份有限公司成都龙湖三千支行</w:t>
            </w:r>
          </w:p>
          <w:p>
            <w:pPr>
              <w:pageBreakBefore w:val="0"/>
              <w:kinsoku/>
              <w:wordWrap/>
              <w:overflowPunct/>
              <w:topLinePunct w:val="0"/>
              <w:bidi w:val="0"/>
              <w:spacing w:after="0" w:line="360" w:lineRule="auto"/>
              <w:ind w:firstLine="210" w:firstLine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开户账号：1289 0886 9910 909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44" w:hRule="atLeast"/>
          <w:jc w:val="center"/>
        </w:trPr>
        <w:tc>
          <w:tcPr>
            <w:tcW w:w="838" w:type="dxa"/>
            <w:vAlign w:val="center"/>
          </w:tcPr>
          <w:p>
            <w:pPr>
              <w:pageBreakBefore w:val="0"/>
              <w:kinsoku/>
              <w:wordWrap/>
              <w:overflowPunct/>
              <w:topLinePunct w:val="0"/>
              <w:bidi w:val="0"/>
              <w:spacing w:after="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2238" w:type="dxa"/>
            <w:tcBorders>
              <w:right w:val="single" w:color="auto" w:sz="4" w:space="0"/>
            </w:tcBorders>
            <w:vAlign w:val="center"/>
          </w:tcPr>
          <w:p>
            <w:pPr>
              <w:pageBreakBefore w:val="0"/>
              <w:kinsoku/>
              <w:wordWrap/>
              <w:overflowPunct/>
              <w:topLinePunct w:val="0"/>
              <w:bidi w:val="0"/>
              <w:spacing w:after="0"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供应商信用融资</w:t>
            </w:r>
          </w:p>
        </w:tc>
        <w:tc>
          <w:tcPr>
            <w:tcW w:w="6425" w:type="dxa"/>
            <w:tcBorders>
              <w:left w:val="single" w:color="auto" w:sz="4" w:space="0"/>
            </w:tcBorders>
            <w:vAlign w:val="center"/>
          </w:tcPr>
          <w:p>
            <w:pPr>
              <w:pageBreakBefore w:val="0"/>
              <w:kinsoku/>
              <w:wordWrap/>
              <w:overflowPunct/>
              <w:topLinePunct w:val="0"/>
              <w:bidi w:val="0"/>
              <w:spacing w:after="0" w:line="360" w:lineRule="auto"/>
              <w:ind w:firstLine="210" w:firstLine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川省正在推进政府采购供应商信用融资工作，相关要求详见《四川省财政厅关于推进四川省政府采购供应商信用融资工作的通知》（川财采〔2018〕123号）、《成都市中小企业政府采购信用融资暂行办法》（成财采〔20</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〕17号）等有关规定，上述文件请在四川政府采购网查询。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3" w:hRule="atLeast"/>
          <w:jc w:val="center"/>
        </w:trPr>
        <w:tc>
          <w:tcPr>
            <w:tcW w:w="838" w:type="dxa"/>
            <w:vAlign w:val="center"/>
          </w:tcPr>
          <w:p>
            <w:pPr>
              <w:pageBreakBefore w:val="0"/>
              <w:kinsoku/>
              <w:wordWrap/>
              <w:overflowPunct/>
              <w:topLinePunct w:val="0"/>
              <w:bidi w:val="0"/>
              <w:spacing w:after="0"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2238" w:type="dxa"/>
            <w:tcBorders>
              <w:right w:val="single" w:color="auto" w:sz="4" w:space="0"/>
            </w:tcBorders>
            <w:vAlign w:val="center"/>
          </w:tcPr>
          <w:p>
            <w:pPr>
              <w:pStyle w:val="27"/>
              <w:pageBreakBefore w:val="0"/>
              <w:kinsoku/>
              <w:wordWrap/>
              <w:overflowPunct/>
              <w:topLinePunct w:val="0"/>
              <w:bidi w:val="0"/>
              <w:spacing w:after="0" w:line="360" w:lineRule="auto"/>
              <w:ind w:left="96"/>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特别注意</w:t>
            </w:r>
          </w:p>
        </w:tc>
        <w:tc>
          <w:tcPr>
            <w:tcW w:w="6425" w:type="dxa"/>
            <w:tcBorders>
              <w:left w:val="single" w:color="auto" w:sz="4" w:space="0"/>
            </w:tcBorders>
            <w:vAlign w:val="center"/>
          </w:tcPr>
          <w:p>
            <w:pPr>
              <w:pStyle w:val="27"/>
              <w:pageBreakBefore w:val="0"/>
              <w:kinsoku/>
              <w:wordWrap/>
              <w:overflowPunct/>
              <w:topLinePunct w:val="0"/>
              <w:bidi w:val="0"/>
              <w:spacing w:after="0" w:line="360" w:lineRule="auto"/>
              <w:ind w:firstLine="211" w:firstLineChars="100"/>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rPr>
              <w:t>1.</w:t>
            </w:r>
            <w:r>
              <w:rPr>
                <w:rFonts w:hint="eastAsia" w:ascii="宋体" w:hAnsi="宋体" w:eastAsia="宋体" w:cs="宋体"/>
                <w:b/>
                <w:bCs/>
                <w:color w:val="auto"/>
                <w:kern w:val="2"/>
                <w:sz w:val="21"/>
                <w:szCs w:val="21"/>
                <w:highlight w:val="none"/>
                <w:lang w:val="zh-CN"/>
              </w:rPr>
              <w:t>供应商需准备全流程所必需的硬件设备包括电脑（版本 win7 64位及以上）、麦克风、摄像头、CA证书等。建议使用同一台电脑完成投标、评标相关事宜，推荐安装 chrome 浏览器，且解密CA必须和加密CA为同一把。</w:t>
            </w:r>
          </w:p>
          <w:p>
            <w:pPr>
              <w:pStyle w:val="27"/>
              <w:pageBreakBefore w:val="0"/>
              <w:kinsoku/>
              <w:wordWrap/>
              <w:overflowPunct/>
              <w:topLinePunct w:val="0"/>
              <w:bidi w:val="0"/>
              <w:spacing w:after="0" w:line="360" w:lineRule="auto"/>
              <w:ind w:firstLine="211" w:firstLineChars="100"/>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rPr>
              <w:t>2.</w:t>
            </w:r>
            <w:r>
              <w:rPr>
                <w:rFonts w:hint="eastAsia" w:ascii="宋体" w:hAnsi="宋体" w:eastAsia="宋体" w:cs="宋体"/>
                <w:b/>
                <w:bCs/>
                <w:color w:val="auto"/>
                <w:kern w:val="2"/>
                <w:sz w:val="21"/>
                <w:szCs w:val="21"/>
                <w:highlight w:val="none"/>
                <w:lang w:val="zh-CN"/>
              </w:rPr>
              <w:t>政府采购云平台供应商注册地址：</w:t>
            </w:r>
          </w:p>
          <w:p>
            <w:pPr>
              <w:pStyle w:val="27"/>
              <w:pageBreakBefore w:val="0"/>
              <w:kinsoku/>
              <w:wordWrap/>
              <w:overflowPunct/>
              <w:topLinePunct w:val="0"/>
              <w:bidi w:val="0"/>
              <w:spacing w:after="0" w:line="360" w:lineRule="auto"/>
              <w:ind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zh-CN"/>
              </w:rPr>
              <w:t>https://middle.zcygov.cn/v-settle-front/registry?settleCategory=1&amp;entranceType=119&amp;utm=a0017.b1347.cl50.3.c0de9400b91b11eb870ad7da87d69c97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3" w:hRule="atLeast"/>
          <w:jc w:val="center"/>
        </w:trPr>
        <w:tc>
          <w:tcPr>
            <w:tcW w:w="838" w:type="dxa"/>
            <w:vAlign w:val="center"/>
          </w:tcPr>
          <w:p>
            <w:pPr>
              <w:pStyle w:val="27"/>
              <w:pageBreakBefore w:val="0"/>
              <w:kinsoku/>
              <w:wordWrap/>
              <w:overflowPunct/>
              <w:topLinePunct w:val="0"/>
              <w:bidi w:val="0"/>
              <w:spacing w:after="0" w:line="360" w:lineRule="auto"/>
              <w:ind w:firstLine="0" w:firstLineChars="0"/>
              <w:jc w:val="center"/>
              <w:rPr>
                <w:rFonts w:hint="eastAsia" w:ascii="宋体" w:hAnsi="宋体" w:eastAsia="宋体" w:cs="宋体"/>
                <w:b/>
                <w:bCs/>
                <w:color w:val="auto"/>
                <w:kern w:val="2"/>
                <w:sz w:val="21"/>
                <w:szCs w:val="21"/>
                <w:highlight w:val="none"/>
                <w:lang w:val="en-US" w:bidi="ar"/>
              </w:rPr>
            </w:pPr>
            <w:r>
              <w:rPr>
                <w:rFonts w:hint="eastAsia" w:ascii="宋体" w:hAnsi="宋体" w:eastAsia="宋体" w:cs="宋体"/>
                <w:b/>
                <w:bCs/>
                <w:color w:val="auto"/>
                <w:kern w:val="2"/>
                <w:sz w:val="21"/>
                <w:szCs w:val="21"/>
                <w:highlight w:val="none"/>
                <w:lang w:val="zh-CN" w:eastAsia="zh-CN" w:bidi="ar"/>
              </w:rPr>
              <w:t>20</w:t>
            </w:r>
          </w:p>
        </w:tc>
        <w:tc>
          <w:tcPr>
            <w:tcW w:w="2238" w:type="dxa"/>
            <w:tcBorders>
              <w:right w:val="single" w:color="auto" w:sz="4" w:space="0"/>
            </w:tcBorders>
            <w:vAlign w:val="center"/>
          </w:tcPr>
          <w:p>
            <w:pPr>
              <w:pStyle w:val="27"/>
              <w:pageBreakBefore w:val="0"/>
              <w:kinsoku/>
              <w:wordWrap/>
              <w:overflowPunct/>
              <w:topLinePunct w:val="0"/>
              <w:bidi w:val="0"/>
              <w:spacing w:after="0" w:line="360" w:lineRule="auto"/>
              <w:ind w:left="0" w:firstLine="0" w:firstLineChars="0"/>
              <w:jc w:val="center"/>
              <w:rPr>
                <w:rFonts w:hint="eastAsia" w:ascii="宋体" w:hAnsi="宋体" w:eastAsia="宋体" w:cs="宋体"/>
                <w:b/>
                <w:bCs/>
                <w:color w:val="auto"/>
                <w:kern w:val="2"/>
                <w:sz w:val="21"/>
                <w:szCs w:val="21"/>
                <w:highlight w:val="none"/>
                <w:lang w:val="zh-CN" w:bidi="ar"/>
              </w:rPr>
            </w:pPr>
            <w:r>
              <w:rPr>
                <w:rFonts w:hint="eastAsia" w:ascii="宋体" w:hAnsi="宋体" w:eastAsia="宋体" w:cs="宋体"/>
                <w:b/>
                <w:bCs/>
                <w:color w:val="auto"/>
                <w:kern w:val="2"/>
                <w:sz w:val="21"/>
                <w:szCs w:val="21"/>
                <w:highlight w:val="none"/>
                <w:lang w:val="zh-CN" w:eastAsia="zh-CN" w:bidi="ar"/>
              </w:rPr>
              <w:t>备选投标方案和报价</w:t>
            </w:r>
          </w:p>
        </w:tc>
        <w:tc>
          <w:tcPr>
            <w:tcW w:w="6425" w:type="dxa"/>
            <w:tcBorders>
              <w:left w:val="single" w:color="auto" w:sz="4" w:space="0"/>
            </w:tcBorders>
            <w:vAlign w:val="center"/>
          </w:tcPr>
          <w:p>
            <w:pPr>
              <w:pStyle w:val="27"/>
              <w:pageBreakBefore w:val="0"/>
              <w:kinsoku/>
              <w:wordWrap/>
              <w:overflowPunct/>
              <w:topLinePunct w:val="0"/>
              <w:bidi w:val="0"/>
              <w:spacing w:after="0" w:line="360" w:lineRule="auto"/>
              <w:ind w:firstLine="211" w:firstLineChars="100"/>
              <w:jc w:val="both"/>
              <w:rPr>
                <w:rFonts w:hint="eastAsia" w:ascii="宋体" w:hAnsi="宋体" w:eastAsia="宋体" w:cs="宋体"/>
                <w:b/>
                <w:bCs/>
                <w:color w:val="auto"/>
                <w:kern w:val="2"/>
                <w:sz w:val="21"/>
                <w:szCs w:val="21"/>
                <w:highlight w:val="none"/>
                <w:lang w:val="zh-CN" w:bidi="ar"/>
              </w:rPr>
            </w:pPr>
            <w:r>
              <w:rPr>
                <w:rFonts w:hint="eastAsia" w:ascii="宋体" w:hAnsi="宋体" w:eastAsia="宋体" w:cs="宋体"/>
                <w:b/>
                <w:bCs/>
                <w:color w:val="auto"/>
                <w:kern w:val="2"/>
                <w:sz w:val="21"/>
                <w:szCs w:val="21"/>
                <w:highlight w:val="none"/>
                <w:lang w:val="zh-CN" w:eastAsia="zh-CN" w:bidi="ar"/>
              </w:rPr>
              <w:t>本次采购不接受备选投标方案和多个报价。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838" w:type="dxa"/>
            <w:vAlign w:val="center"/>
          </w:tcPr>
          <w:p>
            <w:pPr>
              <w:pageBreakBefore w:val="0"/>
              <w:kinsoku/>
              <w:wordWrap/>
              <w:overflowPunct/>
              <w:topLinePunct w:val="0"/>
              <w:bidi w:val="0"/>
              <w:spacing w:after="0"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w:t>
            </w:r>
          </w:p>
        </w:tc>
        <w:tc>
          <w:tcPr>
            <w:tcW w:w="2238" w:type="dxa"/>
            <w:tcBorders>
              <w:right w:val="single" w:color="auto" w:sz="4" w:space="0"/>
            </w:tcBorders>
            <w:vAlign w:val="center"/>
          </w:tcPr>
          <w:p>
            <w:pPr>
              <w:pStyle w:val="27"/>
              <w:pageBreakBefore w:val="0"/>
              <w:kinsoku/>
              <w:wordWrap/>
              <w:overflowPunct/>
              <w:topLinePunct w:val="0"/>
              <w:bidi w:val="0"/>
              <w:spacing w:after="0" w:line="360" w:lineRule="auto"/>
              <w:ind w:firstLine="211" w:firstLineChars="100"/>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其他说明</w:t>
            </w:r>
          </w:p>
        </w:tc>
        <w:tc>
          <w:tcPr>
            <w:tcW w:w="6425" w:type="dxa"/>
            <w:tcBorders>
              <w:left w:val="single" w:color="auto" w:sz="4" w:space="0"/>
            </w:tcBorders>
            <w:vAlign w:val="center"/>
          </w:tcPr>
          <w:p>
            <w:pPr>
              <w:pStyle w:val="27"/>
              <w:pageBreakBefore w:val="0"/>
              <w:kinsoku/>
              <w:wordWrap/>
              <w:overflowPunct/>
              <w:topLinePunct w:val="0"/>
              <w:bidi w:val="0"/>
              <w:spacing w:after="0" w:line="360" w:lineRule="auto"/>
              <w:ind w:firstLine="211" w:firstLineChars="100"/>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rPr>
              <w:t>1、</w:t>
            </w:r>
            <w:r>
              <w:rPr>
                <w:rFonts w:hint="eastAsia" w:ascii="宋体" w:hAnsi="宋体" w:eastAsia="宋体" w:cs="宋体"/>
                <w:b/>
                <w:bCs/>
                <w:color w:val="auto"/>
                <w:kern w:val="2"/>
                <w:sz w:val="21"/>
                <w:szCs w:val="21"/>
                <w:highlight w:val="none"/>
                <w:lang w:val="zh-CN"/>
              </w:rPr>
              <w:t>本</w:t>
            </w:r>
            <w:r>
              <w:rPr>
                <w:rFonts w:hint="eastAsia" w:ascii="宋体" w:hAnsi="宋体" w:eastAsia="宋体" w:cs="宋体"/>
                <w:b/>
                <w:bCs/>
                <w:color w:val="auto"/>
                <w:kern w:val="2"/>
                <w:sz w:val="21"/>
                <w:szCs w:val="21"/>
                <w:highlight w:val="none"/>
              </w:rPr>
              <w:t>招标</w:t>
            </w:r>
            <w:r>
              <w:rPr>
                <w:rFonts w:hint="eastAsia" w:ascii="宋体" w:hAnsi="宋体" w:eastAsia="宋体" w:cs="宋体"/>
                <w:b/>
                <w:bCs/>
                <w:color w:val="auto"/>
                <w:kern w:val="2"/>
                <w:sz w:val="21"/>
                <w:szCs w:val="21"/>
                <w:highlight w:val="none"/>
                <w:lang w:val="zh-CN"/>
              </w:rPr>
              <w:t>文件所称的“以上”、“以下”包括本数；</w:t>
            </w:r>
          </w:p>
          <w:p>
            <w:pPr>
              <w:pStyle w:val="27"/>
              <w:pageBreakBefore w:val="0"/>
              <w:kinsoku/>
              <w:wordWrap/>
              <w:overflowPunct/>
              <w:topLinePunct w:val="0"/>
              <w:bidi w:val="0"/>
              <w:spacing w:after="0" w:line="360" w:lineRule="auto"/>
              <w:ind w:firstLine="211" w:firstLineChars="100"/>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rPr>
              <w:t>2、中标人签订合同前须提供纸版投标文件</w:t>
            </w:r>
            <w:r>
              <w:rPr>
                <w:rFonts w:hint="eastAsia" w:ascii="宋体" w:hAnsi="宋体" w:eastAsia="宋体" w:cs="宋体"/>
                <w:b/>
                <w:bCs/>
                <w:color w:val="auto"/>
                <w:kern w:val="2"/>
                <w:sz w:val="21"/>
                <w:szCs w:val="21"/>
                <w:highlight w:val="none"/>
                <w:lang w:val="en-US" w:eastAsia="zh-CN"/>
              </w:rPr>
              <w:t>正本</w:t>
            </w:r>
            <w:r>
              <w:rPr>
                <w:rFonts w:hint="eastAsia" w:ascii="宋体" w:hAnsi="宋体" w:eastAsia="宋体" w:cs="宋体"/>
                <w:b/>
                <w:bCs/>
                <w:color w:val="auto"/>
                <w:kern w:val="2"/>
                <w:sz w:val="21"/>
                <w:szCs w:val="21"/>
                <w:highlight w:val="none"/>
              </w:rPr>
              <w:t>2份。</w:t>
            </w:r>
          </w:p>
        </w:tc>
      </w:tr>
    </w:tbl>
    <w:p>
      <w:pPr>
        <w:pageBreakBefore w:val="0"/>
        <w:kinsoku/>
        <w:wordWrap/>
        <w:overflowPunct/>
        <w:topLinePunct w:val="0"/>
        <w:bidi w:val="0"/>
        <w:spacing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pageBreakBefore w:val="0"/>
        <w:kinsoku/>
        <w:wordWrap/>
        <w:overflowPunct/>
        <w:topLinePunct w:val="0"/>
        <w:bidi w:val="0"/>
        <w:spacing w:before="0" w:after="0" w:line="360" w:lineRule="auto"/>
        <w:jc w:val="center"/>
        <w:rPr>
          <w:rFonts w:hint="eastAsia" w:ascii="宋体" w:hAnsi="宋体" w:eastAsia="宋体" w:cs="宋体"/>
          <w:bCs w:val="0"/>
          <w:color w:val="auto"/>
          <w:highlight w:val="none"/>
        </w:rPr>
      </w:pPr>
      <w:r>
        <w:rPr>
          <w:rFonts w:hint="eastAsia" w:ascii="宋体" w:hAnsi="宋体" w:eastAsia="宋体" w:cs="宋体"/>
          <w:bCs w:val="0"/>
          <w:color w:val="auto"/>
          <w:highlight w:val="none"/>
        </w:rPr>
        <w:t>二、总  则</w:t>
      </w:r>
    </w:p>
    <w:p>
      <w:pPr>
        <w:pStyle w:val="5"/>
        <w:pageBreakBefore w:val="0"/>
        <w:kinsoku/>
        <w:wordWrap/>
        <w:overflowPunct/>
        <w:topLinePunct w:val="0"/>
        <w:bidi w:val="0"/>
        <w:spacing w:before="0" w:after="0" w:line="360" w:lineRule="auto"/>
        <w:ind w:firstLine="482" w:firstLineChars="200"/>
        <w:rPr>
          <w:rFonts w:hint="eastAsia" w:ascii="宋体" w:hAnsi="宋体" w:eastAsia="宋体" w:cs="宋体"/>
          <w:color w:val="auto"/>
          <w:sz w:val="24"/>
          <w:szCs w:val="24"/>
          <w:highlight w:val="none"/>
        </w:rPr>
      </w:pPr>
      <w:bookmarkStart w:id="25" w:name="_Toc183582205"/>
      <w:bookmarkStart w:id="26" w:name="_Toc183682342"/>
      <w:bookmarkStart w:id="27" w:name="_Toc217446034"/>
      <w:bookmarkStart w:id="28" w:name="PO_默认文件内容_19"/>
      <w:r>
        <w:rPr>
          <w:rFonts w:hint="eastAsia" w:ascii="宋体" w:hAnsi="宋体" w:eastAsia="宋体" w:cs="宋体"/>
          <w:color w:val="auto"/>
          <w:sz w:val="24"/>
          <w:szCs w:val="24"/>
          <w:highlight w:val="none"/>
        </w:rPr>
        <w:t>1.</w:t>
      </w:r>
      <w:bookmarkEnd w:id="25"/>
      <w:bookmarkEnd w:id="26"/>
      <w:r>
        <w:rPr>
          <w:rFonts w:hint="eastAsia" w:ascii="宋体" w:hAnsi="宋体" w:eastAsia="宋体" w:cs="宋体"/>
          <w:color w:val="auto"/>
          <w:sz w:val="24"/>
          <w:szCs w:val="24"/>
          <w:highlight w:val="none"/>
        </w:rPr>
        <w:t xml:space="preserve"> 适用范围</w:t>
      </w:r>
      <w:bookmarkEnd w:id="27"/>
    </w:p>
    <w:p>
      <w:pPr>
        <w:pageBreakBefore w:val="0"/>
        <w:tabs>
          <w:tab w:val="left" w:pos="7665"/>
        </w:tabs>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 本招标文件仅适用于本次招标采购项目。</w:t>
      </w:r>
    </w:p>
    <w:p>
      <w:pPr>
        <w:pStyle w:val="5"/>
        <w:pageBreakBefore w:val="0"/>
        <w:kinsoku/>
        <w:wordWrap/>
        <w:overflowPunct/>
        <w:topLinePunct w:val="0"/>
        <w:bidi w:val="0"/>
        <w:spacing w:before="0" w:after="0" w:line="360" w:lineRule="auto"/>
        <w:ind w:firstLine="482" w:firstLineChars="200"/>
        <w:rPr>
          <w:rFonts w:hint="eastAsia" w:ascii="宋体" w:hAnsi="宋体" w:eastAsia="宋体" w:cs="宋体"/>
          <w:color w:val="auto"/>
          <w:sz w:val="24"/>
          <w:highlight w:val="none"/>
        </w:rPr>
      </w:pPr>
      <w:bookmarkStart w:id="29" w:name="_Toc183582206"/>
      <w:bookmarkStart w:id="30" w:name="_Toc183682343"/>
      <w:bookmarkStart w:id="31" w:name="_Toc217446035"/>
      <w:r>
        <w:rPr>
          <w:rFonts w:hint="eastAsia" w:ascii="宋体" w:hAnsi="宋体" w:eastAsia="宋体" w:cs="宋体"/>
          <w:color w:val="auto"/>
          <w:sz w:val="24"/>
          <w:highlight w:val="none"/>
        </w:rPr>
        <w:t xml:space="preserve">2. </w:t>
      </w:r>
      <w:bookmarkEnd w:id="29"/>
      <w:bookmarkEnd w:id="30"/>
      <w:r>
        <w:rPr>
          <w:rFonts w:hint="eastAsia" w:ascii="宋体" w:hAnsi="宋体" w:eastAsia="宋体" w:cs="宋体"/>
          <w:color w:val="auto"/>
          <w:sz w:val="24"/>
          <w:highlight w:val="none"/>
        </w:rPr>
        <w:t>有关</w:t>
      </w:r>
      <w:r>
        <w:rPr>
          <w:rFonts w:hint="eastAsia" w:ascii="宋体" w:hAnsi="宋体" w:eastAsia="宋体" w:cs="宋体"/>
          <w:color w:val="auto"/>
          <w:sz w:val="24"/>
          <w:szCs w:val="24"/>
          <w:highlight w:val="none"/>
        </w:rPr>
        <w:t>定义</w:t>
      </w:r>
      <w:bookmarkEnd w:id="31"/>
    </w:p>
    <w:p>
      <w:pPr>
        <w:pageBreakBefore w:val="0"/>
        <w:tabs>
          <w:tab w:val="left" w:pos="7665"/>
        </w:tabs>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“采购人”系指依法进行政府采购的国家机关、事业单位、团体组织。本次招标的采购人是</w:t>
      </w:r>
      <w:bookmarkEnd w:id="28"/>
      <w:r>
        <w:rPr>
          <w:rFonts w:hint="eastAsia" w:ascii="宋体" w:hAnsi="宋体" w:eastAsia="宋体" w:cs="宋体"/>
          <w:bCs/>
          <w:color w:val="auto"/>
          <w:sz w:val="24"/>
          <w:highlight w:val="none"/>
          <w:u w:val="single"/>
          <w:lang w:eastAsia="zh-CN"/>
        </w:rPr>
        <w:t>成都市彭州生态环境局</w:t>
      </w:r>
      <w:r>
        <w:rPr>
          <w:rFonts w:hint="eastAsia" w:ascii="宋体" w:hAnsi="宋体" w:eastAsia="宋体" w:cs="宋体"/>
          <w:color w:val="auto"/>
          <w:sz w:val="24"/>
          <w:highlight w:val="none"/>
        </w:rPr>
        <w:t>。</w:t>
      </w:r>
    </w:p>
    <w:p>
      <w:pPr>
        <w:pageBreakBefore w:val="0"/>
        <w:tabs>
          <w:tab w:val="left" w:pos="7665"/>
        </w:tabs>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bookmarkStart w:id="32" w:name="PO_默认文件内容_20"/>
      <w:r>
        <w:rPr>
          <w:rFonts w:hint="eastAsia" w:ascii="宋体" w:hAnsi="宋体" w:eastAsia="宋体" w:cs="宋体"/>
          <w:color w:val="auto"/>
          <w:sz w:val="24"/>
          <w:highlight w:val="none"/>
        </w:rPr>
        <w:t>2.2 “采购代理机构” 系指根据采购人的委托依法办理招标事宜的采购机构。本次招标的采购代理机构是</w:t>
      </w:r>
      <w:r>
        <w:rPr>
          <w:rFonts w:hint="eastAsia" w:ascii="宋体" w:hAnsi="宋体" w:eastAsia="宋体" w:cs="宋体"/>
          <w:bCs/>
          <w:color w:val="auto"/>
          <w:sz w:val="24"/>
          <w:highlight w:val="none"/>
          <w:u w:val="single"/>
          <w:lang w:eastAsia="zh-CN"/>
        </w:rPr>
        <w:t>四川尚品达工程咨询有限公司</w:t>
      </w:r>
      <w:r>
        <w:rPr>
          <w:rFonts w:hint="eastAsia" w:ascii="宋体" w:hAnsi="宋体" w:eastAsia="宋体" w:cs="宋体"/>
          <w:color w:val="auto"/>
          <w:sz w:val="24"/>
          <w:highlight w:val="none"/>
        </w:rPr>
        <w:t>。</w:t>
      </w:r>
    </w:p>
    <w:p>
      <w:pPr>
        <w:pageBreakBefore w:val="0"/>
        <w:tabs>
          <w:tab w:val="left" w:pos="7665"/>
        </w:tabs>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“招标采购单位”系指“采购人”和“采购代理机构”的统称。</w:t>
      </w:r>
    </w:p>
    <w:p>
      <w:pPr>
        <w:pageBreakBefore w:val="0"/>
        <w:tabs>
          <w:tab w:val="left" w:pos="7665"/>
        </w:tabs>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“投标人”系指在系统中成功提交《采购文件获取登记表》拟参加投标和向采购人提供货物及服务的投标人。</w:t>
      </w:r>
    </w:p>
    <w:p>
      <w:pPr>
        <w:pStyle w:val="5"/>
        <w:pageBreakBefore w:val="0"/>
        <w:kinsoku/>
        <w:wordWrap/>
        <w:overflowPunct/>
        <w:topLinePunct w:val="0"/>
        <w:bidi w:val="0"/>
        <w:spacing w:before="0" w:after="0" w:line="360" w:lineRule="auto"/>
        <w:ind w:firstLine="482" w:firstLineChars="200"/>
        <w:rPr>
          <w:rFonts w:hint="eastAsia" w:ascii="宋体" w:hAnsi="宋体" w:eastAsia="宋体" w:cs="宋体"/>
          <w:color w:val="auto"/>
          <w:sz w:val="24"/>
          <w:highlight w:val="none"/>
        </w:rPr>
      </w:pPr>
      <w:bookmarkStart w:id="33" w:name="_Toc183682344"/>
      <w:bookmarkStart w:id="34" w:name="_Toc217446036"/>
      <w:bookmarkStart w:id="35" w:name="_Toc183582207"/>
      <w:bookmarkStart w:id="36" w:name="_Toc217390843"/>
      <w:r>
        <w:rPr>
          <w:rFonts w:hint="eastAsia" w:ascii="宋体" w:hAnsi="宋体" w:eastAsia="宋体" w:cs="宋体"/>
          <w:color w:val="auto"/>
          <w:sz w:val="24"/>
          <w:highlight w:val="none"/>
        </w:rPr>
        <w:t>3. 合格的投标人</w:t>
      </w:r>
      <w:bookmarkEnd w:id="33"/>
      <w:bookmarkEnd w:id="34"/>
      <w:bookmarkEnd w:id="35"/>
      <w:bookmarkEnd w:id="36"/>
    </w:p>
    <w:p>
      <w:pPr>
        <w:pageBreakBefore w:val="0"/>
        <w:tabs>
          <w:tab w:val="left" w:pos="7665"/>
        </w:tabs>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合格的投标人应具备以下条件：</w:t>
      </w:r>
    </w:p>
    <w:p>
      <w:pPr>
        <w:pageBreakBefore w:val="0"/>
        <w:tabs>
          <w:tab w:val="left" w:pos="7665"/>
        </w:tabs>
        <w:kinsoku/>
        <w:wordWrap/>
        <w:overflowPunct/>
        <w:topLinePunct w:val="0"/>
        <w:bidi w:val="0"/>
        <w:spacing w:after="0" w:line="360" w:lineRule="auto"/>
        <w:ind w:firstLine="480" w:firstLineChars="200"/>
        <w:rPr>
          <w:rFonts w:hint="eastAsia" w:ascii="宋体" w:hAnsi="宋体" w:eastAsia="宋体" w:cs="宋体"/>
          <w:color w:val="auto"/>
          <w:spacing w:val="-4"/>
          <w:sz w:val="24"/>
          <w:highlight w:val="none"/>
        </w:rPr>
      </w:pPr>
      <w:r>
        <w:rPr>
          <w:rFonts w:hint="eastAsia" w:ascii="宋体" w:hAnsi="宋体" w:eastAsia="宋体" w:cs="宋体"/>
          <w:color w:val="auto"/>
          <w:sz w:val="24"/>
          <w:highlight w:val="none"/>
        </w:rPr>
        <w:t>（1）本招标文件规定的投标人资格条件</w:t>
      </w:r>
      <w:r>
        <w:rPr>
          <w:rFonts w:hint="eastAsia" w:ascii="宋体" w:hAnsi="宋体" w:eastAsia="宋体" w:cs="宋体"/>
          <w:color w:val="auto"/>
          <w:spacing w:val="-4"/>
          <w:sz w:val="24"/>
          <w:highlight w:val="none"/>
        </w:rPr>
        <w:t>；</w:t>
      </w:r>
    </w:p>
    <w:p>
      <w:pPr>
        <w:pageBreakBefore w:val="0"/>
        <w:tabs>
          <w:tab w:val="left" w:pos="7665"/>
        </w:tabs>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（2）遵守国家有关的法律、法规、规章和其他政策制度；</w:t>
      </w:r>
    </w:p>
    <w:p>
      <w:pPr>
        <w:pStyle w:val="6"/>
        <w:pageBreakBefore w:val="0"/>
        <w:kinsoku/>
        <w:wordWrap/>
        <w:overflowPunct/>
        <w:topLinePunct w:val="0"/>
        <w:bidi w:val="0"/>
        <w:spacing w:before="0" w:after="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（3）按照招标文件“投标邀请”中第七条规定获取了招标文件。</w:t>
      </w:r>
    </w:p>
    <w:bookmarkEnd w:id="32"/>
    <w:p>
      <w:pPr>
        <w:pStyle w:val="5"/>
        <w:pageBreakBefore w:val="0"/>
        <w:kinsoku/>
        <w:wordWrap/>
        <w:overflowPunct/>
        <w:topLinePunct w:val="0"/>
        <w:bidi w:val="0"/>
        <w:spacing w:before="0" w:after="0" w:line="360" w:lineRule="auto"/>
        <w:ind w:firstLine="482" w:firstLineChars="200"/>
        <w:rPr>
          <w:rFonts w:hint="eastAsia" w:ascii="宋体" w:hAnsi="宋体" w:eastAsia="宋体" w:cs="宋体"/>
          <w:color w:val="auto"/>
          <w:sz w:val="24"/>
          <w:highlight w:val="none"/>
        </w:rPr>
      </w:pPr>
      <w:bookmarkStart w:id="37" w:name="_Toc217446037"/>
      <w:bookmarkStart w:id="38" w:name="_Toc183582208"/>
      <w:bookmarkStart w:id="39" w:name="_Toc183682345"/>
      <w:bookmarkStart w:id="40" w:name="PO_默认文件内容_16"/>
      <w:r>
        <w:rPr>
          <w:rFonts w:hint="eastAsia" w:ascii="宋体" w:hAnsi="宋体" w:eastAsia="宋体" w:cs="宋体"/>
          <w:color w:val="auto"/>
          <w:sz w:val="24"/>
          <w:highlight w:val="none"/>
        </w:rPr>
        <w:t>4. 投标费用</w:t>
      </w:r>
      <w:bookmarkEnd w:id="37"/>
      <w:bookmarkEnd w:id="38"/>
      <w:bookmarkEnd w:id="39"/>
      <w:r>
        <w:rPr>
          <w:rFonts w:hint="eastAsia" w:ascii="宋体" w:hAnsi="宋体" w:eastAsia="宋体" w:cs="宋体"/>
          <w:color w:val="auto"/>
          <w:sz w:val="24"/>
          <w:szCs w:val="24"/>
          <w:highlight w:val="none"/>
        </w:rPr>
        <w:t>（实质性要求）</w:t>
      </w:r>
    </w:p>
    <w:p>
      <w:pPr>
        <w:pageBreakBefore w:val="0"/>
        <w:tabs>
          <w:tab w:val="left" w:pos="7665"/>
        </w:tabs>
        <w:kinsoku/>
        <w:wordWrap/>
        <w:overflowPunct/>
        <w:topLinePunct w:val="0"/>
        <w:bidi w:val="0"/>
        <w:spacing w:after="0"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投标人参加投标的有关费用由投标人自行承担。</w:t>
      </w:r>
    </w:p>
    <w:p>
      <w:pPr>
        <w:pageBreakBefore w:val="0"/>
        <w:kinsoku/>
        <w:wordWrap/>
        <w:overflowPunct/>
        <w:topLinePunct w:val="0"/>
        <w:bidi w:val="0"/>
        <w:adjustRightInd w:val="0"/>
        <w:spacing w:after="0" w:line="360" w:lineRule="auto"/>
        <w:ind w:left="1" w:firstLine="482" w:firstLineChars="200"/>
        <w:textAlignment w:val="baseline"/>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5.充分、公平竞争保障措施（实质性要求）</w:t>
      </w:r>
    </w:p>
    <w:p>
      <w:pPr>
        <w:pageBreakBefore w:val="0"/>
        <w:kinsoku/>
        <w:wordWrap/>
        <w:overflowPunct/>
        <w:topLinePunct w:val="0"/>
        <w:bidi w:val="0"/>
        <w:adjustRightInd w:val="0"/>
        <w:spacing w:after="0" w:line="360" w:lineRule="auto"/>
        <w:ind w:left="1" w:firstLine="480" w:firstLineChars="20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ageBreakBefore w:val="0"/>
        <w:kinsoku/>
        <w:wordWrap/>
        <w:overflowPunct/>
        <w:topLinePunct w:val="0"/>
        <w:bidi w:val="0"/>
        <w:adjustRightInd w:val="0"/>
        <w:spacing w:after="0" w:line="360" w:lineRule="auto"/>
        <w:ind w:left="1" w:firstLine="480" w:firstLineChars="20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5.2利害关系授权代表处理。两家以上的供应商不得在同一合同项下的采购项目中，委托同一个自然人、同一家庭的人员、同一单位的人员作为其授权代表，否则，其响应文件作为无效处理。</w:t>
      </w:r>
    </w:p>
    <w:p>
      <w:pPr>
        <w:pageBreakBefore w:val="0"/>
        <w:kinsoku/>
        <w:wordWrap/>
        <w:overflowPunct/>
        <w:topLinePunct w:val="0"/>
        <w:bidi w:val="0"/>
        <w:adjustRightInd w:val="0"/>
        <w:spacing w:after="0" w:line="360" w:lineRule="auto"/>
        <w:ind w:left="1" w:firstLine="480" w:firstLineChars="20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r>
        <w:rPr>
          <w:rFonts w:hint="eastAsia" w:ascii="宋体" w:hAnsi="宋体" w:eastAsia="宋体" w:cs="宋体"/>
          <w:b/>
          <w:bCs/>
          <w:color w:val="auto"/>
          <w:kern w:val="0"/>
          <w:sz w:val="24"/>
          <w:highlight w:val="none"/>
        </w:rPr>
        <w:t>（说明：无供应商为本项目提供整体设计、规范编制或者项目管理、监理、检测等服务。）</w:t>
      </w:r>
    </w:p>
    <w:p>
      <w:pPr>
        <w:pageBreakBefore w:val="0"/>
        <w:kinsoku/>
        <w:wordWrap/>
        <w:overflowPunct/>
        <w:topLinePunct w:val="0"/>
        <w:bidi w:val="0"/>
        <w:adjustRightInd w:val="0"/>
        <w:spacing w:after="0" w:line="360" w:lineRule="auto"/>
        <w:ind w:left="1" w:firstLine="480" w:firstLineChars="20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5.4供应商实际控制人或者中高级管理人员，同时是采购代理机构工作人员，不得参与本项目政府采购活动。</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5.5同一母公司的两家以上的子公司只能组成联合体参加本项目同一合同项下的采购活动，不得以不同供应商身份同时参加本项目同一合同项下的采购活动。</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5.6供应商与采购代理机构存在关联关系，或者是采购代理机构的母公司或子公司，不得参加本项目政府采购活动。</w:t>
      </w:r>
    </w:p>
    <w:p>
      <w:pPr>
        <w:pageBreakBefore w:val="0"/>
        <w:kinsoku/>
        <w:wordWrap/>
        <w:overflowPunct/>
        <w:topLinePunct w:val="0"/>
        <w:bidi w:val="0"/>
        <w:adjustRightInd w:val="0"/>
        <w:spacing w:after="0" w:line="360" w:lineRule="auto"/>
        <w:ind w:left="1" w:firstLine="480" w:firstLineChars="20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5.7回避。政府采购活动中，采购人员及相关人员与</w:t>
      </w:r>
      <w:r>
        <w:rPr>
          <w:rFonts w:hint="eastAsia" w:ascii="宋体" w:hAnsi="宋体" w:eastAsia="宋体" w:cs="宋体"/>
          <w:color w:val="auto"/>
          <w:sz w:val="24"/>
          <w:highlight w:val="none"/>
        </w:rPr>
        <w:t>投标人</w:t>
      </w:r>
      <w:r>
        <w:rPr>
          <w:rFonts w:hint="eastAsia" w:ascii="宋体" w:hAnsi="宋体" w:eastAsia="宋体" w:cs="宋体"/>
          <w:color w:val="auto"/>
          <w:kern w:val="0"/>
          <w:sz w:val="24"/>
          <w:highlight w:val="none"/>
        </w:rPr>
        <w:t>有下列利害关系之一的，应当回避：</w:t>
      </w:r>
    </w:p>
    <w:p>
      <w:pPr>
        <w:pageBreakBefore w:val="0"/>
        <w:kinsoku/>
        <w:wordWrap/>
        <w:overflowPunct/>
        <w:topLinePunct w:val="0"/>
        <w:bidi w:val="0"/>
        <w:adjustRightInd w:val="0"/>
        <w:spacing w:after="0" w:line="360" w:lineRule="auto"/>
        <w:ind w:left="1" w:firstLine="480" w:firstLineChars="20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（1）参加采购活动前3年内与</w:t>
      </w:r>
      <w:r>
        <w:rPr>
          <w:rFonts w:hint="eastAsia" w:ascii="宋体" w:hAnsi="宋体" w:eastAsia="宋体" w:cs="宋体"/>
          <w:color w:val="auto"/>
          <w:sz w:val="24"/>
          <w:highlight w:val="none"/>
        </w:rPr>
        <w:t>投标人</w:t>
      </w:r>
      <w:r>
        <w:rPr>
          <w:rFonts w:hint="eastAsia" w:ascii="宋体" w:hAnsi="宋体" w:eastAsia="宋体" w:cs="宋体"/>
          <w:color w:val="auto"/>
          <w:kern w:val="0"/>
          <w:sz w:val="24"/>
          <w:highlight w:val="none"/>
        </w:rPr>
        <w:t>存在劳动关系；</w:t>
      </w:r>
    </w:p>
    <w:p>
      <w:pPr>
        <w:pageBreakBefore w:val="0"/>
        <w:kinsoku/>
        <w:wordWrap/>
        <w:overflowPunct/>
        <w:topLinePunct w:val="0"/>
        <w:bidi w:val="0"/>
        <w:adjustRightInd w:val="0"/>
        <w:spacing w:after="0" w:line="360" w:lineRule="auto"/>
        <w:ind w:left="1" w:firstLine="480" w:firstLineChars="20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（2）参加采购活动前3年内担任</w:t>
      </w:r>
      <w:r>
        <w:rPr>
          <w:rFonts w:hint="eastAsia" w:ascii="宋体" w:hAnsi="宋体" w:eastAsia="宋体" w:cs="宋体"/>
          <w:color w:val="auto"/>
          <w:sz w:val="24"/>
          <w:highlight w:val="none"/>
        </w:rPr>
        <w:t>投标人</w:t>
      </w:r>
      <w:r>
        <w:rPr>
          <w:rFonts w:hint="eastAsia" w:ascii="宋体" w:hAnsi="宋体" w:eastAsia="宋体" w:cs="宋体"/>
          <w:color w:val="auto"/>
          <w:kern w:val="0"/>
          <w:sz w:val="24"/>
          <w:highlight w:val="none"/>
        </w:rPr>
        <w:t>的董事、监事；</w:t>
      </w:r>
    </w:p>
    <w:p>
      <w:pPr>
        <w:pageBreakBefore w:val="0"/>
        <w:kinsoku/>
        <w:wordWrap/>
        <w:overflowPunct/>
        <w:topLinePunct w:val="0"/>
        <w:bidi w:val="0"/>
        <w:adjustRightInd w:val="0"/>
        <w:spacing w:after="0" w:line="360" w:lineRule="auto"/>
        <w:ind w:left="1" w:firstLine="480" w:firstLineChars="20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（3）参加采购活动前3年内是</w:t>
      </w:r>
      <w:r>
        <w:rPr>
          <w:rFonts w:hint="eastAsia" w:ascii="宋体" w:hAnsi="宋体" w:eastAsia="宋体" w:cs="宋体"/>
          <w:color w:val="auto"/>
          <w:sz w:val="24"/>
          <w:highlight w:val="none"/>
        </w:rPr>
        <w:t>投标人</w:t>
      </w:r>
      <w:r>
        <w:rPr>
          <w:rFonts w:hint="eastAsia" w:ascii="宋体" w:hAnsi="宋体" w:eastAsia="宋体" w:cs="宋体"/>
          <w:color w:val="auto"/>
          <w:kern w:val="0"/>
          <w:sz w:val="24"/>
          <w:highlight w:val="none"/>
        </w:rPr>
        <w:t>的控股股东或者实际控制人；</w:t>
      </w:r>
    </w:p>
    <w:p>
      <w:pPr>
        <w:pageBreakBefore w:val="0"/>
        <w:kinsoku/>
        <w:wordWrap/>
        <w:overflowPunct/>
        <w:topLinePunct w:val="0"/>
        <w:bidi w:val="0"/>
        <w:adjustRightInd w:val="0"/>
        <w:spacing w:after="0" w:line="360" w:lineRule="auto"/>
        <w:ind w:left="1" w:firstLine="480" w:firstLineChars="20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（4）与</w:t>
      </w:r>
      <w:r>
        <w:rPr>
          <w:rFonts w:hint="eastAsia" w:ascii="宋体" w:hAnsi="宋体" w:eastAsia="宋体" w:cs="宋体"/>
          <w:color w:val="auto"/>
          <w:sz w:val="24"/>
          <w:highlight w:val="none"/>
        </w:rPr>
        <w:t>投标人</w:t>
      </w:r>
      <w:r>
        <w:rPr>
          <w:rFonts w:hint="eastAsia" w:ascii="宋体" w:hAnsi="宋体" w:eastAsia="宋体" w:cs="宋体"/>
          <w:color w:val="auto"/>
          <w:kern w:val="0"/>
          <w:sz w:val="24"/>
          <w:highlight w:val="none"/>
        </w:rPr>
        <w:t>的法定代表人或者负责人有夫妻、直系血亲、三代以内旁系血亲或者近姻亲关系；</w:t>
      </w:r>
    </w:p>
    <w:p>
      <w:pPr>
        <w:pageBreakBefore w:val="0"/>
        <w:kinsoku/>
        <w:wordWrap/>
        <w:overflowPunct/>
        <w:topLinePunct w:val="0"/>
        <w:bidi w:val="0"/>
        <w:adjustRightInd w:val="0"/>
        <w:spacing w:after="0" w:line="360" w:lineRule="auto"/>
        <w:ind w:left="1" w:firstLine="480" w:firstLineChars="20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（5）与</w:t>
      </w:r>
      <w:r>
        <w:rPr>
          <w:rFonts w:hint="eastAsia" w:ascii="宋体" w:hAnsi="宋体" w:eastAsia="宋体" w:cs="宋体"/>
          <w:color w:val="auto"/>
          <w:sz w:val="24"/>
          <w:highlight w:val="none"/>
        </w:rPr>
        <w:t>投标人</w:t>
      </w:r>
      <w:r>
        <w:rPr>
          <w:rFonts w:hint="eastAsia" w:ascii="宋体" w:hAnsi="宋体" w:eastAsia="宋体" w:cs="宋体"/>
          <w:color w:val="auto"/>
          <w:kern w:val="0"/>
          <w:sz w:val="24"/>
          <w:highlight w:val="none"/>
        </w:rPr>
        <w:t>有其他可能影响政府采购活动公平、公正进行的关系。</w:t>
      </w:r>
    </w:p>
    <w:p>
      <w:pPr>
        <w:pageBreakBefore w:val="0"/>
        <w:kinsoku/>
        <w:wordWrap/>
        <w:overflowPunct/>
        <w:topLinePunct w:val="0"/>
        <w:bidi w:val="0"/>
        <w:adjustRightInd w:val="0"/>
        <w:spacing w:after="0" w:line="360" w:lineRule="auto"/>
        <w:ind w:left="1" w:firstLine="480" w:firstLineChars="200"/>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5.8提供相同品牌产品处理。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w:t>
      </w:r>
    </w:p>
    <w:p>
      <w:pPr>
        <w:pageBreakBefore w:val="0"/>
        <w:kinsoku/>
        <w:wordWrap/>
        <w:overflowPunct/>
        <w:topLinePunct w:val="0"/>
        <w:bidi w:val="0"/>
        <w:adjustRightInd w:val="0"/>
        <w:spacing w:after="0" w:line="360" w:lineRule="auto"/>
        <w:ind w:left="1" w:firstLine="480" w:firstLineChars="200"/>
        <w:textAlignment w:val="baseline"/>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非单一产品采购项目中，多家供应商提供的部分或所有核心产品品牌相同的，视为提供相同品牌产品。</w:t>
      </w:r>
      <w:r>
        <w:rPr>
          <w:rFonts w:hint="eastAsia" w:ascii="宋体" w:hAnsi="宋体" w:eastAsia="宋体" w:cs="宋体"/>
          <w:b/>
          <w:bCs/>
          <w:color w:val="auto"/>
          <w:kern w:val="0"/>
          <w:sz w:val="24"/>
          <w:highlight w:val="none"/>
          <w:lang w:val="en-US" w:eastAsia="zh-CN"/>
        </w:rPr>
        <w:t>本项目核心产品为：挥发性有机物在线分析仪、氰化物在线分析仪、水中油在线分析仪、超纯水制备装置，多家供应商提供的核心产品品牌相同的，按前款规定处理。</w:t>
      </w:r>
    </w:p>
    <w:p>
      <w:pPr>
        <w:pageBreakBefore w:val="0"/>
        <w:kinsoku/>
        <w:wordWrap/>
        <w:overflowPunct/>
        <w:topLinePunct w:val="0"/>
        <w:bidi w:val="0"/>
        <w:adjustRightInd w:val="0"/>
        <w:spacing w:after="0" w:line="360" w:lineRule="auto"/>
        <w:ind w:left="1" w:firstLine="480" w:firstLineChars="200"/>
        <w:textAlignment w:val="baseline"/>
        <w:rPr>
          <w:rFonts w:hint="eastAsia" w:ascii="宋体" w:hAnsi="宋体" w:eastAsia="宋体" w:cs="宋体"/>
          <w:color w:val="auto"/>
          <w:kern w:val="0"/>
          <w:sz w:val="24"/>
          <w:highlight w:val="none"/>
        </w:rPr>
      </w:pPr>
    </w:p>
    <w:p>
      <w:pPr>
        <w:pageBreakBefore w:val="0"/>
        <w:kinsoku/>
        <w:wordWrap/>
        <w:overflowPunct/>
        <w:topLinePunct w:val="0"/>
        <w:bidi w:val="0"/>
        <w:adjustRightInd w:val="0"/>
        <w:spacing w:after="0" w:line="360" w:lineRule="auto"/>
        <w:ind w:left="1" w:firstLine="480" w:firstLineChars="20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标委员会成员。</w:t>
      </w:r>
    </w:p>
    <w:p>
      <w:pPr>
        <w:pStyle w:val="28"/>
        <w:pageBreakBefore w:val="0"/>
        <w:kinsoku/>
        <w:wordWrap/>
        <w:overflowPunct/>
        <w:topLinePunct w:val="0"/>
        <w:bidi w:val="0"/>
        <w:spacing w:after="0" w:line="360" w:lineRule="auto"/>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投标人认为采购人员及相关人员与其他投标人有利害关系的，可以向采购代理机构书面提出回避申请，并说明理由。采购代理机构将及时询问被申请回避人员，有利害关系的被申请回避人员应当回避。</w:t>
      </w:r>
    </w:p>
    <w:p>
      <w:pPr>
        <w:pStyle w:val="4"/>
        <w:pageBreakBefore w:val="0"/>
        <w:kinsoku/>
        <w:wordWrap/>
        <w:overflowPunct/>
        <w:topLinePunct w:val="0"/>
        <w:bidi w:val="0"/>
        <w:spacing w:before="0" w:after="0" w:line="360" w:lineRule="auto"/>
        <w:jc w:val="center"/>
        <w:rPr>
          <w:rFonts w:hint="eastAsia" w:ascii="宋体" w:hAnsi="宋体" w:eastAsia="宋体" w:cs="宋体"/>
          <w:bCs w:val="0"/>
          <w:color w:val="auto"/>
          <w:highlight w:val="none"/>
        </w:rPr>
      </w:pPr>
      <w:bookmarkStart w:id="41" w:name="_Toc217446038"/>
      <w:bookmarkStart w:id="42" w:name="_Toc183682346"/>
      <w:bookmarkStart w:id="43" w:name="_Toc89075875"/>
      <w:bookmarkStart w:id="44" w:name="_Toc183582209"/>
      <w:bookmarkStart w:id="45" w:name="_Toc77400779"/>
      <w:r>
        <w:rPr>
          <w:rFonts w:hint="eastAsia" w:ascii="宋体" w:hAnsi="宋体" w:eastAsia="宋体" w:cs="宋体"/>
          <w:bCs w:val="0"/>
          <w:color w:val="auto"/>
          <w:highlight w:val="none"/>
        </w:rPr>
        <w:t>三、招标文件</w:t>
      </w:r>
      <w:bookmarkEnd w:id="41"/>
      <w:bookmarkEnd w:id="42"/>
      <w:bookmarkEnd w:id="43"/>
      <w:bookmarkEnd w:id="44"/>
      <w:bookmarkEnd w:id="45"/>
    </w:p>
    <w:p>
      <w:pPr>
        <w:pStyle w:val="5"/>
        <w:pageBreakBefore w:val="0"/>
        <w:kinsoku/>
        <w:wordWrap/>
        <w:overflowPunct/>
        <w:topLinePunct w:val="0"/>
        <w:bidi w:val="0"/>
        <w:spacing w:before="0" w:after="0" w:line="360" w:lineRule="auto"/>
        <w:ind w:firstLine="482" w:firstLineChars="200"/>
        <w:rPr>
          <w:rFonts w:hint="eastAsia" w:ascii="宋体" w:hAnsi="宋体" w:eastAsia="宋体" w:cs="宋体"/>
          <w:color w:val="auto"/>
          <w:sz w:val="24"/>
          <w:highlight w:val="none"/>
        </w:rPr>
      </w:pPr>
      <w:bookmarkStart w:id="46" w:name="_Toc217446039"/>
      <w:bookmarkStart w:id="47" w:name="_Toc183582210"/>
      <w:bookmarkStart w:id="48" w:name="_Toc183682347"/>
      <w:r>
        <w:rPr>
          <w:rFonts w:hint="eastAsia" w:ascii="宋体" w:hAnsi="宋体" w:eastAsia="宋体" w:cs="宋体"/>
          <w:color w:val="auto"/>
          <w:sz w:val="24"/>
          <w:highlight w:val="none"/>
        </w:rPr>
        <w:t>6．招标文件的构成</w:t>
      </w:r>
      <w:bookmarkEnd w:id="46"/>
      <w:bookmarkEnd w:id="47"/>
      <w:bookmarkEnd w:id="48"/>
    </w:p>
    <w:p>
      <w:pPr>
        <w:pageBreakBefore w:val="0"/>
        <w:tabs>
          <w:tab w:val="left" w:pos="7665"/>
        </w:tabs>
        <w:kinsoku/>
        <w:wordWrap/>
        <w:overflowPunct/>
        <w:topLinePunct w:val="0"/>
        <w:bidi w:val="0"/>
        <w:spacing w:after="0" w:line="360" w:lineRule="auto"/>
        <w:ind w:firstLine="480" w:firstLineChars="200"/>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招标文件是</w:t>
      </w:r>
      <w:r>
        <w:rPr>
          <w:rFonts w:hint="eastAsia" w:ascii="宋体" w:hAnsi="宋体" w:eastAsia="宋体" w:cs="宋体"/>
          <w:color w:val="auto"/>
          <w:sz w:val="24"/>
          <w:highlight w:val="none"/>
        </w:rPr>
        <w:t>投标人</w:t>
      </w:r>
      <w:r>
        <w:rPr>
          <w:rFonts w:hint="eastAsia" w:ascii="宋体" w:hAnsi="宋体" w:eastAsia="宋体" w:cs="宋体"/>
          <w:color w:val="auto"/>
          <w:kern w:val="0"/>
          <w:sz w:val="24"/>
          <w:szCs w:val="22"/>
          <w:highlight w:val="none"/>
        </w:rPr>
        <w:t>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pageBreakBefore w:val="0"/>
        <w:tabs>
          <w:tab w:val="left" w:pos="720"/>
        </w:tabs>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szCs w:val="22"/>
          <w:highlight w:val="none"/>
        </w:rPr>
        <w:t>（一）投标</w:t>
      </w:r>
      <w:r>
        <w:rPr>
          <w:rFonts w:hint="eastAsia" w:ascii="宋体" w:hAnsi="宋体" w:eastAsia="宋体" w:cs="宋体"/>
          <w:color w:val="auto"/>
          <w:sz w:val="24"/>
          <w:highlight w:val="none"/>
        </w:rPr>
        <w:t>邀请；</w:t>
      </w:r>
    </w:p>
    <w:p>
      <w:pPr>
        <w:pageBreakBefore w:val="0"/>
        <w:tabs>
          <w:tab w:val="left" w:pos="720"/>
        </w:tabs>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（二）投标人须知；</w:t>
      </w:r>
    </w:p>
    <w:p>
      <w:pPr>
        <w:pageBreakBefore w:val="0"/>
        <w:tabs>
          <w:tab w:val="left" w:pos="720"/>
        </w:tabs>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（三）投标文件格式；</w:t>
      </w:r>
    </w:p>
    <w:p>
      <w:pPr>
        <w:pageBreakBefore w:val="0"/>
        <w:tabs>
          <w:tab w:val="left" w:pos="720"/>
        </w:tabs>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（四）投标人和投标产品的资格、资质性及其他类似效力要求；</w:t>
      </w:r>
    </w:p>
    <w:p>
      <w:pPr>
        <w:pageBreakBefore w:val="0"/>
        <w:tabs>
          <w:tab w:val="left" w:pos="720"/>
        </w:tabs>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（五）投标人应当提供的资格、资质性及其他类似效力要求的相关证明材料；</w:t>
      </w:r>
    </w:p>
    <w:p>
      <w:pPr>
        <w:pageBreakBefore w:val="0"/>
        <w:tabs>
          <w:tab w:val="left" w:pos="720"/>
        </w:tabs>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（六）招标项目技术、商务及其他要求；</w:t>
      </w:r>
    </w:p>
    <w:p>
      <w:pPr>
        <w:pageBreakBefore w:val="0"/>
        <w:tabs>
          <w:tab w:val="left" w:pos="720"/>
        </w:tabs>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（七）评标办法；</w:t>
      </w:r>
    </w:p>
    <w:p>
      <w:pPr>
        <w:pageBreakBefore w:val="0"/>
        <w:tabs>
          <w:tab w:val="left" w:pos="720"/>
        </w:tabs>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（八）政府采购合同（草案）。</w:t>
      </w:r>
    </w:p>
    <w:p>
      <w:pPr>
        <w:pStyle w:val="5"/>
        <w:pageBreakBefore w:val="0"/>
        <w:kinsoku/>
        <w:wordWrap/>
        <w:overflowPunct/>
        <w:topLinePunct w:val="0"/>
        <w:bidi w:val="0"/>
        <w:spacing w:before="0" w:after="0" w:line="360" w:lineRule="auto"/>
        <w:ind w:firstLine="482" w:firstLineChars="200"/>
        <w:rPr>
          <w:rFonts w:hint="eastAsia" w:ascii="宋体" w:hAnsi="宋体" w:eastAsia="宋体" w:cs="宋体"/>
          <w:color w:val="auto"/>
          <w:sz w:val="24"/>
          <w:highlight w:val="none"/>
        </w:rPr>
      </w:pPr>
      <w:bookmarkStart w:id="49" w:name="_Toc183682348"/>
      <w:bookmarkStart w:id="50" w:name="_Toc183582211"/>
      <w:bookmarkStart w:id="51" w:name="_Toc217446040"/>
      <w:r>
        <w:rPr>
          <w:rFonts w:hint="eastAsia" w:ascii="宋体" w:hAnsi="宋体" w:eastAsia="宋体" w:cs="宋体"/>
          <w:color w:val="auto"/>
          <w:sz w:val="24"/>
          <w:highlight w:val="none"/>
        </w:rPr>
        <w:t>7. 招标文件的澄清</w:t>
      </w:r>
      <w:bookmarkEnd w:id="49"/>
      <w:bookmarkEnd w:id="50"/>
      <w:r>
        <w:rPr>
          <w:rFonts w:hint="eastAsia" w:ascii="宋体" w:hAnsi="宋体" w:eastAsia="宋体" w:cs="宋体"/>
          <w:color w:val="auto"/>
          <w:sz w:val="24"/>
          <w:highlight w:val="none"/>
        </w:rPr>
        <w:t>和修改</w:t>
      </w:r>
      <w:bookmarkEnd w:id="51"/>
    </w:p>
    <w:p>
      <w:pPr>
        <w:pageBreakBefore w:val="0"/>
        <w:tabs>
          <w:tab w:val="left" w:pos="7665"/>
        </w:tabs>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7.1 招标采购单位可以依法对招标文件进行澄清或者修改。</w:t>
      </w:r>
    </w:p>
    <w:p>
      <w:pPr>
        <w:pageBreakBefore w:val="0"/>
        <w:tabs>
          <w:tab w:val="left" w:pos="7665"/>
        </w:tabs>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7.2 招标采购单位对已发出的招标文件进行澄清或者修改，在四川政府采购网上发布更正公告,同时通过政府采购云平台将澄清或者修改的内容告知所有在系统中成功获取招标文件的潜在投标人（投标人通过账号或CA证书登录云平台查看）。该澄清或者修改的内容为招标文件的组成部分，澄清或者修改的内容可能影响投标文件、资格预审申请文件编制的，采购人或者采购代理机构发布公告并书面通知投标人的时间，应当在投标截止时间至少15日前；不足上述时间的，应当顺延提交投标文件、资格预审申请文件的截止时间。</w:t>
      </w:r>
    </w:p>
    <w:p>
      <w:pPr>
        <w:pageBreakBefore w:val="0"/>
        <w:tabs>
          <w:tab w:val="left" w:pos="7665"/>
        </w:tabs>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7.3 投标人应于投标文件递交截止时间之前在四川政府采购网查询本项目的更正公告，以保证其对招标文件做出正确的响应。投标人未按要求下载相关文件，或由于未及时关注更正公告的信息造成的后果，其责任由投标人自行负责。</w:t>
      </w:r>
    </w:p>
    <w:p>
      <w:pPr>
        <w:pageBreakBefore w:val="0"/>
        <w:tabs>
          <w:tab w:val="left" w:pos="7665"/>
        </w:tabs>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7.4 投标人认为需要对招标文件进行澄清或者修改的，可以以书面形式向招标采购单位提出申请，但招标采购单位可以决定是否采纳投标人的申请事项。</w:t>
      </w:r>
    </w:p>
    <w:p>
      <w:pPr>
        <w:pStyle w:val="5"/>
        <w:pageBreakBefore w:val="0"/>
        <w:kinsoku/>
        <w:wordWrap/>
        <w:overflowPunct/>
        <w:topLinePunct w:val="0"/>
        <w:bidi w:val="0"/>
        <w:spacing w:before="0" w:after="0" w:line="360" w:lineRule="auto"/>
        <w:ind w:firstLine="482" w:firstLineChars="200"/>
        <w:rPr>
          <w:rFonts w:hint="eastAsia" w:ascii="宋体" w:hAnsi="宋体" w:eastAsia="宋体" w:cs="宋体"/>
          <w:color w:val="auto"/>
          <w:sz w:val="24"/>
          <w:highlight w:val="none"/>
        </w:rPr>
      </w:pPr>
      <w:bookmarkStart w:id="52" w:name="_Toc217446041"/>
      <w:bookmarkStart w:id="53" w:name="_Toc208848971"/>
      <w:r>
        <w:rPr>
          <w:rFonts w:hint="eastAsia" w:ascii="宋体" w:hAnsi="宋体" w:eastAsia="宋体" w:cs="宋体"/>
          <w:color w:val="auto"/>
          <w:sz w:val="24"/>
          <w:highlight w:val="none"/>
        </w:rPr>
        <w:t>8. 答疑会和现场考察</w:t>
      </w:r>
      <w:bookmarkEnd w:id="52"/>
      <w:bookmarkEnd w:id="53"/>
    </w:p>
    <w:p>
      <w:pPr>
        <w:pageBreakBefore w:val="0"/>
        <w:tabs>
          <w:tab w:val="left" w:pos="7665"/>
        </w:tabs>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现场考察或标前答疑会时间：本项目不组织。</w:t>
      </w:r>
    </w:p>
    <w:p>
      <w:pPr>
        <w:pageBreakBefore w:val="0"/>
        <w:tabs>
          <w:tab w:val="left" w:pos="7665"/>
        </w:tabs>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现场考察或标前答疑会地点：本项目不组织。</w:t>
      </w:r>
      <w:bookmarkEnd w:id="40"/>
      <w:bookmarkStart w:id="54" w:name="PO_默认文件内容_18"/>
    </w:p>
    <w:p>
      <w:pPr>
        <w:pStyle w:val="4"/>
        <w:pageBreakBefore w:val="0"/>
        <w:kinsoku/>
        <w:wordWrap/>
        <w:overflowPunct/>
        <w:topLinePunct w:val="0"/>
        <w:bidi w:val="0"/>
        <w:spacing w:before="0" w:after="0" w:line="360" w:lineRule="auto"/>
        <w:jc w:val="center"/>
        <w:rPr>
          <w:rFonts w:hint="eastAsia" w:ascii="宋体" w:hAnsi="宋体" w:eastAsia="宋体" w:cs="宋体"/>
          <w:bCs w:val="0"/>
          <w:color w:val="auto"/>
          <w:highlight w:val="none"/>
        </w:rPr>
      </w:pPr>
      <w:bookmarkStart w:id="55" w:name="_Toc89075876"/>
      <w:bookmarkStart w:id="56" w:name="_Toc77400780"/>
      <w:bookmarkStart w:id="57" w:name="_Toc183682351"/>
      <w:bookmarkStart w:id="58" w:name="_Toc217446042"/>
      <w:bookmarkStart w:id="59" w:name="_Toc183582214"/>
      <w:r>
        <w:rPr>
          <w:rFonts w:hint="eastAsia" w:ascii="宋体" w:hAnsi="宋体" w:eastAsia="宋体" w:cs="宋体"/>
          <w:bCs w:val="0"/>
          <w:color w:val="auto"/>
          <w:highlight w:val="none"/>
        </w:rPr>
        <w:t>四、投标文件</w:t>
      </w:r>
      <w:bookmarkEnd w:id="55"/>
      <w:bookmarkEnd w:id="56"/>
      <w:bookmarkEnd w:id="57"/>
      <w:bookmarkEnd w:id="58"/>
      <w:bookmarkEnd w:id="59"/>
    </w:p>
    <w:p>
      <w:pPr>
        <w:pStyle w:val="5"/>
        <w:pageBreakBefore w:val="0"/>
        <w:kinsoku/>
        <w:wordWrap/>
        <w:overflowPunct/>
        <w:topLinePunct w:val="0"/>
        <w:bidi w:val="0"/>
        <w:spacing w:before="0" w:after="0" w:line="360" w:lineRule="auto"/>
        <w:ind w:firstLine="482" w:firstLineChars="200"/>
        <w:rPr>
          <w:rFonts w:hint="eastAsia" w:ascii="宋体" w:hAnsi="宋体" w:eastAsia="宋体" w:cs="宋体"/>
          <w:bCs w:val="0"/>
          <w:color w:val="auto"/>
          <w:sz w:val="24"/>
          <w:highlight w:val="none"/>
        </w:rPr>
      </w:pPr>
      <w:bookmarkStart w:id="60" w:name="_Toc217446043"/>
      <w:bookmarkStart w:id="61" w:name="_Toc183682352"/>
      <w:bookmarkStart w:id="62" w:name="_Toc183582215"/>
      <w:r>
        <w:rPr>
          <w:rFonts w:hint="eastAsia" w:ascii="宋体" w:hAnsi="宋体" w:eastAsia="宋体" w:cs="宋体"/>
          <w:bCs w:val="0"/>
          <w:color w:val="auto"/>
          <w:sz w:val="24"/>
          <w:highlight w:val="none"/>
        </w:rPr>
        <w:t>9．投标文件的语言</w:t>
      </w:r>
      <w:bookmarkEnd w:id="60"/>
      <w:bookmarkEnd w:id="61"/>
      <w:bookmarkEnd w:id="62"/>
      <w:r>
        <w:rPr>
          <w:rFonts w:hint="eastAsia" w:ascii="宋体" w:hAnsi="宋体" w:eastAsia="宋体" w:cs="宋体"/>
          <w:color w:val="auto"/>
          <w:sz w:val="24"/>
          <w:szCs w:val="24"/>
          <w:highlight w:val="none"/>
        </w:rPr>
        <w:t>（实质性要求）</w:t>
      </w:r>
    </w:p>
    <w:p>
      <w:pPr>
        <w:pageBreakBefore w:val="0"/>
        <w:tabs>
          <w:tab w:val="left" w:pos="1134"/>
        </w:tabs>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rPr>
      </w:pPr>
      <w:bookmarkStart w:id="63" w:name="_Toc183682353"/>
      <w:bookmarkStart w:id="64" w:name="_Toc183582216"/>
      <w:bookmarkStart w:id="65" w:name="_Toc217446044"/>
      <w:r>
        <w:rPr>
          <w:rFonts w:hint="eastAsia" w:ascii="宋体" w:hAnsi="宋体" w:eastAsia="宋体" w:cs="宋体"/>
          <w:color w:val="auto"/>
          <w:sz w:val="24"/>
          <w:highlight w:val="none"/>
        </w:rPr>
        <w:t>9.1 投标人提交的投标文件以及投标人与招标采购单位就有关投标的所有来往书面文件均须使用中文。投标文件中如附有外文资料，主要部分对应翻译成中文并加盖投标人公章后附在相关外文资料后面。</w:t>
      </w:r>
    </w:p>
    <w:p>
      <w:pPr>
        <w:pageBreakBefore w:val="0"/>
        <w:tabs>
          <w:tab w:val="left" w:pos="1134"/>
        </w:tabs>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9.2 翻译的中文资料与外文资料如果出现差异和矛盾时，以中文为准。涉嫌虚假响应的按照相关法律法规处理。</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9.3 如因未翻译而造成的废标，由投标人承担。</w:t>
      </w:r>
    </w:p>
    <w:p>
      <w:pPr>
        <w:pStyle w:val="5"/>
        <w:pageBreakBefore w:val="0"/>
        <w:kinsoku/>
        <w:wordWrap/>
        <w:overflowPunct/>
        <w:topLinePunct w:val="0"/>
        <w:bidi w:val="0"/>
        <w:spacing w:before="0" w:after="0"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10．计量单位</w:t>
      </w:r>
      <w:bookmarkEnd w:id="63"/>
      <w:bookmarkEnd w:id="64"/>
      <w:bookmarkEnd w:id="65"/>
      <w:r>
        <w:rPr>
          <w:rFonts w:hint="eastAsia" w:ascii="宋体" w:hAnsi="宋体" w:eastAsia="宋体" w:cs="宋体"/>
          <w:color w:val="auto"/>
          <w:sz w:val="24"/>
          <w:szCs w:val="24"/>
          <w:highlight w:val="none"/>
        </w:rPr>
        <w:t>（实质性要求）</w:t>
      </w:r>
    </w:p>
    <w:p>
      <w:pPr>
        <w:pageBreakBefore w:val="0"/>
        <w:kinsoku/>
        <w:wordWrap/>
        <w:overflowPunct/>
        <w:topLinePunct w:val="0"/>
        <w:bidi w:val="0"/>
        <w:spacing w:after="0"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除招标文件中另有规定外，本次采购项目所有合同项下的投标均采用国家法定的计量单位。</w:t>
      </w:r>
    </w:p>
    <w:p>
      <w:pPr>
        <w:pStyle w:val="5"/>
        <w:pageBreakBefore w:val="0"/>
        <w:kinsoku/>
        <w:wordWrap/>
        <w:overflowPunct/>
        <w:topLinePunct w:val="0"/>
        <w:bidi w:val="0"/>
        <w:spacing w:before="0" w:after="0" w:line="360" w:lineRule="auto"/>
        <w:ind w:firstLine="482" w:firstLineChars="200"/>
        <w:rPr>
          <w:rFonts w:hint="eastAsia" w:ascii="宋体" w:hAnsi="宋体" w:eastAsia="宋体" w:cs="宋体"/>
          <w:color w:val="auto"/>
          <w:sz w:val="24"/>
          <w:highlight w:val="none"/>
        </w:rPr>
      </w:pPr>
      <w:bookmarkStart w:id="66" w:name="_Toc217446045"/>
      <w:r>
        <w:rPr>
          <w:rFonts w:hint="eastAsia" w:ascii="宋体" w:hAnsi="宋体" w:eastAsia="宋体" w:cs="宋体"/>
          <w:color w:val="auto"/>
          <w:sz w:val="24"/>
          <w:highlight w:val="none"/>
        </w:rPr>
        <w:t>11. 投标货币</w:t>
      </w:r>
      <w:bookmarkEnd w:id="66"/>
      <w:r>
        <w:rPr>
          <w:rFonts w:hint="eastAsia" w:ascii="宋体" w:hAnsi="宋体" w:eastAsia="宋体" w:cs="宋体"/>
          <w:color w:val="auto"/>
          <w:sz w:val="24"/>
          <w:highlight w:val="none"/>
        </w:rPr>
        <w:t>（实质性要求）</w:t>
      </w:r>
    </w:p>
    <w:p>
      <w:pPr>
        <w:pageBreakBefore w:val="0"/>
        <w:kinsoku/>
        <w:wordWrap/>
        <w:overflowPunct/>
        <w:topLinePunct w:val="0"/>
        <w:bidi w:val="0"/>
        <w:spacing w:after="0"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本次招标项目的投标均以人民币报价。</w:t>
      </w:r>
    </w:p>
    <w:p>
      <w:pPr>
        <w:pStyle w:val="5"/>
        <w:pageBreakBefore w:val="0"/>
        <w:kinsoku/>
        <w:wordWrap/>
        <w:overflowPunct/>
        <w:topLinePunct w:val="0"/>
        <w:bidi w:val="0"/>
        <w:spacing w:before="0" w:after="0" w:line="360" w:lineRule="auto"/>
        <w:ind w:firstLine="482" w:firstLineChars="200"/>
        <w:rPr>
          <w:rFonts w:hint="eastAsia" w:ascii="宋体" w:hAnsi="宋体" w:eastAsia="宋体" w:cs="宋体"/>
          <w:color w:val="auto"/>
          <w:sz w:val="24"/>
          <w:highlight w:val="none"/>
        </w:rPr>
      </w:pPr>
      <w:bookmarkStart w:id="67" w:name="_Toc217446046"/>
      <w:r>
        <w:rPr>
          <w:rFonts w:hint="eastAsia" w:ascii="宋体" w:hAnsi="宋体" w:eastAsia="宋体" w:cs="宋体"/>
          <w:color w:val="auto"/>
          <w:sz w:val="24"/>
          <w:highlight w:val="none"/>
        </w:rPr>
        <w:t>12. 联合体投标</w:t>
      </w:r>
      <w:bookmarkEnd w:id="67"/>
    </w:p>
    <w:p>
      <w:pPr>
        <w:pageBreakBefore w:val="0"/>
        <w:kinsoku/>
        <w:wordWrap/>
        <w:overflowPunct/>
        <w:topLinePunct w:val="0"/>
        <w:bidi w:val="0"/>
        <w:spacing w:after="0" w:line="360" w:lineRule="auto"/>
        <w:ind w:firstLine="470" w:firstLineChars="196"/>
        <w:rPr>
          <w:rFonts w:hint="eastAsia" w:ascii="宋体" w:hAnsi="宋体" w:eastAsia="宋体" w:cs="宋体"/>
          <w:color w:val="auto"/>
          <w:sz w:val="24"/>
          <w:highlight w:val="none"/>
        </w:rPr>
      </w:pPr>
      <w:bookmarkStart w:id="68" w:name="_Toc217446047"/>
      <w:r>
        <w:rPr>
          <w:rFonts w:hint="eastAsia" w:ascii="宋体" w:hAnsi="宋体" w:eastAsia="宋体" w:cs="宋体"/>
          <w:color w:val="auto"/>
          <w:sz w:val="24"/>
          <w:highlight w:val="none"/>
        </w:rPr>
        <w:t>本项目不接受联合体投标。</w:t>
      </w:r>
    </w:p>
    <w:p>
      <w:pPr>
        <w:pStyle w:val="5"/>
        <w:pageBreakBefore w:val="0"/>
        <w:kinsoku/>
        <w:wordWrap/>
        <w:overflowPunct/>
        <w:topLinePunct w:val="0"/>
        <w:bidi w:val="0"/>
        <w:spacing w:before="0" w:after="0" w:line="360" w:lineRule="auto"/>
        <w:ind w:firstLine="482" w:firstLineChars="200"/>
        <w:rPr>
          <w:rFonts w:hint="eastAsia" w:ascii="宋体" w:hAnsi="宋体" w:eastAsia="宋体" w:cs="宋体"/>
          <w:color w:val="auto"/>
          <w:sz w:val="24"/>
          <w:highlight w:val="none"/>
        </w:rPr>
      </w:pPr>
      <w:bookmarkStart w:id="69" w:name="_Toc308164797"/>
      <w:r>
        <w:rPr>
          <w:rFonts w:hint="eastAsia" w:ascii="宋体" w:hAnsi="宋体" w:eastAsia="宋体" w:cs="宋体"/>
          <w:color w:val="auto"/>
          <w:sz w:val="24"/>
          <w:highlight w:val="none"/>
        </w:rPr>
        <w:t>13. 知识产权</w:t>
      </w:r>
      <w:bookmarkEnd w:id="68"/>
      <w:bookmarkEnd w:id="69"/>
      <w:r>
        <w:rPr>
          <w:rFonts w:hint="eastAsia" w:ascii="宋体" w:hAnsi="宋体" w:eastAsia="宋体" w:cs="宋体"/>
          <w:color w:val="auto"/>
          <w:sz w:val="24"/>
          <w:highlight w:val="none"/>
        </w:rPr>
        <w:t>（实质性要求）</w:t>
      </w:r>
    </w:p>
    <w:p>
      <w:pPr>
        <w:pStyle w:val="10"/>
        <w:pageBreakBefore w:val="0"/>
        <w:kinsoku/>
        <w:wordWrap/>
        <w:overflowPunct/>
        <w:topLinePunct w:val="0"/>
        <w:bidi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0"/>
        <w:pageBreakBefore w:val="0"/>
        <w:kinsoku/>
        <w:wordWrap/>
        <w:overflowPunct/>
        <w:topLinePunct w:val="0"/>
        <w:bidi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采购人享有本项目实施过程中产生的知识成果及知识产权和所有权。</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 投标人如欲在项目实施过程中采用自有知识成果，投标人需提供开发接口和开发手册等技术文档，并承诺提供无限期技术支持，采购人享有永久使用权（含采购人委托第三方在该项目后续开发的使用权）。</w:t>
      </w:r>
    </w:p>
    <w:p>
      <w:pPr>
        <w:pageBreakBefore w:val="0"/>
        <w:kinsoku/>
        <w:wordWrap/>
        <w:overflowPunct/>
        <w:topLinePunct w:val="0"/>
        <w:bidi w:val="0"/>
        <w:spacing w:after="0"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13.4 如采用投标人所不拥有的知识产权，则在投标报价中必须包括合法获取该知识产权的相关费用。 </w:t>
      </w:r>
    </w:p>
    <w:p>
      <w:pPr>
        <w:pStyle w:val="5"/>
        <w:pageBreakBefore w:val="0"/>
        <w:kinsoku/>
        <w:wordWrap/>
        <w:overflowPunct/>
        <w:topLinePunct w:val="0"/>
        <w:bidi w:val="0"/>
        <w:spacing w:before="0" w:after="0" w:line="360" w:lineRule="auto"/>
        <w:ind w:firstLine="482" w:firstLineChars="200"/>
        <w:rPr>
          <w:rFonts w:hint="eastAsia" w:ascii="宋体" w:hAnsi="宋体" w:eastAsia="宋体" w:cs="宋体"/>
          <w:color w:val="auto"/>
          <w:sz w:val="24"/>
          <w:highlight w:val="none"/>
        </w:rPr>
      </w:pPr>
      <w:bookmarkStart w:id="70" w:name="_Toc183582217"/>
      <w:bookmarkStart w:id="71" w:name="_Toc217446048"/>
      <w:bookmarkStart w:id="72" w:name="_Toc183682354"/>
      <w:bookmarkStart w:id="73" w:name="_Toc308164798"/>
      <w:r>
        <w:rPr>
          <w:rFonts w:hint="eastAsia" w:ascii="宋体" w:hAnsi="宋体" w:eastAsia="宋体" w:cs="宋体"/>
          <w:color w:val="auto"/>
          <w:sz w:val="24"/>
          <w:highlight w:val="none"/>
        </w:rPr>
        <w:t>14．投标文件的组成</w:t>
      </w:r>
      <w:bookmarkEnd w:id="70"/>
      <w:bookmarkEnd w:id="71"/>
      <w:bookmarkEnd w:id="72"/>
      <w:bookmarkEnd w:id="73"/>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投标人应按照招标文件的规定和要求编制投标文件。投标人编写的投标文件应至少包括下列两部分文件：</w:t>
      </w:r>
    </w:p>
    <w:p>
      <w:pPr>
        <w:pageBreakBefore w:val="0"/>
        <w:kinsoku/>
        <w:wordWrap/>
        <w:overflowPunct/>
        <w:topLinePunct w:val="0"/>
        <w:bidi w:val="0"/>
        <w:spacing w:after="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文件一：资格性投标文件</w:t>
      </w:r>
    </w:p>
    <w:p>
      <w:pPr>
        <w:pageBreakBefore w:val="0"/>
        <w:kinsoku/>
        <w:wordWrap/>
        <w:overflowPunct/>
        <w:topLinePunct w:val="0"/>
        <w:bidi w:val="0"/>
        <w:spacing w:after="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一、法定代表人/单位负责人授权书</w:t>
      </w:r>
    </w:p>
    <w:p>
      <w:pPr>
        <w:pageBreakBefore w:val="0"/>
        <w:kinsoku/>
        <w:wordWrap/>
        <w:overflowPunct/>
        <w:topLinePunct w:val="0"/>
        <w:bidi w:val="0"/>
        <w:spacing w:after="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法定代表人/单位负责人身份证明书</w:t>
      </w:r>
    </w:p>
    <w:p>
      <w:pPr>
        <w:pageBreakBefore w:val="0"/>
        <w:kinsoku/>
        <w:wordWrap/>
        <w:overflowPunct/>
        <w:topLinePunct w:val="0"/>
        <w:bidi w:val="0"/>
        <w:spacing w:after="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二、承诺函</w:t>
      </w:r>
    </w:p>
    <w:p>
      <w:pPr>
        <w:pageBreakBefore w:val="0"/>
        <w:kinsoku/>
        <w:wordWrap/>
        <w:overflowPunct/>
        <w:topLinePunct w:val="0"/>
        <w:bidi w:val="0"/>
        <w:spacing w:after="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三、投标人和投标产品其他资格、资质性及其他类似效力要求的相关证明材料</w:t>
      </w:r>
    </w:p>
    <w:p>
      <w:pPr>
        <w:pageBreakBefore w:val="0"/>
        <w:kinsoku/>
        <w:wordWrap/>
        <w:overflowPunct/>
        <w:topLinePunct w:val="0"/>
        <w:bidi w:val="0"/>
        <w:spacing w:after="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四、投标人单位及其现任法定代表人、主要负责人不得具有行贿犯罪记录承诺函</w:t>
      </w:r>
    </w:p>
    <w:p>
      <w:pPr>
        <w:pageBreakBefore w:val="0"/>
        <w:kinsoku/>
        <w:wordWrap/>
        <w:overflowPunct/>
        <w:topLinePunct w:val="0"/>
        <w:bidi w:val="0"/>
        <w:spacing w:after="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五、法律、行政法规规定的其他条件承诺函</w:t>
      </w:r>
    </w:p>
    <w:p>
      <w:pPr>
        <w:pageBreakBefore w:val="0"/>
        <w:kinsoku/>
        <w:wordWrap/>
        <w:overflowPunct/>
        <w:topLinePunct w:val="0"/>
        <w:bidi w:val="0"/>
        <w:spacing w:after="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文件二：其他响应性投标文件</w:t>
      </w:r>
    </w:p>
    <w:p>
      <w:pPr>
        <w:pageBreakBefore w:val="0"/>
        <w:kinsoku/>
        <w:wordWrap/>
        <w:overflowPunct/>
        <w:topLinePunct w:val="0"/>
        <w:bidi w:val="0"/>
        <w:spacing w:after="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一、投 标 函</w:t>
      </w:r>
    </w:p>
    <w:p>
      <w:pPr>
        <w:pageBreakBefore w:val="0"/>
        <w:kinsoku/>
        <w:wordWrap/>
        <w:overflowPunct/>
        <w:topLinePunct w:val="0"/>
        <w:bidi w:val="0"/>
        <w:spacing w:after="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二、开标一览表</w:t>
      </w:r>
    </w:p>
    <w:p>
      <w:pPr>
        <w:pageBreakBefore w:val="0"/>
        <w:kinsoku/>
        <w:wordWrap/>
        <w:overflowPunct/>
        <w:topLinePunct w:val="0"/>
        <w:bidi w:val="0"/>
        <w:spacing w:after="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三、分项报价明细表</w:t>
      </w:r>
    </w:p>
    <w:p>
      <w:pPr>
        <w:pageBreakBefore w:val="0"/>
        <w:kinsoku/>
        <w:wordWrap/>
        <w:overflowPunct/>
        <w:topLinePunct w:val="0"/>
        <w:bidi w:val="0"/>
        <w:spacing w:after="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四、技术参数、服务要求应答表</w:t>
      </w:r>
    </w:p>
    <w:p>
      <w:pPr>
        <w:pageBreakBefore w:val="0"/>
        <w:kinsoku/>
        <w:wordWrap/>
        <w:overflowPunct/>
        <w:topLinePunct w:val="0"/>
        <w:bidi w:val="0"/>
        <w:spacing w:after="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五、商务应答表</w:t>
      </w:r>
    </w:p>
    <w:p>
      <w:pPr>
        <w:pageBreakBefore w:val="0"/>
        <w:kinsoku/>
        <w:wordWrap/>
        <w:overflowPunct/>
        <w:topLinePunct w:val="0"/>
        <w:bidi w:val="0"/>
        <w:spacing w:after="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六、商务、技术、服务应答附表</w:t>
      </w:r>
    </w:p>
    <w:p>
      <w:pPr>
        <w:pageBreakBefore w:val="0"/>
        <w:kinsoku/>
        <w:wordWrap/>
        <w:overflowPunct/>
        <w:topLinePunct w:val="0"/>
        <w:bidi w:val="0"/>
        <w:spacing w:after="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七、投标人基本情况表</w:t>
      </w:r>
    </w:p>
    <w:p>
      <w:pPr>
        <w:pageBreakBefore w:val="0"/>
        <w:kinsoku/>
        <w:wordWrap/>
        <w:overflowPunct/>
        <w:topLinePunct w:val="0"/>
        <w:bidi w:val="0"/>
        <w:spacing w:after="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八、实施方案</w:t>
      </w:r>
    </w:p>
    <w:p>
      <w:pPr>
        <w:pageBreakBefore w:val="0"/>
        <w:kinsoku/>
        <w:wordWrap/>
        <w:overflowPunct/>
        <w:topLinePunct w:val="0"/>
        <w:bidi w:val="0"/>
        <w:spacing w:after="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九、知识产权声明函</w:t>
      </w:r>
    </w:p>
    <w:p>
      <w:pPr>
        <w:pageBreakBefore w:val="0"/>
        <w:kinsoku/>
        <w:wordWrap/>
        <w:overflowPunct/>
        <w:topLinePunct w:val="0"/>
        <w:bidi w:val="0"/>
        <w:spacing w:after="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十、实质性承诺函</w:t>
      </w:r>
    </w:p>
    <w:p>
      <w:pPr>
        <w:pageBreakBefore w:val="0"/>
        <w:kinsoku/>
        <w:wordWrap/>
        <w:overflowPunct/>
        <w:topLinePunct w:val="0"/>
        <w:bidi w:val="0"/>
        <w:spacing w:after="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十一、投标人按照招标文件要求作出的其他应答和承诺</w:t>
      </w:r>
    </w:p>
    <w:p>
      <w:pPr>
        <w:pageBreakBefore w:val="0"/>
        <w:kinsoku/>
        <w:wordWrap/>
        <w:overflowPunct/>
        <w:topLinePunct w:val="0"/>
        <w:bidi w:val="0"/>
        <w:spacing w:after="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十二、中小企业声明函</w:t>
      </w:r>
    </w:p>
    <w:p>
      <w:pPr>
        <w:pageBreakBefore w:val="0"/>
        <w:kinsoku/>
        <w:wordWrap/>
        <w:overflowPunct/>
        <w:topLinePunct w:val="0"/>
        <w:bidi w:val="0"/>
        <w:spacing w:after="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十三、残疾人福利性单位声明函</w:t>
      </w:r>
    </w:p>
    <w:p>
      <w:pPr>
        <w:pageBreakBefore w:val="0"/>
        <w:kinsoku/>
        <w:wordWrap/>
        <w:overflowPunct/>
        <w:topLinePunct w:val="0"/>
        <w:bidi w:val="0"/>
        <w:spacing w:after="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十四、监狱企业声明函</w:t>
      </w:r>
    </w:p>
    <w:p>
      <w:pPr>
        <w:pageBreakBefore w:val="0"/>
        <w:kinsoku/>
        <w:wordWrap/>
        <w:overflowPunct/>
        <w:topLinePunct w:val="0"/>
        <w:bidi w:val="0"/>
        <w:spacing w:after="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十五、承诺函</w:t>
      </w:r>
    </w:p>
    <w:p>
      <w:pPr>
        <w:pStyle w:val="5"/>
        <w:pageBreakBefore w:val="0"/>
        <w:tabs>
          <w:tab w:val="left" w:pos="3480"/>
        </w:tabs>
        <w:kinsoku/>
        <w:wordWrap/>
        <w:overflowPunct/>
        <w:topLinePunct w:val="0"/>
        <w:bidi w:val="0"/>
        <w:spacing w:before="0" w:after="0" w:line="360" w:lineRule="auto"/>
        <w:ind w:firstLine="482" w:firstLineChars="200"/>
        <w:rPr>
          <w:rFonts w:hint="eastAsia" w:ascii="宋体" w:hAnsi="宋体" w:eastAsia="宋体" w:cs="宋体"/>
          <w:color w:val="auto"/>
          <w:sz w:val="24"/>
          <w:highlight w:val="none"/>
        </w:rPr>
      </w:pPr>
      <w:bookmarkStart w:id="74" w:name="_Toc183582218"/>
      <w:bookmarkStart w:id="75" w:name="_Toc308164799"/>
      <w:bookmarkStart w:id="76" w:name="_Toc183682355"/>
      <w:bookmarkStart w:id="77" w:name="_Toc217446049"/>
      <w:r>
        <w:rPr>
          <w:rFonts w:hint="eastAsia" w:ascii="宋体" w:hAnsi="宋体" w:eastAsia="宋体" w:cs="宋体"/>
          <w:color w:val="auto"/>
          <w:sz w:val="24"/>
          <w:highlight w:val="none"/>
        </w:rPr>
        <w:t>15．投标文件格式</w:t>
      </w:r>
      <w:bookmarkEnd w:id="74"/>
      <w:bookmarkEnd w:id="75"/>
      <w:bookmarkEnd w:id="76"/>
      <w:bookmarkEnd w:id="77"/>
    </w:p>
    <w:p>
      <w:pPr>
        <w:pageBreakBefore w:val="0"/>
        <w:tabs>
          <w:tab w:val="left" w:pos="7665"/>
        </w:tabs>
        <w:kinsoku/>
        <w:wordWrap/>
        <w:overflowPunct/>
        <w:topLinePunct w:val="0"/>
        <w:bidi w:val="0"/>
        <w:spacing w:after="0" w:line="360" w:lineRule="auto"/>
        <w:ind w:left="13" w:leftChars="6"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15.1 投标人应执行招标文件第三章的规定要求。第三章格式中“注”的内容，投标人可自行决定是否保留在投标文件中，未保留的视为投标人默认接受“注”的内容。</w:t>
      </w:r>
    </w:p>
    <w:p>
      <w:pPr>
        <w:pageBreakBefore w:val="0"/>
        <w:tabs>
          <w:tab w:val="left" w:pos="7665"/>
        </w:tabs>
        <w:kinsoku/>
        <w:wordWrap/>
        <w:overflowPunct/>
        <w:topLinePunct w:val="0"/>
        <w:bidi w:val="0"/>
        <w:spacing w:after="0" w:line="360" w:lineRule="auto"/>
        <w:ind w:left="13" w:leftChars="6"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 对于没有格式要求的投标文件由投标人自行编写。</w:t>
      </w:r>
    </w:p>
    <w:p>
      <w:pPr>
        <w:pStyle w:val="5"/>
        <w:pageBreakBefore w:val="0"/>
        <w:kinsoku/>
        <w:wordWrap/>
        <w:overflowPunct/>
        <w:topLinePunct w:val="0"/>
        <w:bidi w:val="0"/>
        <w:spacing w:before="0" w:after="0" w:line="360" w:lineRule="auto"/>
        <w:ind w:firstLine="482" w:firstLineChars="200"/>
        <w:rPr>
          <w:rFonts w:hint="eastAsia" w:ascii="宋体" w:hAnsi="宋体" w:eastAsia="宋体" w:cs="宋体"/>
          <w:color w:val="auto"/>
          <w:sz w:val="24"/>
          <w:highlight w:val="none"/>
        </w:rPr>
      </w:pPr>
      <w:bookmarkStart w:id="78" w:name="_Toc217446050"/>
      <w:bookmarkStart w:id="79" w:name="_Toc183582223"/>
      <w:bookmarkStart w:id="80" w:name="_Toc308164800"/>
      <w:bookmarkStart w:id="81" w:name="_Toc183682360"/>
      <w:r>
        <w:rPr>
          <w:rFonts w:hint="eastAsia" w:ascii="宋体" w:hAnsi="宋体" w:eastAsia="宋体" w:cs="宋体"/>
          <w:bCs w:val="0"/>
          <w:color w:val="auto"/>
          <w:sz w:val="24"/>
          <w:highlight w:val="none"/>
        </w:rPr>
        <w:t>16．投标保证金</w:t>
      </w:r>
      <w:bookmarkEnd w:id="78"/>
      <w:bookmarkEnd w:id="79"/>
      <w:bookmarkEnd w:id="80"/>
      <w:bookmarkEnd w:id="81"/>
      <w:bookmarkStart w:id="82" w:name="_Toc183582224"/>
      <w:bookmarkStart w:id="83" w:name="_Toc217446051"/>
      <w:bookmarkStart w:id="84" w:name="_Toc183682361"/>
      <w:bookmarkStart w:id="85" w:name="_Toc308164801"/>
    </w:p>
    <w:p>
      <w:pPr>
        <w:pStyle w:val="5"/>
        <w:pageBreakBefore w:val="0"/>
        <w:kinsoku/>
        <w:wordWrap/>
        <w:overflowPunct/>
        <w:topLinePunct w:val="0"/>
        <w:bidi w:val="0"/>
        <w:spacing w:before="0"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rPr>
        <w:t>本项目不缴纳</w:t>
      </w:r>
    </w:p>
    <w:p>
      <w:pPr>
        <w:pStyle w:val="5"/>
        <w:pageBreakBefore w:val="0"/>
        <w:kinsoku/>
        <w:wordWrap/>
        <w:overflowPunct/>
        <w:topLinePunct w:val="0"/>
        <w:bidi w:val="0"/>
        <w:spacing w:before="0" w:after="0"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17．投标有效期</w:t>
      </w:r>
      <w:bookmarkEnd w:id="82"/>
      <w:bookmarkEnd w:id="83"/>
      <w:bookmarkEnd w:id="84"/>
      <w:bookmarkEnd w:id="85"/>
      <w:r>
        <w:rPr>
          <w:rFonts w:hint="eastAsia" w:ascii="宋体" w:hAnsi="宋体" w:eastAsia="宋体" w:cs="宋体"/>
          <w:color w:val="auto"/>
          <w:sz w:val="24"/>
          <w:highlight w:val="none"/>
        </w:rPr>
        <w:t>（实质性要求）</w:t>
      </w:r>
    </w:p>
    <w:p>
      <w:pPr>
        <w:pageBreakBefore w:val="0"/>
        <w:tabs>
          <w:tab w:val="left" w:pos="7665"/>
        </w:tabs>
        <w:kinsoku/>
        <w:wordWrap/>
        <w:overflowPunct/>
        <w:topLinePunct w:val="0"/>
        <w:bidi w:val="0"/>
        <w:spacing w:after="0" w:line="360" w:lineRule="auto"/>
        <w:ind w:left="13" w:leftChars="6"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17.1 本项目投标有效期为投标截止之日起</w:t>
      </w:r>
      <w:r>
        <w:rPr>
          <w:rFonts w:hint="eastAsia" w:ascii="宋体" w:hAnsi="宋体" w:eastAsia="宋体" w:cs="宋体"/>
          <w:b/>
          <w:bCs/>
          <w:color w:val="auto"/>
          <w:sz w:val="24"/>
          <w:highlight w:val="none"/>
        </w:rPr>
        <w:t>90</w:t>
      </w:r>
      <w:r>
        <w:rPr>
          <w:rFonts w:hint="eastAsia" w:ascii="宋体" w:hAnsi="宋体" w:eastAsia="宋体" w:cs="宋体"/>
          <w:color w:val="auto"/>
          <w:sz w:val="24"/>
          <w:highlight w:val="none"/>
        </w:rPr>
        <w:t>天。投标人投标文件中必须载明投标有效期，投标文件中载明的投标有效期可以长于招标文件规定的期限，但不得短于招标文件规定的期限。否则，其投标文件将作为无效投标处理。</w:t>
      </w:r>
    </w:p>
    <w:p>
      <w:pPr>
        <w:pageBreakBefore w:val="0"/>
        <w:tabs>
          <w:tab w:val="left" w:pos="7665"/>
        </w:tabs>
        <w:kinsoku/>
        <w:wordWrap/>
        <w:overflowPunct/>
        <w:topLinePunct w:val="0"/>
        <w:bidi w:val="0"/>
        <w:spacing w:after="0" w:line="360" w:lineRule="auto"/>
        <w:ind w:left="13" w:leftChars="6"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pageBreakBefore w:val="0"/>
        <w:tabs>
          <w:tab w:val="left" w:pos="7665"/>
        </w:tabs>
        <w:kinsoku/>
        <w:wordWrap/>
        <w:overflowPunct/>
        <w:topLinePunct w:val="0"/>
        <w:bidi w:val="0"/>
        <w:spacing w:after="0" w:line="360" w:lineRule="auto"/>
        <w:ind w:left="13" w:leftChars="6"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5"/>
        <w:pageBreakBefore w:val="0"/>
        <w:kinsoku/>
        <w:wordWrap/>
        <w:overflowPunct/>
        <w:topLinePunct w:val="0"/>
        <w:bidi w:val="0"/>
        <w:spacing w:before="0" w:after="0" w:line="360" w:lineRule="auto"/>
        <w:ind w:firstLine="482" w:firstLineChars="200"/>
        <w:rPr>
          <w:rFonts w:hint="eastAsia" w:ascii="宋体" w:hAnsi="宋体" w:eastAsia="宋体" w:cs="宋体"/>
          <w:bCs w:val="0"/>
          <w:color w:val="auto"/>
          <w:sz w:val="24"/>
          <w:highlight w:val="none"/>
        </w:rPr>
      </w:pPr>
      <w:bookmarkStart w:id="86" w:name="_Toc217446052"/>
      <w:bookmarkStart w:id="87" w:name="_Toc308164802"/>
      <w:bookmarkStart w:id="88" w:name="_Toc183582225"/>
      <w:bookmarkStart w:id="89" w:name="_Toc183682362"/>
      <w:r>
        <w:rPr>
          <w:rFonts w:hint="eastAsia" w:ascii="宋体" w:hAnsi="宋体" w:eastAsia="宋体" w:cs="宋体"/>
          <w:bCs w:val="0"/>
          <w:color w:val="auto"/>
          <w:sz w:val="24"/>
          <w:highlight w:val="none"/>
        </w:rPr>
        <w:t>18．</w:t>
      </w:r>
      <w:bookmarkEnd w:id="86"/>
      <w:bookmarkEnd w:id="87"/>
      <w:bookmarkEnd w:id="88"/>
      <w:bookmarkEnd w:id="89"/>
      <w:r>
        <w:rPr>
          <w:rFonts w:hint="eastAsia" w:ascii="宋体" w:hAnsi="宋体" w:eastAsia="宋体" w:cs="宋体"/>
          <w:bCs w:val="0"/>
          <w:color w:val="auto"/>
          <w:sz w:val="24"/>
          <w:highlight w:val="none"/>
        </w:rPr>
        <w:t>投标文件的制作和签章、加密</w:t>
      </w:r>
      <w:r>
        <w:rPr>
          <w:rFonts w:hint="eastAsia" w:ascii="宋体" w:hAnsi="宋体" w:eastAsia="宋体" w:cs="宋体"/>
          <w:color w:val="auto"/>
          <w:sz w:val="24"/>
          <w:szCs w:val="24"/>
          <w:highlight w:val="none"/>
        </w:rPr>
        <w:t>（实质性要求）</w:t>
      </w:r>
    </w:p>
    <w:p>
      <w:pPr>
        <w:pageBreakBefore w:val="0"/>
        <w:tabs>
          <w:tab w:val="left" w:pos="1080"/>
        </w:tabs>
        <w:kinsoku/>
        <w:wordWrap/>
        <w:overflowPunct/>
        <w:topLinePunct w:val="0"/>
        <w:bidi w:val="0"/>
        <w:spacing w:after="0" w:line="360" w:lineRule="auto"/>
        <w:ind w:firstLine="463" w:firstLineChars="19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18.1本项目实行电子投标。投标人应先安装“政采云投标客户端”。（政府采购云平台—CA管理—绑定CA—下载驱动—“政采云投标客户端”立即下载）。投标人应按招标文件要求，通过“政采云投标客户端”制作、加密并提交投标文件。</w:t>
      </w:r>
    </w:p>
    <w:p>
      <w:pPr>
        <w:pageBreakBefore w:val="0"/>
        <w:kinsoku/>
        <w:wordWrap/>
        <w:overflowPunct/>
        <w:topLinePunct w:val="0"/>
        <w:bidi w:val="0"/>
        <w:spacing w:after="0" w:line="360" w:lineRule="auto"/>
        <w:ind w:firstLine="470" w:firstLineChars="195"/>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18.2投标文件每页均应加盖投标人（法定名称）电子签章，不得使用投标人专用章（如经济合同章、投标专用章等）或下属单位印章代替。</w:t>
      </w:r>
    </w:p>
    <w:p>
      <w:pPr>
        <w:pageBreakBefore w:val="0"/>
        <w:kinsoku/>
        <w:wordWrap/>
        <w:overflowPunct/>
        <w:topLinePunct w:val="0"/>
        <w:bidi w:val="0"/>
        <w:spacing w:after="0" w:line="360" w:lineRule="auto"/>
        <w:ind w:firstLine="470" w:firstLineChars="195"/>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18.3投标人应使用本企业CA数字证书对投标文件进行加密。</w:t>
      </w:r>
    </w:p>
    <w:p>
      <w:pPr>
        <w:pageBreakBefore w:val="0"/>
        <w:tabs>
          <w:tab w:val="left" w:pos="1080"/>
        </w:tabs>
        <w:kinsoku/>
        <w:wordWrap/>
        <w:overflowPunct/>
        <w:topLinePunct w:val="0"/>
        <w:bidi w:val="0"/>
        <w:spacing w:after="0" w:line="360" w:lineRule="auto"/>
        <w:ind w:firstLine="463" w:firstLineChars="19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18.4招标文件若有修改，投标人根据修改后的招标文件制作或修改并递交投标文件。</w:t>
      </w:r>
    </w:p>
    <w:p>
      <w:pPr>
        <w:pageBreakBefore w:val="0"/>
        <w:tabs>
          <w:tab w:val="left" w:pos="1080"/>
        </w:tabs>
        <w:kinsoku/>
        <w:wordWrap/>
        <w:overflowPunct/>
        <w:topLinePunct w:val="0"/>
        <w:bidi w:val="0"/>
        <w:spacing w:after="0" w:line="360" w:lineRule="auto"/>
        <w:ind w:firstLine="463" w:firstLineChars="192"/>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18.5使用“政府采购云平台”需要提前申领CA数字证书及电子签章，请自行前往四川CA、CFCA、天威CA、北京CA、重庆CA、山西CA、浙江汇信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w:t>
      </w:r>
      <w:bookmarkStart w:id="90" w:name="_Toc183682364"/>
      <w:bookmarkStart w:id="91" w:name="_Toc183582227"/>
      <w:bookmarkStart w:id="92" w:name="_Toc308164804"/>
      <w:bookmarkStart w:id="93" w:name="_Toc217446054"/>
    </w:p>
    <w:p>
      <w:pPr>
        <w:pStyle w:val="5"/>
        <w:pageBreakBefore w:val="0"/>
        <w:kinsoku/>
        <w:wordWrap/>
        <w:overflowPunct/>
        <w:topLinePunct w:val="0"/>
        <w:bidi w:val="0"/>
        <w:spacing w:before="0" w:after="0" w:line="360" w:lineRule="auto"/>
        <w:ind w:firstLine="482"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19</w:t>
      </w:r>
      <w:r>
        <w:rPr>
          <w:rFonts w:hint="eastAsia" w:ascii="宋体" w:hAnsi="宋体" w:eastAsia="宋体" w:cs="宋体"/>
          <w:bCs w:val="0"/>
          <w:color w:val="auto"/>
          <w:sz w:val="28"/>
          <w:szCs w:val="28"/>
          <w:highlight w:val="none"/>
        </w:rPr>
        <w:t>．</w:t>
      </w:r>
      <w:r>
        <w:rPr>
          <w:rFonts w:hint="eastAsia" w:ascii="宋体" w:hAnsi="宋体" w:eastAsia="宋体" w:cs="宋体"/>
          <w:bCs w:val="0"/>
          <w:color w:val="auto"/>
          <w:sz w:val="24"/>
          <w:szCs w:val="24"/>
          <w:highlight w:val="none"/>
        </w:rPr>
        <w:t>投标文件的</w:t>
      </w:r>
      <w:bookmarkEnd w:id="90"/>
      <w:bookmarkEnd w:id="91"/>
      <w:r>
        <w:rPr>
          <w:rFonts w:hint="eastAsia" w:ascii="宋体" w:hAnsi="宋体" w:eastAsia="宋体" w:cs="宋体"/>
          <w:bCs w:val="0"/>
          <w:color w:val="auto"/>
          <w:sz w:val="24"/>
          <w:szCs w:val="24"/>
          <w:highlight w:val="none"/>
        </w:rPr>
        <w:t>递交</w:t>
      </w:r>
      <w:bookmarkEnd w:id="92"/>
      <w:bookmarkEnd w:id="93"/>
      <w:r>
        <w:rPr>
          <w:rFonts w:hint="eastAsia" w:ascii="宋体" w:hAnsi="宋体" w:eastAsia="宋体" w:cs="宋体"/>
          <w:color w:val="auto"/>
          <w:sz w:val="24"/>
          <w:szCs w:val="24"/>
          <w:highlight w:val="none"/>
        </w:rPr>
        <w:t>（实质性要求）</w:t>
      </w:r>
    </w:p>
    <w:p>
      <w:pPr>
        <w:pageBreakBefore w:val="0"/>
        <w:tabs>
          <w:tab w:val="left" w:pos="1095"/>
        </w:tabs>
        <w:kinsoku/>
        <w:wordWrap/>
        <w:overflowPunct/>
        <w:topLinePunct w:val="0"/>
        <w:bidi w:val="0"/>
        <w:spacing w:after="0" w:line="360" w:lineRule="auto"/>
        <w:ind w:firstLine="463" w:firstLineChars="192"/>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19.1 投标人应当在投标文件递交截止时间前，将生成的已加密的电子投标文件成功递交至“政府采购云平台”。</w:t>
      </w:r>
    </w:p>
    <w:p>
      <w:pPr>
        <w:pageBreakBefore w:val="0"/>
        <w:tabs>
          <w:tab w:val="left" w:pos="1095"/>
        </w:tabs>
        <w:kinsoku/>
        <w:wordWrap/>
        <w:overflowPunct/>
        <w:topLinePunct w:val="0"/>
        <w:bidi w:val="0"/>
        <w:spacing w:after="0"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19.2投标人应充分考虑递交文件的不可预见因素，在投标截止时间后将无法递交。</w:t>
      </w:r>
    </w:p>
    <w:p>
      <w:pPr>
        <w:pStyle w:val="5"/>
        <w:pageBreakBefore w:val="0"/>
        <w:kinsoku/>
        <w:wordWrap/>
        <w:overflowPunct/>
        <w:topLinePunct w:val="0"/>
        <w:bidi w:val="0"/>
        <w:spacing w:before="0" w:after="0" w:line="360" w:lineRule="auto"/>
        <w:ind w:firstLine="482" w:firstLineChars="200"/>
        <w:rPr>
          <w:rFonts w:hint="eastAsia" w:ascii="宋体" w:hAnsi="宋体" w:eastAsia="宋体" w:cs="宋体"/>
          <w:bCs w:val="0"/>
          <w:color w:val="auto"/>
          <w:sz w:val="24"/>
          <w:szCs w:val="24"/>
          <w:highlight w:val="none"/>
        </w:rPr>
      </w:pPr>
      <w:bookmarkStart w:id="94" w:name="_Toc183582228"/>
      <w:bookmarkStart w:id="95" w:name="_Toc183682365"/>
      <w:bookmarkStart w:id="96" w:name="_Toc217446055"/>
      <w:r>
        <w:rPr>
          <w:rFonts w:hint="eastAsia" w:ascii="宋体" w:hAnsi="宋体" w:eastAsia="宋体" w:cs="宋体"/>
          <w:bCs w:val="0"/>
          <w:color w:val="auto"/>
          <w:sz w:val="24"/>
          <w:szCs w:val="24"/>
          <w:highlight w:val="none"/>
        </w:rPr>
        <w:t>20．</w:t>
      </w:r>
      <w:bookmarkEnd w:id="94"/>
      <w:bookmarkEnd w:id="95"/>
      <w:bookmarkEnd w:id="96"/>
      <w:r>
        <w:rPr>
          <w:rFonts w:hint="eastAsia" w:ascii="宋体" w:hAnsi="宋体" w:eastAsia="宋体" w:cs="宋体"/>
          <w:bCs w:val="0"/>
          <w:color w:val="auto"/>
          <w:sz w:val="24"/>
          <w:szCs w:val="24"/>
          <w:highlight w:val="none"/>
        </w:rPr>
        <w:t>投标文件的补充、修改或撤回</w:t>
      </w:r>
    </w:p>
    <w:p>
      <w:pPr>
        <w:pageBreakBefore w:val="0"/>
        <w:kinsoku/>
        <w:wordWrap/>
        <w:overflowPunct/>
        <w:topLinePunct w:val="0"/>
        <w:bidi w:val="0"/>
        <w:spacing w:after="0"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20.1 投标截止时间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pageBreakBefore w:val="0"/>
        <w:kinsoku/>
        <w:wordWrap/>
        <w:overflowPunct/>
        <w:topLinePunct w:val="0"/>
        <w:bidi w:val="0"/>
        <w:spacing w:after="0"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20.2 投标截止时间后，投标人不得对其递交的投标文件做任何补充、修改。</w:t>
      </w:r>
    </w:p>
    <w:p>
      <w:pPr>
        <w:pageBreakBefore w:val="0"/>
        <w:kinsoku/>
        <w:wordWrap/>
        <w:overflowPunct/>
        <w:topLinePunct w:val="0"/>
        <w:bidi w:val="0"/>
        <w:spacing w:after="0" w:line="360" w:lineRule="auto"/>
        <w:ind w:firstLine="472" w:firstLineChars="196"/>
        <w:outlineLvl w:val="2"/>
        <w:rPr>
          <w:rFonts w:hint="eastAsia" w:ascii="宋体" w:hAnsi="宋体" w:eastAsia="宋体" w:cs="宋体"/>
          <w:b/>
          <w:bCs/>
          <w:color w:val="auto"/>
          <w:sz w:val="24"/>
          <w:highlight w:val="none"/>
        </w:rPr>
      </w:pPr>
      <w:bookmarkStart w:id="97" w:name="_Toc183682368"/>
      <w:bookmarkStart w:id="98" w:name="_Toc183582231"/>
      <w:bookmarkStart w:id="99" w:name="_Toc89075878"/>
      <w:bookmarkStart w:id="100" w:name="_Toc77400782"/>
      <w:bookmarkStart w:id="101" w:name="_Toc217446056"/>
      <w:bookmarkStart w:id="102" w:name="_Toc308164805"/>
      <w:r>
        <w:rPr>
          <w:rFonts w:hint="eastAsia" w:ascii="宋体" w:hAnsi="宋体" w:eastAsia="宋体" w:cs="宋体"/>
          <w:b/>
          <w:bCs/>
          <w:color w:val="auto"/>
          <w:sz w:val="24"/>
          <w:highlight w:val="none"/>
        </w:rPr>
        <w:t>21.投标文件的解密（实质性要求）</w:t>
      </w:r>
    </w:p>
    <w:p>
      <w:pPr>
        <w:pStyle w:val="4"/>
        <w:pageBreakBefore w:val="0"/>
        <w:kinsoku/>
        <w:wordWrap/>
        <w:overflowPunct/>
        <w:topLinePunct w:val="0"/>
        <w:bidi w:val="0"/>
        <w:spacing w:before="0" w:after="0" w:line="360" w:lineRule="auto"/>
        <w:ind w:firstLine="482" w:firstLineChars="200"/>
        <w:jc w:val="left"/>
        <w:rPr>
          <w:rFonts w:hint="eastAsia" w:ascii="宋体" w:hAnsi="宋体" w:eastAsia="宋体" w:cs="宋体"/>
          <w:color w:val="auto"/>
          <w:highlight w:val="none"/>
        </w:rPr>
      </w:pPr>
      <w:r>
        <w:rPr>
          <w:rFonts w:hint="eastAsia" w:ascii="宋体" w:hAnsi="宋体" w:eastAsia="宋体" w:cs="宋体"/>
          <w:color w:val="auto"/>
          <w:sz w:val="24"/>
          <w:highlight w:val="none"/>
        </w:rPr>
        <w:t>投标人登录政府采购云平台，点击“项目采购—开标评标”模块，进入本项目“开标大厅”，等待代理机构开启解密后，进行线上解密。除因断电、断网、系统故障或其他不可抗力等因素，导致系统无法使用外，投标人在规定的解密时间内，未成功解密的投标文件将视为无效投标文件。</w:t>
      </w:r>
    </w:p>
    <w:p>
      <w:pPr>
        <w:pStyle w:val="4"/>
        <w:pageBreakBefore w:val="0"/>
        <w:kinsoku/>
        <w:wordWrap/>
        <w:overflowPunct/>
        <w:topLinePunct w:val="0"/>
        <w:bidi w:val="0"/>
        <w:spacing w:before="0"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五、开标和中标</w:t>
      </w:r>
      <w:bookmarkEnd w:id="97"/>
      <w:bookmarkEnd w:id="98"/>
      <w:bookmarkEnd w:id="99"/>
      <w:bookmarkEnd w:id="100"/>
      <w:bookmarkEnd w:id="101"/>
      <w:bookmarkEnd w:id="102"/>
    </w:p>
    <w:p>
      <w:pPr>
        <w:pStyle w:val="5"/>
        <w:pageBreakBefore w:val="0"/>
        <w:kinsoku/>
        <w:wordWrap/>
        <w:overflowPunct/>
        <w:topLinePunct w:val="0"/>
        <w:bidi w:val="0"/>
        <w:spacing w:before="0" w:after="0" w:line="360" w:lineRule="auto"/>
        <w:ind w:firstLine="482" w:firstLineChars="200"/>
        <w:rPr>
          <w:rFonts w:hint="eastAsia" w:ascii="宋体" w:hAnsi="宋体" w:eastAsia="宋体" w:cs="宋体"/>
          <w:bCs w:val="0"/>
          <w:color w:val="auto"/>
          <w:sz w:val="24"/>
          <w:highlight w:val="none"/>
        </w:rPr>
      </w:pPr>
      <w:bookmarkStart w:id="103" w:name="_Toc183582232"/>
      <w:bookmarkStart w:id="104" w:name="_Toc183682369"/>
      <w:bookmarkStart w:id="105" w:name="_Toc308164806"/>
      <w:bookmarkStart w:id="106" w:name="_Toc217446057"/>
      <w:r>
        <w:rPr>
          <w:rFonts w:hint="eastAsia" w:ascii="宋体" w:hAnsi="宋体" w:eastAsia="宋体" w:cs="宋体"/>
          <w:bCs w:val="0"/>
          <w:color w:val="auto"/>
          <w:sz w:val="24"/>
          <w:highlight w:val="none"/>
        </w:rPr>
        <w:t>22．</w:t>
      </w:r>
      <w:bookmarkEnd w:id="103"/>
      <w:bookmarkEnd w:id="104"/>
      <w:bookmarkEnd w:id="105"/>
      <w:bookmarkEnd w:id="106"/>
      <w:r>
        <w:rPr>
          <w:rFonts w:hint="eastAsia" w:ascii="宋体" w:hAnsi="宋体" w:eastAsia="宋体" w:cs="宋体"/>
          <w:bCs w:val="0"/>
          <w:color w:val="auto"/>
          <w:sz w:val="24"/>
          <w:highlight w:val="none"/>
        </w:rPr>
        <w:t>开标及开标程序</w:t>
      </w:r>
      <w:r>
        <w:rPr>
          <w:rFonts w:hint="eastAsia" w:ascii="宋体" w:hAnsi="宋体" w:eastAsia="宋体" w:cs="宋体"/>
          <w:color w:val="auto"/>
          <w:sz w:val="24"/>
          <w:szCs w:val="24"/>
          <w:highlight w:val="none"/>
        </w:rPr>
        <w:t>（实质性要求）</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 本项目为不见面开标项目。（递交电子投标文件的投标人不足3家的，不予开标。）</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 开标准备工作。投标人需在开标当日、投标截止时间前登录“政府采购云平台”，通过本项目“开标大厅”参与不见面开标。登录政府采购云平台—项目采购—开标评标—开标大厅（确保进入本项目开标大厅）。</w:t>
      </w:r>
    </w:p>
    <w:p>
      <w:pPr>
        <w:pageBreakBefore w:val="0"/>
        <w:kinsoku/>
        <w:wordWrap/>
        <w:overflowPunct/>
        <w:topLinePunct w:val="0"/>
        <w:bidi w:val="0"/>
        <w:spacing w:after="0"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注：投标人未按时登录不见面开标系统，错过开标解密时间的，由投标人自行承担不利后果。</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 解密投标文件。等待代理机构开启解密后，投标人进行线上解密。开启解密后，投标人应在</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60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钟内，使用加密该投标文件的CA数字证书在线完成投标文件的解密。除因断电、断网、系统故障或其他不可抗力等因素，导致系统无法使用外，投标人在规定的解密时间内，未成功解密的投标文件将视为无效投标文件。</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 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 投标人电脑终端等硬件设备和软件系统配置：投标人电脑终端等硬件设备和软件系统配置应符合电子投标（含不见面开标大厅）投标人电脑终端配置要求并运行正常，投标人承担因未尽职责产生的不利后果。</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 因断电、断网、系统故障或其他不可抗力等因素导致不见面开标系统无法正常运行的，开标活动中止或延迟，待系统恢复正常后继续进行开标活动。</w:t>
      </w:r>
    </w:p>
    <w:p>
      <w:pPr>
        <w:pageBreakBefore w:val="0"/>
        <w:kinsoku/>
        <w:wordWrap/>
        <w:overflowPunct/>
        <w:topLinePunct w:val="0"/>
        <w:bidi w:val="0"/>
        <w:spacing w:after="0"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22.7 </w:t>
      </w:r>
      <w:r>
        <w:rPr>
          <w:rFonts w:hint="eastAsia" w:ascii="宋体" w:hAnsi="宋体" w:eastAsia="宋体" w:cs="宋体"/>
          <w:color w:val="auto"/>
          <w:sz w:val="24"/>
          <w:highlight w:val="none"/>
        </w:rPr>
        <w:t>不见面开标过程中，各方主体均应遵守互联网有关规定，不得发表与交易活动无关的言论。</w:t>
      </w:r>
    </w:p>
    <w:p>
      <w:pPr>
        <w:pStyle w:val="5"/>
        <w:pageBreakBefore w:val="0"/>
        <w:kinsoku/>
        <w:wordWrap/>
        <w:overflowPunct/>
        <w:topLinePunct w:val="0"/>
        <w:bidi w:val="0"/>
        <w:spacing w:before="0" w:after="0" w:line="360" w:lineRule="auto"/>
        <w:ind w:firstLine="482" w:firstLineChars="200"/>
        <w:rPr>
          <w:rFonts w:hint="eastAsia" w:ascii="宋体" w:hAnsi="宋体" w:eastAsia="宋体" w:cs="宋体"/>
          <w:color w:val="auto"/>
          <w:sz w:val="24"/>
          <w:highlight w:val="none"/>
        </w:rPr>
      </w:pPr>
      <w:bookmarkStart w:id="107" w:name="_Toc183682375"/>
      <w:bookmarkStart w:id="108" w:name="_Toc183582238"/>
      <w:bookmarkStart w:id="109" w:name="_Toc217446063"/>
      <w:bookmarkStart w:id="110" w:name="_Toc308164809"/>
      <w:r>
        <w:rPr>
          <w:rFonts w:hint="eastAsia" w:ascii="宋体" w:hAnsi="宋体" w:eastAsia="宋体" w:cs="宋体"/>
          <w:color w:val="auto"/>
          <w:sz w:val="24"/>
          <w:highlight w:val="none"/>
        </w:rPr>
        <w:t>23．开评标过程存档</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开标和评标过程进行全过程电子监控，并将电子监控资料存储介质留存归档。</w:t>
      </w:r>
    </w:p>
    <w:p>
      <w:pPr>
        <w:pStyle w:val="5"/>
        <w:pageBreakBefore w:val="0"/>
        <w:kinsoku/>
        <w:wordWrap/>
        <w:overflowPunct/>
        <w:topLinePunct w:val="0"/>
        <w:bidi w:val="0"/>
        <w:spacing w:before="0" w:after="0"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24.评标情况公告</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所有投标人投标文件资格性、符合性检查情况、采用综合评分法时的总得分和分项汇总得分情况、评标结果等将在四川政府采购网上采购结果公告栏中予以公告。</w:t>
      </w:r>
    </w:p>
    <w:p>
      <w:pPr>
        <w:pStyle w:val="4"/>
        <w:keepNext w:val="0"/>
        <w:keepLines w:val="0"/>
        <w:pageBreakBefore w:val="0"/>
        <w:kinsoku/>
        <w:wordWrap/>
        <w:overflowPunct/>
        <w:topLinePunct w:val="0"/>
        <w:bidi w:val="0"/>
        <w:spacing w:before="0" w:after="0" w:line="360" w:lineRule="auto"/>
        <w:ind w:firstLine="482"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25.采购人确定中标人过程中，发现中标候选人有下列情形之一的，应当不予确定其为中标人：</w:t>
      </w:r>
    </w:p>
    <w:p>
      <w:pPr>
        <w:pStyle w:val="4"/>
        <w:keepNext w:val="0"/>
        <w:keepLines w:val="0"/>
        <w:pageBreakBefore w:val="0"/>
        <w:kinsoku/>
        <w:wordWrap/>
        <w:overflowPunct/>
        <w:topLinePunct w:val="0"/>
        <w:bidi w:val="0"/>
        <w:spacing w:before="0" w:after="0" w:line="360" w:lineRule="auto"/>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（1）发现中标候选人存在禁止参加本项目采购活动的违法行为的；</w:t>
      </w:r>
    </w:p>
    <w:p>
      <w:pPr>
        <w:pStyle w:val="4"/>
        <w:keepNext w:val="0"/>
        <w:keepLines w:val="0"/>
        <w:pageBreakBefore w:val="0"/>
        <w:kinsoku/>
        <w:wordWrap/>
        <w:overflowPunct/>
        <w:topLinePunct w:val="0"/>
        <w:bidi w:val="0"/>
        <w:spacing w:before="0" w:after="0" w:line="360" w:lineRule="auto"/>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（2）中标候选人因不可抗力，不能继续参加政府采购活动；</w:t>
      </w:r>
    </w:p>
    <w:p>
      <w:pPr>
        <w:pStyle w:val="4"/>
        <w:keepNext w:val="0"/>
        <w:keepLines w:val="0"/>
        <w:pageBreakBefore w:val="0"/>
        <w:kinsoku/>
        <w:wordWrap/>
        <w:overflowPunct/>
        <w:topLinePunct w:val="0"/>
        <w:bidi w:val="0"/>
        <w:spacing w:before="0" w:after="0" w:line="360" w:lineRule="auto"/>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（3）中标候选人无偿赠与或者低于成本价竞争；</w:t>
      </w:r>
    </w:p>
    <w:p>
      <w:pPr>
        <w:pStyle w:val="4"/>
        <w:keepNext w:val="0"/>
        <w:keepLines w:val="0"/>
        <w:pageBreakBefore w:val="0"/>
        <w:kinsoku/>
        <w:wordWrap/>
        <w:overflowPunct/>
        <w:topLinePunct w:val="0"/>
        <w:bidi w:val="0"/>
        <w:spacing w:before="0" w:after="0" w:line="360" w:lineRule="auto"/>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（4）中标候选人提供虚假材料；</w:t>
      </w:r>
    </w:p>
    <w:p>
      <w:pPr>
        <w:pStyle w:val="4"/>
        <w:keepNext w:val="0"/>
        <w:keepLines w:val="0"/>
        <w:pageBreakBefore w:val="0"/>
        <w:kinsoku/>
        <w:wordWrap/>
        <w:overflowPunct/>
        <w:topLinePunct w:val="0"/>
        <w:bidi w:val="0"/>
        <w:spacing w:before="0" w:after="0" w:line="360" w:lineRule="auto"/>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（5）中标候选人恶意串通。</w:t>
      </w:r>
    </w:p>
    <w:p>
      <w:pPr>
        <w:pStyle w:val="5"/>
        <w:pageBreakBefore w:val="0"/>
        <w:kinsoku/>
        <w:wordWrap/>
        <w:overflowPunct/>
        <w:topLinePunct w:val="0"/>
        <w:bidi w:val="0"/>
        <w:spacing w:before="0" w:after="0" w:line="360" w:lineRule="auto"/>
        <w:ind w:firstLine="482"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26.中标通知</w:t>
      </w:r>
      <w:bookmarkEnd w:id="107"/>
      <w:bookmarkEnd w:id="108"/>
      <w:r>
        <w:rPr>
          <w:rFonts w:hint="eastAsia" w:ascii="宋体" w:hAnsi="宋体" w:eastAsia="宋体" w:cs="宋体"/>
          <w:bCs w:val="0"/>
          <w:color w:val="auto"/>
          <w:sz w:val="24"/>
          <w:szCs w:val="24"/>
          <w:highlight w:val="none"/>
        </w:rPr>
        <w:t>书</w:t>
      </w:r>
      <w:bookmarkEnd w:id="109"/>
      <w:bookmarkEnd w:id="110"/>
    </w:p>
    <w:p>
      <w:pPr>
        <w:pageBreakBefore w:val="0"/>
        <w:tabs>
          <w:tab w:val="left" w:pos="7665"/>
        </w:tabs>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1 中标通知书为签订政府采购合同的依据之一，是合同的有效组成部分。</w:t>
      </w:r>
    </w:p>
    <w:p>
      <w:pPr>
        <w:pageBreakBefore w:val="0"/>
        <w:tabs>
          <w:tab w:val="left" w:pos="7665"/>
        </w:tabs>
        <w:kinsoku/>
        <w:wordWrap/>
        <w:overflowPunct/>
        <w:topLinePunct w:val="0"/>
        <w:bidi w:val="0"/>
        <w:spacing w:after="0"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26.2 中标通知书对采购人和中标人均具有法律效力。中标通知书发出后，采购人改变中标结果，或者中标人无正当理由放弃中标的，应当承担相应的法律责任。</w:t>
      </w:r>
    </w:p>
    <w:p>
      <w:pPr>
        <w:pageBreakBefore w:val="0"/>
        <w:tabs>
          <w:tab w:val="left" w:pos="7665"/>
        </w:tabs>
        <w:kinsoku/>
        <w:wordWrap/>
        <w:overflowPunct/>
        <w:topLinePunct w:val="0"/>
        <w:bidi w:val="0"/>
        <w:spacing w:after="0"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26．3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pageBreakBefore w:val="0"/>
        <w:tabs>
          <w:tab w:val="left" w:pos="7665"/>
        </w:tabs>
        <w:kinsoku/>
        <w:wordWrap/>
        <w:overflowPunct/>
        <w:topLinePunct w:val="0"/>
        <w:bidi w:val="0"/>
        <w:spacing w:after="0"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26.4</w:t>
      </w:r>
      <w:r>
        <w:rPr>
          <w:rFonts w:hint="eastAsia" w:ascii="宋体" w:hAnsi="宋体" w:eastAsia="宋体" w:cs="宋体"/>
          <w:color w:val="auto"/>
          <w:sz w:val="24"/>
          <w:highlight w:val="none"/>
          <w:lang w:val="zh-CN"/>
        </w:rPr>
        <w:t>在四川政府采购网公告中标结果同时发出中标通知书，中标人自行登录政府采购云平台下载中标通知书</w:t>
      </w:r>
      <w:r>
        <w:rPr>
          <w:rFonts w:hint="eastAsia" w:ascii="宋体" w:hAnsi="宋体" w:eastAsia="宋体" w:cs="宋体"/>
          <w:color w:val="auto"/>
          <w:sz w:val="24"/>
          <w:highlight w:val="none"/>
          <w:lang w:val="en-US" w:eastAsia="zh-CN"/>
        </w:rPr>
        <w:t>或凭公司介绍信、经办人有效身份证复印件（加盖公章）到采购代理机构领取成交通知书。</w:t>
      </w:r>
    </w:p>
    <w:p>
      <w:pPr>
        <w:pStyle w:val="4"/>
        <w:pageBreakBefore w:val="0"/>
        <w:kinsoku/>
        <w:wordWrap/>
        <w:overflowPunct/>
        <w:topLinePunct w:val="0"/>
        <w:bidi w:val="0"/>
        <w:spacing w:before="0" w:after="0" w:line="360" w:lineRule="auto"/>
        <w:jc w:val="center"/>
        <w:rPr>
          <w:rFonts w:hint="eastAsia" w:ascii="宋体" w:hAnsi="宋体" w:eastAsia="宋体" w:cs="宋体"/>
          <w:color w:val="auto"/>
          <w:szCs w:val="28"/>
          <w:highlight w:val="none"/>
        </w:rPr>
      </w:pPr>
      <w:bookmarkStart w:id="111" w:name="_Toc308164810"/>
      <w:bookmarkStart w:id="112" w:name="_Toc217446064"/>
      <w:bookmarkStart w:id="113" w:name="_Toc183582240"/>
      <w:bookmarkStart w:id="114" w:name="_Toc183682377"/>
      <w:r>
        <w:rPr>
          <w:rFonts w:hint="eastAsia" w:ascii="宋体" w:hAnsi="宋体" w:eastAsia="宋体" w:cs="宋体"/>
          <w:color w:val="auto"/>
          <w:szCs w:val="28"/>
          <w:highlight w:val="none"/>
        </w:rPr>
        <w:t>六、签订及履行合同和验收</w:t>
      </w:r>
      <w:bookmarkEnd w:id="111"/>
      <w:bookmarkEnd w:id="112"/>
    </w:p>
    <w:p>
      <w:pPr>
        <w:pStyle w:val="5"/>
        <w:pageBreakBefore w:val="0"/>
        <w:kinsoku/>
        <w:wordWrap/>
        <w:overflowPunct/>
        <w:topLinePunct w:val="0"/>
        <w:bidi w:val="0"/>
        <w:spacing w:before="0" w:after="0" w:line="360" w:lineRule="auto"/>
        <w:ind w:firstLine="482" w:firstLineChars="200"/>
        <w:rPr>
          <w:rFonts w:hint="eastAsia" w:ascii="宋体" w:hAnsi="宋体" w:eastAsia="宋体" w:cs="宋体"/>
          <w:b w:val="0"/>
          <w:color w:val="auto"/>
          <w:sz w:val="24"/>
          <w:szCs w:val="24"/>
          <w:highlight w:val="none"/>
        </w:rPr>
      </w:pPr>
      <w:bookmarkStart w:id="115" w:name="_Toc217446065"/>
      <w:bookmarkStart w:id="116" w:name="_Toc308164811"/>
      <w:r>
        <w:rPr>
          <w:rFonts w:hint="eastAsia" w:ascii="宋体" w:hAnsi="宋体" w:eastAsia="宋体" w:cs="宋体"/>
          <w:color w:val="auto"/>
          <w:sz w:val="24"/>
          <w:highlight w:val="none"/>
        </w:rPr>
        <w:t>27.</w:t>
      </w:r>
      <w:r>
        <w:rPr>
          <w:rFonts w:hint="eastAsia" w:ascii="宋体" w:hAnsi="宋体" w:eastAsia="宋体" w:cs="宋体"/>
          <w:color w:val="auto"/>
          <w:sz w:val="24"/>
          <w:szCs w:val="24"/>
          <w:highlight w:val="none"/>
        </w:rPr>
        <w:t>签订合同</w:t>
      </w:r>
      <w:bookmarkEnd w:id="115"/>
      <w:bookmarkEnd w:id="116"/>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中标人应在中标通知书发出之日起三十日内与采购人签订采购合同。由于中标人的原因逾期未与采购人签订采购合同的，将视为放弃中标，取消其中标资格并将按相关规定进行处理。</w:t>
      </w:r>
    </w:p>
    <w:p>
      <w:pPr>
        <w:pageBreakBefore w:val="0"/>
        <w:kinsoku/>
        <w:wordWrap/>
        <w:overflowPunct/>
        <w:topLinePunct w:val="0"/>
        <w:bidi w:val="0"/>
        <w:spacing w:after="0"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27.2 采购人不得向中标人提出任何不合理的要求，作为签订合同的条件，不得与中标人私下订立背离合同实质性内容的任何协议，所签订的合同不得对招标文件和中标人投标文件确定的事项进行实质性修改。</w:t>
      </w:r>
    </w:p>
    <w:p>
      <w:pPr>
        <w:pageBreakBefore w:val="0"/>
        <w:kinsoku/>
        <w:wordWrap/>
        <w:overflowPunct/>
        <w:topLinePunct w:val="0"/>
        <w:bidi w:val="0"/>
        <w:spacing w:after="0"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27.3 中标人拒绝与采购人签订合同的，采购人可以按照评审报告推荐的中标候选人名单排序，确定下一候选人为中标人，也可以重新开展政府采购活动。</w:t>
      </w:r>
    </w:p>
    <w:p>
      <w:pPr>
        <w:pageBreakBefore w:val="0"/>
        <w:kinsoku/>
        <w:wordWrap/>
        <w:overflowPunct/>
        <w:topLinePunct w:val="0"/>
        <w:bidi w:val="0"/>
        <w:spacing w:after="0"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27.4 中标人在合同签订之后三个工作日内，将签订的合同（一式壹份）送采购代理机构。中标人应及时到采购代理机构办理。（详见须知附表中联系方式）</w:t>
      </w:r>
    </w:p>
    <w:p>
      <w:pPr>
        <w:pStyle w:val="4"/>
        <w:pageBreakBefore w:val="0"/>
        <w:kinsoku/>
        <w:wordWrap/>
        <w:overflowPunct/>
        <w:topLinePunct w:val="0"/>
        <w:bidi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 合同分包（实质性要求）</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28.1 经采购人同意，中标人可以依法采取分包方式履行合同。这种要求应当在合同签订之前征得采购人同意，并且分包投标人履行的分包项目的品牌、规格型号及技术要求等，必须与中标的一致。</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分包履行合同的部分应当为采购项目的非主体、非关键性工作，不属于中标人的主要合同义务。投标人根据招标文件的规定和采购项目的实际情况，拟在中标后将中标项目的非主体、非关键性工作分包的，应当在投标文件中载明分包承担主体，分包承担主体应当具备相应资质条件且不得再次分包。</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28.2 采购合同实行分包履行的，中标人就采购项目和分包项目向采购人负责，分包投标人就分包项目承担责任。</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28.3中小企业依据《政府采购促进中小企业发展管理办法》（财库〔2020〕46号）规定的政策获取政府采购合同后，小型、微型企业不得分包或转包给大型、中型企业，中型企业不得分包或转包给大型企业。</w:t>
      </w:r>
    </w:p>
    <w:p>
      <w:pPr>
        <w:pStyle w:val="4"/>
        <w:pageBreakBefore w:val="0"/>
        <w:kinsoku/>
        <w:wordWrap/>
        <w:overflowPunct/>
        <w:topLinePunct w:val="0"/>
        <w:bidi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29.合同转包（实质性要求）</w:t>
      </w:r>
    </w:p>
    <w:p>
      <w:pPr>
        <w:pageBreakBefore w:val="0"/>
        <w:kinsoku/>
        <w:wordWrap/>
        <w:overflowPunct/>
        <w:topLinePunct w:val="0"/>
        <w:bidi w:val="0"/>
        <w:spacing w:after="0"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29.1严禁中标人将本项目转包。本项目所称转包，是指将本项目转给他人或者将本项目全部肢解以后以分包的名义分别转给他人的行为。 </w:t>
      </w:r>
    </w:p>
    <w:p>
      <w:pPr>
        <w:pageBreakBefore w:val="0"/>
        <w:kinsoku/>
        <w:wordWrap/>
        <w:overflowPunct/>
        <w:topLinePunct w:val="0"/>
        <w:bidi w:val="0"/>
        <w:spacing w:after="0"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29.2中标人转包的，视同拒绝履行政府采购合同，将依法追究法律责任。</w:t>
      </w:r>
    </w:p>
    <w:p>
      <w:pPr>
        <w:pStyle w:val="4"/>
        <w:pageBreakBefore w:val="0"/>
        <w:kinsoku/>
        <w:wordWrap/>
        <w:overflowPunct/>
        <w:topLinePunct w:val="0"/>
        <w:bidi w:val="0"/>
        <w:spacing w:before="0" w:after="0" w:line="360" w:lineRule="auto"/>
        <w:ind w:firstLine="482" w:firstLineChars="200"/>
        <w:rPr>
          <w:rFonts w:hint="eastAsia" w:ascii="宋体" w:hAnsi="宋体" w:eastAsia="宋体" w:cs="宋体"/>
          <w:color w:val="auto"/>
          <w:sz w:val="24"/>
          <w:szCs w:val="24"/>
          <w:highlight w:val="none"/>
        </w:rPr>
      </w:pPr>
      <w:bookmarkStart w:id="117" w:name="_Toc217446066"/>
      <w:r>
        <w:rPr>
          <w:rFonts w:hint="eastAsia" w:ascii="宋体" w:hAnsi="宋体" w:eastAsia="宋体" w:cs="宋体"/>
          <w:color w:val="auto"/>
          <w:sz w:val="24"/>
          <w:szCs w:val="24"/>
          <w:highlight w:val="none"/>
        </w:rPr>
        <w:t>30.</w:t>
      </w:r>
      <w:bookmarkEnd w:id="117"/>
      <w:r>
        <w:rPr>
          <w:rFonts w:hint="eastAsia" w:ascii="宋体" w:hAnsi="宋体" w:eastAsia="宋体" w:cs="宋体"/>
          <w:color w:val="auto"/>
          <w:sz w:val="24"/>
          <w:szCs w:val="24"/>
          <w:highlight w:val="none"/>
        </w:rPr>
        <w:t xml:space="preserve"> 补充合同</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采购合同履行过程中，采购人需要追加与合同标相同的服务，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服务的名称、价格、履约方式、验收标准等必须与原政府采购合同一致。 </w:t>
      </w:r>
    </w:p>
    <w:p>
      <w:pPr>
        <w:pStyle w:val="5"/>
        <w:pageBreakBefore w:val="0"/>
        <w:kinsoku/>
        <w:wordWrap/>
        <w:overflowPunct/>
        <w:topLinePunct w:val="0"/>
        <w:bidi w:val="0"/>
        <w:spacing w:before="0" w:after="0" w:line="360" w:lineRule="auto"/>
        <w:ind w:firstLine="482" w:firstLineChars="200"/>
        <w:rPr>
          <w:rFonts w:hint="eastAsia" w:ascii="宋体" w:hAnsi="宋体" w:eastAsia="宋体" w:cs="宋体"/>
          <w:b w:val="0"/>
          <w:color w:val="auto"/>
          <w:sz w:val="24"/>
          <w:szCs w:val="24"/>
          <w:highlight w:val="none"/>
        </w:rPr>
      </w:pPr>
      <w:bookmarkStart w:id="118" w:name="_Toc217446068"/>
      <w:bookmarkStart w:id="119" w:name="_Toc308164812"/>
      <w:r>
        <w:rPr>
          <w:rFonts w:hint="eastAsia" w:ascii="宋体" w:hAnsi="宋体" w:eastAsia="宋体" w:cs="宋体"/>
          <w:color w:val="auto"/>
          <w:sz w:val="24"/>
          <w:szCs w:val="24"/>
          <w:highlight w:val="none"/>
        </w:rPr>
        <w:t>31</w:t>
      </w:r>
      <w:r>
        <w:rPr>
          <w:rFonts w:hint="eastAsia" w:ascii="宋体" w:hAnsi="宋体" w:eastAsia="宋体" w:cs="宋体"/>
          <w:b w:val="0"/>
          <w:color w:val="auto"/>
          <w:sz w:val="24"/>
          <w:szCs w:val="24"/>
          <w:highlight w:val="none"/>
        </w:rPr>
        <w:t xml:space="preserve">. </w:t>
      </w:r>
      <w:r>
        <w:rPr>
          <w:rFonts w:hint="eastAsia" w:ascii="宋体" w:hAnsi="宋体" w:eastAsia="宋体" w:cs="宋体"/>
          <w:color w:val="auto"/>
          <w:sz w:val="24"/>
          <w:szCs w:val="24"/>
          <w:highlight w:val="none"/>
        </w:rPr>
        <w:t>履约保证金</w:t>
      </w:r>
      <w:bookmarkEnd w:id="118"/>
      <w:bookmarkEnd w:id="119"/>
      <w:r>
        <w:rPr>
          <w:rFonts w:hint="eastAsia" w:ascii="宋体" w:hAnsi="宋体" w:eastAsia="宋体" w:cs="宋体"/>
          <w:color w:val="auto"/>
          <w:sz w:val="24"/>
          <w:szCs w:val="24"/>
          <w:highlight w:val="none"/>
        </w:rPr>
        <w:t xml:space="preserve"> </w:t>
      </w:r>
    </w:p>
    <w:p>
      <w:pPr>
        <w:pStyle w:val="5"/>
        <w:pageBreakBefore w:val="0"/>
        <w:kinsoku/>
        <w:wordWrap/>
        <w:overflowPunct/>
        <w:topLinePunct w:val="0"/>
        <w:bidi w:val="0"/>
        <w:spacing w:before="0" w:after="0" w:line="360" w:lineRule="auto"/>
        <w:ind w:firstLine="480" w:firstLineChars="200"/>
        <w:rPr>
          <w:rFonts w:hint="eastAsia" w:ascii="宋体" w:hAnsi="宋体" w:eastAsia="宋体" w:cs="宋体"/>
          <w:b w:val="0"/>
          <w:bCs w:val="0"/>
          <w:color w:val="auto"/>
          <w:kern w:val="2"/>
          <w:sz w:val="24"/>
          <w:szCs w:val="24"/>
          <w:highlight w:val="none"/>
        </w:rPr>
      </w:pPr>
      <w:bookmarkStart w:id="120" w:name="_Toc217446069"/>
      <w:bookmarkStart w:id="121" w:name="_Toc308164813"/>
      <w:r>
        <w:rPr>
          <w:rFonts w:hint="eastAsia" w:ascii="宋体" w:hAnsi="宋体" w:eastAsia="宋体" w:cs="宋体"/>
          <w:b w:val="0"/>
          <w:bCs w:val="0"/>
          <w:color w:val="auto"/>
          <w:kern w:val="2"/>
          <w:sz w:val="24"/>
          <w:szCs w:val="24"/>
          <w:highlight w:val="none"/>
        </w:rPr>
        <w:t>本项目不缴纳</w:t>
      </w:r>
    </w:p>
    <w:p>
      <w:pPr>
        <w:pStyle w:val="5"/>
        <w:pageBreakBefore w:val="0"/>
        <w:kinsoku/>
        <w:wordWrap/>
        <w:overflowPunct/>
        <w:topLinePunct w:val="0"/>
        <w:bidi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32.合同公告</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采购人应当自政府采购合同签订之日起2个工作日内，将政府采购合同在省级以上人民政府财政部门指定的媒体上公告（四川政府采购网），但政府采购合同中涉及国家秘密、商业秘密的内容除外。</w:t>
      </w:r>
    </w:p>
    <w:p>
      <w:pPr>
        <w:pStyle w:val="5"/>
        <w:pageBreakBefore w:val="0"/>
        <w:kinsoku/>
        <w:wordWrap/>
        <w:overflowPunct/>
        <w:topLinePunct w:val="0"/>
        <w:bidi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33、合同备案</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采购人应当将政府采购合同副本自签订之日起七个工作日内通过政采云平台报同级财政部门备案。</w:t>
      </w:r>
    </w:p>
    <w:p>
      <w:pPr>
        <w:pStyle w:val="5"/>
        <w:pageBreakBefore w:val="0"/>
        <w:kinsoku/>
        <w:wordWrap/>
        <w:overflowPunct/>
        <w:topLinePunct w:val="0"/>
        <w:bidi w:val="0"/>
        <w:spacing w:before="0" w:after="0" w:line="360" w:lineRule="auto"/>
        <w:ind w:firstLine="482" w:firstLineChars="200"/>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34. 履行合同</w:t>
      </w:r>
      <w:bookmarkEnd w:id="120"/>
      <w:bookmarkEnd w:id="121"/>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中标人与采购人签订合同后，合同双方应严格执行合同条款，履行合同规定的义务，保证合同的顺利完成。</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 在合同履行过程中，如发生合同纠纷，合同双方应按照《民法典》《政府采购法》等有关法律法规规定进行处理。</w:t>
      </w:r>
    </w:p>
    <w:p>
      <w:pPr>
        <w:pStyle w:val="5"/>
        <w:pageBreakBefore w:val="0"/>
        <w:kinsoku/>
        <w:wordWrap/>
        <w:overflowPunct/>
        <w:topLinePunct w:val="0"/>
        <w:bidi w:val="0"/>
        <w:spacing w:before="0" w:after="0" w:line="360" w:lineRule="auto"/>
        <w:ind w:firstLine="482" w:firstLineChars="200"/>
        <w:rPr>
          <w:rFonts w:hint="eastAsia" w:ascii="宋体" w:hAnsi="宋体" w:eastAsia="宋体" w:cs="宋体"/>
          <w:b w:val="0"/>
          <w:color w:val="auto"/>
          <w:sz w:val="24"/>
          <w:szCs w:val="24"/>
          <w:highlight w:val="none"/>
        </w:rPr>
      </w:pPr>
      <w:bookmarkStart w:id="122" w:name="_Toc217446070"/>
      <w:bookmarkStart w:id="123" w:name="_Toc308164814"/>
      <w:r>
        <w:rPr>
          <w:rFonts w:hint="eastAsia" w:ascii="宋体" w:hAnsi="宋体" w:eastAsia="宋体" w:cs="宋体"/>
          <w:color w:val="auto"/>
          <w:sz w:val="24"/>
          <w:szCs w:val="24"/>
          <w:highlight w:val="none"/>
        </w:rPr>
        <w:t>35. 验收</w:t>
      </w:r>
      <w:bookmarkEnd w:id="122"/>
      <w:bookmarkEnd w:id="123"/>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35.1本项目采购人及其委托的采购代理机构将严格按照政府采购相关法律法规以及《财政部关于进一步加强政府采购需求和履约验收管理的指导意见》（财库〔2016〕205号）以及《政府采购需求管理办法》（财库〔2021〕22号）的要求进行验收。</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35.2 验收结果合格的，中标人凭验收报告办理相关手续；验收结果不合格的，将不予支付采购资金，还可能会报告本项目同级财政部门按照政府采购法律法规等有关规定给予行政处罚或者以失信行为记入诚信档案。</w:t>
      </w:r>
      <w:bookmarkStart w:id="124" w:name="_Toc217446071"/>
    </w:p>
    <w:p>
      <w:pPr>
        <w:pStyle w:val="5"/>
        <w:pageBreakBefore w:val="0"/>
        <w:kinsoku/>
        <w:wordWrap/>
        <w:overflowPunct/>
        <w:topLinePunct w:val="0"/>
        <w:bidi w:val="0"/>
        <w:spacing w:before="0" w:after="0" w:line="360" w:lineRule="auto"/>
        <w:ind w:firstLine="482" w:firstLineChars="200"/>
        <w:rPr>
          <w:rFonts w:hint="eastAsia" w:ascii="宋体" w:hAnsi="宋体" w:eastAsia="宋体" w:cs="宋体"/>
          <w:color w:val="auto"/>
          <w:sz w:val="24"/>
          <w:szCs w:val="24"/>
          <w:highlight w:val="none"/>
        </w:rPr>
      </w:pPr>
      <w:bookmarkStart w:id="125" w:name="_Toc217446077"/>
      <w:bookmarkStart w:id="126" w:name="_Toc308164818"/>
      <w:r>
        <w:rPr>
          <w:rFonts w:hint="eastAsia" w:ascii="宋体" w:hAnsi="宋体" w:eastAsia="宋体" w:cs="宋体"/>
          <w:color w:val="auto"/>
          <w:sz w:val="24"/>
          <w:szCs w:val="24"/>
          <w:highlight w:val="none"/>
        </w:rPr>
        <w:t>36.资金支付</w:t>
      </w:r>
      <w:bookmarkEnd w:id="125"/>
      <w:bookmarkEnd w:id="126"/>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采购人将按照政府采购合同规定，及时向中标人支付采购资金。本项目采购资金付款详见第六章商务要求中付款方式。</w:t>
      </w:r>
    </w:p>
    <w:bookmarkEnd w:id="113"/>
    <w:bookmarkEnd w:id="114"/>
    <w:bookmarkEnd w:id="124"/>
    <w:p>
      <w:pPr>
        <w:pStyle w:val="4"/>
        <w:pageBreakBefore w:val="0"/>
        <w:kinsoku/>
        <w:wordWrap/>
        <w:overflowPunct/>
        <w:topLinePunct w:val="0"/>
        <w:bidi w:val="0"/>
        <w:spacing w:before="0" w:after="0" w:line="360" w:lineRule="auto"/>
        <w:jc w:val="center"/>
        <w:rPr>
          <w:rFonts w:hint="eastAsia" w:ascii="宋体" w:hAnsi="宋体" w:eastAsia="宋体" w:cs="宋体"/>
          <w:color w:val="auto"/>
          <w:szCs w:val="28"/>
          <w:highlight w:val="none"/>
        </w:rPr>
      </w:pPr>
      <w:bookmarkStart w:id="127" w:name="_Toc217446074"/>
      <w:bookmarkStart w:id="128" w:name="_Toc308164815"/>
      <w:bookmarkStart w:id="129" w:name="_Toc183682380"/>
      <w:bookmarkStart w:id="130" w:name="_Toc183582243"/>
      <w:r>
        <w:rPr>
          <w:rFonts w:hint="eastAsia" w:ascii="宋体" w:hAnsi="宋体" w:eastAsia="宋体" w:cs="宋体"/>
          <w:color w:val="auto"/>
          <w:szCs w:val="28"/>
          <w:highlight w:val="none"/>
        </w:rPr>
        <w:t>七、投标纪律要求</w:t>
      </w:r>
      <w:bookmarkEnd w:id="127"/>
      <w:bookmarkEnd w:id="128"/>
    </w:p>
    <w:p>
      <w:pPr>
        <w:pStyle w:val="5"/>
        <w:pageBreakBefore w:val="0"/>
        <w:kinsoku/>
        <w:wordWrap/>
        <w:overflowPunct/>
        <w:topLinePunct w:val="0"/>
        <w:bidi w:val="0"/>
        <w:spacing w:before="0" w:after="0" w:line="360" w:lineRule="auto"/>
        <w:ind w:firstLine="482" w:firstLineChars="200"/>
        <w:rPr>
          <w:rFonts w:hint="eastAsia" w:ascii="宋体" w:hAnsi="宋体" w:eastAsia="宋体" w:cs="宋体"/>
          <w:bCs w:val="0"/>
          <w:color w:val="auto"/>
          <w:sz w:val="24"/>
          <w:szCs w:val="24"/>
          <w:highlight w:val="none"/>
        </w:rPr>
      </w:pPr>
      <w:bookmarkStart w:id="131" w:name="_Toc308164816"/>
      <w:bookmarkStart w:id="132" w:name="_Toc217446075"/>
      <w:r>
        <w:rPr>
          <w:rFonts w:hint="eastAsia" w:ascii="宋体" w:hAnsi="宋体" w:eastAsia="宋体" w:cs="宋体"/>
          <w:color w:val="auto"/>
          <w:sz w:val="24"/>
          <w:highlight w:val="none"/>
        </w:rPr>
        <w:t xml:space="preserve">37. </w:t>
      </w:r>
      <w:r>
        <w:rPr>
          <w:rFonts w:hint="eastAsia" w:ascii="宋体" w:hAnsi="宋体" w:eastAsia="宋体" w:cs="宋体"/>
          <w:bCs w:val="0"/>
          <w:color w:val="auto"/>
          <w:sz w:val="24"/>
          <w:szCs w:val="24"/>
          <w:highlight w:val="none"/>
        </w:rPr>
        <w:t>投标人</w:t>
      </w:r>
      <w:bookmarkEnd w:id="131"/>
      <w:bookmarkEnd w:id="132"/>
      <w:r>
        <w:rPr>
          <w:rFonts w:hint="eastAsia" w:ascii="宋体" w:hAnsi="宋体" w:eastAsia="宋体" w:cs="宋体"/>
          <w:bCs w:val="0"/>
          <w:color w:val="auto"/>
          <w:sz w:val="24"/>
          <w:szCs w:val="24"/>
          <w:highlight w:val="none"/>
        </w:rPr>
        <w:t>纪律要求</w:t>
      </w:r>
    </w:p>
    <w:p>
      <w:pPr>
        <w:pStyle w:val="8"/>
        <w:pageBreakBefore w:val="0"/>
        <w:kinsoku/>
        <w:wordWrap/>
        <w:overflowPunct/>
        <w:topLinePunct w:val="0"/>
        <w:bidi w:val="0"/>
        <w:spacing w:after="0"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投标人应当遵循公平竞争的原则，不得恶意串通，不得妨碍其他投标人的竞争行为，不得损害采购人或者其他投标人的合法权益。</w:t>
      </w:r>
    </w:p>
    <w:p>
      <w:pPr>
        <w:pStyle w:val="8"/>
        <w:pageBreakBefore w:val="0"/>
        <w:kinsoku/>
        <w:wordWrap/>
        <w:overflowPunct/>
        <w:topLinePunct w:val="0"/>
        <w:bidi w:val="0"/>
        <w:spacing w:after="0"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在评标过程中发现投标人有上述情形的，评标委员会应当认定其投标无效，并书面报告本级财政部门。</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37.1 投标人参加本项目投标不得有下列情形：</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（1）提供虚假材料谋取中标；</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（2）采取不正当手段诋毁、排挤其他投标人；</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（3）与招标采购单位、其他投标人恶意串通；</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（4）向招标采购单位、评标委员会成员行贿或者提供其他不正当利益；</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（5）在招标过程中与招标采购单位进行协商招标；</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（6）中标或者成交后无正当理由拒不与采购人签订政府采购合同；</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（7）未按照采购文件确定的事项签订政府采购合同；</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（8）将政府采购合同转包或者违规分包；</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（9）提供假冒伪劣产品；</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（10）擅自变更、中止或者终止政府采购合同；</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（11）拒绝有关部门的监督检查或者向监督检查部门提供虚假情况；</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（12）法律法规规定的其他情形。</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投标人有上述情形的，按照规定追究法律责任，具备（1）-（10）条情形之一的，同时将取消中标资格或者认定中标无效。</w:t>
      </w:r>
      <w:bookmarkEnd w:id="54"/>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bookmarkStart w:id="133" w:name="PO_默认文件内容_23"/>
      <w:r>
        <w:rPr>
          <w:rFonts w:hint="eastAsia" w:ascii="宋体" w:hAnsi="宋体" w:eastAsia="宋体" w:cs="宋体"/>
          <w:color w:val="auto"/>
          <w:sz w:val="24"/>
          <w:highlight w:val="none"/>
        </w:rPr>
        <w:t>37.2 投标人有下列情形之一的，视为投标人串通投标，其投标无效：</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（1）不同投标人的投标文件由同一单位或者个人编制；</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（2）不同投标人委托同一单位或者个人办理投标事宜；</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（3）不同投标人的投标文件载明的项目管理成员或者联系人员为同一人；</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（4）不同投标人的投标文件异常一致或者投标报价呈规律性差异；</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（5）不同投标人的投标文件相互混装；</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（6）不同投标人的投标保证金从同一单位或者个人的账户转出。</w:t>
      </w:r>
    </w:p>
    <w:p>
      <w:pPr>
        <w:pStyle w:val="4"/>
        <w:pageBreakBefore w:val="0"/>
        <w:kinsoku/>
        <w:wordWrap/>
        <w:overflowPunct/>
        <w:topLinePunct w:val="0"/>
        <w:bidi w:val="0"/>
        <w:spacing w:before="0" w:after="0" w:line="360" w:lineRule="auto"/>
        <w:jc w:val="center"/>
        <w:rPr>
          <w:rFonts w:hint="eastAsia" w:ascii="宋体" w:hAnsi="宋体" w:eastAsia="宋体" w:cs="宋体"/>
          <w:bCs w:val="0"/>
          <w:color w:val="auto"/>
          <w:szCs w:val="28"/>
          <w:highlight w:val="none"/>
        </w:rPr>
      </w:pPr>
      <w:bookmarkStart w:id="134" w:name="_Toc217446078"/>
      <w:bookmarkStart w:id="135" w:name="_Toc308164819"/>
      <w:r>
        <w:rPr>
          <w:rFonts w:hint="eastAsia" w:ascii="宋体" w:hAnsi="宋体" w:eastAsia="宋体" w:cs="宋体"/>
          <w:bCs w:val="0"/>
          <w:color w:val="auto"/>
          <w:szCs w:val="28"/>
          <w:highlight w:val="none"/>
        </w:rPr>
        <w:t>八、询问、质疑和投诉</w:t>
      </w:r>
      <w:bookmarkEnd w:id="134"/>
      <w:bookmarkEnd w:id="135"/>
      <w:bookmarkStart w:id="136" w:name="_Toc217446079"/>
    </w:p>
    <w:bookmarkEnd w:id="136"/>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bookmarkEnd w:id="129"/>
      <w:bookmarkEnd w:id="130"/>
      <w:r>
        <w:rPr>
          <w:rFonts w:hint="eastAsia" w:ascii="宋体" w:hAnsi="宋体" w:eastAsia="宋体" w:cs="宋体"/>
          <w:color w:val="auto"/>
          <w:sz w:val="24"/>
          <w:highlight w:val="none"/>
        </w:rPr>
        <w:t>8．询问、质疑、投诉的接收和处理严格按照《中华人民共和国政府采购法》、《中华人民共和国政府采购法实施条例》、《政府采购货物和服务招标投标管理办法》、《政府采购质疑和投诉办法》、《财政部关于加强政府采购供应商投诉受理审查工作的通知》和《四川省政府采购供应商投诉处理工作规程》的规定办理（详细规定请在四川政府采购网政策法规模块查询）。</w:t>
      </w:r>
    </w:p>
    <w:p>
      <w:pPr>
        <w:pStyle w:val="4"/>
        <w:pageBreakBefore w:val="0"/>
        <w:kinsoku/>
        <w:wordWrap/>
        <w:overflowPunct/>
        <w:topLinePunct w:val="0"/>
        <w:bidi w:val="0"/>
        <w:spacing w:before="0" w:after="0" w:line="360" w:lineRule="auto"/>
        <w:jc w:val="center"/>
        <w:rPr>
          <w:rFonts w:hint="eastAsia" w:ascii="宋体" w:hAnsi="宋体" w:eastAsia="宋体" w:cs="宋体"/>
          <w:bCs w:val="0"/>
          <w:color w:val="auto"/>
          <w:szCs w:val="28"/>
          <w:highlight w:val="none"/>
        </w:rPr>
      </w:pPr>
      <w:r>
        <w:rPr>
          <w:rFonts w:hint="eastAsia" w:ascii="宋体" w:hAnsi="宋体" w:eastAsia="宋体" w:cs="宋体"/>
          <w:bCs w:val="0"/>
          <w:color w:val="auto"/>
          <w:szCs w:val="28"/>
          <w:highlight w:val="none"/>
        </w:rPr>
        <w:t>九、其他</w:t>
      </w:r>
    </w:p>
    <w:p>
      <w:pPr>
        <w:pageBreakBefore w:val="0"/>
        <w:kinsoku/>
        <w:wordWrap/>
        <w:overflowPunct/>
        <w:topLinePunct w:val="0"/>
        <w:bidi w:val="0"/>
        <w:spacing w:after="0"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39.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p>
    <w:p>
      <w:pPr>
        <w:pageBreakBefore w:val="0"/>
        <w:kinsoku/>
        <w:wordWrap/>
        <w:overflowPunct/>
        <w:topLinePunct w:val="0"/>
        <w:bidi w:val="0"/>
        <w:spacing w:after="0"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（实质性要求）</w:t>
      </w:r>
      <w:r>
        <w:rPr>
          <w:rFonts w:hint="eastAsia" w:ascii="宋体" w:hAnsi="宋体" w:eastAsia="宋体" w:cs="宋体"/>
          <w:color w:val="auto"/>
          <w:sz w:val="24"/>
          <w:highlight w:val="none"/>
          <w:lang w:val="en-US" w:eastAsia="zh-CN"/>
        </w:rPr>
        <w:t>40.</w:t>
      </w:r>
      <w:r>
        <w:rPr>
          <w:rFonts w:hint="eastAsia" w:ascii="宋体" w:hAnsi="宋体" w:eastAsia="宋体" w:cs="宋体"/>
          <w:color w:val="auto"/>
          <w:sz w:val="24"/>
          <w:highlight w:val="none"/>
        </w:rPr>
        <w:t>本项目强制认证产品：</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所投产品涉及国家强制认证的（CCC）或前置许可、认证的，在其他响应性投标文件提供符合国家强制认证（CCC）或前置许可、认证的承诺函原件，在供货时一并提供相关许可、认证材料。</w:t>
      </w:r>
      <w:r>
        <w:rPr>
          <w:rFonts w:hint="eastAsia" w:ascii="宋体" w:hAnsi="宋体" w:eastAsia="宋体" w:cs="宋体"/>
          <w:b/>
          <w:bCs/>
          <w:color w:val="auto"/>
          <w:sz w:val="24"/>
          <w:highlight w:val="none"/>
        </w:rPr>
        <w:t>（提供承诺函，格式自拟）</w:t>
      </w:r>
    </w:p>
    <w:p>
      <w:pPr>
        <w:pageBreakBefore w:val="0"/>
        <w:kinsoku/>
        <w:wordWrap/>
        <w:overflowPunct/>
        <w:topLinePunct w:val="0"/>
        <w:bidi w:val="0"/>
        <w:spacing w:after="0" w:line="360" w:lineRule="auto"/>
        <w:ind w:firstLine="482" w:firstLineChars="200"/>
        <w:rPr>
          <w:rFonts w:hint="eastAsia" w:ascii="宋体" w:hAnsi="宋体" w:eastAsia="宋体" w:cs="宋体"/>
          <w:color w:val="auto"/>
          <w:sz w:val="36"/>
          <w:szCs w:val="36"/>
          <w:highlight w:val="none"/>
        </w:rPr>
      </w:pPr>
      <w:r>
        <w:rPr>
          <w:rFonts w:hint="eastAsia" w:ascii="宋体" w:hAnsi="宋体" w:eastAsia="宋体" w:cs="宋体"/>
          <w:b/>
          <w:bCs/>
          <w:color w:val="auto"/>
          <w:sz w:val="24"/>
          <w:highlight w:val="none"/>
        </w:rPr>
        <w:t>（实质性要求）</w:t>
      </w:r>
      <w:r>
        <w:rPr>
          <w:rFonts w:hint="eastAsia" w:ascii="宋体" w:hAnsi="宋体" w:eastAsia="宋体" w:cs="宋体"/>
          <w:color w:val="auto"/>
          <w:sz w:val="24"/>
          <w:highlight w:val="none"/>
          <w:lang w:val="en-US" w:eastAsia="zh-CN"/>
        </w:rPr>
        <w:t>41.本项目信息安全产品：投标人</w:t>
      </w:r>
      <w:r>
        <w:rPr>
          <w:rFonts w:hint="eastAsia" w:ascii="宋体" w:hAnsi="宋体" w:eastAsia="宋体" w:cs="宋体"/>
          <w:color w:val="auto"/>
          <w:sz w:val="24"/>
          <w:highlight w:val="none"/>
        </w:rPr>
        <w:t>所投产品涉及信息安全产品的，在其他响应性投标文件提供承诺函原件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承诺</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val="en-US" w:eastAsia="zh-CN"/>
        </w:rPr>
        <w:t>签订合同前</w:t>
      </w:r>
      <w:r>
        <w:rPr>
          <w:rFonts w:hint="eastAsia" w:ascii="宋体" w:hAnsi="宋体" w:eastAsia="宋体" w:cs="宋体"/>
          <w:color w:val="auto"/>
          <w:sz w:val="24"/>
          <w:highlight w:val="none"/>
        </w:rPr>
        <w:t>提供中国信息安全认证中心按国家标准认证颁发的有效认证证书。</w:t>
      </w:r>
      <w:r>
        <w:rPr>
          <w:rFonts w:hint="eastAsia" w:ascii="宋体" w:hAnsi="宋体" w:eastAsia="宋体" w:cs="宋体"/>
          <w:b/>
          <w:bCs/>
          <w:color w:val="auto"/>
          <w:sz w:val="24"/>
          <w:highlight w:val="none"/>
        </w:rPr>
        <w:t>（提供承诺函，格式自拟）</w:t>
      </w:r>
      <w:bookmarkStart w:id="137" w:name="_Toc1368"/>
      <w:bookmarkStart w:id="138" w:name="_Toc24369"/>
      <w:bookmarkStart w:id="139" w:name="_Toc217446083"/>
      <w:r>
        <w:rPr>
          <w:rFonts w:hint="eastAsia" w:ascii="宋体" w:hAnsi="宋体" w:eastAsia="宋体" w:cs="宋体"/>
          <w:color w:val="auto"/>
          <w:sz w:val="36"/>
          <w:szCs w:val="36"/>
          <w:highlight w:val="none"/>
        </w:rPr>
        <w:br w:type="page"/>
      </w:r>
    </w:p>
    <w:p>
      <w:pPr>
        <w:pStyle w:val="3"/>
        <w:pageBreakBefore w:val="0"/>
        <w:kinsoku/>
        <w:wordWrap/>
        <w:overflowPunct/>
        <w:topLinePunct w:val="0"/>
        <w:bidi w:val="0"/>
        <w:spacing w:before="0" w:after="0"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第三章  投标文件格式</w:t>
      </w:r>
      <w:bookmarkEnd w:id="137"/>
      <w:bookmarkEnd w:id="138"/>
      <w:bookmarkStart w:id="140" w:name="_Toc217446082"/>
      <w:bookmarkStart w:id="141" w:name="_Toc308164821"/>
    </w:p>
    <w:p>
      <w:pPr>
        <w:pageBreakBefore w:val="0"/>
        <w:widowControl/>
        <w:kinsoku/>
        <w:wordWrap/>
        <w:overflowPunct/>
        <w:topLinePunct w:val="0"/>
        <w:bidi w:val="0"/>
        <w:spacing w:after="0" w:line="360" w:lineRule="auto"/>
        <w:jc w:val="center"/>
        <w:outlineLvl w:val="1"/>
        <w:rPr>
          <w:rFonts w:hint="eastAsia" w:ascii="宋体" w:hAnsi="宋体" w:eastAsia="宋体" w:cs="宋体"/>
          <w:b/>
          <w:color w:val="auto"/>
          <w:sz w:val="24"/>
          <w:highlight w:val="none"/>
        </w:rPr>
      </w:pPr>
    </w:p>
    <w:p>
      <w:pPr>
        <w:pageBreakBefore w:val="0"/>
        <w:widowControl/>
        <w:kinsoku/>
        <w:wordWrap/>
        <w:overflowPunct/>
        <w:topLinePunct w:val="0"/>
        <w:bidi w:val="0"/>
        <w:spacing w:after="0" w:line="360" w:lineRule="auto"/>
        <w:ind w:firstLine="470" w:firstLineChars="196"/>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一、本章所制投标文件格式，除格式中明确将该格式作为实质性要求的，一律不具有强制性，但是，投标人投标文件相关资料和本章所制格式不一致的，评标委员会将在评分时以投标文件不规范予以扣分处理。</w:t>
      </w:r>
    </w:p>
    <w:p>
      <w:pPr>
        <w:pageBreakBefore w:val="0"/>
        <w:widowControl/>
        <w:kinsoku/>
        <w:wordWrap/>
        <w:overflowPunct/>
        <w:topLinePunct w:val="0"/>
        <w:bidi w:val="0"/>
        <w:spacing w:after="0" w:line="360" w:lineRule="auto"/>
        <w:ind w:firstLine="470" w:firstLineChars="196"/>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二、本章所制投标文件格式有关表格中的备注栏，由投标人根据自身投标情况作解释性说明，不作为必填项。</w:t>
      </w:r>
    </w:p>
    <w:p>
      <w:pPr>
        <w:pageBreakBefore w:val="0"/>
        <w:widowControl/>
        <w:kinsoku/>
        <w:wordWrap/>
        <w:overflowPunct/>
        <w:topLinePunct w:val="0"/>
        <w:bidi w:val="0"/>
        <w:spacing w:after="0" w:line="360" w:lineRule="auto"/>
        <w:ind w:firstLine="470" w:firstLineChars="196"/>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三、本章所制投标文件格式中需要填写的相关内容事项，可能会与本采购项目无关，在不改变投标文件原义、不影响本项目采购需求的情况下，投标人可以不予填写，但应当注明。</w:t>
      </w:r>
      <w:bookmarkEnd w:id="133"/>
    </w:p>
    <w:p>
      <w:pPr>
        <w:pageBreakBefore w:val="0"/>
        <w:tabs>
          <w:tab w:val="left" w:pos="900"/>
        </w:tabs>
        <w:kinsoku/>
        <w:wordWrap/>
        <w:overflowPunct/>
        <w:topLinePunct w:val="0"/>
        <w:bidi w:val="0"/>
        <w:spacing w:after="0"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szCs w:val="32"/>
          <w:highlight w:val="none"/>
        </w:rPr>
        <w:br w:type="page"/>
      </w:r>
      <w:bookmarkStart w:id="142" w:name="PO_默认文件内容_24"/>
      <w:r>
        <w:rPr>
          <w:rFonts w:hint="eastAsia" w:ascii="宋体" w:hAnsi="宋体" w:eastAsia="宋体" w:cs="宋体"/>
          <w:b/>
          <w:color w:val="auto"/>
          <w:sz w:val="32"/>
          <w:highlight w:val="none"/>
        </w:rPr>
        <w:t>第一部分     “资格性投标文件”格式</w:t>
      </w:r>
    </w:p>
    <w:p>
      <w:pPr>
        <w:pageBreakBefore w:val="0"/>
        <w:kinsoku/>
        <w:wordWrap/>
        <w:overflowPunct/>
        <w:topLinePunct w:val="0"/>
        <w:bidi w:val="0"/>
        <w:spacing w:after="0"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格式1-1</w:t>
      </w:r>
    </w:p>
    <w:p>
      <w:pPr>
        <w:pageBreakBefore w:val="0"/>
        <w:kinsoku/>
        <w:wordWrap/>
        <w:overflowPunct/>
        <w:topLinePunct w:val="0"/>
        <w:bidi w:val="0"/>
        <w:spacing w:after="0"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封面：</w:t>
      </w:r>
    </w:p>
    <w:p>
      <w:pPr>
        <w:pageBreakBefore w:val="0"/>
        <w:kinsoku/>
        <w:wordWrap/>
        <w:overflowPunct/>
        <w:topLinePunct w:val="0"/>
        <w:bidi w:val="0"/>
        <w:spacing w:after="0" w:line="360" w:lineRule="auto"/>
        <w:jc w:val="right"/>
        <w:rPr>
          <w:rFonts w:hint="eastAsia" w:ascii="宋体" w:hAnsi="宋体" w:eastAsia="宋体" w:cs="宋体"/>
          <w:b/>
          <w:color w:val="auto"/>
          <w:sz w:val="36"/>
          <w:highlight w:val="none"/>
        </w:rPr>
      </w:pPr>
      <w:r>
        <w:rPr>
          <w:rFonts w:hint="eastAsia" w:ascii="宋体" w:hAnsi="宋体" w:eastAsia="宋体" w:cs="宋体"/>
          <w:b/>
          <w:color w:val="auto"/>
          <w:sz w:val="36"/>
          <w:highlight w:val="none"/>
        </w:rPr>
        <w:t>（正本/副本）</w:t>
      </w:r>
    </w:p>
    <w:p>
      <w:pPr>
        <w:pageBreakBefore w:val="0"/>
        <w:kinsoku/>
        <w:wordWrap/>
        <w:overflowPunct/>
        <w:topLinePunct w:val="0"/>
        <w:bidi w:val="0"/>
        <w:spacing w:after="0" w:line="360" w:lineRule="auto"/>
        <w:rPr>
          <w:rFonts w:hint="eastAsia" w:ascii="宋体" w:hAnsi="宋体" w:eastAsia="宋体" w:cs="宋体"/>
          <w:b/>
          <w:color w:val="auto"/>
          <w:sz w:val="32"/>
          <w:szCs w:val="32"/>
          <w:highlight w:val="none"/>
        </w:rPr>
      </w:pPr>
    </w:p>
    <w:p>
      <w:pPr>
        <w:pageBreakBefore w:val="0"/>
        <w:kinsoku/>
        <w:wordWrap/>
        <w:overflowPunct/>
        <w:topLinePunct w:val="0"/>
        <w:bidi w:val="0"/>
        <w:spacing w:after="0" w:line="360" w:lineRule="auto"/>
        <w:jc w:val="center"/>
        <w:rPr>
          <w:rFonts w:hint="eastAsia" w:ascii="宋体" w:hAnsi="宋体" w:eastAsia="宋体" w:cs="宋体"/>
          <w:b/>
          <w:color w:val="auto"/>
          <w:sz w:val="72"/>
          <w:highlight w:val="none"/>
        </w:rPr>
      </w:pPr>
      <w:r>
        <w:rPr>
          <w:rFonts w:hint="eastAsia" w:ascii="宋体" w:hAnsi="宋体" w:eastAsia="宋体" w:cs="宋体"/>
          <w:b/>
          <w:color w:val="auto"/>
          <w:sz w:val="40"/>
          <w:szCs w:val="48"/>
          <w:highlight w:val="none"/>
          <w:u w:val="single"/>
        </w:rPr>
        <w:t>xxxxx</w:t>
      </w:r>
      <w:r>
        <w:rPr>
          <w:rFonts w:hint="eastAsia" w:ascii="宋体" w:hAnsi="宋体" w:eastAsia="宋体" w:cs="宋体"/>
          <w:b/>
          <w:color w:val="auto"/>
          <w:sz w:val="40"/>
          <w:szCs w:val="48"/>
          <w:highlight w:val="none"/>
        </w:rPr>
        <w:t>项目</w:t>
      </w:r>
    </w:p>
    <w:p>
      <w:pPr>
        <w:pageBreakBefore w:val="0"/>
        <w:kinsoku/>
        <w:wordWrap/>
        <w:overflowPunct/>
        <w:topLinePunct w:val="0"/>
        <w:bidi w:val="0"/>
        <w:spacing w:after="0" w:line="360" w:lineRule="auto"/>
        <w:rPr>
          <w:rFonts w:hint="eastAsia" w:ascii="宋体" w:hAnsi="宋体" w:eastAsia="宋体" w:cs="宋体"/>
          <w:b/>
          <w:color w:val="auto"/>
          <w:sz w:val="52"/>
          <w:szCs w:val="52"/>
          <w:highlight w:val="none"/>
        </w:rPr>
      </w:pPr>
    </w:p>
    <w:p>
      <w:pPr>
        <w:pageBreakBefore w:val="0"/>
        <w:kinsoku/>
        <w:wordWrap/>
        <w:overflowPunct/>
        <w:topLinePunct w:val="0"/>
        <w:bidi w:val="0"/>
        <w:spacing w:after="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52"/>
          <w:szCs w:val="52"/>
          <w:highlight w:val="none"/>
        </w:rPr>
        <w:t>资格性投标文件</w:t>
      </w:r>
    </w:p>
    <w:p>
      <w:pPr>
        <w:pageBreakBefore w:val="0"/>
        <w:kinsoku/>
        <w:wordWrap/>
        <w:overflowPunct/>
        <w:topLinePunct w:val="0"/>
        <w:bidi w:val="0"/>
        <w:spacing w:after="0" w:line="360" w:lineRule="auto"/>
        <w:jc w:val="left"/>
        <w:rPr>
          <w:rFonts w:hint="eastAsia" w:ascii="宋体" w:hAnsi="宋体" w:eastAsia="宋体" w:cs="宋体"/>
          <w:b/>
          <w:color w:val="auto"/>
          <w:sz w:val="32"/>
          <w:highlight w:val="none"/>
        </w:rPr>
      </w:pPr>
    </w:p>
    <w:p>
      <w:pPr>
        <w:pageBreakBefore w:val="0"/>
        <w:kinsoku/>
        <w:wordWrap/>
        <w:overflowPunct/>
        <w:topLinePunct w:val="0"/>
        <w:bidi w:val="0"/>
        <w:spacing w:after="0" w:line="360" w:lineRule="auto"/>
        <w:jc w:val="left"/>
        <w:rPr>
          <w:rFonts w:hint="eastAsia" w:ascii="宋体" w:hAnsi="宋体" w:eastAsia="宋体" w:cs="宋体"/>
          <w:b/>
          <w:color w:val="auto"/>
          <w:sz w:val="32"/>
          <w:highlight w:val="none"/>
          <w:u w:val="single"/>
        </w:rPr>
      </w:pPr>
      <w:r>
        <w:rPr>
          <w:rFonts w:hint="eastAsia" w:ascii="宋体" w:hAnsi="宋体" w:eastAsia="宋体" w:cs="宋体"/>
          <w:b/>
          <w:color w:val="auto"/>
          <w:sz w:val="32"/>
          <w:highlight w:val="none"/>
        </w:rPr>
        <w:t>投 标 人名称： XXXX</w:t>
      </w:r>
    </w:p>
    <w:p>
      <w:pPr>
        <w:pageBreakBefore w:val="0"/>
        <w:kinsoku/>
        <w:wordWrap/>
        <w:overflowPunct/>
        <w:topLinePunct w:val="0"/>
        <w:bidi w:val="0"/>
        <w:spacing w:after="0" w:line="360" w:lineRule="auto"/>
        <w:jc w:val="left"/>
        <w:rPr>
          <w:rFonts w:hint="eastAsia" w:ascii="宋体" w:hAnsi="宋体" w:eastAsia="宋体" w:cs="宋体"/>
          <w:b/>
          <w:color w:val="auto"/>
          <w:sz w:val="32"/>
          <w:highlight w:val="none"/>
          <w:u w:val="single"/>
        </w:rPr>
      </w:pPr>
      <w:r>
        <w:rPr>
          <w:rFonts w:hint="eastAsia" w:ascii="宋体" w:hAnsi="宋体" w:eastAsia="宋体" w:cs="宋体"/>
          <w:b/>
          <w:color w:val="auto"/>
          <w:sz w:val="32"/>
          <w:highlight w:val="none"/>
        </w:rPr>
        <w:t>采购项目编号： XXXX</w:t>
      </w:r>
    </w:p>
    <w:p>
      <w:pPr>
        <w:pStyle w:val="2"/>
        <w:pageBreakBefore w:val="0"/>
        <w:kinsoku/>
        <w:wordWrap/>
        <w:overflowPunct/>
        <w:topLinePunct w:val="0"/>
        <w:bidi w:val="0"/>
        <w:spacing w:after="0" w:line="360" w:lineRule="auto"/>
        <w:rPr>
          <w:rFonts w:hint="eastAsia" w:ascii="宋体" w:hAnsi="宋体" w:eastAsia="宋体" w:cs="宋体"/>
          <w:color w:val="auto"/>
          <w:highlight w:val="none"/>
        </w:rPr>
      </w:pPr>
    </w:p>
    <w:p>
      <w:pPr>
        <w:pageBreakBefore w:val="0"/>
        <w:kinsoku/>
        <w:wordWrap/>
        <w:overflowPunct/>
        <w:topLinePunct w:val="0"/>
        <w:bidi w:val="0"/>
        <w:spacing w:after="0" w:line="360" w:lineRule="auto"/>
        <w:ind w:firstLine="790" w:firstLineChars="246"/>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投标时间：202</w:t>
      </w:r>
      <w:r>
        <w:rPr>
          <w:rFonts w:hint="eastAsia" w:ascii="宋体" w:hAnsi="宋体" w:eastAsia="宋体" w:cs="宋体"/>
          <w:b/>
          <w:color w:val="auto"/>
          <w:sz w:val="32"/>
          <w:highlight w:val="none"/>
          <w:lang w:val="en-US" w:eastAsia="zh-CN"/>
        </w:rPr>
        <w:t>2</w:t>
      </w:r>
      <w:r>
        <w:rPr>
          <w:rFonts w:hint="eastAsia" w:ascii="宋体" w:hAnsi="宋体" w:eastAsia="宋体" w:cs="宋体"/>
          <w:b/>
          <w:color w:val="auto"/>
          <w:sz w:val="32"/>
          <w:highlight w:val="none"/>
        </w:rPr>
        <w:t>年XX月XX日</w:t>
      </w:r>
    </w:p>
    <w:p>
      <w:pPr>
        <w:pageBreakBefore w:val="0"/>
        <w:kinsoku/>
        <w:wordWrap/>
        <w:overflowPunct/>
        <w:topLinePunct w:val="0"/>
        <w:bidi w:val="0"/>
        <w:spacing w:after="0"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rPr>
        <w:br w:type="page"/>
      </w:r>
      <w:r>
        <w:rPr>
          <w:rFonts w:hint="eastAsia" w:ascii="宋体" w:hAnsi="宋体" w:eastAsia="宋体" w:cs="宋体"/>
          <w:b/>
          <w:color w:val="auto"/>
          <w:sz w:val="32"/>
          <w:szCs w:val="32"/>
          <w:highlight w:val="none"/>
        </w:rPr>
        <w:t>格式1-2</w:t>
      </w:r>
    </w:p>
    <w:p>
      <w:pPr>
        <w:pageBreakBefore w:val="0"/>
        <w:kinsoku/>
        <w:wordWrap/>
        <w:overflowPunct/>
        <w:topLinePunct w:val="0"/>
        <w:bidi w:val="0"/>
        <w:spacing w:after="0" w:line="360" w:lineRule="auto"/>
        <w:ind w:firstLine="790" w:firstLineChars="246"/>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一、法定代表人/单位负责人授权书</w:t>
      </w:r>
    </w:p>
    <w:p>
      <w:pPr>
        <w:pageBreakBefore w:val="0"/>
        <w:widowControl/>
        <w:kinsoku/>
        <w:wordWrap/>
        <w:overflowPunct/>
        <w:topLinePunct w:val="0"/>
        <w:bidi w:val="0"/>
        <w:spacing w:after="0" w:line="360" w:lineRule="auto"/>
        <w:ind w:firstLine="472" w:firstLineChars="196"/>
        <w:jc w:val="left"/>
        <w:outlineLvl w:val="1"/>
        <w:rPr>
          <w:rFonts w:hint="eastAsia" w:ascii="宋体" w:hAnsi="宋体" w:eastAsia="宋体" w:cs="宋体"/>
          <w:b/>
          <w:color w:val="auto"/>
          <w:sz w:val="24"/>
          <w:highlight w:val="none"/>
        </w:rPr>
      </w:pPr>
    </w:p>
    <w:p>
      <w:pPr>
        <w:pageBreakBefore w:val="0"/>
        <w:widowControl/>
        <w:kinsoku/>
        <w:wordWrap/>
        <w:overflowPunct/>
        <w:topLinePunct w:val="0"/>
        <w:bidi w:val="0"/>
        <w:spacing w:after="0" w:line="360" w:lineRule="auto"/>
        <w:ind w:firstLine="472" w:firstLineChars="196"/>
        <w:jc w:val="left"/>
        <w:outlineLvl w:val="1"/>
        <w:rPr>
          <w:rFonts w:hint="eastAsia" w:ascii="宋体" w:hAnsi="宋体" w:eastAsia="宋体" w:cs="宋体"/>
          <w:b/>
          <w:color w:val="auto"/>
          <w:sz w:val="24"/>
          <w:highlight w:val="none"/>
        </w:rPr>
      </w:pPr>
    </w:p>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XXXXXXXX（采购代理机构名称）：</w:t>
      </w:r>
    </w:p>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本授权声明：XXXX XXXX（投标人名称）XXXX（法定代表人/单位负责人姓名、职务）授权XXXX（被授权人姓名、职务）为我方 “XXXXXXXX” 项目（招标编号：XXXX）投标活动的合法代表，以我方名义全权处理该项目有关投标、签订合同以及执行合同等一切事宜。</w:t>
      </w:r>
    </w:p>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特此声明。</w:t>
      </w:r>
    </w:p>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rPr>
      </w:pPr>
    </w:p>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p>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投标人名称：XXXX（盖单位公章）。</w:t>
      </w:r>
    </w:p>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期：XXXX。</w:t>
      </w:r>
    </w:p>
    <w:p>
      <w:pPr>
        <w:pageBreakBefore w:val="0"/>
        <w:widowControl/>
        <w:kinsoku/>
        <w:wordWrap/>
        <w:overflowPunct/>
        <w:topLinePunct w:val="0"/>
        <w:bidi w:val="0"/>
        <w:spacing w:after="0" w:line="360" w:lineRule="auto"/>
        <w:jc w:val="left"/>
        <w:outlineLvl w:val="1"/>
        <w:rPr>
          <w:rFonts w:hint="eastAsia" w:ascii="宋体" w:hAnsi="宋体" w:eastAsia="宋体" w:cs="宋体"/>
          <w:b/>
          <w:color w:val="auto"/>
          <w:sz w:val="24"/>
          <w:highlight w:val="none"/>
        </w:rPr>
      </w:pPr>
      <w:bookmarkStart w:id="143" w:name="_Toc217446084"/>
    </w:p>
    <w:p>
      <w:pPr>
        <w:pageBreakBefore w:val="0"/>
        <w:widowControl/>
        <w:kinsoku/>
        <w:wordWrap/>
        <w:overflowPunct/>
        <w:topLinePunct w:val="0"/>
        <w:bidi w:val="0"/>
        <w:spacing w:after="0" w:line="360" w:lineRule="auto"/>
        <w:jc w:val="left"/>
        <w:outlineLvl w:val="1"/>
        <w:rPr>
          <w:rFonts w:hint="eastAsia" w:ascii="宋体" w:hAnsi="宋体" w:eastAsia="宋体" w:cs="宋体"/>
          <w:b/>
          <w:color w:val="auto"/>
          <w:sz w:val="24"/>
          <w:highlight w:val="none"/>
        </w:rPr>
      </w:pPr>
    </w:p>
    <w:p>
      <w:pPr>
        <w:pageBreakBefore w:val="0"/>
        <w:widowControl/>
        <w:kinsoku/>
        <w:wordWrap/>
        <w:overflowPunct/>
        <w:topLinePunct w:val="0"/>
        <w:bidi w:val="0"/>
        <w:spacing w:after="0" w:line="360" w:lineRule="auto"/>
        <w:jc w:val="left"/>
        <w:outlineLvl w:val="1"/>
        <w:rPr>
          <w:rFonts w:hint="eastAsia" w:ascii="宋体" w:hAnsi="宋体" w:eastAsia="宋体" w:cs="宋体"/>
          <w:b/>
          <w:color w:val="auto"/>
          <w:sz w:val="24"/>
          <w:highlight w:val="none"/>
        </w:rPr>
      </w:pPr>
    </w:p>
    <w:p>
      <w:pPr>
        <w:pageBreakBefore w:val="0"/>
        <w:widowControl/>
        <w:kinsoku/>
        <w:wordWrap/>
        <w:overflowPunct/>
        <w:topLinePunct w:val="0"/>
        <w:bidi w:val="0"/>
        <w:spacing w:after="0" w:line="360" w:lineRule="auto"/>
        <w:jc w:val="left"/>
        <w:outlineLvl w:val="1"/>
        <w:rPr>
          <w:rFonts w:hint="eastAsia" w:ascii="宋体" w:hAnsi="宋体" w:eastAsia="宋体" w:cs="宋体"/>
          <w:b/>
          <w:color w:val="auto"/>
          <w:sz w:val="24"/>
          <w:highlight w:val="none"/>
        </w:rPr>
      </w:pPr>
    </w:p>
    <w:p>
      <w:pPr>
        <w:pageBreakBefore w:val="0"/>
        <w:kinsoku/>
        <w:wordWrap/>
        <w:overflowPunct/>
        <w:topLinePunct w:val="0"/>
        <w:bidi w:val="0"/>
        <w:spacing w:after="0" w:line="360" w:lineRule="auto"/>
        <w:ind w:left="840" w:hanging="840" w:hangingChars="3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1、投标人为法人单位时提供“法定代表人授权书”，投标人为其他组织时提供“单位负责人授权书”，投标人为自然人时提供“自然人身份证明材料”。</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2、应附法定代表人/单位负责人身份证明材料复印件和授权代表身份证明材料复印件。</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3、身份证明材料包括居民身份证或户口本或军官证或护照等，身份证明材料应同时提供其在有效期的材料，如居民身份证正、反面复印件。</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p>
    <w:p>
      <w:pPr>
        <w:pageBreakBefore w:val="0"/>
        <w:widowControl/>
        <w:kinsoku/>
        <w:wordWrap/>
        <w:overflowPunct/>
        <w:topLinePunct w:val="0"/>
        <w:bidi w:val="0"/>
        <w:spacing w:after="0" w:line="360" w:lineRule="auto"/>
        <w:jc w:val="left"/>
        <w:outlineLvl w:val="1"/>
        <w:rPr>
          <w:rFonts w:hint="eastAsia" w:ascii="宋体" w:hAnsi="宋体" w:eastAsia="宋体" w:cs="宋体"/>
          <w:b/>
          <w:color w:val="auto"/>
          <w:sz w:val="24"/>
          <w:highlight w:val="none"/>
        </w:rPr>
      </w:pPr>
    </w:p>
    <w:bookmarkEnd w:id="143"/>
    <w:p>
      <w:pPr>
        <w:pageBreakBefore w:val="0"/>
        <w:kinsoku/>
        <w:wordWrap/>
        <w:overflowPunct/>
        <w:topLinePunct w:val="0"/>
        <w:bidi w:val="0"/>
        <w:spacing w:after="0" w:line="360" w:lineRule="auto"/>
        <w:ind w:firstLine="790" w:firstLineChars="246"/>
        <w:jc w:val="center"/>
        <w:rPr>
          <w:rFonts w:hint="eastAsia" w:ascii="宋体" w:hAnsi="宋体" w:eastAsia="宋体" w:cs="宋体"/>
          <w:b/>
          <w:color w:val="auto"/>
          <w:sz w:val="32"/>
          <w:highlight w:val="none"/>
        </w:rPr>
      </w:pPr>
    </w:p>
    <w:p>
      <w:pPr>
        <w:pageBreakBefore w:val="0"/>
        <w:kinsoku/>
        <w:wordWrap/>
        <w:overflowPunct/>
        <w:topLinePunct w:val="0"/>
        <w:bidi w:val="0"/>
        <w:spacing w:after="0" w:line="360" w:lineRule="auto"/>
        <w:ind w:firstLine="790" w:firstLineChars="246"/>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144" w:name="_Toc434225393"/>
      <w:r>
        <w:rPr>
          <w:rFonts w:hint="eastAsia" w:ascii="宋体" w:hAnsi="宋体" w:eastAsia="宋体" w:cs="宋体"/>
          <w:b/>
          <w:color w:val="auto"/>
          <w:sz w:val="32"/>
          <w:szCs w:val="32"/>
          <w:highlight w:val="none"/>
        </w:rPr>
        <w:t>法定代表人/单位负责人身份证明书</w:t>
      </w:r>
      <w:bookmarkEnd w:id="144"/>
    </w:p>
    <w:p>
      <w:pPr>
        <w:pageBreakBefore w:val="0"/>
        <w:tabs>
          <w:tab w:val="left" w:pos="6300"/>
        </w:tabs>
        <w:kinsoku/>
        <w:wordWrap/>
        <w:overflowPunct/>
        <w:topLinePunct w:val="0"/>
        <w:bidi w:val="0"/>
        <w:spacing w:after="0" w:line="360" w:lineRule="auto"/>
        <w:ind w:firstLine="560"/>
        <w:rPr>
          <w:rFonts w:hint="eastAsia" w:ascii="宋体" w:hAnsi="宋体" w:eastAsia="宋体" w:cs="宋体"/>
          <w:color w:val="auto"/>
          <w:sz w:val="24"/>
          <w:highlight w:val="none"/>
          <w:u w:val="single"/>
        </w:rPr>
      </w:pPr>
    </w:p>
    <w:p>
      <w:pPr>
        <w:pageBreakBefore w:val="0"/>
        <w:tabs>
          <w:tab w:val="left" w:pos="6300"/>
        </w:tabs>
        <w:kinsoku/>
        <w:wordWrap/>
        <w:overflowPunct/>
        <w:topLinePunct w:val="0"/>
        <w:bidi w:val="0"/>
        <w:spacing w:after="0" w:line="360" w:lineRule="auto"/>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XXXX</w:t>
      </w:r>
      <w:r>
        <w:rPr>
          <w:rFonts w:hint="eastAsia" w:ascii="宋体" w:hAnsi="宋体" w:eastAsia="宋体" w:cs="宋体"/>
          <w:color w:val="auto"/>
          <w:sz w:val="24"/>
          <w:highlight w:val="none"/>
          <w:lang w:val="zh-CN"/>
        </w:rPr>
        <w:t>（法定代表人姓名）在</w:t>
      </w:r>
      <w:r>
        <w:rPr>
          <w:rFonts w:hint="eastAsia" w:ascii="宋体" w:hAnsi="宋体" w:eastAsia="宋体" w:cs="宋体"/>
          <w:color w:val="auto"/>
          <w:sz w:val="24"/>
          <w:highlight w:val="none"/>
        </w:rPr>
        <w:t>XXXX</w:t>
      </w:r>
      <w:r>
        <w:rPr>
          <w:rFonts w:hint="eastAsia" w:ascii="宋体" w:hAnsi="宋体" w:eastAsia="宋体" w:cs="宋体"/>
          <w:color w:val="auto"/>
          <w:sz w:val="24"/>
          <w:highlight w:val="none"/>
          <w:lang w:val="zh-CN"/>
        </w:rPr>
        <w:t xml:space="preserve">（投标人名称）处任 </w:t>
      </w:r>
      <w:r>
        <w:rPr>
          <w:rFonts w:hint="eastAsia" w:ascii="宋体" w:hAnsi="宋体" w:eastAsia="宋体" w:cs="宋体"/>
          <w:color w:val="auto"/>
          <w:sz w:val="24"/>
          <w:highlight w:val="none"/>
        </w:rPr>
        <w:t>XXXX</w:t>
      </w:r>
      <w:r>
        <w:rPr>
          <w:rFonts w:hint="eastAsia" w:ascii="宋体" w:hAnsi="宋体" w:eastAsia="宋体" w:cs="宋体"/>
          <w:color w:val="auto"/>
          <w:sz w:val="24"/>
          <w:highlight w:val="none"/>
          <w:lang w:val="zh-CN"/>
        </w:rPr>
        <w:t xml:space="preserve">（职务名称）职务，是 </w:t>
      </w:r>
      <w:r>
        <w:rPr>
          <w:rFonts w:hint="eastAsia" w:ascii="宋体" w:hAnsi="宋体" w:eastAsia="宋体" w:cs="宋体"/>
          <w:color w:val="auto"/>
          <w:sz w:val="24"/>
          <w:highlight w:val="none"/>
        </w:rPr>
        <w:t>XXXX</w:t>
      </w:r>
      <w:r>
        <w:rPr>
          <w:rFonts w:hint="eastAsia" w:ascii="宋体" w:hAnsi="宋体" w:eastAsia="宋体" w:cs="宋体"/>
          <w:color w:val="auto"/>
          <w:sz w:val="24"/>
          <w:highlight w:val="none"/>
          <w:lang w:val="zh-CN"/>
        </w:rPr>
        <w:t>（投标人名称）的法定代表人。</w:t>
      </w:r>
    </w:p>
    <w:p>
      <w:pPr>
        <w:pageBreakBefore w:val="0"/>
        <w:tabs>
          <w:tab w:val="left" w:pos="6300"/>
        </w:tabs>
        <w:kinsoku/>
        <w:wordWrap/>
        <w:overflowPunct/>
        <w:topLinePunct w:val="0"/>
        <w:bidi w:val="0"/>
        <w:spacing w:after="0" w:line="360" w:lineRule="auto"/>
        <w:ind w:firstLine="480"/>
        <w:rPr>
          <w:rFonts w:hint="eastAsia" w:ascii="宋体" w:hAnsi="宋体" w:eastAsia="宋体" w:cs="宋体"/>
          <w:color w:val="auto"/>
          <w:sz w:val="24"/>
          <w:highlight w:val="none"/>
          <w:lang w:val="zh-CN"/>
        </w:rPr>
      </w:pPr>
    </w:p>
    <w:p>
      <w:pPr>
        <w:pageBreakBefore w:val="0"/>
        <w:tabs>
          <w:tab w:val="left" w:pos="6300"/>
        </w:tabs>
        <w:kinsoku/>
        <w:wordWrap/>
        <w:overflowPunct/>
        <w:topLinePunct w:val="0"/>
        <w:bidi w:val="0"/>
        <w:spacing w:after="0" w:line="360" w:lineRule="auto"/>
        <w:ind w:firstLine="480"/>
        <w:rPr>
          <w:rFonts w:hint="eastAsia" w:ascii="宋体" w:hAnsi="宋体" w:eastAsia="宋体" w:cs="宋体"/>
          <w:color w:val="auto"/>
          <w:sz w:val="24"/>
          <w:highlight w:val="none"/>
          <w:lang w:val="zh-CN"/>
        </w:rPr>
      </w:pPr>
    </w:p>
    <w:p>
      <w:pPr>
        <w:pageBreakBefore w:val="0"/>
        <w:tabs>
          <w:tab w:val="left" w:pos="6300"/>
        </w:tabs>
        <w:kinsoku/>
        <w:wordWrap/>
        <w:overflowPunct/>
        <w:topLinePunct w:val="0"/>
        <w:bidi w:val="0"/>
        <w:spacing w:after="0" w:line="360" w:lineRule="auto"/>
        <w:ind w:firstLine="480"/>
        <w:rPr>
          <w:rFonts w:hint="eastAsia" w:ascii="宋体" w:hAnsi="宋体" w:eastAsia="宋体" w:cs="宋体"/>
          <w:color w:val="auto"/>
          <w:sz w:val="24"/>
          <w:highlight w:val="none"/>
          <w:lang w:val="zh-CN"/>
        </w:rPr>
      </w:pPr>
    </w:p>
    <w:p>
      <w:pPr>
        <w:pageBreakBefore w:val="0"/>
        <w:tabs>
          <w:tab w:val="left" w:pos="6300"/>
        </w:tabs>
        <w:kinsoku/>
        <w:wordWrap/>
        <w:overflowPunct/>
        <w:topLinePunct w:val="0"/>
        <w:bidi w:val="0"/>
        <w:spacing w:after="0" w:line="360" w:lineRule="auto"/>
        <w:ind w:firstLine="480"/>
        <w:rPr>
          <w:rFonts w:hint="eastAsia" w:ascii="宋体" w:hAnsi="宋体" w:eastAsia="宋体" w:cs="宋体"/>
          <w:color w:val="auto"/>
          <w:sz w:val="24"/>
          <w:highlight w:val="none"/>
          <w:lang w:val="zh-CN"/>
        </w:rPr>
      </w:pPr>
      <w:bookmarkStart w:id="145" w:name="_Toc263768866"/>
      <w:r>
        <w:rPr>
          <w:rFonts w:hint="eastAsia" w:ascii="宋体" w:hAnsi="宋体" w:eastAsia="宋体" w:cs="宋体"/>
          <w:color w:val="auto"/>
          <w:sz w:val="24"/>
          <w:highlight w:val="none"/>
          <w:lang w:val="zh-CN"/>
        </w:rPr>
        <w:t>特此证明。</w:t>
      </w:r>
      <w:bookmarkEnd w:id="145"/>
    </w:p>
    <w:p>
      <w:pPr>
        <w:pageBreakBefore w:val="0"/>
        <w:tabs>
          <w:tab w:val="left" w:pos="6300"/>
        </w:tabs>
        <w:kinsoku/>
        <w:wordWrap/>
        <w:overflowPunct/>
        <w:topLinePunct w:val="0"/>
        <w:bidi w:val="0"/>
        <w:spacing w:after="0" w:line="360" w:lineRule="auto"/>
        <w:ind w:firstLine="480"/>
        <w:rPr>
          <w:rFonts w:hint="eastAsia" w:ascii="宋体" w:hAnsi="宋体" w:eastAsia="宋体" w:cs="宋体"/>
          <w:color w:val="auto"/>
          <w:sz w:val="24"/>
          <w:highlight w:val="none"/>
          <w:lang w:val="zh-CN"/>
        </w:rPr>
      </w:pPr>
    </w:p>
    <w:p>
      <w:pPr>
        <w:pageBreakBefore w:val="0"/>
        <w:tabs>
          <w:tab w:val="left" w:pos="6300"/>
        </w:tabs>
        <w:kinsoku/>
        <w:wordWrap/>
        <w:overflowPunct/>
        <w:topLinePunct w:val="0"/>
        <w:bidi w:val="0"/>
        <w:spacing w:after="0" w:line="360" w:lineRule="auto"/>
        <w:ind w:firstLine="480"/>
        <w:rPr>
          <w:rFonts w:hint="eastAsia" w:ascii="宋体" w:hAnsi="宋体" w:eastAsia="宋体" w:cs="宋体"/>
          <w:color w:val="auto"/>
          <w:sz w:val="24"/>
          <w:highlight w:val="none"/>
          <w:lang w:val="zh-CN"/>
        </w:rPr>
      </w:pPr>
    </w:p>
    <w:p>
      <w:pPr>
        <w:pageBreakBefore w:val="0"/>
        <w:tabs>
          <w:tab w:val="left" w:pos="6300"/>
        </w:tabs>
        <w:kinsoku/>
        <w:wordWrap/>
        <w:overflowPunct/>
        <w:topLinePunct w:val="0"/>
        <w:bidi w:val="0"/>
        <w:spacing w:after="0" w:line="360" w:lineRule="auto"/>
        <w:ind w:firstLine="480"/>
        <w:rPr>
          <w:rFonts w:hint="eastAsia" w:ascii="宋体" w:hAnsi="宋体" w:eastAsia="宋体" w:cs="宋体"/>
          <w:color w:val="auto"/>
          <w:sz w:val="24"/>
          <w:highlight w:val="none"/>
          <w:lang w:val="zh-CN"/>
        </w:rPr>
      </w:pPr>
    </w:p>
    <w:p>
      <w:pPr>
        <w:pageBreakBefore w:val="0"/>
        <w:tabs>
          <w:tab w:val="left" w:pos="6300"/>
        </w:tabs>
        <w:kinsoku/>
        <w:wordWrap/>
        <w:overflowPunct/>
        <w:topLinePunct w:val="0"/>
        <w:bidi w:val="0"/>
        <w:spacing w:after="0" w:line="360" w:lineRule="auto"/>
        <w:rPr>
          <w:rFonts w:hint="eastAsia" w:ascii="宋体" w:hAnsi="宋体" w:eastAsia="宋体" w:cs="宋体"/>
          <w:color w:val="auto"/>
          <w:sz w:val="24"/>
          <w:highlight w:val="none"/>
          <w:lang w:val="zh-CN"/>
        </w:rPr>
      </w:pPr>
    </w:p>
    <w:p>
      <w:pPr>
        <w:pageBreakBefore w:val="0"/>
        <w:tabs>
          <w:tab w:val="left" w:pos="6300"/>
        </w:tabs>
        <w:kinsoku/>
        <w:wordWrap/>
        <w:overflowPunct/>
        <w:topLinePunct w:val="0"/>
        <w:bidi w:val="0"/>
        <w:spacing w:after="0" w:line="360" w:lineRule="auto"/>
        <w:ind w:firstLine="480"/>
        <w:rPr>
          <w:rFonts w:hint="eastAsia" w:ascii="宋体" w:hAnsi="宋体" w:eastAsia="宋体" w:cs="宋体"/>
          <w:color w:val="auto"/>
          <w:sz w:val="24"/>
          <w:highlight w:val="none"/>
          <w:lang w:val="zh-CN"/>
        </w:rPr>
      </w:pPr>
    </w:p>
    <w:p>
      <w:pPr>
        <w:pageBreakBefore w:val="0"/>
        <w:tabs>
          <w:tab w:val="left" w:pos="6300"/>
        </w:tabs>
        <w:kinsoku/>
        <w:wordWrap/>
        <w:overflowPunct/>
        <w:topLinePunct w:val="0"/>
        <w:bidi w:val="0"/>
        <w:spacing w:after="0" w:line="360" w:lineRule="auto"/>
        <w:ind w:firstLine="480"/>
        <w:rPr>
          <w:rFonts w:hint="eastAsia" w:ascii="宋体" w:hAnsi="宋体" w:eastAsia="宋体" w:cs="宋体"/>
          <w:color w:val="auto"/>
          <w:sz w:val="24"/>
          <w:highlight w:val="none"/>
          <w:lang w:val="zh-CN"/>
        </w:rPr>
      </w:pPr>
    </w:p>
    <w:p>
      <w:pPr>
        <w:pageBreakBefore w:val="0"/>
        <w:kinsoku/>
        <w:wordWrap/>
        <w:overflowPunct/>
        <w:topLinePunct w:val="0"/>
        <w:bidi w:val="0"/>
        <w:spacing w:after="0" w:line="360" w:lineRule="auto"/>
        <w:ind w:firstLine="720" w:firstLineChars="3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投标人名称： </w:t>
      </w:r>
      <w:r>
        <w:rPr>
          <w:rFonts w:hint="eastAsia" w:ascii="宋体" w:hAnsi="宋体" w:eastAsia="宋体" w:cs="宋体"/>
          <w:color w:val="auto"/>
          <w:sz w:val="24"/>
          <w:highlight w:val="none"/>
        </w:rPr>
        <w:t>XXXX</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盖单位公章</w:t>
      </w:r>
      <w:r>
        <w:rPr>
          <w:rFonts w:hint="eastAsia" w:ascii="宋体" w:hAnsi="宋体" w:eastAsia="宋体" w:cs="宋体"/>
          <w:color w:val="auto"/>
          <w:sz w:val="24"/>
          <w:highlight w:val="none"/>
          <w:lang w:val="zh-CN"/>
        </w:rPr>
        <w:t>）</w:t>
      </w:r>
    </w:p>
    <w:p>
      <w:pPr>
        <w:pageBreakBefore w:val="0"/>
        <w:kinsoku/>
        <w:wordWrap/>
        <w:overflowPunct/>
        <w:topLinePunct w:val="0"/>
        <w:bidi w:val="0"/>
        <w:spacing w:after="0"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投标日期：</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XXXX年</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XXXX月</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XXXX日</w:t>
      </w:r>
    </w:p>
    <w:p>
      <w:pPr>
        <w:pageBreakBefore w:val="0"/>
        <w:tabs>
          <w:tab w:val="left" w:pos="6300"/>
        </w:tabs>
        <w:kinsoku/>
        <w:wordWrap/>
        <w:overflowPunct/>
        <w:topLinePunct w:val="0"/>
        <w:bidi w:val="0"/>
        <w:spacing w:after="0" w:line="360" w:lineRule="auto"/>
        <w:ind w:firstLine="480"/>
        <w:rPr>
          <w:rFonts w:hint="eastAsia" w:ascii="宋体" w:hAnsi="宋体" w:eastAsia="宋体" w:cs="宋体"/>
          <w:color w:val="auto"/>
          <w:sz w:val="24"/>
          <w:highlight w:val="none"/>
          <w:lang w:val="zh-CN"/>
        </w:rPr>
      </w:pP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说明：</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附法定代表人身份证复印件时才能生效(身份证复印件加盖公章。投标人的法定代表人为外籍人士的，可提供护照复印件并加盖公章)，</w:t>
      </w:r>
      <w:r>
        <w:rPr>
          <w:rFonts w:hint="eastAsia" w:ascii="宋体" w:hAnsi="宋体" w:eastAsia="宋体" w:cs="宋体"/>
          <w:color w:val="auto"/>
          <w:sz w:val="24"/>
          <w:highlight w:val="none"/>
        </w:rPr>
        <w:t>投标人为其他组织时提供“单位负责人身份证明书”格式自拟，并附单位负责人身份证复印件并加盖公章。</w:t>
      </w:r>
    </w:p>
    <w:p>
      <w:pPr>
        <w:pageBreakBefore w:val="0"/>
        <w:kinsoku/>
        <w:wordWrap/>
        <w:overflowPunct/>
        <w:topLinePunct w:val="0"/>
        <w:bidi w:val="0"/>
        <w:spacing w:after="0" w:line="360" w:lineRule="auto"/>
        <w:ind w:firstLine="1200" w:firstLineChars="5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2、提供的证件必须在有效期内。</w:t>
      </w:r>
    </w:p>
    <w:p>
      <w:pPr>
        <w:pageBreakBefore w:val="0"/>
        <w:kinsoku/>
        <w:wordWrap/>
        <w:overflowPunct/>
        <w:topLinePunct w:val="0"/>
        <w:bidi w:val="0"/>
        <w:spacing w:after="0" w:line="360" w:lineRule="auto"/>
        <w:rPr>
          <w:rFonts w:hint="eastAsia" w:ascii="宋体" w:hAnsi="宋体" w:eastAsia="宋体" w:cs="宋体"/>
          <w:b/>
          <w:color w:val="auto"/>
          <w:sz w:val="32"/>
          <w:szCs w:val="32"/>
          <w:highlight w:val="none"/>
        </w:rPr>
      </w:pPr>
    </w:p>
    <w:p>
      <w:pPr>
        <w:pageBreakBefore w:val="0"/>
        <w:kinsoku/>
        <w:wordWrap/>
        <w:overflowPunct/>
        <w:topLinePunct w:val="0"/>
        <w:bidi w:val="0"/>
        <w:spacing w:after="0" w:line="360" w:lineRule="auto"/>
        <w:rPr>
          <w:rFonts w:hint="eastAsia" w:ascii="宋体" w:hAnsi="宋体" w:eastAsia="宋体" w:cs="宋体"/>
          <w:b/>
          <w:color w:val="auto"/>
          <w:sz w:val="32"/>
          <w:szCs w:val="32"/>
          <w:highlight w:val="none"/>
        </w:rPr>
      </w:pPr>
    </w:p>
    <w:p>
      <w:pPr>
        <w:pageBreakBefore w:val="0"/>
        <w:kinsoku/>
        <w:wordWrap/>
        <w:overflowPunct/>
        <w:topLinePunct w:val="0"/>
        <w:bidi w:val="0"/>
        <w:spacing w:after="0"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pPr>
        <w:pageBreakBefore w:val="0"/>
        <w:kinsoku/>
        <w:wordWrap/>
        <w:overflowPunct/>
        <w:topLinePunct w:val="0"/>
        <w:bidi w:val="0"/>
        <w:spacing w:after="0"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格式1-3</w:t>
      </w:r>
    </w:p>
    <w:p>
      <w:pPr>
        <w:pageBreakBefore w:val="0"/>
        <w:widowControl/>
        <w:kinsoku/>
        <w:wordWrap/>
        <w:overflowPunct/>
        <w:topLinePunct w:val="0"/>
        <w:bidi w:val="0"/>
        <w:spacing w:after="0" w:line="360" w:lineRule="auto"/>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二、承诺函</w:t>
      </w:r>
    </w:p>
    <w:p>
      <w:pPr>
        <w:pageBreakBefore w:val="0"/>
        <w:widowControl/>
        <w:kinsoku/>
        <w:wordWrap/>
        <w:overflowPunct/>
        <w:topLinePunct w:val="0"/>
        <w:bidi w:val="0"/>
        <w:spacing w:after="0" w:line="360" w:lineRule="auto"/>
        <w:jc w:val="center"/>
        <w:outlineLvl w:val="1"/>
        <w:rPr>
          <w:rFonts w:hint="eastAsia" w:ascii="宋体" w:hAnsi="宋体" w:eastAsia="宋体" w:cs="宋体"/>
          <w:b/>
          <w:color w:val="auto"/>
          <w:sz w:val="24"/>
          <w:highlight w:val="none"/>
        </w:rPr>
      </w:pPr>
    </w:p>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XXXX（采购代理机构名称）：</w:t>
      </w:r>
    </w:p>
    <w:p>
      <w:pPr>
        <w:pageBreakBefore w:val="0"/>
        <w:widowControl/>
        <w:kinsoku/>
        <w:wordWrap/>
        <w:overflowPunct/>
        <w:topLinePunct w:val="0"/>
        <w:bidi w:val="0"/>
        <w:spacing w:after="0" w:line="360" w:lineRule="auto"/>
        <w:ind w:firstLine="480" w:firstLineChars="20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我单位作为本次采购项目的投标人，根据招标文件要求，现郑重承诺如下：</w:t>
      </w:r>
    </w:p>
    <w:p>
      <w:pPr>
        <w:pageBreakBefore w:val="0"/>
        <w:widowControl/>
        <w:kinsoku/>
        <w:wordWrap/>
        <w:overflowPunct/>
        <w:topLinePunct w:val="0"/>
        <w:bidi w:val="0"/>
        <w:spacing w:after="0" w:line="360" w:lineRule="auto"/>
        <w:ind w:firstLine="480" w:firstLineChars="20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具备《中华人民共和国政府采购法》第二十二条第一款和本项目规定的条件：</w:t>
      </w:r>
    </w:p>
    <w:p>
      <w:pPr>
        <w:pageBreakBefore w:val="0"/>
        <w:widowControl/>
        <w:kinsoku/>
        <w:wordWrap/>
        <w:overflowPunct/>
        <w:topLinePunct w:val="0"/>
        <w:bidi w:val="0"/>
        <w:spacing w:after="0" w:line="360" w:lineRule="auto"/>
        <w:ind w:firstLine="480" w:firstLineChars="20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（一）具有独立承担民事责任的能力；</w:t>
      </w:r>
    </w:p>
    <w:p>
      <w:pPr>
        <w:pageBreakBefore w:val="0"/>
        <w:widowControl/>
        <w:kinsoku/>
        <w:wordWrap/>
        <w:overflowPunct/>
        <w:topLinePunct w:val="0"/>
        <w:bidi w:val="0"/>
        <w:spacing w:after="0" w:line="360" w:lineRule="auto"/>
        <w:ind w:firstLine="480" w:firstLineChars="20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（二）具有良好的商业信誉和健全的财务会计制度；</w:t>
      </w:r>
    </w:p>
    <w:p>
      <w:pPr>
        <w:pageBreakBefore w:val="0"/>
        <w:widowControl/>
        <w:kinsoku/>
        <w:wordWrap/>
        <w:overflowPunct/>
        <w:topLinePunct w:val="0"/>
        <w:bidi w:val="0"/>
        <w:spacing w:after="0" w:line="360" w:lineRule="auto"/>
        <w:ind w:firstLine="480" w:firstLineChars="20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（三）具有履行合同所必需的设备和专业技术能力；</w:t>
      </w:r>
    </w:p>
    <w:p>
      <w:pPr>
        <w:pageBreakBefore w:val="0"/>
        <w:widowControl/>
        <w:kinsoku/>
        <w:wordWrap/>
        <w:overflowPunct/>
        <w:topLinePunct w:val="0"/>
        <w:bidi w:val="0"/>
        <w:spacing w:after="0" w:line="360" w:lineRule="auto"/>
        <w:ind w:firstLine="480" w:firstLineChars="20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（四）有依法缴纳税收和社会保障资金的良好记录；</w:t>
      </w:r>
    </w:p>
    <w:p>
      <w:pPr>
        <w:pageBreakBefore w:val="0"/>
        <w:widowControl/>
        <w:kinsoku/>
        <w:wordWrap/>
        <w:overflowPunct/>
        <w:topLinePunct w:val="0"/>
        <w:bidi w:val="0"/>
        <w:spacing w:after="0" w:line="360" w:lineRule="auto"/>
        <w:ind w:firstLine="480" w:firstLineChars="20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（五）参加政府采购活动前三年内，在经营活动中没有重大违法记录；</w:t>
      </w:r>
    </w:p>
    <w:p>
      <w:pPr>
        <w:pageBreakBefore w:val="0"/>
        <w:widowControl/>
        <w:kinsoku/>
        <w:wordWrap/>
        <w:overflowPunct/>
        <w:topLinePunct w:val="0"/>
        <w:bidi w:val="0"/>
        <w:spacing w:after="0" w:line="360" w:lineRule="auto"/>
        <w:ind w:firstLine="480" w:firstLineChars="20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（六）法律、行政法规规定的其他条件；</w:t>
      </w:r>
    </w:p>
    <w:p>
      <w:pPr>
        <w:pageBreakBefore w:val="0"/>
        <w:widowControl/>
        <w:kinsoku/>
        <w:wordWrap/>
        <w:overflowPunct/>
        <w:topLinePunct w:val="0"/>
        <w:bidi w:val="0"/>
        <w:spacing w:after="0" w:line="360" w:lineRule="auto"/>
        <w:ind w:firstLine="480" w:firstLineChars="20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（七）根据采购项目提出的特殊条件；</w:t>
      </w:r>
    </w:p>
    <w:p>
      <w:pPr>
        <w:pageBreakBefore w:val="0"/>
        <w:widowControl/>
        <w:kinsoku/>
        <w:wordWrap/>
        <w:overflowPunct/>
        <w:topLinePunct w:val="0"/>
        <w:bidi w:val="0"/>
        <w:spacing w:after="0" w:line="360" w:lineRule="auto"/>
        <w:ind w:firstLine="480" w:firstLineChars="20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八）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ageBreakBefore w:val="0"/>
        <w:widowControl/>
        <w:kinsoku/>
        <w:wordWrap/>
        <w:overflowPunct/>
        <w:topLinePunct w:val="0"/>
        <w:bidi w:val="0"/>
        <w:spacing w:after="0" w:line="360" w:lineRule="auto"/>
        <w:ind w:firstLine="480" w:firstLineChars="20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（九）本项目不接受联合体投标。</w:t>
      </w:r>
    </w:p>
    <w:p>
      <w:pPr>
        <w:pageBreakBefore w:val="0"/>
        <w:widowControl/>
        <w:kinsoku/>
        <w:wordWrap/>
        <w:overflowPunct/>
        <w:topLinePunct w:val="0"/>
        <w:bidi w:val="0"/>
        <w:spacing w:after="0" w:line="360" w:lineRule="auto"/>
        <w:ind w:firstLine="480" w:firstLineChars="20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本单位对上述承诺的内容事项真实性负责。如经查实上述承诺的内容事项存在虚假，我单位愿意接受以提供虚假材料谋取中标追究法律责任。</w:t>
      </w:r>
    </w:p>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p>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投标人名称：XXXX（盖单位公章）。</w:t>
      </w:r>
    </w:p>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期：XXXX。</w:t>
      </w:r>
    </w:p>
    <w:p>
      <w:pPr>
        <w:pageBreakBefore w:val="0"/>
        <w:kinsoku/>
        <w:wordWrap/>
        <w:overflowPunct/>
        <w:topLinePunct w:val="0"/>
        <w:bidi w:val="0"/>
        <w:spacing w:after="0" w:line="360" w:lineRule="auto"/>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32"/>
          <w:szCs w:val="32"/>
          <w:highlight w:val="none"/>
        </w:rPr>
        <w:t>格式1-4</w:t>
      </w:r>
    </w:p>
    <w:p>
      <w:pPr>
        <w:pageBreakBefore w:val="0"/>
        <w:kinsoku/>
        <w:wordWrap/>
        <w:overflowPunct/>
        <w:topLinePunct w:val="0"/>
        <w:bidi w:val="0"/>
        <w:spacing w:after="0" w:line="360" w:lineRule="auto"/>
        <w:ind w:firstLine="790" w:firstLineChars="246"/>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三、投标人和投标产品其他资格、资质性及其他类似效力要求的相关证明材料</w:t>
      </w:r>
    </w:p>
    <w:p>
      <w:pPr>
        <w:pageBreakBefore w:val="0"/>
        <w:kinsoku/>
        <w:wordWrap/>
        <w:overflowPunct/>
        <w:topLinePunct w:val="0"/>
        <w:bidi w:val="0"/>
        <w:spacing w:after="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注：严格按照第四、五章要求提供相关资格、资质性及其他类似效力要求的相关证明材料。有格式要求的从其要求，无格式要求的格式自拟。</w:t>
      </w:r>
    </w:p>
    <w:p>
      <w:pPr>
        <w:pageBreakBefore w:val="0"/>
        <w:widowControl/>
        <w:kinsoku/>
        <w:wordWrap/>
        <w:overflowPunct/>
        <w:topLinePunct w:val="0"/>
        <w:bidi w:val="0"/>
        <w:spacing w:after="0"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br w:type="page"/>
      </w:r>
      <w:r>
        <w:rPr>
          <w:rFonts w:hint="eastAsia" w:ascii="宋体" w:hAnsi="宋体" w:eastAsia="宋体" w:cs="宋体"/>
          <w:b/>
          <w:color w:val="auto"/>
          <w:sz w:val="32"/>
          <w:szCs w:val="32"/>
          <w:highlight w:val="none"/>
        </w:rPr>
        <w:t>格式1-5</w:t>
      </w:r>
    </w:p>
    <w:p>
      <w:pPr>
        <w:pStyle w:val="6"/>
        <w:pageBreakBefore w:val="0"/>
        <w:numPr>
          <w:ilvl w:val="0"/>
          <w:numId w:val="4"/>
        </w:numPr>
        <w:kinsoku/>
        <w:wordWrap/>
        <w:overflowPunct/>
        <w:topLinePunct w:val="0"/>
        <w:bidi w:val="0"/>
        <w:spacing w:before="0" w:after="0" w:line="360" w:lineRule="auto"/>
        <w:jc w:val="center"/>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投标人单位及其现任法定代表人、主要负责人不具有行贿犯罪记录承诺函</w:t>
      </w:r>
    </w:p>
    <w:p>
      <w:pPr>
        <w:pageBreakBefore w:val="0"/>
        <w:widowControl/>
        <w:kinsoku/>
        <w:wordWrap/>
        <w:overflowPunct/>
        <w:topLinePunct w:val="0"/>
        <w:bidi w:val="0"/>
        <w:spacing w:after="0" w:line="360" w:lineRule="auto"/>
        <w:ind w:firstLine="480" w:firstLineChars="20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XXXX（采购代理机构名称）：</w:t>
      </w:r>
    </w:p>
    <w:p>
      <w:pPr>
        <w:pageBreakBefore w:val="0"/>
        <w:widowControl/>
        <w:kinsoku/>
        <w:wordWrap/>
        <w:overflowPunct/>
        <w:topLinePunct w:val="0"/>
        <w:bidi w:val="0"/>
        <w:spacing w:after="0" w:line="360" w:lineRule="auto"/>
        <w:ind w:firstLine="480" w:firstLineChars="20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我公司单位及其现任法定代表人、主要负责人{无行贿犯罪记录的期限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（填写：十年内/公司成立之日起至文件递交截止日）}无行贿犯罪记录。</w:t>
      </w:r>
    </w:p>
    <w:p>
      <w:pPr>
        <w:pageBreakBefore w:val="0"/>
        <w:widowControl/>
        <w:kinsoku/>
        <w:wordWrap/>
        <w:overflowPunct/>
        <w:topLinePunct w:val="0"/>
        <w:bidi w:val="0"/>
        <w:spacing w:after="0" w:line="360" w:lineRule="auto"/>
        <w:ind w:firstLine="480" w:firstLineChars="20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注：投标人成立年限超过十年的，填写十年内；投标人成立年限十年内的，填写公司成立之日起至文件递交截止日。</w:t>
      </w:r>
    </w:p>
    <w:p>
      <w:pPr>
        <w:pageBreakBefore w:val="0"/>
        <w:widowControl/>
        <w:kinsoku/>
        <w:wordWrap/>
        <w:overflowPunct/>
        <w:topLinePunct w:val="0"/>
        <w:bidi w:val="0"/>
        <w:spacing w:after="0" w:line="360" w:lineRule="auto"/>
        <w:ind w:firstLine="480" w:firstLineChars="200"/>
        <w:jc w:val="left"/>
        <w:outlineLvl w:val="1"/>
        <w:rPr>
          <w:rFonts w:hint="eastAsia" w:ascii="宋体" w:hAnsi="宋体" w:eastAsia="宋体" w:cs="宋体"/>
          <w:color w:val="auto"/>
          <w:sz w:val="24"/>
          <w:highlight w:val="none"/>
        </w:rPr>
      </w:pPr>
    </w:p>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投标人名称：XXXX（盖单位公章）。</w:t>
      </w:r>
    </w:p>
    <w:p>
      <w:pPr>
        <w:pageBreakBefore w:val="0"/>
        <w:widowControl/>
        <w:kinsoku/>
        <w:wordWrap/>
        <w:overflowPunct/>
        <w:topLinePunct w:val="0"/>
        <w:bidi w:val="0"/>
        <w:spacing w:after="0" w:line="360" w:lineRule="auto"/>
        <w:ind w:firstLine="480" w:firstLineChars="20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期：XXXX。</w:t>
      </w:r>
    </w:p>
    <w:p>
      <w:pPr>
        <w:pStyle w:val="6"/>
        <w:pageBreakBefore w:val="0"/>
        <w:kinsoku/>
        <w:wordWrap/>
        <w:overflowPunct/>
        <w:topLinePunct w:val="0"/>
        <w:bidi w:val="0"/>
        <w:spacing w:before="0" w:after="0" w:line="360" w:lineRule="auto"/>
        <w:jc w:val="center"/>
        <w:rPr>
          <w:rFonts w:hint="eastAsia" w:ascii="宋体" w:hAnsi="宋体" w:eastAsia="宋体" w:cs="宋体"/>
          <w:color w:val="auto"/>
          <w:highlight w:val="none"/>
        </w:rPr>
      </w:pPr>
    </w:p>
    <w:p>
      <w:pPr>
        <w:pStyle w:val="6"/>
        <w:pageBreakBefore w:val="0"/>
        <w:kinsoku/>
        <w:wordWrap/>
        <w:overflowPunct/>
        <w:topLinePunct w:val="0"/>
        <w:bidi w:val="0"/>
        <w:spacing w:before="0" w:after="0" w:line="360" w:lineRule="auto"/>
        <w:rPr>
          <w:rFonts w:hint="eastAsia" w:ascii="宋体" w:hAnsi="宋体" w:eastAsia="宋体" w:cs="宋体"/>
          <w:b w:val="0"/>
          <w:bCs w:val="0"/>
          <w:color w:val="auto"/>
          <w:sz w:val="24"/>
          <w:szCs w:val="24"/>
          <w:highlight w:val="none"/>
        </w:rPr>
      </w:pPr>
    </w:p>
    <w:p>
      <w:pPr>
        <w:pStyle w:val="6"/>
        <w:pageBreakBefore w:val="0"/>
        <w:kinsoku/>
        <w:wordWrap/>
        <w:overflowPunct/>
        <w:topLinePunct w:val="0"/>
        <w:bidi w:val="0"/>
        <w:spacing w:before="0" w:after="0" w:line="360" w:lineRule="auto"/>
        <w:rPr>
          <w:rFonts w:hint="eastAsia" w:ascii="宋体" w:hAnsi="宋体" w:eastAsia="宋体" w:cs="宋体"/>
          <w:b w:val="0"/>
          <w:bCs w:val="0"/>
          <w:color w:val="auto"/>
          <w:sz w:val="24"/>
          <w:szCs w:val="24"/>
          <w:highlight w:val="none"/>
        </w:rPr>
      </w:pPr>
    </w:p>
    <w:p>
      <w:pPr>
        <w:pStyle w:val="6"/>
        <w:pageBreakBefore w:val="0"/>
        <w:kinsoku/>
        <w:wordWrap/>
        <w:overflowPunct/>
        <w:topLinePunct w:val="0"/>
        <w:bidi w:val="0"/>
        <w:spacing w:before="0" w:after="0" w:line="360" w:lineRule="auto"/>
        <w:rPr>
          <w:rFonts w:hint="eastAsia" w:ascii="宋体" w:hAnsi="宋体" w:eastAsia="宋体" w:cs="宋体"/>
          <w:b w:val="0"/>
          <w:bCs w:val="0"/>
          <w:color w:val="auto"/>
          <w:sz w:val="24"/>
          <w:szCs w:val="24"/>
          <w:highlight w:val="none"/>
        </w:rPr>
      </w:pP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p>
    <w:p>
      <w:pPr>
        <w:pageBreakBefore w:val="0"/>
        <w:kinsoku/>
        <w:wordWrap/>
        <w:overflowPunct/>
        <w:topLinePunct w:val="0"/>
        <w:bidi w:val="0"/>
        <w:spacing w:after="0" w:line="360" w:lineRule="auto"/>
        <w:jc w:val="center"/>
        <w:rPr>
          <w:rFonts w:hint="eastAsia" w:ascii="宋体" w:hAnsi="宋体" w:eastAsia="宋体" w:cs="宋体"/>
          <w:b/>
          <w:color w:val="auto"/>
          <w:sz w:val="32"/>
          <w:highlight w:val="none"/>
        </w:rPr>
      </w:pPr>
    </w:p>
    <w:p>
      <w:pPr>
        <w:pageBreakBefore w:val="0"/>
        <w:kinsoku/>
        <w:wordWrap/>
        <w:overflowPunct/>
        <w:topLinePunct w:val="0"/>
        <w:bidi w:val="0"/>
        <w:spacing w:after="0" w:line="360" w:lineRule="auto"/>
        <w:jc w:val="center"/>
        <w:rPr>
          <w:rFonts w:hint="eastAsia" w:ascii="宋体" w:hAnsi="宋体" w:eastAsia="宋体" w:cs="宋体"/>
          <w:b/>
          <w:color w:val="auto"/>
          <w:sz w:val="32"/>
          <w:highlight w:val="none"/>
        </w:rPr>
      </w:pPr>
    </w:p>
    <w:p>
      <w:pPr>
        <w:pStyle w:val="6"/>
        <w:pageBreakBefore w:val="0"/>
        <w:kinsoku/>
        <w:wordWrap/>
        <w:overflowPunct/>
        <w:topLinePunct w:val="0"/>
        <w:bidi w:val="0"/>
        <w:spacing w:before="0" w:after="0" w:line="360" w:lineRule="auto"/>
        <w:rPr>
          <w:rFonts w:hint="eastAsia" w:ascii="宋体" w:hAnsi="宋体" w:eastAsia="宋体" w:cs="宋体"/>
          <w:b w:val="0"/>
          <w:color w:val="auto"/>
          <w:sz w:val="32"/>
          <w:highlight w:val="none"/>
        </w:rPr>
      </w:pPr>
    </w:p>
    <w:p>
      <w:pPr>
        <w:pageBreakBefore w:val="0"/>
        <w:kinsoku/>
        <w:wordWrap/>
        <w:overflowPunct/>
        <w:topLinePunct w:val="0"/>
        <w:bidi w:val="0"/>
        <w:spacing w:after="0" w:line="360" w:lineRule="auto"/>
        <w:rPr>
          <w:rFonts w:hint="eastAsia" w:ascii="宋体" w:hAnsi="宋体" w:eastAsia="宋体" w:cs="宋体"/>
          <w:b/>
          <w:color w:val="auto"/>
          <w:sz w:val="32"/>
          <w:highlight w:val="none"/>
        </w:rPr>
      </w:pPr>
    </w:p>
    <w:p>
      <w:pPr>
        <w:pageBreakBefore w:val="0"/>
        <w:kinsoku/>
        <w:wordWrap/>
        <w:overflowPunct/>
        <w:topLinePunct w:val="0"/>
        <w:bidi w:val="0"/>
        <w:spacing w:after="0" w:line="360" w:lineRule="auto"/>
        <w:rPr>
          <w:rFonts w:hint="eastAsia" w:ascii="宋体" w:hAnsi="宋体" w:eastAsia="宋体" w:cs="宋体"/>
          <w:color w:val="auto"/>
          <w:highlight w:val="none"/>
        </w:rPr>
      </w:pPr>
    </w:p>
    <w:p>
      <w:pPr>
        <w:pageBreakBefore w:val="0"/>
        <w:kinsoku/>
        <w:wordWrap/>
        <w:overflowPunct/>
        <w:topLinePunct w:val="0"/>
        <w:bidi w:val="0"/>
        <w:spacing w:after="0"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pPr>
        <w:pageBreakBefore w:val="0"/>
        <w:widowControl/>
        <w:kinsoku/>
        <w:wordWrap/>
        <w:overflowPunct/>
        <w:topLinePunct w:val="0"/>
        <w:bidi w:val="0"/>
        <w:spacing w:after="0" w:line="360" w:lineRule="auto"/>
        <w:jc w:val="left"/>
        <w:outlineLvl w:val="1"/>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格式1-</w:t>
      </w:r>
      <w:r>
        <w:rPr>
          <w:rFonts w:hint="eastAsia" w:ascii="宋体" w:hAnsi="宋体" w:eastAsia="宋体" w:cs="宋体"/>
          <w:b/>
          <w:color w:val="auto"/>
          <w:sz w:val="32"/>
          <w:szCs w:val="32"/>
          <w:highlight w:val="none"/>
          <w:lang w:val="en-US" w:eastAsia="zh-CN"/>
        </w:rPr>
        <w:t>6</w:t>
      </w:r>
    </w:p>
    <w:p>
      <w:pPr>
        <w:pageBreakBefore w:val="0"/>
        <w:widowControl/>
        <w:kinsoku/>
        <w:wordWrap/>
        <w:overflowPunct/>
        <w:topLinePunct w:val="0"/>
        <w:bidi w:val="0"/>
        <w:spacing w:after="0" w:line="360" w:lineRule="auto"/>
        <w:jc w:val="center"/>
        <w:outlineLvl w:val="1"/>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、法律、行政法规规定的其他条件承诺函</w:t>
      </w:r>
    </w:p>
    <w:p>
      <w:pPr>
        <w:pageBreakBefore w:val="0"/>
        <w:widowControl/>
        <w:kinsoku/>
        <w:wordWrap/>
        <w:overflowPunct/>
        <w:topLinePunct w:val="0"/>
        <w:bidi w:val="0"/>
        <w:spacing w:after="0" w:line="360" w:lineRule="auto"/>
        <w:jc w:val="center"/>
        <w:outlineLvl w:val="1"/>
        <w:rPr>
          <w:rFonts w:hint="eastAsia" w:ascii="宋体" w:hAnsi="宋体" w:eastAsia="宋体" w:cs="宋体"/>
          <w:b/>
          <w:color w:val="auto"/>
          <w:sz w:val="24"/>
          <w:highlight w:val="none"/>
        </w:rPr>
      </w:pPr>
    </w:p>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XXX（采购代理机构名称）：</w:t>
      </w:r>
    </w:p>
    <w:p>
      <w:pPr>
        <w:pageBreakBefore w:val="0"/>
        <w:widowControl/>
        <w:kinsoku/>
        <w:wordWrap/>
        <w:overflowPunct/>
        <w:topLinePunct w:val="0"/>
        <w:bidi w:val="0"/>
        <w:spacing w:after="0" w:line="360" w:lineRule="auto"/>
        <w:ind w:firstLine="480" w:firstLineChars="20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我公司作为本次采购项目的投标人，根据招标文件要求，现郑重承诺如下：</w:t>
      </w:r>
    </w:p>
    <w:p>
      <w:pPr>
        <w:pageBreakBefore w:val="0"/>
        <w:kinsoku/>
        <w:wordWrap/>
        <w:overflowPunct/>
        <w:topLinePunct w:val="0"/>
        <w:bidi w:val="0"/>
        <w:spacing w:after="0"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1.我公司不存在与单位负责人为同一人或者存在直接控股、管理关系的其他投标人参与同一合同项下的政府采购活动的行为。</w:t>
      </w:r>
    </w:p>
    <w:p>
      <w:pPr>
        <w:pageBreakBefore w:val="0"/>
        <w:kinsoku/>
        <w:wordWrap/>
        <w:overflowPunct/>
        <w:topLinePunct w:val="0"/>
        <w:bidi w:val="0"/>
        <w:spacing w:after="0"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2.我公司参加本次政府采购活动，不存在和其他供应商在同一合同项下的采购项目中，同时委托同一个自然人、同一家庭的人员、同一单位的人员作为代理人的行为。</w:t>
      </w:r>
    </w:p>
    <w:p>
      <w:pPr>
        <w:pageBreakBefore w:val="0"/>
        <w:kinsoku/>
        <w:wordWrap/>
        <w:overflowPunct/>
        <w:topLinePunct w:val="0"/>
        <w:bidi w:val="0"/>
        <w:spacing w:after="0"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3.我公司没有为本采购项目提供整体设计、规范编制或者项目管理、监理、检测等服务。</w:t>
      </w:r>
    </w:p>
    <w:p>
      <w:pPr>
        <w:pageBreakBefore w:val="0"/>
        <w:widowControl/>
        <w:kinsoku/>
        <w:wordWrap/>
        <w:overflowPunct/>
        <w:topLinePunct w:val="0"/>
        <w:bidi w:val="0"/>
        <w:spacing w:after="0" w:line="360" w:lineRule="auto"/>
        <w:ind w:firstLine="480" w:firstLineChars="20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本公司对上述承诺的内容事项真实性负责。如经查实上述承诺的内容事项存在虚假，我公司愿意接受以提供虚假材料谋取成交的法律责任。</w:t>
      </w:r>
    </w:p>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p>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投标人名称：XXXX（盖单位公章）。</w:t>
      </w:r>
    </w:p>
    <w:p>
      <w:pPr>
        <w:pageBreakBefore w:val="0"/>
        <w:kinsoku/>
        <w:wordWrap/>
        <w:overflowPunct/>
        <w:topLinePunct w:val="0"/>
        <w:bidi w:val="0"/>
        <w:spacing w:after="0" w:line="360" w:lineRule="auto"/>
        <w:ind w:firstLine="480" w:firstLineChars="200"/>
        <w:rPr>
          <w:rFonts w:hint="eastAsia" w:ascii="宋体" w:hAnsi="宋体" w:eastAsia="宋体" w:cs="宋体"/>
          <w:b/>
          <w:color w:val="auto"/>
          <w:sz w:val="32"/>
          <w:highlight w:val="none"/>
        </w:rPr>
      </w:pPr>
      <w:r>
        <w:rPr>
          <w:rFonts w:hint="eastAsia" w:ascii="宋体" w:hAnsi="宋体" w:eastAsia="宋体" w:cs="宋体"/>
          <w:color w:val="auto"/>
          <w:sz w:val="24"/>
          <w:highlight w:val="none"/>
        </w:rPr>
        <w:t>日    期：XXXX。</w:t>
      </w:r>
      <w:r>
        <w:rPr>
          <w:rFonts w:hint="eastAsia" w:ascii="宋体" w:hAnsi="宋体" w:eastAsia="宋体" w:cs="宋体"/>
          <w:b/>
          <w:color w:val="auto"/>
          <w:sz w:val="32"/>
          <w:highlight w:val="none"/>
        </w:rPr>
        <w:br w:type="page"/>
      </w:r>
    </w:p>
    <w:p>
      <w:pPr>
        <w:pageBreakBefore w:val="0"/>
        <w:kinsoku/>
        <w:wordWrap/>
        <w:overflowPunct/>
        <w:topLinePunct w:val="0"/>
        <w:bidi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32"/>
          <w:highlight w:val="none"/>
        </w:rPr>
        <w:t>第二部分     “其他响应性投标文件”格式</w:t>
      </w:r>
    </w:p>
    <w:p>
      <w:pPr>
        <w:pageBreakBefore w:val="0"/>
        <w:kinsoku/>
        <w:wordWrap/>
        <w:overflowPunct/>
        <w:topLinePunct w:val="0"/>
        <w:bidi w:val="0"/>
        <w:spacing w:after="0"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格式2-1</w:t>
      </w:r>
    </w:p>
    <w:p>
      <w:pPr>
        <w:pageBreakBefore w:val="0"/>
        <w:kinsoku/>
        <w:wordWrap/>
        <w:overflowPunct/>
        <w:topLinePunct w:val="0"/>
        <w:bidi w:val="0"/>
        <w:spacing w:after="0"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封面：</w:t>
      </w:r>
    </w:p>
    <w:p>
      <w:pPr>
        <w:pageBreakBefore w:val="0"/>
        <w:kinsoku/>
        <w:wordWrap/>
        <w:overflowPunct/>
        <w:topLinePunct w:val="0"/>
        <w:bidi w:val="0"/>
        <w:spacing w:after="0" w:line="360" w:lineRule="auto"/>
        <w:jc w:val="right"/>
        <w:rPr>
          <w:rFonts w:hint="eastAsia" w:ascii="宋体" w:hAnsi="宋体" w:eastAsia="宋体" w:cs="宋体"/>
          <w:b/>
          <w:color w:val="auto"/>
          <w:sz w:val="36"/>
          <w:highlight w:val="none"/>
        </w:rPr>
      </w:pPr>
      <w:r>
        <w:rPr>
          <w:rFonts w:hint="eastAsia" w:ascii="宋体" w:hAnsi="宋体" w:eastAsia="宋体" w:cs="宋体"/>
          <w:b/>
          <w:color w:val="auto"/>
          <w:sz w:val="36"/>
          <w:highlight w:val="none"/>
        </w:rPr>
        <w:t>（正本/副本）</w:t>
      </w:r>
    </w:p>
    <w:p>
      <w:pPr>
        <w:pageBreakBefore w:val="0"/>
        <w:kinsoku/>
        <w:wordWrap/>
        <w:overflowPunct/>
        <w:topLinePunct w:val="0"/>
        <w:bidi w:val="0"/>
        <w:spacing w:after="0" w:line="360" w:lineRule="auto"/>
        <w:rPr>
          <w:rFonts w:hint="eastAsia" w:ascii="宋体" w:hAnsi="宋体" w:eastAsia="宋体" w:cs="宋体"/>
          <w:b/>
          <w:color w:val="auto"/>
          <w:sz w:val="32"/>
          <w:szCs w:val="32"/>
          <w:highlight w:val="none"/>
        </w:rPr>
      </w:pPr>
    </w:p>
    <w:p>
      <w:pPr>
        <w:pageBreakBefore w:val="0"/>
        <w:kinsoku/>
        <w:wordWrap/>
        <w:overflowPunct/>
        <w:topLinePunct w:val="0"/>
        <w:bidi w:val="0"/>
        <w:spacing w:after="0" w:line="360" w:lineRule="auto"/>
        <w:rPr>
          <w:rFonts w:hint="eastAsia" w:ascii="宋体" w:hAnsi="宋体" w:eastAsia="宋体" w:cs="宋体"/>
          <w:b/>
          <w:color w:val="auto"/>
          <w:sz w:val="32"/>
          <w:szCs w:val="32"/>
          <w:highlight w:val="none"/>
        </w:rPr>
      </w:pPr>
    </w:p>
    <w:p>
      <w:pPr>
        <w:pageBreakBefore w:val="0"/>
        <w:kinsoku/>
        <w:wordWrap/>
        <w:overflowPunct/>
        <w:topLinePunct w:val="0"/>
        <w:bidi w:val="0"/>
        <w:spacing w:after="0" w:line="360" w:lineRule="auto"/>
        <w:jc w:val="center"/>
        <w:rPr>
          <w:rFonts w:hint="eastAsia" w:ascii="宋体" w:hAnsi="宋体" w:eastAsia="宋体" w:cs="宋体"/>
          <w:b/>
          <w:color w:val="auto"/>
          <w:sz w:val="72"/>
          <w:highlight w:val="none"/>
        </w:rPr>
      </w:pPr>
      <w:r>
        <w:rPr>
          <w:rFonts w:hint="eastAsia" w:ascii="宋体" w:hAnsi="宋体" w:eastAsia="宋体" w:cs="宋体"/>
          <w:b/>
          <w:color w:val="auto"/>
          <w:sz w:val="40"/>
          <w:szCs w:val="48"/>
          <w:highlight w:val="none"/>
        </w:rPr>
        <w:t>XXX项目</w:t>
      </w:r>
    </w:p>
    <w:p>
      <w:pPr>
        <w:pageBreakBefore w:val="0"/>
        <w:kinsoku/>
        <w:wordWrap/>
        <w:overflowPunct/>
        <w:topLinePunct w:val="0"/>
        <w:bidi w:val="0"/>
        <w:spacing w:after="0" w:line="360" w:lineRule="auto"/>
        <w:rPr>
          <w:rFonts w:hint="eastAsia" w:ascii="宋体" w:hAnsi="宋体" w:eastAsia="宋体" w:cs="宋体"/>
          <w:b/>
          <w:color w:val="auto"/>
          <w:sz w:val="52"/>
          <w:szCs w:val="52"/>
          <w:highlight w:val="none"/>
        </w:rPr>
      </w:pPr>
    </w:p>
    <w:p>
      <w:pPr>
        <w:pageBreakBefore w:val="0"/>
        <w:kinsoku/>
        <w:wordWrap/>
        <w:overflowPunct/>
        <w:topLinePunct w:val="0"/>
        <w:bidi w:val="0"/>
        <w:spacing w:after="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52"/>
          <w:szCs w:val="52"/>
          <w:highlight w:val="none"/>
        </w:rPr>
        <w:t>其他响应性投标文件</w:t>
      </w:r>
    </w:p>
    <w:p>
      <w:pPr>
        <w:pageBreakBefore w:val="0"/>
        <w:kinsoku/>
        <w:wordWrap/>
        <w:overflowPunct/>
        <w:topLinePunct w:val="0"/>
        <w:bidi w:val="0"/>
        <w:spacing w:after="0" w:line="360" w:lineRule="auto"/>
        <w:rPr>
          <w:rFonts w:hint="eastAsia" w:ascii="宋体" w:hAnsi="宋体" w:eastAsia="宋体" w:cs="宋体"/>
          <w:b/>
          <w:color w:val="auto"/>
          <w:sz w:val="36"/>
          <w:highlight w:val="none"/>
        </w:rPr>
      </w:pPr>
    </w:p>
    <w:p>
      <w:pPr>
        <w:pageBreakBefore w:val="0"/>
        <w:kinsoku/>
        <w:wordWrap/>
        <w:overflowPunct/>
        <w:topLinePunct w:val="0"/>
        <w:bidi w:val="0"/>
        <w:spacing w:after="0" w:line="360" w:lineRule="auto"/>
        <w:jc w:val="left"/>
        <w:rPr>
          <w:rFonts w:hint="eastAsia" w:ascii="宋体" w:hAnsi="宋体" w:eastAsia="宋体" w:cs="宋体"/>
          <w:b/>
          <w:color w:val="auto"/>
          <w:sz w:val="32"/>
          <w:highlight w:val="none"/>
          <w:u w:val="single"/>
        </w:rPr>
      </w:pPr>
      <w:r>
        <w:rPr>
          <w:rFonts w:hint="eastAsia" w:ascii="宋体" w:hAnsi="宋体" w:eastAsia="宋体" w:cs="宋体"/>
          <w:b/>
          <w:color w:val="auto"/>
          <w:sz w:val="32"/>
          <w:highlight w:val="none"/>
        </w:rPr>
        <w:t>投 标 人名称： XXXX</w:t>
      </w:r>
    </w:p>
    <w:p>
      <w:pPr>
        <w:pageBreakBefore w:val="0"/>
        <w:kinsoku/>
        <w:wordWrap/>
        <w:overflowPunct/>
        <w:topLinePunct w:val="0"/>
        <w:bidi w:val="0"/>
        <w:spacing w:after="0" w:line="360" w:lineRule="auto"/>
        <w:jc w:val="left"/>
        <w:rPr>
          <w:rFonts w:hint="eastAsia" w:ascii="宋体" w:hAnsi="宋体" w:eastAsia="宋体" w:cs="宋体"/>
          <w:b/>
          <w:color w:val="auto"/>
          <w:sz w:val="32"/>
          <w:highlight w:val="none"/>
          <w:u w:val="single"/>
        </w:rPr>
      </w:pPr>
      <w:r>
        <w:rPr>
          <w:rFonts w:hint="eastAsia" w:ascii="宋体" w:hAnsi="宋体" w:eastAsia="宋体" w:cs="宋体"/>
          <w:b/>
          <w:color w:val="auto"/>
          <w:sz w:val="32"/>
          <w:highlight w:val="none"/>
        </w:rPr>
        <w:t>采购项目编号： XXXX</w:t>
      </w:r>
    </w:p>
    <w:p>
      <w:pPr>
        <w:pageBreakBefore w:val="0"/>
        <w:kinsoku/>
        <w:wordWrap/>
        <w:overflowPunct/>
        <w:topLinePunct w:val="0"/>
        <w:bidi w:val="0"/>
        <w:spacing w:after="0" w:line="360" w:lineRule="auto"/>
        <w:ind w:firstLine="790" w:firstLineChars="246"/>
        <w:jc w:val="left"/>
        <w:rPr>
          <w:rFonts w:hint="eastAsia" w:ascii="宋体" w:hAnsi="宋体" w:eastAsia="宋体" w:cs="宋体"/>
          <w:b/>
          <w:color w:val="auto"/>
          <w:sz w:val="32"/>
          <w:highlight w:val="none"/>
        </w:rPr>
      </w:pPr>
    </w:p>
    <w:p>
      <w:pPr>
        <w:pageBreakBefore w:val="0"/>
        <w:kinsoku/>
        <w:wordWrap/>
        <w:overflowPunct/>
        <w:topLinePunct w:val="0"/>
        <w:bidi w:val="0"/>
        <w:spacing w:after="0" w:line="360" w:lineRule="auto"/>
        <w:ind w:firstLine="790" w:firstLineChars="246"/>
        <w:jc w:val="left"/>
        <w:rPr>
          <w:rFonts w:hint="eastAsia" w:ascii="宋体" w:hAnsi="宋体" w:eastAsia="宋体" w:cs="宋体"/>
          <w:b/>
          <w:color w:val="auto"/>
          <w:sz w:val="32"/>
          <w:highlight w:val="none"/>
        </w:rPr>
      </w:pPr>
    </w:p>
    <w:p>
      <w:pPr>
        <w:pageBreakBefore w:val="0"/>
        <w:kinsoku/>
        <w:wordWrap/>
        <w:overflowPunct/>
        <w:topLinePunct w:val="0"/>
        <w:bidi w:val="0"/>
        <w:spacing w:after="0" w:line="360" w:lineRule="auto"/>
        <w:ind w:firstLine="790" w:firstLineChars="246"/>
        <w:jc w:val="left"/>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rPr>
        <w:t>投标时间：202</w:t>
      </w:r>
      <w:r>
        <w:rPr>
          <w:rFonts w:hint="eastAsia" w:ascii="宋体" w:hAnsi="宋体" w:eastAsia="宋体" w:cs="宋体"/>
          <w:b/>
          <w:color w:val="auto"/>
          <w:sz w:val="32"/>
          <w:highlight w:val="none"/>
          <w:lang w:val="en-US" w:eastAsia="zh-CN"/>
        </w:rPr>
        <w:t>2</w:t>
      </w:r>
      <w:r>
        <w:rPr>
          <w:rFonts w:hint="eastAsia" w:ascii="宋体" w:hAnsi="宋体" w:eastAsia="宋体" w:cs="宋体"/>
          <w:b/>
          <w:color w:val="auto"/>
          <w:sz w:val="32"/>
          <w:highlight w:val="none"/>
        </w:rPr>
        <w:t>年XX月XX日</w:t>
      </w:r>
      <w:r>
        <w:rPr>
          <w:rFonts w:hint="eastAsia" w:ascii="宋体" w:hAnsi="宋体" w:eastAsia="宋体" w:cs="宋体"/>
          <w:b/>
          <w:color w:val="auto"/>
          <w:sz w:val="32"/>
          <w:highlight w:val="none"/>
        </w:rPr>
        <w:br w:type="page"/>
      </w:r>
      <w:r>
        <w:rPr>
          <w:rFonts w:hint="eastAsia" w:ascii="宋体" w:hAnsi="宋体" w:eastAsia="宋体" w:cs="宋体"/>
          <w:b/>
          <w:color w:val="auto"/>
          <w:sz w:val="32"/>
          <w:szCs w:val="32"/>
          <w:highlight w:val="none"/>
        </w:rPr>
        <w:t>格式2-2</w:t>
      </w:r>
    </w:p>
    <w:p>
      <w:pPr>
        <w:pageBreakBefore w:val="0"/>
        <w:widowControl/>
        <w:kinsoku/>
        <w:wordWrap/>
        <w:overflowPunct/>
        <w:topLinePunct w:val="0"/>
        <w:bidi w:val="0"/>
        <w:spacing w:after="0" w:line="360" w:lineRule="auto"/>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一、投 标 函</w:t>
      </w:r>
      <w:bookmarkEnd w:id="140"/>
      <w:bookmarkEnd w:id="141"/>
    </w:p>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XXXX（采购代理机构名称）：</w:t>
      </w:r>
    </w:p>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我方全面研究了“</w:t>
      </w:r>
      <w:r>
        <w:rPr>
          <w:rFonts w:hint="eastAsia" w:ascii="宋体" w:hAnsi="宋体" w:eastAsia="宋体" w:cs="宋体"/>
          <w:color w:val="auto"/>
          <w:sz w:val="24"/>
          <w:highlight w:val="none"/>
          <w:u w:val="single"/>
        </w:rPr>
        <w:t>XXXXXXXX</w:t>
      </w:r>
      <w:r>
        <w:rPr>
          <w:rFonts w:hint="eastAsia" w:ascii="宋体" w:hAnsi="宋体" w:eastAsia="宋体" w:cs="宋体"/>
          <w:color w:val="auto"/>
          <w:sz w:val="24"/>
          <w:highlight w:val="none"/>
        </w:rPr>
        <w:t>”项目（招标编号：</w:t>
      </w:r>
      <w:r>
        <w:rPr>
          <w:rFonts w:hint="eastAsia" w:ascii="宋体" w:hAnsi="宋体" w:eastAsia="宋体" w:cs="宋体"/>
          <w:color w:val="auto"/>
          <w:sz w:val="24"/>
          <w:highlight w:val="none"/>
          <w:u w:val="single"/>
        </w:rPr>
        <w:t>XXXX</w:t>
      </w:r>
      <w:r>
        <w:rPr>
          <w:rFonts w:hint="eastAsia" w:ascii="宋体" w:hAnsi="宋体" w:eastAsia="宋体" w:cs="宋体"/>
          <w:color w:val="auto"/>
          <w:sz w:val="24"/>
          <w:highlight w:val="none"/>
        </w:rPr>
        <w:t>）招标文件，决定参加贵单位组织的本项目投标。我方授权</w:t>
      </w:r>
      <w:r>
        <w:rPr>
          <w:rFonts w:hint="eastAsia" w:ascii="宋体" w:hAnsi="宋体" w:eastAsia="宋体" w:cs="宋体"/>
          <w:color w:val="auto"/>
          <w:sz w:val="24"/>
          <w:highlight w:val="none"/>
          <w:u w:val="single"/>
        </w:rPr>
        <w:t>XXXX</w:t>
      </w:r>
      <w:r>
        <w:rPr>
          <w:rFonts w:hint="eastAsia" w:ascii="宋体" w:hAnsi="宋体" w:eastAsia="宋体" w:cs="宋体"/>
          <w:color w:val="auto"/>
          <w:sz w:val="24"/>
          <w:highlight w:val="none"/>
        </w:rPr>
        <w:t>（姓名、职务）代表我方</w:t>
      </w:r>
      <w:r>
        <w:rPr>
          <w:rFonts w:hint="eastAsia" w:ascii="宋体" w:hAnsi="宋体" w:eastAsia="宋体" w:cs="宋体"/>
          <w:color w:val="auto"/>
          <w:sz w:val="24"/>
          <w:highlight w:val="none"/>
          <w:u w:val="single"/>
        </w:rPr>
        <w:t>XXXXXXXX</w:t>
      </w:r>
      <w:r>
        <w:rPr>
          <w:rFonts w:hint="eastAsia" w:ascii="宋体" w:hAnsi="宋体" w:eastAsia="宋体" w:cs="宋体"/>
          <w:color w:val="auto"/>
          <w:sz w:val="24"/>
          <w:highlight w:val="none"/>
        </w:rPr>
        <w:t>（投标单位的名称）全权处理本项目投标的有关事宜。</w:t>
      </w:r>
    </w:p>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一、我方自愿按照招标文件规定的各项要求向采购人提供所需服务，投标报价以开标一览表为准。</w:t>
      </w:r>
    </w:p>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二、一旦我方中标，我方将严格履行政府采购合同规定的责任和义务。</w:t>
      </w:r>
    </w:p>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三、我方同意本招标文件依据《四川省公共资源交易领域严重失信联合惩戒实施办法》 </w:t>
      </w:r>
    </w:p>
    <w:p>
      <w:pPr>
        <w:pageBreakBefore w:val="0"/>
        <w:widowControl/>
        <w:kinsoku/>
        <w:wordWrap/>
        <w:overflowPunct/>
        <w:topLinePunct w:val="0"/>
        <w:bidi w:val="0"/>
        <w:spacing w:after="0" w:line="360" w:lineRule="auto"/>
        <w:ind w:firstLine="0" w:firstLineChars="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（川发改信用规〔2019〕405 号）、《关于对政府采购领域严重违法失信主体开展联合惩戒的合作备忘录》（发改财金〔2018〕1614 号）对我方可能存在的失信行为进行的惩戒。</w:t>
      </w:r>
    </w:p>
    <w:p>
      <w:pPr>
        <w:pageBreakBefore w:val="0"/>
        <w:widowControl/>
        <w:kinsoku/>
        <w:wordWrap/>
        <w:overflowPunct/>
        <w:topLinePunct w:val="0"/>
        <w:bidi w:val="0"/>
        <w:spacing w:after="0" w:line="360" w:lineRule="auto"/>
        <w:ind w:firstLine="480" w:firstLineChars="20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、我方完全接受和满足本项目招标文件中规定的实质性要求，如对招标文件有异议，已依法进行维权救济，不存在对招标文件有异议的同时又参加投标以求侥幸中标或者为实现其他非法目的的行为。</w:t>
      </w:r>
    </w:p>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、我方同意本项目投标有效期为投标截止之日起</w:t>
      </w:r>
      <w:r>
        <w:rPr>
          <w:rFonts w:hint="eastAsia" w:ascii="宋体" w:hAnsi="宋体" w:eastAsia="宋体" w:cs="宋体"/>
          <w:color w:val="auto"/>
          <w:sz w:val="24"/>
          <w:highlight w:val="none"/>
          <w:u w:val="single"/>
        </w:rPr>
        <w:t>90</w:t>
      </w:r>
      <w:r>
        <w:rPr>
          <w:rFonts w:hint="eastAsia" w:ascii="宋体" w:hAnsi="宋体" w:eastAsia="宋体" w:cs="宋体"/>
          <w:color w:val="auto"/>
          <w:sz w:val="24"/>
          <w:highlight w:val="none"/>
        </w:rPr>
        <w:t>天。</w:t>
      </w:r>
    </w:p>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六</w:t>
      </w:r>
      <w:r>
        <w:rPr>
          <w:rFonts w:hint="eastAsia" w:ascii="宋体" w:hAnsi="宋体" w:eastAsia="宋体" w:cs="宋体"/>
          <w:color w:val="auto"/>
          <w:sz w:val="24"/>
          <w:highlight w:val="none"/>
        </w:rPr>
        <w:t>、我方愿意提供贵单位可能另外要求的，与投标有关的文件资料，并保证我方已提供和将要提供的文件资料是真实、准确的。</w:t>
      </w:r>
    </w:p>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七、</w:t>
      </w:r>
      <w:r>
        <w:rPr>
          <w:rFonts w:hint="eastAsia" w:ascii="宋体" w:hAnsi="宋体" w:eastAsia="宋体" w:cs="宋体"/>
          <w:color w:val="auto"/>
          <w:sz w:val="24"/>
          <w:highlight w:val="none"/>
        </w:rPr>
        <w:t>我方完全理解采购人不一定将合同授予最低报价的投标人的行为。</w:t>
      </w:r>
    </w:p>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八、</w:t>
      </w:r>
      <w:r>
        <w:rPr>
          <w:rFonts w:hint="eastAsia" w:ascii="宋体" w:hAnsi="宋体" w:eastAsia="宋体" w:cs="宋体"/>
          <w:color w:val="auto"/>
          <w:sz w:val="24"/>
          <w:highlight w:val="none"/>
        </w:rPr>
        <w:t>我方知晓本项目根据四川省财政厅关于印发 《四川省政府采购项目电子化采购管理暂行办法》的通知规定实行电子化采购，由于我方设备、CA、网络等问题导致的后果由我方承担。</w:t>
      </w:r>
    </w:p>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p>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投标人名称：XXXX（盖单位公章）。</w:t>
      </w:r>
    </w:p>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通讯地址：XXXX。</w:t>
      </w:r>
    </w:p>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邮政编码：XXXX。</w:t>
      </w:r>
    </w:p>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联系电话：XXXX。</w:t>
      </w:r>
    </w:p>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期：XXXX年XXXX月XXXX日。</w:t>
      </w:r>
    </w:p>
    <w:p>
      <w:pPr>
        <w:pageBreakBefore w:val="0"/>
        <w:widowControl/>
        <w:kinsoku/>
        <w:wordWrap/>
        <w:overflowPunct/>
        <w:topLinePunct w:val="0"/>
        <w:bidi w:val="0"/>
        <w:spacing w:after="0" w:line="360" w:lineRule="auto"/>
        <w:jc w:val="left"/>
        <w:outlineLvl w:val="1"/>
        <w:rPr>
          <w:rFonts w:hint="eastAsia" w:ascii="宋体" w:hAnsi="宋体" w:eastAsia="宋体" w:cs="宋体"/>
          <w:b/>
          <w:color w:val="auto"/>
          <w:sz w:val="32"/>
          <w:szCs w:val="32"/>
          <w:highlight w:val="none"/>
        </w:rPr>
      </w:pPr>
      <w:bookmarkStart w:id="146" w:name="_Toc308164824"/>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格式2-3</w:t>
      </w:r>
    </w:p>
    <w:bookmarkEnd w:id="139"/>
    <w:bookmarkEnd w:id="146"/>
    <w:p>
      <w:pPr>
        <w:pageBreakBefore w:val="0"/>
        <w:numPr>
          <w:ilvl w:val="0"/>
          <w:numId w:val="5"/>
        </w:numPr>
        <w:kinsoku/>
        <w:wordWrap/>
        <w:overflowPunct/>
        <w:topLinePunct w:val="0"/>
        <w:bidi w:val="0"/>
        <w:spacing w:after="0" w:line="360" w:lineRule="auto"/>
        <w:jc w:val="center"/>
        <w:rPr>
          <w:rFonts w:hint="eastAsia" w:ascii="宋体" w:hAnsi="宋体" w:eastAsia="宋体" w:cs="宋体"/>
          <w:b/>
          <w:color w:val="auto"/>
          <w:sz w:val="32"/>
          <w:szCs w:val="32"/>
          <w:highlight w:val="none"/>
        </w:rPr>
      </w:pPr>
      <w:bookmarkStart w:id="147" w:name="_Toc217446085"/>
      <w:r>
        <w:rPr>
          <w:rFonts w:hint="eastAsia" w:ascii="宋体" w:hAnsi="宋体" w:eastAsia="宋体" w:cs="宋体"/>
          <w:b/>
          <w:color w:val="auto"/>
          <w:sz w:val="32"/>
          <w:szCs w:val="32"/>
          <w:highlight w:val="none"/>
        </w:rPr>
        <w:t>开标一览表</w:t>
      </w:r>
      <w:bookmarkEnd w:id="147"/>
    </w:p>
    <w:tbl>
      <w:tblPr>
        <w:tblStyle w:val="22"/>
        <w:tblW w:w="10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09"/>
        <w:gridCol w:w="3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190" w:type="dxa"/>
            <w:vAlign w:val="center"/>
          </w:tcPr>
          <w:p>
            <w:pPr>
              <w:pageBreakBefore w:val="0"/>
              <w:widowControl/>
              <w:kinsoku/>
              <w:wordWrap/>
              <w:overflowPunct/>
              <w:topLinePunct w:val="0"/>
              <w:bidi w:val="0"/>
              <w:spacing w:after="0" w:line="360" w:lineRule="auto"/>
              <w:jc w:val="center"/>
              <w:outlineLvl w:val="1"/>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项目名称</w:t>
            </w:r>
          </w:p>
        </w:tc>
        <w:tc>
          <w:tcPr>
            <w:tcW w:w="3109" w:type="dxa"/>
            <w:vAlign w:val="center"/>
          </w:tcPr>
          <w:p>
            <w:pPr>
              <w:pageBreakBefore w:val="0"/>
              <w:widowControl/>
              <w:kinsoku/>
              <w:wordWrap/>
              <w:overflowPunct/>
              <w:topLinePunct w:val="0"/>
              <w:bidi w:val="0"/>
              <w:spacing w:after="0" w:line="360" w:lineRule="auto"/>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投标</w:t>
            </w:r>
            <w:r>
              <w:rPr>
                <w:rFonts w:hint="eastAsia" w:ascii="宋体" w:hAnsi="宋体" w:eastAsia="宋体" w:cs="宋体"/>
                <w:color w:val="auto"/>
                <w:sz w:val="24"/>
                <w:highlight w:val="none"/>
                <w:lang w:val="en-US" w:eastAsia="zh-CN"/>
              </w:rPr>
              <w:t>总价（元）</w:t>
            </w:r>
          </w:p>
        </w:tc>
        <w:tc>
          <w:tcPr>
            <w:tcW w:w="3740" w:type="dxa"/>
            <w:vAlign w:val="center"/>
          </w:tcPr>
          <w:p>
            <w:pPr>
              <w:pageBreakBefore w:val="0"/>
              <w:widowControl/>
              <w:kinsoku/>
              <w:wordWrap/>
              <w:overflowPunct/>
              <w:topLinePunct w:val="0"/>
              <w:bidi w:val="0"/>
              <w:spacing w:after="0" w:line="360" w:lineRule="auto"/>
              <w:jc w:val="center"/>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3190" w:type="dxa"/>
            <w:vAlign w:val="center"/>
          </w:tcPr>
          <w:p>
            <w:pPr>
              <w:pageBreakBefore w:val="0"/>
              <w:widowControl/>
              <w:kinsoku/>
              <w:wordWrap/>
              <w:overflowPunct/>
              <w:topLinePunct w:val="0"/>
              <w:bidi w:val="0"/>
              <w:spacing w:after="0" w:line="360" w:lineRule="auto"/>
              <w:jc w:val="center"/>
              <w:outlineLvl w:val="1"/>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彭州市“十四五”石化园区及周边地下水自动监测站新增仪器设备及耗材采购项目（第二次）</w:t>
            </w:r>
          </w:p>
        </w:tc>
        <w:tc>
          <w:tcPr>
            <w:tcW w:w="3109" w:type="dxa"/>
            <w:vAlign w:val="center"/>
          </w:tcPr>
          <w:p>
            <w:pPr>
              <w:pageBreakBefore w:val="0"/>
              <w:widowControl/>
              <w:kinsoku/>
              <w:wordWrap/>
              <w:overflowPunct/>
              <w:topLinePunct w:val="0"/>
              <w:bidi w:val="0"/>
              <w:spacing w:after="0" w:line="360" w:lineRule="auto"/>
              <w:jc w:val="center"/>
              <w:outlineLvl w:val="1"/>
              <w:rPr>
                <w:rFonts w:hint="default" w:ascii="宋体" w:hAnsi="宋体" w:eastAsia="宋体" w:cs="宋体"/>
                <w:color w:val="auto"/>
                <w:sz w:val="24"/>
                <w:highlight w:val="none"/>
                <w:lang w:val="en-US" w:eastAsia="zh-CN"/>
              </w:rPr>
            </w:pPr>
          </w:p>
        </w:tc>
        <w:tc>
          <w:tcPr>
            <w:tcW w:w="3740" w:type="dxa"/>
            <w:vAlign w:val="center"/>
          </w:tcPr>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交货时间：合同签订之日起60个日历天内按采购人要求供货安装完毕，保证正常运行。</w:t>
            </w:r>
          </w:p>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交货地点：彭州市。</w:t>
            </w:r>
          </w:p>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质保期：采购人验收合格之日起1年。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039" w:type="dxa"/>
            <w:gridSpan w:val="3"/>
            <w:vAlign w:val="center"/>
          </w:tcPr>
          <w:p>
            <w:pPr>
              <w:pageBreakBefore w:val="0"/>
              <w:widowControl/>
              <w:kinsoku/>
              <w:wordWrap/>
              <w:overflowPunct/>
              <w:topLinePunct w:val="0"/>
              <w:bidi w:val="0"/>
              <w:spacing w:after="0" w:line="360" w:lineRule="auto"/>
              <w:jc w:val="left"/>
              <w:outlineLvl w:val="1"/>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大写：</w:t>
            </w:r>
          </w:p>
        </w:tc>
      </w:tr>
    </w:tbl>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rPr>
      </w:pPr>
    </w:p>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rPr>
      </w:pPr>
    </w:p>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rPr>
      </w:pPr>
    </w:p>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rPr>
      </w:pPr>
    </w:p>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投标人名称：XXXX（盖单位公章）。</w:t>
      </w:r>
    </w:p>
    <w:p>
      <w:pPr>
        <w:pageBreakBefore w:val="0"/>
        <w:widowControl/>
        <w:kinsoku/>
        <w:wordWrap/>
        <w:overflowPunct/>
        <w:topLinePunct w:val="0"/>
        <w:bidi w:val="0"/>
        <w:spacing w:after="0" w:line="360" w:lineRule="auto"/>
        <w:jc w:val="left"/>
        <w:outlineLvl w:val="1"/>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投标日期：XXXX。</w:t>
      </w:r>
    </w:p>
    <w:bookmarkEnd w:id="142"/>
    <w:p>
      <w:pPr>
        <w:pageBreakBefore w:val="0"/>
        <w:widowControl/>
        <w:kinsoku/>
        <w:wordWrap/>
        <w:overflowPunct/>
        <w:topLinePunct w:val="0"/>
        <w:bidi w:val="0"/>
        <w:spacing w:after="0" w:line="360" w:lineRule="auto"/>
        <w:jc w:val="left"/>
        <w:outlineLvl w:val="1"/>
        <w:rPr>
          <w:rFonts w:hint="eastAsia" w:ascii="宋体" w:hAnsi="宋体" w:eastAsia="宋体" w:cs="宋体"/>
          <w:b/>
          <w:color w:val="auto"/>
          <w:sz w:val="36"/>
          <w:szCs w:val="36"/>
          <w:highlight w:val="none"/>
        </w:rPr>
      </w:pPr>
      <w:bookmarkStart w:id="148" w:name="PO_默认文件内容_26"/>
    </w:p>
    <w:p>
      <w:pPr>
        <w:pageBreakBefore w:val="0"/>
        <w:widowControl/>
        <w:kinsoku/>
        <w:wordWrap/>
        <w:overflowPunct/>
        <w:topLinePunct w:val="0"/>
        <w:bidi w:val="0"/>
        <w:spacing w:after="0" w:line="360" w:lineRule="auto"/>
        <w:jc w:val="left"/>
        <w:outlineLvl w:val="1"/>
        <w:rPr>
          <w:rFonts w:hint="eastAsia" w:ascii="宋体" w:hAnsi="宋体" w:eastAsia="宋体" w:cs="宋体"/>
          <w:b/>
          <w:color w:val="auto"/>
          <w:sz w:val="36"/>
          <w:szCs w:val="36"/>
          <w:highlight w:val="none"/>
        </w:rPr>
      </w:pPr>
    </w:p>
    <w:p>
      <w:pPr>
        <w:pageBreakBefore w:val="0"/>
        <w:kinsoku/>
        <w:wordWrap/>
        <w:overflowPunct/>
        <w:topLinePunct w:val="0"/>
        <w:bidi w:val="0"/>
        <w:spacing w:line="360" w:lineRule="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pageBreakBefore w:val="0"/>
        <w:widowControl/>
        <w:kinsoku/>
        <w:wordWrap/>
        <w:overflowPunct/>
        <w:topLinePunct w:val="0"/>
        <w:bidi w:val="0"/>
        <w:spacing w:after="0" w:line="360" w:lineRule="auto"/>
        <w:jc w:val="left"/>
        <w:outlineLvl w:val="1"/>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格式2-</w:t>
      </w:r>
      <w:r>
        <w:rPr>
          <w:rFonts w:hint="eastAsia" w:ascii="宋体" w:hAnsi="宋体" w:eastAsia="宋体" w:cs="宋体"/>
          <w:b/>
          <w:color w:val="auto"/>
          <w:sz w:val="32"/>
          <w:szCs w:val="32"/>
          <w:highlight w:val="none"/>
          <w:lang w:val="en-US" w:eastAsia="zh-CN"/>
        </w:rPr>
        <w:t>4</w:t>
      </w:r>
    </w:p>
    <w:p>
      <w:pPr>
        <w:pageBreakBefore w:val="0"/>
        <w:numPr>
          <w:ilvl w:val="0"/>
          <w:numId w:val="5"/>
        </w:numPr>
        <w:kinsoku/>
        <w:wordWrap/>
        <w:overflowPunct/>
        <w:topLinePunct w:val="0"/>
        <w:bidi w:val="0"/>
        <w:spacing w:after="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分项报名明细表</w:t>
      </w:r>
    </w:p>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lang w:val="en-US" w:eastAsia="zh-CN"/>
        </w:rPr>
      </w:pPr>
    </w:p>
    <w:p>
      <w:pPr>
        <w:pageBreakBefore w:val="0"/>
        <w:widowControl/>
        <w:kinsoku/>
        <w:wordWrap/>
        <w:overflowPunct/>
        <w:topLinePunct w:val="0"/>
        <w:bidi w:val="0"/>
        <w:spacing w:after="0" w:line="360" w:lineRule="auto"/>
        <w:ind w:firstLine="470" w:firstLineChars="196"/>
        <w:jc w:val="left"/>
        <w:outlineLvl w:val="1"/>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项目名称：彭州市“十四五”石化园区及周边地下水自动监测站新增仪器设备及耗材采购项目（第二次）；</w:t>
      </w:r>
    </w:p>
    <w:tbl>
      <w:tblPr>
        <w:tblStyle w:val="21"/>
        <w:tblW w:w="9058" w:type="dxa"/>
        <w:tblInd w:w="5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1500"/>
        <w:gridCol w:w="792"/>
        <w:gridCol w:w="828"/>
        <w:gridCol w:w="864"/>
        <w:gridCol w:w="1128"/>
        <w:gridCol w:w="1061"/>
        <w:gridCol w:w="991"/>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922"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500" w:type="dxa"/>
            <w:noWrap w:val="0"/>
            <w:vAlign w:val="center"/>
          </w:tcPr>
          <w:p>
            <w:pPr>
              <w:spacing w:line="360" w:lineRule="auto"/>
              <w:jc w:val="center"/>
              <w:rPr>
                <w:rFonts w:hint="eastAsia" w:ascii="宋体" w:hAnsi="宋体" w:eastAsia="宋体" w:cs="宋体"/>
                <w:sz w:val="21"/>
                <w:szCs w:val="21"/>
                <w:lang w:bidi="ar"/>
              </w:rPr>
            </w:pPr>
            <w:r>
              <w:rPr>
                <w:rFonts w:hint="eastAsia" w:ascii="宋体" w:hAnsi="宋体" w:eastAsia="宋体" w:cs="宋体"/>
                <w:bCs/>
                <w:sz w:val="21"/>
                <w:szCs w:val="21"/>
              </w:rPr>
              <w:t>采购标的名称</w:t>
            </w:r>
          </w:p>
        </w:tc>
        <w:tc>
          <w:tcPr>
            <w:tcW w:w="792" w:type="dxa"/>
            <w:noWrap w:val="0"/>
            <w:vAlign w:val="center"/>
          </w:tcPr>
          <w:p>
            <w:pPr>
              <w:spacing w:line="360" w:lineRule="auto"/>
              <w:jc w:val="center"/>
              <w:rPr>
                <w:rFonts w:hint="eastAsia" w:ascii="宋体" w:hAnsi="宋体" w:eastAsia="宋体" w:cs="宋体"/>
                <w:sz w:val="21"/>
                <w:szCs w:val="21"/>
                <w:lang w:bidi="ar"/>
              </w:rPr>
            </w:pPr>
            <w:r>
              <w:rPr>
                <w:rFonts w:hint="eastAsia" w:ascii="宋体" w:hAnsi="宋体" w:eastAsia="宋体" w:cs="宋体"/>
                <w:sz w:val="21"/>
                <w:szCs w:val="21"/>
              </w:rPr>
              <w:t>数量</w:t>
            </w:r>
          </w:p>
        </w:tc>
        <w:tc>
          <w:tcPr>
            <w:tcW w:w="828" w:type="dxa"/>
            <w:noWrap w:val="0"/>
            <w:vAlign w:val="center"/>
          </w:tcPr>
          <w:p>
            <w:pPr>
              <w:spacing w:line="360" w:lineRule="auto"/>
              <w:jc w:val="center"/>
              <w:rPr>
                <w:rFonts w:hint="eastAsia" w:ascii="宋体" w:hAnsi="宋体" w:eastAsia="宋体" w:cs="宋体"/>
                <w:sz w:val="21"/>
                <w:szCs w:val="21"/>
                <w:lang w:bidi="ar"/>
              </w:rPr>
            </w:pPr>
            <w:r>
              <w:rPr>
                <w:rFonts w:hint="eastAsia" w:ascii="宋体" w:hAnsi="宋体" w:eastAsia="宋体" w:cs="宋体"/>
                <w:sz w:val="21"/>
                <w:szCs w:val="21"/>
              </w:rPr>
              <w:t>单位</w:t>
            </w:r>
          </w:p>
        </w:tc>
        <w:tc>
          <w:tcPr>
            <w:tcW w:w="864" w:type="dxa"/>
            <w:noWrap w:val="0"/>
            <w:vAlign w:val="center"/>
          </w:tcPr>
          <w:p>
            <w:pPr>
              <w:spacing w:line="360" w:lineRule="auto"/>
              <w:jc w:val="center"/>
              <w:rPr>
                <w:rFonts w:hint="default" w:ascii="宋体" w:hAnsi="宋体" w:eastAsia="宋体" w:cs="宋体"/>
                <w:sz w:val="21"/>
                <w:szCs w:val="21"/>
                <w:lang w:val="en-US" w:eastAsia="zh-CN" w:bidi="ar"/>
              </w:rPr>
            </w:pPr>
            <w:r>
              <w:rPr>
                <w:rFonts w:hint="eastAsia" w:ascii="宋体" w:hAnsi="宋体" w:eastAsia="宋体" w:cs="宋体"/>
                <w:sz w:val="21"/>
                <w:szCs w:val="21"/>
                <w:lang w:val="en-US" w:eastAsia="zh-CN" w:bidi="ar"/>
              </w:rPr>
              <w:t>规格型号</w:t>
            </w:r>
          </w:p>
        </w:tc>
        <w:tc>
          <w:tcPr>
            <w:tcW w:w="1128" w:type="dxa"/>
            <w:noWrap w:val="0"/>
            <w:vAlign w:val="center"/>
          </w:tcPr>
          <w:p>
            <w:pPr>
              <w:spacing w:line="360" w:lineRule="auto"/>
              <w:jc w:val="center"/>
              <w:rPr>
                <w:rFonts w:hint="eastAsia" w:ascii="宋体" w:hAnsi="宋体" w:eastAsia="宋体" w:cs="宋体"/>
                <w:sz w:val="21"/>
                <w:szCs w:val="21"/>
                <w:lang w:bidi="ar"/>
              </w:rPr>
            </w:pPr>
            <w:r>
              <w:rPr>
                <w:rFonts w:hint="eastAsia" w:ascii="宋体" w:hAnsi="宋体" w:eastAsia="宋体" w:cs="宋体"/>
                <w:sz w:val="21"/>
                <w:szCs w:val="21"/>
                <w:lang w:bidi="ar"/>
              </w:rPr>
              <w:t>品牌或制造厂商</w:t>
            </w:r>
          </w:p>
        </w:tc>
        <w:tc>
          <w:tcPr>
            <w:tcW w:w="1061" w:type="dxa"/>
            <w:noWrap w:val="0"/>
            <w:vAlign w:val="center"/>
          </w:tcPr>
          <w:p>
            <w:pPr>
              <w:spacing w:line="360" w:lineRule="auto"/>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单价（元）</w:t>
            </w:r>
          </w:p>
        </w:tc>
        <w:tc>
          <w:tcPr>
            <w:tcW w:w="991" w:type="dxa"/>
            <w:noWrap w:val="0"/>
            <w:vAlign w:val="center"/>
          </w:tcPr>
          <w:p>
            <w:pPr>
              <w:spacing w:line="360" w:lineRule="auto"/>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小计（元）</w:t>
            </w:r>
          </w:p>
        </w:tc>
        <w:tc>
          <w:tcPr>
            <w:tcW w:w="972" w:type="dxa"/>
            <w:noWrap w:val="0"/>
            <w:vAlign w:val="center"/>
          </w:tcPr>
          <w:p>
            <w:pPr>
              <w:spacing w:line="360" w:lineRule="auto"/>
              <w:jc w:val="center"/>
              <w:rPr>
                <w:rFonts w:hint="eastAsia" w:ascii="宋体" w:hAnsi="宋体" w:eastAsia="宋体" w:cs="宋体"/>
                <w:sz w:val="21"/>
                <w:szCs w:val="21"/>
                <w:lang w:bidi="ar"/>
              </w:rPr>
            </w:pPr>
            <w:r>
              <w:rPr>
                <w:rFonts w:hint="eastAsia" w:ascii="宋体" w:hAnsi="宋体" w:eastAsia="宋体" w:cs="宋体"/>
                <w:sz w:val="21"/>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922"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50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bCs/>
                <w:sz w:val="21"/>
                <w:szCs w:val="21"/>
              </w:rPr>
              <w:t>挥发性有机物在线分析仪</w:t>
            </w:r>
          </w:p>
        </w:tc>
        <w:tc>
          <w:tcPr>
            <w:tcW w:w="792" w:type="dxa"/>
            <w:noWrap w:val="0"/>
            <w:vAlign w:val="center"/>
          </w:tcPr>
          <w:p>
            <w:pPr>
              <w:spacing w:line="360" w:lineRule="auto"/>
              <w:jc w:val="center"/>
              <w:rPr>
                <w:rFonts w:hint="eastAsia" w:ascii="宋体" w:hAnsi="宋体" w:eastAsia="宋体" w:cs="宋体"/>
                <w:sz w:val="21"/>
                <w:szCs w:val="21"/>
                <w:lang w:bidi="ar"/>
              </w:rPr>
            </w:pPr>
            <w:r>
              <w:rPr>
                <w:rFonts w:hint="eastAsia" w:ascii="宋体" w:hAnsi="宋体" w:eastAsia="宋体" w:cs="宋体"/>
                <w:sz w:val="21"/>
                <w:szCs w:val="21"/>
                <w:lang w:bidi="ar"/>
              </w:rPr>
              <w:t>3</w:t>
            </w:r>
          </w:p>
        </w:tc>
        <w:tc>
          <w:tcPr>
            <w:tcW w:w="828" w:type="dxa"/>
            <w:noWrap w:val="0"/>
            <w:vAlign w:val="center"/>
          </w:tcPr>
          <w:p>
            <w:pPr>
              <w:spacing w:line="360" w:lineRule="auto"/>
              <w:jc w:val="center"/>
              <w:rPr>
                <w:rFonts w:hint="eastAsia" w:ascii="宋体" w:hAnsi="宋体" w:eastAsia="宋体" w:cs="宋体"/>
                <w:sz w:val="21"/>
                <w:szCs w:val="21"/>
                <w:lang w:bidi="ar"/>
              </w:rPr>
            </w:pPr>
            <w:r>
              <w:rPr>
                <w:rFonts w:hint="eastAsia" w:ascii="宋体" w:hAnsi="宋体" w:eastAsia="宋体" w:cs="宋体"/>
                <w:sz w:val="21"/>
                <w:szCs w:val="21"/>
                <w:lang w:bidi="ar"/>
              </w:rPr>
              <w:t>套</w:t>
            </w:r>
          </w:p>
        </w:tc>
        <w:tc>
          <w:tcPr>
            <w:tcW w:w="864" w:type="dxa"/>
            <w:noWrap w:val="0"/>
            <w:vAlign w:val="center"/>
          </w:tcPr>
          <w:p>
            <w:pPr>
              <w:spacing w:line="360" w:lineRule="auto"/>
              <w:jc w:val="center"/>
              <w:rPr>
                <w:rFonts w:hint="eastAsia" w:ascii="宋体" w:hAnsi="宋体" w:eastAsia="宋体" w:cs="宋体"/>
                <w:sz w:val="21"/>
                <w:szCs w:val="21"/>
                <w:lang w:bidi="ar"/>
              </w:rPr>
            </w:pPr>
          </w:p>
        </w:tc>
        <w:tc>
          <w:tcPr>
            <w:tcW w:w="1128" w:type="dxa"/>
            <w:noWrap w:val="0"/>
            <w:vAlign w:val="center"/>
          </w:tcPr>
          <w:p>
            <w:pPr>
              <w:spacing w:line="360" w:lineRule="auto"/>
              <w:jc w:val="center"/>
              <w:rPr>
                <w:rFonts w:hint="eastAsia" w:ascii="宋体" w:hAnsi="宋体" w:eastAsia="宋体" w:cs="宋体"/>
                <w:snapToGrid w:val="0"/>
                <w:sz w:val="21"/>
                <w:szCs w:val="21"/>
              </w:rPr>
            </w:pPr>
          </w:p>
        </w:tc>
        <w:tc>
          <w:tcPr>
            <w:tcW w:w="1061" w:type="dxa"/>
            <w:noWrap w:val="0"/>
            <w:vAlign w:val="center"/>
          </w:tcPr>
          <w:p>
            <w:pPr>
              <w:spacing w:line="360" w:lineRule="auto"/>
              <w:jc w:val="center"/>
              <w:rPr>
                <w:rFonts w:hint="eastAsia" w:ascii="宋体" w:hAnsi="宋体" w:eastAsia="宋体" w:cs="宋体"/>
                <w:snapToGrid w:val="0"/>
                <w:sz w:val="21"/>
                <w:szCs w:val="21"/>
              </w:rPr>
            </w:pPr>
          </w:p>
        </w:tc>
        <w:tc>
          <w:tcPr>
            <w:tcW w:w="991" w:type="dxa"/>
            <w:noWrap w:val="0"/>
            <w:vAlign w:val="center"/>
          </w:tcPr>
          <w:p>
            <w:pPr>
              <w:spacing w:line="360" w:lineRule="auto"/>
              <w:jc w:val="center"/>
              <w:rPr>
                <w:rFonts w:hint="eastAsia" w:ascii="宋体" w:hAnsi="宋体" w:eastAsia="宋体" w:cs="宋体"/>
                <w:snapToGrid w:val="0"/>
                <w:sz w:val="21"/>
                <w:szCs w:val="21"/>
              </w:rPr>
            </w:pPr>
          </w:p>
        </w:tc>
        <w:tc>
          <w:tcPr>
            <w:tcW w:w="972" w:type="dxa"/>
            <w:noWrap w:val="0"/>
            <w:vAlign w:val="center"/>
          </w:tcPr>
          <w:p>
            <w:pPr>
              <w:spacing w:line="360" w:lineRule="auto"/>
              <w:jc w:val="center"/>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922"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500" w:type="dxa"/>
            <w:noWrap w:val="0"/>
            <w:vAlign w:val="center"/>
          </w:tcPr>
          <w:p>
            <w:pPr>
              <w:spacing w:line="360" w:lineRule="auto"/>
              <w:jc w:val="center"/>
              <w:rPr>
                <w:rFonts w:hint="eastAsia" w:ascii="宋体" w:hAnsi="宋体" w:eastAsia="宋体" w:cs="宋体"/>
                <w:bCs/>
                <w:sz w:val="21"/>
                <w:szCs w:val="21"/>
              </w:rPr>
            </w:pPr>
            <w:r>
              <w:rPr>
                <w:rFonts w:hint="eastAsia" w:ascii="宋体" w:hAnsi="宋体" w:eastAsia="宋体" w:cs="宋体"/>
                <w:sz w:val="21"/>
                <w:szCs w:val="21"/>
                <w:lang w:bidi="ar"/>
              </w:rPr>
              <w:t>氰化物在线分析仪</w:t>
            </w:r>
          </w:p>
        </w:tc>
        <w:tc>
          <w:tcPr>
            <w:tcW w:w="792" w:type="dxa"/>
            <w:noWrap w:val="0"/>
            <w:vAlign w:val="center"/>
          </w:tcPr>
          <w:p>
            <w:pPr>
              <w:spacing w:line="360" w:lineRule="auto"/>
              <w:jc w:val="center"/>
              <w:rPr>
                <w:rFonts w:hint="eastAsia" w:ascii="宋体" w:hAnsi="宋体" w:eastAsia="宋体" w:cs="宋体"/>
                <w:sz w:val="21"/>
                <w:szCs w:val="21"/>
                <w:lang w:bidi="ar"/>
              </w:rPr>
            </w:pPr>
            <w:r>
              <w:rPr>
                <w:rFonts w:hint="eastAsia" w:ascii="宋体" w:hAnsi="宋体" w:eastAsia="宋体" w:cs="宋体"/>
                <w:sz w:val="21"/>
                <w:szCs w:val="21"/>
                <w:lang w:bidi="ar"/>
              </w:rPr>
              <w:t>4</w:t>
            </w:r>
          </w:p>
        </w:tc>
        <w:tc>
          <w:tcPr>
            <w:tcW w:w="828" w:type="dxa"/>
            <w:noWrap w:val="0"/>
            <w:vAlign w:val="center"/>
          </w:tcPr>
          <w:p>
            <w:pPr>
              <w:spacing w:line="360" w:lineRule="auto"/>
              <w:jc w:val="center"/>
              <w:rPr>
                <w:rFonts w:hint="eastAsia" w:ascii="宋体" w:hAnsi="宋体" w:eastAsia="宋体" w:cs="宋体"/>
                <w:sz w:val="21"/>
                <w:szCs w:val="21"/>
                <w:lang w:bidi="ar"/>
              </w:rPr>
            </w:pPr>
            <w:r>
              <w:rPr>
                <w:rFonts w:hint="eastAsia" w:ascii="宋体" w:hAnsi="宋体" w:eastAsia="宋体" w:cs="宋体"/>
                <w:sz w:val="21"/>
                <w:szCs w:val="21"/>
                <w:lang w:bidi="ar"/>
              </w:rPr>
              <w:t>套</w:t>
            </w:r>
          </w:p>
        </w:tc>
        <w:tc>
          <w:tcPr>
            <w:tcW w:w="864" w:type="dxa"/>
            <w:noWrap w:val="0"/>
            <w:vAlign w:val="center"/>
          </w:tcPr>
          <w:p>
            <w:pPr>
              <w:spacing w:line="360" w:lineRule="auto"/>
              <w:jc w:val="center"/>
              <w:rPr>
                <w:rFonts w:hint="eastAsia" w:ascii="宋体" w:hAnsi="宋体" w:eastAsia="宋体" w:cs="宋体"/>
                <w:snapToGrid w:val="0"/>
                <w:sz w:val="21"/>
                <w:szCs w:val="21"/>
              </w:rPr>
            </w:pPr>
          </w:p>
        </w:tc>
        <w:tc>
          <w:tcPr>
            <w:tcW w:w="1128" w:type="dxa"/>
            <w:noWrap w:val="0"/>
            <w:vAlign w:val="center"/>
          </w:tcPr>
          <w:p>
            <w:pPr>
              <w:spacing w:line="360" w:lineRule="auto"/>
              <w:jc w:val="center"/>
              <w:rPr>
                <w:rFonts w:hint="eastAsia" w:ascii="宋体" w:hAnsi="宋体" w:eastAsia="宋体" w:cs="宋体"/>
                <w:snapToGrid w:val="0"/>
                <w:sz w:val="21"/>
                <w:szCs w:val="21"/>
              </w:rPr>
            </w:pPr>
          </w:p>
        </w:tc>
        <w:tc>
          <w:tcPr>
            <w:tcW w:w="1061" w:type="dxa"/>
            <w:noWrap w:val="0"/>
            <w:vAlign w:val="center"/>
          </w:tcPr>
          <w:p>
            <w:pPr>
              <w:spacing w:line="360" w:lineRule="auto"/>
              <w:jc w:val="center"/>
              <w:rPr>
                <w:rFonts w:hint="eastAsia" w:ascii="宋体" w:hAnsi="宋体" w:eastAsia="宋体" w:cs="宋体"/>
                <w:snapToGrid w:val="0"/>
                <w:sz w:val="21"/>
                <w:szCs w:val="21"/>
              </w:rPr>
            </w:pPr>
          </w:p>
        </w:tc>
        <w:tc>
          <w:tcPr>
            <w:tcW w:w="991" w:type="dxa"/>
            <w:noWrap w:val="0"/>
            <w:vAlign w:val="center"/>
          </w:tcPr>
          <w:p>
            <w:pPr>
              <w:spacing w:line="360" w:lineRule="auto"/>
              <w:jc w:val="center"/>
              <w:rPr>
                <w:rFonts w:hint="eastAsia" w:ascii="宋体" w:hAnsi="宋体" w:eastAsia="宋体" w:cs="宋体"/>
                <w:snapToGrid w:val="0"/>
                <w:sz w:val="21"/>
                <w:szCs w:val="21"/>
              </w:rPr>
            </w:pPr>
          </w:p>
        </w:tc>
        <w:tc>
          <w:tcPr>
            <w:tcW w:w="972" w:type="dxa"/>
            <w:noWrap w:val="0"/>
            <w:vAlign w:val="center"/>
          </w:tcPr>
          <w:p>
            <w:pPr>
              <w:spacing w:line="360" w:lineRule="auto"/>
              <w:jc w:val="center"/>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922"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500" w:type="dxa"/>
            <w:noWrap w:val="0"/>
            <w:vAlign w:val="center"/>
          </w:tcPr>
          <w:p>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水中油在线分析仪</w:t>
            </w:r>
          </w:p>
        </w:tc>
        <w:tc>
          <w:tcPr>
            <w:tcW w:w="792" w:type="dxa"/>
            <w:noWrap w:val="0"/>
            <w:vAlign w:val="center"/>
          </w:tcPr>
          <w:p>
            <w:pPr>
              <w:spacing w:line="360" w:lineRule="auto"/>
              <w:jc w:val="center"/>
              <w:rPr>
                <w:rFonts w:hint="eastAsia" w:ascii="宋体" w:hAnsi="宋体" w:eastAsia="宋体" w:cs="宋体"/>
                <w:sz w:val="21"/>
                <w:szCs w:val="21"/>
                <w:lang w:bidi="ar"/>
              </w:rPr>
            </w:pPr>
            <w:r>
              <w:rPr>
                <w:rFonts w:hint="eastAsia" w:ascii="宋体" w:hAnsi="宋体" w:eastAsia="宋体" w:cs="宋体"/>
                <w:sz w:val="21"/>
                <w:szCs w:val="21"/>
                <w:lang w:bidi="ar"/>
              </w:rPr>
              <w:t>4</w:t>
            </w:r>
          </w:p>
        </w:tc>
        <w:tc>
          <w:tcPr>
            <w:tcW w:w="828" w:type="dxa"/>
            <w:noWrap w:val="0"/>
            <w:vAlign w:val="center"/>
          </w:tcPr>
          <w:p>
            <w:pPr>
              <w:spacing w:line="360" w:lineRule="auto"/>
              <w:jc w:val="center"/>
              <w:rPr>
                <w:rFonts w:hint="eastAsia" w:ascii="宋体" w:hAnsi="宋体" w:eastAsia="宋体" w:cs="宋体"/>
                <w:sz w:val="21"/>
                <w:szCs w:val="21"/>
                <w:lang w:bidi="ar"/>
              </w:rPr>
            </w:pPr>
            <w:r>
              <w:rPr>
                <w:rFonts w:hint="eastAsia" w:ascii="宋体" w:hAnsi="宋体" w:eastAsia="宋体" w:cs="宋体"/>
                <w:sz w:val="21"/>
                <w:szCs w:val="21"/>
                <w:lang w:bidi="ar"/>
              </w:rPr>
              <w:t>套</w:t>
            </w:r>
          </w:p>
        </w:tc>
        <w:tc>
          <w:tcPr>
            <w:tcW w:w="864" w:type="dxa"/>
            <w:noWrap w:val="0"/>
            <w:vAlign w:val="center"/>
          </w:tcPr>
          <w:p>
            <w:pPr>
              <w:spacing w:line="360" w:lineRule="auto"/>
              <w:jc w:val="center"/>
              <w:rPr>
                <w:rFonts w:hint="eastAsia" w:ascii="宋体" w:hAnsi="宋体" w:eastAsia="宋体" w:cs="宋体"/>
                <w:snapToGrid w:val="0"/>
                <w:sz w:val="21"/>
                <w:szCs w:val="21"/>
              </w:rPr>
            </w:pPr>
          </w:p>
        </w:tc>
        <w:tc>
          <w:tcPr>
            <w:tcW w:w="1128" w:type="dxa"/>
            <w:noWrap w:val="0"/>
            <w:vAlign w:val="center"/>
          </w:tcPr>
          <w:p>
            <w:pPr>
              <w:spacing w:line="360" w:lineRule="auto"/>
              <w:jc w:val="center"/>
              <w:rPr>
                <w:rFonts w:hint="eastAsia" w:ascii="宋体" w:hAnsi="宋体" w:eastAsia="宋体" w:cs="宋体"/>
                <w:snapToGrid w:val="0"/>
                <w:sz w:val="21"/>
                <w:szCs w:val="21"/>
              </w:rPr>
            </w:pPr>
          </w:p>
        </w:tc>
        <w:tc>
          <w:tcPr>
            <w:tcW w:w="1061" w:type="dxa"/>
            <w:noWrap w:val="0"/>
            <w:vAlign w:val="center"/>
          </w:tcPr>
          <w:p>
            <w:pPr>
              <w:spacing w:line="360" w:lineRule="auto"/>
              <w:jc w:val="center"/>
              <w:rPr>
                <w:rFonts w:hint="eastAsia" w:ascii="宋体" w:hAnsi="宋体" w:eastAsia="宋体" w:cs="宋体"/>
                <w:snapToGrid w:val="0"/>
                <w:sz w:val="21"/>
                <w:szCs w:val="21"/>
              </w:rPr>
            </w:pPr>
          </w:p>
        </w:tc>
        <w:tc>
          <w:tcPr>
            <w:tcW w:w="991" w:type="dxa"/>
            <w:noWrap w:val="0"/>
            <w:vAlign w:val="center"/>
          </w:tcPr>
          <w:p>
            <w:pPr>
              <w:spacing w:line="360" w:lineRule="auto"/>
              <w:jc w:val="center"/>
              <w:rPr>
                <w:rFonts w:hint="eastAsia" w:ascii="宋体" w:hAnsi="宋体" w:eastAsia="宋体" w:cs="宋体"/>
                <w:snapToGrid w:val="0"/>
                <w:sz w:val="21"/>
                <w:szCs w:val="21"/>
              </w:rPr>
            </w:pPr>
          </w:p>
        </w:tc>
        <w:tc>
          <w:tcPr>
            <w:tcW w:w="972" w:type="dxa"/>
            <w:noWrap w:val="0"/>
            <w:vAlign w:val="center"/>
          </w:tcPr>
          <w:p>
            <w:pPr>
              <w:spacing w:line="360" w:lineRule="auto"/>
              <w:jc w:val="center"/>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922"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500" w:type="dxa"/>
            <w:noWrap w:val="0"/>
            <w:vAlign w:val="center"/>
          </w:tcPr>
          <w:p>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超纯水制备装置</w:t>
            </w:r>
          </w:p>
        </w:tc>
        <w:tc>
          <w:tcPr>
            <w:tcW w:w="792" w:type="dxa"/>
            <w:noWrap w:val="0"/>
            <w:vAlign w:val="center"/>
          </w:tcPr>
          <w:p>
            <w:pPr>
              <w:spacing w:line="360" w:lineRule="auto"/>
              <w:jc w:val="center"/>
              <w:rPr>
                <w:rFonts w:hint="eastAsia" w:ascii="宋体" w:hAnsi="宋体" w:eastAsia="宋体" w:cs="宋体"/>
                <w:sz w:val="21"/>
                <w:szCs w:val="21"/>
                <w:lang w:bidi="ar"/>
              </w:rPr>
            </w:pPr>
            <w:r>
              <w:rPr>
                <w:rFonts w:hint="eastAsia" w:ascii="宋体" w:hAnsi="宋体" w:eastAsia="宋体" w:cs="宋体"/>
                <w:sz w:val="21"/>
                <w:szCs w:val="21"/>
                <w:lang w:bidi="ar"/>
              </w:rPr>
              <w:t>2</w:t>
            </w:r>
          </w:p>
        </w:tc>
        <w:tc>
          <w:tcPr>
            <w:tcW w:w="828" w:type="dxa"/>
            <w:noWrap w:val="0"/>
            <w:vAlign w:val="center"/>
          </w:tcPr>
          <w:p>
            <w:pPr>
              <w:spacing w:line="360" w:lineRule="auto"/>
              <w:jc w:val="center"/>
              <w:rPr>
                <w:rFonts w:hint="eastAsia" w:ascii="宋体" w:hAnsi="宋体" w:eastAsia="宋体" w:cs="宋体"/>
                <w:sz w:val="21"/>
                <w:szCs w:val="21"/>
                <w:lang w:bidi="ar"/>
              </w:rPr>
            </w:pPr>
            <w:r>
              <w:rPr>
                <w:rFonts w:hint="eastAsia" w:ascii="宋体" w:hAnsi="宋体" w:eastAsia="宋体" w:cs="宋体"/>
                <w:sz w:val="21"/>
                <w:szCs w:val="21"/>
                <w:lang w:bidi="ar"/>
              </w:rPr>
              <w:t>套</w:t>
            </w:r>
          </w:p>
        </w:tc>
        <w:tc>
          <w:tcPr>
            <w:tcW w:w="864" w:type="dxa"/>
            <w:noWrap w:val="0"/>
            <w:vAlign w:val="center"/>
          </w:tcPr>
          <w:p>
            <w:pPr>
              <w:spacing w:line="360" w:lineRule="auto"/>
              <w:jc w:val="center"/>
              <w:rPr>
                <w:rFonts w:hint="eastAsia" w:ascii="宋体" w:hAnsi="宋体" w:eastAsia="宋体" w:cs="宋体"/>
                <w:sz w:val="21"/>
                <w:szCs w:val="21"/>
                <w:lang w:bidi="ar"/>
              </w:rPr>
            </w:pPr>
          </w:p>
        </w:tc>
        <w:tc>
          <w:tcPr>
            <w:tcW w:w="1128" w:type="dxa"/>
            <w:noWrap w:val="0"/>
            <w:vAlign w:val="center"/>
          </w:tcPr>
          <w:p>
            <w:pPr>
              <w:spacing w:line="360" w:lineRule="auto"/>
              <w:jc w:val="center"/>
              <w:rPr>
                <w:rFonts w:hint="eastAsia" w:ascii="宋体" w:hAnsi="宋体" w:eastAsia="宋体" w:cs="宋体"/>
                <w:snapToGrid w:val="0"/>
                <w:sz w:val="21"/>
                <w:szCs w:val="21"/>
              </w:rPr>
            </w:pPr>
          </w:p>
        </w:tc>
        <w:tc>
          <w:tcPr>
            <w:tcW w:w="1061" w:type="dxa"/>
            <w:noWrap w:val="0"/>
            <w:vAlign w:val="center"/>
          </w:tcPr>
          <w:p>
            <w:pPr>
              <w:spacing w:line="360" w:lineRule="auto"/>
              <w:jc w:val="center"/>
              <w:rPr>
                <w:rFonts w:hint="eastAsia" w:ascii="宋体" w:hAnsi="宋体" w:eastAsia="宋体" w:cs="宋体"/>
                <w:snapToGrid w:val="0"/>
                <w:sz w:val="21"/>
                <w:szCs w:val="21"/>
              </w:rPr>
            </w:pPr>
          </w:p>
        </w:tc>
        <w:tc>
          <w:tcPr>
            <w:tcW w:w="991" w:type="dxa"/>
            <w:noWrap w:val="0"/>
            <w:vAlign w:val="center"/>
          </w:tcPr>
          <w:p>
            <w:pPr>
              <w:spacing w:line="360" w:lineRule="auto"/>
              <w:jc w:val="center"/>
              <w:rPr>
                <w:rFonts w:hint="eastAsia" w:ascii="宋体" w:hAnsi="宋体" w:eastAsia="宋体" w:cs="宋体"/>
                <w:snapToGrid w:val="0"/>
                <w:sz w:val="21"/>
                <w:szCs w:val="21"/>
              </w:rPr>
            </w:pPr>
          </w:p>
        </w:tc>
        <w:tc>
          <w:tcPr>
            <w:tcW w:w="972" w:type="dxa"/>
            <w:noWrap w:val="0"/>
            <w:vAlign w:val="center"/>
          </w:tcPr>
          <w:p>
            <w:pPr>
              <w:spacing w:line="360" w:lineRule="auto"/>
              <w:jc w:val="center"/>
              <w:rPr>
                <w:rFonts w:hint="eastAsia" w:ascii="宋体" w:hAnsi="宋体" w:eastAsia="宋体" w:cs="宋体"/>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922"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500" w:type="dxa"/>
            <w:noWrap w:val="0"/>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系统集成</w:t>
            </w:r>
          </w:p>
        </w:tc>
        <w:tc>
          <w:tcPr>
            <w:tcW w:w="792" w:type="dxa"/>
            <w:noWrap w:val="0"/>
            <w:vAlign w:val="center"/>
          </w:tcPr>
          <w:p>
            <w:pPr>
              <w:spacing w:line="360" w:lineRule="auto"/>
              <w:jc w:val="center"/>
              <w:rPr>
                <w:rFonts w:hint="eastAsia" w:ascii="宋体" w:hAnsi="宋体" w:eastAsia="宋体" w:cs="宋体"/>
                <w:sz w:val="21"/>
                <w:szCs w:val="21"/>
                <w:lang w:bidi="ar"/>
              </w:rPr>
            </w:pPr>
            <w:r>
              <w:rPr>
                <w:rFonts w:hint="eastAsia" w:ascii="宋体" w:hAnsi="宋体" w:eastAsia="宋体" w:cs="宋体"/>
                <w:sz w:val="21"/>
                <w:szCs w:val="21"/>
                <w:lang w:bidi="ar"/>
              </w:rPr>
              <w:t>4</w:t>
            </w:r>
          </w:p>
        </w:tc>
        <w:tc>
          <w:tcPr>
            <w:tcW w:w="828" w:type="dxa"/>
            <w:noWrap w:val="0"/>
            <w:vAlign w:val="center"/>
          </w:tcPr>
          <w:p>
            <w:pPr>
              <w:spacing w:line="360" w:lineRule="auto"/>
              <w:jc w:val="center"/>
              <w:rPr>
                <w:rFonts w:hint="eastAsia" w:ascii="宋体" w:hAnsi="宋体" w:eastAsia="宋体" w:cs="宋体"/>
                <w:sz w:val="21"/>
                <w:szCs w:val="21"/>
                <w:lang w:bidi="ar"/>
              </w:rPr>
            </w:pPr>
            <w:r>
              <w:rPr>
                <w:rFonts w:hint="eastAsia" w:ascii="宋体" w:hAnsi="宋体" w:eastAsia="宋体" w:cs="宋体"/>
                <w:sz w:val="21"/>
                <w:szCs w:val="21"/>
                <w:lang w:bidi="ar"/>
              </w:rPr>
              <w:t>套</w:t>
            </w:r>
          </w:p>
        </w:tc>
        <w:tc>
          <w:tcPr>
            <w:tcW w:w="864" w:type="dxa"/>
            <w:noWrap w:val="0"/>
            <w:vAlign w:val="center"/>
          </w:tcPr>
          <w:p>
            <w:pPr>
              <w:spacing w:line="360" w:lineRule="auto"/>
              <w:jc w:val="center"/>
              <w:rPr>
                <w:rFonts w:hint="eastAsia" w:ascii="宋体" w:hAnsi="宋体" w:eastAsia="宋体" w:cs="宋体"/>
                <w:sz w:val="21"/>
                <w:szCs w:val="21"/>
                <w:lang w:bidi="ar"/>
              </w:rPr>
            </w:pPr>
          </w:p>
        </w:tc>
        <w:tc>
          <w:tcPr>
            <w:tcW w:w="1128" w:type="dxa"/>
            <w:noWrap w:val="0"/>
            <w:vAlign w:val="center"/>
          </w:tcPr>
          <w:p>
            <w:pPr>
              <w:spacing w:line="360" w:lineRule="auto"/>
              <w:jc w:val="center"/>
              <w:rPr>
                <w:rFonts w:hint="eastAsia" w:ascii="宋体" w:hAnsi="宋体" w:eastAsia="宋体" w:cs="宋体"/>
                <w:sz w:val="21"/>
                <w:szCs w:val="21"/>
                <w:lang w:bidi="ar"/>
              </w:rPr>
            </w:pPr>
          </w:p>
        </w:tc>
        <w:tc>
          <w:tcPr>
            <w:tcW w:w="1061" w:type="dxa"/>
            <w:noWrap w:val="0"/>
            <w:vAlign w:val="center"/>
          </w:tcPr>
          <w:p>
            <w:pPr>
              <w:spacing w:line="360" w:lineRule="auto"/>
              <w:jc w:val="center"/>
              <w:rPr>
                <w:rFonts w:hint="eastAsia" w:ascii="宋体" w:hAnsi="宋体" w:eastAsia="宋体" w:cs="宋体"/>
                <w:sz w:val="21"/>
                <w:szCs w:val="21"/>
                <w:lang w:bidi="ar"/>
              </w:rPr>
            </w:pPr>
          </w:p>
        </w:tc>
        <w:tc>
          <w:tcPr>
            <w:tcW w:w="991" w:type="dxa"/>
            <w:noWrap w:val="0"/>
            <w:vAlign w:val="center"/>
          </w:tcPr>
          <w:p>
            <w:pPr>
              <w:spacing w:line="360" w:lineRule="auto"/>
              <w:jc w:val="center"/>
              <w:rPr>
                <w:rFonts w:hint="eastAsia" w:ascii="宋体" w:hAnsi="宋体" w:eastAsia="宋体" w:cs="宋体"/>
                <w:sz w:val="21"/>
                <w:szCs w:val="21"/>
                <w:lang w:bidi="ar"/>
              </w:rPr>
            </w:pPr>
          </w:p>
        </w:tc>
        <w:tc>
          <w:tcPr>
            <w:tcW w:w="972" w:type="dxa"/>
            <w:noWrap w:val="0"/>
            <w:vAlign w:val="center"/>
          </w:tcPr>
          <w:p>
            <w:pPr>
              <w:spacing w:line="360" w:lineRule="auto"/>
              <w:jc w:val="center"/>
              <w:rPr>
                <w:rFonts w:hint="eastAsia" w:ascii="宋体" w:hAnsi="宋体" w:eastAsia="宋体" w:cs="宋体"/>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922"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500" w:type="dxa"/>
            <w:noWrap w:val="0"/>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sz w:val="21"/>
                <w:szCs w:val="21"/>
                <w:lang w:val="zh-CN" w:bidi="zh-CN"/>
              </w:rPr>
              <w:t>辅助系统</w:t>
            </w:r>
          </w:p>
        </w:tc>
        <w:tc>
          <w:tcPr>
            <w:tcW w:w="792" w:type="dxa"/>
            <w:noWrap w:val="0"/>
            <w:vAlign w:val="center"/>
          </w:tcPr>
          <w:p>
            <w:pPr>
              <w:spacing w:line="360" w:lineRule="auto"/>
              <w:jc w:val="center"/>
              <w:rPr>
                <w:rFonts w:hint="eastAsia" w:ascii="宋体" w:hAnsi="宋体" w:eastAsia="宋体" w:cs="宋体"/>
                <w:sz w:val="21"/>
                <w:szCs w:val="21"/>
                <w:lang w:bidi="ar"/>
              </w:rPr>
            </w:pPr>
            <w:r>
              <w:rPr>
                <w:rFonts w:hint="eastAsia" w:ascii="宋体" w:hAnsi="宋体" w:eastAsia="宋体" w:cs="宋体"/>
                <w:sz w:val="21"/>
                <w:szCs w:val="21"/>
                <w:lang w:bidi="ar"/>
              </w:rPr>
              <w:t>4</w:t>
            </w:r>
          </w:p>
        </w:tc>
        <w:tc>
          <w:tcPr>
            <w:tcW w:w="828" w:type="dxa"/>
            <w:noWrap w:val="0"/>
            <w:vAlign w:val="center"/>
          </w:tcPr>
          <w:p>
            <w:pPr>
              <w:spacing w:line="360" w:lineRule="auto"/>
              <w:jc w:val="center"/>
              <w:rPr>
                <w:rFonts w:hint="eastAsia" w:ascii="宋体" w:hAnsi="宋体" w:eastAsia="宋体" w:cs="宋体"/>
                <w:sz w:val="21"/>
                <w:szCs w:val="21"/>
                <w:lang w:bidi="ar"/>
              </w:rPr>
            </w:pPr>
            <w:r>
              <w:rPr>
                <w:rFonts w:hint="eastAsia" w:ascii="宋体" w:hAnsi="宋体" w:eastAsia="宋体" w:cs="宋体"/>
                <w:sz w:val="21"/>
                <w:szCs w:val="21"/>
                <w:lang w:bidi="ar"/>
              </w:rPr>
              <w:t>套</w:t>
            </w:r>
          </w:p>
        </w:tc>
        <w:tc>
          <w:tcPr>
            <w:tcW w:w="864" w:type="dxa"/>
            <w:noWrap w:val="0"/>
            <w:vAlign w:val="center"/>
          </w:tcPr>
          <w:p>
            <w:pPr>
              <w:spacing w:line="360" w:lineRule="auto"/>
              <w:jc w:val="center"/>
              <w:rPr>
                <w:rFonts w:hint="eastAsia" w:ascii="宋体" w:hAnsi="宋体" w:eastAsia="宋体" w:cs="宋体"/>
                <w:sz w:val="21"/>
                <w:szCs w:val="21"/>
                <w:lang w:bidi="ar"/>
              </w:rPr>
            </w:pPr>
          </w:p>
        </w:tc>
        <w:tc>
          <w:tcPr>
            <w:tcW w:w="1128" w:type="dxa"/>
            <w:noWrap w:val="0"/>
            <w:vAlign w:val="center"/>
          </w:tcPr>
          <w:p>
            <w:pPr>
              <w:spacing w:line="360" w:lineRule="auto"/>
              <w:jc w:val="center"/>
              <w:rPr>
                <w:rFonts w:hint="eastAsia" w:ascii="宋体" w:hAnsi="宋体" w:eastAsia="宋体" w:cs="宋体"/>
                <w:sz w:val="21"/>
                <w:szCs w:val="21"/>
                <w:lang w:bidi="ar"/>
              </w:rPr>
            </w:pPr>
          </w:p>
        </w:tc>
        <w:tc>
          <w:tcPr>
            <w:tcW w:w="1061" w:type="dxa"/>
            <w:noWrap w:val="0"/>
            <w:vAlign w:val="center"/>
          </w:tcPr>
          <w:p>
            <w:pPr>
              <w:spacing w:line="360" w:lineRule="auto"/>
              <w:jc w:val="center"/>
              <w:rPr>
                <w:rFonts w:hint="eastAsia" w:ascii="宋体" w:hAnsi="宋体" w:eastAsia="宋体" w:cs="宋体"/>
                <w:sz w:val="21"/>
                <w:szCs w:val="21"/>
                <w:lang w:bidi="ar"/>
              </w:rPr>
            </w:pPr>
          </w:p>
        </w:tc>
        <w:tc>
          <w:tcPr>
            <w:tcW w:w="991" w:type="dxa"/>
            <w:noWrap w:val="0"/>
            <w:vAlign w:val="center"/>
          </w:tcPr>
          <w:p>
            <w:pPr>
              <w:spacing w:line="360" w:lineRule="auto"/>
              <w:jc w:val="center"/>
              <w:rPr>
                <w:rFonts w:hint="eastAsia" w:ascii="宋体" w:hAnsi="宋体" w:eastAsia="宋体" w:cs="宋体"/>
                <w:sz w:val="21"/>
                <w:szCs w:val="21"/>
                <w:lang w:bidi="ar"/>
              </w:rPr>
            </w:pPr>
          </w:p>
        </w:tc>
        <w:tc>
          <w:tcPr>
            <w:tcW w:w="972" w:type="dxa"/>
            <w:noWrap w:val="0"/>
            <w:vAlign w:val="center"/>
          </w:tcPr>
          <w:p>
            <w:pPr>
              <w:spacing w:line="360" w:lineRule="auto"/>
              <w:jc w:val="center"/>
              <w:rPr>
                <w:rFonts w:hint="eastAsia" w:ascii="宋体" w:hAnsi="宋体" w:eastAsia="宋体" w:cs="宋体"/>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exact"/>
        </w:trPr>
        <w:tc>
          <w:tcPr>
            <w:tcW w:w="2422" w:type="dxa"/>
            <w:gridSpan w:val="2"/>
            <w:noWrap w:val="0"/>
            <w:vAlign w:val="center"/>
          </w:tcPr>
          <w:p>
            <w:pPr>
              <w:spacing w:line="360" w:lineRule="auto"/>
              <w:jc w:val="center"/>
              <w:rPr>
                <w:rFonts w:hint="default" w:ascii="宋体" w:hAnsi="宋体" w:eastAsia="宋体" w:cs="宋体"/>
                <w:sz w:val="21"/>
                <w:szCs w:val="21"/>
                <w:lang w:val="en-US" w:bidi="zh-CN"/>
              </w:rPr>
            </w:pPr>
            <w:r>
              <w:rPr>
                <w:rFonts w:hint="eastAsia" w:ascii="宋体" w:hAnsi="宋体" w:eastAsia="宋体" w:cs="宋体"/>
                <w:sz w:val="21"/>
                <w:szCs w:val="21"/>
                <w:lang w:val="en-US" w:bidi="zh-CN"/>
              </w:rPr>
              <w:t>总计（元）</w:t>
            </w:r>
          </w:p>
        </w:tc>
        <w:tc>
          <w:tcPr>
            <w:tcW w:w="6636" w:type="dxa"/>
            <w:gridSpan w:val="7"/>
            <w:noWrap w:val="0"/>
            <w:vAlign w:val="bottom"/>
          </w:tcPr>
          <w:p>
            <w:pPr>
              <w:spacing w:line="360" w:lineRule="auto"/>
              <w:jc w:val="both"/>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小写：</w:t>
            </w:r>
            <w:r>
              <w:rPr>
                <w:rFonts w:hint="eastAsia" w:ascii="宋体" w:hAnsi="宋体" w:eastAsia="宋体" w:cs="宋体"/>
                <w:sz w:val="21"/>
                <w:szCs w:val="21"/>
                <w:u w:val="single"/>
                <w:lang w:val="en-US" w:eastAsia="zh-CN" w:bidi="ar"/>
              </w:rPr>
              <w:t xml:space="preserve">           </w:t>
            </w:r>
            <w:r>
              <w:rPr>
                <w:rFonts w:hint="eastAsia" w:ascii="宋体" w:hAnsi="宋体" w:eastAsia="宋体" w:cs="宋体"/>
                <w:sz w:val="21"/>
                <w:szCs w:val="21"/>
                <w:lang w:val="en-US" w:eastAsia="zh-CN" w:bidi="ar"/>
              </w:rPr>
              <w:t>元；</w:t>
            </w:r>
          </w:p>
          <w:p>
            <w:pPr>
              <w:spacing w:line="360" w:lineRule="auto"/>
              <w:jc w:val="both"/>
              <w:rPr>
                <w:rFonts w:hint="default" w:ascii="宋体" w:hAnsi="宋体" w:eastAsia="宋体" w:cs="宋体"/>
                <w:sz w:val="21"/>
                <w:szCs w:val="21"/>
                <w:lang w:val="en-US" w:eastAsia="zh-CN" w:bidi="ar"/>
              </w:rPr>
            </w:pPr>
            <w:r>
              <w:rPr>
                <w:rFonts w:hint="eastAsia" w:ascii="宋体" w:hAnsi="宋体" w:eastAsia="宋体" w:cs="宋体"/>
                <w:sz w:val="21"/>
                <w:szCs w:val="21"/>
                <w:lang w:val="en-US" w:eastAsia="zh-CN" w:bidi="ar"/>
              </w:rPr>
              <w:t>大写：</w:t>
            </w:r>
            <w:r>
              <w:rPr>
                <w:rFonts w:hint="eastAsia" w:ascii="宋体" w:hAnsi="宋体" w:eastAsia="宋体" w:cs="宋体"/>
                <w:sz w:val="21"/>
                <w:szCs w:val="21"/>
                <w:u w:val="single"/>
                <w:lang w:val="en-US" w:eastAsia="zh-CN" w:bidi="ar"/>
              </w:rPr>
              <w:t xml:space="preserve">        </w:t>
            </w:r>
            <w:r>
              <w:rPr>
                <w:rFonts w:hint="eastAsia" w:ascii="宋体" w:hAnsi="宋体" w:eastAsia="宋体" w:cs="宋体"/>
                <w:sz w:val="21"/>
                <w:szCs w:val="21"/>
                <w:u w:val="none"/>
                <w:lang w:val="en-US" w:eastAsia="zh-CN" w:bidi="ar"/>
              </w:rPr>
              <w:t>；</w:t>
            </w:r>
          </w:p>
        </w:tc>
      </w:tr>
    </w:tbl>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lang w:val="en-US" w:eastAsia="zh-CN"/>
        </w:rPr>
      </w:pPr>
    </w:p>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注：分项报价明细表”各分项总计价格应当与“开标一览表”投标总价一致。</w:t>
      </w:r>
    </w:p>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p>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投标人名称：XXXX（盖单位公章）。</w:t>
      </w:r>
    </w:p>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b/>
          <w:color w:val="auto"/>
          <w:sz w:val="36"/>
          <w:szCs w:val="36"/>
          <w:highlight w:val="none"/>
        </w:rPr>
      </w:pPr>
      <w:r>
        <w:rPr>
          <w:rFonts w:hint="eastAsia" w:ascii="宋体" w:hAnsi="宋体" w:eastAsia="宋体" w:cs="宋体"/>
          <w:color w:val="auto"/>
          <w:sz w:val="24"/>
          <w:highlight w:val="none"/>
        </w:rPr>
        <w:t>投标日期：XXXX。</w:t>
      </w: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pageBreakBefore w:val="0"/>
        <w:widowControl/>
        <w:kinsoku/>
        <w:wordWrap/>
        <w:overflowPunct/>
        <w:topLinePunct w:val="0"/>
        <w:bidi w:val="0"/>
        <w:spacing w:after="0" w:line="360" w:lineRule="auto"/>
        <w:jc w:val="left"/>
        <w:outlineLvl w:val="1"/>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格式2-</w:t>
      </w:r>
      <w:r>
        <w:rPr>
          <w:rFonts w:hint="eastAsia" w:ascii="宋体" w:hAnsi="宋体" w:eastAsia="宋体" w:cs="宋体"/>
          <w:b/>
          <w:color w:val="auto"/>
          <w:sz w:val="36"/>
          <w:szCs w:val="36"/>
          <w:highlight w:val="none"/>
          <w:lang w:val="en-US" w:eastAsia="zh-CN"/>
        </w:rPr>
        <w:t>5</w:t>
      </w:r>
    </w:p>
    <w:p>
      <w:pPr>
        <w:pageBreakBefore w:val="0"/>
        <w:widowControl/>
        <w:kinsoku/>
        <w:wordWrap/>
        <w:overflowPunct/>
        <w:topLinePunct w:val="0"/>
        <w:bidi w:val="0"/>
        <w:spacing w:after="0" w:line="360" w:lineRule="auto"/>
        <w:jc w:val="center"/>
        <w:outlineLvl w:val="1"/>
        <w:rPr>
          <w:rFonts w:hint="eastAsia" w:ascii="宋体" w:hAnsi="宋体" w:eastAsia="宋体" w:cs="宋体"/>
          <w:b/>
          <w:bCs/>
          <w:color w:val="auto"/>
          <w:sz w:val="24"/>
          <w:highlight w:val="none"/>
        </w:rPr>
      </w:pPr>
      <w:r>
        <w:rPr>
          <w:rFonts w:hint="eastAsia" w:ascii="宋体" w:hAnsi="宋体" w:eastAsia="宋体" w:cs="宋体"/>
          <w:b/>
          <w:color w:val="auto"/>
          <w:sz w:val="36"/>
          <w:szCs w:val="36"/>
          <w:highlight w:val="none"/>
          <w:lang w:val="en-US" w:eastAsia="zh-CN"/>
        </w:rPr>
        <w:t>四</w:t>
      </w:r>
      <w:r>
        <w:rPr>
          <w:rFonts w:hint="eastAsia" w:ascii="宋体" w:hAnsi="宋体" w:eastAsia="宋体" w:cs="宋体"/>
          <w:b/>
          <w:color w:val="auto"/>
          <w:sz w:val="36"/>
          <w:szCs w:val="36"/>
          <w:highlight w:val="none"/>
        </w:rPr>
        <w:t>、技术</w:t>
      </w:r>
      <w:r>
        <w:rPr>
          <w:rFonts w:hint="eastAsia" w:ascii="宋体" w:hAnsi="宋体" w:eastAsia="宋体" w:cs="宋体"/>
          <w:b/>
          <w:color w:val="auto"/>
          <w:sz w:val="36"/>
          <w:szCs w:val="36"/>
          <w:highlight w:val="none"/>
          <w:lang w:val="en-US" w:eastAsia="zh-CN"/>
        </w:rPr>
        <w:t>参数、</w:t>
      </w:r>
      <w:r>
        <w:rPr>
          <w:rFonts w:hint="eastAsia" w:ascii="宋体" w:hAnsi="宋体" w:eastAsia="宋体" w:cs="宋体"/>
          <w:b/>
          <w:color w:val="auto"/>
          <w:sz w:val="36"/>
          <w:szCs w:val="36"/>
          <w:highlight w:val="none"/>
        </w:rPr>
        <w:t>服务要求应答表</w:t>
      </w:r>
    </w:p>
    <w:p>
      <w:pPr>
        <w:pageBreakBefore w:val="0"/>
        <w:kinsoku/>
        <w:wordWrap/>
        <w:overflowPunct/>
        <w:topLinePunct w:val="0"/>
        <w:bidi w:val="0"/>
        <w:spacing w:after="0" w:line="360" w:lineRule="auto"/>
        <w:jc w:val="center"/>
        <w:rPr>
          <w:rFonts w:hint="eastAsia" w:ascii="宋体" w:hAnsi="宋体" w:eastAsia="宋体" w:cs="宋体"/>
          <w:b/>
          <w:bCs/>
          <w:color w:val="auto"/>
          <w:sz w:val="24"/>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2403"/>
        <w:gridCol w:w="2806"/>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62" w:type="dxa"/>
            <w:vAlign w:val="center"/>
          </w:tcPr>
          <w:p>
            <w:pPr>
              <w:pageBreakBefore w:val="0"/>
              <w:kinsoku/>
              <w:wordWrap/>
              <w:overflowPunct/>
              <w:topLinePunct w:val="0"/>
              <w:bidi w:val="0"/>
              <w:spacing w:after="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403" w:type="dxa"/>
            <w:vAlign w:val="center"/>
          </w:tcPr>
          <w:p>
            <w:pPr>
              <w:pageBreakBefore w:val="0"/>
              <w:kinsoku/>
              <w:wordWrap/>
              <w:overflowPunct/>
              <w:topLinePunct w:val="0"/>
              <w:bidi w:val="0"/>
              <w:spacing w:after="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招标文件要求</w:t>
            </w:r>
          </w:p>
        </w:tc>
        <w:tc>
          <w:tcPr>
            <w:tcW w:w="2806" w:type="dxa"/>
            <w:vAlign w:val="center"/>
          </w:tcPr>
          <w:p>
            <w:pPr>
              <w:pageBreakBefore w:val="0"/>
              <w:kinsoku/>
              <w:wordWrap/>
              <w:overflowPunct/>
              <w:topLinePunct w:val="0"/>
              <w:bidi w:val="0"/>
              <w:spacing w:after="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投标文件响应</w:t>
            </w:r>
          </w:p>
        </w:tc>
        <w:tc>
          <w:tcPr>
            <w:tcW w:w="2806" w:type="dxa"/>
            <w:vAlign w:val="center"/>
          </w:tcPr>
          <w:p>
            <w:pPr>
              <w:pageBreakBefore w:val="0"/>
              <w:kinsoku/>
              <w:wordWrap/>
              <w:overflowPunct/>
              <w:topLinePunct w:val="0"/>
              <w:bidi w:val="0"/>
              <w:spacing w:after="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pageBreakBefore w:val="0"/>
              <w:kinsoku/>
              <w:wordWrap/>
              <w:overflowPunct/>
              <w:topLinePunct w:val="0"/>
              <w:bidi w:val="0"/>
              <w:spacing w:after="0" w:line="360" w:lineRule="auto"/>
              <w:jc w:val="center"/>
              <w:rPr>
                <w:rFonts w:hint="eastAsia" w:ascii="宋体" w:hAnsi="宋体" w:eastAsia="宋体" w:cs="宋体"/>
                <w:color w:val="auto"/>
                <w:sz w:val="24"/>
                <w:highlight w:val="none"/>
              </w:rPr>
            </w:pPr>
          </w:p>
        </w:tc>
        <w:tc>
          <w:tcPr>
            <w:tcW w:w="2403" w:type="dxa"/>
          </w:tcPr>
          <w:p>
            <w:pPr>
              <w:pageBreakBefore w:val="0"/>
              <w:kinsoku/>
              <w:wordWrap/>
              <w:overflowPunct/>
              <w:topLinePunct w:val="0"/>
              <w:bidi w:val="0"/>
              <w:spacing w:after="0" w:line="360" w:lineRule="auto"/>
              <w:jc w:val="center"/>
              <w:rPr>
                <w:rFonts w:hint="eastAsia" w:ascii="宋体" w:hAnsi="宋体" w:eastAsia="宋体" w:cs="宋体"/>
                <w:color w:val="auto"/>
                <w:sz w:val="24"/>
                <w:highlight w:val="none"/>
              </w:rPr>
            </w:pPr>
          </w:p>
        </w:tc>
        <w:tc>
          <w:tcPr>
            <w:tcW w:w="2806" w:type="dxa"/>
          </w:tcPr>
          <w:p>
            <w:pPr>
              <w:pageBreakBefore w:val="0"/>
              <w:kinsoku/>
              <w:wordWrap/>
              <w:overflowPunct/>
              <w:topLinePunct w:val="0"/>
              <w:bidi w:val="0"/>
              <w:spacing w:after="0" w:line="360" w:lineRule="auto"/>
              <w:jc w:val="center"/>
              <w:rPr>
                <w:rFonts w:hint="eastAsia" w:ascii="宋体" w:hAnsi="宋体" w:eastAsia="宋体" w:cs="宋体"/>
                <w:color w:val="auto"/>
                <w:sz w:val="24"/>
                <w:highlight w:val="none"/>
              </w:rPr>
            </w:pPr>
          </w:p>
        </w:tc>
        <w:tc>
          <w:tcPr>
            <w:tcW w:w="2806" w:type="dxa"/>
          </w:tcPr>
          <w:p>
            <w:pPr>
              <w:pageBreakBefore w:val="0"/>
              <w:kinsoku/>
              <w:wordWrap/>
              <w:overflowPunct/>
              <w:topLinePunct w:val="0"/>
              <w:bidi w:val="0"/>
              <w:spacing w:after="0"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pageBreakBefore w:val="0"/>
              <w:kinsoku/>
              <w:wordWrap/>
              <w:overflowPunct/>
              <w:topLinePunct w:val="0"/>
              <w:bidi w:val="0"/>
              <w:spacing w:after="0" w:line="360" w:lineRule="auto"/>
              <w:jc w:val="center"/>
              <w:rPr>
                <w:rFonts w:hint="eastAsia" w:ascii="宋体" w:hAnsi="宋体" w:eastAsia="宋体" w:cs="宋体"/>
                <w:color w:val="auto"/>
                <w:sz w:val="24"/>
                <w:highlight w:val="none"/>
              </w:rPr>
            </w:pPr>
          </w:p>
        </w:tc>
        <w:tc>
          <w:tcPr>
            <w:tcW w:w="2403" w:type="dxa"/>
          </w:tcPr>
          <w:p>
            <w:pPr>
              <w:pageBreakBefore w:val="0"/>
              <w:kinsoku/>
              <w:wordWrap/>
              <w:overflowPunct/>
              <w:topLinePunct w:val="0"/>
              <w:bidi w:val="0"/>
              <w:spacing w:after="0" w:line="360" w:lineRule="auto"/>
              <w:jc w:val="center"/>
              <w:rPr>
                <w:rFonts w:hint="eastAsia" w:ascii="宋体" w:hAnsi="宋体" w:eastAsia="宋体" w:cs="宋体"/>
                <w:color w:val="auto"/>
                <w:sz w:val="24"/>
                <w:highlight w:val="none"/>
              </w:rPr>
            </w:pPr>
          </w:p>
        </w:tc>
        <w:tc>
          <w:tcPr>
            <w:tcW w:w="2806" w:type="dxa"/>
          </w:tcPr>
          <w:p>
            <w:pPr>
              <w:pageBreakBefore w:val="0"/>
              <w:kinsoku/>
              <w:wordWrap/>
              <w:overflowPunct/>
              <w:topLinePunct w:val="0"/>
              <w:bidi w:val="0"/>
              <w:spacing w:after="0" w:line="360" w:lineRule="auto"/>
              <w:jc w:val="center"/>
              <w:rPr>
                <w:rFonts w:hint="eastAsia" w:ascii="宋体" w:hAnsi="宋体" w:eastAsia="宋体" w:cs="宋体"/>
                <w:color w:val="auto"/>
                <w:sz w:val="24"/>
                <w:highlight w:val="none"/>
              </w:rPr>
            </w:pPr>
          </w:p>
        </w:tc>
        <w:tc>
          <w:tcPr>
            <w:tcW w:w="2806" w:type="dxa"/>
          </w:tcPr>
          <w:p>
            <w:pPr>
              <w:pageBreakBefore w:val="0"/>
              <w:kinsoku/>
              <w:wordWrap/>
              <w:overflowPunct/>
              <w:topLinePunct w:val="0"/>
              <w:bidi w:val="0"/>
              <w:spacing w:after="0"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pageBreakBefore w:val="0"/>
              <w:kinsoku/>
              <w:wordWrap/>
              <w:overflowPunct/>
              <w:topLinePunct w:val="0"/>
              <w:bidi w:val="0"/>
              <w:spacing w:after="0" w:line="360" w:lineRule="auto"/>
              <w:jc w:val="center"/>
              <w:rPr>
                <w:rFonts w:hint="eastAsia" w:ascii="宋体" w:hAnsi="宋体" w:eastAsia="宋体" w:cs="宋体"/>
                <w:color w:val="auto"/>
                <w:sz w:val="24"/>
                <w:highlight w:val="none"/>
              </w:rPr>
            </w:pPr>
          </w:p>
        </w:tc>
        <w:tc>
          <w:tcPr>
            <w:tcW w:w="2403" w:type="dxa"/>
          </w:tcPr>
          <w:p>
            <w:pPr>
              <w:pageBreakBefore w:val="0"/>
              <w:kinsoku/>
              <w:wordWrap/>
              <w:overflowPunct/>
              <w:topLinePunct w:val="0"/>
              <w:bidi w:val="0"/>
              <w:spacing w:after="0" w:line="360" w:lineRule="auto"/>
              <w:jc w:val="center"/>
              <w:rPr>
                <w:rFonts w:hint="eastAsia" w:ascii="宋体" w:hAnsi="宋体" w:eastAsia="宋体" w:cs="宋体"/>
                <w:color w:val="auto"/>
                <w:sz w:val="24"/>
                <w:highlight w:val="none"/>
              </w:rPr>
            </w:pPr>
          </w:p>
        </w:tc>
        <w:tc>
          <w:tcPr>
            <w:tcW w:w="2806" w:type="dxa"/>
          </w:tcPr>
          <w:p>
            <w:pPr>
              <w:pageBreakBefore w:val="0"/>
              <w:kinsoku/>
              <w:wordWrap/>
              <w:overflowPunct/>
              <w:topLinePunct w:val="0"/>
              <w:bidi w:val="0"/>
              <w:spacing w:after="0" w:line="360" w:lineRule="auto"/>
              <w:jc w:val="center"/>
              <w:rPr>
                <w:rFonts w:hint="eastAsia" w:ascii="宋体" w:hAnsi="宋体" w:eastAsia="宋体" w:cs="宋体"/>
                <w:color w:val="auto"/>
                <w:sz w:val="24"/>
                <w:highlight w:val="none"/>
              </w:rPr>
            </w:pPr>
          </w:p>
        </w:tc>
        <w:tc>
          <w:tcPr>
            <w:tcW w:w="2806" w:type="dxa"/>
          </w:tcPr>
          <w:p>
            <w:pPr>
              <w:pageBreakBefore w:val="0"/>
              <w:kinsoku/>
              <w:wordWrap/>
              <w:overflowPunct/>
              <w:topLinePunct w:val="0"/>
              <w:bidi w:val="0"/>
              <w:spacing w:after="0"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362" w:type="dxa"/>
          </w:tcPr>
          <w:p>
            <w:pPr>
              <w:pageBreakBefore w:val="0"/>
              <w:kinsoku/>
              <w:wordWrap/>
              <w:overflowPunct/>
              <w:topLinePunct w:val="0"/>
              <w:bidi w:val="0"/>
              <w:spacing w:after="0" w:line="360" w:lineRule="auto"/>
              <w:jc w:val="center"/>
              <w:rPr>
                <w:rFonts w:hint="eastAsia" w:ascii="宋体" w:hAnsi="宋体" w:eastAsia="宋体" w:cs="宋体"/>
                <w:color w:val="auto"/>
                <w:sz w:val="24"/>
                <w:highlight w:val="none"/>
              </w:rPr>
            </w:pPr>
          </w:p>
        </w:tc>
        <w:tc>
          <w:tcPr>
            <w:tcW w:w="2403" w:type="dxa"/>
          </w:tcPr>
          <w:p>
            <w:pPr>
              <w:pageBreakBefore w:val="0"/>
              <w:kinsoku/>
              <w:wordWrap/>
              <w:overflowPunct/>
              <w:topLinePunct w:val="0"/>
              <w:bidi w:val="0"/>
              <w:spacing w:after="0" w:line="360" w:lineRule="auto"/>
              <w:jc w:val="center"/>
              <w:rPr>
                <w:rFonts w:hint="eastAsia" w:ascii="宋体" w:hAnsi="宋体" w:eastAsia="宋体" w:cs="宋体"/>
                <w:color w:val="auto"/>
                <w:sz w:val="24"/>
                <w:highlight w:val="none"/>
              </w:rPr>
            </w:pPr>
          </w:p>
        </w:tc>
        <w:tc>
          <w:tcPr>
            <w:tcW w:w="2806" w:type="dxa"/>
          </w:tcPr>
          <w:p>
            <w:pPr>
              <w:pageBreakBefore w:val="0"/>
              <w:kinsoku/>
              <w:wordWrap/>
              <w:overflowPunct/>
              <w:topLinePunct w:val="0"/>
              <w:bidi w:val="0"/>
              <w:spacing w:after="0" w:line="360" w:lineRule="auto"/>
              <w:jc w:val="center"/>
              <w:rPr>
                <w:rFonts w:hint="eastAsia" w:ascii="宋体" w:hAnsi="宋体" w:eastAsia="宋体" w:cs="宋体"/>
                <w:color w:val="auto"/>
                <w:sz w:val="24"/>
                <w:highlight w:val="none"/>
              </w:rPr>
            </w:pPr>
          </w:p>
        </w:tc>
        <w:tc>
          <w:tcPr>
            <w:tcW w:w="2806" w:type="dxa"/>
          </w:tcPr>
          <w:p>
            <w:pPr>
              <w:pageBreakBefore w:val="0"/>
              <w:kinsoku/>
              <w:wordWrap/>
              <w:overflowPunct/>
              <w:topLinePunct w:val="0"/>
              <w:bidi w:val="0"/>
              <w:spacing w:after="0" w:line="360" w:lineRule="auto"/>
              <w:jc w:val="center"/>
              <w:rPr>
                <w:rFonts w:hint="eastAsia" w:ascii="宋体" w:hAnsi="宋体" w:eastAsia="宋体" w:cs="宋体"/>
                <w:color w:val="auto"/>
                <w:sz w:val="24"/>
                <w:highlight w:val="none"/>
              </w:rPr>
            </w:pPr>
          </w:p>
        </w:tc>
      </w:tr>
    </w:tbl>
    <w:p>
      <w:pPr>
        <w:pageBreakBefore w:val="0"/>
        <w:kinsoku/>
        <w:wordWrap/>
        <w:overflowPunct/>
        <w:topLinePunct w:val="0"/>
        <w:bidi w:val="0"/>
        <w:spacing w:after="0" w:line="360" w:lineRule="auto"/>
        <w:ind w:firstLine="482" w:firstLineChars="200"/>
        <w:rPr>
          <w:rFonts w:hint="eastAsia" w:ascii="宋体" w:hAnsi="宋体" w:eastAsia="宋体" w:cs="宋体"/>
          <w:b/>
          <w:color w:val="auto"/>
          <w:sz w:val="24"/>
          <w:highlight w:val="none"/>
        </w:rPr>
      </w:pPr>
    </w:p>
    <w:p>
      <w:pPr>
        <w:pageBreakBefore w:val="0"/>
        <w:kinsoku/>
        <w:wordWrap/>
        <w:overflowPunct/>
        <w:topLinePunct w:val="0"/>
        <w:bidi w:val="0"/>
        <w:adjustRightInd w:val="0"/>
        <w:spacing w:after="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注：投标人须对招标文件第六章招标项目技术</w:t>
      </w:r>
      <w:r>
        <w:rPr>
          <w:rFonts w:hint="eastAsia" w:ascii="宋体" w:hAnsi="宋体" w:eastAsia="宋体" w:cs="宋体"/>
          <w:color w:val="auto"/>
          <w:sz w:val="24"/>
          <w:highlight w:val="none"/>
          <w:lang w:val="en-US" w:eastAsia="zh-CN"/>
        </w:rPr>
        <w:t>参数</w:t>
      </w:r>
      <w:r>
        <w:rPr>
          <w:rFonts w:hint="eastAsia" w:ascii="宋体" w:hAnsi="宋体" w:eastAsia="宋体" w:cs="宋体"/>
          <w:color w:val="auto"/>
          <w:sz w:val="24"/>
          <w:highlight w:val="none"/>
        </w:rPr>
        <w:t>、服务要求不能完全响应的内容进行据实填写，完全响应的无须列入此表。</w:t>
      </w:r>
    </w:p>
    <w:p>
      <w:pPr>
        <w:pageBreakBefore w:val="0"/>
        <w:kinsoku/>
        <w:wordWrap/>
        <w:overflowPunct/>
        <w:topLinePunct w:val="0"/>
        <w:bidi w:val="0"/>
        <w:adjustRightInd w:val="0"/>
        <w:spacing w:after="0" w:line="360" w:lineRule="auto"/>
        <w:ind w:firstLine="480" w:firstLineChars="200"/>
        <w:jc w:val="left"/>
        <w:rPr>
          <w:rFonts w:hint="eastAsia" w:ascii="宋体" w:hAnsi="宋体" w:eastAsia="宋体" w:cs="宋体"/>
          <w:color w:val="auto"/>
          <w:sz w:val="24"/>
          <w:highlight w:val="none"/>
        </w:rPr>
      </w:pPr>
    </w:p>
    <w:p>
      <w:pPr>
        <w:pageBreakBefore w:val="0"/>
        <w:kinsoku/>
        <w:wordWrap/>
        <w:overflowPunct/>
        <w:topLinePunct w:val="0"/>
        <w:bidi w:val="0"/>
        <w:adjustRightInd w:val="0"/>
        <w:spacing w:after="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投标人名称：XXX（盖单位公章）</w:t>
      </w:r>
    </w:p>
    <w:p>
      <w:pPr>
        <w:pageBreakBefore w:val="0"/>
        <w:kinsoku/>
        <w:wordWrap/>
        <w:overflowPunct/>
        <w:topLinePunct w:val="0"/>
        <w:bidi w:val="0"/>
        <w:adjustRightInd w:val="0"/>
        <w:spacing w:after="0" w:line="360" w:lineRule="auto"/>
        <w:ind w:firstLine="540" w:firstLineChars="225"/>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日期</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XXX年XXX月XXX日</w:t>
      </w:r>
    </w:p>
    <w:p>
      <w:pPr>
        <w:pageBreakBefore w:val="0"/>
        <w:kinsoku/>
        <w:wordWrap/>
        <w:overflowPunct/>
        <w:topLinePunct w:val="0"/>
        <w:bidi w:val="0"/>
        <w:spacing w:after="0" w:line="360" w:lineRule="auto"/>
        <w:rPr>
          <w:rFonts w:hint="eastAsia" w:ascii="宋体" w:hAnsi="宋体" w:eastAsia="宋体" w:cs="宋体"/>
          <w:color w:val="auto"/>
          <w:sz w:val="24"/>
          <w:highlight w:val="none"/>
        </w:rPr>
      </w:pPr>
    </w:p>
    <w:p>
      <w:pPr>
        <w:pStyle w:val="11"/>
        <w:pageBreakBefore w:val="0"/>
        <w:tabs>
          <w:tab w:val="left" w:pos="0"/>
        </w:tabs>
        <w:kinsoku/>
        <w:wordWrap/>
        <w:overflowPunct/>
        <w:topLinePunct w:val="0"/>
        <w:bidi w:val="0"/>
        <w:spacing w:after="0" w:line="360" w:lineRule="auto"/>
        <w:rPr>
          <w:rFonts w:hint="eastAsia" w:ascii="宋体" w:hAnsi="宋体" w:eastAsia="宋体" w:cs="宋体"/>
          <w:b/>
          <w:color w:val="auto"/>
          <w:sz w:val="24"/>
          <w:highlight w:val="none"/>
        </w:rPr>
      </w:pPr>
    </w:p>
    <w:p>
      <w:pPr>
        <w:pStyle w:val="11"/>
        <w:pageBreakBefore w:val="0"/>
        <w:tabs>
          <w:tab w:val="left" w:pos="0"/>
        </w:tabs>
        <w:kinsoku/>
        <w:wordWrap/>
        <w:overflowPunct/>
        <w:topLinePunct w:val="0"/>
        <w:bidi w:val="0"/>
        <w:spacing w:after="0" w:line="360" w:lineRule="auto"/>
        <w:rPr>
          <w:rFonts w:hint="eastAsia" w:ascii="宋体" w:hAnsi="宋体" w:eastAsia="宋体" w:cs="宋体"/>
          <w:b/>
          <w:color w:val="auto"/>
          <w:sz w:val="24"/>
          <w:highlight w:val="none"/>
        </w:rPr>
      </w:pPr>
    </w:p>
    <w:p>
      <w:pPr>
        <w:pStyle w:val="11"/>
        <w:pageBreakBefore w:val="0"/>
        <w:tabs>
          <w:tab w:val="left" w:pos="0"/>
        </w:tabs>
        <w:kinsoku/>
        <w:wordWrap/>
        <w:overflowPunct/>
        <w:topLinePunct w:val="0"/>
        <w:bidi w:val="0"/>
        <w:spacing w:after="0" w:line="360" w:lineRule="auto"/>
        <w:rPr>
          <w:rFonts w:hint="eastAsia" w:ascii="宋体" w:hAnsi="宋体" w:eastAsia="宋体" w:cs="宋体"/>
          <w:b/>
          <w:color w:val="auto"/>
          <w:sz w:val="24"/>
          <w:highlight w:val="none"/>
        </w:rPr>
      </w:pPr>
    </w:p>
    <w:p>
      <w:pPr>
        <w:pStyle w:val="11"/>
        <w:pageBreakBefore w:val="0"/>
        <w:tabs>
          <w:tab w:val="left" w:pos="0"/>
        </w:tabs>
        <w:kinsoku/>
        <w:wordWrap/>
        <w:overflowPunct/>
        <w:topLinePunct w:val="0"/>
        <w:bidi w:val="0"/>
        <w:spacing w:after="0" w:line="360" w:lineRule="auto"/>
        <w:ind w:left="0" w:leftChars="0"/>
        <w:rPr>
          <w:rFonts w:hint="eastAsia" w:ascii="宋体" w:hAnsi="宋体" w:eastAsia="宋体" w:cs="宋体"/>
          <w:b/>
          <w:color w:val="auto"/>
          <w:sz w:val="24"/>
          <w:highlight w:val="none"/>
        </w:rPr>
      </w:pPr>
    </w:p>
    <w:p>
      <w:pPr>
        <w:pStyle w:val="11"/>
        <w:pageBreakBefore w:val="0"/>
        <w:tabs>
          <w:tab w:val="left" w:pos="0"/>
        </w:tabs>
        <w:kinsoku/>
        <w:wordWrap/>
        <w:overflowPunct/>
        <w:topLinePunct w:val="0"/>
        <w:bidi w:val="0"/>
        <w:spacing w:after="0" w:line="360" w:lineRule="auto"/>
        <w:ind w:left="0" w:leftChars="0"/>
        <w:rPr>
          <w:rFonts w:hint="eastAsia" w:ascii="宋体" w:hAnsi="宋体" w:eastAsia="宋体" w:cs="宋体"/>
          <w:b/>
          <w:color w:val="auto"/>
          <w:sz w:val="24"/>
          <w:highlight w:val="none"/>
        </w:rPr>
      </w:pPr>
    </w:p>
    <w:p>
      <w:pPr>
        <w:pStyle w:val="11"/>
        <w:pageBreakBefore w:val="0"/>
        <w:tabs>
          <w:tab w:val="left" w:pos="0"/>
        </w:tabs>
        <w:kinsoku/>
        <w:wordWrap/>
        <w:overflowPunct/>
        <w:topLinePunct w:val="0"/>
        <w:bidi w:val="0"/>
        <w:spacing w:after="0" w:line="360" w:lineRule="auto"/>
        <w:ind w:left="0" w:leftChars="0"/>
        <w:rPr>
          <w:rFonts w:hint="eastAsia" w:ascii="宋体" w:hAnsi="宋体" w:eastAsia="宋体" w:cs="宋体"/>
          <w:b/>
          <w:color w:val="auto"/>
          <w:sz w:val="24"/>
          <w:highlight w:val="none"/>
        </w:rPr>
      </w:pPr>
    </w:p>
    <w:p>
      <w:pPr>
        <w:pStyle w:val="11"/>
        <w:pageBreakBefore w:val="0"/>
        <w:tabs>
          <w:tab w:val="left" w:pos="0"/>
        </w:tabs>
        <w:kinsoku/>
        <w:wordWrap/>
        <w:overflowPunct/>
        <w:topLinePunct w:val="0"/>
        <w:bidi w:val="0"/>
        <w:spacing w:after="0" w:line="360" w:lineRule="auto"/>
        <w:ind w:left="0" w:leftChars="0"/>
        <w:jc w:val="left"/>
        <w:rPr>
          <w:rFonts w:hint="eastAsia" w:ascii="宋体" w:hAnsi="宋体" w:eastAsia="宋体" w:cs="宋体"/>
          <w:b/>
          <w:color w:val="auto"/>
          <w:kern w:val="2"/>
          <w:sz w:val="36"/>
          <w:szCs w:val="36"/>
          <w:highlight w:val="none"/>
        </w:rPr>
      </w:pPr>
    </w:p>
    <w:p>
      <w:pPr>
        <w:pStyle w:val="11"/>
        <w:pageBreakBefore w:val="0"/>
        <w:tabs>
          <w:tab w:val="left" w:pos="0"/>
        </w:tabs>
        <w:kinsoku/>
        <w:wordWrap/>
        <w:overflowPunct/>
        <w:topLinePunct w:val="0"/>
        <w:bidi w:val="0"/>
        <w:spacing w:after="0" w:line="360" w:lineRule="auto"/>
        <w:ind w:left="0" w:leftChars="0"/>
        <w:jc w:val="left"/>
        <w:rPr>
          <w:rFonts w:hint="eastAsia" w:ascii="宋体" w:hAnsi="宋体" w:eastAsia="宋体" w:cs="宋体"/>
          <w:b/>
          <w:color w:val="auto"/>
          <w:kern w:val="2"/>
          <w:sz w:val="36"/>
          <w:szCs w:val="36"/>
          <w:highlight w:val="none"/>
        </w:rPr>
      </w:pPr>
    </w:p>
    <w:p>
      <w:pPr>
        <w:pStyle w:val="11"/>
        <w:pageBreakBefore w:val="0"/>
        <w:tabs>
          <w:tab w:val="left" w:pos="0"/>
        </w:tabs>
        <w:kinsoku/>
        <w:wordWrap/>
        <w:overflowPunct/>
        <w:topLinePunct w:val="0"/>
        <w:bidi w:val="0"/>
        <w:spacing w:after="0" w:line="360" w:lineRule="auto"/>
        <w:ind w:left="0" w:leftChars="0"/>
        <w:jc w:val="left"/>
        <w:rPr>
          <w:rFonts w:hint="eastAsia" w:ascii="宋体" w:hAnsi="宋体" w:eastAsia="宋体" w:cs="宋体"/>
          <w:b/>
          <w:color w:val="auto"/>
          <w:kern w:val="2"/>
          <w:sz w:val="36"/>
          <w:szCs w:val="36"/>
          <w:highlight w:val="none"/>
          <w:lang w:val="en-US" w:eastAsia="zh-CN"/>
        </w:rPr>
      </w:pPr>
      <w:r>
        <w:rPr>
          <w:rFonts w:hint="eastAsia" w:ascii="宋体" w:hAnsi="宋体" w:eastAsia="宋体" w:cs="宋体"/>
          <w:b/>
          <w:color w:val="auto"/>
          <w:kern w:val="2"/>
          <w:sz w:val="36"/>
          <w:szCs w:val="36"/>
          <w:highlight w:val="none"/>
        </w:rPr>
        <w:t>格式2-</w:t>
      </w:r>
      <w:r>
        <w:rPr>
          <w:rFonts w:hint="eastAsia" w:ascii="宋体" w:hAnsi="宋体" w:eastAsia="宋体" w:cs="宋体"/>
          <w:b/>
          <w:color w:val="auto"/>
          <w:kern w:val="2"/>
          <w:sz w:val="36"/>
          <w:szCs w:val="36"/>
          <w:highlight w:val="none"/>
          <w:lang w:val="en-US" w:eastAsia="zh-CN"/>
        </w:rPr>
        <w:t>6</w:t>
      </w:r>
    </w:p>
    <w:p>
      <w:pPr>
        <w:pStyle w:val="11"/>
        <w:pageBreakBefore w:val="0"/>
        <w:tabs>
          <w:tab w:val="left" w:pos="0"/>
        </w:tabs>
        <w:kinsoku/>
        <w:wordWrap/>
        <w:overflowPunct/>
        <w:topLinePunct w:val="0"/>
        <w:bidi w:val="0"/>
        <w:spacing w:after="0" w:line="360" w:lineRule="auto"/>
        <w:ind w:left="0" w:leftChars="0"/>
        <w:jc w:val="center"/>
        <w:rPr>
          <w:rFonts w:hint="eastAsia" w:ascii="宋体" w:hAnsi="宋体" w:eastAsia="宋体" w:cs="宋体"/>
          <w:b/>
          <w:color w:val="auto"/>
          <w:sz w:val="24"/>
          <w:highlight w:val="none"/>
        </w:rPr>
      </w:pPr>
      <w:r>
        <w:rPr>
          <w:rFonts w:hint="eastAsia" w:ascii="宋体" w:hAnsi="宋体" w:eastAsia="宋体" w:cs="宋体"/>
          <w:b/>
          <w:color w:val="auto"/>
          <w:kern w:val="2"/>
          <w:sz w:val="36"/>
          <w:szCs w:val="36"/>
          <w:highlight w:val="none"/>
          <w:lang w:val="en-US" w:eastAsia="zh-CN"/>
        </w:rPr>
        <w:t>五</w:t>
      </w:r>
      <w:r>
        <w:rPr>
          <w:rFonts w:hint="eastAsia" w:ascii="宋体" w:hAnsi="宋体" w:eastAsia="宋体" w:cs="宋体"/>
          <w:b/>
          <w:color w:val="auto"/>
          <w:kern w:val="2"/>
          <w:sz w:val="36"/>
          <w:szCs w:val="36"/>
          <w:highlight w:val="none"/>
        </w:rPr>
        <w:t>、商务应答表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2403"/>
        <w:gridCol w:w="2806"/>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jc w:val="center"/>
        </w:trPr>
        <w:tc>
          <w:tcPr>
            <w:tcW w:w="1362" w:type="dxa"/>
            <w:vAlign w:val="center"/>
          </w:tcPr>
          <w:p>
            <w:pPr>
              <w:pageBreakBefore w:val="0"/>
              <w:kinsoku/>
              <w:wordWrap/>
              <w:overflowPunct/>
              <w:topLinePunct w:val="0"/>
              <w:bidi w:val="0"/>
              <w:spacing w:after="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403" w:type="dxa"/>
            <w:vAlign w:val="center"/>
          </w:tcPr>
          <w:p>
            <w:pPr>
              <w:pageBreakBefore w:val="0"/>
              <w:kinsoku/>
              <w:wordWrap/>
              <w:overflowPunct/>
              <w:topLinePunct w:val="0"/>
              <w:bidi w:val="0"/>
              <w:spacing w:after="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招标文件要求</w:t>
            </w:r>
          </w:p>
        </w:tc>
        <w:tc>
          <w:tcPr>
            <w:tcW w:w="2806" w:type="dxa"/>
            <w:vAlign w:val="center"/>
          </w:tcPr>
          <w:p>
            <w:pPr>
              <w:pageBreakBefore w:val="0"/>
              <w:kinsoku/>
              <w:wordWrap/>
              <w:overflowPunct/>
              <w:topLinePunct w:val="0"/>
              <w:bidi w:val="0"/>
              <w:spacing w:after="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投标文件响应</w:t>
            </w:r>
          </w:p>
        </w:tc>
        <w:tc>
          <w:tcPr>
            <w:tcW w:w="2806" w:type="dxa"/>
            <w:vAlign w:val="center"/>
          </w:tcPr>
          <w:p>
            <w:pPr>
              <w:pageBreakBefore w:val="0"/>
              <w:kinsoku/>
              <w:wordWrap/>
              <w:overflowPunct/>
              <w:topLinePunct w:val="0"/>
              <w:bidi w:val="0"/>
              <w:spacing w:after="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pageBreakBefore w:val="0"/>
              <w:kinsoku/>
              <w:wordWrap/>
              <w:overflowPunct/>
              <w:topLinePunct w:val="0"/>
              <w:bidi w:val="0"/>
              <w:spacing w:after="0" w:line="360" w:lineRule="auto"/>
              <w:jc w:val="center"/>
              <w:rPr>
                <w:rFonts w:hint="eastAsia" w:ascii="宋体" w:hAnsi="宋体" w:eastAsia="宋体" w:cs="宋体"/>
                <w:color w:val="auto"/>
                <w:sz w:val="24"/>
                <w:highlight w:val="none"/>
              </w:rPr>
            </w:pPr>
          </w:p>
        </w:tc>
        <w:tc>
          <w:tcPr>
            <w:tcW w:w="2403" w:type="dxa"/>
          </w:tcPr>
          <w:p>
            <w:pPr>
              <w:pageBreakBefore w:val="0"/>
              <w:kinsoku/>
              <w:wordWrap/>
              <w:overflowPunct/>
              <w:topLinePunct w:val="0"/>
              <w:bidi w:val="0"/>
              <w:spacing w:after="0" w:line="360" w:lineRule="auto"/>
              <w:jc w:val="center"/>
              <w:rPr>
                <w:rFonts w:hint="eastAsia" w:ascii="宋体" w:hAnsi="宋体" w:eastAsia="宋体" w:cs="宋体"/>
                <w:color w:val="auto"/>
                <w:sz w:val="24"/>
                <w:highlight w:val="none"/>
              </w:rPr>
            </w:pPr>
          </w:p>
        </w:tc>
        <w:tc>
          <w:tcPr>
            <w:tcW w:w="2806" w:type="dxa"/>
          </w:tcPr>
          <w:p>
            <w:pPr>
              <w:pageBreakBefore w:val="0"/>
              <w:kinsoku/>
              <w:wordWrap/>
              <w:overflowPunct/>
              <w:topLinePunct w:val="0"/>
              <w:bidi w:val="0"/>
              <w:spacing w:after="0" w:line="360" w:lineRule="auto"/>
              <w:jc w:val="center"/>
              <w:rPr>
                <w:rFonts w:hint="eastAsia" w:ascii="宋体" w:hAnsi="宋体" w:eastAsia="宋体" w:cs="宋体"/>
                <w:color w:val="auto"/>
                <w:sz w:val="24"/>
                <w:highlight w:val="none"/>
              </w:rPr>
            </w:pPr>
          </w:p>
        </w:tc>
        <w:tc>
          <w:tcPr>
            <w:tcW w:w="2806" w:type="dxa"/>
          </w:tcPr>
          <w:p>
            <w:pPr>
              <w:pageBreakBefore w:val="0"/>
              <w:kinsoku/>
              <w:wordWrap/>
              <w:overflowPunct/>
              <w:topLinePunct w:val="0"/>
              <w:bidi w:val="0"/>
              <w:spacing w:after="0"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pageBreakBefore w:val="0"/>
              <w:kinsoku/>
              <w:wordWrap/>
              <w:overflowPunct/>
              <w:topLinePunct w:val="0"/>
              <w:bidi w:val="0"/>
              <w:spacing w:after="0" w:line="360" w:lineRule="auto"/>
              <w:jc w:val="center"/>
              <w:rPr>
                <w:rFonts w:hint="eastAsia" w:ascii="宋体" w:hAnsi="宋体" w:eastAsia="宋体" w:cs="宋体"/>
                <w:color w:val="auto"/>
                <w:sz w:val="24"/>
                <w:highlight w:val="none"/>
              </w:rPr>
            </w:pPr>
          </w:p>
        </w:tc>
        <w:tc>
          <w:tcPr>
            <w:tcW w:w="2403" w:type="dxa"/>
          </w:tcPr>
          <w:p>
            <w:pPr>
              <w:pageBreakBefore w:val="0"/>
              <w:kinsoku/>
              <w:wordWrap/>
              <w:overflowPunct/>
              <w:topLinePunct w:val="0"/>
              <w:bidi w:val="0"/>
              <w:spacing w:after="0" w:line="360" w:lineRule="auto"/>
              <w:jc w:val="center"/>
              <w:rPr>
                <w:rFonts w:hint="eastAsia" w:ascii="宋体" w:hAnsi="宋体" w:eastAsia="宋体" w:cs="宋体"/>
                <w:color w:val="auto"/>
                <w:sz w:val="24"/>
                <w:highlight w:val="none"/>
              </w:rPr>
            </w:pPr>
          </w:p>
        </w:tc>
        <w:tc>
          <w:tcPr>
            <w:tcW w:w="2806" w:type="dxa"/>
          </w:tcPr>
          <w:p>
            <w:pPr>
              <w:pageBreakBefore w:val="0"/>
              <w:kinsoku/>
              <w:wordWrap/>
              <w:overflowPunct/>
              <w:topLinePunct w:val="0"/>
              <w:bidi w:val="0"/>
              <w:spacing w:after="0" w:line="360" w:lineRule="auto"/>
              <w:jc w:val="center"/>
              <w:rPr>
                <w:rFonts w:hint="eastAsia" w:ascii="宋体" w:hAnsi="宋体" w:eastAsia="宋体" w:cs="宋体"/>
                <w:color w:val="auto"/>
                <w:sz w:val="24"/>
                <w:highlight w:val="none"/>
              </w:rPr>
            </w:pPr>
          </w:p>
        </w:tc>
        <w:tc>
          <w:tcPr>
            <w:tcW w:w="2806" w:type="dxa"/>
          </w:tcPr>
          <w:p>
            <w:pPr>
              <w:pageBreakBefore w:val="0"/>
              <w:kinsoku/>
              <w:wordWrap/>
              <w:overflowPunct/>
              <w:topLinePunct w:val="0"/>
              <w:bidi w:val="0"/>
              <w:spacing w:after="0"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pageBreakBefore w:val="0"/>
              <w:kinsoku/>
              <w:wordWrap/>
              <w:overflowPunct/>
              <w:topLinePunct w:val="0"/>
              <w:bidi w:val="0"/>
              <w:spacing w:after="0" w:line="360" w:lineRule="auto"/>
              <w:jc w:val="center"/>
              <w:rPr>
                <w:rFonts w:hint="eastAsia" w:ascii="宋体" w:hAnsi="宋体" w:eastAsia="宋体" w:cs="宋体"/>
                <w:color w:val="auto"/>
                <w:sz w:val="24"/>
                <w:highlight w:val="none"/>
              </w:rPr>
            </w:pPr>
          </w:p>
        </w:tc>
        <w:tc>
          <w:tcPr>
            <w:tcW w:w="2403" w:type="dxa"/>
          </w:tcPr>
          <w:p>
            <w:pPr>
              <w:pageBreakBefore w:val="0"/>
              <w:kinsoku/>
              <w:wordWrap/>
              <w:overflowPunct/>
              <w:topLinePunct w:val="0"/>
              <w:bidi w:val="0"/>
              <w:spacing w:after="0" w:line="360" w:lineRule="auto"/>
              <w:jc w:val="center"/>
              <w:rPr>
                <w:rFonts w:hint="eastAsia" w:ascii="宋体" w:hAnsi="宋体" w:eastAsia="宋体" w:cs="宋体"/>
                <w:color w:val="auto"/>
                <w:sz w:val="24"/>
                <w:highlight w:val="none"/>
              </w:rPr>
            </w:pPr>
          </w:p>
        </w:tc>
        <w:tc>
          <w:tcPr>
            <w:tcW w:w="2806" w:type="dxa"/>
          </w:tcPr>
          <w:p>
            <w:pPr>
              <w:pageBreakBefore w:val="0"/>
              <w:kinsoku/>
              <w:wordWrap/>
              <w:overflowPunct/>
              <w:topLinePunct w:val="0"/>
              <w:bidi w:val="0"/>
              <w:spacing w:after="0" w:line="360" w:lineRule="auto"/>
              <w:jc w:val="center"/>
              <w:rPr>
                <w:rFonts w:hint="eastAsia" w:ascii="宋体" w:hAnsi="宋体" w:eastAsia="宋体" w:cs="宋体"/>
                <w:color w:val="auto"/>
                <w:sz w:val="24"/>
                <w:highlight w:val="none"/>
              </w:rPr>
            </w:pPr>
          </w:p>
        </w:tc>
        <w:tc>
          <w:tcPr>
            <w:tcW w:w="2806" w:type="dxa"/>
          </w:tcPr>
          <w:p>
            <w:pPr>
              <w:pageBreakBefore w:val="0"/>
              <w:kinsoku/>
              <w:wordWrap/>
              <w:overflowPunct/>
              <w:topLinePunct w:val="0"/>
              <w:bidi w:val="0"/>
              <w:spacing w:after="0"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362" w:type="dxa"/>
          </w:tcPr>
          <w:p>
            <w:pPr>
              <w:pageBreakBefore w:val="0"/>
              <w:kinsoku/>
              <w:wordWrap/>
              <w:overflowPunct/>
              <w:topLinePunct w:val="0"/>
              <w:bidi w:val="0"/>
              <w:spacing w:after="0" w:line="360" w:lineRule="auto"/>
              <w:jc w:val="center"/>
              <w:rPr>
                <w:rFonts w:hint="eastAsia" w:ascii="宋体" w:hAnsi="宋体" w:eastAsia="宋体" w:cs="宋体"/>
                <w:color w:val="auto"/>
                <w:sz w:val="24"/>
                <w:highlight w:val="none"/>
              </w:rPr>
            </w:pPr>
          </w:p>
        </w:tc>
        <w:tc>
          <w:tcPr>
            <w:tcW w:w="2403" w:type="dxa"/>
          </w:tcPr>
          <w:p>
            <w:pPr>
              <w:pageBreakBefore w:val="0"/>
              <w:kinsoku/>
              <w:wordWrap/>
              <w:overflowPunct/>
              <w:topLinePunct w:val="0"/>
              <w:bidi w:val="0"/>
              <w:spacing w:after="0" w:line="360" w:lineRule="auto"/>
              <w:jc w:val="center"/>
              <w:rPr>
                <w:rFonts w:hint="eastAsia" w:ascii="宋体" w:hAnsi="宋体" w:eastAsia="宋体" w:cs="宋体"/>
                <w:color w:val="auto"/>
                <w:sz w:val="24"/>
                <w:highlight w:val="none"/>
              </w:rPr>
            </w:pPr>
          </w:p>
        </w:tc>
        <w:tc>
          <w:tcPr>
            <w:tcW w:w="2806" w:type="dxa"/>
          </w:tcPr>
          <w:p>
            <w:pPr>
              <w:pageBreakBefore w:val="0"/>
              <w:kinsoku/>
              <w:wordWrap/>
              <w:overflowPunct/>
              <w:topLinePunct w:val="0"/>
              <w:bidi w:val="0"/>
              <w:spacing w:after="0" w:line="360" w:lineRule="auto"/>
              <w:jc w:val="center"/>
              <w:rPr>
                <w:rFonts w:hint="eastAsia" w:ascii="宋体" w:hAnsi="宋体" w:eastAsia="宋体" w:cs="宋体"/>
                <w:color w:val="auto"/>
                <w:sz w:val="24"/>
                <w:highlight w:val="none"/>
              </w:rPr>
            </w:pPr>
          </w:p>
        </w:tc>
        <w:tc>
          <w:tcPr>
            <w:tcW w:w="2806" w:type="dxa"/>
          </w:tcPr>
          <w:p>
            <w:pPr>
              <w:pageBreakBefore w:val="0"/>
              <w:kinsoku/>
              <w:wordWrap/>
              <w:overflowPunct/>
              <w:topLinePunct w:val="0"/>
              <w:bidi w:val="0"/>
              <w:spacing w:after="0" w:line="360" w:lineRule="auto"/>
              <w:jc w:val="center"/>
              <w:rPr>
                <w:rFonts w:hint="eastAsia" w:ascii="宋体" w:hAnsi="宋体" w:eastAsia="宋体" w:cs="宋体"/>
                <w:color w:val="auto"/>
                <w:sz w:val="24"/>
                <w:highlight w:val="none"/>
              </w:rPr>
            </w:pPr>
          </w:p>
        </w:tc>
      </w:tr>
    </w:tbl>
    <w:p>
      <w:pPr>
        <w:pageBreakBefore w:val="0"/>
        <w:kinsoku/>
        <w:wordWrap/>
        <w:overflowPunct/>
        <w:topLinePunct w:val="0"/>
        <w:bidi w:val="0"/>
        <w:spacing w:after="0" w:line="360" w:lineRule="auto"/>
        <w:ind w:firstLine="482" w:firstLineChars="200"/>
        <w:rPr>
          <w:rFonts w:hint="eastAsia" w:ascii="宋体" w:hAnsi="宋体" w:eastAsia="宋体" w:cs="宋体"/>
          <w:b/>
          <w:color w:val="auto"/>
          <w:sz w:val="24"/>
          <w:highlight w:val="none"/>
        </w:rPr>
      </w:pPr>
    </w:p>
    <w:p>
      <w:pPr>
        <w:pageBreakBefore w:val="0"/>
        <w:kinsoku/>
        <w:wordWrap/>
        <w:overflowPunct/>
        <w:topLinePunct w:val="0"/>
        <w:bidi w:val="0"/>
        <w:adjustRightInd w:val="0"/>
        <w:spacing w:after="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注：投标人须对招标文件第六章招标项目商务要求不能完全响应的内容进行据实填写，完全响应的无须列入此表。</w:t>
      </w:r>
    </w:p>
    <w:p>
      <w:pPr>
        <w:pageBreakBefore w:val="0"/>
        <w:kinsoku/>
        <w:wordWrap/>
        <w:overflowPunct/>
        <w:topLinePunct w:val="0"/>
        <w:bidi w:val="0"/>
        <w:adjustRightInd w:val="0"/>
        <w:spacing w:after="0" w:line="360" w:lineRule="auto"/>
        <w:ind w:firstLine="480" w:firstLineChars="200"/>
        <w:jc w:val="left"/>
        <w:rPr>
          <w:rFonts w:hint="eastAsia" w:ascii="宋体" w:hAnsi="宋体" w:eastAsia="宋体" w:cs="宋体"/>
          <w:color w:val="auto"/>
          <w:sz w:val="24"/>
          <w:highlight w:val="none"/>
        </w:rPr>
      </w:pPr>
    </w:p>
    <w:p>
      <w:pPr>
        <w:pageBreakBefore w:val="0"/>
        <w:kinsoku/>
        <w:wordWrap/>
        <w:overflowPunct/>
        <w:topLinePunct w:val="0"/>
        <w:bidi w:val="0"/>
        <w:adjustRightInd w:val="0"/>
        <w:spacing w:after="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投标人名称：XXX（盖单位公章）</w:t>
      </w:r>
    </w:p>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bCs/>
          <w:color w:val="auto"/>
          <w:sz w:val="24"/>
          <w:highlight w:val="none"/>
        </w:rPr>
        <w:t>日期</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XXX年XXX月XXX日</w:t>
      </w:r>
    </w:p>
    <w:p>
      <w:pPr>
        <w:pageBreakBefore w:val="0"/>
        <w:kinsoku/>
        <w:wordWrap/>
        <w:overflowPunct/>
        <w:topLinePunct w:val="0"/>
        <w:bidi w:val="0"/>
        <w:spacing w:after="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ageBreakBefore w:val="0"/>
        <w:kinsoku/>
        <w:wordWrap/>
        <w:overflowPunct/>
        <w:topLinePunct w:val="0"/>
        <w:bidi w:val="0"/>
        <w:spacing w:after="0" w:line="360" w:lineRule="auto"/>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格式2-</w:t>
      </w:r>
      <w:r>
        <w:rPr>
          <w:rFonts w:hint="eastAsia" w:ascii="宋体" w:hAnsi="宋体" w:eastAsia="宋体" w:cs="宋体"/>
          <w:b/>
          <w:color w:val="auto"/>
          <w:sz w:val="32"/>
          <w:szCs w:val="32"/>
          <w:highlight w:val="none"/>
          <w:lang w:val="en-US" w:eastAsia="zh-CN"/>
        </w:rPr>
        <w:t>7</w:t>
      </w:r>
    </w:p>
    <w:p>
      <w:pPr>
        <w:pageBreakBefore w:val="0"/>
        <w:widowControl/>
        <w:kinsoku/>
        <w:wordWrap/>
        <w:overflowPunct/>
        <w:topLinePunct w:val="0"/>
        <w:bidi w:val="0"/>
        <w:spacing w:after="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sz w:val="32"/>
          <w:szCs w:val="32"/>
          <w:highlight w:val="none"/>
        </w:rPr>
        <w:t>、商务、技术、服务应答附表</w:t>
      </w:r>
    </w:p>
    <w:p>
      <w:pPr>
        <w:pageBreakBefore w:val="0"/>
        <w:widowControl/>
        <w:kinsoku/>
        <w:wordWrap/>
        <w:overflowPunct/>
        <w:topLinePunct w:val="0"/>
        <w:bidi w:val="0"/>
        <w:spacing w:after="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（仅用于中标、成交结果公告，此表不作为评审内容）</w:t>
      </w:r>
    </w:p>
    <w:p>
      <w:pPr>
        <w:pageBreakBefore w:val="0"/>
        <w:widowControl/>
        <w:kinsoku/>
        <w:wordWrap/>
        <w:overflowPunct/>
        <w:topLinePunct w:val="0"/>
        <w:bidi w:val="0"/>
        <w:spacing w:after="0" w:line="360"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根据《中华人民共和国政府采购法实施条例》第四十三条第三款要求，中标、成交结果公告应当公告中标（成交）供应商的相关内容，请</w:t>
      </w:r>
      <w:r>
        <w:rPr>
          <w:rFonts w:hint="eastAsia" w:ascii="宋体" w:hAnsi="宋体" w:eastAsia="宋体" w:cs="宋体"/>
          <w:color w:val="auto"/>
          <w:sz w:val="24"/>
          <w:highlight w:val="none"/>
        </w:rPr>
        <w:t>投标人</w:t>
      </w:r>
      <w:r>
        <w:rPr>
          <w:rFonts w:hint="eastAsia" w:ascii="宋体" w:hAnsi="宋体" w:eastAsia="宋体" w:cs="宋体"/>
          <w:bCs/>
          <w:color w:val="auto"/>
          <w:sz w:val="24"/>
          <w:highlight w:val="none"/>
        </w:rPr>
        <w:t>根据响应情况如实完善以下内容，结果公告时公布中标（成交）供应商的相关信息。</w:t>
      </w:r>
    </w:p>
    <w:tbl>
      <w:tblPr>
        <w:tblStyle w:val="21"/>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431"/>
        <w:gridCol w:w="519"/>
        <w:gridCol w:w="1831"/>
        <w:gridCol w:w="1512"/>
        <w:gridCol w:w="34"/>
        <w:gridCol w:w="237"/>
        <w:gridCol w:w="1475"/>
        <w:gridCol w:w="35"/>
        <w:gridCol w:w="2481"/>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9555" w:type="dxa"/>
            <w:gridSpan w:val="9"/>
            <w:vAlign w:val="center"/>
          </w:tcPr>
          <w:p>
            <w:pPr>
              <w:pageBreakBefore w:val="0"/>
              <w:widowControl/>
              <w:kinsoku/>
              <w:wordWrap/>
              <w:overflowPunct/>
              <w:topLinePunct w:val="0"/>
              <w:bidi w:val="0"/>
              <w:spacing w:after="0" w:line="360" w:lineRule="auto"/>
              <w:jc w:val="center"/>
              <w:outlineLvl w:val="1"/>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中标（成交）供应商的相关信息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950" w:type="dxa"/>
            <w:gridSpan w:val="2"/>
            <w:vAlign w:val="center"/>
          </w:tcPr>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7605" w:type="dxa"/>
            <w:gridSpan w:val="7"/>
            <w:vAlign w:val="center"/>
          </w:tcPr>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950" w:type="dxa"/>
            <w:gridSpan w:val="2"/>
            <w:vAlign w:val="center"/>
          </w:tcPr>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p>
        </w:tc>
        <w:tc>
          <w:tcPr>
            <w:tcW w:w="7605" w:type="dxa"/>
            <w:gridSpan w:val="7"/>
            <w:vAlign w:val="center"/>
          </w:tcPr>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950" w:type="dxa"/>
            <w:gridSpan w:val="2"/>
            <w:vAlign w:val="center"/>
          </w:tcPr>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*注册地址</w:t>
            </w:r>
          </w:p>
        </w:tc>
        <w:tc>
          <w:tcPr>
            <w:tcW w:w="3343" w:type="dxa"/>
            <w:gridSpan w:val="2"/>
            <w:tcBorders>
              <w:right w:val="single" w:color="auto" w:sz="4" w:space="0"/>
            </w:tcBorders>
            <w:vAlign w:val="center"/>
          </w:tcPr>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rPr>
            </w:pPr>
          </w:p>
        </w:tc>
        <w:tc>
          <w:tcPr>
            <w:tcW w:w="1781" w:type="dxa"/>
            <w:gridSpan w:val="4"/>
            <w:tcBorders>
              <w:left w:val="single" w:color="auto" w:sz="4" w:space="0"/>
              <w:right w:val="single" w:color="auto" w:sz="4" w:space="0"/>
            </w:tcBorders>
            <w:vAlign w:val="center"/>
          </w:tcPr>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*行政区域</w:t>
            </w:r>
          </w:p>
        </w:tc>
        <w:tc>
          <w:tcPr>
            <w:tcW w:w="2481" w:type="dxa"/>
            <w:tcBorders>
              <w:left w:val="single" w:color="auto" w:sz="4" w:space="0"/>
            </w:tcBorders>
            <w:vAlign w:val="center"/>
          </w:tcPr>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950" w:type="dxa"/>
            <w:gridSpan w:val="2"/>
            <w:vAlign w:val="center"/>
          </w:tcPr>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*供应商规模</w:t>
            </w:r>
          </w:p>
        </w:tc>
        <w:tc>
          <w:tcPr>
            <w:tcW w:w="7605" w:type="dxa"/>
            <w:gridSpan w:val="7"/>
            <w:vAlign w:val="center"/>
          </w:tcPr>
          <w:p>
            <w:pPr>
              <w:pageBreakBefore w:val="0"/>
              <w:widowControl/>
              <w:kinsoku/>
              <w:wordWrap/>
              <w:overflowPunct/>
              <w:topLinePunct w:val="0"/>
              <w:bidi w:val="0"/>
              <w:spacing w:after="0" w:line="360" w:lineRule="auto"/>
              <w:jc w:val="center"/>
              <w:outlineLvl w:val="1"/>
              <w:rPr>
                <w:rFonts w:hint="eastAsia" w:ascii="宋体" w:hAnsi="宋体" w:eastAsia="宋体" w:cs="宋体"/>
                <w:color w:val="auto"/>
                <w:sz w:val="24"/>
                <w:highlight w:val="none"/>
              </w:rPr>
            </w:pPr>
            <w:r>
              <w:rPr>
                <w:rFonts w:hint="eastAsia" w:ascii="宋体" w:hAnsi="宋体" w:eastAsia="宋体" w:cs="宋体"/>
                <w:color w:val="auto"/>
                <w:szCs w:val="21"/>
                <w:highlight w:val="none"/>
              </w:rPr>
              <w:t>□大型企业   □中型企业   □小微型企业（对应处打“√”）</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4" w:hRule="atLeast"/>
          <w:jc w:val="center"/>
        </w:trPr>
        <w:tc>
          <w:tcPr>
            <w:tcW w:w="1950" w:type="dxa"/>
            <w:gridSpan w:val="2"/>
            <w:vMerge w:val="restart"/>
            <w:vAlign w:val="center"/>
          </w:tcPr>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*单位联系方式</w:t>
            </w:r>
          </w:p>
        </w:tc>
        <w:tc>
          <w:tcPr>
            <w:tcW w:w="1831" w:type="dxa"/>
            <w:vAlign w:val="center"/>
          </w:tcPr>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*单位联系人</w:t>
            </w:r>
          </w:p>
        </w:tc>
        <w:tc>
          <w:tcPr>
            <w:tcW w:w="1546" w:type="dxa"/>
            <w:gridSpan w:val="2"/>
            <w:vAlign w:val="center"/>
          </w:tcPr>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p>
        </w:tc>
        <w:tc>
          <w:tcPr>
            <w:tcW w:w="1712" w:type="dxa"/>
            <w:gridSpan w:val="2"/>
            <w:vAlign w:val="center"/>
          </w:tcPr>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*单位电话</w:t>
            </w:r>
          </w:p>
        </w:tc>
        <w:tc>
          <w:tcPr>
            <w:tcW w:w="2516" w:type="dxa"/>
            <w:gridSpan w:val="2"/>
            <w:vAlign w:val="center"/>
          </w:tcPr>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1950" w:type="dxa"/>
            <w:gridSpan w:val="2"/>
            <w:vMerge w:val="continue"/>
            <w:vAlign w:val="center"/>
          </w:tcPr>
          <w:p>
            <w:pPr>
              <w:pageBreakBefore w:val="0"/>
              <w:kinsoku/>
              <w:wordWrap/>
              <w:overflowPunct/>
              <w:topLinePunct w:val="0"/>
              <w:bidi w:val="0"/>
              <w:spacing w:after="0" w:line="360" w:lineRule="auto"/>
              <w:rPr>
                <w:rFonts w:hint="eastAsia" w:ascii="宋体" w:hAnsi="宋体" w:eastAsia="宋体" w:cs="宋体"/>
                <w:color w:val="auto"/>
                <w:highlight w:val="none"/>
              </w:rPr>
            </w:pPr>
          </w:p>
        </w:tc>
        <w:tc>
          <w:tcPr>
            <w:tcW w:w="1831" w:type="dxa"/>
            <w:vAlign w:val="center"/>
          </w:tcPr>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*单位邮箱</w:t>
            </w:r>
          </w:p>
        </w:tc>
        <w:tc>
          <w:tcPr>
            <w:tcW w:w="5774" w:type="dxa"/>
            <w:gridSpan w:val="6"/>
            <w:vAlign w:val="center"/>
          </w:tcPr>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6" w:hRule="atLeast"/>
          <w:jc w:val="center"/>
        </w:trPr>
        <w:tc>
          <w:tcPr>
            <w:tcW w:w="9555" w:type="dxa"/>
            <w:gridSpan w:val="9"/>
            <w:vAlign w:val="center"/>
          </w:tcPr>
          <w:p>
            <w:pPr>
              <w:pageBreakBefore w:val="0"/>
              <w:widowControl/>
              <w:kinsoku/>
              <w:wordWrap/>
              <w:overflowPunct/>
              <w:topLinePunct w:val="0"/>
              <w:bidi w:val="0"/>
              <w:spacing w:after="0" w:line="360" w:lineRule="auto"/>
              <w:ind w:firstLine="472" w:firstLineChars="196"/>
              <w:jc w:val="left"/>
              <w:outlineLvl w:val="1"/>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注：以上*号项信息供应商须如实填写，信息将录入四川省政府采购计划执行系统，若因供应商提供错误信息造成的问题，由其自身承担。</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431" w:type="dxa"/>
            <w:vMerge w:val="restart"/>
            <w:tcBorders>
              <w:right w:val="single" w:color="auto" w:sz="4" w:space="0"/>
            </w:tcBorders>
            <w:vAlign w:val="center"/>
          </w:tcPr>
          <w:p>
            <w:pPr>
              <w:pageBreakBefore w:val="0"/>
              <w:widowControl/>
              <w:kinsoku/>
              <w:wordWrap/>
              <w:overflowPunct/>
              <w:topLinePunct w:val="0"/>
              <w:bidi w:val="0"/>
              <w:spacing w:after="0" w:line="360" w:lineRule="auto"/>
              <w:jc w:val="left"/>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供应商应答“采购文件”的主要内容</w:t>
            </w:r>
          </w:p>
        </w:tc>
        <w:tc>
          <w:tcPr>
            <w:tcW w:w="4133" w:type="dxa"/>
            <w:gridSpan w:val="5"/>
            <w:tcBorders>
              <w:left w:val="single" w:color="auto" w:sz="4" w:space="0"/>
              <w:right w:val="single" w:color="auto" w:sz="4" w:space="0"/>
            </w:tcBorders>
            <w:vAlign w:val="center"/>
          </w:tcPr>
          <w:p>
            <w:pPr>
              <w:pageBreakBefore w:val="0"/>
              <w:kinsoku/>
              <w:wordWrap/>
              <w:overflowPunct/>
              <w:topLinePunct w:val="0"/>
              <w:bidi w:val="0"/>
              <w:spacing w:after="0" w:line="360" w:lineRule="auto"/>
              <w:jc w:val="left"/>
              <w:rPr>
                <w:rFonts w:hint="eastAsia" w:ascii="宋体" w:hAnsi="宋体" w:eastAsia="宋体" w:cs="宋体"/>
                <w:b/>
                <w:bCs/>
                <w:color w:val="auto"/>
                <w:sz w:val="21"/>
                <w:szCs w:val="21"/>
                <w:highlight w:val="none"/>
              </w:rPr>
            </w:pPr>
            <w:r>
              <w:rPr>
                <w:rFonts w:hint="eastAsia" w:ascii="宋体" w:hAnsi="宋体" w:eastAsia="宋体" w:cs="宋体"/>
                <w:bCs/>
                <w:color w:val="auto"/>
                <w:kern w:val="0"/>
                <w:sz w:val="21"/>
                <w:szCs w:val="21"/>
                <w:highlight w:val="none"/>
              </w:rPr>
              <w:t>主要中标或者成交标的的名称</w:t>
            </w:r>
          </w:p>
        </w:tc>
        <w:tc>
          <w:tcPr>
            <w:tcW w:w="3991" w:type="dxa"/>
            <w:gridSpan w:val="3"/>
            <w:tcBorders>
              <w:left w:val="single" w:color="auto" w:sz="4" w:space="0"/>
            </w:tcBorders>
            <w:vAlign w:val="center"/>
          </w:tcPr>
          <w:p>
            <w:pPr>
              <w:pageBreakBefore w:val="0"/>
              <w:kinsoku/>
              <w:wordWrap/>
              <w:overflowPunct/>
              <w:topLinePunct w:val="0"/>
              <w:bidi w:val="0"/>
              <w:spacing w:after="0" w:line="360" w:lineRule="auto"/>
              <w:jc w:val="left"/>
              <w:rPr>
                <w:rFonts w:hint="eastAsia" w:ascii="宋体" w:hAnsi="宋体" w:eastAsia="宋体" w:cs="宋体"/>
                <w:b/>
                <w:bCs/>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431" w:type="dxa"/>
            <w:vMerge w:val="continue"/>
            <w:tcBorders>
              <w:right w:val="single" w:color="auto" w:sz="4" w:space="0"/>
            </w:tcBorders>
            <w:vAlign w:val="center"/>
          </w:tcPr>
          <w:p>
            <w:pPr>
              <w:pageBreakBefore w:val="0"/>
              <w:widowControl/>
              <w:kinsoku/>
              <w:wordWrap/>
              <w:overflowPunct/>
              <w:topLinePunct w:val="0"/>
              <w:bidi w:val="0"/>
              <w:spacing w:after="0" w:line="360" w:lineRule="auto"/>
              <w:ind w:firstLine="413" w:firstLineChars="196"/>
              <w:jc w:val="left"/>
              <w:outlineLvl w:val="1"/>
              <w:rPr>
                <w:rFonts w:hint="eastAsia" w:ascii="宋体" w:hAnsi="宋体" w:eastAsia="宋体" w:cs="宋体"/>
                <w:b/>
                <w:bCs/>
                <w:color w:val="auto"/>
                <w:sz w:val="21"/>
                <w:szCs w:val="21"/>
                <w:highlight w:val="none"/>
              </w:rPr>
            </w:pPr>
          </w:p>
        </w:tc>
        <w:tc>
          <w:tcPr>
            <w:tcW w:w="4133" w:type="dxa"/>
            <w:gridSpan w:val="5"/>
            <w:tcBorders>
              <w:left w:val="single" w:color="auto" w:sz="4" w:space="0"/>
              <w:right w:val="single" w:color="auto" w:sz="4" w:space="0"/>
            </w:tcBorders>
            <w:vAlign w:val="center"/>
          </w:tcPr>
          <w:p>
            <w:pPr>
              <w:pageBreakBefore w:val="0"/>
              <w:kinsoku/>
              <w:wordWrap/>
              <w:overflowPunct/>
              <w:topLinePunct w:val="0"/>
              <w:bidi w:val="0"/>
              <w:spacing w:after="0" w:line="360" w:lineRule="auto"/>
              <w:jc w:val="left"/>
              <w:rPr>
                <w:rFonts w:hint="eastAsia" w:ascii="宋体" w:hAnsi="宋体" w:eastAsia="宋体" w:cs="宋体"/>
                <w:b/>
                <w:bCs/>
                <w:color w:val="auto"/>
                <w:sz w:val="21"/>
                <w:szCs w:val="21"/>
                <w:highlight w:val="none"/>
              </w:rPr>
            </w:pPr>
            <w:r>
              <w:rPr>
                <w:rFonts w:hint="eastAsia" w:ascii="宋体" w:hAnsi="宋体" w:eastAsia="宋体" w:cs="宋体"/>
                <w:bCs/>
                <w:color w:val="auto"/>
                <w:kern w:val="0"/>
                <w:sz w:val="21"/>
                <w:szCs w:val="21"/>
                <w:highlight w:val="none"/>
              </w:rPr>
              <w:t>主要中标或者成交标的的规格型号</w:t>
            </w:r>
          </w:p>
        </w:tc>
        <w:tc>
          <w:tcPr>
            <w:tcW w:w="3991" w:type="dxa"/>
            <w:gridSpan w:val="3"/>
            <w:tcBorders>
              <w:left w:val="single" w:color="auto" w:sz="4" w:space="0"/>
            </w:tcBorders>
            <w:vAlign w:val="center"/>
          </w:tcPr>
          <w:p>
            <w:pPr>
              <w:pageBreakBefore w:val="0"/>
              <w:kinsoku/>
              <w:wordWrap/>
              <w:overflowPunct/>
              <w:topLinePunct w:val="0"/>
              <w:bidi w:val="0"/>
              <w:spacing w:after="0" w:line="360" w:lineRule="auto"/>
              <w:jc w:val="left"/>
              <w:rPr>
                <w:rFonts w:hint="eastAsia" w:ascii="宋体" w:hAnsi="宋体" w:eastAsia="宋体" w:cs="宋体"/>
                <w:b/>
                <w:bCs/>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431" w:type="dxa"/>
            <w:vMerge w:val="continue"/>
            <w:tcBorders>
              <w:right w:val="single" w:color="auto" w:sz="4" w:space="0"/>
            </w:tcBorders>
            <w:vAlign w:val="center"/>
          </w:tcPr>
          <w:p>
            <w:pPr>
              <w:pageBreakBefore w:val="0"/>
              <w:widowControl/>
              <w:kinsoku/>
              <w:wordWrap/>
              <w:overflowPunct/>
              <w:topLinePunct w:val="0"/>
              <w:bidi w:val="0"/>
              <w:spacing w:after="0" w:line="360" w:lineRule="auto"/>
              <w:ind w:firstLine="413" w:firstLineChars="196"/>
              <w:jc w:val="left"/>
              <w:outlineLvl w:val="1"/>
              <w:rPr>
                <w:rFonts w:hint="eastAsia" w:ascii="宋体" w:hAnsi="宋体" w:eastAsia="宋体" w:cs="宋体"/>
                <w:b/>
                <w:bCs/>
                <w:color w:val="auto"/>
                <w:sz w:val="21"/>
                <w:szCs w:val="21"/>
                <w:highlight w:val="none"/>
              </w:rPr>
            </w:pPr>
          </w:p>
        </w:tc>
        <w:tc>
          <w:tcPr>
            <w:tcW w:w="4133" w:type="dxa"/>
            <w:gridSpan w:val="5"/>
            <w:tcBorders>
              <w:left w:val="single" w:color="auto" w:sz="4" w:space="0"/>
              <w:right w:val="single" w:color="auto" w:sz="4" w:space="0"/>
            </w:tcBorders>
            <w:vAlign w:val="center"/>
          </w:tcPr>
          <w:p>
            <w:pPr>
              <w:pageBreakBefore w:val="0"/>
              <w:kinsoku/>
              <w:wordWrap/>
              <w:overflowPunct/>
              <w:topLinePunct w:val="0"/>
              <w:bidi w:val="0"/>
              <w:spacing w:after="0" w:line="360" w:lineRule="auto"/>
              <w:jc w:val="left"/>
              <w:rPr>
                <w:rFonts w:hint="eastAsia" w:ascii="宋体" w:hAnsi="宋体" w:eastAsia="宋体" w:cs="宋体"/>
                <w:b/>
                <w:bCs/>
                <w:color w:val="auto"/>
                <w:sz w:val="21"/>
                <w:szCs w:val="21"/>
                <w:highlight w:val="none"/>
              </w:rPr>
            </w:pPr>
            <w:r>
              <w:rPr>
                <w:rFonts w:hint="eastAsia" w:ascii="宋体" w:hAnsi="宋体" w:eastAsia="宋体" w:cs="宋体"/>
                <w:bCs/>
                <w:color w:val="auto"/>
                <w:kern w:val="0"/>
                <w:sz w:val="21"/>
                <w:szCs w:val="21"/>
                <w:highlight w:val="none"/>
              </w:rPr>
              <w:t>主要中标或者成交标的的数量</w:t>
            </w:r>
          </w:p>
        </w:tc>
        <w:tc>
          <w:tcPr>
            <w:tcW w:w="3991" w:type="dxa"/>
            <w:gridSpan w:val="3"/>
            <w:tcBorders>
              <w:left w:val="single" w:color="auto" w:sz="4" w:space="0"/>
            </w:tcBorders>
            <w:vAlign w:val="center"/>
          </w:tcPr>
          <w:p>
            <w:pPr>
              <w:pageBreakBefore w:val="0"/>
              <w:kinsoku/>
              <w:wordWrap/>
              <w:overflowPunct/>
              <w:topLinePunct w:val="0"/>
              <w:bidi w:val="0"/>
              <w:spacing w:after="0" w:line="360" w:lineRule="auto"/>
              <w:jc w:val="left"/>
              <w:rPr>
                <w:rFonts w:hint="eastAsia" w:ascii="宋体" w:hAnsi="宋体" w:eastAsia="宋体" w:cs="宋体"/>
                <w:b/>
                <w:bCs/>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431" w:type="dxa"/>
            <w:vMerge w:val="continue"/>
            <w:tcBorders>
              <w:right w:val="single" w:color="auto" w:sz="4" w:space="0"/>
            </w:tcBorders>
            <w:vAlign w:val="center"/>
          </w:tcPr>
          <w:p>
            <w:pPr>
              <w:pageBreakBefore w:val="0"/>
              <w:widowControl/>
              <w:kinsoku/>
              <w:wordWrap/>
              <w:overflowPunct/>
              <w:topLinePunct w:val="0"/>
              <w:bidi w:val="0"/>
              <w:spacing w:after="0" w:line="360" w:lineRule="auto"/>
              <w:ind w:firstLine="413" w:firstLineChars="196"/>
              <w:jc w:val="left"/>
              <w:outlineLvl w:val="1"/>
              <w:rPr>
                <w:rFonts w:hint="eastAsia" w:ascii="宋体" w:hAnsi="宋体" w:eastAsia="宋体" w:cs="宋体"/>
                <w:b/>
                <w:bCs/>
                <w:color w:val="auto"/>
                <w:sz w:val="21"/>
                <w:szCs w:val="21"/>
                <w:highlight w:val="none"/>
              </w:rPr>
            </w:pPr>
          </w:p>
        </w:tc>
        <w:tc>
          <w:tcPr>
            <w:tcW w:w="4133" w:type="dxa"/>
            <w:gridSpan w:val="5"/>
            <w:tcBorders>
              <w:left w:val="single" w:color="auto" w:sz="4" w:space="0"/>
              <w:right w:val="single" w:color="auto" w:sz="4" w:space="0"/>
            </w:tcBorders>
            <w:vAlign w:val="center"/>
          </w:tcPr>
          <w:p>
            <w:pPr>
              <w:pageBreakBefore w:val="0"/>
              <w:kinsoku/>
              <w:wordWrap/>
              <w:overflowPunct/>
              <w:topLinePunct w:val="0"/>
              <w:bidi w:val="0"/>
              <w:spacing w:after="0" w:line="360" w:lineRule="auto"/>
              <w:jc w:val="left"/>
              <w:rPr>
                <w:rFonts w:hint="eastAsia" w:ascii="宋体" w:hAnsi="宋体" w:eastAsia="宋体" w:cs="宋体"/>
                <w:b/>
                <w:bCs/>
                <w:color w:val="auto"/>
                <w:sz w:val="21"/>
                <w:szCs w:val="21"/>
                <w:highlight w:val="none"/>
              </w:rPr>
            </w:pPr>
            <w:r>
              <w:rPr>
                <w:rFonts w:hint="eastAsia" w:ascii="宋体" w:hAnsi="宋体" w:eastAsia="宋体" w:cs="宋体"/>
                <w:bCs/>
                <w:color w:val="auto"/>
                <w:kern w:val="0"/>
                <w:sz w:val="21"/>
                <w:szCs w:val="21"/>
                <w:highlight w:val="none"/>
              </w:rPr>
              <w:t>主要中标或者成交标的的单价</w:t>
            </w:r>
          </w:p>
        </w:tc>
        <w:tc>
          <w:tcPr>
            <w:tcW w:w="3991" w:type="dxa"/>
            <w:gridSpan w:val="3"/>
            <w:tcBorders>
              <w:left w:val="single" w:color="auto" w:sz="4" w:space="0"/>
            </w:tcBorders>
            <w:vAlign w:val="center"/>
          </w:tcPr>
          <w:p>
            <w:pPr>
              <w:pageBreakBefore w:val="0"/>
              <w:kinsoku/>
              <w:wordWrap/>
              <w:overflowPunct/>
              <w:topLinePunct w:val="0"/>
              <w:bidi w:val="0"/>
              <w:spacing w:after="0" w:line="360" w:lineRule="auto"/>
              <w:jc w:val="left"/>
              <w:rPr>
                <w:rFonts w:hint="eastAsia" w:ascii="宋体" w:hAnsi="宋体" w:eastAsia="宋体" w:cs="宋体"/>
                <w:b/>
                <w:bCs/>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431" w:type="dxa"/>
            <w:vMerge w:val="continue"/>
            <w:tcBorders>
              <w:right w:val="single" w:color="auto" w:sz="4" w:space="0"/>
            </w:tcBorders>
            <w:vAlign w:val="center"/>
          </w:tcPr>
          <w:p>
            <w:pPr>
              <w:pageBreakBefore w:val="0"/>
              <w:widowControl/>
              <w:kinsoku/>
              <w:wordWrap/>
              <w:overflowPunct/>
              <w:topLinePunct w:val="0"/>
              <w:bidi w:val="0"/>
              <w:spacing w:after="0" w:line="360" w:lineRule="auto"/>
              <w:ind w:firstLine="413" w:firstLineChars="196"/>
              <w:jc w:val="left"/>
              <w:outlineLvl w:val="1"/>
              <w:rPr>
                <w:rFonts w:hint="eastAsia" w:ascii="宋体" w:hAnsi="宋体" w:eastAsia="宋体" w:cs="宋体"/>
                <w:b/>
                <w:bCs/>
                <w:color w:val="auto"/>
                <w:sz w:val="21"/>
                <w:szCs w:val="21"/>
                <w:highlight w:val="none"/>
              </w:rPr>
            </w:pPr>
          </w:p>
        </w:tc>
        <w:tc>
          <w:tcPr>
            <w:tcW w:w="4133" w:type="dxa"/>
            <w:gridSpan w:val="5"/>
            <w:tcBorders>
              <w:left w:val="single" w:color="auto" w:sz="4" w:space="0"/>
              <w:right w:val="single" w:color="auto" w:sz="4" w:space="0"/>
            </w:tcBorders>
            <w:vAlign w:val="center"/>
          </w:tcPr>
          <w:p>
            <w:pPr>
              <w:pageBreakBefore w:val="0"/>
              <w:kinsoku/>
              <w:wordWrap/>
              <w:overflowPunct/>
              <w:topLinePunct w:val="0"/>
              <w:bidi w:val="0"/>
              <w:spacing w:after="0" w:line="360" w:lineRule="auto"/>
              <w:jc w:val="left"/>
              <w:rPr>
                <w:rFonts w:hint="eastAsia" w:ascii="宋体" w:hAnsi="宋体" w:eastAsia="宋体" w:cs="宋体"/>
                <w:b/>
                <w:bCs/>
                <w:color w:val="auto"/>
                <w:sz w:val="21"/>
                <w:szCs w:val="21"/>
                <w:highlight w:val="none"/>
              </w:rPr>
            </w:pPr>
            <w:r>
              <w:rPr>
                <w:rFonts w:hint="eastAsia" w:ascii="宋体" w:hAnsi="宋体" w:eastAsia="宋体" w:cs="宋体"/>
                <w:bCs/>
                <w:color w:val="auto"/>
                <w:kern w:val="0"/>
                <w:sz w:val="21"/>
                <w:szCs w:val="21"/>
                <w:highlight w:val="none"/>
              </w:rPr>
              <w:t>主要中标或者成交标的的服务要求（如：交货期、质保期、售后服务等等）</w:t>
            </w:r>
          </w:p>
        </w:tc>
        <w:tc>
          <w:tcPr>
            <w:tcW w:w="3991" w:type="dxa"/>
            <w:gridSpan w:val="3"/>
            <w:tcBorders>
              <w:left w:val="single" w:color="auto" w:sz="4" w:space="0"/>
            </w:tcBorders>
            <w:vAlign w:val="center"/>
          </w:tcPr>
          <w:p>
            <w:pPr>
              <w:pageBreakBefore w:val="0"/>
              <w:numPr>
                <w:ilvl w:val="0"/>
                <w:numId w:val="6"/>
              </w:numPr>
              <w:kinsoku/>
              <w:wordWrap/>
              <w:overflowPunct/>
              <w:topLinePunct w:val="0"/>
              <w:bidi w:val="0"/>
              <w:spacing w:after="0"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p>
            <w:pPr>
              <w:pageBreakBefore w:val="0"/>
              <w:numPr>
                <w:ilvl w:val="0"/>
                <w:numId w:val="6"/>
              </w:numPr>
              <w:kinsoku/>
              <w:wordWrap/>
              <w:overflowPunct/>
              <w:topLinePunct w:val="0"/>
              <w:bidi w:val="0"/>
              <w:spacing w:after="0"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p>
            <w:pPr>
              <w:pageBreakBefore w:val="0"/>
              <w:numPr>
                <w:ilvl w:val="0"/>
                <w:numId w:val="6"/>
              </w:numPr>
              <w:kinsoku/>
              <w:wordWrap/>
              <w:overflowPunct/>
              <w:topLinePunct w:val="0"/>
              <w:bidi w:val="0"/>
              <w:spacing w:after="0"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p>
            <w:pPr>
              <w:pageBreakBefore w:val="0"/>
              <w:kinsoku/>
              <w:wordWrap/>
              <w:overflowPunct/>
              <w:topLinePunct w:val="0"/>
              <w:bidi w:val="0"/>
              <w:spacing w:after="0" w:line="360" w:lineRule="auto"/>
              <w:jc w:val="left"/>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w:t>
            </w:r>
          </w:p>
        </w:tc>
      </w:tr>
    </w:tbl>
    <w:p>
      <w:pPr>
        <w:pageBreakBefore w:val="0"/>
        <w:kinsoku/>
        <w:wordWrap/>
        <w:overflowPunct/>
        <w:topLinePunct w:val="0"/>
        <w:bidi w:val="0"/>
        <w:spacing w:after="0"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pageBreakBefore w:val="0"/>
        <w:numPr>
          <w:ilvl w:val="0"/>
          <w:numId w:val="7"/>
        </w:numPr>
        <w:kinsoku/>
        <w:wordWrap/>
        <w:overflowPunct/>
        <w:topLinePunct w:val="0"/>
        <w:bidi w:val="0"/>
        <w:spacing w:after="0"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投标人需如实完善表格内容。</w:t>
      </w:r>
    </w:p>
    <w:p>
      <w:pPr>
        <w:pageBreakBefore w:val="0"/>
        <w:numPr>
          <w:ilvl w:val="0"/>
          <w:numId w:val="7"/>
        </w:numPr>
        <w:kinsoku/>
        <w:wordWrap/>
        <w:overflowPunct/>
        <w:topLinePunct w:val="0"/>
        <w:bidi w:val="0"/>
        <w:spacing w:after="0"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投标人应答的主要内容应与投标文件一致，可以进行简要概括性表述。</w:t>
      </w:r>
    </w:p>
    <w:p>
      <w:pPr>
        <w:pageBreakBefore w:val="0"/>
        <w:numPr>
          <w:ilvl w:val="0"/>
          <w:numId w:val="7"/>
        </w:numPr>
        <w:kinsoku/>
        <w:wordWrap/>
        <w:overflowPunct/>
        <w:topLinePunct w:val="0"/>
        <w:bidi w:val="0"/>
        <w:spacing w:after="0"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投标人应答的主要内容仅用于结果公告，投标人自行完善的内容视为不涉及投标人商业秘密。若投标人没有填写或没有递交此表，视为允许采购代理机构将投标人投标文件中所有相关的应答内容进行公告。</w:t>
      </w:r>
    </w:p>
    <w:p>
      <w:pPr>
        <w:pageBreakBefore w:val="0"/>
        <w:widowControl/>
        <w:kinsoku/>
        <w:wordWrap/>
        <w:overflowPunct/>
        <w:topLinePunct w:val="0"/>
        <w:bidi w:val="0"/>
        <w:spacing w:after="0" w:line="24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投标人名称：XXXX（盖单位公章）。</w:t>
      </w:r>
    </w:p>
    <w:p>
      <w:pPr>
        <w:pageBreakBefore w:val="0"/>
        <w:widowControl/>
        <w:kinsoku/>
        <w:wordWrap/>
        <w:overflowPunct/>
        <w:topLinePunct w:val="0"/>
        <w:bidi w:val="0"/>
        <w:spacing w:after="0" w:line="240" w:lineRule="auto"/>
        <w:ind w:firstLine="470" w:firstLineChars="196"/>
        <w:jc w:val="left"/>
        <w:outlineLvl w:val="1"/>
        <w:rPr>
          <w:rFonts w:hint="eastAsia" w:ascii="宋体" w:hAnsi="宋体" w:eastAsia="宋体" w:cs="宋体"/>
          <w:b/>
          <w:color w:val="auto"/>
          <w:sz w:val="24"/>
          <w:highlight w:val="none"/>
        </w:rPr>
      </w:pPr>
      <w:r>
        <w:rPr>
          <w:rFonts w:hint="eastAsia" w:ascii="宋体" w:hAnsi="宋体" w:eastAsia="宋体" w:cs="宋体"/>
          <w:color w:val="auto"/>
          <w:sz w:val="24"/>
          <w:highlight w:val="none"/>
        </w:rPr>
        <w:t>投标日期：XXXX。</w:t>
      </w:r>
    </w:p>
    <w:p>
      <w:pPr>
        <w:pageBreakBefore w:val="0"/>
        <w:kinsoku/>
        <w:wordWrap/>
        <w:overflowPunct/>
        <w:topLinePunct w:val="0"/>
        <w:bidi w:val="0"/>
        <w:spacing w:after="0" w:line="360" w:lineRule="auto"/>
        <w:rPr>
          <w:rFonts w:hint="eastAsia" w:ascii="宋体" w:hAnsi="宋体" w:eastAsia="宋体" w:cs="宋体"/>
          <w:b/>
          <w:color w:val="auto"/>
          <w:sz w:val="32"/>
          <w:szCs w:val="32"/>
          <w:highlight w:val="none"/>
          <w:lang w:val="en-US" w:eastAsia="zh-CN"/>
        </w:rPr>
      </w:pPr>
      <w:bookmarkStart w:id="149" w:name="_Toc217446088"/>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格式2-</w:t>
      </w:r>
      <w:r>
        <w:rPr>
          <w:rFonts w:hint="eastAsia" w:ascii="宋体" w:hAnsi="宋体" w:eastAsia="宋体" w:cs="宋体"/>
          <w:b/>
          <w:color w:val="auto"/>
          <w:sz w:val="32"/>
          <w:szCs w:val="32"/>
          <w:highlight w:val="none"/>
          <w:lang w:val="en-US" w:eastAsia="zh-CN"/>
        </w:rPr>
        <w:t>8</w:t>
      </w:r>
    </w:p>
    <w:p>
      <w:pPr>
        <w:pageBreakBefore w:val="0"/>
        <w:widowControl/>
        <w:kinsoku/>
        <w:wordWrap/>
        <w:overflowPunct/>
        <w:topLinePunct w:val="0"/>
        <w:bidi w:val="0"/>
        <w:spacing w:after="0" w:line="360" w:lineRule="auto"/>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rPr>
        <w:t>、投标人基本情况表</w:t>
      </w:r>
      <w:bookmarkEnd w:id="149"/>
    </w:p>
    <w:tbl>
      <w:tblPr>
        <w:tblStyle w:val="21"/>
        <w:tblW w:w="9553"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44"/>
        <w:gridCol w:w="1088"/>
        <w:gridCol w:w="1408"/>
        <w:gridCol w:w="1418"/>
        <w:gridCol w:w="1500"/>
        <w:gridCol w:w="180"/>
        <w:gridCol w:w="786"/>
        <w:gridCol w:w="122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507" w:hRule="atLeast"/>
          <w:jc w:val="center"/>
        </w:trPr>
        <w:tc>
          <w:tcPr>
            <w:tcW w:w="1944" w:type="dxa"/>
            <w:vAlign w:val="center"/>
          </w:tcPr>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p>
        </w:tc>
        <w:tc>
          <w:tcPr>
            <w:tcW w:w="7609" w:type="dxa"/>
            <w:gridSpan w:val="7"/>
            <w:vAlign w:val="center"/>
          </w:tcPr>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944" w:type="dxa"/>
            <w:vAlign w:val="center"/>
          </w:tcPr>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注册地址</w:t>
            </w:r>
          </w:p>
        </w:tc>
        <w:tc>
          <w:tcPr>
            <w:tcW w:w="3914" w:type="dxa"/>
            <w:gridSpan w:val="3"/>
            <w:vAlign w:val="center"/>
          </w:tcPr>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p>
        </w:tc>
        <w:tc>
          <w:tcPr>
            <w:tcW w:w="1500" w:type="dxa"/>
            <w:vAlign w:val="center"/>
          </w:tcPr>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p>
        </w:tc>
        <w:tc>
          <w:tcPr>
            <w:tcW w:w="2195" w:type="dxa"/>
            <w:gridSpan w:val="3"/>
            <w:vAlign w:val="center"/>
          </w:tcPr>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944" w:type="dxa"/>
            <w:vMerge w:val="restart"/>
            <w:vAlign w:val="center"/>
          </w:tcPr>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p>
        </w:tc>
        <w:tc>
          <w:tcPr>
            <w:tcW w:w="1088" w:type="dxa"/>
            <w:vAlign w:val="center"/>
          </w:tcPr>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2826" w:type="dxa"/>
            <w:gridSpan w:val="2"/>
            <w:vAlign w:val="center"/>
          </w:tcPr>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p>
        </w:tc>
        <w:tc>
          <w:tcPr>
            <w:tcW w:w="1500" w:type="dxa"/>
            <w:vAlign w:val="center"/>
          </w:tcPr>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2195" w:type="dxa"/>
            <w:gridSpan w:val="3"/>
            <w:vAlign w:val="center"/>
          </w:tcPr>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75" w:hRule="atLeast"/>
          <w:jc w:val="center"/>
        </w:trPr>
        <w:tc>
          <w:tcPr>
            <w:tcW w:w="1944" w:type="dxa"/>
            <w:vMerge w:val="continue"/>
            <w:vAlign w:val="center"/>
          </w:tcPr>
          <w:p>
            <w:pPr>
              <w:pageBreakBefore w:val="0"/>
              <w:kinsoku/>
              <w:wordWrap/>
              <w:overflowPunct/>
              <w:topLinePunct w:val="0"/>
              <w:bidi w:val="0"/>
              <w:spacing w:after="0" w:line="360" w:lineRule="auto"/>
              <w:rPr>
                <w:rFonts w:hint="eastAsia" w:ascii="宋体" w:hAnsi="宋体" w:eastAsia="宋体" w:cs="宋体"/>
                <w:color w:val="auto"/>
                <w:highlight w:val="none"/>
              </w:rPr>
            </w:pPr>
          </w:p>
        </w:tc>
        <w:tc>
          <w:tcPr>
            <w:tcW w:w="1088" w:type="dxa"/>
            <w:vAlign w:val="center"/>
          </w:tcPr>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2826" w:type="dxa"/>
            <w:gridSpan w:val="2"/>
            <w:vAlign w:val="center"/>
          </w:tcPr>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p>
        </w:tc>
        <w:tc>
          <w:tcPr>
            <w:tcW w:w="1500" w:type="dxa"/>
            <w:vAlign w:val="center"/>
          </w:tcPr>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网址</w:t>
            </w:r>
          </w:p>
        </w:tc>
        <w:tc>
          <w:tcPr>
            <w:tcW w:w="2195" w:type="dxa"/>
            <w:gridSpan w:val="3"/>
            <w:vAlign w:val="center"/>
          </w:tcPr>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944" w:type="dxa"/>
            <w:vAlign w:val="center"/>
          </w:tcPr>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组织结构</w:t>
            </w:r>
          </w:p>
        </w:tc>
        <w:tc>
          <w:tcPr>
            <w:tcW w:w="7609" w:type="dxa"/>
            <w:gridSpan w:val="7"/>
            <w:vAlign w:val="center"/>
          </w:tcPr>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094" w:hRule="atLeast"/>
          <w:jc w:val="center"/>
        </w:trPr>
        <w:tc>
          <w:tcPr>
            <w:tcW w:w="1944" w:type="dxa"/>
            <w:vAlign w:val="center"/>
          </w:tcPr>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法定代表人/单位负责人</w:t>
            </w:r>
          </w:p>
        </w:tc>
        <w:tc>
          <w:tcPr>
            <w:tcW w:w="1088" w:type="dxa"/>
            <w:vAlign w:val="center"/>
          </w:tcPr>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408" w:type="dxa"/>
            <w:vAlign w:val="center"/>
          </w:tcPr>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p>
        </w:tc>
        <w:tc>
          <w:tcPr>
            <w:tcW w:w="1418" w:type="dxa"/>
            <w:vAlign w:val="center"/>
          </w:tcPr>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技术职称</w:t>
            </w:r>
          </w:p>
        </w:tc>
        <w:tc>
          <w:tcPr>
            <w:tcW w:w="1500" w:type="dxa"/>
            <w:vAlign w:val="center"/>
          </w:tcPr>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p>
        </w:tc>
        <w:tc>
          <w:tcPr>
            <w:tcW w:w="966" w:type="dxa"/>
            <w:gridSpan w:val="2"/>
            <w:vAlign w:val="center"/>
          </w:tcPr>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1229" w:type="dxa"/>
            <w:vAlign w:val="center"/>
          </w:tcPr>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944" w:type="dxa"/>
            <w:vAlign w:val="center"/>
          </w:tcPr>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技术负责人</w:t>
            </w:r>
          </w:p>
        </w:tc>
        <w:tc>
          <w:tcPr>
            <w:tcW w:w="1088" w:type="dxa"/>
            <w:vAlign w:val="center"/>
          </w:tcPr>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408" w:type="dxa"/>
            <w:vAlign w:val="center"/>
          </w:tcPr>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p>
        </w:tc>
        <w:tc>
          <w:tcPr>
            <w:tcW w:w="1418" w:type="dxa"/>
            <w:vAlign w:val="center"/>
          </w:tcPr>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技术职称</w:t>
            </w:r>
          </w:p>
        </w:tc>
        <w:tc>
          <w:tcPr>
            <w:tcW w:w="1500" w:type="dxa"/>
            <w:vAlign w:val="center"/>
          </w:tcPr>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p>
        </w:tc>
        <w:tc>
          <w:tcPr>
            <w:tcW w:w="966" w:type="dxa"/>
            <w:gridSpan w:val="2"/>
            <w:vAlign w:val="center"/>
          </w:tcPr>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1229" w:type="dxa"/>
            <w:vAlign w:val="center"/>
          </w:tcPr>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944" w:type="dxa"/>
            <w:vAlign w:val="center"/>
          </w:tcPr>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p>
        </w:tc>
        <w:tc>
          <w:tcPr>
            <w:tcW w:w="2496" w:type="dxa"/>
            <w:gridSpan w:val="2"/>
            <w:vAlign w:val="center"/>
          </w:tcPr>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p>
        </w:tc>
        <w:tc>
          <w:tcPr>
            <w:tcW w:w="5113" w:type="dxa"/>
            <w:gridSpan w:val="5"/>
            <w:vAlign w:val="center"/>
          </w:tcPr>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5" w:hRule="atLeast"/>
          <w:jc w:val="center"/>
        </w:trPr>
        <w:tc>
          <w:tcPr>
            <w:tcW w:w="1944" w:type="dxa"/>
            <w:vAlign w:val="center"/>
          </w:tcPr>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企业资质等级</w:t>
            </w:r>
          </w:p>
        </w:tc>
        <w:tc>
          <w:tcPr>
            <w:tcW w:w="2496" w:type="dxa"/>
            <w:gridSpan w:val="2"/>
            <w:vAlign w:val="center"/>
          </w:tcPr>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p>
        </w:tc>
        <w:tc>
          <w:tcPr>
            <w:tcW w:w="1418" w:type="dxa"/>
            <w:vMerge w:val="restart"/>
            <w:vAlign w:val="center"/>
          </w:tcPr>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其中</w:t>
            </w:r>
          </w:p>
        </w:tc>
        <w:tc>
          <w:tcPr>
            <w:tcW w:w="1680" w:type="dxa"/>
            <w:gridSpan w:val="2"/>
            <w:vAlign w:val="center"/>
          </w:tcPr>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项目经理</w:t>
            </w:r>
          </w:p>
        </w:tc>
        <w:tc>
          <w:tcPr>
            <w:tcW w:w="2015" w:type="dxa"/>
            <w:gridSpan w:val="2"/>
            <w:vAlign w:val="center"/>
          </w:tcPr>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5" w:hRule="atLeast"/>
          <w:jc w:val="center"/>
        </w:trPr>
        <w:tc>
          <w:tcPr>
            <w:tcW w:w="1944" w:type="dxa"/>
            <w:vAlign w:val="center"/>
          </w:tcPr>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营业执照号</w:t>
            </w:r>
          </w:p>
        </w:tc>
        <w:tc>
          <w:tcPr>
            <w:tcW w:w="2496" w:type="dxa"/>
            <w:gridSpan w:val="2"/>
            <w:vAlign w:val="center"/>
          </w:tcPr>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p>
        </w:tc>
        <w:tc>
          <w:tcPr>
            <w:tcW w:w="1418" w:type="dxa"/>
            <w:vMerge w:val="continue"/>
            <w:vAlign w:val="center"/>
          </w:tcPr>
          <w:p>
            <w:pPr>
              <w:pageBreakBefore w:val="0"/>
              <w:kinsoku/>
              <w:wordWrap/>
              <w:overflowPunct/>
              <w:topLinePunct w:val="0"/>
              <w:bidi w:val="0"/>
              <w:spacing w:after="0" w:line="360" w:lineRule="auto"/>
              <w:rPr>
                <w:rFonts w:hint="eastAsia" w:ascii="宋体" w:hAnsi="宋体" w:eastAsia="宋体" w:cs="宋体"/>
                <w:color w:val="auto"/>
                <w:highlight w:val="none"/>
              </w:rPr>
            </w:pPr>
          </w:p>
        </w:tc>
        <w:tc>
          <w:tcPr>
            <w:tcW w:w="1680" w:type="dxa"/>
            <w:gridSpan w:val="2"/>
            <w:vAlign w:val="center"/>
          </w:tcPr>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高级职称人员</w:t>
            </w:r>
          </w:p>
        </w:tc>
        <w:tc>
          <w:tcPr>
            <w:tcW w:w="2015" w:type="dxa"/>
            <w:gridSpan w:val="2"/>
            <w:vAlign w:val="center"/>
          </w:tcPr>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5" w:hRule="atLeast"/>
          <w:jc w:val="center"/>
        </w:trPr>
        <w:tc>
          <w:tcPr>
            <w:tcW w:w="1944" w:type="dxa"/>
            <w:vAlign w:val="center"/>
          </w:tcPr>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注册资金</w:t>
            </w:r>
          </w:p>
        </w:tc>
        <w:tc>
          <w:tcPr>
            <w:tcW w:w="2496" w:type="dxa"/>
            <w:gridSpan w:val="2"/>
            <w:vAlign w:val="center"/>
          </w:tcPr>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p>
        </w:tc>
        <w:tc>
          <w:tcPr>
            <w:tcW w:w="1418" w:type="dxa"/>
            <w:vMerge w:val="continue"/>
            <w:vAlign w:val="center"/>
          </w:tcPr>
          <w:p>
            <w:pPr>
              <w:pageBreakBefore w:val="0"/>
              <w:kinsoku/>
              <w:wordWrap/>
              <w:overflowPunct/>
              <w:topLinePunct w:val="0"/>
              <w:bidi w:val="0"/>
              <w:spacing w:after="0" w:line="360" w:lineRule="auto"/>
              <w:rPr>
                <w:rFonts w:hint="eastAsia" w:ascii="宋体" w:hAnsi="宋体" w:eastAsia="宋体" w:cs="宋体"/>
                <w:color w:val="auto"/>
                <w:highlight w:val="none"/>
              </w:rPr>
            </w:pPr>
          </w:p>
        </w:tc>
        <w:tc>
          <w:tcPr>
            <w:tcW w:w="1680" w:type="dxa"/>
            <w:gridSpan w:val="2"/>
            <w:vAlign w:val="center"/>
          </w:tcPr>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中级职称人员</w:t>
            </w:r>
          </w:p>
        </w:tc>
        <w:tc>
          <w:tcPr>
            <w:tcW w:w="2015" w:type="dxa"/>
            <w:gridSpan w:val="2"/>
            <w:vAlign w:val="center"/>
          </w:tcPr>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5" w:hRule="atLeast"/>
          <w:jc w:val="center"/>
        </w:trPr>
        <w:tc>
          <w:tcPr>
            <w:tcW w:w="1944" w:type="dxa"/>
            <w:vAlign w:val="center"/>
          </w:tcPr>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tc>
        <w:tc>
          <w:tcPr>
            <w:tcW w:w="2496" w:type="dxa"/>
            <w:gridSpan w:val="2"/>
            <w:vAlign w:val="center"/>
          </w:tcPr>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p>
        </w:tc>
        <w:tc>
          <w:tcPr>
            <w:tcW w:w="1418" w:type="dxa"/>
            <w:vMerge w:val="continue"/>
            <w:vAlign w:val="center"/>
          </w:tcPr>
          <w:p>
            <w:pPr>
              <w:pageBreakBefore w:val="0"/>
              <w:kinsoku/>
              <w:wordWrap/>
              <w:overflowPunct/>
              <w:topLinePunct w:val="0"/>
              <w:bidi w:val="0"/>
              <w:spacing w:after="0" w:line="360" w:lineRule="auto"/>
              <w:rPr>
                <w:rFonts w:hint="eastAsia" w:ascii="宋体" w:hAnsi="宋体" w:eastAsia="宋体" w:cs="宋体"/>
                <w:color w:val="auto"/>
                <w:highlight w:val="none"/>
              </w:rPr>
            </w:pPr>
          </w:p>
        </w:tc>
        <w:tc>
          <w:tcPr>
            <w:tcW w:w="1680" w:type="dxa"/>
            <w:gridSpan w:val="2"/>
            <w:vAlign w:val="center"/>
          </w:tcPr>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初级职称人员</w:t>
            </w:r>
          </w:p>
        </w:tc>
        <w:tc>
          <w:tcPr>
            <w:tcW w:w="2015" w:type="dxa"/>
            <w:gridSpan w:val="2"/>
            <w:vAlign w:val="center"/>
          </w:tcPr>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944" w:type="dxa"/>
            <w:vAlign w:val="center"/>
          </w:tcPr>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账号</w:t>
            </w:r>
          </w:p>
        </w:tc>
        <w:tc>
          <w:tcPr>
            <w:tcW w:w="2496" w:type="dxa"/>
            <w:gridSpan w:val="2"/>
            <w:vAlign w:val="center"/>
          </w:tcPr>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p>
        </w:tc>
        <w:tc>
          <w:tcPr>
            <w:tcW w:w="1418" w:type="dxa"/>
            <w:vMerge w:val="continue"/>
            <w:vAlign w:val="center"/>
          </w:tcPr>
          <w:p>
            <w:pPr>
              <w:pageBreakBefore w:val="0"/>
              <w:kinsoku/>
              <w:wordWrap/>
              <w:overflowPunct/>
              <w:topLinePunct w:val="0"/>
              <w:bidi w:val="0"/>
              <w:spacing w:after="0" w:line="360" w:lineRule="auto"/>
              <w:rPr>
                <w:rFonts w:hint="eastAsia" w:ascii="宋体" w:hAnsi="宋体" w:eastAsia="宋体" w:cs="宋体"/>
                <w:color w:val="auto"/>
                <w:highlight w:val="none"/>
              </w:rPr>
            </w:pPr>
          </w:p>
        </w:tc>
        <w:tc>
          <w:tcPr>
            <w:tcW w:w="1680" w:type="dxa"/>
            <w:gridSpan w:val="2"/>
            <w:vAlign w:val="center"/>
          </w:tcPr>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技工</w:t>
            </w:r>
          </w:p>
        </w:tc>
        <w:tc>
          <w:tcPr>
            <w:tcW w:w="2015" w:type="dxa"/>
            <w:gridSpan w:val="2"/>
            <w:vAlign w:val="center"/>
          </w:tcPr>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795" w:hRule="atLeast"/>
          <w:jc w:val="center"/>
        </w:trPr>
        <w:tc>
          <w:tcPr>
            <w:tcW w:w="1944" w:type="dxa"/>
            <w:vAlign w:val="center"/>
          </w:tcPr>
          <w:p>
            <w:pPr>
              <w:pageBreakBefore w:val="0"/>
              <w:widowControl/>
              <w:kinsoku/>
              <w:wordWrap/>
              <w:overflowPunct/>
              <w:topLinePunct w:val="0"/>
              <w:bidi w:val="0"/>
              <w:spacing w:after="0"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经营范围</w:t>
            </w:r>
          </w:p>
        </w:tc>
        <w:tc>
          <w:tcPr>
            <w:tcW w:w="7609" w:type="dxa"/>
            <w:gridSpan w:val="7"/>
            <w:vAlign w:val="center"/>
          </w:tcPr>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31" w:hRule="atLeast"/>
          <w:jc w:val="center"/>
        </w:trPr>
        <w:tc>
          <w:tcPr>
            <w:tcW w:w="1944" w:type="dxa"/>
          </w:tcPr>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7609" w:type="dxa"/>
            <w:gridSpan w:val="7"/>
          </w:tcPr>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p>
        </w:tc>
      </w:tr>
    </w:tbl>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投标人名称：XXXX（盖单位公章）。</w:t>
      </w:r>
    </w:p>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投标日期：XXXX。</w:t>
      </w:r>
    </w:p>
    <w:p>
      <w:pPr>
        <w:pageBreakBefore w:val="0"/>
        <w:kinsoku/>
        <w:wordWrap/>
        <w:overflowPunct/>
        <w:topLinePunct w:val="0"/>
        <w:bidi w:val="0"/>
        <w:adjustRightInd w:val="0"/>
        <w:snapToGrid w:val="0"/>
        <w:spacing w:after="0" w:line="360" w:lineRule="auto"/>
        <w:jc w:val="left"/>
        <w:rPr>
          <w:rFonts w:hint="eastAsia" w:ascii="宋体" w:hAnsi="宋体" w:eastAsia="宋体" w:cs="宋体"/>
          <w:b/>
          <w:bCs/>
          <w:color w:val="auto"/>
          <w:sz w:val="24"/>
          <w:highlight w:val="none"/>
          <w:lang w:val="en-US" w:eastAsia="zh-CN"/>
        </w:rPr>
      </w:pPr>
      <w:bookmarkStart w:id="150" w:name="_Toc217446089"/>
      <w:r>
        <w:rPr>
          <w:rFonts w:hint="eastAsia" w:ascii="宋体" w:hAnsi="宋体" w:eastAsia="宋体" w:cs="宋体"/>
          <w:b/>
          <w:color w:val="auto"/>
          <w:sz w:val="36"/>
          <w:szCs w:val="36"/>
          <w:highlight w:val="none"/>
        </w:rPr>
        <w:br w:type="page"/>
      </w:r>
      <w:bookmarkEnd w:id="150"/>
      <w:bookmarkStart w:id="151" w:name="_Toc217446090"/>
    </w:p>
    <w:bookmarkEnd w:id="151"/>
    <w:p>
      <w:pPr>
        <w:pageBreakBefore w:val="0"/>
        <w:kinsoku/>
        <w:wordWrap/>
        <w:overflowPunct/>
        <w:topLinePunct w:val="0"/>
        <w:bidi w:val="0"/>
        <w:spacing w:after="0" w:line="360" w:lineRule="auto"/>
        <w:rPr>
          <w:rFonts w:hint="default" w:ascii="宋体" w:hAnsi="宋体" w:eastAsia="宋体" w:cs="宋体"/>
          <w:b/>
          <w:color w:val="auto"/>
          <w:sz w:val="32"/>
          <w:szCs w:val="32"/>
          <w:highlight w:val="none"/>
          <w:lang w:val="en-US" w:eastAsia="zh-CN"/>
        </w:rPr>
      </w:pPr>
      <w:bookmarkStart w:id="152" w:name="_Toc217446091"/>
      <w:r>
        <w:rPr>
          <w:rFonts w:hint="eastAsia" w:ascii="宋体" w:hAnsi="宋体" w:eastAsia="宋体" w:cs="宋体"/>
          <w:b/>
          <w:color w:val="auto"/>
          <w:sz w:val="32"/>
          <w:szCs w:val="32"/>
          <w:highlight w:val="none"/>
        </w:rPr>
        <w:t>格式2-</w:t>
      </w:r>
      <w:r>
        <w:rPr>
          <w:rFonts w:hint="eastAsia" w:ascii="宋体" w:hAnsi="宋体" w:eastAsia="宋体" w:cs="宋体"/>
          <w:b/>
          <w:color w:val="auto"/>
          <w:sz w:val="32"/>
          <w:szCs w:val="32"/>
          <w:highlight w:val="none"/>
          <w:lang w:val="en-US" w:eastAsia="zh-CN"/>
        </w:rPr>
        <w:t>9</w:t>
      </w:r>
    </w:p>
    <w:bookmarkEnd w:id="152"/>
    <w:p>
      <w:pPr>
        <w:pageBreakBefore w:val="0"/>
        <w:widowControl/>
        <w:kinsoku/>
        <w:wordWrap/>
        <w:overflowPunct/>
        <w:topLinePunct w:val="0"/>
        <w:bidi w:val="0"/>
        <w:spacing w:after="0" w:line="360" w:lineRule="auto"/>
        <w:ind w:firstLine="472" w:firstLineChars="196"/>
        <w:jc w:val="left"/>
        <w:outlineLvl w:val="1"/>
        <w:rPr>
          <w:rFonts w:hint="eastAsia" w:ascii="宋体" w:hAnsi="宋体" w:eastAsia="宋体" w:cs="宋体"/>
          <w:b/>
          <w:color w:val="auto"/>
          <w:sz w:val="24"/>
          <w:highlight w:val="none"/>
        </w:rPr>
      </w:pPr>
    </w:p>
    <w:p>
      <w:pPr>
        <w:pageBreakBefore w:val="0"/>
        <w:widowControl/>
        <w:kinsoku/>
        <w:wordWrap/>
        <w:overflowPunct/>
        <w:topLinePunct w:val="0"/>
        <w:bidi w:val="0"/>
        <w:spacing w:after="0" w:line="360" w:lineRule="auto"/>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八</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val="en-US" w:eastAsia="zh-CN"/>
        </w:rPr>
        <w:t>实施</w:t>
      </w:r>
      <w:r>
        <w:rPr>
          <w:rFonts w:hint="eastAsia" w:ascii="宋体" w:hAnsi="宋体" w:eastAsia="宋体" w:cs="宋体"/>
          <w:b/>
          <w:color w:val="auto"/>
          <w:sz w:val="32"/>
          <w:szCs w:val="32"/>
          <w:highlight w:val="none"/>
        </w:rPr>
        <w:t>方案</w:t>
      </w:r>
    </w:p>
    <w:p>
      <w:pPr>
        <w:pageBreakBefore w:val="0"/>
        <w:kinsoku/>
        <w:wordWrap/>
        <w:overflowPunct/>
        <w:topLinePunct w:val="0"/>
        <w:bidi w:val="0"/>
        <w:spacing w:after="0"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格式自拟</w:t>
      </w:r>
    </w:p>
    <w:p>
      <w:pPr>
        <w:pageBreakBefore w:val="0"/>
        <w:kinsoku/>
        <w:wordWrap/>
        <w:overflowPunct/>
        <w:topLinePunct w:val="0"/>
        <w:bidi w:val="0"/>
        <w:spacing w:after="0" w:line="360" w:lineRule="auto"/>
        <w:rPr>
          <w:rFonts w:hint="eastAsia" w:ascii="宋体" w:hAnsi="宋体" w:eastAsia="宋体" w:cs="宋体"/>
          <w:b/>
          <w:color w:val="auto"/>
          <w:sz w:val="24"/>
          <w:highlight w:val="none"/>
        </w:rPr>
      </w:pPr>
    </w:p>
    <w:p>
      <w:pPr>
        <w:pageBreakBefore w:val="0"/>
        <w:kinsoku/>
        <w:wordWrap/>
        <w:overflowPunct/>
        <w:topLinePunct w:val="0"/>
        <w:bidi w:val="0"/>
        <w:spacing w:after="0" w:line="360" w:lineRule="auto"/>
        <w:rPr>
          <w:rFonts w:hint="eastAsia" w:ascii="宋体" w:hAnsi="宋体" w:eastAsia="宋体" w:cs="宋体"/>
          <w:b/>
          <w:color w:val="auto"/>
          <w:sz w:val="24"/>
          <w:highlight w:val="none"/>
        </w:rPr>
      </w:pPr>
    </w:p>
    <w:p>
      <w:pPr>
        <w:pageBreakBefore w:val="0"/>
        <w:widowControl/>
        <w:kinsoku/>
        <w:wordWrap/>
        <w:overflowPunct/>
        <w:topLinePunct w:val="0"/>
        <w:bidi w:val="0"/>
        <w:spacing w:after="0" w:line="360" w:lineRule="auto"/>
        <w:ind w:firstLine="472" w:firstLineChars="196"/>
        <w:jc w:val="left"/>
        <w:outlineLvl w:val="1"/>
        <w:rPr>
          <w:rFonts w:hint="eastAsia" w:ascii="宋体" w:hAnsi="宋体" w:eastAsia="宋体" w:cs="宋体"/>
          <w:b/>
          <w:color w:val="auto"/>
          <w:sz w:val="24"/>
          <w:highlight w:val="none"/>
        </w:rPr>
      </w:pPr>
    </w:p>
    <w:p>
      <w:pPr>
        <w:pageBreakBefore w:val="0"/>
        <w:kinsoku/>
        <w:wordWrap/>
        <w:overflowPunct/>
        <w:topLinePunct w:val="0"/>
        <w:bidi w:val="0"/>
        <w:spacing w:after="0" w:line="360" w:lineRule="auto"/>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24"/>
          <w:highlight w:val="none"/>
        </w:rPr>
        <w:br w:type="page"/>
      </w:r>
      <w:bookmarkStart w:id="153" w:name="_Toc28495"/>
      <w:bookmarkStart w:id="154" w:name="_Toc28654"/>
      <w:r>
        <w:rPr>
          <w:rFonts w:hint="eastAsia" w:ascii="宋体" w:hAnsi="宋体" w:eastAsia="宋体" w:cs="宋体"/>
          <w:b/>
          <w:color w:val="auto"/>
          <w:sz w:val="32"/>
          <w:szCs w:val="32"/>
          <w:highlight w:val="none"/>
        </w:rPr>
        <w:t>格式2-1</w:t>
      </w:r>
      <w:r>
        <w:rPr>
          <w:rFonts w:hint="eastAsia" w:ascii="宋体" w:hAnsi="宋体" w:eastAsia="宋体" w:cs="宋体"/>
          <w:b/>
          <w:color w:val="auto"/>
          <w:sz w:val="32"/>
          <w:szCs w:val="32"/>
          <w:highlight w:val="none"/>
          <w:lang w:val="en-US" w:eastAsia="zh-CN"/>
        </w:rPr>
        <w:t>0</w:t>
      </w:r>
    </w:p>
    <w:p>
      <w:pPr>
        <w:pageBreakBefore w:val="0"/>
        <w:widowControl/>
        <w:kinsoku/>
        <w:wordWrap/>
        <w:overflowPunct/>
        <w:topLinePunct w:val="0"/>
        <w:bidi w:val="0"/>
        <w:spacing w:after="0" w:line="360" w:lineRule="auto"/>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九</w:t>
      </w:r>
      <w:r>
        <w:rPr>
          <w:rFonts w:hint="eastAsia" w:ascii="宋体" w:hAnsi="宋体" w:eastAsia="宋体" w:cs="宋体"/>
          <w:b/>
          <w:color w:val="auto"/>
          <w:sz w:val="32"/>
          <w:szCs w:val="32"/>
          <w:highlight w:val="none"/>
        </w:rPr>
        <w:t>、知识产权声明函</w:t>
      </w:r>
    </w:p>
    <w:p>
      <w:pPr>
        <w:pageBreakBefore w:val="0"/>
        <w:kinsoku/>
        <w:wordWrap/>
        <w:overflowPunct/>
        <w:topLinePunct w:val="0"/>
        <w:bidi w:val="0"/>
        <w:spacing w:after="0" w:line="360" w:lineRule="auto"/>
        <w:rPr>
          <w:rFonts w:hint="eastAsia" w:ascii="宋体" w:hAnsi="宋体" w:eastAsia="宋体" w:cs="宋体"/>
          <w:bCs/>
          <w:color w:val="auto"/>
          <w:sz w:val="24"/>
          <w:highlight w:val="none"/>
        </w:rPr>
      </w:pPr>
    </w:p>
    <w:p>
      <w:pPr>
        <w:pageBreakBefore w:val="0"/>
        <w:kinsoku/>
        <w:wordWrap/>
        <w:overflowPunct/>
        <w:topLinePunct w:val="0"/>
        <w:bidi w:val="0"/>
        <w:spacing w:after="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致：</w:t>
      </w:r>
      <w:r>
        <w:rPr>
          <w:rFonts w:hint="eastAsia" w:ascii="宋体" w:hAnsi="宋体" w:eastAsia="宋体" w:cs="宋体"/>
          <w:bCs/>
          <w:color w:val="auto"/>
          <w:sz w:val="24"/>
          <w:highlight w:val="none"/>
          <w:u w:val="single"/>
        </w:rPr>
        <w:t xml:space="preserve">          （代理机构名称）</w:t>
      </w:r>
      <w:r>
        <w:rPr>
          <w:rFonts w:hint="eastAsia" w:ascii="宋体" w:hAnsi="宋体" w:eastAsia="宋体" w:cs="宋体"/>
          <w:bCs/>
          <w:color w:val="auto"/>
          <w:sz w:val="24"/>
          <w:highlight w:val="none"/>
        </w:rPr>
        <w:t xml:space="preserve"> </w:t>
      </w:r>
    </w:p>
    <w:p>
      <w:pPr>
        <w:pageBreakBefore w:val="0"/>
        <w:kinsoku/>
        <w:wordWrap/>
        <w:overflowPunct/>
        <w:topLinePunct w:val="0"/>
        <w:bidi w:val="0"/>
        <w:spacing w:after="0" w:line="360" w:lineRule="auto"/>
        <w:ind w:firstLine="482" w:firstLineChars="200"/>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本单位</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（公司名称）参加</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（项目名称）的采购活动，现承诺声明：</w:t>
      </w:r>
      <w:r>
        <w:rPr>
          <w:rFonts w:hint="eastAsia" w:ascii="宋体" w:hAnsi="宋体" w:eastAsia="宋体" w:cs="宋体"/>
          <w:bCs/>
          <w:color w:val="auto"/>
          <w:sz w:val="24"/>
          <w:highlight w:val="none"/>
        </w:rPr>
        <w:t xml:space="preserve"> </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我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 </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2.除非招标文件特别规定，采购人享有本项目实施过程中产生的知识成果及知识产权。 </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本单位在采购项目实施过程中采用自有或者第三方知识成果的，使用该知识成果后，我单位提供开发接口和开发手册等技术资料，并承诺提供无限期支持，采购人享有使用权（含采购人委托第三方在该项目后续开发的使用权）。 </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4.如采用本单位所不拥有的知识产权，本单位承诺在本项目报价中已经包括合法获取该知识产权的相关费用。 </w:t>
      </w:r>
    </w:p>
    <w:p>
      <w:pPr>
        <w:pageBreakBefore w:val="0"/>
        <w:kinsoku/>
        <w:wordWrap/>
        <w:overflowPunct/>
        <w:topLinePunct w:val="0"/>
        <w:bidi w:val="0"/>
        <w:spacing w:after="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本单位对上述承诺声明内容事项真实性负责。如经查实上述承诺声明的内容事项存在虚假或未履行，本单位愿意接受以提供虚假材料谋取成交追究法律责任。</w:t>
      </w:r>
    </w:p>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投标人名称：XXXX（盖单位公章）。</w:t>
      </w:r>
    </w:p>
    <w:p>
      <w:pPr>
        <w:pageBreakBefore w:val="0"/>
        <w:kinsoku/>
        <w:wordWrap/>
        <w:overflowPunct/>
        <w:topLinePunct w:val="0"/>
        <w:bidi w:val="0"/>
        <w:spacing w:after="0" w:line="360" w:lineRule="auto"/>
        <w:ind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投标日期：XXXX。</w:t>
      </w:r>
    </w:p>
    <w:p>
      <w:pPr>
        <w:pageBreakBefore w:val="0"/>
        <w:kinsoku/>
        <w:wordWrap/>
        <w:overflowPunct/>
        <w:topLinePunct w:val="0"/>
        <w:bidi w:val="0"/>
        <w:spacing w:after="0" w:line="360" w:lineRule="auto"/>
        <w:rPr>
          <w:rFonts w:hint="eastAsia" w:ascii="宋体" w:hAnsi="宋体" w:eastAsia="宋体" w:cs="宋体"/>
          <w:color w:val="auto"/>
          <w:highlight w:val="none"/>
          <w:lang w:val="en-US" w:eastAsia="zh-CN"/>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格式2-1</w:t>
      </w:r>
      <w:r>
        <w:rPr>
          <w:rFonts w:hint="eastAsia" w:ascii="宋体" w:hAnsi="宋体" w:eastAsia="宋体" w:cs="宋体"/>
          <w:b/>
          <w:color w:val="auto"/>
          <w:sz w:val="32"/>
          <w:szCs w:val="32"/>
          <w:highlight w:val="none"/>
          <w:lang w:val="en-US" w:eastAsia="zh-CN"/>
        </w:rPr>
        <w:t>1</w:t>
      </w:r>
    </w:p>
    <w:p>
      <w:pPr>
        <w:pageBreakBefore w:val="0"/>
        <w:widowControl/>
        <w:kinsoku/>
        <w:wordWrap/>
        <w:overflowPunct/>
        <w:topLinePunct w:val="0"/>
        <w:bidi w:val="0"/>
        <w:spacing w:after="0" w:line="360" w:lineRule="auto"/>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十、实质性承诺函</w:t>
      </w:r>
    </w:p>
    <w:p>
      <w:pPr>
        <w:pageBreakBefore w:val="0"/>
        <w:kinsoku/>
        <w:wordWrap/>
        <w:overflowPunct/>
        <w:topLinePunct w:val="0"/>
        <w:bidi w:val="0"/>
        <w:spacing w:after="0" w:line="360" w:lineRule="auto"/>
        <w:rPr>
          <w:rFonts w:hint="eastAsia" w:ascii="宋体" w:hAnsi="宋体" w:eastAsia="宋体" w:cs="宋体"/>
          <w:color w:val="auto"/>
          <w:highlight w:val="none"/>
        </w:rPr>
      </w:pPr>
    </w:p>
    <w:p>
      <w:pPr>
        <w:pageBreakBefore w:val="0"/>
        <w:kinsoku/>
        <w:wordWrap/>
        <w:overflowPunct/>
        <w:topLinePunct w:val="0"/>
        <w:bidi w:val="0"/>
        <w:spacing w:after="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我公司作为本次采购项目的投标人，根据招标文件中规定的实质性要求，现郑重承诺完全响应本项目招标文件规定的所有实质性要求：</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1.采购预算的要求：完全响应；</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落实政府采购政策需满足的资格要求的要求：完全响应；</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.最高限价的要求：完全响应；</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.联合体投标的要求：完全响应；</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.低于成本价不正当竞争预防措施的要求：完全响应；</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.投标费用的要求：完全响应；</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.充分、公平竞争保障措施的要求：完全响应；</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.投标文件的语言的要求：完全响应；</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.计量单位的要求：完全响应；</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.投标货币的要求：完全响应；</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.知识产权的要求：完全响应；</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.投标有效期的要求：完全响应；</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highlight w:val="none"/>
        </w:rPr>
        <w:t>.投标文件的制作和签章、加密的要求：完全响应；</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.投标文件的递交的要求：完全响应；</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.投标文件的解密的要求：完全响应；</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16</w:t>
      </w:r>
      <w:r>
        <w:rPr>
          <w:rFonts w:hint="eastAsia" w:ascii="宋体" w:hAnsi="宋体" w:eastAsia="宋体" w:cs="宋体"/>
          <w:color w:val="auto"/>
          <w:sz w:val="24"/>
          <w:highlight w:val="none"/>
        </w:rPr>
        <w:t>.开标及开标程序的要求：完全响应；</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17</w:t>
      </w:r>
      <w:r>
        <w:rPr>
          <w:rFonts w:hint="eastAsia" w:ascii="宋体" w:hAnsi="宋体" w:eastAsia="宋体" w:cs="宋体"/>
          <w:color w:val="auto"/>
          <w:sz w:val="24"/>
          <w:highlight w:val="none"/>
        </w:rPr>
        <w:t>.合同分包的要求：完全响应；</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.合同转包的要求：完全响应；</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.招标文件中第六章</w:t>
      </w:r>
      <w:r>
        <w:rPr>
          <w:rFonts w:hint="eastAsia" w:ascii="宋体" w:hAnsi="宋体" w:eastAsia="宋体" w:cs="宋体"/>
          <w:bCs/>
          <w:color w:val="auto"/>
          <w:sz w:val="24"/>
          <w:highlight w:val="none"/>
        </w:rPr>
        <w:t>招标项目技术、服务、商务及其他要求</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en-US" w:eastAsia="zh-CN"/>
        </w:rPr>
        <w:t>带“★”</w:t>
      </w:r>
      <w:r>
        <w:rPr>
          <w:rFonts w:hint="eastAsia" w:ascii="宋体" w:hAnsi="宋体" w:eastAsia="宋体" w:cs="宋体"/>
          <w:color w:val="auto"/>
          <w:sz w:val="24"/>
          <w:highlight w:val="none"/>
        </w:rPr>
        <w:t>要求：完全响应；</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p>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投标人名称：XXXX（盖单位公章）。</w:t>
      </w:r>
    </w:p>
    <w:p>
      <w:pPr>
        <w:pageBreakBefore w:val="0"/>
        <w:widowControl/>
        <w:kinsoku/>
        <w:wordWrap/>
        <w:overflowPunct/>
        <w:topLinePunct w:val="0"/>
        <w:bidi w:val="0"/>
        <w:spacing w:after="0"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投标日期：XXXX。</w:t>
      </w:r>
    </w:p>
    <w:p>
      <w:pPr>
        <w:pageBreakBefore w:val="0"/>
        <w:widowControl/>
        <w:kinsoku/>
        <w:wordWrap/>
        <w:overflowPunct/>
        <w:topLinePunct w:val="0"/>
        <w:bidi w:val="0"/>
        <w:spacing w:after="0" w:line="360" w:lineRule="auto"/>
        <w:ind w:firstLine="630" w:firstLineChars="196"/>
        <w:jc w:val="left"/>
        <w:outlineLvl w:val="1"/>
        <w:rPr>
          <w:rFonts w:hint="eastAsia" w:ascii="宋体" w:hAnsi="宋体" w:eastAsia="宋体" w:cs="宋体"/>
          <w:color w:val="auto"/>
          <w:sz w:val="24"/>
          <w:highlight w:val="none"/>
        </w:rPr>
      </w:pPr>
      <w:r>
        <w:rPr>
          <w:rFonts w:hint="eastAsia" w:ascii="宋体" w:hAnsi="宋体" w:eastAsia="宋体" w:cs="宋体"/>
          <w:b/>
          <w:color w:val="auto"/>
          <w:sz w:val="32"/>
          <w:szCs w:val="32"/>
          <w:highlight w:val="none"/>
        </w:rPr>
        <w:br w:type="page"/>
      </w:r>
    </w:p>
    <w:p>
      <w:pPr>
        <w:pageBreakBefore w:val="0"/>
        <w:widowControl/>
        <w:kinsoku/>
        <w:wordWrap/>
        <w:overflowPunct/>
        <w:topLinePunct w:val="0"/>
        <w:bidi w:val="0"/>
        <w:spacing w:after="0" w:line="360" w:lineRule="auto"/>
        <w:jc w:val="left"/>
        <w:outlineLvl w:val="1"/>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格式2-1</w:t>
      </w:r>
      <w:r>
        <w:rPr>
          <w:rFonts w:hint="eastAsia" w:ascii="宋体" w:hAnsi="宋体" w:eastAsia="宋体" w:cs="宋体"/>
          <w:b/>
          <w:color w:val="auto"/>
          <w:sz w:val="32"/>
          <w:szCs w:val="32"/>
          <w:highlight w:val="none"/>
          <w:lang w:val="en-US" w:eastAsia="zh-CN"/>
        </w:rPr>
        <w:t>2</w:t>
      </w:r>
    </w:p>
    <w:p>
      <w:pPr>
        <w:pageBreakBefore w:val="0"/>
        <w:widowControl/>
        <w:kinsoku/>
        <w:wordWrap/>
        <w:overflowPunct/>
        <w:topLinePunct w:val="0"/>
        <w:bidi w:val="0"/>
        <w:spacing w:after="0" w:line="360" w:lineRule="auto"/>
        <w:jc w:val="center"/>
        <w:outlineLvl w:val="1"/>
        <w:rPr>
          <w:rFonts w:hint="eastAsia" w:ascii="宋体" w:hAnsi="宋体" w:eastAsia="宋体" w:cs="宋体"/>
          <w:b/>
          <w:color w:val="auto"/>
          <w:sz w:val="32"/>
          <w:szCs w:val="32"/>
          <w:highlight w:val="none"/>
        </w:rPr>
      </w:pPr>
    </w:p>
    <w:p>
      <w:pPr>
        <w:pageBreakBefore w:val="0"/>
        <w:widowControl/>
        <w:kinsoku/>
        <w:wordWrap/>
        <w:overflowPunct/>
        <w:topLinePunct w:val="0"/>
        <w:bidi w:val="0"/>
        <w:spacing w:after="0" w:line="360" w:lineRule="auto"/>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十</w:t>
      </w:r>
      <w:r>
        <w:rPr>
          <w:rFonts w:hint="eastAsia" w:ascii="宋体" w:hAnsi="宋体" w:eastAsia="宋体" w:cs="宋体"/>
          <w:b/>
          <w:color w:val="auto"/>
          <w:sz w:val="32"/>
          <w:szCs w:val="32"/>
          <w:highlight w:val="none"/>
          <w:lang w:val="en-US" w:eastAsia="zh-CN"/>
        </w:rPr>
        <w:t>一</w:t>
      </w:r>
      <w:r>
        <w:rPr>
          <w:rFonts w:hint="eastAsia" w:ascii="宋体" w:hAnsi="宋体" w:eastAsia="宋体" w:cs="宋体"/>
          <w:b/>
          <w:color w:val="auto"/>
          <w:sz w:val="32"/>
          <w:szCs w:val="32"/>
          <w:highlight w:val="none"/>
        </w:rPr>
        <w:t>、投标人按照招标文件要求作出的其他应答和承诺</w:t>
      </w:r>
    </w:p>
    <w:p>
      <w:pPr>
        <w:pageBreakBefore w:val="0"/>
        <w:widowControl/>
        <w:kinsoku/>
        <w:wordWrap/>
        <w:overflowPunct/>
        <w:topLinePunct w:val="0"/>
        <w:bidi w:val="0"/>
        <w:spacing w:after="0" w:line="360" w:lineRule="auto"/>
        <w:jc w:val="center"/>
        <w:outlineLvl w:val="1"/>
        <w:rPr>
          <w:rFonts w:hint="eastAsia" w:ascii="宋体" w:hAnsi="宋体" w:eastAsia="宋体" w:cs="宋体"/>
          <w:b/>
          <w:color w:val="auto"/>
          <w:sz w:val="32"/>
          <w:szCs w:val="32"/>
          <w:highlight w:val="none"/>
        </w:rPr>
      </w:pPr>
    </w:p>
    <w:p>
      <w:pPr>
        <w:pageBreakBefore w:val="0"/>
        <w:kinsoku/>
        <w:wordWrap/>
        <w:overflowPunct/>
        <w:topLinePunct w:val="0"/>
        <w:bidi w:val="0"/>
        <w:spacing w:after="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格式自拟</w:t>
      </w:r>
    </w:p>
    <w:p>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pPr>
        <w:pStyle w:val="2"/>
        <w:rPr>
          <w:rFonts w:hint="eastAsia" w:ascii="宋体" w:hAnsi="宋体" w:eastAsia="宋体" w:cs="宋体"/>
          <w:color w:val="auto"/>
          <w:highlight w:val="none"/>
        </w:rPr>
      </w:pPr>
    </w:p>
    <w:p>
      <w:pPr>
        <w:pageBreakBefore w:val="0"/>
        <w:kinsoku/>
        <w:wordWrap/>
        <w:overflowPunct/>
        <w:topLinePunct w:val="0"/>
        <w:bidi w:val="0"/>
        <w:spacing w:after="0" w:line="360" w:lineRule="auto"/>
        <w:jc w:val="left"/>
        <w:rPr>
          <w:rFonts w:hint="default"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格式</w:t>
      </w:r>
      <w:r>
        <w:rPr>
          <w:rFonts w:hint="eastAsia" w:ascii="宋体" w:hAnsi="宋体" w:eastAsia="宋体" w:cs="宋体"/>
          <w:b/>
          <w:color w:val="auto"/>
          <w:sz w:val="36"/>
          <w:szCs w:val="36"/>
          <w:highlight w:val="none"/>
          <w:lang w:val="en-US" w:eastAsia="zh-CN"/>
        </w:rPr>
        <w:t>2</w:t>
      </w:r>
      <w:r>
        <w:rPr>
          <w:rFonts w:hint="eastAsia" w:ascii="宋体" w:hAnsi="宋体" w:eastAsia="宋体" w:cs="宋体"/>
          <w:b/>
          <w:color w:val="auto"/>
          <w:sz w:val="36"/>
          <w:szCs w:val="36"/>
          <w:highlight w:val="none"/>
        </w:rPr>
        <w:t>-</w:t>
      </w:r>
      <w:r>
        <w:rPr>
          <w:rFonts w:hint="eastAsia" w:ascii="宋体" w:hAnsi="宋体" w:eastAsia="宋体" w:cs="宋体"/>
          <w:b/>
          <w:color w:val="auto"/>
          <w:sz w:val="36"/>
          <w:szCs w:val="36"/>
          <w:highlight w:val="none"/>
          <w:lang w:val="en-US" w:eastAsia="zh-CN"/>
        </w:rPr>
        <w:t>13</w:t>
      </w:r>
    </w:p>
    <w:p>
      <w:pPr>
        <w:pageBreakBefore w:val="0"/>
        <w:kinsoku/>
        <w:wordWrap/>
        <w:overflowPunct/>
        <w:topLinePunct w:val="0"/>
        <w:bidi w:val="0"/>
        <w:spacing w:after="0"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十二</w:t>
      </w:r>
      <w:r>
        <w:rPr>
          <w:rFonts w:hint="eastAsia" w:ascii="宋体" w:hAnsi="宋体" w:eastAsia="宋体" w:cs="宋体"/>
          <w:b/>
          <w:color w:val="auto"/>
          <w:sz w:val="36"/>
          <w:szCs w:val="36"/>
          <w:highlight w:val="none"/>
        </w:rPr>
        <w:t>、中小企业声明函</w:t>
      </w:r>
    </w:p>
    <w:p>
      <w:pPr>
        <w:pageBreakBefore w:val="0"/>
        <w:kinsoku/>
        <w:overflowPunct/>
        <w:bidi w:val="0"/>
        <w:spacing w:beforeAutospacing="0" w:afterAutospacing="0"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本公司郑重声明，根据《政府采购促进中小企业发展管理办法》（财库﹝2020﹞46 号）的规定，本公司参加</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（单位名称）的</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（项目名称）采购活动，提供的货物全部由符合政策要求的中小企业制造。相关企业的具体情况如下：</w:t>
      </w:r>
    </w:p>
    <w:p>
      <w:pPr>
        <w:pageBreakBefore w:val="0"/>
        <w:kinsoku/>
        <w:overflowPunct/>
        <w:bidi w:val="0"/>
        <w:spacing w:beforeAutospacing="0" w:afterAutospacing="0"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w:t>
      </w:r>
      <w:r>
        <w:rPr>
          <w:rFonts w:hint="eastAsia" w:ascii="宋体" w:hAnsi="宋体" w:eastAsia="宋体" w:cs="宋体"/>
          <w:color w:val="auto"/>
          <w:spacing w:val="6"/>
          <w:sz w:val="24"/>
          <w:highlight w:val="none"/>
          <w:u w:val="single"/>
        </w:rPr>
        <w:t xml:space="preserve">      （标的名称）</w:t>
      </w:r>
      <w:r>
        <w:rPr>
          <w:rFonts w:hint="eastAsia" w:ascii="宋体" w:hAnsi="宋体" w:eastAsia="宋体" w:cs="宋体"/>
          <w:color w:val="auto"/>
          <w:spacing w:val="6"/>
          <w:sz w:val="24"/>
          <w:highlight w:val="none"/>
        </w:rPr>
        <w:t>，属于</w:t>
      </w:r>
      <w:r>
        <w:rPr>
          <w:rFonts w:hint="eastAsia" w:ascii="宋体" w:hAnsi="宋体" w:eastAsia="宋体" w:cs="宋体"/>
          <w:color w:val="auto"/>
          <w:spacing w:val="6"/>
          <w:sz w:val="24"/>
          <w:highlight w:val="none"/>
          <w:u w:val="single"/>
        </w:rPr>
        <w:t xml:space="preserve">      （采购文件中明确的所属行业）</w:t>
      </w:r>
      <w:r>
        <w:rPr>
          <w:rFonts w:hint="eastAsia" w:ascii="宋体" w:hAnsi="宋体" w:eastAsia="宋体" w:cs="宋体"/>
          <w:color w:val="auto"/>
          <w:spacing w:val="6"/>
          <w:sz w:val="24"/>
          <w:highlight w:val="none"/>
        </w:rPr>
        <w:t>行业；制造商为</w:t>
      </w:r>
      <w:r>
        <w:rPr>
          <w:rFonts w:hint="eastAsia" w:ascii="宋体" w:hAnsi="宋体" w:eastAsia="宋体" w:cs="宋体"/>
          <w:color w:val="auto"/>
          <w:spacing w:val="6"/>
          <w:sz w:val="24"/>
          <w:highlight w:val="none"/>
          <w:u w:val="single"/>
        </w:rPr>
        <w:t xml:space="preserve">    （企业名称）</w:t>
      </w:r>
      <w:r>
        <w:rPr>
          <w:rFonts w:hint="eastAsia" w:ascii="宋体" w:hAnsi="宋体" w:eastAsia="宋体" w:cs="宋体"/>
          <w:color w:val="auto"/>
          <w:spacing w:val="6"/>
          <w:sz w:val="24"/>
          <w:highlight w:val="none"/>
        </w:rPr>
        <w:t>，从业人员</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人，营业收入为</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万元，资产总额为</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万元，属于</w:t>
      </w:r>
      <w:r>
        <w:rPr>
          <w:rFonts w:hint="eastAsia" w:ascii="宋体" w:hAnsi="宋体" w:eastAsia="宋体" w:cs="宋体"/>
          <w:color w:val="auto"/>
          <w:spacing w:val="6"/>
          <w:sz w:val="24"/>
          <w:highlight w:val="none"/>
          <w:u w:val="single"/>
        </w:rPr>
        <w:t xml:space="preserve">      （中型企业、小 型企业、微型企业）</w:t>
      </w:r>
      <w:r>
        <w:rPr>
          <w:rFonts w:hint="eastAsia" w:ascii="宋体" w:hAnsi="宋体" w:eastAsia="宋体" w:cs="宋体"/>
          <w:color w:val="auto"/>
          <w:spacing w:val="6"/>
          <w:sz w:val="24"/>
          <w:highlight w:val="none"/>
        </w:rPr>
        <w:t>；</w:t>
      </w:r>
    </w:p>
    <w:p>
      <w:pPr>
        <w:pageBreakBefore w:val="0"/>
        <w:kinsoku/>
        <w:overflowPunct/>
        <w:bidi w:val="0"/>
        <w:spacing w:beforeAutospacing="0" w:afterAutospacing="0"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2.</w:t>
      </w:r>
      <w:r>
        <w:rPr>
          <w:rFonts w:hint="eastAsia" w:ascii="宋体" w:hAnsi="宋体" w:eastAsia="宋体" w:cs="宋体"/>
          <w:color w:val="auto"/>
          <w:spacing w:val="6"/>
          <w:sz w:val="24"/>
          <w:highlight w:val="none"/>
          <w:u w:val="single"/>
        </w:rPr>
        <w:t xml:space="preserve">      （标的名称）</w:t>
      </w:r>
      <w:r>
        <w:rPr>
          <w:rFonts w:hint="eastAsia" w:ascii="宋体" w:hAnsi="宋体" w:eastAsia="宋体" w:cs="宋体"/>
          <w:color w:val="auto"/>
          <w:spacing w:val="6"/>
          <w:sz w:val="24"/>
          <w:highlight w:val="none"/>
        </w:rPr>
        <w:t>，属于</w:t>
      </w:r>
      <w:r>
        <w:rPr>
          <w:rFonts w:hint="eastAsia" w:ascii="宋体" w:hAnsi="宋体" w:eastAsia="宋体" w:cs="宋体"/>
          <w:color w:val="auto"/>
          <w:spacing w:val="6"/>
          <w:sz w:val="24"/>
          <w:highlight w:val="none"/>
          <w:u w:val="single"/>
        </w:rPr>
        <w:t xml:space="preserve">        （采购文件中明确的所属行业）</w:t>
      </w:r>
      <w:r>
        <w:rPr>
          <w:rFonts w:hint="eastAsia" w:ascii="宋体" w:hAnsi="宋体" w:eastAsia="宋体" w:cs="宋体"/>
          <w:color w:val="auto"/>
          <w:spacing w:val="6"/>
          <w:sz w:val="24"/>
          <w:highlight w:val="none"/>
        </w:rPr>
        <w:t>行业；制造商为</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（企业名称），从业人员</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人，营业收入为</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万元，资产总额为</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万元，属于</w:t>
      </w:r>
      <w:r>
        <w:rPr>
          <w:rFonts w:hint="eastAsia" w:ascii="宋体" w:hAnsi="宋体" w:eastAsia="宋体" w:cs="宋体"/>
          <w:color w:val="auto"/>
          <w:spacing w:val="6"/>
          <w:sz w:val="24"/>
          <w:highlight w:val="none"/>
          <w:u w:val="single"/>
        </w:rPr>
        <w:t xml:space="preserve">      （中型企业、小型 企业、微型企业）</w:t>
      </w:r>
      <w:r>
        <w:rPr>
          <w:rFonts w:hint="eastAsia" w:ascii="宋体" w:hAnsi="宋体" w:eastAsia="宋体" w:cs="宋体"/>
          <w:color w:val="auto"/>
          <w:spacing w:val="6"/>
          <w:sz w:val="24"/>
          <w:highlight w:val="none"/>
        </w:rPr>
        <w:t xml:space="preserve">； </w:t>
      </w:r>
    </w:p>
    <w:p>
      <w:pPr>
        <w:pageBreakBefore w:val="0"/>
        <w:kinsoku/>
        <w:overflowPunct/>
        <w:bidi w:val="0"/>
        <w:spacing w:beforeAutospacing="0" w:afterAutospacing="0"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w:t>
      </w:r>
    </w:p>
    <w:p>
      <w:pPr>
        <w:pageBreakBefore w:val="0"/>
        <w:kinsoku/>
        <w:overflowPunct/>
        <w:bidi w:val="0"/>
        <w:spacing w:beforeAutospacing="0" w:afterAutospacing="0"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以上企业，不属于大企业的分支机构，不存在控股股东 为大企业的情形，也不存在与大企业的负责人为同一人的情形。</w:t>
      </w:r>
    </w:p>
    <w:p>
      <w:pPr>
        <w:pageBreakBefore w:val="0"/>
        <w:kinsoku/>
        <w:overflowPunct/>
        <w:bidi w:val="0"/>
        <w:spacing w:beforeAutospacing="0" w:afterAutospacing="0"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本企业对上述声明内容的真实性负责。如有虚假，将依法承担相应责任。 </w:t>
      </w:r>
    </w:p>
    <w:p>
      <w:pPr>
        <w:pageBreakBefore w:val="0"/>
        <w:kinsoku/>
        <w:overflowPunct/>
        <w:bidi w:val="0"/>
        <w:spacing w:beforeAutospacing="0" w:afterAutospacing="0"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企业名称（盖章）： </w:t>
      </w:r>
    </w:p>
    <w:p>
      <w:pPr>
        <w:pageBreakBefore w:val="0"/>
        <w:kinsoku/>
        <w:overflowPunct/>
        <w:bidi w:val="0"/>
        <w:spacing w:beforeAutospacing="0" w:afterAutospacing="0"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日 期：</w:t>
      </w:r>
    </w:p>
    <w:p>
      <w:pPr>
        <w:pageBreakBefore w:val="0"/>
        <w:kinsoku/>
        <w:wordWrap/>
        <w:overflowPunct/>
        <w:topLinePunct w:val="0"/>
        <w:bidi w:val="0"/>
        <w:spacing w:after="0"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highlight w:val="none"/>
        </w:rPr>
        <w:t>注：1.</w:t>
      </w:r>
      <w:r>
        <w:rPr>
          <w:rFonts w:hint="eastAsia" w:ascii="宋体" w:hAnsi="宋体" w:eastAsia="宋体" w:cs="宋体"/>
          <w:color w:val="auto"/>
          <w:spacing w:val="6"/>
          <w:sz w:val="24"/>
          <w:highlight w:val="none"/>
        </w:rPr>
        <w:t>从业</w:t>
      </w:r>
      <w:r>
        <w:rPr>
          <w:rFonts w:hint="eastAsia" w:ascii="宋体" w:hAnsi="宋体" w:eastAsia="宋体" w:cs="宋体"/>
          <w:color w:val="auto"/>
          <w:highlight w:val="none"/>
        </w:rPr>
        <w:t>人员、</w:t>
      </w:r>
      <w:r>
        <w:rPr>
          <w:rFonts w:hint="eastAsia" w:ascii="宋体" w:hAnsi="宋体" w:eastAsia="宋体" w:cs="宋体"/>
          <w:color w:val="auto"/>
          <w:spacing w:val="6"/>
          <w:sz w:val="24"/>
          <w:highlight w:val="none"/>
        </w:rPr>
        <w:t>营业收入、资产总额填报上一年度数据，无上一年度数据的新成立企业可不填报。</w:t>
      </w:r>
    </w:p>
    <w:p>
      <w:pPr>
        <w:pageBreakBefore w:val="0"/>
        <w:kinsoku/>
        <w:wordWrap/>
        <w:overflowPunct/>
        <w:topLinePunct w:val="0"/>
        <w:bidi w:val="0"/>
        <w:spacing w:after="0" w:line="360" w:lineRule="auto"/>
        <w:rPr>
          <w:rFonts w:hint="eastAsia" w:ascii="宋体" w:hAnsi="宋体" w:eastAsia="宋体" w:cs="宋体"/>
          <w:color w:val="auto"/>
          <w:sz w:val="24"/>
          <w:highlight w:val="none"/>
        </w:rPr>
      </w:pPr>
    </w:p>
    <w:p>
      <w:pPr>
        <w:pageBreakBefore w:val="0"/>
        <w:kinsoku/>
        <w:wordWrap/>
        <w:overflowPunct/>
        <w:topLinePunct w:val="0"/>
        <w:bidi w:val="0"/>
        <w:spacing w:after="0" w:line="360" w:lineRule="auto"/>
        <w:jc w:val="center"/>
        <w:rPr>
          <w:rFonts w:hint="eastAsia" w:ascii="宋体" w:hAnsi="宋体" w:eastAsia="宋体" w:cs="宋体"/>
          <w:b/>
          <w:color w:val="auto"/>
          <w:sz w:val="24"/>
          <w:highlight w:val="none"/>
        </w:rPr>
      </w:pPr>
    </w:p>
    <w:p>
      <w:pPr>
        <w:pageBreakBefore w:val="0"/>
        <w:kinsoku/>
        <w:wordWrap/>
        <w:overflowPunct/>
        <w:topLinePunct w:val="0"/>
        <w:bidi w:val="0"/>
        <w:spacing w:after="0" w:line="360" w:lineRule="auto"/>
        <w:jc w:val="center"/>
        <w:rPr>
          <w:rFonts w:hint="eastAsia" w:ascii="宋体" w:hAnsi="宋体" w:eastAsia="宋体" w:cs="宋体"/>
          <w:b/>
          <w:color w:val="auto"/>
          <w:sz w:val="24"/>
          <w:highlight w:val="none"/>
        </w:rPr>
      </w:pPr>
    </w:p>
    <w:p>
      <w:pPr>
        <w:pageBreakBefore w:val="0"/>
        <w:kinsoku/>
        <w:wordWrap/>
        <w:overflowPunct/>
        <w:topLinePunct w:val="0"/>
        <w:bidi w:val="0"/>
        <w:spacing w:after="0" w:line="360" w:lineRule="auto"/>
        <w:jc w:val="center"/>
        <w:rPr>
          <w:rFonts w:hint="eastAsia" w:ascii="宋体" w:hAnsi="宋体" w:eastAsia="宋体" w:cs="宋体"/>
          <w:b/>
          <w:color w:val="auto"/>
          <w:sz w:val="24"/>
          <w:highlight w:val="none"/>
        </w:rPr>
      </w:pPr>
    </w:p>
    <w:p>
      <w:pPr>
        <w:pageBreakBefore w:val="0"/>
        <w:kinsoku/>
        <w:wordWrap/>
        <w:overflowPunct/>
        <w:topLinePunct w:val="0"/>
        <w:bidi w:val="0"/>
        <w:spacing w:after="0" w:line="360" w:lineRule="auto"/>
        <w:jc w:val="center"/>
        <w:rPr>
          <w:rFonts w:hint="eastAsia" w:ascii="宋体" w:hAnsi="宋体" w:eastAsia="宋体" w:cs="宋体"/>
          <w:b/>
          <w:color w:val="auto"/>
          <w:sz w:val="24"/>
          <w:highlight w:val="none"/>
        </w:rPr>
      </w:pPr>
    </w:p>
    <w:p>
      <w:pPr>
        <w:pageBreakBefore w:val="0"/>
        <w:widowControl/>
        <w:kinsoku/>
        <w:wordWrap/>
        <w:overflowPunct/>
        <w:topLinePunct w:val="0"/>
        <w:bidi w:val="0"/>
        <w:spacing w:after="0" w:line="360" w:lineRule="auto"/>
        <w:outlineLvl w:val="1"/>
        <w:rPr>
          <w:rFonts w:hint="eastAsia" w:ascii="宋体" w:hAnsi="宋体" w:eastAsia="宋体" w:cs="宋体"/>
          <w:b/>
          <w:color w:val="auto"/>
          <w:sz w:val="32"/>
          <w:szCs w:val="32"/>
          <w:highlight w:val="none"/>
        </w:rPr>
      </w:pPr>
    </w:p>
    <w:p>
      <w:pPr>
        <w:pageBreakBefore w:val="0"/>
        <w:widowControl/>
        <w:kinsoku/>
        <w:wordWrap/>
        <w:overflowPunct/>
        <w:topLinePunct w:val="0"/>
        <w:bidi w:val="0"/>
        <w:spacing w:after="0" w:line="360" w:lineRule="auto"/>
        <w:outlineLvl w:val="1"/>
        <w:rPr>
          <w:rFonts w:hint="eastAsia" w:ascii="宋体" w:hAnsi="宋体" w:eastAsia="宋体" w:cs="宋体"/>
          <w:b/>
          <w:color w:val="auto"/>
          <w:sz w:val="32"/>
          <w:szCs w:val="32"/>
          <w:highlight w:val="none"/>
        </w:rPr>
      </w:pPr>
    </w:p>
    <w:p>
      <w:pPr>
        <w:pageBreakBefore w:val="0"/>
        <w:widowControl/>
        <w:kinsoku/>
        <w:wordWrap/>
        <w:overflowPunct/>
        <w:topLinePunct w:val="0"/>
        <w:bidi w:val="0"/>
        <w:spacing w:after="0" w:line="360" w:lineRule="auto"/>
        <w:outlineLvl w:val="1"/>
        <w:rPr>
          <w:rFonts w:hint="eastAsia" w:ascii="宋体" w:hAnsi="宋体" w:eastAsia="宋体" w:cs="宋体"/>
          <w:b/>
          <w:color w:val="auto"/>
          <w:sz w:val="32"/>
          <w:szCs w:val="32"/>
          <w:highlight w:val="none"/>
        </w:rPr>
      </w:pPr>
    </w:p>
    <w:p>
      <w:pPr>
        <w:pageBreakBefore w:val="0"/>
        <w:widowControl/>
        <w:kinsoku/>
        <w:wordWrap/>
        <w:overflowPunct/>
        <w:topLinePunct w:val="0"/>
        <w:bidi w:val="0"/>
        <w:spacing w:after="0" w:line="360" w:lineRule="auto"/>
        <w:outlineLvl w:val="1"/>
        <w:rPr>
          <w:rFonts w:hint="eastAsia" w:ascii="宋体" w:hAnsi="宋体" w:eastAsia="宋体" w:cs="宋体"/>
          <w:b/>
          <w:color w:val="auto"/>
          <w:sz w:val="32"/>
          <w:szCs w:val="32"/>
          <w:highlight w:val="none"/>
        </w:rPr>
      </w:pPr>
    </w:p>
    <w:p>
      <w:pPr>
        <w:pageBreakBefore w:val="0"/>
        <w:widowControl/>
        <w:kinsoku/>
        <w:wordWrap/>
        <w:overflowPunct/>
        <w:topLinePunct w:val="0"/>
        <w:bidi w:val="0"/>
        <w:spacing w:after="0" w:line="360" w:lineRule="auto"/>
        <w:outlineLvl w:val="1"/>
        <w:rPr>
          <w:rFonts w:hint="default"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格式</w:t>
      </w:r>
      <w:r>
        <w:rPr>
          <w:rFonts w:hint="eastAsia" w:ascii="宋体" w:hAnsi="宋体" w:eastAsia="宋体" w:cs="宋体"/>
          <w:b/>
          <w:color w:val="auto"/>
          <w:sz w:val="32"/>
          <w:szCs w:val="32"/>
          <w:highlight w:val="none"/>
          <w:lang w:val="en-US" w:eastAsia="zh-CN"/>
        </w:rPr>
        <w:t>2</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val="en-US" w:eastAsia="zh-CN"/>
        </w:rPr>
        <w:t>14</w:t>
      </w:r>
    </w:p>
    <w:p>
      <w:pPr>
        <w:pageBreakBefore w:val="0"/>
        <w:widowControl/>
        <w:kinsoku/>
        <w:wordWrap/>
        <w:overflowPunct/>
        <w:topLinePunct w:val="0"/>
        <w:bidi w:val="0"/>
        <w:spacing w:after="0" w:line="360" w:lineRule="auto"/>
        <w:jc w:val="center"/>
        <w:outlineLvl w:val="1"/>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lang w:val="en-US" w:eastAsia="zh-CN"/>
        </w:rPr>
        <w:t>十三</w:t>
      </w:r>
      <w:r>
        <w:rPr>
          <w:rFonts w:hint="eastAsia" w:ascii="宋体" w:hAnsi="宋体" w:eastAsia="宋体" w:cs="宋体"/>
          <w:b/>
          <w:color w:val="auto"/>
          <w:sz w:val="32"/>
          <w:szCs w:val="32"/>
          <w:highlight w:val="none"/>
        </w:rPr>
        <w:t>、 残疾人福利性单位声明函</w:t>
      </w:r>
    </w:p>
    <w:p>
      <w:pPr>
        <w:pageBreakBefore w:val="0"/>
        <w:kinsoku/>
        <w:wordWrap/>
        <w:overflowPunct/>
        <w:topLinePunct w:val="0"/>
        <w:bidi w:val="0"/>
        <w:spacing w:after="0" w:line="360" w:lineRule="auto"/>
        <w:rPr>
          <w:rFonts w:hint="eastAsia" w:ascii="宋体" w:hAnsi="宋体" w:eastAsia="宋体" w:cs="宋体"/>
          <w:b/>
          <w:color w:val="auto"/>
          <w:spacing w:val="6"/>
          <w:sz w:val="24"/>
          <w:highlight w:val="none"/>
        </w:rPr>
      </w:pPr>
    </w:p>
    <w:p>
      <w:pPr>
        <w:pageBreakBefore w:val="0"/>
        <w:kinsoku/>
        <w:wordWrap/>
        <w:overflowPunct/>
        <w:topLinePunct w:val="0"/>
        <w:bidi w:val="0"/>
        <w:spacing w:after="0"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本单位郑重声明，根据《财政部民政部中国残疾人联合会关于促进残疾人就业政府采购政策的通知》（财库</w:t>
      </w:r>
      <w:r>
        <w:rPr>
          <w:rFonts w:hint="eastAsia" w:ascii="宋体" w:hAnsi="宋体" w:eastAsia="宋体" w:cs="宋体"/>
          <w:color w:val="auto"/>
          <w:sz w:val="24"/>
          <w:highlight w:val="none"/>
        </w:rPr>
        <w:t>〔2017〕 141</w:t>
      </w:r>
      <w:r>
        <w:rPr>
          <w:rFonts w:hint="eastAsia" w:ascii="宋体" w:hAnsi="宋体" w:eastAsia="宋体" w:cs="宋体"/>
          <w:color w:val="auto"/>
          <w:spacing w:val="6"/>
          <w:sz w:val="24"/>
          <w:highlight w:val="none"/>
        </w:rPr>
        <w:t>号）的规定，本单位为符合条件的残疾人福利性单位，且本单位参加</w:t>
      </w:r>
      <w:r>
        <w:rPr>
          <w:rFonts w:hint="eastAsia" w:ascii="宋体" w:hAnsi="宋体" w:eastAsia="宋体" w:cs="宋体"/>
          <w:color w:val="auto"/>
          <w:sz w:val="24"/>
          <w:highlight w:val="none"/>
          <w:u w:val="single"/>
        </w:rPr>
        <w:t>XXXX</w:t>
      </w:r>
      <w:r>
        <w:rPr>
          <w:rFonts w:hint="eastAsia" w:ascii="宋体" w:hAnsi="宋体" w:eastAsia="宋体" w:cs="宋体"/>
          <w:color w:val="auto"/>
          <w:spacing w:val="6"/>
          <w:sz w:val="24"/>
          <w:highlight w:val="none"/>
        </w:rPr>
        <w:t>单位的</w:t>
      </w:r>
      <w:r>
        <w:rPr>
          <w:rFonts w:hint="eastAsia" w:ascii="宋体" w:hAnsi="宋体" w:eastAsia="宋体" w:cs="宋体"/>
          <w:color w:val="auto"/>
          <w:sz w:val="24"/>
          <w:highlight w:val="none"/>
          <w:u w:val="single"/>
        </w:rPr>
        <w:t>XXXX</w:t>
      </w:r>
      <w:r>
        <w:rPr>
          <w:rFonts w:hint="eastAsia" w:ascii="宋体" w:hAnsi="宋体" w:eastAsia="宋体" w:cs="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pageBreakBefore w:val="0"/>
        <w:kinsoku/>
        <w:wordWrap/>
        <w:overflowPunct/>
        <w:topLinePunct w:val="0"/>
        <w:bidi w:val="0"/>
        <w:spacing w:after="0"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pPr>
        <w:pageBreakBefore w:val="0"/>
        <w:kinsoku/>
        <w:wordWrap/>
        <w:overflowPunct/>
        <w:topLinePunct w:val="0"/>
        <w:bidi w:val="0"/>
        <w:spacing w:after="0" w:line="360" w:lineRule="auto"/>
        <w:rPr>
          <w:rFonts w:hint="eastAsia" w:ascii="宋体" w:hAnsi="宋体" w:eastAsia="宋体" w:cs="宋体"/>
          <w:color w:val="auto"/>
          <w:spacing w:val="6"/>
          <w:sz w:val="24"/>
          <w:highlight w:val="none"/>
        </w:rPr>
      </w:pPr>
    </w:p>
    <w:p>
      <w:pPr>
        <w:pageBreakBefore w:val="0"/>
        <w:kinsoku/>
        <w:wordWrap/>
        <w:overflowPunct/>
        <w:topLinePunct w:val="0"/>
        <w:bidi w:val="0"/>
        <w:spacing w:after="0" w:line="360" w:lineRule="auto"/>
        <w:rPr>
          <w:rFonts w:hint="eastAsia" w:ascii="宋体" w:hAnsi="宋体" w:eastAsia="宋体" w:cs="宋体"/>
          <w:color w:val="auto"/>
          <w:spacing w:val="6"/>
          <w:sz w:val="24"/>
          <w:highlight w:val="none"/>
        </w:rPr>
      </w:pP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单位名称：XXXX（盖单位公章）</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日期：XXXX</w:t>
      </w:r>
    </w:p>
    <w:p>
      <w:pPr>
        <w:pageBreakBefore w:val="0"/>
        <w:kinsoku/>
        <w:wordWrap/>
        <w:overflowPunct/>
        <w:topLinePunct w:val="0"/>
        <w:bidi w:val="0"/>
        <w:spacing w:after="0" w:line="360" w:lineRule="auto"/>
        <w:rPr>
          <w:rFonts w:hint="eastAsia" w:ascii="宋体" w:hAnsi="宋体" w:eastAsia="宋体" w:cs="宋体"/>
          <w:color w:val="auto"/>
          <w:sz w:val="24"/>
          <w:highlight w:val="none"/>
        </w:rPr>
      </w:pPr>
    </w:p>
    <w:p>
      <w:pPr>
        <w:pageBreakBefore w:val="0"/>
        <w:kinsoku/>
        <w:wordWrap/>
        <w:overflowPunct/>
        <w:topLinePunct w:val="0"/>
        <w:bidi w:val="0"/>
        <w:spacing w:after="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pageBreakBefore w:val="0"/>
        <w:numPr>
          <w:ilvl w:val="0"/>
          <w:numId w:val="8"/>
        </w:numPr>
        <w:kinsoku/>
        <w:wordWrap/>
        <w:overflowPunct/>
        <w:topLinePunct w:val="0"/>
        <w:bidi w:val="0"/>
        <w:spacing w:after="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残疾人福利性单位视同小型、微型企业，享受预留份额、评审中价格扣除等促进中小企业发展的政府采购政策。残疾人福利性单位属于小型、微型企业的，不重复享受政策。</w:t>
      </w:r>
    </w:p>
    <w:p>
      <w:pPr>
        <w:pageBreakBefore w:val="0"/>
        <w:numPr>
          <w:ilvl w:val="0"/>
          <w:numId w:val="8"/>
        </w:numPr>
        <w:kinsoku/>
        <w:wordWrap/>
        <w:overflowPunct/>
        <w:topLinePunct w:val="0"/>
        <w:bidi w:val="0"/>
        <w:spacing w:after="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投标人为非残疾人福利性单位的，可不提供此声明。</w:t>
      </w:r>
    </w:p>
    <w:p>
      <w:pPr>
        <w:pStyle w:val="2"/>
        <w:pageBreakBefore w:val="0"/>
        <w:kinsoku/>
        <w:wordWrap/>
        <w:overflowPunct/>
        <w:topLinePunct w:val="0"/>
        <w:bidi w:val="0"/>
        <w:spacing w:after="0" w:line="360" w:lineRule="auto"/>
        <w:rPr>
          <w:rFonts w:hint="eastAsia" w:ascii="宋体" w:hAnsi="宋体" w:eastAsia="宋体" w:cs="宋体"/>
          <w:color w:val="auto"/>
          <w:highlight w:val="none"/>
        </w:rPr>
      </w:pPr>
    </w:p>
    <w:p>
      <w:pPr>
        <w:pageBreakBefore w:val="0"/>
        <w:kinsoku/>
        <w:wordWrap/>
        <w:overflowPunct/>
        <w:topLinePunct w:val="0"/>
        <w:bidi w:val="0"/>
        <w:spacing w:after="0" w:line="360" w:lineRule="auto"/>
        <w:rPr>
          <w:rFonts w:hint="eastAsia" w:ascii="宋体" w:hAnsi="宋体" w:eastAsia="宋体" w:cs="宋体"/>
          <w:color w:val="auto"/>
          <w:highlight w:val="none"/>
        </w:rPr>
      </w:pPr>
    </w:p>
    <w:p>
      <w:pPr>
        <w:pStyle w:val="2"/>
        <w:pageBreakBefore w:val="0"/>
        <w:kinsoku/>
        <w:wordWrap/>
        <w:overflowPunct/>
        <w:topLinePunct w:val="0"/>
        <w:bidi w:val="0"/>
        <w:spacing w:after="0" w:line="360" w:lineRule="auto"/>
        <w:rPr>
          <w:rFonts w:hint="eastAsia" w:ascii="宋体" w:hAnsi="宋体" w:eastAsia="宋体" w:cs="宋体"/>
          <w:color w:val="auto"/>
          <w:highlight w:val="none"/>
        </w:rPr>
      </w:pPr>
    </w:p>
    <w:p>
      <w:pPr>
        <w:pageBreakBefore w:val="0"/>
        <w:kinsoku/>
        <w:wordWrap/>
        <w:overflowPunct/>
        <w:topLinePunct w:val="0"/>
        <w:bidi w:val="0"/>
        <w:spacing w:after="0" w:line="360" w:lineRule="auto"/>
        <w:rPr>
          <w:rFonts w:hint="eastAsia" w:ascii="宋体" w:hAnsi="宋体" w:eastAsia="宋体" w:cs="宋体"/>
          <w:color w:val="auto"/>
          <w:highlight w:val="none"/>
        </w:rPr>
      </w:pPr>
    </w:p>
    <w:p>
      <w:pPr>
        <w:pStyle w:val="2"/>
        <w:pageBreakBefore w:val="0"/>
        <w:kinsoku/>
        <w:wordWrap/>
        <w:overflowPunct/>
        <w:topLinePunct w:val="0"/>
        <w:bidi w:val="0"/>
        <w:spacing w:after="0" w:line="360" w:lineRule="auto"/>
        <w:rPr>
          <w:rFonts w:hint="eastAsia" w:ascii="宋体" w:hAnsi="宋体" w:eastAsia="宋体" w:cs="宋体"/>
          <w:color w:val="auto"/>
          <w:highlight w:val="none"/>
        </w:rPr>
      </w:pPr>
    </w:p>
    <w:p>
      <w:pPr>
        <w:pStyle w:val="2"/>
        <w:pageBreakBefore w:val="0"/>
        <w:kinsoku/>
        <w:wordWrap/>
        <w:overflowPunct/>
        <w:topLinePunct w:val="0"/>
        <w:bidi w:val="0"/>
        <w:spacing w:after="0" w:line="360" w:lineRule="auto"/>
        <w:rPr>
          <w:rFonts w:hint="eastAsia" w:ascii="宋体" w:hAnsi="宋体" w:eastAsia="宋体" w:cs="宋体"/>
          <w:color w:val="auto"/>
          <w:highlight w:val="none"/>
        </w:rPr>
      </w:pPr>
    </w:p>
    <w:p>
      <w:pPr>
        <w:pageBreakBefore w:val="0"/>
        <w:widowControl/>
        <w:kinsoku/>
        <w:wordWrap/>
        <w:overflowPunct/>
        <w:topLinePunct w:val="0"/>
        <w:bidi w:val="0"/>
        <w:spacing w:after="0" w:line="360" w:lineRule="auto"/>
        <w:jc w:val="left"/>
        <w:outlineLvl w:val="1"/>
        <w:rPr>
          <w:rFonts w:hint="eastAsia" w:ascii="宋体" w:hAnsi="宋体" w:eastAsia="宋体" w:cs="宋体"/>
          <w:b/>
          <w:color w:val="auto"/>
          <w:sz w:val="32"/>
          <w:szCs w:val="32"/>
          <w:highlight w:val="none"/>
        </w:rPr>
      </w:pPr>
    </w:p>
    <w:p>
      <w:pPr>
        <w:pageBreakBefore w:val="0"/>
        <w:widowControl/>
        <w:kinsoku/>
        <w:wordWrap/>
        <w:overflowPunct/>
        <w:topLinePunct w:val="0"/>
        <w:bidi w:val="0"/>
        <w:spacing w:after="0" w:line="360" w:lineRule="auto"/>
        <w:jc w:val="left"/>
        <w:outlineLvl w:val="1"/>
        <w:rPr>
          <w:rFonts w:hint="eastAsia" w:ascii="宋体" w:hAnsi="宋体" w:eastAsia="宋体" w:cs="宋体"/>
          <w:b/>
          <w:color w:val="auto"/>
          <w:sz w:val="32"/>
          <w:szCs w:val="32"/>
          <w:highlight w:val="none"/>
        </w:rPr>
      </w:pPr>
    </w:p>
    <w:p>
      <w:pPr>
        <w:pageBreakBefore w:val="0"/>
        <w:widowControl/>
        <w:kinsoku/>
        <w:wordWrap/>
        <w:overflowPunct/>
        <w:topLinePunct w:val="0"/>
        <w:bidi w:val="0"/>
        <w:spacing w:after="0" w:line="360" w:lineRule="auto"/>
        <w:jc w:val="left"/>
        <w:outlineLvl w:val="1"/>
        <w:rPr>
          <w:rFonts w:hint="eastAsia" w:ascii="宋体" w:hAnsi="宋体" w:eastAsia="宋体" w:cs="宋体"/>
          <w:b/>
          <w:color w:val="auto"/>
          <w:sz w:val="32"/>
          <w:szCs w:val="32"/>
          <w:highlight w:val="none"/>
        </w:rPr>
      </w:pPr>
    </w:p>
    <w:p>
      <w:pPr>
        <w:pageBreakBefore w:val="0"/>
        <w:widowControl/>
        <w:kinsoku/>
        <w:wordWrap/>
        <w:overflowPunct/>
        <w:topLinePunct w:val="0"/>
        <w:bidi w:val="0"/>
        <w:spacing w:after="0" w:line="360" w:lineRule="auto"/>
        <w:jc w:val="left"/>
        <w:outlineLvl w:val="1"/>
        <w:rPr>
          <w:rFonts w:hint="eastAsia" w:ascii="宋体" w:hAnsi="宋体" w:eastAsia="宋体" w:cs="宋体"/>
          <w:b/>
          <w:color w:val="auto"/>
          <w:sz w:val="32"/>
          <w:szCs w:val="32"/>
          <w:highlight w:val="none"/>
        </w:rPr>
      </w:pPr>
    </w:p>
    <w:p>
      <w:pPr>
        <w:pageBreakBefore w:val="0"/>
        <w:widowControl/>
        <w:kinsoku/>
        <w:wordWrap/>
        <w:overflowPunct/>
        <w:topLinePunct w:val="0"/>
        <w:bidi w:val="0"/>
        <w:spacing w:after="0" w:line="360" w:lineRule="auto"/>
        <w:jc w:val="left"/>
        <w:outlineLvl w:val="1"/>
        <w:rPr>
          <w:rFonts w:hint="eastAsia" w:ascii="宋体" w:hAnsi="宋体" w:eastAsia="宋体" w:cs="宋体"/>
          <w:b/>
          <w:color w:val="auto"/>
          <w:sz w:val="32"/>
          <w:szCs w:val="32"/>
          <w:highlight w:val="none"/>
        </w:rPr>
      </w:pPr>
    </w:p>
    <w:p>
      <w:pPr>
        <w:pageBreakBefore w:val="0"/>
        <w:widowControl/>
        <w:kinsoku/>
        <w:wordWrap/>
        <w:overflowPunct/>
        <w:topLinePunct w:val="0"/>
        <w:bidi w:val="0"/>
        <w:spacing w:after="0" w:line="360" w:lineRule="auto"/>
        <w:jc w:val="left"/>
        <w:outlineLvl w:val="1"/>
        <w:rPr>
          <w:rFonts w:hint="default"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格式</w:t>
      </w:r>
      <w:r>
        <w:rPr>
          <w:rFonts w:hint="eastAsia" w:ascii="宋体" w:hAnsi="宋体" w:eastAsia="宋体" w:cs="宋体"/>
          <w:b/>
          <w:color w:val="auto"/>
          <w:sz w:val="32"/>
          <w:szCs w:val="32"/>
          <w:highlight w:val="none"/>
          <w:lang w:val="en-US" w:eastAsia="zh-CN"/>
        </w:rPr>
        <w:t>2-15</w:t>
      </w:r>
    </w:p>
    <w:p>
      <w:pPr>
        <w:pageBreakBefore w:val="0"/>
        <w:widowControl/>
        <w:kinsoku/>
        <w:wordWrap/>
        <w:overflowPunct/>
        <w:topLinePunct w:val="0"/>
        <w:bidi w:val="0"/>
        <w:spacing w:after="0" w:line="360" w:lineRule="auto"/>
        <w:jc w:val="center"/>
        <w:outlineLvl w:val="1"/>
        <w:rPr>
          <w:rFonts w:hint="eastAsia" w:ascii="宋体" w:hAnsi="宋体" w:eastAsia="宋体" w:cs="宋体"/>
          <w:color w:val="auto"/>
          <w:spacing w:val="6"/>
          <w:sz w:val="24"/>
          <w:highlight w:val="none"/>
        </w:rPr>
      </w:pPr>
      <w:r>
        <w:rPr>
          <w:rFonts w:hint="eastAsia" w:ascii="宋体" w:hAnsi="宋体" w:eastAsia="宋体" w:cs="宋体"/>
          <w:b/>
          <w:color w:val="auto"/>
          <w:sz w:val="32"/>
          <w:szCs w:val="32"/>
          <w:highlight w:val="none"/>
          <w:lang w:val="en-US" w:eastAsia="zh-CN"/>
        </w:rPr>
        <w:t>十四</w:t>
      </w:r>
      <w:r>
        <w:rPr>
          <w:rFonts w:hint="eastAsia" w:ascii="宋体" w:hAnsi="宋体" w:eastAsia="宋体" w:cs="宋体"/>
          <w:b/>
          <w:color w:val="auto"/>
          <w:sz w:val="32"/>
          <w:szCs w:val="32"/>
          <w:highlight w:val="none"/>
        </w:rPr>
        <w:t>、监狱企业声明函</w:t>
      </w:r>
    </w:p>
    <w:p>
      <w:pPr>
        <w:pageBreakBefore w:val="0"/>
        <w:kinsoku/>
        <w:wordWrap/>
        <w:overflowPunct/>
        <w:topLinePunct w:val="0"/>
        <w:bidi w:val="0"/>
        <w:spacing w:after="0"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根据《政府采购支持监狱企业发展有关问题的通知》（财库〔2014〕68号）的规定监狱企业参加采购活动的，应提供由省级以上监狱管理局、戒毒管理局(含新疆生产建设兵团)出具的属于监狱企业的证明文件。</w:t>
      </w:r>
    </w:p>
    <w:p>
      <w:pPr>
        <w:pageBreakBefore w:val="0"/>
        <w:kinsoku/>
        <w:wordWrap/>
        <w:overflowPunct/>
        <w:topLinePunct w:val="0"/>
        <w:bidi w:val="0"/>
        <w:spacing w:after="0" w:line="360" w:lineRule="auto"/>
        <w:ind w:firstLine="504" w:firstLineChars="200"/>
        <w:rPr>
          <w:rFonts w:hint="eastAsia" w:ascii="宋体" w:hAnsi="宋体" w:eastAsia="宋体" w:cs="宋体"/>
          <w:color w:val="auto"/>
          <w:spacing w:val="6"/>
          <w:sz w:val="24"/>
          <w:highlight w:val="none"/>
        </w:rPr>
      </w:pPr>
    </w:p>
    <w:p>
      <w:pPr>
        <w:pageBreakBefore w:val="0"/>
        <w:kinsoku/>
        <w:wordWrap/>
        <w:overflowPunct/>
        <w:topLinePunct w:val="0"/>
        <w:bidi w:val="0"/>
        <w:spacing w:after="0" w:line="360" w:lineRule="auto"/>
        <w:ind w:firstLine="504" w:firstLineChars="200"/>
        <w:rPr>
          <w:rFonts w:hint="eastAsia" w:ascii="宋体" w:hAnsi="宋体" w:eastAsia="宋体" w:cs="宋体"/>
          <w:color w:val="auto"/>
          <w:spacing w:val="6"/>
          <w:sz w:val="24"/>
          <w:highlight w:val="none"/>
        </w:rPr>
      </w:pP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单位名称：XXXX（盖单位公章）</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pacing w:val="6"/>
          <w:sz w:val="24"/>
          <w:highlight w:val="none"/>
        </w:rPr>
      </w:pPr>
      <w:r>
        <w:rPr>
          <w:rFonts w:hint="eastAsia" w:ascii="宋体" w:hAnsi="宋体" w:eastAsia="宋体" w:cs="宋体"/>
          <w:color w:val="auto"/>
          <w:sz w:val="24"/>
          <w:highlight w:val="none"/>
        </w:rPr>
        <w:t>日期：XXXX</w:t>
      </w:r>
    </w:p>
    <w:p>
      <w:pPr>
        <w:pageBreakBefore w:val="0"/>
        <w:kinsoku/>
        <w:wordWrap/>
        <w:overflowPunct/>
        <w:topLinePunct w:val="0"/>
        <w:bidi w:val="0"/>
        <w:spacing w:after="0" w:line="360" w:lineRule="auto"/>
        <w:ind w:firstLine="504" w:firstLineChars="200"/>
        <w:rPr>
          <w:rFonts w:hint="eastAsia" w:ascii="宋体" w:hAnsi="宋体" w:eastAsia="宋体" w:cs="宋体"/>
          <w:color w:val="auto"/>
          <w:spacing w:val="6"/>
          <w:sz w:val="24"/>
          <w:highlight w:val="none"/>
        </w:rPr>
      </w:pPr>
    </w:p>
    <w:p>
      <w:pPr>
        <w:pageBreakBefore w:val="0"/>
        <w:kinsoku/>
        <w:wordWrap/>
        <w:overflowPunct/>
        <w:topLinePunct w:val="0"/>
        <w:bidi w:val="0"/>
        <w:spacing w:after="0" w:line="360" w:lineRule="auto"/>
        <w:ind w:firstLine="504" w:firstLineChars="200"/>
        <w:rPr>
          <w:rFonts w:hint="eastAsia" w:ascii="宋体" w:hAnsi="宋体" w:eastAsia="宋体" w:cs="宋体"/>
          <w:color w:val="auto"/>
          <w:spacing w:val="6"/>
          <w:sz w:val="24"/>
          <w:highlight w:val="none"/>
        </w:rPr>
      </w:pPr>
    </w:p>
    <w:p>
      <w:pPr>
        <w:pageBreakBefore w:val="0"/>
        <w:kinsoku/>
        <w:wordWrap/>
        <w:overflowPunct/>
        <w:topLinePunct w:val="0"/>
        <w:bidi w:val="0"/>
        <w:spacing w:after="0"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注：</w:t>
      </w:r>
    </w:p>
    <w:p>
      <w:pPr>
        <w:pageBreakBefore w:val="0"/>
        <w:kinsoku/>
        <w:wordWrap/>
        <w:overflowPunct/>
        <w:topLinePunct w:val="0"/>
        <w:bidi w:val="0"/>
        <w:spacing w:after="0"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1、投标人符合《政府采购支持监狱企业发展有关问题的通知》（财库〔2014〕68号）规定的划分标准为监狱企业适用。</w:t>
      </w:r>
    </w:p>
    <w:p>
      <w:pPr>
        <w:pageBreakBefore w:val="0"/>
        <w:kinsoku/>
        <w:wordWrap/>
        <w:overflowPunct/>
        <w:topLinePunct w:val="0"/>
        <w:bidi w:val="0"/>
        <w:spacing w:after="0" w:line="360" w:lineRule="auto"/>
        <w:jc w:val="left"/>
        <w:rPr>
          <w:rFonts w:hint="eastAsia" w:ascii="宋体" w:hAnsi="宋体" w:eastAsia="宋体" w:cs="宋体"/>
          <w:b/>
          <w:color w:val="auto"/>
          <w:sz w:val="32"/>
          <w:highlight w:val="none"/>
        </w:rPr>
      </w:pPr>
      <w:r>
        <w:rPr>
          <w:rFonts w:hint="eastAsia" w:ascii="宋体" w:hAnsi="宋体" w:eastAsia="宋体" w:cs="宋体"/>
          <w:color w:val="auto"/>
          <w:spacing w:val="6"/>
          <w:sz w:val="24"/>
          <w:highlight w:val="none"/>
        </w:rPr>
        <w:t>2、在政府采购活动中，监狱企业视同小型、微型企业，享受预留份额、评审中价格扣除等政府采购促进中小企业发展的政府采购政策。</w:t>
      </w:r>
    </w:p>
    <w:p>
      <w:pPr>
        <w:pageBreakBefore w:val="0"/>
        <w:kinsoku/>
        <w:wordWrap/>
        <w:overflowPunct/>
        <w:topLinePunct w:val="0"/>
        <w:bidi w:val="0"/>
        <w:spacing w:after="0" w:line="360" w:lineRule="auto"/>
        <w:jc w:val="center"/>
        <w:rPr>
          <w:rFonts w:hint="eastAsia" w:ascii="宋体" w:hAnsi="宋体" w:eastAsia="宋体" w:cs="宋体"/>
          <w:b/>
          <w:color w:val="auto"/>
          <w:sz w:val="32"/>
          <w:highlight w:val="none"/>
        </w:rPr>
      </w:pPr>
    </w:p>
    <w:p>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pPr>
        <w:pageBreakBefore w:val="0"/>
        <w:widowControl/>
        <w:kinsoku/>
        <w:wordWrap/>
        <w:overflowPunct/>
        <w:topLinePunct w:val="0"/>
        <w:bidi w:val="0"/>
        <w:spacing w:after="0" w:line="360" w:lineRule="auto"/>
        <w:jc w:val="left"/>
        <w:outlineLvl w:val="1"/>
        <w:rPr>
          <w:rFonts w:hint="default"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格式</w:t>
      </w:r>
      <w:r>
        <w:rPr>
          <w:rFonts w:hint="eastAsia" w:ascii="宋体" w:hAnsi="宋体" w:eastAsia="宋体" w:cs="宋体"/>
          <w:b/>
          <w:color w:val="auto"/>
          <w:sz w:val="32"/>
          <w:szCs w:val="32"/>
          <w:highlight w:val="none"/>
          <w:lang w:val="en-US" w:eastAsia="zh-CN"/>
        </w:rPr>
        <w:t>2-16</w:t>
      </w:r>
    </w:p>
    <w:p>
      <w:pPr>
        <w:pageBreakBefore w:val="0"/>
        <w:widowControl/>
        <w:kinsoku/>
        <w:overflowPunct/>
        <w:bidi w:val="0"/>
        <w:spacing w:beforeAutospacing="0" w:afterAutospacing="0" w:line="360" w:lineRule="auto"/>
        <w:jc w:val="left"/>
        <w:outlineLvl w:val="1"/>
        <w:rPr>
          <w:rFonts w:hint="eastAsia" w:ascii="宋体" w:hAnsi="宋体" w:eastAsia="宋体" w:cs="宋体"/>
          <w:b/>
          <w:bCs w:val="0"/>
          <w:color w:val="auto"/>
          <w:kern w:val="2"/>
          <w:sz w:val="32"/>
          <w:szCs w:val="32"/>
          <w:highlight w:val="none"/>
          <w:lang w:val="en-US" w:eastAsia="zh-CN" w:bidi="ar-SA"/>
        </w:rPr>
      </w:pPr>
    </w:p>
    <w:p>
      <w:pPr>
        <w:pageBreakBefore w:val="0"/>
        <w:widowControl/>
        <w:kinsoku/>
        <w:overflowPunct/>
        <w:bidi w:val="0"/>
        <w:spacing w:beforeAutospacing="0" w:afterAutospacing="0" w:line="360" w:lineRule="auto"/>
        <w:jc w:val="center"/>
        <w:outlineLvl w:val="1"/>
        <w:rPr>
          <w:rFonts w:hint="eastAsia" w:ascii="宋体" w:hAnsi="宋体" w:eastAsia="宋体" w:cs="宋体"/>
          <w:b/>
          <w:bCs w:val="0"/>
          <w:color w:val="auto"/>
          <w:kern w:val="2"/>
          <w:sz w:val="32"/>
          <w:szCs w:val="32"/>
          <w:highlight w:val="none"/>
          <w:lang w:val="en-US" w:eastAsia="zh-CN" w:bidi="ar-SA"/>
        </w:rPr>
      </w:pPr>
      <w:r>
        <w:rPr>
          <w:rFonts w:hint="eastAsia" w:ascii="宋体" w:hAnsi="宋体" w:eastAsia="宋体" w:cs="宋体"/>
          <w:b/>
          <w:bCs w:val="0"/>
          <w:color w:val="auto"/>
          <w:kern w:val="2"/>
          <w:sz w:val="32"/>
          <w:szCs w:val="32"/>
          <w:highlight w:val="none"/>
          <w:lang w:val="en-US" w:eastAsia="zh-CN" w:bidi="ar-SA"/>
        </w:rPr>
        <w:t>十五、承诺函</w:t>
      </w:r>
    </w:p>
    <w:p>
      <w:pPr>
        <w:pageBreakBefore w:val="0"/>
        <w:widowControl/>
        <w:kinsoku/>
        <w:overflowPunct/>
        <w:bidi w:val="0"/>
        <w:spacing w:beforeAutospacing="0" w:afterAutospacing="0" w:line="360" w:lineRule="auto"/>
        <w:jc w:val="center"/>
        <w:outlineLvl w:val="1"/>
        <w:rPr>
          <w:rFonts w:hint="eastAsia" w:ascii="宋体" w:hAnsi="宋体" w:eastAsia="宋体" w:cs="宋体"/>
          <w:b/>
          <w:color w:val="auto"/>
          <w:sz w:val="24"/>
          <w:highlight w:val="none"/>
        </w:rPr>
      </w:pPr>
    </w:p>
    <w:p>
      <w:pPr>
        <w:pageBreakBefore w:val="0"/>
        <w:widowControl/>
        <w:kinsoku/>
        <w:overflowPunct/>
        <w:bidi w:val="0"/>
        <w:spacing w:beforeAutospacing="0" w:afterAutospacing="0"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XXX（采购代理机构名称）：</w:t>
      </w:r>
    </w:p>
    <w:p>
      <w:pPr>
        <w:pageBreakBefore w:val="0"/>
        <w:widowControl/>
        <w:kinsoku/>
        <w:overflowPunct/>
        <w:bidi w:val="0"/>
        <w:spacing w:beforeAutospacing="0" w:afterAutospacing="0"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我公司作为本次采购项目的</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文件要求，现郑重承诺如下：</w:t>
      </w:r>
    </w:p>
    <w:p>
      <w:pPr>
        <w:pageBreakBefore w:val="0"/>
        <w:widowControl/>
        <w:kinsoku/>
        <w:overflowPunct/>
        <w:bidi w:val="0"/>
        <w:spacing w:beforeAutospacing="0" w:afterAutospacing="0"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我</w:t>
      </w:r>
      <w:r>
        <w:rPr>
          <w:rFonts w:hint="eastAsia" w:ascii="宋体" w:hAnsi="宋体" w:eastAsia="宋体" w:cs="宋体"/>
          <w:color w:val="auto"/>
          <w:sz w:val="24"/>
          <w:highlight w:val="none"/>
          <w:lang w:val="en-US" w:eastAsia="zh-CN"/>
        </w:rPr>
        <w:t>公司</w:t>
      </w:r>
      <w:r>
        <w:rPr>
          <w:rFonts w:hint="eastAsia" w:ascii="宋体" w:hAnsi="宋体" w:eastAsia="宋体" w:cs="宋体"/>
          <w:color w:val="auto"/>
          <w:sz w:val="24"/>
          <w:highlight w:val="none"/>
        </w:rPr>
        <w:t>所投产品涉及国家强制认证的（CCC）或前置许可、认证的，承诺在供货时一并提供相关许可、认证材料。</w:t>
      </w:r>
    </w:p>
    <w:p>
      <w:pPr>
        <w:pageBreakBefore w:val="0"/>
        <w:widowControl/>
        <w:kinsoku/>
        <w:overflowPunct/>
        <w:bidi w:val="0"/>
        <w:spacing w:beforeAutospacing="0" w:afterAutospacing="0" w:line="360" w:lineRule="auto"/>
        <w:ind w:firstLine="470" w:firstLineChars="196"/>
        <w:jc w:val="left"/>
        <w:outlineLvl w:val="1"/>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我</w:t>
      </w:r>
      <w:r>
        <w:rPr>
          <w:rFonts w:hint="eastAsia" w:ascii="宋体" w:hAnsi="宋体" w:eastAsia="宋体" w:cs="宋体"/>
          <w:color w:val="auto"/>
          <w:sz w:val="24"/>
          <w:highlight w:val="none"/>
          <w:lang w:val="en-US" w:eastAsia="zh-CN"/>
        </w:rPr>
        <w:t>公司所投产品涉及信息安全产品的，承诺在签订合同前提供中国信息安全认证中心按国家标准认证颁发的有效认证证书。</w:t>
      </w:r>
    </w:p>
    <w:p>
      <w:pPr>
        <w:pageBreakBefore w:val="0"/>
        <w:widowControl/>
        <w:kinsoku/>
        <w:overflowPunct/>
        <w:bidi w:val="0"/>
        <w:spacing w:beforeAutospacing="0" w:afterAutospacing="0"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本公司对上述承诺的内容事项真实性负责。如经查实上述承诺的内容事项存在虚假，我公司愿意接受以提供虚假材料谋取成交的法律责任。</w:t>
      </w:r>
    </w:p>
    <w:p>
      <w:pPr>
        <w:pageBreakBefore w:val="0"/>
        <w:widowControl/>
        <w:kinsoku/>
        <w:overflowPunct/>
        <w:bidi w:val="0"/>
        <w:spacing w:beforeAutospacing="0" w:afterAutospacing="0" w:line="360" w:lineRule="auto"/>
        <w:ind w:firstLine="470" w:firstLineChars="196"/>
        <w:jc w:val="left"/>
        <w:outlineLvl w:val="1"/>
        <w:rPr>
          <w:rFonts w:hint="eastAsia" w:ascii="宋体" w:hAnsi="宋体" w:eastAsia="宋体" w:cs="宋体"/>
          <w:color w:val="auto"/>
          <w:sz w:val="24"/>
          <w:highlight w:val="none"/>
        </w:rPr>
      </w:pPr>
    </w:p>
    <w:p>
      <w:pPr>
        <w:pageBreakBefore w:val="0"/>
        <w:kinsoku/>
        <w:overflowPunct/>
        <w:bidi w:val="0"/>
        <w:spacing w:beforeAutospacing="0" w:afterAutospacing="0" w:line="360" w:lineRule="auto"/>
        <w:ind w:firstLine="480" w:firstLineChars="200"/>
        <w:rPr>
          <w:rFonts w:hint="eastAsia" w:ascii="宋体" w:hAnsi="宋体" w:eastAsia="宋体" w:cs="宋体"/>
          <w:color w:val="auto"/>
          <w:sz w:val="24"/>
          <w:highlight w:val="none"/>
        </w:rPr>
      </w:pP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单位名称：XXXX（盖单位公章）</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p>
    <w:p>
      <w:pPr>
        <w:pageBreakBefore w:val="0"/>
        <w:kinsoku/>
        <w:wordWrap/>
        <w:overflowPunct/>
        <w:topLinePunct w:val="0"/>
        <w:bidi w:val="0"/>
        <w:spacing w:after="0" w:line="360" w:lineRule="auto"/>
        <w:ind w:firstLine="480" w:firstLineChars="200"/>
        <w:rPr>
          <w:rFonts w:hint="eastAsia" w:ascii="宋体" w:hAnsi="宋体" w:eastAsia="宋体" w:cs="宋体"/>
          <w:color w:val="auto"/>
          <w:spacing w:val="6"/>
          <w:sz w:val="24"/>
          <w:highlight w:val="none"/>
        </w:rPr>
      </w:pPr>
      <w:r>
        <w:rPr>
          <w:rFonts w:hint="eastAsia" w:ascii="宋体" w:hAnsi="宋体" w:eastAsia="宋体" w:cs="宋体"/>
          <w:color w:val="auto"/>
          <w:sz w:val="24"/>
          <w:highlight w:val="none"/>
        </w:rPr>
        <w:t>日期：XXXX</w:t>
      </w:r>
    </w:p>
    <w:p>
      <w:pPr>
        <w:pageBreakBefore w:val="0"/>
        <w:kinsoku/>
        <w:wordWrap/>
        <w:overflowPunct/>
        <w:topLinePunct w:val="0"/>
        <w:bidi w:val="0"/>
        <w:spacing w:after="0" w:line="360" w:lineRule="auto"/>
        <w:jc w:val="center"/>
        <w:rPr>
          <w:rFonts w:hint="eastAsia" w:ascii="宋体" w:hAnsi="宋体" w:eastAsia="宋体" w:cs="宋体"/>
          <w:b/>
          <w:color w:val="auto"/>
          <w:sz w:val="32"/>
          <w:highlight w:val="none"/>
        </w:rPr>
      </w:pPr>
    </w:p>
    <w:p>
      <w:pPr>
        <w:pageBreakBefore w:val="0"/>
        <w:kinsoku/>
        <w:wordWrap/>
        <w:overflowPunct/>
        <w:topLinePunct w:val="0"/>
        <w:bidi w:val="0"/>
        <w:spacing w:after="0" w:line="360" w:lineRule="auto"/>
        <w:jc w:val="center"/>
        <w:rPr>
          <w:rFonts w:hint="eastAsia" w:ascii="宋体" w:hAnsi="宋体" w:eastAsia="宋体" w:cs="宋体"/>
          <w:b/>
          <w:color w:val="auto"/>
          <w:sz w:val="32"/>
          <w:highlight w:val="none"/>
        </w:rPr>
      </w:pPr>
    </w:p>
    <w:p>
      <w:pPr>
        <w:pageBreakBefore w:val="0"/>
        <w:kinsoku/>
        <w:wordWrap/>
        <w:overflowPunct/>
        <w:topLinePunct w:val="0"/>
        <w:bidi w:val="0"/>
        <w:spacing w:after="0" w:line="360" w:lineRule="auto"/>
        <w:jc w:val="center"/>
        <w:rPr>
          <w:rFonts w:hint="eastAsia" w:ascii="宋体" w:hAnsi="宋体" w:eastAsia="宋体" w:cs="宋体"/>
          <w:b/>
          <w:color w:val="auto"/>
          <w:sz w:val="32"/>
          <w:highlight w:val="none"/>
        </w:rPr>
      </w:pPr>
    </w:p>
    <w:p>
      <w:pPr>
        <w:pageBreakBefore w:val="0"/>
        <w:kinsoku/>
        <w:wordWrap/>
        <w:overflowPunct/>
        <w:topLinePunct w:val="0"/>
        <w:bidi w:val="0"/>
        <w:spacing w:after="0" w:line="360" w:lineRule="auto"/>
        <w:jc w:val="center"/>
        <w:rPr>
          <w:rFonts w:hint="eastAsia" w:ascii="宋体" w:hAnsi="宋体" w:eastAsia="宋体" w:cs="宋体"/>
          <w:b/>
          <w:color w:val="auto"/>
          <w:sz w:val="32"/>
          <w:highlight w:val="none"/>
        </w:rPr>
      </w:pPr>
    </w:p>
    <w:p>
      <w:pPr>
        <w:pageBreakBefore w:val="0"/>
        <w:kinsoku/>
        <w:wordWrap/>
        <w:overflowPunct/>
        <w:topLinePunct w:val="0"/>
        <w:bidi w:val="0"/>
        <w:spacing w:after="0" w:line="360" w:lineRule="auto"/>
        <w:jc w:val="center"/>
        <w:rPr>
          <w:rFonts w:hint="eastAsia" w:ascii="宋体" w:hAnsi="宋体" w:eastAsia="宋体" w:cs="宋体"/>
          <w:b/>
          <w:color w:val="auto"/>
          <w:sz w:val="32"/>
          <w:highlight w:val="none"/>
        </w:rPr>
      </w:pPr>
    </w:p>
    <w:p>
      <w:pPr>
        <w:pageBreakBefore w:val="0"/>
        <w:kinsoku/>
        <w:wordWrap/>
        <w:overflowPunct/>
        <w:topLinePunct w:val="0"/>
        <w:bidi w:val="0"/>
        <w:spacing w:after="0" w:line="360" w:lineRule="auto"/>
        <w:rPr>
          <w:rFonts w:hint="eastAsia" w:ascii="宋体" w:hAnsi="宋体" w:eastAsia="宋体" w:cs="宋体"/>
          <w:color w:val="auto"/>
          <w:highlight w:val="none"/>
        </w:rPr>
        <w:sectPr>
          <w:footerReference r:id="rId17" w:type="default"/>
          <w:pgSz w:w="11905" w:h="16838"/>
          <w:pgMar w:top="1134" w:right="1134" w:bottom="1134" w:left="1134" w:header="454" w:footer="686" w:gutter="0"/>
          <w:cols w:space="720" w:num="1"/>
          <w:docGrid w:linePitch="319" w:charSpace="0"/>
        </w:sectPr>
      </w:pPr>
    </w:p>
    <w:p>
      <w:pPr>
        <w:pStyle w:val="3"/>
        <w:pageBreakBefore w:val="0"/>
        <w:kinsoku/>
        <w:wordWrap/>
        <w:overflowPunct/>
        <w:topLinePunct w:val="0"/>
        <w:bidi w:val="0"/>
        <w:spacing w:before="0" w:after="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第四章  </w:t>
      </w:r>
      <w:bookmarkEnd w:id="153"/>
      <w:bookmarkEnd w:id="154"/>
      <w:r>
        <w:rPr>
          <w:rFonts w:hint="eastAsia" w:ascii="宋体" w:hAnsi="宋体" w:eastAsia="宋体" w:cs="宋体"/>
          <w:color w:val="auto"/>
          <w:sz w:val="32"/>
          <w:szCs w:val="32"/>
          <w:highlight w:val="none"/>
        </w:rPr>
        <w:t>投标人和投标产品的资格、资质性及其他类似效力要求</w:t>
      </w:r>
    </w:p>
    <w:p>
      <w:pPr>
        <w:pStyle w:val="26"/>
        <w:pageBreakBefore w:val="0"/>
        <w:kinsoku/>
        <w:wordWrap/>
        <w:overflowPunct/>
        <w:topLinePunct w:val="0"/>
        <w:bidi w:val="0"/>
        <w:spacing w:after="0" w:line="24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一、参加投标的投标人应具备下列资格条件：</w:t>
      </w:r>
    </w:p>
    <w:p>
      <w:pPr>
        <w:pStyle w:val="26"/>
        <w:pageBreakBefore w:val="0"/>
        <w:kinsoku/>
        <w:wordWrap/>
        <w:overflowPunct/>
        <w:topLinePunct w:val="0"/>
        <w:bidi w:val="0"/>
        <w:spacing w:after="0" w:line="24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（一）《中华人民共和国政府采购法》第二十二条第一款第1项至第5项规定的条件：</w:t>
      </w:r>
    </w:p>
    <w:p>
      <w:pPr>
        <w:pStyle w:val="26"/>
        <w:pageBreakBefore w:val="0"/>
        <w:kinsoku/>
        <w:wordWrap/>
        <w:overflowPunct/>
        <w:topLinePunct w:val="0"/>
        <w:bidi w:val="0"/>
        <w:spacing w:after="0" w:line="24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pStyle w:val="26"/>
        <w:pageBreakBefore w:val="0"/>
        <w:kinsoku/>
        <w:wordWrap/>
        <w:overflowPunct/>
        <w:topLinePunct w:val="0"/>
        <w:bidi w:val="0"/>
        <w:spacing w:after="0" w:line="24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pStyle w:val="26"/>
        <w:pageBreakBefore w:val="0"/>
        <w:kinsoku/>
        <w:wordWrap/>
        <w:overflowPunct/>
        <w:topLinePunct w:val="0"/>
        <w:bidi w:val="0"/>
        <w:spacing w:after="0" w:line="24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3.具有履行合同所必须的设备和专业技术能力；</w:t>
      </w:r>
    </w:p>
    <w:p>
      <w:pPr>
        <w:pStyle w:val="26"/>
        <w:pageBreakBefore w:val="0"/>
        <w:kinsoku/>
        <w:wordWrap/>
        <w:overflowPunct/>
        <w:topLinePunct w:val="0"/>
        <w:bidi w:val="0"/>
        <w:spacing w:after="0" w:line="24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4.具有依法缴纳税收和社会保障资金的良好记录；</w:t>
      </w:r>
    </w:p>
    <w:p>
      <w:pPr>
        <w:pStyle w:val="26"/>
        <w:pageBreakBefore w:val="0"/>
        <w:kinsoku/>
        <w:wordWrap/>
        <w:overflowPunct/>
        <w:topLinePunct w:val="0"/>
        <w:bidi w:val="0"/>
        <w:spacing w:after="0" w:line="24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5.参加本次政府采购活动前三年内，在经营活动中没有重大违法记录。</w:t>
      </w:r>
    </w:p>
    <w:p>
      <w:pPr>
        <w:pStyle w:val="26"/>
        <w:pageBreakBefore w:val="0"/>
        <w:kinsoku/>
        <w:wordWrap/>
        <w:overflowPunct/>
        <w:topLinePunct w:val="0"/>
        <w:bidi w:val="0"/>
        <w:spacing w:after="0" w:line="24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（二）法律、行政法规规定的其他条件：</w:t>
      </w:r>
    </w:p>
    <w:p>
      <w:pPr>
        <w:pStyle w:val="26"/>
        <w:pageBreakBefore w:val="0"/>
        <w:kinsoku/>
        <w:wordWrap/>
        <w:overflowPunct/>
        <w:topLinePunct w:val="0"/>
        <w:bidi w:val="0"/>
        <w:spacing w:after="0" w:line="24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（1）参加本次政府采购活动，投标人不存在与单位负责人为同一人或者存在直接控股、管理关系的其他投标人参与同一合同项下的政府采购活动的行为。</w:t>
      </w:r>
    </w:p>
    <w:p>
      <w:pPr>
        <w:pStyle w:val="26"/>
        <w:pageBreakBefore w:val="0"/>
        <w:kinsoku/>
        <w:wordWrap/>
        <w:overflowPunct/>
        <w:topLinePunct w:val="0"/>
        <w:bidi w:val="0"/>
        <w:spacing w:after="0" w:line="24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（2）参加本次政府采购活动，投标人不存在和其他投标人在同一合同项下的采购项目中，同时委托同一个自然人、同一家庭的人员、同一单位的人员作为代理人的行为。</w:t>
      </w:r>
    </w:p>
    <w:p>
      <w:pPr>
        <w:pStyle w:val="26"/>
        <w:pageBreakBefore w:val="0"/>
        <w:kinsoku/>
        <w:wordWrap/>
        <w:overflowPunct/>
        <w:topLinePunct w:val="0"/>
        <w:bidi w:val="0"/>
        <w:spacing w:after="0" w:line="24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（3）为采购项目提供整体设计、规范编制或者项目管理、监理、检测等服务的供应商，不得再参加该采购项目的其他采购活动。</w:t>
      </w:r>
    </w:p>
    <w:p>
      <w:pPr>
        <w:pStyle w:val="26"/>
        <w:pageBreakBefore w:val="0"/>
        <w:kinsoku/>
        <w:wordWrap/>
        <w:overflowPunct/>
        <w:topLinePunct w:val="0"/>
        <w:bidi w:val="0"/>
        <w:spacing w:after="0" w:line="24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（4）投标人及其现任法定代表人、主要负责人不得具有行贿犯罪记录；</w:t>
      </w:r>
    </w:p>
    <w:p>
      <w:pPr>
        <w:pStyle w:val="26"/>
        <w:pageBreakBefore w:val="0"/>
        <w:kinsoku/>
        <w:wordWrap/>
        <w:overflowPunct/>
        <w:topLinePunct w:val="0"/>
        <w:bidi w:val="0"/>
        <w:spacing w:after="0" w:line="24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应符合财政部关于诚信管理的要求，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注：①由</w:t>
      </w:r>
      <w:r>
        <w:rPr>
          <w:rFonts w:hint="eastAsia" w:ascii="宋体" w:hAnsi="宋体" w:eastAsia="宋体" w:cs="宋体"/>
          <w:color w:val="auto"/>
          <w:sz w:val="24"/>
          <w:highlight w:val="none"/>
          <w:lang w:val="en-US" w:eastAsia="zh-CN"/>
        </w:rPr>
        <w:t>采购人或</w:t>
      </w:r>
      <w:r>
        <w:rPr>
          <w:rFonts w:hint="eastAsia" w:ascii="宋体" w:hAnsi="宋体" w:eastAsia="宋体" w:cs="宋体"/>
          <w:color w:val="auto"/>
          <w:sz w:val="24"/>
          <w:highlight w:val="none"/>
        </w:rPr>
        <w:t>采购代理机构在本项目资格审查时通过“信用中国”网站、“中国政府采购网”等渠道对投标人进行信用记录查询，并将查询记录存档。凡被列入失信被执行人、重大税收违法案件当事人名单、政府采购严重违法失信行为记录名单的，视为存在不良信用记录，参与本项目的将被拒绝（两个以上的自然人、法人或者其他组织组成一个联合体，以一个投标人的身份共同参加政府采购活动的，将对所有联合体成员进行信用记录查询，联合体成员存在不良信用记录的，视同联合体存在不良信用记录。）；②非企业参与投标时由投标人在投标文件中自行提供承诺函，格式自拟。</w:t>
      </w:r>
    </w:p>
    <w:p>
      <w:pPr>
        <w:pStyle w:val="26"/>
        <w:pageBreakBefore w:val="0"/>
        <w:kinsoku/>
        <w:wordWrap/>
        <w:overflowPunct/>
        <w:topLinePunct w:val="0"/>
        <w:bidi w:val="0"/>
        <w:spacing w:after="0" w:line="24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）根据采购项目提出的特殊条件：</w:t>
      </w:r>
      <w:r>
        <w:rPr>
          <w:rFonts w:hint="eastAsia" w:ascii="宋体" w:hAnsi="宋体" w:eastAsia="宋体" w:cs="宋体"/>
          <w:color w:val="auto"/>
          <w:sz w:val="24"/>
          <w:highlight w:val="none"/>
          <w:lang w:val="en-US" w:eastAsia="zh-CN"/>
        </w:rPr>
        <w:t>无</w:t>
      </w:r>
      <w:r>
        <w:rPr>
          <w:rFonts w:hint="eastAsia" w:ascii="宋体" w:hAnsi="宋体" w:eastAsia="宋体" w:cs="宋体"/>
          <w:color w:val="auto"/>
          <w:sz w:val="24"/>
          <w:highlight w:val="none"/>
        </w:rPr>
        <w:t>。</w:t>
      </w:r>
    </w:p>
    <w:p>
      <w:pPr>
        <w:pStyle w:val="26"/>
        <w:pageBreakBefore w:val="0"/>
        <w:kinsoku/>
        <w:wordWrap/>
        <w:overflowPunct/>
        <w:topLinePunct w:val="0"/>
        <w:bidi w:val="0"/>
        <w:spacing w:after="0" w:line="24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）本项目不允许联合体投标；</w:t>
      </w:r>
    </w:p>
    <w:p>
      <w:pPr>
        <w:pStyle w:val="3"/>
        <w:pageBreakBefore w:val="0"/>
        <w:kinsoku/>
        <w:wordWrap/>
        <w:overflowPunct/>
        <w:topLinePunct w:val="0"/>
        <w:bidi w:val="0"/>
        <w:spacing w:before="0" w:after="0" w:line="24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注：本项目确定投标人重大违法记录中较大数额罚款的金额标准为：</w:t>
      </w:r>
      <w:r>
        <w:rPr>
          <w:rFonts w:hint="eastAsia" w:ascii="宋体" w:hAnsi="宋体" w:eastAsia="宋体" w:cs="宋体"/>
          <w:b/>
          <w:bCs/>
          <w:color w:val="auto"/>
          <w:sz w:val="24"/>
          <w:highlight w:val="none"/>
          <w:lang w:val="en-US" w:eastAsia="zh-CN"/>
        </w:rPr>
        <w:t>财库（2022）3号文之规定（</w:t>
      </w:r>
      <w:r>
        <w:rPr>
          <w:rFonts w:hint="eastAsia" w:ascii="宋体" w:hAnsi="宋体" w:eastAsia="宋体" w:cs="宋体"/>
          <w:b/>
          <w:bCs/>
          <w:color w:val="auto"/>
          <w:sz w:val="24"/>
          <w:highlight w:val="none"/>
        </w:rPr>
        <w:t>200万元以上的罚款、法律、行政法规以及国务院有关部门明确规定相关领域“较大数额罚款”标准高于200万元的,从其规定</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w:t>
      </w:r>
      <w:bookmarkStart w:id="155" w:name="_Toc3806"/>
      <w:bookmarkStart w:id="156" w:name="_Toc1588"/>
    </w:p>
    <w:p>
      <w:pPr>
        <w:pageBreakBefore w:val="0"/>
        <w:kinsoku/>
        <w:wordWrap/>
        <w:overflowPunct/>
        <w:topLinePunct w:val="0"/>
        <w:bidi w:val="0"/>
        <w:spacing w:after="0"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pPr>
        <w:pStyle w:val="3"/>
        <w:pageBreakBefore w:val="0"/>
        <w:kinsoku/>
        <w:wordWrap/>
        <w:overflowPunct/>
        <w:topLinePunct w:val="0"/>
        <w:bidi w:val="0"/>
        <w:spacing w:before="0" w:after="0"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第五章  投标人应当提供的资格、资质性及其他类似效力要求的相关证明材料</w:t>
      </w:r>
      <w:bookmarkEnd w:id="155"/>
      <w:bookmarkEnd w:id="156"/>
    </w:p>
    <w:bookmarkEnd w:id="148"/>
    <w:p>
      <w:pPr>
        <w:pageBreakBefore w:val="0"/>
        <w:kinsoku/>
        <w:wordWrap/>
        <w:overflowPunct/>
        <w:topLinePunct w:val="0"/>
        <w:bidi w:val="0"/>
        <w:snapToGrid w:val="0"/>
        <w:spacing w:after="0" w:line="360" w:lineRule="auto"/>
        <w:ind w:firstLine="480" w:firstLineChars="200"/>
        <w:rPr>
          <w:rFonts w:hint="eastAsia" w:ascii="宋体" w:hAnsi="宋体" w:eastAsia="宋体" w:cs="宋体"/>
          <w:color w:val="auto"/>
          <w:sz w:val="24"/>
          <w:highlight w:val="none"/>
        </w:rPr>
      </w:pPr>
      <w:bookmarkStart w:id="157" w:name="_Toc2122"/>
      <w:bookmarkStart w:id="158" w:name="_Toc217446093"/>
      <w:bookmarkStart w:id="159" w:name="PO_默认文件内容_32"/>
      <w:r>
        <w:rPr>
          <w:rFonts w:hint="eastAsia" w:ascii="宋体" w:hAnsi="宋体" w:eastAsia="宋体" w:cs="宋体"/>
          <w:color w:val="auto"/>
          <w:sz w:val="24"/>
          <w:highlight w:val="none"/>
        </w:rPr>
        <w:t>(一）参加投标的投标人应具备下列资格条件证明材料：</w:t>
      </w:r>
    </w:p>
    <w:p>
      <w:pPr>
        <w:pageBreakBefore w:val="0"/>
        <w:kinsoku/>
        <w:wordWrap/>
        <w:overflowPunct/>
        <w:topLinePunct w:val="0"/>
        <w:bidi w:val="0"/>
        <w:snapToGrid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pageBreakBefore w:val="0"/>
        <w:kinsoku/>
        <w:wordWrap/>
        <w:overflowPunct/>
        <w:topLinePunct w:val="0"/>
        <w:bidi w:val="0"/>
        <w:snapToGrid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①投标人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有关注册登记证照”；④若为自然人：提供“身份证明材料”。</w:t>
      </w:r>
      <w:r>
        <w:rPr>
          <w:rFonts w:hint="eastAsia" w:ascii="宋体" w:hAnsi="宋体" w:eastAsia="宋体" w:cs="宋体"/>
          <w:b/>
          <w:bCs/>
          <w:color w:val="auto"/>
          <w:sz w:val="24"/>
          <w:highlight w:val="none"/>
        </w:rPr>
        <w:t>（提供复印件加盖公章）</w:t>
      </w:r>
      <w:r>
        <w:rPr>
          <w:rFonts w:hint="eastAsia" w:ascii="宋体" w:hAnsi="宋体" w:eastAsia="宋体" w:cs="宋体"/>
          <w:color w:val="auto"/>
          <w:sz w:val="24"/>
          <w:highlight w:val="none"/>
        </w:rPr>
        <w:t>；</w:t>
      </w:r>
    </w:p>
    <w:p>
      <w:pPr>
        <w:pageBreakBefore w:val="0"/>
        <w:kinsoku/>
        <w:wordWrap/>
        <w:overflowPunct/>
        <w:topLinePunct w:val="0"/>
        <w:bidi w:val="0"/>
        <w:snapToGrid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2.具备良好商业信誉的证明材料</w:t>
      </w:r>
      <w:r>
        <w:rPr>
          <w:rFonts w:hint="eastAsia" w:ascii="宋体" w:hAnsi="宋体" w:eastAsia="宋体" w:cs="宋体"/>
          <w:b/>
          <w:bCs/>
          <w:color w:val="auto"/>
          <w:sz w:val="24"/>
          <w:highlight w:val="none"/>
        </w:rPr>
        <w:t>（提供承诺函，格式自拟）</w:t>
      </w:r>
      <w:r>
        <w:rPr>
          <w:rFonts w:hint="eastAsia" w:ascii="宋体" w:hAnsi="宋体" w:eastAsia="宋体" w:cs="宋体"/>
          <w:color w:val="auto"/>
          <w:sz w:val="24"/>
          <w:highlight w:val="none"/>
        </w:rPr>
        <w:t>；</w:t>
      </w:r>
    </w:p>
    <w:p>
      <w:pPr>
        <w:pageBreakBefore w:val="0"/>
        <w:kinsoku/>
        <w:wordWrap/>
        <w:overflowPunct/>
        <w:topLinePunct w:val="0"/>
        <w:bidi w:val="0"/>
        <w:snapToGrid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3.具备健全的财务会计制度的证明材料</w:t>
      </w:r>
      <w:r>
        <w:rPr>
          <w:rFonts w:hint="eastAsia" w:ascii="宋体" w:hAnsi="宋体" w:eastAsia="宋体" w:cs="宋体"/>
          <w:b/>
          <w:bCs/>
          <w:color w:val="auto"/>
          <w:sz w:val="24"/>
          <w:highlight w:val="none"/>
        </w:rPr>
        <w:t>（提供承诺函，格式自拟）</w:t>
      </w:r>
      <w:r>
        <w:rPr>
          <w:rFonts w:hint="eastAsia" w:ascii="宋体" w:hAnsi="宋体" w:eastAsia="宋体" w:cs="宋体"/>
          <w:color w:val="auto"/>
          <w:sz w:val="24"/>
          <w:highlight w:val="none"/>
        </w:rPr>
        <w:t>；</w:t>
      </w:r>
    </w:p>
    <w:p>
      <w:pPr>
        <w:pageBreakBefore w:val="0"/>
        <w:kinsoku/>
        <w:wordWrap/>
        <w:overflowPunct/>
        <w:topLinePunct w:val="0"/>
        <w:bidi w:val="0"/>
        <w:snapToGrid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4.具有依法缴纳税收和社会保障资金的良好记录；</w:t>
      </w:r>
      <w:r>
        <w:rPr>
          <w:rFonts w:hint="eastAsia" w:ascii="宋体" w:hAnsi="宋体" w:eastAsia="宋体" w:cs="宋体"/>
          <w:b/>
          <w:bCs/>
          <w:color w:val="auto"/>
          <w:sz w:val="24"/>
          <w:highlight w:val="none"/>
        </w:rPr>
        <w:t>（提供承诺函，格式自拟）</w:t>
      </w:r>
    </w:p>
    <w:p>
      <w:pPr>
        <w:pageBreakBefore w:val="0"/>
        <w:kinsoku/>
        <w:wordWrap/>
        <w:overflowPunct/>
        <w:topLinePunct w:val="0"/>
        <w:bidi w:val="0"/>
        <w:snapToGrid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5.具备履行合同所必需的设备和专业技术能力的证明材料</w:t>
      </w:r>
      <w:r>
        <w:rPr>
          <w:rFonts w:hint="eastAsia" w:ascii="宋体" w:hAnsi="宋体" w:eastAsia="宋体" w:cs="宋体"/>
          <w:b/>
          <w:bCs/>
          <w:color w:val="auto"/>
          <w:sz w:val="24"/>
          <w:highlight w:val="none"/>
        </w:rPr>
        <w:t>（提供承诺函，格式自拟）</w:t>
      </w:r>
      <w:r>
        <w:rPr>
          <w:rFonts w:hint="eastAsia" w:ascii="宋体" w:hAnsi="宋体" w:eastAsia="宋体" w:cs="宋体"/>
          <w:color w:val="auto"/>
          <w:sz w:val="24"/>
          <w:highlight w:val="none"/>
        </w:rPr>
        <w:t>；</w:t>
      </w:r>
    </w:p>
    <w:p>
      <w:pPr>
        <w:pageBreakBefore w:val="0"/>
        <w:kinsoku/>
        <w:wordWrap/>
        <w:overflowPunct/>
        <w:topLinePunct w:val="0"/>
        <w:bidi w:val="0"/>
        <w:snapToGrid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6.参加本次政府采购活动前三年内，在经营活动中没有重大违法记录的承诺函；</w:t>
      </w:r>
      <w:r>
        <w:rPr>
          <w:rFonts w:hint="eastAsia" w:ascii="宋体" w:hAnsi="宋体" w:eastAsia="宋体" w:cs="宋体"/>
          <w:b/>
          <w:bCs/>
          <w:color w:val="auto"/>
          <w:sz w:val="24"/>
          <w:highlight w:val="none"/>
        </w:rPr>
        <w:t>（提供承诺函，格式自拟）</w:t>
      </w:r>
    </w:p>
    <w:p>
      <w:pPr>
        <w:pageBreakBefore w:val="0"/>
        <w:kinsoku/>
        <w:wordWrap/>
        <w:overflowPunct/>
        <w:topLinePunct w:val="0"/>
        <w:bidi w:val="0"/>
        <w:snapToGrid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（二）法律、行政法规规定的其他条件：</w:t>
      </w:r>
    </w:p>
    <w:p>
      <w:pPr>
        <w:pageBreakBefore w:val="0"/>
        <w:kinsoku/>
        <w:wordWrap/>
        <w:overflowPunct/>
        <w:topLinePunct w:val="0"/>
        <w:bidi w:val="0"/>
        <w:snapToGrid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（1）投标人不存在与单位负责人为同一人或者存在直接控股、管理关系的其他投标人参与同一合同项下的政府采购活动的行为。</w:t>
      </w:r>
      <w:r>
        <w:rPr>
          <w:rFonts w:hint="eastAsia" w:ascii="宋体" w:hAnsi="宋体" w:eastAsia="宋体" w:cs="宋体"/>
          <w:b/>
          <w:bCs/>
          <w:color w:val="auto"/>
          <w:sz w:val="24"/>
          <w:highlight w:val="none"/>
        </w:rPr>
        <w:t>（提供承诺函，格式自拟）</w:t>
      </w:r>
    </w:p>
    <w:p>
      <w:pPr>
        <w:pageBreakBefore w:val="0"/>
        <w:kinsoku/>
        <w:wordWrap/>
        <w:overflowPunct/>
        <w:topLinePunct w:val="0"/>
        <w:bidi w:val="0"/>
        <w:snapToGrid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（2）投标人不存在和其他投标人在同一合同项下的采购项目中，同时委托同一个自然人、同一家庭的人员、同一单位的人员作为代理人的行为。</w:t>
      </w:r>
      <w:r>
        <w:rPr>
          <w:rFonts w:hint="eastAsia" w:ascii="宋体" w:hAnsi="宋体" w:eastAsia="宋体" w:cs="宋体"/>
          <w:b/>
          <w:bCs/>
          <w:color w:val="auto"/>
          <w:sz w:val="24"/>
          <w:highlight w:val="none"/>
        </w:rPr>
        <w:t>（提供承诺函，格式自拟）</w:t>
      </w:r>
    </w:p>
    <w:p>
      <w:pPr>
        <w:pageBreakBefore w:val="0"/>
        <w:kinsoku/>
        <w:wordWrap/>
        <w:overflowPunct/>
        <w:topLinePunct w:val="0"/>
        <w:bidi w:val="0"/>
        <w:snapToGrid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（3）提供未参加过本项目整体设计、规范编制或者项目管理、监理、检测等服务的承诺函。</w:t>
      </w:r>
      <w:r>
        <w:rPr>
          <w:rFonts w:hint="eastAsia" w:ascii="宋体" w:hAnsi="宋体" w:eastAsia="宋体" w:cs="宋体"/>
          <w:b/>
          <w:bCs/>
          <w:color w:val="auto"/>
          <w:sz w:val="24"/>
          <w:highlight w:val="none"/>
        </w:rPr>
        <w:t>（提供承诺函，格式自拟）</w:t>
      </w:r>
    </w:p>
    <w:p>
      <w:pPr>
        <w:pageBreakBefore w:val="0"/>
        <w:kinsoku/>
        <w:wordWrap/>
        <w:overflowPunct/>
        <w:topLinePunct w:val="0"/>
        <w:bidi w:val="0"/>
        <w:snapToGrid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（4）投标人单位及其现任法定代表人、主要负责人不得具有行贿犯罪记录。</w:t>
      </w:r>
      <w:r>
        <w:rPr>
          <w:rFonts w:hint="eastAsia" w:ascii="宋体" w:hAnsi="宋体" w:eastAsia="宋体" w:cs="宋体"/>
          <w:b/>
          <w:bCs/>
          <w:color w:val="auto"/>
          <w:sz w:val="24"/>
          <w:highlight w:val="none"/>
        </w:rPr>
        <w:t>（提供承诺函，格式自拟）</w:t>
      </w:r>
    </w:p>
    <w:p>
      <w:pPr>
        <w:pageBreakBefore w:val="0"/>
        <w:kinsoku/>
        <w:wordWrap/>
        <w:overflowPunct/>
        <w:topLinePunct w:val="0"/>
        <w:bidi w:val="0"/>
        <w:snapToGrid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应符合财政部关于诚信管理的要求，投标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注：①由采购人或采购代理机构在本项目资格审查时通过“信用中国”网站、“中国政府采购网”等渠道对投标人进行信用记录查询，并将查询记录存档。凡被列入失信被执行人、重大税收违法案件当事人名单、政府采购严重违法失信行为记录名单的，视为存在不良信用记录，参与本项目的将被拒绝（两个以上的自然人、法人或者其他组织组成一个联合体，以一个投标人的身份共同参加政府采购活动的，将对所有联合体成员进行信用记录查询，联合体成员存在不良信用记录的，视同联合体存在不良信用记录。）；②非企业参与投标时由投标人在投标文件中自行提供承诺函，格式自拟。</w:t>
      </w:r>
    </w:p>
    <w:p>
      <w:pPr>
        <w:pageBreakBefore w:val="0"/>
        <w:kinsoku/>
        <w:wordWrap/>
        <w:overflowPunct/>
        <w:topLinePunct w:val="0"/>
        <w:bidi w:val="0"/>
        <w:snapToGrid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）根据采购项目提出的特殊条件：</w:t>
      </w:r>
      <w:r>
        <w:rPr>
          <w:rFonts w:hint="eastAsia" w:ascii="宋体" w:hAnsi="宋体" w:eastAsia="宋体" w:cs="宋体"/>
          <w:color w:val="auto"/>
          <w:sz w:val="24"/>
          <w:highlight w:val="none"/>
          <w:lang w:val="en-US" w:eastAsia="zh-CN"/>
        </w:rPr>
        <w:t>无</w:t>
      </w:r>
      <w:r>
        <w:rPr>
          <w:rFonts w:hint="eastAsia" w:ascii="宋体" w:hAnsi="宋体" w:eastAsia="宋体" w:cs="宋体"/>
          <w:color w:val="auto"/>
          <w:sz w:val="24"/>
          <w:highlight w:val="none"/>
        </w:rPr>
        <w:t>。</w:t>
      </w:r>
    </w:p>
    <w:p>
      <w:pPr>
        <w:pageBreakBefore w:val="0"/>
        <w:kinsoku/>
        <w:wordWrap/>
        <w:overflowPunct/>
        <w:topLinePunct w:val="0"/>
        <w:bidi w:val="0"/>
        <w:snapToGrid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）投标人应提供其他类似效力要求的相关证明材料</w:t>
      </w:r>
    </w:p>
    <w:p>
      <w:pPr>
        <w:pageBreakBefore w:val="0"/>
        <w:kinsoku/>
        <w:wordWrap/>
        <w:overflowPunct/>
        <w:topLinePunct w:val="0"/>
        <w:bidi w:val="0"/>
        <w:snapToGrid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1.法定代表人授权书原件(法定代表人参与投标时不需要提供授权书，但须提供法定代表人身份证明）；</w:t>
      </w:r>
    </w:p>
    <w:p>
      <w:pPr>
        <w:pageBreakBefore w:val="0"/>
        <w:kinsoku/>
        <w:wordWrap/>
        <w:overflowPunct/>
        <w:topLinePunct w:val="0"/>
        <w:bidi w:val="0"/>
        <w:snapToGrid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和授权代表身份证明复印件（法定代表人参与投标时只需提供法定代表人身份证明复印件，授权代表参与投标时需提供法定代表人和授权代表身份证明复印件，复印件均需加盖公章，身份证明文件包括居民身份证、军官证、外籍人员的护照等，身份证明文件应同时提供其在有效期的材料）。</w:t>
      </w:r>
    </w:p>
    <w:p>
      <w:pPr>
        <w:pageBreakBefore w:val="0"/>
        <w:kinsoku/>
        <w:wordWrap/>
        <w:overflowPunct/>
        <w:topLinePunct w:val="0"/>
        <w:bidi w:val="0"/>
        <w:snapToGrid w:val="0"/>
        <w:spacing w:after="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注：1）以上承诺函(可参照第三章投标文件格式“承诺函”格式或自拟格式填写均有效)。</w:t>
      </w:r>
    </w:p>
    <w:p>
      <w:pPr>
        <w:pageBreakBefore w:val="0"/>
        <w:kinsoku/>
        <w:wordWrap/>
        <w:overflowPunct/>
        <w:topLinePunct w:val="0"/>
        <w:bidi w:val="0"/>
        <w:snapToGrid w:val="0"/>
        <w:spacing w:after="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2）投标人提供的以上资格证明材料为复印件的均应加盖投标人公章。</w:t>
      </w:r>
    </w:p>
    <w:p>
      <w:pPr>
        <w:pageBreakBefore w:val="0"/>
        <w:kinsoku/>
        <w:wordWrap/>
        <w:overflowPunct/>
        <w:topLinePunct w:val="0"/>
        <w:bidi w:val="0"/>
        <w:snapToGrid w:val="0"/>
        <w:spacing w:after="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3）投标人应对其所提供的资格证明材料来源的合法性、真实性负责。</w:t>
      </w:r>
    </w:p>
    <w:p>
      <w:pPr>
        <w:pageBreakBefore w:val="0"/>
        <w:kinsoku/>
        <w:wordWrap/>
        <w:overflowPunct/>
        <w:topLinePunct w:val="0"/>
        <w:bidi w:val="0"/>
        <w:snapToGrid w:val="0"/>
        <w:spacing w:after="0"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4）以上要求提供的相关证明材料应当结合采购项目具体情况和投标人的组织机构性质确定，不得一概而论。</w:t>
      </w:r>
    </w:p>
    <w:p>
      <w:pPr>
        <w:pStyle w:val="3"/>
        <w:pageBreakBefore w:val="0"/>
        <w:kinsoku/>
        <w:wordWrap/>
        <w:overflowPunct/>
        <w:topLinePunct w:val="0"/>
        <w:bidi w:val="0"/>
        <w:spacing w:before="0" w:after="0"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r>
        <w:rPr>
          <w:rFonts w:hint="eastAsia" w:ascii="宋体" w:hAnsi="宋体" w:eastAsia="宋体" w:cs="宋体"/>
          <w:color w:val="auto"/>
          <w:sz w:val="36"/>
          <w:szCs w:val="36"/>
          <w:highlight w:val="none"/>
        </w:rPr>
        <w:t xml:space="preserve">第六章  </w:t>
      </w:r>
      <w:bookmarkEnd w:id="157"/>
      <w:r>
        <w:rPr>
          <w:rFonts w:hint="eastAsia" w:ascii="宋体" w:hAnsi="宋体" w:eastAsia="宋体" w:cs="宋体"/>
          <w:color w:val="auto"/>
          <w:sz w:val="36"/>
          <w:szCs w:val="36"/>
          <w:highlight w:val="none"/>
        </w:rPr>
        <w:t>招标项目技术、服务、商务及其他要求</w:t>
      </w:r>
    </w:p>
    <w:bookmarkEnd w:id="158"/>
    <w:p>
      <w:pPr>
        <w:pageBreakBefore w:val="0"/>
        <w:kinsoku/>
        <w:wordWrap/>
        <w:overflowPunct/>
        <w:topLinePunct w:val="0"/>
        <w:bidi w:val="0"/>
        <w:spacing w:after="0" w:line="360" w:lineRule="auto"/>
        <w:ind w:firstLine="482" w:firstLineChars="200"/>
        <w:jc w:val="left"/>
        <w:rPr>
          <w:rFonts w:hint="eastAsia" w:ascii="宋体" w:hAnsi="宋体" w:eastAsia="宋体" w:cs="宋体"/>
          <w:b/>
          <w:bCs/>
          <w:color w:val="auto"/>
          <w:sz w:val="24"/>
          <w:highlight w:val="none"/>
        </w:rPr>
      </w:pPr>
      <w:bookmarkStart w:id="160" w:name="_Toc31810"/>
      <w:bookmarkStart w:id="161" w:name="_Toc24786"/>
      <w:r>
        <w:rPr>
          <w:rFonts w:hint="eastAsia" w:ascii="宋体" w:hAnsi="宋体" w:eastAsia="宋体" w:cs="宋体"/>
          <w:b/>
          <w:bCs/>
          <w:color w:val="auto"/>
          <w:sz w:val="24"/>
          <w:highlight w:val="none"/>
        </w:rPr>
        <w:t>本章中标注“★”的条款为本项目的实质性条款，投标人不满足的，将按照无效投标处理。</w:t>
      </w:r>
    </w:p>
    <w:p>
      <w:pPr>
        <w:pageBreakBefore w:val="0"/>
        <w:kinsoku/>
        <w:wordWrap/>
        <w:overflowPunct/>
        <w:topLinePunct w:val="0"/>
        <w:autoSpaceDE/>
        <w:autoSpaceDN/>
        <w:bidi w:val="0"/>
        <w:snapToGrid/>
        <w:spacing w:after="0" w:line="360" w:lineRule="auto"/>
        <w:ind w:left="420" w:leftChars="200" w:firstLine="0" w:firstLineChars="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val="en-US" w:eastAsia="zh-CN"/>
        </w:rPr>
        <w:t>服务范围</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成都市彭州生态环境局拟采购一名投标人提供“十四五”石化园区及周边地下水自动监测站新增仪器设备及耗材。</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2.采购清单</w:t>
      </w:r>
    </w:p>
    <w:tbl>
      <w:tblPr>
        <w:tblStyle w:val="21"/>
        <w:tblW w:w="8916" w:type="dxa"/>
        <w:tblInd w:w="5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3124"/>
        <w:gridCol w:w="1276"/>
        <w:gridCol w:w="1384"/>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2" w:type="dxa"/>
            <w:noWrap w:val="0"/>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3124" w:type="dxa"/>
            <w:noWrap w:val="0"/>
            <w:vAlign w:val="top"/>
          </w:tcPr>
          <w:p>
            <w:pPr>
              <w:spacing w:line="360" w:lineRule="auto"/>
              <w:jc w:val="left"/>
              <w:rPr>
                <w:rFonts w:hint="eastAsia" w:ascii="宋体" w:hAnsi="宋体" w:eastAsia="宋体" w:cs="宋体"/>
                <w:sz w:val="24"/>
                <w:szCs w:val="24"/>
                <w:lang w:bidi="ar"/>
              </w:rPr>
            </w:pPr>
            <w:r>
              <w:rPr>
                <w:rFonts w:hint="eastAsia" w:ascii="宋体" w:hAnsi="宋体" w:eastAsia="宋体" w:cs="宋体"/>
                <w:sz w:val="24"/>
                <w:szCs w:val="24"/>
              </w:rPr>
              <w:t>产品名称</w:t>
            </w:r>
          </w:p>
        </w:tc>
        <w:tc>
          <w:tcPr>
            <w:tcW w:w="1276" w:type="dxa"/>
            <w:noWrap w:val="0"/>
            <w:vAlign w:val="top"/>
          </w:tcPr>
          <w:p>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rPr>
              <w:t>数量</w:t>
            </w:r>
          </w:p>
        </w:tc>
        <w:tc>
          <w:tcPr>
            <w:tcW w:w="1384" w:type="dxa"/>
            <w:noWrap w:val="0"/>
            <w:vAlign w:val="top"/>
          </w:tcPr>
          <w:p>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rPr>
              <w:t>单位</w:t>
            </w:r>
          </w:p>
        </w:tc>
        <w:tc>
          <w:tcPr>
            <w:tcW w:w="1860" w:type="dxa"/>
            <w:noWrap w:val="0"/>
            <w:vAlign w:val="top"/>
          </w:tcPr>
          <w:p>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2" w:type="dxa"/>
            <w:noWrap w:val="0"/>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3124" w:type="dxa"/>
            <w:noWrap w:val="0"/>
            <w:vAlign w:val="top"/>
          </w:tcPr>
          <w:p>
            <w:pPr>
              <w:spacing w:line="360" w:lineRule="auto"/>
              <w:jc w:val="left"/>
              <w:rPr>
                <w:rFonts w:hint="eastAsia" w:ascii="宋体" w:hAnsi="宋体" w:eastAsia="宋体" w:cs="宋体"/>
                <w:sz w:val="24"/>
                <w:szCs w:val="24"/>
              </w:rPr>
            </w:pPr>
            <w:r>
              <w:rPr>
                <w:rFonts w:hint="eastAsia" w:ascii="宋体" w:hAnsi="宋体" w:eastAsia="宋体" w:cs="宋体"/>
                <w:bCs/>
                <w:sz w:val="24"/>
                <w:szCs w:val="24"/>
              </w:rPr>
              <w:t>挥发性有机物在线分析仪</w:t>
            </w:r>
          </w:p>
        </w:tc>
        <w:tc>
          <w:tcPr>
            <w:tcW w:w="1276" w:type="dxa"/>
            <w:noWrap w:val="0"/>
            <w:vAlign w:val="top"/>
          </w:tcPr>
          <w:p>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bidi="ar"/>
              </w:rPr>
              <w:t>3</w:t>
            </w:r>
          </w:p>
        </w:tc>
        <w:tc>
          <w:tcPr>
            <w:tcW w:w="1384" w:type="dxa"/>
            <w:noWrap w:val="0"/>
            <w:vAlign w:val="top"/>
          </w:tcPr>
          <w:p>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bidi="ar"/>
              </w:rPr>
              <w:t>套</w:t>
            </w:r>
          </w:p>
        </w:tc>
        <w:tc>
          <w:tcPr>
            <w:tcW w:w="1860" w:type="dxa"/>
            <w:noWrap w:val="0"/>
            <w:vAlign w:val="top"/>
          </w:tcPr>
          <w:p>
            <w:pPr>
              <w:spacing w:line="360" w:lineRule="auto"/>
              <w:jc w:val="center"/>
              <w:rPr>
                <w:rFonts w:hint="eastAsia" w:ascii="宋体" w:hAnsi="宋体" w:eastAsia="宋体" w:cs="宋体"/>
                <w:sz w:val="24"/>
                <w:szCs w:val="24"/>
                <w:lang w:bidi="ar"/>
              </w:rPr>
            </w:pPr>
            <w:r>
              <w:rPr>
                <w:rFonts w:hint="eastAsia" w:ascii="宋体" w:hAnsi="宋体" w:eastAsia="宋体" w:cs="宋体"/>
                <w:snapToGrid w:val="0"/>
                <w:sz w:val="24"/>
                <w:szCs w:val="24"/>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2" w:type="dxa"/>
            <w:noWrap w:val="0"/>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3124" w:type="dxa"/>
            <w:noWrap w:val="0"/>
            <w:vAlign w:val="top"/>
          </w:tcPr>
          <w:p>
            <w:pPr>
              <w:spacing w:line="360" w:lineRule="auto"/>
              <w:jc w:val="left"/>
              <w:rPr>
                <w:rFonts w:hint="eastAsia" w:ascii="宋体" w:hAnsi="宋体" w:eastAsia="宋体" w:cs="宋体"/>
                <w:bCs/>
                <w:sz w:val="24"/>
                <w:szCs w:val="24"/>
              </w:rPr>
            </w:pPr>
            <w:r>
              <w:rPr>
                <w:rFonts w:hint="eastAsia" w:ascii="宋体" w:hAnsi="宋体" w:eastAsia="宋体" w:cs="宋体"/>
                <w:sz w:val="24"/>
                <w:szCs w:val="24"/>
                <w:lang w:bidi="ar"/>
              </w:rPr>
              <w:t>氰化物在线分析仪</w:t>
            </w:r>
          </w:p>
        </w:tc>
        <w:tc>
          <w:tcPr>
            <w:tcW w:w="1276" w:type="dxa"/>
            <w:noWrap w:val="0"/>
            <w:vAlign w:val="top"/>
          </w:tcPr>
          <w:p>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bidi="ar"/>
              </w:rPr>
              <w:t>4</w:t>
            </w:r>
          </w:p>
        </w:tc>
        <w:tc>
          <w:tcPr>
            <w:tcW w:w="1384" w:type="dxa"/>
            <w:noWrap w:val="0"/>
            <w:vAlign w:val="top"/>
          </w:tcPr>
          <w:p>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bidi="ar"/>
              </w:rPr>
              <w:t>套</w:t>
            </w:r>
          </w:p>
        </w:tc>
        <w:tc>
          <w:tcPr>
            <w:tcW w:w="1860" w:type="dxa"/>
            <w:noWrap w:val="0"/>
            <w:vAlign w:val="top"/>
          </w:tcPr>
          <w:p>
            <w:pPr>
              <w:spacing w:line="360" w:lineRule="auto"/>
              <w:jc w:val="center"/>
              <w:rPr>
                <w:rFonts w:hint="eastAsia" w:ascii="宋体" w:hAnsi="宋体" w:eastAsia="宋体" w:cs="宋体"/>
                <w:snapToGrid w:val="0"/>
                <w:sz w:val="24"/>
                <w:szCs w:val="24"/>
              </w:rPr>
            </w:pPr>
            <w:r>
              <w:rPr>
                <w:rFonts w:hint="eastAsia" w:ascii="宋体" w:hAnsi="宋体" w:eastAsia="宋体" w:cs="宋体"/>
                <w:snapToGrid w:val="0"/>
                <w:sz w:val="24"/>
                <w:szCs w:val="24"/>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2" w:type="dxa"/>
            <w:noWrap w:val="0"/>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3124" w:type="dxa"/>
            <w:noWrap w:val="0"/>
            <w:vAlign w:val="top"/>
          </w:tcPr>
          <w:p>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水中油在线分析仪</w:t>
            </w:r>
          </w:p>
        </w:tc>
        <w:tc>
          <w:tcPr>
            <w:tcW w:w="1276" w:type="dxa"/>
            <w:noWrap w:val="0"/>
            <w:vAlign w:val="top"/>
          </w:tcPr>
          <w:p>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bidi="ar"/>
              </w:rPr>
              <w:t>4</w:t>
            </w:r>
          </w:p>
        </w:tc>
        <w:tc>
          <w:tcPr>
            <w:tcW w:w="1384" w:type="dxa"/>
            <w:noWrap w:val="0"/>
            <w:vAlign w:val="top"/>
          </w:tcPr>
          <w:p>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bidi="ar"/>
              </w:rPr>
              <w:t>套</w:t>
            </w:r>
          </w:p>
        </w:tc>
        <w:tc>
          <w:tcPr>
            <w:tcW w:w="1860" w:type="dxa"/>
            <w:noWrap w:val="0"/>
            <w:vAlign w:val="top"/>
          </w:tcPr>
          <w:p>
            <w:pPr>
              <w:spacing w:line="360" w:lineRule="auto"/>
              <w:jc w:val="center"/>
              <w:rPr>
                <w:rFonts w:hint="eastAsia" w:ascii="宋体" w:hAnsi="宋体" w:eastAsia="宋体" w:cs="宋体"/>
                <w:snapToGrid w:val="0"/>
                <w:sz w:val="24"/>
                <w:szCs w:val="24"/>
              </w:rPr>
            </w:pPr>
            <w:r>
              <w:rPr>
                <w:rFonts w:hint="eastAsia" w:ascii="宋体" w:hAnsi="宋体" w:eastAsia="宋体" w:cs="宋体"/>
                <w:snapToGrid w:val="0"/>
                <w:sz w:val="24"/>
                <w:szCs w:val="24"/>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2" w:type="dxa"/>
            <w:noWrap w:val="0"/>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3124" w:type="dxa"/>
            <w:noWrap w:val="0"/>
            <w:vAlign w:val="top"/>
          </w:tcPr>
          <w:p>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超纯水制备装置</w:t>
            </w:r>
          </w:p>
        </w:tc>
        <w:tc>
          <w:tcPr>
            <w:tcW w:w="1276" w:type="dxa"/>
            <w:noWrap w:val="0"/>
            <w:vAlign w:val="top"/>
          </w:tcPr>
          <w:p>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bidi="ar"/>
              </w:rPr>
              <w:t>2</w:t>
            </w:r>
          </w:p>
        </w:tc>
        <w:tc>
          <w:tcPr>
            <w:tcW w:w="1384" w:type="dxa"/>
            <w:noWrap w:val="0"/>
            <w:vAlign w:val="top"/>
          </w:tcPr>
          <w:p>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bidi="ar"/>
              </w:rPr>
              <w:t>套</w:t>
            </w:r>
          </w:p>
        </w:tc>
        <w:tc>
          <w:tcPr>
            <w:tcW w:w="1860" w:type="dxa"/>
            <w:noWrap w:val="0"/>
            <w:vAlign w:val="top"/>
          </w:tcPr>
          <w:p>
            <w:pPr>
              <w:spacing w:line="360" w:lineRule="auto"/>
              <w:jc w:val="center"/>
              <w:rPr>
                <w:rFonts w:hint="eastAsia" w:ascii="宋体" w:hAnsi="宋体" w:eastAsia="宋体" w:cs="宋体"/>
                <w:sz w:val="24"/>
                <w:szCs w:val="24"/>
                <w:lang w:bidi="ar"/>
              </w:rPr>
            </w:pPr>
            <w:r>
              <w:rPr>
                <w:rFonts w:hint="eastAsia" w:ascii="宋体" w:hAnsi="宋体" w:eastAsia="宋体" w:cs="宋体"/>
                <w:snapToGrid w:val="0"/>
                <w:sz w:val="24"/>
                <w:szCs w:val="24"/>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2" w:type="dxa"/>
            <w:noWrap w:val="0"/>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3124" w:type="dxa"/>
            <w:noWrap w:val="0"/>
            <w:vAlign w:val="top"/>
          </w:tcPr>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系统集成</w:t>
            </w:r>
          </w:p>
        </w:tc>
        <w:tc>
          <w:tcPr>
            <w:tcW w:w="1276" w:type="dxa"/>
            <w:noWrap w:val="0"/>
            <w:vAlign w:val="top"/>
          </w:tcPr>
          <w:p>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bidi="ar"/>
              </w:rPr>
              <w:t>4</w:t>
            </w:r>
          </w:p>
        </w:tc>
        <w:tc>
          <w:tcPr>
            <w:tcW w:w="1384" w:type="dxa"/>
            <w:noWrap w:val="0"/>
            <w:vAlign w:val="top"/>
          </w:tcPr>
          <w:p>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bidi="ar"/>
              </w:rPr>
              <w:t>套</w:t>
            </w:r>
          </w:p>
        </w:tc>
        <w:tc>
          <w:tcPr>
            <w:tcW w:w="1860" w:type="dxa"/>
            <w:noWrap w:val="0"/>
            <w:vAlign w:val="top"/>
          </w:tcPr>
          <w:p>
            <w:pPr>
              <w:spacing w:line="360" w:lineRule="auto"/>
              <w:jc w:val="center"/>
              <w:rPr>
                <w:rFonts w:hint="eastAsia" w:ascii="宋体" w:hAnsi="宋体" w:eastAsia="宋体" w:cs="宋体"/>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2" w:type="dxa"/>
            <w:noWrap w:val="0"/>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3124" w:type="dxa"/>
            <w:noWrap w:val="0"/>
            <w:vAlign w:val="top"/>
          </w:tcPr>
          <w:p>
            <w:pPr>
              <w:spacing w:line="360" w:lineRule="auto"/>
              <w:jc w:val="left"/>
              <w:rPr>
                <w:rFonts w:hint="eastAsia" w:ascii="宋体" w:hAnsi="宋体" w:eastAsia="宋体" w:cs="宋体"/>
                <w:color w:val="000000"/>
                <w:sz w:val="24"/>
                <w:szCs w:val="24"/>
              </w:rPr>
            </w:pPr>
            <w:r>
              <w:rPr>
                <w:rFonts w:hint="eastAsia" w:ascii="宋体" w:hAnsi="宋体" w:eastAsia="宋体" w:cs="宋体"/>
                <w:sz w:val="24"/>
                <w:szCs w:val="24"/>
                <w:lang w:val="zh-CN" w:bidi="zh-CN"/>
              </w:rPr>
              <w:t>辅助系统</w:t>
            </w:r>
          </w:p>
        </w:tc>
        <w:tc>
          <w:tcPr>
            <w:tcW w:w="1276" w:type="dxa"/>
            <w:noWrap w:val="0"/>
            <w:vAlign w:val="top"/>
          </w:tcPr>
          <w:p>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bidi="ar"/>
              </w:rPr>
              <w:t>4</w:t>
            </w:r>
          </w:p>
        </w:tc>
        <w:tc>
          <w:tcPr>
            <w:tcW w:w="1384" w:type="dxa"/>
            <w:noWrap w:val="0"/>
            <w:vAlign w:val="top"/>
          </w:tcPr>
          <w:p>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bidi="ar"/>
              </w:rPr>
              <w:t>套</w:t>
            </w:r>
          </w:p>
        </w:tc>
        <w:tc>
          <w:tcPr>
            <w:tcW w:w="1860" w:type="dxa"/>
            <w:noWrap w:val="0"/>
            <w:vAlign w:val="top"/>
          </w:tcPr>
          <w:p>
            <w:pPr>
              <w:spacing w:line="360" w:lineRule="auto"/>
              <w:jc w:val="center"/>
              <w:rPr>
                <w:rFonts w:hint="eastAsia" w:ascii="宋体" w:hAnsi="宋体" w:eastAsia="宋体" w:cs="宋体"/>
                <w:sz w:val="24"/>
                <w:szCs w:val="24"/>
                <w:lang w:bidi="ar"/>
              </w:rPr>
            </w:pPr>
          </w:p>
        </w:tc>
      </w:tr>
    </w:tbl>
    <w:p>
      <w:pPr>
        <w:pStyle w:val="43"/>
        <w:keepNext w:val="0"/>
        <w:keepLines w:val="0"/>
        <w:pageBreakBefore w:val="0"/>
        <w:kinsoku/>
        <w:wordWrap/>
        <w:overflowPunct/>
        <w:topLinePunct w:val="0"/>
        <w:autoSpaceDE/>
        <w:autoSpaceDN/>
        <w:bidi w:val="0"/>
        <w:spacing w:beforeLines="0" w:after="0"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rPr>
        <w:t>二、产品技术参数要求</w:t>
      </w:r>
    </w:p>
    <w:p>
      <w:pPr>
        <w:spacing w:line="360" w:lineRule="auto"/>
        <w:ind w:firstLine="482" w:firstLineChars="200"/>
        <w:jc w:val="left"/>
        <w:rPr>
          <w:rFonts w:hint="eastAsia" w:ascii="宋体" w:hAnsi="宋体" w:eastAsia="宋体" w:cs="宋体"/>
          <w:b/>
          <w:bCs/>
          <w:color w:val="0D0D0D"/>
          <w:sz w:val="24"/>
        </w:rPr>
      </w:pPr>
      <w:bookmarkStart w:id="162" w:name="_Toc450918742"/>
      <w:bookmarkStart w:id="163" w:name="_Toc367"/>
      <w:bookmarkStart w:id="164" w:name="_Toc16400"/>
      <w:r>
        <w:rPr>
          <w:rFonts w:hint="eastAsia" w:ascii="宋体" w:hAnsi="宋体" w:eastAsia="宋体" w:cs="宋体"/>
          <w:b/>
          <w:bCs/>
          <w:color w:val="0D0D0D"/>
          <w:sz w:val="24"/>
        </w:rPr>
        <w:t>1.挥发性有机物在线分析仪</w:t>
      </w:r>
    </w:p>
    <w:p>
      <w:pPr>
        <w:spacing w:line="360" w:lineRule="auto"/>
        <w:ind w:firstLine="480" w:firstLineChars="200"/>
        <w:jc w:val="left"/>
        <w:rPr>
          <w:rFonts w:hint="eastAsia" w:ascii="宋体" w:hAnsi="宋体" w:eastAsia="宋体" w:cs="宋体"/>
          <w:color w:val="0D0D0D"/>
          <w:sz w:val="24"/>
        </w:rPr>
      </w:pPr>
      <w:r>
        <w:rPr>
          <w:rFonts w:hint="eastAsia" w:ascii="宋体" w:hAnsi="宋体" w:eastAsia="宋体" w:cs="宋体"/>
          <w:color w:val="0D0D0D"/>
          <w:sz w:val="24"/>
        </w:rPr>
        <w:t>①使用环境：供电电压：220(±10%) V AC/(50-60) Hz；站房内的系统部件环境温度：（22～26）℃；外部的系统部件环境温度：（-30～60）℃，湿度：(0-90%)RH。</w:t>
      </w:r>
    </w:p>
    <w:p>
      <w:pPr>
        <w:spacing w:line="360" w:lineRule="auto"/>
        <w:ind w:firstLine="480" w:firstLineChars="200"/>
        <w:jc w:val="left"/>
        <w:rPr>
          <w:rFonts w:hint="eastAsia" w:ascii="宋体" w:hAnsi="宋体" w:eastAsia="宋体" w:cs="宋体"/>
          <w:color w:val="0D0D0D"/>
          <w:sz w:val="24"/>
        </w:rPr>
      </w:pPr>
      <w:r>
        <w:rPr>
          <w:rFonts w:hint="eastAsia" w:ascii="宋体" w:hAnsi="宋体" w:eastAsia="宋体" w:cs="宋体"/>
          <w:color w:val="0D0D0D"/>
          <w:sz w:val="24"/>
        </w:rPr>
        <w:t>②测量方法：水中VOCs取样方法：吹扫--捕集；苯系物监测方法：GC-FID；卤代烃监测方法：GC-ECD；要求一次进样分析同时出19种监测组分数据。</w:t>
      </w:r>
    </w:p>
    <w:p>
      <w:pPr>
        <w:spacing w:line="360" w:lineRule="auto"/>
        <w:ind w:firstLine="480" w:firstLineChars="200"/>
        <w:jc w:val="left"/>
        <w:rPr>
          <w:rFonts w:hint="eastAsia" w:ascii="宋体" w:hAnsi="宋体" w:eastAsia="宋体" w:cs="宋体"/>
          <w:color w:val="0D0D0D"/>
          <w:sz w:val="24"/>
        </w:rPr>
      </w:pPr>
      <w:r>
        <w:rPr>
          <w:rFonts w:hint="eastAsia" w:ascii="宋体" w:hAnsi="宋体" w:eastAsia="宋体" w:cs="宋体"/>
          <w:color w:val="0D0D0D"/>
          <w:sz w:val="24"/>
        </w:rPr>
        <w:t>③测量项目：至少包括以下 19 种有机物定性定量分析（三氯甲烷、 二氯甲烷、1,2-二氯乙烷、1,1-二氯乙烯、顺式-1,2-二氯乙烯、反式-1,2-二 氯乙烯、三氯乙烯、四氯乙烯、三溴甲烷、苯乙烯、苯、甲苯、乙苯、间-对二 甲苯、邻二甲苯、异丙苯、氯苯、1,2-二氯苯、1,4-二氯苯）。</w:t>
      </w:r>
    </w:p>
    <w:p>
      <w:pPr>
        <w:spacing w:line="360" w:lineRule="auto"/>
        <w:ind w:firstLine="480" w:firstLineChars="200"/>
        <w:jc w:val="left"/>
        <w:rPr>
          <w:rFonts w:hint="eastAsia" w:ascii="宋体" w:hAnsi="宋体" w:eastAsia="宋体" w:cs="宋体"/>
          <w:color w:val="0D0D0D"/>
          <w:sz w:val="24"/>
        </w:rPr>
      </w:pPr>
      <w:r>
        <w:rPr>
          <w:rFonts w:hint="eastAsia" w:ascii="宋体" w:hAnsi="宋体" w:eastAsia="宋体" w:cs="宋体"/>
          <w:color w:val="0D0D0D"/>
          <w:sz w:val="24"/>
        </w:rPr>
        <w:t>④系统组成：水中VOCs在线监测系统由吹扫捕集预处理系统、挥发性有机物监测子系统以及数据采集与处理子系统构成。数据采集与处理子系统由工控机和系统监测软件构成。系统监测软件安装于工控机内，用于监测和汇总所有的气体浓度信息和工作状态信息，同时生成报表、存储数据、记录历史数据、与环保部门联网通信等功能。传输单元安装于机柜内部，将测量的参数转换成4～20mA、RS485信号、或是以太网通讯送给客户的DCS系统。</w:t>
      </w:r>
    </w:p>
    <w:p>
      <w:pPr>
        <w:spacing w:line="360" w:lineRule="auto"/>
        <w:ind w:firstLine="482" w:firstLineChars="200"/>
        <w:jc w:val="left"/>
        <w:rPr>
          <w:rFonts w:hint="eastAsia" w:ascii="宋体" w:hAnsi="宋体" w:eastAsia="宋体" w:cs="宋体"/>
          <w:b/>
          <w:bCs/>
          <w:color w:val="0D0D0D"/>
          <w:sz w:val="24"/>
        </w:rPr>
      </w:pPr>
      <w:r>
        <w:rPr>
          <w:rFonts w:hint="eastAsia" w:ascii="宋体" w:hAnsi="宋体" w:eastAsia="宋体" w:cs="宋体"/>
          <w:b/>
          <w:bCs/>
          <w:color w:val="0D0D0D"/>
          <w:sz w:val="24"/>
        </w:rPr>
        <w:t>系统技术要求</w:t>
      </w:r>
    </w:p>
    <w:p>
      <w:pPr>
        <w:spacing w:line="360" w:lineRule="auto"/>
        <w:ind w:firstLine="480" w:firstLineChars="200"/>
        <w:jc w:val="left"/>
        <w:rPr>
          <w:rFonts w:hint="eastAsia" w:ascii="宋体" w:hAnsi="宋体" w:eastAsia="宋体" w:cs="宋体"/>
          <w:color w:val="0D0D0D"/>
          <w:sz w:val="24"/>
        </w:rPr>
      </w:pPr>
      <w:r>
        <w:rPr>
          <w:rFonts w:hint="eastAsia" w:ascii="宋体" w:hAnsi="宋体" w:eastAsia="宋体" w:cs="宋体"/>
          <w:color w:val="0D0D0D"/>
          <w:sz w:val="24"/>
        </w:rPr>
        <w:t>⑤定量下限：≤地表水标准限值的 1/2。</w:t>
      </w:r>
    </w:p>
    <w:p>
      <w:pPr>
        <w:spacing w:line="360" w:lineRule="auto"/>
        <w:ind w:firstLine="480" w:firstLineChars="200"/>
        <w:jc w:val="left"/>
        <w:rPr>
          <w:rFonts w:hint="eastAsia" w:ascii="宋体" w:hAnsi="宋体" w:eastAsia="宋体" w:cs="宋体"/>
          <w:color w:val="0D0D0D"/>
          <w:sz w:val="24"/>
        </w:rPr>
      </w:pPr>
      <w:r>
        <w:rPr>
          <w:rFonts w:hint="eastAsia" w:ascii="宋体" w:hAnsi="宋体" w:eastAsia="宋体" w:cs="宋体"/>
          <w:color w:val="0D0D0D"/>
          <w:sz w:val="24"/>
        </w:rPr>
        <w:t>⑥系统定性重复性：≤1.0%，系统定量重复性：≤10%，系统示值误差：±10%。</w:t>
      </w:r>
    </w:p>
    <w:p>
      <w:pPr>
        <w:spacing w:line="360" w:lineRule="auto"/>
        <w:ind w:firstLine="480" w:firstLineChars="200"/>
        <w:jc w:val="left"/>
        <w:rPr>
          <w:rFonts w:hint="eastAsia" w:ascii="宋体" w:hAnsi="宋体" w:eastAsia="宋体" w:cs="宋体"/>
          <w:color w:val="0D0D0D"/>
          <w:sz w:val="24"/>
        </w:rPr>
      </w:pPr>
      <w:r>
        <w:rPr>
          <w:rFonts w:hint="eastAsia" w:ascii="宋体" w:hAnsi="宋体" w:eastAsia="宋体" w:cs="宋体"/>
          <w:color w:val="0D0D0D"/>
          <w:sz w:val="24"/>
        </w:rPr>
        <w:t>⑦系统标样加入试验：80% ~120%。</w:t>
      </w:r>
    </w:p>
    <w:p>
      <w:pPr>
        <w:spacing w:line="360" w:lineRule="auto"/>
        <w:ind w:firstLine="480" w:firstLineChars="200"/>
        <w:jc w:val="left"/>
        <w:rPr>
          <w:rFonts w:hint="eastAsia" w:ascii="宋体" w:hAnsi="宋体" w:eastAsia="宋体" w:cs="宋体"/>
          <w:color w:val="0D0D0D"/>
          <w:sz w:val="24"/>
        </w:rPr>
      </w:pPr>
      <w:r>
        <w:rPr>
          <w:rFonts w:hint="eastAsia" w:ascii="宋体" w:hAnsi="宋体" w:eastAsia="宋体" w:cs="宋体"/>
          <w:color w:val="0D0D0D"/>
          <w:sz w:val="24"/>
        </w:rPr>
        <w:t>⑧系统短期稳定性：≤10%（24 h）。</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⑨系统长期稳定性：≤15%（7d）。</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⑩系统线性：R≥0.99。</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⑪程序升温重复性：≤1%。</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⑫系统示值误差：±10%。</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⑬系统最小维护周期：≥168h。</w:t>
      </w:r>
    </w:p>
    <w:p>
      <w:pPr>
        <w:spacing w:line="360" w:lineRule="auto"/>
        <w:ind w:firstLine="482" w:firstLineChars="200"/>
        <w:jc w:val="left"/>
        <w:rPr>
          <w:rFonts w:hint="eastAsia" w:ascii="宋体" w:hAnsi="宋体" w:eastAsia="宋体" w:cs="宋体"/>
          <w:b/>
          <w:bCs/>
          <w:color w:val="0D0D0D"/>
          <w:sz w:val="24"/>
        </w:rPr>
      </w:pPr>
      <w:r>
        <w:rPr>
          <w:rFonts w:hint="eastAsia" w:ascii="宋体" w:hAnsi="宋体" w:eastAsia="宋体" w:cs="宋体"/>
          <w:b/>
          <w:bCs/>
          <w:color w:val="0D0D0D"/>
          <w:sz w:val="24"/>
        </w:rPr>
        <w:t>气相色谱仪柱温箱</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⑭炉膛尺寸：28cm×30cm×18cm（</w:t>
      </w:r>
      <w:r>
        <w:rPr>
          <w:rFonts w:hint="eastAsia" w:ascii="宋体" w:hAnsi="宋体" w:eastAsia="宋体" w:cs="宋体"/>
          <w:sz w:val="21"/>
          <w:szCs w:val="21"/>
        </w:rPr>
        <w:t>±2cm</w:t>
      </w:r>
      <w:r>
        <w:rPr>
          <w:rFonts w:hint="eastAsia" w:ascii="宋体" w:hAnsi="宋体" w:eastAsia="宋体" w:cs="宋体"/>
          <w:sz w:val="24"/>
        </w:rPr>
        <w:t>）。</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⑮操作温度范围：高于室温+4℃～450℃；使用液氮冷阱：-80℃至450℃；使用干冰冷阱：-40℃至450℃。</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⑯可设定程序升温：≥30阶31平台。</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▲⑰可设定最高升温速率：≥250℃/min（以0.01℃/min增加）。</w:t>
      </w:r>
      <w:r>
        <w:rPr>
          <w:rFonts w:hint="eastAsia" w:ascii="宋体" w:hAnsi="宋体" w:eastAsia="宋体" w:cs="宋体"/>
          <w:b/>
          <w:bCs/>
          <w:sz w:val="24"/>
        </w:rPr>
        <w:t>（提供软件操作界面截图加盖投标人公章）</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▲⑱柱温箱冷却降温（25℃室温） 从450℃ 降到50℃≤3.5min，从350℃ 降到50℃≤2.7min，炉膛温度均匀度应不大于2.5%。</w:t>
      </w:r>
      <w:r>
        <w:rPr>
          <w:rFonts w:hint="eastAsia" w:ascii="宋体" w:hAnsi="宋体" w:eastAsia="宋体" w:cs="宋体"/>
          <w:b/>
          <w:bCs/>
          <w:sz w:val="24"/>
        </w:rPr>
        <w:t>（提供计量检测测试机构出具的检测报告复印件加盖投标人公章）</w:t>
      </w:r>
    </w:p>
    <w:p>
      <w:pPr>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进样口</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⑲最高使用温度≥450°C。</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⑳高精度电子压力/流量控制，柱头压力设定范围：0～100psi;（可选0～150psi）；柱头压力控制设定精度：0.001psi。</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㉑最大分流比≥1:10000。</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㉒快速翻转进样口设计，无需工具拆卸即可徒手拆卸进样口，方便衬管更换和进样口维护。</w:t>
      </w:r>
    </w:p>
    <w:p>
      <w:pPr>
        <w:spacing w:line="360" w:lineRule="auto"/>
        <w:ind w:firstLine="482" w:firstLineChars="200"/>
        <w:jc w:val="left"/>
        <w:rPr>
          <w:rFonts w:hint="eastAsia" w:ascii="宋体" w:hAnsi="宋体" w:eastAsia="宋体" w:cs="宋体"/>
          <w:sz w:val="24"/>
        </w:rPr>
      </w:pPr>
      <w:r>
        <w:rPr>
          <w:rFonts w:hint="eastAsia" w:ascii="宋体" w:hAnsi="宋体" w:eastAsia="宋体" w:cs="宋体"/>
          <w:b/>
          <w:bCs/>
          <w:sz w:val="24"/>
        </w:rPr>
        <w:t>检测器</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▲㉓氢火焰离子化检测器（FID）：高精度电子流量/压力控制，最高使用温度≥450°C，最小检测限≤1.1 pg/s（正十六烷）。</w:t>
      </w:r>
      <w:r>
        <w:rPr>
          <w:rFonts w:hint="eastAsia" w:ascii="宋体" w:hAnsi="宋体" w:eastAsia="宋体" w:cs="宋体"/>
          <w:b/>
          <w:bCs/>
          <w:sz w:val="24"/>
        </w:rPr>
        <w:t>（提供计量检测测试机构出具的检测报告复印件加盖投标人公章）</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▲㉔数据采集频率：≥1000Hz。</w:t>
      </w:r>
      <w:r>
        <w:rPr>
          <w:rFonts w:hint="eastAsia" w:ascii="宋体" w:hAnsi="宋体" w:eastAsia="宋体" w:cs="宋体"/>
          <w:b/>
          <w:bCs/>
          <w:sz w:val="24"/>
        </w:rPr>
        <w:t>（提供软件操作界面截图加盖投标人公章）</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▲㉕配备氢火焰离子化检测器阻火器装置，包括检测器安装座，检测器安装座的顶部设置有主体安装座，主体安装座的内部设置有收集极基座，其内壁通过螺纹连接有出气嘴排气。</w:t>
      </w:r>
      <w:r>
        <w:rPr>
          <w:rFonts w:hint="eastAsia" w:ascii="宋体" w:hAnsi="宋体" w:eastAsia="宋体" w:cs="宋体"/>
          <w:b/>
          <w:bCs/>
          <w:sz w:val="24"/>
        </w:rPr>
        <w:t>（提供认证证书复印件加盖投标人公章）</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▲㉖微池电子捕获检测器（ECD）：使用温度≥400℃，最低检出限：≤0.004 pg/mL（丙体六六六）。</w:t>
      </w:r>
      <w:r>
        <w:rPr>
          <w:rFonts w:hint="eastAsia" w:ascii="宋体" w:hAnsi="宋体" w:eastAsia="宋体" w:cs="宋体"/>
          <w:b/>
          <w:bCs/>
          <w:sz w:val="24"/>
        </w:rPr>
        <w:t>（提供计量检测测试机构出具的检测报告复印件加盖投标人公章）</w:t>
      </w:r>
    </w:p>
    <w:p>
      <w:pPr>
        <w:spacing w:line="360" w:lineRule="auto"/>
        <w:ind w:firstLine="482" w:firstLineChars="200"/>
        <w:jc w:val="left"/>
        <w:rPr>
          <w:rFonts w:hint="eastAsia" w:ascii="宋体" w:hAnsi="宋体" w:eastAsia="宋体" w:cs="宋体"/>
          <w:sz w:val="24"/>
        </w:rPr>
      </w:pPr>
      <w:r>
        <w:rPr>
          <w:rFonts w:hint="eastAsia" w:ascii="宋体" w:hAnsi="宋体" w:eastAsia="宋体" w:cs="宋体"/>
          <w:b/>
          <w:bCs/>
          <w:sz w:val="24"/>
        </w:rPr>
        <w:t>吹扫捕集系统</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㉗吹扫管：5ml、25ml可选。</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㉘加热方式：直接电阻加热。</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㉙最高使用温度：≥350℃，最大升温速率：＞2400℃/分钟，降温速率：≥240℃/min（在50秒钟内，200℃降至30℃）。</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㉚红外样品加热器，保证样品中心和边缘温度一致，受热均匀。可观察样品吹扫状况。</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㉛系统所有流路电子压力控制的参数具有设定和控制功能，具备触发气相色谱仪工作的通讯功能。</w:t>
      </w:r>
    </w:p>
    <w:p>
      <w:pPr>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数据采集控制系统</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㉜应具有异常信息反馈功能（超量程报警、缺试剂和标气报警、部件故障报警和超标报警等）。意外断电再通电后应具有自动排出断电前正在测定的待测物质和试剂的功能，并自动清洗各通道、复位到重新开始测定状态。若在断电前处于加热状态，再度通电后能自动冷却，并复位到重新开始测定的状态。</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㉝系统应具有数据和运行日志采集、存储、处理、显示和输出等功能，应能存储至少 12 个月的原始数据和运行日志，并具备三级操作管理权限，一般操作人员只可查询相应日志和仪器设置参数。系统应具有标样核查和校准功能，并将结果记入运行日志内。</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㉞应具备对不同测试数据添加维护（M）、故障（D）、校验（C）和标样核查（SC）等标识的功能。</w:t>
      </w:r>
    </w:p>
    <w:p>
      <w:pPr>
        <w:spacing w:line="360" w:lineRule="auto"/>
        <w:ind w:firstLine="482" w:firstLineChars="200"/>
        <w:jc w:val="left"/>
        <w:rPr>
          <w:rFonts w:hint="eastAsia" w:ascii="宋体" w:hAnsi="宋体" w:eastAsia="宋体" w:cs="宋体"/>
          <w:b/>
          <w:bCs/>
          <w:sz w:val="24"/>
        </w:rPr>
      </w:pPr>
    </w:p>
    <w:p>
      <w:pPr>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2.氰化物在线分析仪</w:t>
      </w:r>
    </w:p>
    <w:p>
      <w:pPr>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功能要求</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①具有仪器基本参数贮存、显示、断电保护与自动恢复功能。</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②具有时间设置功能，可根据需要设定监测频次。</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③具有异常信息记录、上传功能，如零部件故障、超量程报警、超标报警等信息。 </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④具有自动清洗功能。</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⑤具有定期自动校准功能。</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⑥具备仪器运行状态信息及详细的日志输出，接受远程控制功能。</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⑦具有双向数据传输功能。</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⑧输出信号采用4-20mA和RS-485/232或MODBUS标准接口。</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⑨可存至少3年以上的测量数据。</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⑩采用专有的“氰化氢蒸馏”、“氰化氢冷凝”、“氰化氢吸收”、“气液路混合”、“尾气吸收”和“测试及清洗流程”等技术。</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⑪测量废液和清洗废液分开存放，并在安全方面做了严格的防护措施。</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▲⑫比色装置具备温度补偿功能，该光源温度补偿装置包括一用以检测所述光源的温度的光源温度检测单元，光源温度检测单元设于光源的侧端并与光源接触，且该光源温度检测单元与计算单元电连接。</w:t>
      </w:r>
      <w:r>
        <w:rPr>
          <w:rFonts w:hint="eastAsia" w:ascii="宋体" w:hAnsi="宋体" w:eastAsia="宋体" w:cs="宋体"/>
          <w:b/>
          <w:bCs/>
          <w:sz w:val="24"/>
        </w:rPr>
        <w:t>（提供认证证书复印件加盖投标人公章）</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⑬带自动进样稀释功能，可先将指定剂量的待稀释对象和稀释剂进样至样品室；之后将样品室中的混合液反抽一部分排走；再将样品室中剩余的混合液全部反抽至计量管；最后对计量管中的混合液重新计量，并将计量后的混合液重新排入至样品室；可将一次稀释额外引入的进样误差控制在±0.8％，二次稀释额外引入的进样误差控制在±1.5％。</w:t>
      </w:r>
      <w:r>
        <w:rPr>
          <w:rFonts w:hint="eastAsia" w:ascii="宋体" w:hAnsi="宋体" w:eastAsia="宋体" w:cs="宋体"/>
          <w:b/>
          <w:bCs/>
          <w:sz w:val="24"/>
        </w:rPr>
        <w:t>（提供认证证书复印件加盖投标人公章）</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▲⑭具备背景光补偿装置，该背景光补偿装置包括背景光路光检单元，背景光路光检单元邻设于光源的侧端，且该背景光路光检单元与计算单元电连接。</w:t>
      </w:r>
      <w:r>
        <w:rPr>
          <w:rFonts w:hint="eastAsia" w:ascii="宋体" w:hAnsi="宋体" w:eastAsia="宋体" w:cs="宋体"/>
          <w:b/>
          <w:bCs/>
          <w:sz w:val="24"/>
        </w:rPr>
        <w:t>（提供认证证书复印件加盖投标人公章）</w:t>
      </w:r>
    </w:p>
    <w:p>
      <w:pPr>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性能要求</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①参考标准：GB/T 7486-1987 水质 氰化物的测定 第一部分 总氰化物的测定。</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▲②测量原理:“异烟酸-巴比妥酸”分光光度法。</w:t>
      </w:r>
      <w:r>
        <w:rPr>
          <w:rFonts w:hint="eastAsia" w:ascii="宋体" w:hAnsi="宋体" w:eastAsia="宋体" w:cs="宋体"/>
          <w:b/>
          <w:bCs/>
          <w:sz w:val="24"/>
        </w:rPr>
        <w:t>（提供承诺函加盖投标人公章）</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③量程:0.01 –1 mg/L。</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④电压干扰：±2.5%。</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⑤示值误差:±3%F.S.；</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⑥重复性: ≤1.5%。</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⑦零点漂移: ±2.0% F.S.；量程漂移: ±2.0% F.S.。</w:t>
      </w:r>
    </w:p>
    <w:p>
      <w:pPr>
        <w:spacing w:line="360" w:lineRule="auto"/>
        <w:ind w:firstLine="482" w:firstLineChars="200"/>
        <w:jc w:val="left"/>
        <w:rPr>
          <w:rFonts w:hint="eastAsia" w:ascii="宋体" w:hAnsi="宋体" w:eastAsia="宋体" w:cs="宋体"/>
          <w:b/>
          <w:bCs/>
          <w:sz w:val="24"/>
        </w:rPr>
      </w:pPr>
    </w:p>
    <w:p>
      <w:pPr>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3.水中油在线分析仪</w:t>
      </w:r>
    </w:p>
    <w:p>
      <w:pPr>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功能要求</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①具有仪器基本参数贮存、显示、断电保护与自动恢复功能。</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②具有时间设置功能，可根据需要设定监测频次。</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③具有异常信息记录、上传功能，如零部件故障、超量程报警、超标报警等信息。 </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④具有自动清洗功能。</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⑤具有定期自动校准功能。</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⑥具备仪器运行状态信息及详细的日志输出，接受远程控制功能。</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⑦具有双向数据传输功能。</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⑧输出信号采用4-20mA和RS-485/232或MODBUS标准接口。</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⑨可存≥3年以上的测量数据。</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⑩采用紫外荧光技术，加上萃取技术。</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⑪测量废液和清洗废液分开存放，并在安全方面做了严格的防护措施。</w:t>
      </w:r>
    </w:p>
    <w:p>
      <w:pPr>
        <w:spacing w:line="360" w:lineRule="auto"/>
        <w:ind w:firstLine="480" w:firstLineChars="200"/>
        <w:jc w:val="left"/>
        <w:rPr>
          <w:rFonts w:hint="eastAsia" w:ascii="宋体" w:hAnsi="宋体" w:eastAsia="宋体" w:cs="宋体"/>
          <w:b/>
          <w:bCs/>
          <w:color w:val="0D0D0D"/>
          <w:sz w:val="24"/>
        </w:rPr>
      </w:pPr>
      <w:r>
        <w:rPr>
          <w:rFonts w:hint="eastAsia" w:ascii="宋体" w:hAnsi="宋体" w:eastAsia="宋体" w:cs="宋体"/>
          <w:sz w:val="24"/>
        </w:rPr>
        <w:t>▲⑫比色装置具备温度补偿功能，该光源温度补偿装置包括一用以检测所述光源的温度的光源温度检测单元，光源温度检测单元设于光源的侧端并与光源接触，且该光源温度检测单元与计算单元电连接。</w:t>
      </w:r>
      <w:r>
        <w:rPr>
          <w:rFonts w:hint="eastAsia" w:ascii="宋体" w:hAnsi="宋体" w:eastAsia="宋体" w:cs="宋体"/>
          <w:b/>
          <w:bCs/>
          <w:sz w:val="24"/>
        </w:rPr>
        <w:t>（提供认证证书复印</w:t>
      </w:r>
      <w:r>
        <w:rPr>
          <w:rFonts w:hint="eastAsia" w:ascii="宋体" w:hAnsi="宋体" w:eastAsia="宋体" w:cs="宋体"/>
          <w:b/>
          <w:bCs/>
          <w:color w:val="0D0D0D"/>
          <w:sz w:val="24"/>
        </w:rPr>
        <w:t>件加盖投标人公章）</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color w:val="0D0D0D"/>
          <w:sz w:val="24"/>
        </w:rPr>
        <w:t>▲⑬带自动进样稀释功能，可先将指定剂量的待稀释对象和稀释剂进样至样品室；之后将样品室中的混合液反抽一部分排走；再将样品室中剩余的混合液全部反抽至计量管；最后对计量管中的混合液重新计量，并将计量后的混合液重新排入至样品室；可将一次稀释额外引入的进样误差控制在±0.8％，二次稀释额外引入的进样误差控制在±1.5％。</w:t>
      </w:r>
      <w:r>
        <w:rPr>
          <w:rFonts w:hint="eastAsia" w:ascii="宋体" w:hAnsi="宋体" w:eastAsia="宋体" w:cs="宋体"/>
          <w:b/>
          <w:bCs/>
          <w:color w:val="0D0D0D"/>
          <w:sz w:val="24"/>
        </w:rPr>
        <w:t>（提供认证证书</w:t>
      </w:r>
      <w:r>
        <w:rPr>
          <w:rFonts w:hint="eastAsia" w:ascii="宋体" w:hAnsi="宋体" w:eastAsia="宋体" w:cs="宋体"/>
          <w:b/>
          <w:bCs/>
          <w:sz w:val="24"/>
        </w:rPr>
        <w:t>复印件加盖投标人公章）</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▲⑭具备背景光补偿装置，该背景光补偿装置包括背景光路光检单元，背景光路光检单元邻设于光源的侧端，且该背景光路光检单元与计算单元电连接。</w:t>
      </w:r>
      <w:r>
        <w:rPr>
          <w:rFonts w:hint="eastAsia" w:ascii="宋体" w:hAnsi="宋体" w:eastAsia="宋体" w:cs="宋体"/>
          <w:b/>
          <w:bCs/>
          <w:sz w:val="24"/>
        </w:rPr>
        <w:t>（提供认证证书复印件加盖投标人公章）</w:t>
      </w:r>
    </w:p>
    <w:p>
      <w:pPr>
        <w:spacing w:line="360" w:lineRule="auto"/>
        <w:ind w:firstLine="482" w:firstLineChars="200"/>
        <w:jc w:val="left"/>
        <w:rPr>
          <w:rFonts w:hint="eastAsia" w:ascii="宋体" w:hAnsi="宋体" w:eastAsia="宋体" w:cs="宋体"/>
          <w:b/>
          <w:bCs/>
          <w:color w:val="0D0D0D"/>
          <w:sz w:val="24"/>
        </w:rPr>
      </w:pPr>
      <w:r>
        <w:rPr>
          <w:rFonts w:hint="eastAsia" w:ascii="宋体" w:hAnsi="宋体" w:eastAsia="宋体" w:cs="宋体"/>
          <w:b/>
          <w:bCs/>
          <w:color w:val="0D0D0D"/>
          <w:sz w:val="24"/>
        </w:rPr>
        <w:t>性能要求</w:t>
      </w:r>
    </w:p>
    <w:p>
      <w:pPr>
        <w:spacing w:line="360" w:lineRule="auto"/>
        <w:ind w:firstLine="480" w:firstLineChars="200"/>
        <w:jc w:val="left"/>
        <w:rPr>
          <w:rFonts w:hint="eastAsia" w:ascii="宋体" w:hAnsi="宋体" w:eastAsia="宋体" w:cs="宋体"/>
          <w:color w:val="0D0D0D"/>
          <w:sz w:val="24"/>
        </w:rPr>
      </w:pPr>
      <w:r>
        <w:rPr>
          <w:rFonts w:hint="eastAsia" w:ascii="宋体" w:hAnsi="宋体" w:eastAsia="宋体" w:cs="宋体"/>
          <w:color w:val="0D0D0D"/>
          <w:sz w:val="24"/>
        </w:rPr>
        <w:t>①参考标准《 水质 石油类的测定 荧光分光光度法》</w:t>
      </w:r>
    </w:p>
    <w:p>
      <w:pPr>
        <w:spacing w:line="360" w:lineRule="auto"/>
        <w:ind w:firstLine="480" w:firstLineChars="200"/>
        <w:jc w:val="left"/>
        <w:rPr>
          <w:rFonts w:hint="eastAsia" w:ascii="宋体" w:hAnsi="宋体" w:eastAsia="宋体" w:cs="宋体"/>
          <w:color w:val="0D0D0D"/>
          <w:sz w:val="24"/>
        </w:rPr>
      </w:pPr>
      <w:r>
        <w:rPr>
          <w:rFonts w:hint="eastAsia" w:ascii="宋体" w:hAnsi="宋体" w:eastAsia="宋体" w:cs="宋体"/>
          <w:color w:val="0D0D0D"/>
          <w:sz w:val="24"/>
        </w:rPr>
        <w:t>②测量原理：紫外荧光分光光度法</w:t>
      </w:r>
    </w:p>
    <w:p>
      <w:pPr>
        <w:spacing w:line="360" w:lineRule="auto"/>
        <w:ind w:firstLine="480" w:firstLineChars="200"/>
        <w:jc w:val="left"/>
        <w:rPr>
          <w:rFonts w:hint="eastAsia" w:ascii="宋体" w:hAnsi="宋体" w:eastAsia="宋体" w:cs="宋体"/>
          <w:color w:val="0D0D0D"/>
          <w:sz w:val="24"/>
        </w:rPr>
      </w:pPr>
      <w:r>
        <w:rPr>
          <w:rFonts w:hint="eastAsia" w:ascii="宋体" w:hAnsi="宋体" w:eastAsia="宋体" w:cs="宋体"/>
          <w:color w:val="0D0D0D"/>
          <w:sz w:val="24"/>
        </w:rPr>
        <w:t>③量程:0.02 –0.2 mg/L；示值误差:±5%F.S.；重复性: ≤2.0%。</w:t>
      </w:r>
    </w:p>
    <w:p>
      <w:pPr>
        <w:spacing w:line="360" w:lineRule="auto"/>
        <w:ind w:firstLine="480" w:firstLineChars="200"/>
        <w:jc w:val="left"/>
        <w:rPr>
          <w:rFonts w:hint="eastAsia" w:ascii="宋体" w:hAnsi="宋体" w:eastAsia="宋体" w:cs="宋体"/>
          <w:color w:val="0D0D0D"/>
          <w:sz w:val="24"/>
        </w:rPr>
      </w:pPr>
      <w:r>
        <w:rPr>
          <w:rFonts w:hint="eastAsia" w:ascii="宋体" w:hAnsi="宋体" w:eastAsia="宋体" w:cs="宋体"/>
          <w:color w:val="0D0D0D"/>
          <w:sz w:val="24"/>
        </w:rPr>
        <w:t>④零点漂移: ≤0.015mg/L；量程漂移: ±2.5% F.S.。</w:t>
      </w:r>
    </w:p>
    <w:p>
      <w:pPr>
        <w:spacing w:line="360" w:lineRule="auto"/>
        <w:ind w:firstLine="482" w:firstLineChars="200"/>
        <w:jc w:val="left"/>
        <w:rPr>
          <w:rFonts w:hint="eastAsia" w:ascii="宋体" w:hAnsi="宋体" w:eastAsia="宋体" w:cs="宋体"/>
          <w:b/>
          <w:bCs/>
          <w:color w:val="0D0D0D"/>
          <w:sz w:val="24"/>
        </w:rPr>
      </w:pPr>
    </w:p>
    <w:p>
      <w:pPr>
        <w:spacing w:line="360" w:lineRule="auto"/>
        <w:ind w:firstLine="482" w:firstLineChars="200"/>
        <w:jc w:val="left"/>
        <w:rPr>
          <w:rFonts w:hint="eastAsia" w:ascii="宋体" w:hAnsi="宋体" w:eastAsia="宋体" w:cs="宋体"/>
          <w:b/>
          <w:bCs/>
          <w:color w:val="0D0D0D"/>
          <w:sz w:val="24"/>
        </w:rPr>
      </w:pPr>
      <w:r>
        <w:rPr>
          <w:rFonts w:hint="eastAsia" w:ascii="宋体" w:hAnsi="宋体" w:eastAsia="宋体" w:cs="宋体"/>
          <w:b/>
          <w:bCs/>
          <w:color w:val="0D0D0D"/>
          <w:sz w:val="24"/>
        </w:rPr>
        <w:t>4、超纯水制备装置</w:t>
      </w:r>
    </w:p>
    <w:p>
      <w:pPr>
        <w:spacing w:line="360" w:lineRule="auto"/>
        <w:ind w:firstLine="482" w:firstLineChars="200"/>
        <w:jc w:val="left"/>
        <w:rPr>
          <w:rFonts w:hint="eastAsia" w:ascii="宋体" w:hAnsi="宋体" w:eastAsia="宋体" w:cs="宋体"/>
          <w:color w:val="0D0D0D"/>
          <w:sz w:val="24"/>
        </w:rPr>
      </w:pPr>
      <w:r>
        <w:rPr>
          <w:rFonts w:hint="eastAsia" w:ascii="宋体" w:hAnsi="宋体" w:eastAsia="宋体" w:cs="宋体"/>
          <w:b/>
          <w:bCs/>
          <w:color w:val="0D0D0D"/>
          <w:sz w:val="24"/>
        </w:rPr>
        <w:t>功能要求：</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▲①电容式钢化玻璃触摸屏按键设计，箱体和箱体的内部安装预处理器；制水单元、储水桶和纯化系统等安装进水电磁阀和控制模块，控制模块和输入模块分别采用单片机控制器和电容式钢化玻璃触摸屏。</w:t>
      </w:r>
      <w:r>
        <w:rPr>
          <w:rFonts w:hint="eastAsia" w:ascii="宋体" w:hAnsi="宋体" w:eastAsia="宋体" w:cs="宋体"/>
          <w:b/>
          <w:bCs/>
          <w:sz w:val="24"/>
        </w:rPr>
        <w:t>（提供认证证书复印件加盖投标人公章）</w:t>
      </w:r>
    </w:p>
    <w:p>
      <w:pPr>
        <w:spacing w:line="360" w:lineRule="auto"/>
        <w:ind w:firstLine="480" w:firstLineChars="200"/>
        <w:jc w:val="left"/>
        <w:rPr>
          <w:rFonts w:hint="eastAsia" w:ascii="宋体" w:hAnsi="宋体" w:eastAsia="宋体" w:cs="宋体"/>
          <w:b/>
          <w:bCs/>
          <w:sz w:val="24"/>
        </w:rPr>
      </w:pPr>
      <w:r>
        <w:rPr>
          <w:rFonts w:hint="eastAsia" w:ascii="宋体" w:hAnsi="宋体" w:eastAsia="宋体" w:cs="宋体"/>
          <w:sz w:val="24"/>
        </w:rPr>
        <w:t>▲②系统采用双膜法工艺设计，配备反渗透压力监测表，可随时通过压力判断反渗透膜的运行压力及污堵程度。</w:t>
      </w:r>
      <w:r>
        <w:rPr>
          <w:rFonts w:hint="eastAsia" w:ascii="宋体" w:hAnsi="宋体" w:eastAsia="宋体" w:cs="宋体"/>
          <w:b/>
          <w:bCs/>
          <w:sz w:val="24"/>
        </w:rPr>
        <w:t>（提供认证证书复印件加盖投标人公章）</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▲③设备内置真空压力储水桶，采用前处理系统、增压泵、反渗透装置、真空储水桶以及超纯化处理系统的设计，产水过程中能与外界空气完全隔离，避免纯水与空气接触受到二次污染。</w:t>
      </w:r>
      <w:r>
        <w:rPr>
          <w:rFonts w:hint="eastAsia" w:ascii="宋体" w:hAnsi="宋体" w:eastAsia="宋体" w:cs="宋体"/>
          <w:b/>
          <w:bCs/>
          <w:sz w:val="24"/>
        </w:rPr>
        <w:t>（提供认证证书复印件加盖投标人公章）</w:t>
      </w:r>
    </w:p>
    <w:p>
      <w:pPr>
        <w:spacing w:line="360" w:lineRule="auto"/>
        <w:ind w:firstLine="480" w:firstLineChars="200"/>
        <w:jc w:val="left"/>
        <w:rPr>
          <w:rFonts w:hint="eastAsia" w:ascii="宋体" w:hAnsi="宋体" w:eastAsia="宋体" w:cs="宋体"/>
          <w:b/>
          <w:bCs/>
          <w:sz w:val="24"/>
        </w:rPr>
      </w:pPr>
      <w:r>
        <w:rPr>
          <w:rFonts w:hint="eastAsia" w:ascii="宋体" w:hAnsi="宋体" w:eastAsia="宋体" w:cs="宋体"/>
          <w:sz w:val="24"/>
        </w:rPr>
        <w:t>▲④设备内置超滤装置的超纯水预处理系统，初级过滤系统的出水口与超滤系统的进水口相连通，超滤系统还设置有废水出口和清洁水出口。</w:t>
      </w:r>
      <w:r>
        <w:rPr>
          <w:rFonts w:hint="eastAsia" w:ascii="宋体" w:hAnsi="宋体" w:eastAsia="宋体" w:cs="宋体"/>
          <w:b/>
          <w:bCs/>
          <w:sz w:val="24"/>
        </w:rPr>
        <w:t>（提供认证证书复印件加盖投标人公章）</w:t>
      </w:r>
    </w:p>
    <w:p>
      <w:pPr>
        <w:spacing w:line="360" w:lineRule="auto"/>
        <w:ind w:firstLine="480" w:firstLineChars="200"/>
        <w:jc w:val="left"/>
        <w:rPr>
          <w:rFonts w:hint="eastAsia" w:ascii="宋体" w:hAnsi="宋体" w:eastAsia="宋体" w:cs="宋体"/>
          <w:b/>
          <w:bCs/>
          <w:sz w:val="24"/>
        </w:rPr>
      </w:pPr>
      <w:r>
        <w:rPr>
          <w:rFonts w:hint="eastAsia" w:ascii="宋体" w:hAnsi="宋体" w:eastAsia="宋体" w:cs="宋体"/>
          <w:sz w:val="24"/>
        </w:rPr>
        <w:t>▲⑤设备设计符合国家提倡的环保节能技术，产品质量及有害物质须达到国家环保限量标准。</w:t>
      </w:r>
      <w:r>
        <w:rPr>
          <w:rFonts w:hint="eastAsia" w:ascii="宋体" w:hAnsi="宋体" w:eastAsia="宋体" w:cs="宋体"/>
          <w:b/>
          <w:bCs/>
          <w:sz w:val="24"/>
        </w:rPr>
        <w:t>（提供认证证书复印件加盖投标人公章）</w:t>
      </w:r>
    </w:p>
    <w:p>
      <w:pPr>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性能要求</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①纯水须达到二级要求，电阻率17-18.25 MΩ.cm。</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②重金属离子＜0.05ppb。</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③微颗粒物＜1个/ml。微生物＜0.1cfu/ml。</w:t>
      </w:r>
    </w:p>
    <w:p>
      <w:pPr>
        <w:spacing w:line="360" w:lineRule="auto"/>
        <w:ind w:firstLine="482" w:firstLineChars="200"/>
        <w:jc w:val="left"/>
        <w:rPr>
          <w:rFonts w:hint="eastAsia" w:ascii="宋体" w:hAnsi="宋体" w:eastAsia="宋体" w:cs="宋体"/>
          <w:b/>
          <w:bCs/>
          <w:sz w:val="24"/>
        </w:rPr>
      </w:pPr>
    </w:p>
    <w:p>
      <w:pPr>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5.系统集成</w:t>
      </w:r>
    </w:p>
    <w:p>
      <w:pPr>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控制单元</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①具有断电保护功能，能够在断电时保存系统参数和历史数据，在来电时自动恢复系统。</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②具备自动采集数据功能，包括自动采集水质自动分析仪器数据、集成控制数据等，采集的数据应自动添加数据标识，异常监测数据能自动识别，并主动上传至指定平台。</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③具备单点控制功能，能够对单一控制点（阀、泵等）进行调试。</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④运行模式：创建自动常规监测、异常数据识别及应急监测多种智能运行模式。</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⑤具备对自动分析仪器的启停、校时、校准测试等控制功能。</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⑥具备对留样单元的留样、排样的控制功能。</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⑦能够兼容视频监控设备并能实现对视频设备进行校时、重新启动、参数设置、软件升级、远程维护等功能。</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⑧具备参数设置功能，能够对小数位、单位、仪器测定上下限、报警（超标）上下限等参数进行设置。</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⑨具备各仪器监测结果、状态参数、运行流程、报警信息等显示的功能。</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⑩具有监测数据查询、导出、自动备份功能，可分类查询水质周期数据、质控数据（空白测试数据、标样核查数据、加标回收率数据等）及其对应的仪器、系统日志流程信息。</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⑪可编程控制器：扩展能力：控制器输入输出接口满足需求且余量不少于2路，以便以后扩展；防雷抗干扰能力：符合抗电磁辐射、电磁感应的相关规定，具备电源隔离和信号隔离措施。</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⑫控制单元对采水单元、配水及预处理单元、分析单元、留样单元、辅助单元等进行控制，并实现数据采集与传输功能，保证系统连续、可靠和安全运行。</w:t>
      </w:r>
    </w:p>
    <w:p>
      <w:pPr>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数据采集与存储单元</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⑬采集自动分析仪器的监测数据，并分类保存。采集自动分析仪器和集成系统各单元的工作状态量，并以运行日志的形式记录保存。</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⑭能够实时采集视频信息并传输至中心平台。断电后能自动保存历史数据和参数设置。</w:t>
      </w:r>
    </w:p>
    <w:p>
      <w:pPr>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数据传输与通讯单元</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⑮采用无线、有线的通讯方式满足数据传输要求。具备对通信链路的自动诊断功能，具备超时补发功能。</w:t>
      </w:r>
    </w:p>
    <w:p>
      <w:pPr>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采配水单元</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⑯采水设计：具备双泵/双管路轮换功能，配置双泵/双管路采水，一备一用；可进行自动或手动切换，满足实时不间断监测的要求。具有管道反冲洗和自动排空管道功能，采水完成后系统自动排空管道并清洗，清洗过程不对环境造成污染。除藻装置可以定期自动或手动操作，配合清洗水和压缩空气，通过控制总管路及配水管路的电动阀门，可分别对外部采水管路和内部配水进行反冲洗，以防止管路堵塞，并达到对管路的除藻作用。确保采水位置在水面下0.5米至1米之间。</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⑰采水泵：满足建设点位落差和输送距离、输送压力的要求。</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⑱采水管道：采用PE材质，Ø25的采水管，应有足够的强度，可以承受内压和外载荷，具有极好的化学稳定性、重量轻、耐磨耗和耐油性强。</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⑲根据每个点位具体的水文、地形和地质情况进行合理的采水方案设计。</w:t>
      </w:r>
    </w:p>
    <w:p>
      <w:pPr>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配水及预处理单元</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⑳配水及预处理单元由水样分配单元、预处理装置及管道等组成。实现对分析仪器配水的功能。系统应按照有关国家标准及规范要求，具备多种预处理方式，以满足不同监测指标预处理要求。</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㉑配水管路设计合理，流向清晰，便于维护；保证仪器分析测试的水样应能代表地下水质情况并满足仪器测试需求。</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㉒配水单元具备自动反清（吹）洗功能，防止菌类和藻类等微生物对样品污染或对系统工作造成不良影响，设计中不使用对环境产生污染的清洗方法。</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㉓配水主管路采用串联方式，各仪器之间管路采用并联方式，每台仪器从各自的取样杯中取水，任何仪器的配水管路出现故障不能影响其他仪器的测试。</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㉔具备可扩展功能，水站预留不少于2台设备的接水口、排水口以及水样比对实验用的手动取水口。</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㉕能配合系统实现水样自动分配、自动预处理、故障自动报警、关键部件工作状态的显示和反控等功能。</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㉖配水单元的所有操作均可通过控制单元实现，并接受平台端的远程控制。</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㉗所选管材机械强度及化学稳定性好、使用寿命长、便于安装维护，不会对水样水质造成影响；管路内径、压力、流量、流速满足仪器分析需要，并留有余量。</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㉘针对泥沙较大水体、暴雨期间、泄洪、丰水期等浊度影响较大的情况，系统应针对性的设计预处理旁路系统，并具备自动切换预处理系统工作功能。</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㉙具备水样冷藏功能，温度在4±2℃。</w:t>
      </w:r>
    </w:p>
    <w:p>
      <w:pPr>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留样单元</w:t>
      </w:r>
    </w:p>
    <w:p>
      <w:pPr>
        <w:spacing w:line="360" w:lineRule="auto"/>
        <w:ind w:firstLine="480" w:firstLineChars="200"/>
        <w:jc w:val="left"/>
        <w:rPr>
          <w:rFonts w:hint="eastAsia" w:ascii="宋体" w:hAnsi="宋体" w:eastAsia="宋体" w:cs="宋体"/>
          <w:b/>
          <w:bCs/>
          <w:color w:val="FF0000"/>
          <w:sz w:val="24"/>
        </w:rPr>
      </w:pPr>
      <w:r>
        <w:rPr>
          <w:rFonts w:hint="eastAsia" w:ascii="宋体" w:hAnsi="宋体" w:eastAsia="宋体" w:cs="宋体"/>
          <w:sz w:val="24"/>
        </w:rPr>
        <w:t>㉚留样瓶数≥12个。留样瓶由惰性材料制成，易清,洗容量不小于500ML。留样瓶具有密封功能；具有留样失败报警功能。</w:t>
      </w:r>
    </w:p>
    <w:p>
      <w:pPr>
        <w:spacing w:line="360" w:lineRule="auto"/>
        <w:ind w:firstLine="482" w:firstLineChars="200"/>
        <w:jc w:val="left"/>
        <w:rPr>
          <w:rFonts w:hint="eastAsia" w:ascii="宋体" w:hAnsi="宋体" w:eastAsia="宋体" w:cs="宋体"/>
          <w:b/>
          <w:bCs/>
          <w:color w:val="0D0D0D"/>
          <w:sz w:val="24"/>
        </w:rPr>
      </w:pPr>
      <w:r>
        <w:rPr>
          <w:rFonts w:hint="eastAsia" w:ascii="宋体" w:hAnsi="宋体" w:eastAsia="宋体" w:cs="宋体"/>
          <w:b/>
          <w:bCs/>
          <w:color w:val="0D0D0D"/>
          <w:sz w:val="24"/>
        </w:rPr>
        <w:t>6.辅助系统</w:t>
      </w:r>
    </w:p>
    <w:p>
      <w:pPr>
        <w:spacing w:line="360" w:lineRule="auto"/>
        <w:ind w:firstLine="482" w:firstLineChars="200"/>
        <w:jc w:val="left"/>
        <w:rPr>
          <w:rFonts w:hint="eastAsia" w:ascii="宋体" w:hAnsi="宋体" w:eastAsia="宋体" w:cs="宋体"/>
          <w:b/>
          <w:bCs/>
          <w:color w:val="0D0D0D"/>
          <w:sz w:val="24"/>
        </w:rPr>
      </w:pPr>
      <w:r>
        <w:rPr>
          <w:rFonts w:hint="eastAsia" w:ascii="宋体" w:hAnsi="宋体" w:eastAsia="宋体" w:cs="宋体"/>
          <w:b/>
          <w:bCs/>
          <w:color w:val="0D0D0D"/>
          <w:sz w:val="24"/>
        </w:rPr>
        <w:t>配套要求</w:t>
      </w:r>
    </w:p>
    <w:p>
      <w:pPr>
        <w:spacing w:line="360" w:lineRule="auto"/>
        <w:ind w:firstLine="480" w:firstLineChars="200"/>
        <w:jc w:val="left"/>
        <w:rPr>
          <w:rFonts w:hint="eastAsia" w:ascii="宋体" w:hAnsi="宋体" w:eastAsia="宋体" w:cs="宋体"/>
          <w:color w:val="0D0D0D"/>
          <w:sz w:val="24"/>
        </w:rPr>
      </w:pPr>
      <w:r>
        <w:rPr>
          <w:rFonts w:hint="eastAsia" w:ascii="宋体" w:hAnsi="宋体" w:eastAsia="宋体" w:cs="宋体"/>
          <w:color w:val="0D0D0D"/>
          <w:sz w:val="24"/>
        </w:rPr>
        <w:t>①配套电源稳压器（总功率≥6KW，断电后至少能保证仪器完成一个测量周期和数据上传，且待机不少于4小时）、三相稳压电源功率≥10KW。</w:t>
      </w:r>
    </w:p>
    <w:p>
      <w:pPr>
        <w:spacing w:line="360" w:lineRule="auto"/>
        <w:ind w:firstLine="480" w:firstLineChars="200"/>
        <w:jc w:val="left"/>
        <w:rPr>
          <w:rFonts w:hint="eastAsia" w:ascii="宋体" w:hAnsi="宋体" w:eastAsia="宋体" w:cs="宋体"/>
          <w:color w:val="0D0D0D"/>
          <w:sz w:val="24"/>
        </w:rPr>
      </w:pPr>
      <w:r>
        <w:rPr>
          <w:rFonts w:hint="eastAsia" w:ascii="宋体" w:hAnsi="宋体" w:eastAsia="宋体" w:cs="宋体"/>
          <w:color w:val="0D0D0D"/>
          <w:sz w:val="24"/>
        </w:rPr>
        <w:t>②为保证系统稳定、可靠运行，必须具有电源、信号及仪器设备等设施的三级防雷措施。</w:t>
      </w:r>
    </w:p>
    <w:p>
      <w:pPr>
        <w:spacing w:line="360" w:lineRule="auto"/>
        <w:ind w:firstLine="480" w:firstLineChars="200"/>
        <w:jc w:val="left"/>
        <w:rPr>
          <w:rFonts w:hint="eastAsia" w:ascii="宋体" w:hAnsi="宋体" w:eastAsia="宋体" w:cs="宋体"/>
          <w:color w:val="0D0D0D"/>
          <w:sz w:val="24"/>
        </w:rPr>
      </w:pPr>
      <w:r>
        <w:rPr>
          <w:rFonts w:hint="eastAsia" w:ascii="宋体" w:hAnsi="宋体" w:eastAsia="宋体" w:cs="宋体"/>
          <w:color w:val="0D0D0D"/>
          <w:sz w:val="24"/>
        </w:rPr>
        <w:t>③需低温保存的化学试剂在4±2℃低温环境中保存，不需低温保存的化学试剂保证使用期限不低于1个月。</w:t>
      </w:r>
    </w:p>
    <w:p>
      <w:pPr>
        <w:spacing w:line="360" w:lineRule="auto"/>
        <w:ind w:firstLine="480" w:firstLineChars="200"/>
        <w:jc w:val="left"/>
        <w:rPr>
          <w:rFonts w:hint="eastAsia" w:ascii="宋体" w:hAnsi="宋体" w:eastAsia="宋体" w:cs="宋体"/>
          <w:color w:val="0D0D0D"/>
          <w:sz w:val="24"/>
        </w:rPr>
      </w:pPr>
      <w:r>
        <w:rPr>
          <w:rFonts w:hint="eastAsia" w:ascii="宋体" w:hAnsi="宋体" w:eastAsia="宋体" w:cs="宋体"/>
          <w:color w:val="0D0D0D"/>
          <w:sz w:val="24"/>
        </w:rPr>
        <w:t>④配备废液收集单元，满足两周以上废液量的收集。</w:t>
      </w:r>
    </w:p>
    <w:p>
      <w:pPr>
        <w:spacing w:line="360" w:lineRule="auto"/>
        <w:ind w:firstLine="482" w:firstLineChars="200"/>
        <w:jc w:val="left"/>
        <w:rPr>
          <w:rFonts w:hint="eastAsia" w:ascii="宋体" w:hAnsi="宋体" w:eastAsia="宋体" w:cs="宋体"/>
          <w:b/>
          <w:bCs/>
          <w:color w:val="0D0D0D"/>
          <w:sz w:val="24"/>
        </w:rPr>
      </w:pPr>
      <w:r>
        <w:rPr>
          <w:rFonts w:hint="eastAsia" w:ascii="宋体" w:hAnsi="宋体" w:eastAsia="宋体" w:cs="宋体"/>
          <w:b/>
          <w:bCs/>
          <w:color w:val="0D0D0D"/>
          <w:sz w:val="24"/>
        </w:rPr>
        <w:t>辅助设备</w:t>
      </w:r>
    </w:p>
    <w:p>
      <w:pPr>
        <w:spacing w:line="360" w:lineRule="auto"/>
        <w:ind w:firstLine="480" w:firstLineChars="200"/>
        <w:jc w:val="left"/>
        <w:rPr>
          <w:rFonts w:hint="eastAsia" w:ascii="宋体" w:hAnsi="宋体" w:eastAsia="宋体" w:cs="宋体"/>
          <w:color w:val="0D0D0D"/>
          <w:sz w:val="24"/>
        </w:rPr>
      </w:pPr>
      <w:r>
        <w:rPr>
          <w:rFonts w:hint="eastAsia" w:ascii="宋体" w:hAnsi="宋体" w:eastAsia="宋体" w:cs="宋体"/>
          <w:color w:val="0D0D0D"/>
          <w:sz w:val="24"/>
        </w:rPr>
        <w:t>⑤压缩空气：压缩空气单元为管路的反吹清洗、过滤器清洗提供高压气源。</w:t>
      </w:r>
    </w:p>
    <w:p>
      <w:pPr>
        <w:spacing w:line="360" w:lineRule="auto"/>
        <w:ind w:firstLine="480" w:firstLineChars="200"/>
        <w:jc w:val="left"/>
        <w:rPr>
          <w:rFonts w:hint="eastAsia" w:ascii="宋体" w:hAnsi="宋体" w:eastAsia="宋体" w:cs="宋体"/>
          <w:color w:val="0D0D0D"/>
          <w:sz w:val="24"/>
        </w:rPr>
      </w:pPr>
      <w:r>
        <w:rPr>
          <w:rFonts w:hint="eastAsia" w:ascii="宋体" w:hAnsi="宋体" w:eastAsia="宋体" w:cs="宋体"/>
          <w:color w:val="0D0D0D"/>
          <w:sz w:val="24"/>
        </w:rPr>
        <w:t xml:space="preserve">⑥除藻单元：为避免藻类在管道内孳生而堵塞管道，系统能通过除藻系统定期或者不定期对取水管路进行除藻工作。 </w:t>
      </w:r>
    </w:p>
    <w:p>
      <w:pPr>
        <w:spacing w:line="360" w:lineRule="auto"/>
        <w:ind w:firstLine="480" w:firstLineChars="200"/>
        <w:jc w:val="left"/>
        <w:rPr>
          <w:rFonts w:hint="eastAsia" w:ascii="宋体" w:hAnsi="宋体" w:eastAsia="宋体" w:cs="宋体"/>
          <w:b/>
          <w:bCs/>
          <w:color w:val="0D0D0D"/>
          <w:sz w:val="24"/>
        </w:rPr>
      </w:pPr>
      <w:r>
        <w:rPr>
          <w:rFonts w:hint="eastAsia" w:ascii="宋体" w:hAnsi="宋体" w:eastAsia="宋体" w:cs="宋体"/>
          <w:color w:val="0D0D0D"/>
          <w:sz w:val="24"/>
        </w:rPr>
        <w:t>⑦电压传感器：电压传感器，在系统停电或者电压不稳定的时候及时发出报警信息，报警信息应通过信道传回管理中心，防止系统在非正常供电情况下运转而受到损坏。</w:t>
      </w:r>
    </w:p>
    <w:p>
      <w:pPr>
        <w:spacing w:line="360" w:lineRule="auto"/>
        <w:ind w:firstLine="482" w:firstLineChars="200"/>
        <w:jc w:val="left"/>
        <w:rPr>
          <w:rFonts w:hint="eastAsia" w:ascii="宋体" w:hAnsi="宋体" w:eastAsia="宋体" w:cs="宋体"/>
          <w:b/>
          <w:bCs/>
          <w:color w:val="0D0D0D"/>
          <w:sz w:val="24"/>
        </w:rPr>
      </w:pPr>
      <w:r>
        <w:rPr>
          <w:rFonts w:hint="eastAsia" w:ascii="宋体" w:hAnsi="宋体" w:eastAsia="宋体" w:cs="宋体"/>
          <w:b/>
          <w:bCs/>
          <w:color w:val="0D0D0D"/>
          <w:sz w:val="24"/>
          <w:lang w:val="en-US" w:eastAsia="zh-CN"/>
        </w:rPr>
        <w:t>三、</w:t>
      </w:r>
      <w:r>
        <w:rPr>
          <w:rFonts w:hint="eastAsia" w:ascii="宋体" w:hAnsi="宋体" w:eastAsia="宋体" w:cs="宋体"/>
          <w:b/>
          <w:bCs/>
          <w:color w:val="0D0D0D"/>
          <w:sz w:val="24"/>
        </w:rPr>
        <w:t>其他要求：</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本项目</w:t>
      </w:r>
      <w:r>
        <w:rPr>
          <w:rFonts w:hint="eastAsia" w:ascii="宋体" w:hAnsi="宋体" w:eastAsia="宋体" w:cs="宋体"/>
          <w:color w:val="auto"/>
          <w:sz w:val="24"/>
        </w:rPr>
        <w:t>服务人员要求：质保期内需技术服务人员6人，其中4人须驻站服务，工作由采购人安排。</w:t>
      </w:r>
      <w:r>
        <w:rPr>
          <w:rFonts w:hint="eastAsia" w:ascii="宋体" w:hAnsi="宋体" w:eastAsia="宋体" w:cs="宋体"/>
          <w:b/>
          <w:bCs/>
          <w:color w:val="auto"/>
          <w:sz w:val="24"/>
        </w:rPr>
        <w:t>（提供承诺函格式自拟，加盖投标人公章，否则按无效投标处理）</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2.人员培训：投标人须提培训服务，在设备安装调试完成后对采购人设备管理人员进行设备操作及使用培训。</w:t>
      </w:r>
    </w:p>
    <w:p>
      <w:pPr>
        <w:spacing w:line="360" w:lineRule="auto"/>
        <w:ind w:firstLine="480" w:firstLineChars="200"/>
        <w:jc w:val="left"/>
        <w:rPr>
          <w:rFonts w:hint="eastAsia" w:ascii="宋体" w:hAnsi="宋体" w:eastAsia="宋体" w:cs="宋体"/>
          <w:color w:val="0D0D0D"/>
          <w:sz w:val="24"/>
        </w:rPr>
      </w:pPr>
      <w:r>
        <w:rPr>
          <w:rFonts w:hint="eastAsia" w:ascii="宋体" w:hAnsi="宋体" w:eastAsia="宋体" w:cs="宋体"/>
          <w:color w:val="auto"/>
          <w:sz w:val="24"/>
        </w:rPr>
        <w:t>3.质保期内如接到采购人维修的通知，投标人须在2小时内响应，12小时内到达现场，48小时内解决问题。如货物经投标人3次维修仍不能达到合同约定的质量标准，采购</w:t>
      </w:r>
      <w:r>
        <w:rPr>
          <w:rFonts w:hint="eastAsia" w:ascii="宋体" w:hAnsi="宋体" w:eastAsia="宋体" w:cs="宋体"/>
          <w:color w:val="0D0D0D"/>
          <w:sz w:val="24"/>
        </w:rPr>
        <w:t>人有权退货，并视作投标人不能交付货物而须支付违约赔偿金给采购人，采购人还可依法追究投标人的违约责任。质保期外如需要维修，投标人须配合采购人进行维修。</w:t>
      </w:r>
    </w:p>
    <w:p>
      <w:pPr>
        <w:spacing w:line="360" w:lineRule="auto"/>
        <w:ind w:firstLine="480" w:firstLineChars="200"/>
        <w:jc w:val="left"/>
        <w:rPr>
          <w:rFonts w:hint="eastAsia" w:ascii="宋体" w:hAnsi="宋体" w:eastAsia="宋体" w:cs="宋体"/>
          <w:color w:val="0D0D0D"/>
          <w:sz w:val="24"/>
        </w:rPr>
      </w:pPr>
      <w:r>
        <w:rPr>
          <w:rFonts w:hint="eastAsia" w:ascii="宋体" w:hAnsi="宋体" w:eastAsia="宋体" w:cs="宋体"/>
          <w:color w:val="0D0D0D"/>
          <w:sz w:val="24"/>
        </w:rPr>
        <w:t>★4.投标人在投标文件中提供“产品质量和响应文件内容真实性”的承诺书，在承诺书中自行声明：“若投标文件/产品查实造假（含评审现场和产品中标后每项功能和指标验收）将自动退出并承担一切责任和赔偿经济损失”</w:t>
      </w:r>
      <w:r>
        <w:rPr>
          <w:rFonts w:hint="eastAsia" w:ascii="宋体" w:hAnsi="宋体" w:eastAsia="宋体" w:cs="宋体"/>
          <w:b/>
          <w:bCs/>
          <w:color w:val="0D0D0D"/>
          <w:sz w:val="24"/>
        </w:rPr>
        <w:t>（提供承诺函格式自拟，加盖投标人公章，否则按无效投标处理）</w:t>
      </w:r>
      <w:r>
        <w:rPr>
          <w:rFonts w:hint="eastAsia" w:ascii="宋体" w:hAnsi="宋体" w:eastAsia="宋体" w:cs="宋体"/>
          <w:color w:val="0D0D0D"/>
          <w:sz w:val="24"/>
        </w:rPr>
        <w:t>。</w:t>
      </w:r>
    </w:p>
    <w:p>
      <w:pPr>
        <w:spacing w:line="360" w:lineRule="auto"/>
        <w:ind w:firstLine="480" w:firstLineChars="200"/>
        <w:jc w:val="left"/>
        <w:rPr>
          <w:rFonts w:hint="eastAsia" w:ascii="宋体" w:hAnsi="宋体" w:eastAsia="宋体" w:cs="宋体"/>
          <w:color w:val="0D0D0D"/>
          <w:sz w:val="24"/>
        </w:rPr>
      </w:pPr>
      <w:r>
        <w:rPr>
          <w:rFonts w:hint="eastAsia" w:ascii="宋体" w:hAnsi="宋体" w:eastAsia="宋体" w:cs="宋体"/>
          <w:color w:val="0D0D0D"/>
          <w:sz w:val="24"/>
        </w:rPr>
        <w:t>★5.投标人在签订合同前须提供所投核心产品（挥发性有机物在线分析仪、超纯水制备</w:t>
      </w:r>
      <w:r>
        <w:rPr>
          <w:rFonts w:hint="eastAsia" w:ascii="宋体" w:hAnsi="宋体" w:eastAsia="宋体" w:cs="宋体"/>
          <w:sz w:val="24"/>
        </w:rPr>
        <w:t>装置、氰化物在线分析仪、水中油在线分析仪）制造商针对本项目的质量保证书原件，如不能提供，视为虚假响应，将取消中标资格，并报送相关部门处理。</w:t>
      </w:r>
      <w:r>
        <w:rPr>
          <w:rFonts w:hint="eastAsia" w:ascii="宋体" w:hAnsi="宋体" w:eastAsia="宋体" w:cs="宋体"/>
          <w:b/>
          <w:bCs/>
          <w:sz w:val="24"/>
        </w:rPr>
        <w:t>（提</w:t>
      </w:r>
      <w:r>
        <w:rPr>
          <w:rFonts w:hint="eastAsia" w:ascii="宋体" w:hAnsi="宋体" w:eastAsia="宋体" w:cs="宋体"/>
          <w:b/>
          <w:bCs/>
          <w:color w:val="0D0D0D"/>
          <w:sz w:val="24"/>
        </w:rPr>
        <w:t>供承诺函格式自拟，加盖投标人公章，否则按无效投标处理）</w:t>
      </w:r>
    </w:p>
    <w:p>
      <w:pPr>
        <w:spacing w:line="360" w:lineRule="auto"/>
        <w:ind w:firstLine="480" w:firstLineChars="200"/>
        <w:jc w:val="left"/>
        <w:rPr>
          <w:rFonts w:hint="eastAsia" w:ascii="宋体" w:hAnsi="宋体" w:eastAsia="宋体" w:cs="宋体"/>
          <w:color w:val="0D0D0D"/>
          <w:sz w:val="24"/>
        </w:rPr>
      </w:pPr>
      <w:r>
        <w:rPr>
          <w:rFonts w:hint="eastAsia" w:ascii="宋体" w:hAnsi="宋体" w:eastAsia="宋体" w:cs="宋体"/>
          <w:color w:val="0D0D0D"/>
          <w:sz w:val="24"/>
        </w:rPr>
        <w:t>★6.投标人负责完成本次采购监测设备与现有地下水国控站控制系统的软件兼容和联网对接。</w:t>
      </w:r>
      <w:r>
        <w:rPr>
          <w:rFonts w:hint="eastAsia" w:ascii="宋体" w:hAnsi="宋体" w:eastAsia="宋体" w:cs="宋体"/>
          <w:b/>
          <w:bCs/>
          <w:color w:val="0D0D0D"/>
          <w:sz w:val="24"/>
        </w:rPr>
        <w:t>（提供承诺函格式自拟，加盖投标人公章，否则按无效投标处理）</w:t>
      </w:r>
    </w:p>
    <w:p>
      <w:pPr>
        <w:spacing w:line="360" w:lineRule="auto"/>
        <w:ind w:firstLine="482" w:firstLineChars="200"/>
        <w:jc w:val="left"/>
        <w:rPr>
          <w:rFonts w:hint="eastAsia" w:ascii="宋体" w:hAnsi="宋体" w:eastAsia="宋体" w:cs="宋体"/>
          <w:b/>
          <w:bCs/>
          <w:color w:val="0D0D0D"/>
          <w:sz w:val="24"/>
        </w:rPr>
      </w:pPr>
      <w:r>
        <w:rPr>
          <w:rFonts w:hint="eastAsia" w:ascii="宋体" w:hAnsi="宋体" w:eastAsia="宋体" w:cs="宋体"/>
          <w:b/>
          <w:bCs/>
          <w:color w:val="0D0D0D"/>
          <w:sz w:val="24"/>
        </w:rPr>
        <w:t>★</w:t>
      </w:r>
      <w:r>
        <w:rPr>
          <w:rFonts w:hint="eastAsia" w:ascii="宋体" w:hAnsi="宋体" w:eastAsia="宋体" w:cs="宋体"/>
          <w:b/>
          <w:bCs/>
          <w:color w:val="0D0D0D"/>
          <w:sz w:val="24"/>
          <w:lang w:val="en-US" w:eastAsia="zh-CN"/>
        </w:rPr>
        <w:t>四、</w:t>
      </w:r>
      <w:r>
        <w:rPr>
          <w:rFonts w:hint="eastAsia" w:ascii="宋体" w:hAnsi="宋体" w:eastAsia="宋体" w:cs="宋体"/>
          <w:b/>
          <w:bCs/>
          <w:color w:val="0D0D0D"/>
          <w:sz w:val="24"/>
        </w:rPr>
        <w:t>商务要求</w:t>
      </w:r>
    </w:p>
    <w:p>
      <w:pPr>
        <w:spacing w:line="360" w:lineRule="auto"/>
        <w:ind w:firstLine="480" w:firstLineChars="200"/>
        <w:jc w:val="left"/>
        <w:rPr>
          <w:rFonts w:hint="eastAsia" w:ascii="宋体" w:hAnsi="宋体" w:eastAsia="宋体" w:cs="宋体"/>
          <w:color w:val="0D0D0D"/>
          <w:sz w:val="24"/>
        </w:rPr>
      </w:pPr>
      <w:r>
        <w:rPr>
          <w:rFonts w:hint="eastAsia" w:ascii="宋体" w:hAnsi="宋体" w:eastAsia="宋体" w:cs="宋体"/>
          <w:color w:val="0D0D0D"/>
          <w:sz w:val="24"/>
        </w:rPr>
        <w:t>1.交货时间：合同签订之日起60个日历天内按采购人要求供货安装完毕，保证正常运行。</w:t>
      </w:r>
    </w:p>
    <w:p>
      <w:pPr>
        <w:spacing w:line="360" w:lineRule="auto"/>
        <w:ind w:firstLine="480" w:firstLineChars="200"/>
        <w:jc w:val="left"/>
        <w:rPr>
          <w:rFonts w:hint="eastAsia" w:ascii="宋体" w:hAnsi="宋体" w:eastAsia="宋体" w:cs="宋体"/>
          <w:color w:val="0D0D0D"/>
          <w:sz w:val="24"/>
        </w:rPr>
      </w:pPr>
      <w:r>
        <w:rPr>
          <w:rFonts w:hint="eastAsia" w:ascii="宋体" w:hAnsi="宋体" w:eastAsia="宋体" w:cs="宋体"/>
          <w:color w:val="0D0D0D"/>
          <w:sz w:val="24"/>
        </w:rPr>
        <w:t>2.交货地点及质保期：彭州市；质保期采购人验收合格之日起1年。</w:t>
      </w:r>
    </w:p>
    <w:p>
      <w:pPr>
        <w:spacing w:line="360" w:lineRule="auto"/>
        <w:ind w:firstLine="480" w:firstLineChars="200"/>
        <w:jc w:val="left"/>
        <w:rPr>
          <w:rFonts w:hint="eastAsia" w:ascii="宋体" w:hAnsi="宋体" w:eastAsia="宋体" w:cs="宋体"/>
          <w:color w:val="0D0D0D"/>
          <w:sz w:val="24"/>
        </w:rPr>
      </w:pPr>
      <w:r>
        <w:rPr>
          <w:rFonts w:hint="eastAsia" w:ascii="宋体" w:hAnsi="宋体" w:eastAsia="宋体" w:cs="宋体"/>
          <w:color w:val="0D0D0D"/>
          <w:sz w:val="24"/>
        </w:rPr>
        <w:t>3.付款方式：政府采购合同签订后，采购人支付合同金额的30%款项；供货至采购人指定地点后采购人支付合同金额的40%款项；设备安装完成经采购人验收合格后，采购人支付合同金额的25%款项；剩余合同金额5%的款项待质保期满后经采购人确认无质量问题后一次性无息付清。</w:t>
      </w:r>
    </w:p>
    <w:p>
      <w:pPr>
        <w:spacing w:line="360" w:lineRule="auto"/>
        <w:ind w:firstLine="480" w:firstLineChars="200"/>
        <w:jc w:val="left"/>
        <w:rPr>
          <w:rFonts w:hint="eastAsia" w:ascii="宋体" w:hAnsi="宋体" w:eastAsia="宋体" w:cs="宋体"/>
          <w:color w:val="0D0D0D"/>
          <w:sz w:val="24"/>
        </w:rPr>
      </w:pPr>
      <w:r>
        <w:rPr>
          <w:rFonts w:hint="eastAsia" w:ascii="宋体" w:hAnsi="宋体" w:eastAsia="宋体" w:cs="宋体"/>
          <w:color w:val="0D0D0D"/>
          <w:sz w:val="24"/>
        </w:rPr>
        <w:t>4.报价要求：投标人的报价是含设备、设备运输、包装、安装、调试、验收、质量保修、其他售后服务、地下水国控站控制系统的软件兼容和联网对接、采购代理服务费等全部费用，是其响应本项目要求的全部工作内容的价格体现，采购人将不再支付其他额外费用。</w:t>
      </w:r>
    </w:p>
    <w:p>
      <w:pPr>
        <w:spacing w:line="360" w:lineRule="auto"/>
        <w:ind w:firstLine="480" w:firstLineChars="200"/>
        <w:jc w:val="left"/>
        <w:rPr>
          <w:rFonts w:hint="eastAsia" w:ascii="宋体" w:hAnsi="宋体" w:eastAsia="宋体" w:cs="宋体"/>
          <w:color w:val="0D0D0D"/>
          <w:sz w:val="24"/>
        </w:rPr>
      </w:pPr>
      <w:r>
        <w:rPr>
          <w:rFonts w:hint="eastAsia" w:ascii="宋体" w:hAnsi="宋体" w:eastAsia="宋体" w:cs="宋体"/>
          <w:color w:val="0D0D0D"/>
          <w:sz w:val="24"/>
        </w:rPr>
        <w:t>5.违约责任：</w:t>
      </w:r>
    </w:p>
    <w:p>
      <w:pPr>
        <w:spacing w:line="360" w:lineRule="auto"/>
        <w:ind w:firstLine="480" w:firstLineChars="200"/>
        <w:jc w:val="left"/>
        <w:rPr>
          <w:rFonts w:hint="eastAsia" w:ascii="宋体" w:hAnsi="宋体" w:eastAsia="宋体" w:cs="宋体"/>
          <w:color w:val="0D0D0D"/>
          <w:sz w:val="24"/>
        </w:rPr>
      </w:pPr>
      <w:r>
        <w:rPr>
          <w:rFonts w:hint="eastAsia" w:ascii="宋体" w:hAnsi="宋体" w:eastAsia="宋体" w:cs="宋体"/>
          <w:color w:val="0D0D0D"/>
          <w:sz w:val="24"/>
        </w:rPr>
        <w:t>5.1采购人及投标人双方必须遵守采购合同并执行合同中的各项规定，保证采购合同的正常履行。任何一方违约给对方造成的直接损失均负有赔偿责任，对方均有权视情况要求对方继续履行合同或提出解除合同。</w:t>
      </w:r>
    </w:p>
    <w:p>
      <w:pPr>
        <w:spacing w:line="360" w:lineRule="auto"/>
        <w:ind w:firstLine="480" w:firstLineChars="200"/>
        <w:jc w:val="left"/>
        <w:rPr>
          <w:rFonts w:hint="eastAsia" w:ascii="宋体" w:hAnsi="宋体" w:eastAsia="宋体" w:cs="宋体"/>
          <w:color w:val="0D0D0D"/>
          <w:sz w:val="24"/>
        </w:rPr>
      </w:pPr>
      <w:r>
        <w:rPr>
          <w:rFonts w:hint="eastAsia" w:ascii="宋体" w:hAnsi="宋体" w:eastAsia="宋体" w:cs="宋体"/>
          <w:color w:val="0D0D0D"/>
          <w:sz w:val="24"/>
        </w:rPr>
        <w:t>5.2如因投标人在履行过程中的疏忽、失职、过错等故意或者过失原因给采购人造成损失或侵害，包括但不限于采购人本身的财产损失、由此而导致的采购人对任何第三方的法律责任等，投标人对此均应承担全部的赔偿责任。</w:t>
      </w:r>
    </w:p>
    <w:p>
      <w:pPr>
        <w:spacing w:line="240" w:lineRule="auto"/>
        <w:ind w:firstLine="480" w:firstLineChars="200"/>
        <w:jc w:val="left"/>
        <w:rPr>
          <w:rFonts w:hint="eastAsia" w:ascii="宋体" w:hAnsi="宋体" w:eastAsia="宋体" w:cs="宋体"/>
          <w:color w:val="0D0D0D"/>
          <w:sz w:val="24"/>
        </w:rPr>
      </w:pPr>
      <w:r>
        <w:rPr>
          <w:rFonts w:hint="eastAsia" w:ascii="宋体" w:hAnsi="宋体" w:eastAsia="宋体" w:cs="宋体"/>
          <w:color w:val="0D0D0D"/>
          <w:sz w:val="24"/>
        </w:rPr>
        <w:t>6.验收要求：采购人按招标文件要求、投标人响应文件进行验收。</w:t>
      </w:r>
    </w:p>
    <w:p>
      <w:pPr>
        <w:keepNext w:val="0"/>
        <w:keepLines w:val="0"/>
        <w:pageBreakBefore w:val="0"/>
        <w:kinsoku/>
        <w:wordWrap/>
        <w:overflowPunct/>
        <w:topLinePunct w:val="0"/>
        <w:autoSpaceDE/>
        <w:autoSpaceDN/>
        <w:bidi w:val="0"/>
        <w:spacing w:after="0" w:line="24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0D0D0D"/>
          <w:sz w:val="24"/>
        </w:rPr>
        <w:t>7.履约验收：</w:t>
      </w:r>
      <w:r>
        <w:rPr>
          <w:rFonts w:hint="eastAsia" w:ascii="宋体" w:hAnsi="宋体" w:eastAsia="宋体" w:cs="宋体"/>
          <w:color w:val="0D0D0D"/>
          <w:sz w:val="24"/>
          <w:lang w:val="en-US" w:eastAsia="zh-CN"/>
        </w:rPr>
        <w:t>按照</w:t>
      </w:r>
      <w:r>
        <w:rPr>
          <w:rFonts w:hint="eastAsia" w:ascii="宋体" w:hAnsi="宋体" w:eastAsia="宋体" w:cs="宋体"/>
          <w:color w:val="0D0D0D"/>
          <w:sz w:val="24"/>
        </w:rPr>
        <w:t>《财政部关于进一步加强政府采购需求和履约验收管理的指导意见》（财库〔2016〕205号）以及《政府采购需求管理办法》（财库〔2021〕22号）的要求进行验收。</w:t>
      </w:r>
    </w:p>
    <w:bookmarkEnd w:id="162"/>
    <w:bookmarkEnd w:id="163"/>
    <w:bookmarkEnd w:id="164"/>
    <w:p>
      <w:pPr>
        <w:pageBreakBefore w:val="0"/>
        <w:kinsoku/>
        <w:wordWrap/>
        <w:overflowPunct/>
        <w:topLinePunct w:val="0"/>
        <w:bidi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pPr>
        <w:pStyle w:val="3"/>
        <w:pageBreakBefore w:val="0"/>
        <w:kinsoku/>
        <w:wordWrap/>
        <w:overflowPunct/>
        <w:topLinePunct w:val="0"/>
        <w:bidi w:val="0"/>
        <w:spacing w:before="0" w:after="0"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第七章  评标办法</w:t>
      </w:r>
      <w:bookmarkEnd w:id="160"/>
      <w:bookmarkEnd w:id="161"/>
      <w:bookmarkStart w:id="165" w:name="_Hlt101846155"/>
      <w:bookmarkEnd w:id="165"/>
      <w:bookmarkStart w:id="166" w:name="_Toc183582280"/>
      <w:bookmarkStart w:id="167" w:name="_Toc208849007"/>
      <w:bookmarkStart w:id="168" w:name="_Toc217446097"/>
      <w:bookmarkStart w:id="169" w:name="_Toc183682415"/>
    </w:p>
    <w:p>
      <w:pPr>
        <w:pStyle w:val="4"/>
        <w:pageBreakBefore w:val="0"/>
        <w:kinsoku/>
        <w:wordWrap/>
        <w:overflowPunct/>
        <w:topLinePunct w:val="0"/>
        <w:bidi w:val="0"/>
        <w:spacing w:before="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总则</w:t>
      </w:r>
      <w:bookmarkEnd w:id="166"/>
      <w:bookmarkEnd w:id="167"/>
      <w:bookmarkEnd w:id="168"/>
      <w:bookmarkEnd w:id="169"/>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bookmarkStart w:id="170" w:name="_Toc101250640"/>
      <w:bookmarkStart w:id="171" w:name="_Toc209847065"/>
      <w:bookmarkStart w:id="172" w:name="_Toc430773924"/>
      <w:bookmarkStart w:id="173" w:name="_Toc101338358"/>
      <w:bookmarkStart w:id="174" w:name="_Toc101174146"/>
      <w:bookmarkStart w:id="175" w:name="_Toc5845"/>
      <w:bookmarkStart w:id="176" w:name="_Toc23042"/>
      <w:r>
        <w:rPr>
          <w:rFonts w:hint="eastAsia" w:ascii="宋体" w:hAnsi="宋体" w:eastAsia="宋体" w:cs="宋体"/>
          <w:color w:val="auto"/>
          <w:sz w:val="24"/>
          <w:highlight w:val="none"/>
          <w:lang w:val="zh-CN"/>
        </w:rPr>
        <w:t>1.1 根据《中华人民共和国政府采购法》《中华人民共和国政府采购法实施条例》《政府采购货物和服务招标投标管理办法》等法律制度，结合采购项目特点制定本评标办法。</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1.2 公开招标采购项目开标结束后，采购人或者采购代理机构应当依法对投标人的资格进行审查。依据法律法规和本招标文件的规定，对投标文件是否按照规定要求提供资格性证明材料，以确定投标</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zh-CN"/>
        </w:rPr>
        <w:t>是否具备投标资格。</w:t>
      </w:r>
    </w:p>
    <w:p>
      <w:pPr>
        <w:pageBreakBefore w:val="0"/>
        <w:kinsoku/>
        <w:wordWrap/>
        <w:overflowPunct/>
        <w:topLinePunct w:val="0"/>
        <w:bidi w:val="0"/>
        <w:spacing w:after="0" w:line="360" w:lineRule="auto"/>
        <w:ind w:firstLine="482" w:firstLineChars="200"/>
        <w:jc w:val="left"/>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rPr>
        <w:t>1.2.1</w:t>
      </w:r>
      <w:r>
        <w:rPr>
          <w:rFonts w:hint="eastAsia" w:ascii="宋体" w:hAnsi="宋体" w:eastAsia="宋体" w:cs="宋体"/>
          <w:b/>
          <w:bCs/>
          <w:color w:val="auto"/>
          <w:sz w:val="24"/>
          <w:highlight w:val="none"/>
          <w:lang w:val="zh-CN"/>
        </w:rPr>
        <w:t>“信用中国”和“中国政府采购网”网站查询结果，将以纸质截图或将截图保存至电子介质的形式留存。</w:t>
      </w:r>
    </w:p>
    <w:p>
      <w:pPr>
        <w:pageBreakBefore w:val="0"/>
        <w:kinsoku/>
        <w:wordWrap/>
        <w:overflowPunct/>
        <w:topLinePunct w:val="0"/>
        <w:bidi w:val="0"/>
        <w:spacing w:after="0" w:line="360" w:lineRule="auto"/>
        <w:ind w:firstLine="482" w:firstLineChars="200"/>
        <w:jc w:val="left"/>
        <w:rPr>
          <w:rFonts w:hint="eastAsia" w:ascii="宋体" w:hAnsi="宋体" w:eastAsia="宋体" w:cs="宋体"/>
          <w:color w:val="auto"/>
          <w:sz w:val="24"/>
          <w:highlight w:val="none"/>
          <w:lang w:val="zh-CN"/>
        </w:rPr>
      </w:pPr>
      <w:r>
        <w:rPr>
          <w:rFonts w:hint="eastAsia" w:ascii="宋体" w:hAnsi="宋体" w:eastAsia="宋体" w:cs="宋体"/>
          <w:b/>
          <w:bCs/>
          <w:color w:val="auto"/>
          <w:sz w:val="24"/>
          <w:highlight w:val="none"/>
        </w:rPr>
        <w:t>1.2.2</w:t>
      </w:r>
      <w:r>
        <w:rPr>
          <w:rFonts w:hint="eastAsia" w:ascii="宋体" w:hAnsi="宋体" w:eastAsia="宋体" w:cs="宋体"/>
          <w:b/>
          <w:bCs/>
          <w:color w:val="auto"/>
          <w:sz w:val="24"/>
          <w:highlight w:val="none"/>
          <w:lang w:val="zh-CN"/>
        </w:rPr>
        <w:t>投标人的投标文件资格性审查时被判定为无效的，采购代理机构将通知投标人（以短信、现场公示、电话、“政府采购云平台”等任一方式）。投标人如对资格审查结论有异议的，应及时向采购代理机构反馈意见。采购代理机构将及时告知资格审查小组。（说明：无论投标人是否收到通知或提供反馈意见，均不影响资格审查和评标工作，且采购代理机构对此将不承担任何的责任。投标人对资格审查结论有异议的，其反馈意见仅限于资格审查小组对资格审查结论的正确性进行复核，避免出现审查错误。）</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合格投标人不足三家的，不得评标。</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评标工作由采购代理机构负责组织，具体评标事务由采购代理机构依法组建的评标委员会负责。评标委员会由采购人代表和有关技术、经济、法律等方面的专家组成。</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1.3 评标工作应遵循公平、公正、科学及择优的原则，并以相同的评标程序和标准对待所有的投标人。</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1.4 评标委员会按照招标文件规定的评标方法和标准进行评标，并独立履行下列职责：</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（一）熟悉和理解招标文件；</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（二）审查</w:t>
      </w: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zh-CN"/>
        </w:rPr>
        <w:t>（已通过资格审查）的投标文件是否满足招标文件要求，并作出评价；</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（三）根据需要要求招标采购单位对招标文件作出解释；根据需要要求</w:t>
      </w: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zh-CN"/>
        </w:rPr>
        <w:t>对投标文件有关事项作出澄清、说明或者更正；</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（四）推荐中标候选</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zh-CN"/>
        </w:rPr>
        <w:t>，或者受采购人委托确定中标</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zh-CN"/>
        </w:rPr>
        <w:t>；</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（五）起草评标报告并进行签署；</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（六）向招标采购单位、财政部门或者其他监督部门报告非法干预评标工作的行为；</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（七）法律、法规和规章规定的其他职责。</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1.5 评标过程独立、保密。投标人非法干预评标过程的行为将导致其投标文件作为无效处理。</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1.6 评标委员会评价投标文件的响应性，对于投标人而言，除评标委员会要求其澄清、说明或者更正而提供的资料外，仅依据投标文件本身的内容，不寻求其他外部证据。</w:t>
      </w:r>
    </w:p>
    <w:p>
      <w:pPr>
        <w:pageBreakBefore w:val="0"/>
        <w:kinsoku/>
        <w:wordWrap/>
        <w:overflowPunct/>
        <w:topLinePunct w:val="0"/>
        <w:bidi w:val="0"/>
        <w:spacing w:after="0" w:line="360" w:lineRule="auto"/>
        <w:ind w:firstLine="482" w:firstLineChars="200"/>
        <w:jc w:val="left"/>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2、 评标方法</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2.1本项目评标方法为：综合评分法。</w:t>
      </w:r>
    </w:p>
    <w:p>
      <w:pPr>
        <w:pageBreakBefore w:val="0"/>
        <w:kinsoku/>
        <w:wordWrap/>
        <w:overflowPunct/>
        <w:topLinePunct w:val="0"/>
        <w:bidi w:val="0"/>
        <w:spacing w:after="0" w:line="360" w:lineRule="auto"/>
        <w:ind w:firstLine="482" w:firstLineChars="200"/>
        <w:jc w:val="left"/>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3、 评标程序</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3.1熟悉和理解招标文件和停止评标。</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3.1.1评标委员会正式评标前，应当对招标文件进行熟悉和理解，内容主要包括招标文件中投标人资格条件要求、采购项目技术、服务和商务要求、评标方法和标准以及可能涉及签订政府采购合同的内容等。</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3.1.2评标委员会熟悉和理解招标文件以及评标过程中，发现本招标文件有下列情形之一的，评标委员会应当停止评标：</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（1）招标文件的规定存在歧义、重大缺陷的；</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（2）招标文件明显以不合理条件对</w:t>
      </w: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zh-CN"/>
        </w:rPr>
        <w:t>实行差别待遇或者歧视待遇的；</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（3）招标文件内容违反强制采购相关规定的；</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（4）采购项目属于政府采购促进中小企业发展的范围，但是招标文件未依法体现促进中小企业发展相关规定的；</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（5）招标文件规定的评标方法是综合评分法、最低评标价法之外的评标方法，或者虽然名称为综合评分法、最低评标价法，但实际上不符合国家规定；</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（6）招标文件将投标人的资格条件列为评分因素的；</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（7）招标文件有违反国家其他有关强制性规定的情形。</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3.1.3出现本条3.1.2规定应当停止评标情形的，评标委员会成员应当向招标采购单位书面说明情况。除本条规定和评标委员会无法依法组建的情形外，评标委员会成员不得以任何方式和理由停止评标。</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3.2符合性检查。</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pageBreakBefore w:val="0"/>
        <w:kinsoku/>
        <w:wordWrap/>
        <w:overflowPunct/>
        <w:topLinePunct w:val="0"/>
        <w:bidi w:val="0"/>
        <w:spacing w:after="0" w:line="360" w:lineRule="auto"/>
        <w:ind w:firstLine="482" w:firstLineChars="200"/>
        <w:jc w:val="left"/>
        <w:rPr>
          <w:rFonts w:hint="eastAsia" w:ascii="宋体" w:hAnsi="宋体" w:eastAsia="宋体" w:cs="宋体"/>
          <w:color w:val="auto"/>
          <w:sz w:val="24"/>
          <w:highlight w:val="none"/>
          <w:lang w:val="zh-CN"/>
        </w:rPr>
      </w:pPr>
      <w:r>
        <w:rPr>
          <w:rFonts w:hint="eastAsia" w:ascii="宋体" w:hAnsi="宋体" w:eastAsia="宋体" w:cs="宋体"/>
          <w:b/>
          <w:bCs/>
          <w:color w:val="auto"/>
          <w:sz w:val="24"/>
          <w:highlight w:val="none"/>
          <w:lang w:val="zh-CN"/>
        </w:rPr>
        <w:t>投标人的投标文件符合性审查时被判定为无效投标文件的，</w:t>
      </w:r>
      <w:r>
        <w:rPr>
          <w:rFonts w:hint="eastAsia" w:ascii="宋体" w:hAnsi="宋体" w:eastAsia="宋体" w:cs="宋体"/>
          <w:b/>
          <w:bCs/>
          <w:color w:val="auto"/>
          <w:sz w:val="24"/>
          <w:highlight w:val="none"/>
        </w:rPr>
        <w:t>采购代理机构</w:t>
      </w:r>
      <w:r>
        <w:rPr>
          <w:rFonts w:hint="eastAsia" w:ascii="宋体" w:hAnsi="宋体" w:eastAsia="宋体" w:cs="宋体"/>
          <w:b/>
          <w:bCs/>
          <w:color w:val="auto"/>
          <w:sz w:val="24"/>
          <w:highlight w:val="none"/>
          <w:lang w:val="zh-CN"/>
        </w:rPr>
        <w:t>将通知投标人（以短信、现场公示、电话、“政府采购云平台”等任一方式）。投标人如对评审结论有异议的，应及时向</w:t>
      </w:r>
      <w:r>
        <w:rPr>
          <w:rFonts w:hint="eastAsia" w:ascii="宋体" w:hAnsi="宋体" w:eastAsia="宋体" w:cs="宋体"/>
          <w:b/>
          <w:bCs/>
          <w:color w:val="auto"/>
          <w:sz w:val="24"/>
          <w:highlight w:val="none"/>
        </w:rPr>
        <w:t>采购代理机构</w:t>
      </w:r>
      <w:r>
        <w:rPr>
          <w:rFonts w:hint="eastAsia" w:ascii="宋体" w:hAnsi="宋体" w:eastAsia="宋体" w:cs="宋体"/>
          <w:b/>
          <w:bCs/>
          <w:color w:val="auto"/>
          <w:sz w:val="24"/>
          <w:highlight w:val="none"/>
          <w:lang w:val="zh-CN"/>
        </w:rPr>
        <w:t>反馈意见。</w:t>
      </w:r>
      <w:r>
        <w:rPr>
          <w:rFonts w:hint="eastAsia" w:ascii="宋体" w:hAnsi="宋体" w:eastAsia="宋体" w:cs="宋体"/>
          <w:b/>
          <w:bCs/>
          <w:color w:val="auto"/>
          <w:sz w:val="24"/>
          <w:highlight w:val="none"/>
        </w:rPr>
        <w:t>采购代理机构</w:t>
      </w:r>
      <w:r>
        <w:rPr>
          <w:rFonts w:hint="eastAsia" w:ascii="宋体" w:hAnsi="宋体" w:eastAsia="宋体" w:cs="宋体"/>
          <w:b/>
          <w:bCs/>
          <w:color w:val="auto"/>
          <w:sz w:val="24"/>
          <w:highlight w:val="none"/>
          <w:lang w:val="zh-CN"/>
        </w:rPr>
        <w:t>在评审结束前将收到的反馈意见及时告知评标委员会。（说明：无论投标人是否收到通知或提供反馈意见，均不影响评标委员会的评标工作，且</w:t>
      </w:r>
      <w:r>
        <w:rPr>
          <w:rFonts w:hint="eastAsia" w:ascii="宋体" w:hAnsi="宋体" w:eastAsia="宋体" w:cs="宋体"/>
          <w:b/>
          <w:bCs/>
          <w:color w:val="auto"/>
          <w:sz w:val="24"/>
          <w:highlight w:val="none"/>
        </w:rPr>
        <w:t>采购代理机构</w:t>
      </w:r>
      <w:r>
        <w:rPr>
          <w:rFonts w:hint="eastAsia" w:ascii="宋体" w:hAnsi="宋体" w:eastAsia="宋体" w:cs="宋体"/>
          <w:b/>
          <w:bCs/>
          <w:color w:val="auto"/>
          <w:sz w:val="24"/>
          <w:highlight w:val="none"/>
          <w:lang w:val="zh-CN"/>
        </w:rPr>
        <w:t>对此将不承担任何的责任。投标人对评审结论有异议的，其反馈意见仅限于评标委员会对评审结论的正确性进行复核，避免出现评审错误。）通过符合性审查的</w:t>
      </w:r>
      <w:r>
        <w:rPr>
          <w:rFonts w:hint="eastAsia" w:ascii="宋体" w:hAnsi="宋体" w:eastAsia="宋体" w:cs="宋体"/>
          <w:b/>
          <w:bCs/>
          <w:color w:val="auto"/>
          <w:sz w:val="24"/>
          <w:highlight w:val="none"/>
        </w:rPr>
        <w:t>投标人</w:t>
      </w:r>
      <w:r>
        <w:rPr>
          <w:rFonts w:hint="eastAsia" w:ascii="宋体" w:hAnsi="宋体" w:eastAsia="宋体" w:cs="宋体"/>
          <w:b/>
          <w:bCs/>
          <w:color w:val="auto"/>
          <w:sz w:val="24"/>
          <w:highlight w:val="none"/>
          <w:lang w:val="zh-CN"/>
        </w:rPr>
        <w:t>＜3名，本项目采购失败。</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3.2.2投标文件有下列情形的，本项目不作为实质性要求进行规定，即不作为符合性审查事项，不得作为无效投标处理：</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val="zh-CN"/>
        </w:rPr>
        <w:t>）除招标文件明确要求加盖单位(法人)公章的以外，其他地方以相关专用章加盖的；</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二</w:t>
      </w:r>
      <w:r>
        <w:rPr>
          <w:rFonts w:hint="eastAsia" w:ascii="宋体" w:hAnsi="宋体" w:eastAsia="宋体" w:cs="宋体"/>
          <w:color w:val="auto"/>
          <w:sz w:val="24"/>
          <w:highlight w:val="none"/>
          <w:lang w:val="zh-CN"/>
        </w:rPr>
        <w:t>）以骑缝章的形式代替投标文件内容逐页盖章的（但是骑缝章模糊不清，印章名称无法辨认的除外）；</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三</w:t>
      </w:r>
      <w:r>
        <w:rPr>
          <w:rFonts w:hint="eastAsia" w:ascii="宋体" w:hAnsi="宋体" w:eastAsia="宋体" w:cs="宋体"/>
          <w:color w:val="auto"/>
          <w:sz w:val="24"/>
          <w:highlight w:val="none"/>
          <w:lang w:val="zh-CN"/>
        </w:rPr>
        <w:t>）其他不影响采购项目实质性要求的情形。</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3.2.3除政府采购法律制度规定的情形外，本项目投标人或者其投标文件有下列情形之一的，作为无效投标处理：</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val="zh-CN"/>
        </w:rPr>
        <w:t>）投标文件组成明显不符合招标文件的规定要求，影响评标委员会评判的；</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二</w:t>
      </w:r>
      <w:r>
        <w:rPr>
          <w:rFonts w:hint="eastAsia" w:ascii="宋体" w:hAnsi="宋体" w:eastAsia="宋体" w:cs="宋体"/>
          <w:color w:val="auto"/>
          <w:sz w:val="24"/>
          <w:highlight w:val="none"/>
          <w:lang w:val="zh-CN"/>
        </w:rPr>
        <w:t>）投标文件的格式、语言、计量单位、报价货币、知识产权、投标有效期等不符合招标文件的规定，影响评标委员会评判的；</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三</w:t>
      </w:r>
      <w:r>
        <w:rPr>
          <w:rFonts w:hint="eastAsia" w:ascii="宋体" w:hAnsi="宋体" w:eastAsia="宋体" w:cs="宋体"/>
          <w:color w:val="auto"/>
          <w:sz w:val="24"/>
          <w:highlight w:val="none"/>
          <w:lang w:val="zh-CN"/>
        </w:rPr>
        <w:t>）投标报价不符合招标文件规定的采购预算或限价或其他报价规定的；</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四</w:t>
      </w:r>
      <w:r>
        <w:rPr>
          <w:rFonts w:hint="eastAsia" w:ascii="宋体" w:hAnsi="宋体" w:eastAsia="宋体" w:cs="宋体"/>
          <w:color w:val="auto"/>
          <w:sz w:val="24"/>
          <w:highlight w:val="none"/>
          <w:lang w:val="zh-CN"/>
        </w:rPr>
        <w:t>）投标文件未按招标文件要求签署、盖章的（本章3.2.2规定的例外情形除外）；</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五</w:t>
      </w:r>
      <w:r>
        <w:rPr>
          <w:rFonts w:hint="eastAsia" w:ascii="宋体" w:hAnsi="宋体" w:eastAsia="宋体" w:cs="宋体"/>
          <w:color w:val="auto"/>
          <w:sz w:val="24"/>
          <w:highlight w:val="none"/>
          <w:lang w:val="zh-CN"/>
        </w:rPr>
        <w:t>）商务、技术、服务应答内容没有完全响应招标文件带“★”的实质性要求的；</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六</w:t>
      </w:r>
      <w:r>
        <w:rPr>
          <w:rFonts w:hint="eastAsia" w:ascii="宋体" w:hAnsi="宋体" w:eastAsia="宋体" w:cs="宋体"/>
          <w:color w:val="auto"/>
          <w:sz w:val="24"/>
          <w:highlight w:val="none"/>
          <w:lang w:val="zh-CN"/>
        </w:rPr>
        <w:t>）未载明或者载明的招标项目履约时间、方式、数量及其他政府采购合同实质性内容与招标文件要求不一致，且招标采购单位无法接受的。</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3.3比较与评价。按招标文件中规定的评标方法和标准，对未作无效投标处理的投标文件进行技术、服务、商务等方面评估，综合比较与评价。</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3.4复核。评分汇总结束后，评标委员会应当进行复核，特别要对拟推荐为中标候选</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zh-CN"/>
        </w:rPr>
        <w:t>的、报价最低的、投标文件被认定为无效的进行重点复核。</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3.5推荐中标候选</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zh-CN"/>
        </w:rPr>
        <w:t>。中标候选</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zh-CN"/>
        </w:rPr>
        <w:t>应当排序。本项目采用综合评分法，评标结果按评审后得分由高到低顺序排列。得分相同的，按投标报价由低到高顺序排列；得分且投标报价相同的，不发达地区或少数民族地区的</w:t>
      </w:r>
      <w:r>
        <w:rPr>
          <w:rFonts w:hint="eastAsia" w:ascii="宋体" w:hAnsi="宋体" w:eastAsia="宋体" w:cs="宋体"/>
          <w:color w:val="auto"/>
          <w:sz w:val="24"/>
          <w:highlight w:val="none"/>
        </w:rPr>
        <w:t>候选人</w:t>
      </w:r>
      <w:r>
        <w:rPr>
          <w:rFonts w:hint="eastAsia" w:ascii="宋体" w:hAnsi="宋体" w:eastAsia="宋体" w:cs="宋体"/>
          <w:color w:val="auto"/>
          <w:sz w:val="24"/>
          <w:highlight w:val="none"/>
          <w:lang w:val="zh-CN"/>
        </w:rPr>
        <w:t>排列顺序在非不发达地区或少数民族地区的</w:t>
      </w:r>
      <w:r>
        <w:rPr>
          <w:rFonts w:hint="eastAsia" w:ascii="宋体" w:hAnsi="宋体" w:eastAsia="宋体" w:cs="宋体"/>
          <w:color w:val="auto"/>
          <w:sz w:val="24"/>
          <w:highlight w:val="none"/>
        </w:rPr>
        <w:t>候选人</w:t>
      </w:r>
      <w:r>
        <w:rPr>
          <w:rFonts w:hint="eastAsia" w:ascii="宋体" w:hAnsi="宋体" w:eastAsia="宋体" w:cs="宋体"/>
          <w:color w:val="auto"/>
          <w:sz w:val="24"/>
          <w:highlight w:val="none"/>
          <w:lang w:val="zh-CN"/>
        </w:rPr>
        <w:t>之前；得分且投标报价相同的，且均为不发达地区或少数民族地区的</w:t>
      </w:r>
      <w:r>
        <w:rPr>
          <w:rFonts w:hint="eastAsia" w:ascii="宋体" w:hAnsi="宋体" w:eastAsia="宋体" w:cs="宋体"/>
          <w:color w:val="auto"/>
          <w:sz w:val="24"/>
          <w:highlight w:val="none"/>
        </w:rPr>
        <w:t>候选人</w:t>
      </w:r>
      <w:r>
        <w:rPr>
          <w:rFonts w:hint="eastAsia" w:ascii="宋体" w:hAnsi="宋体" w:eastAsia="宋体" w:cs="宋体"/>
          <w:color w:val="auto"/>
          <w:sz w:val="24"/>
          <w:highlight w:val="none"/>
          <w:lang w:val="zh-CN"/>
        </w:rPr>
        <w:t>并列；得分且投标报价相同的，且不能判定为不发达地区或少数民族地区的</w:t>
      </w:r>
      <w:r>
        <w:rPr>
          <w:rFonts w:hint="eastAsia" w:ascii="宋体" w:hAnsi="宋体" w:eastAsia="宋体" w:cs="宋体"/>
          <w:color w:val="auto"/>
          <w:sz w:val="24"/>
          <w:highlight w:val="none"/>
        </w:rPr>
        <w:t>候选人</w:t>
      </w:r>
      <w:r>
        <w:rPr>
          <w:rFonts w:hint="eastAsia" w:ascii="宋体" w:hAnsi="宋体" w:eastAsia="宋体" w:cs="宋体"/>
          <w:color w:val="auto"/>
          <w:sz w:val="24"/>
          <w:highlight w:val="none"/>
          <w:lang w:val="zh-CN"/>
        </w:rPr>
        <w:t>并列。</w:t>
      </w:r>
      <w:r>
        <w:rPr>
          <w:rFonts w:hint="eastAsia" w:ascii="宋体" w:hAnsi="宋体" w:eastAsia="宋体" w:cs="宋体"/>
          <w:b/>
          <w:bCs/>
          <w:color w:val="auto"/>
          <w:sz w:val="24"/>
          <w:highlight w:val="none"/>
          <w:lang w:val="zh-CN"/>
        </w:rPr>
        <w:t>（不发达地区或少数民族地区的</w:t>
      </w:r>
      <w:r>
        <w:rPr>
          <w:rFonts w:hint="eastAsia" w:ascii="宋体" w:hAnsi="宋体" w:eastAsia="宋体" w:cs="宋体"/>
          <w:b/>
          <w:bCs/>
          <w:color w:val="auto"/>
          <w:sz w:val="24"/>
          <w:highlight w:val="none"/>
        </w:rPr>
        <w:t>投标人</w:t>
      </w:r>
      <w:r>
        <w:rPr>
          <w:rFonts w:hint="eastAsia" w:ascii="宋体" w:hAnsi="宋体" w:eastAsia="宋体" w:cs="宋体"/>
          <w:b/>
          <w:bCs/>
          <w:color w:val="auto"/>
          <w:sz w:val="24"/>
          <w:highlight w:val="none"/>
          <w:lang w:val="zh-CN"/>
        </w:rPr>
        <w:t>需提供属于不发达地区或少数民族地区企业的相关证明材料。）</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评标委员会可推荐的中标候选</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zh-CN"/>
        </w:rPr>
        <w:t>数量不能满足招标文件规定的数量的，只有在获得采购人书面同意后，可以根据实际情况推荐中标候选</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zh-CN"/>
        </w:rPr>
        <w:t>。未获得采购人的书面同意,评标委员会不得在招标文件规定之外推荐中标候选</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zh-CN"/>
        </w:rPr>
        <w:t>，否则，采购人可以不予认可。</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3.6出具评标报告。评标委员会推荐中标候选</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zh-CN"/>
        </w:rPr>
        <w:t>后，应当向招标采购单位出具评标报告。评标报告应当包括下列内容：</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（一）招标公告刊登的媒体名称、开标日期和地点；</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（二）获取招标文件的投标人名单和评标委员会成员名单；</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（三）评标方法和标准；</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（四）开标记录和评标情况及说明，包括无效投标人名单及原因；</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（五）评标结果和中标候选</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zh-CN"/>
        </w:rPr>
        <w:t>排序表；</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（六）评标委员会授标建议；</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（七）报价最高的投标人为中标候选人的，评标委员会应当对其报价的合理性予以特别说明。</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3.7评标争议处理规则。评标委员会在评审过程中，对于符合性审查、对</w:t>
      </w:r>
      <w:r>
        <w:rPr>
          <w:rFonts w:hint="eastAsia" w:ascii="宋体" w:hAnsi="宋体" w:eastAsia="宋体" w:cs="宋体"/>
          <w:color w:val="auto"/>
          <w:sz w:val="24"/>
          <w:highlight w:val="none"/>
        </w:rPr>
        <w:t>投标人的</w:t>
      </w:r>
      <w:r>
        <w:rPr>
          <w:rFonts w:hint="eastAsia" w:ascii="宋体" w:hAnsi="宋体" w:eastAsia="宋体" w:cs="宋体"/>
          <w:color w:val="auto"/>
          <w:sz w:val="24"/>
          <w:highlight w:val="none"/>
          <w:lang w:val="zh-CN"/>
        </w:rPr>
        <w:t>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3.8</w:t>
      </w: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zh-CN"/>
        </w:rPr>
        <w:t>应当书面澄清、说明或者更正。</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3.8.1在评标过程中，</w:t>
      </w:r>
      <w:r>
        <w:rPr>
          <w:rFonts w:hint="eastAsia" w:ascii="宋体" w:hAnsi="宋体" w:eastAsia="宋体" w:cs="宋体"/>
          <w:color w:val="auto"/>
          <w:sz w:val="24"/>
          <w:highlight w:val="none"/>
        </w:rPr>
        <w:t>投标人的</w:t>
      </w:r>
      <w:r>
        <w:rPr>
          <w:rFonts w:hint="eastAsia" w:ascii="宋体" w:hAnsi="宋体" w:eastAsia="宋体" w:cs="宋体"/>
          <w:color w:val="auto"/>
          <w:sz w:val="24"/>
          <w:highlight w:val="none"/>
          <w:lang w:val="zh-CN"/>
        </w:rPr>
        <w:t>投标文件实质性符合招标文件要求的前提下，评标委员会对投标文件中含义不明确、同类问题表述不一致或者有明显文字和计算错误的内容，应当以书面形式（须由评标委员会全体成员签字）要求</w:t>
      </w: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zh-CN"/>
        </w:rPr>
        <w:t>作出必要的书面澄清、说明或者更正，并给予</w:t>
      </w: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zh-CN"/>
        </w:rPr>
        <w:t>必要的反馈时间。</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3.8.2</w:t>
      </w: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zh-CN"/>
        </w:rPr>
        <w:t>应当书面澄清、说明或者更正，并加盖公章或签字确认（</w:t>
      </w: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zh-CN"/>
        </w:rPr>
        <w:t>为法人的，应当由其法定代表人/单位负责人或者代理人签字确认；</w:t>
      </w: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zh-CN"/>
        </w:rPr>
        <w:t>为其他组织的，应当由其主要负责人或者代理人签字确认；</w:t>
      </w: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zh-CN"/>
        </w:rPr>
        <w:t>为自然人的，应当由其本人或者代理人签字确认），否则无效。澄清、说明或者更正不影响投标文件的效力，有效的澄清、说明或者更正材料，是投标文件的组成部分。</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3.8.3评标委员会要求</w:t>
      </w: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zh-CN"/>
        </w:rPr>
        <w:t>澄清、说明或者更正，不得超出招标文件的范围，不得以此让</w:t>
      </w: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zh-CN"/>
        </w:rPr>
        <w:t>实质改变投标文件的内容，不得影响</w:t>
      </w: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zh-CN"/>
        </w:rPr>
        <w:t>公平竞争。本项目下列内容不得澄清：</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（一）按财政部规定应当在评标时不予承认的投标文件内容事项；</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（二）投标文件中已经明确的内容事项；</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3.8.4 本项目采购过程中，投标文件报价出现前后不一致的，按照下列规定修正：</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（一）投标文件中开标一览表（报价表）内容与投标文件中相应内容不一致的，以开标一览表（报价表）为准；</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（二）大写金额和小写金额不一致的，以大写金额为准；</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（三）单价金额小数点或者百分比有明显错位的，以开标一览表的总价为准，并修改单价；</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（四）总价金额与按单价汇总金额不一致的，以单价金额计算结果为准。</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同时出现两种以上不一致的，按照前款规定的顺序修正。修正后的报价按照本章3.8.1-3.8.3的规定经投标人确认后产生约束力，投标人不确认的，其投标无效。</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注：评标委员会当积极履行澄清、说明或者更正的职责，不得滥用权力。</w:t>
      </w: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zh-CN"/>
        </w:rPr>
        <w:t>的投标文件应当要求澄清、说明或者更正的，不得未经澄清、说明或者更正而直接作无效投标处理。</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3.9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3.10招标采购单位现场复核评标结果。</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3.10.1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（一）分值汇总计算错误的；</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（二）分项评分超出评分标准范围的；</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（三）客观评分不一致的；</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（四）经评标委员会认定评分畸高畸低的。</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3.10.2有下列情形之一的，不得修改评标结果或者重新评审：</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（一）招标采购单位现场复核时，复核工作人员数量不足的；</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（二）招标采购单位现场复核时，没有采购监督人员现场监督的；</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（三）招标采购单位现场复核内容超出规定范围的；</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（四）招标采购单位未提供书面建议的。</w:t>
      </w:r>
    </w:p>
    <w:p>
      <w:pPr>
        <w:pageBreakBefore w:val="0"/>
        <w:kinsoku/>
        <w:wordWrap/>
        <w:overflowPunct/>
        <w:topLinePunct w:val="0"/>
        <w:bidi w:val="0"/>
        <w:spacing w:after="0" w:line="360" w:lineRule="auto"/>
        <w:ind w:firstLine="482" w:firstLineChars="200"/>
        <w:jc w:val="left"/>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4. 评标细则及标准</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4.1本项目采用综合评分法，评分因素详见综合评分明细表。</w:t>
      </w:r>
    </w:p>
    <w:p>
      <w:pPr>
        <w:pageBreakBefore w:val="0"/>
        <w:kinsoku/>
        <w:wordWrap/>
        <w:overflowPunct/>
        <w:topLinePunct w:val="0"/>
        <w:bidi w:val="0"/>
        <w:spacing w:after="0"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4.2 评标委员会成员应当根据自身专业情况对每个有效投标</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zh-CN"/>
        </w:rPr>
        <w:t>的投标文件进行独立评分，加权汇总每项评分因素的得分，得出每个有效投标</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zh-CN"/>
        </w:rPr>
        <w:t>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pPr>
        <w:keepNext w:val="0"/>
        <w:keepLines w:val="0"/>
        <w:pageBreakBefore w:val="0"/>
        <w:kinsoku/>
        <w:wordWrap/>
        <w:overflowPunct/>
        <w:topLinePunct w:val="0"/>
        <w:autoSpaceDE/>
        <w:autoSpaceDN/>
        <w:bidi w:val="0"/>
        <w:snapToGrid/>
        <w:spacing w:after="0" w:line="360" w:lineRule="auto"/>
        <w:ind w:firstLine="480" w:firstLineChars="200"/>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4.3综合评分明细表</w:t>
      </w:r>
    </w:p>
    <w:p>
      <w:pPr>
        <w:keepNext w:val="0"/>
        <w:keepLines w:val="0"/>
        <w:pageBreakBefore w:val="0"/>
        <w:kinsoku/>
        <w:wordWrap/>
        <w:overflowPunct/>
        <w:topLinePunct w:val="0"/>
        <w:autoSpaceDE/>
        <w:autoSpaceDN/>
        <w:bidi w:val="0"/>
        <w:snapToGrid/>
        <w:spacing w:after="0" w:line="360" w:lineRule="auto"/>
        <w:ind w:firstLine="480" w:firstLineChars="200"/>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4.3.1综合评分明细表的制定以科学合理、降低评委会自由裁量权为原则。</w:t>
      </w:r>
    </w:p>
    <w:p>
      <w:pPr>
        <w:keepNext w:val="0"/>
        <w:keepLines w:val="0"/>
        <w:pageBreakBefore w:val="0"/>
        <w:kinsoku/>
        <w:wordWrap/>
        <w:overflowPunct/>
        <w:topLinePunct w:val="0"/>
        <w:autoSpaceDE/>
        <w:autoSpaceDN/>
        <w:bidi w:val="0"/>
        <w:snapToGrid/>
        <w:spacing w:after="0" w:line="360" w:lineRule="auto"/>
        <w:ind w:firstLine="480" w:firstLineChars="200"/>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4.3.2 综合评分明细表按须知表中的相关要求进行价格调整，再参与价格分评审。</w:t>
      </w:r>
    </w:p>
    <w:p>
      <w:pPr>
        <w:keepNext w:val="0"/>
        <w:keepLines w:val="0"/>
        <w:pageBreakBefore w:val="0"/>
        <w:kinsoku/>
        <w:wordWrap/>
        <w:overflowPunct/>
        <w:topLinePunct w:val="0"/>
        <w:autoSpaceDE/>
        <w:autoSpaceDN/>
        <w:bidi w:val="0"/>
        <w:snapToGrid/>
        <w:spacing w:after="0" w:line="360" w:lineRule="auto"/>
        <w:ind w:firstLine="480"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val="zh-CN"/>
        </w:rPr>
        <w:t>4.3.3综合评分明细表</w:t>
      </w:r>
    </w:p>
    <w:p>
      <w:pPr>
        <w:pStyle w:val="2"/>
        <w:keepNext w:val="0"/>
        <w:keepLines w:val="0"/>
        <w:pageBreakBefore w:val="0"/>
        <w:kinsoku/>
        <w:wordWrap/>
        <w:overflowPunct/>
        <w:topLinePunct w:val="0"/>
        <w:autoSpaceDE/>
        <w:autoSpaceDN/>
        <w:bidi w:val="0"/>
        <w:snapToGrid/>
        <w:spacing w:after="0"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详细评审标准表(总分100分)</w:t>
      </w:r>
    </w:p>
    <w:bookmarkEnd w:id="170"/>
    <w:bookmarkEnd w:id="171"/>
    <w:bookmarkEnd w:id="172"/>
    <w:bookmarkEnd w:id="173"/>
    <w:bookmarkEnd w:id="174"/>
    <w:tbl>
      <w:tblPr>
        <w:tblStyle w:val="21"/>
        <w:tblpPr w:leftFromText="180" w:rightFromText="180" w:vertAnchor="text" w:horzAnchor="page" w:tblpXSpec="center" w:tblpY="318"/>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717"/>
        <w:gridCol w:w="1119"/>
        <w:gridCol w:w="1170"/>
        <w:gridCol w:w="5816"/>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07" w:hRule="atLeast"/>
          <w:tblHeader/>
          <w:jc w:val="center"/>
        </w:trPr>
        <w:tc>
          <w:tcPr>
            <w:tcW w:w="364" w:type="pct"/>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序号</w:t>
            </w:r>
          </w:p>
        </w:tc>
        <w:tc>
          <w:tcPr>
            <w:tcW w:w="568" w:type="pct"/>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评审因素及权重</w:t>
            </w:r>
          </w:p>
        </w:tc>
        <w:tc>
          <w:tcPr>
            <w:tcW w:w="594" w:type="pct"/>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分值</w:t>
            </w:r>
          </w:p>
        </w:tc>
        <w:tc>
          <w:tcPr>
            <w:tcW w:w="2952" w:type="pct"/>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评分标准</w:t>
            </w:r>
          </w:p>
        </w:tc>
        <w:tc>
          <w:tcPr>
            <w:tcW w:w="520" w:type="pct"/>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37" w:hRule="atLeast"/>
          <w:jc w:val="center"/>
        </w:trPr>
        <w:tc>
          <w:tcPr>
            <w:tcW w:w="364" w:type="pct"/>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568" w:type="pct"/>
            <w:shd w:val="clear" w:color="auto" w:fill="FFFFFF"/>
            <w:noWrap w:val="0"/>
            <w:tcMar>
              <w:top w:w="0" w:type="dxa"/>
              <w:left w:w="108" w:type="dxa"/>
              <w:bottom w:w="0" w:type="dxa"/>
              <w:right w:w="108" w:type="dxa"/>
            </w:tcMar>
            <w:vAlign w:val="center"/>
          </w:tcPr>
          <w:p>
            <w:pPr>
              <w:spacing w:line="360" w:lineRule="auto"/>
              <w:rPr>
                <w:rFonts w:hint="eastAsia" w:ascii="宋体" w:hAnsi="宋体" w:eastAsia="宋体" w:cs="宋体"/>
                <w:szCs w:val="21"/>
              </w:rPr>
            </w:pPr>
            <w:r>
              <w:rPr>
                <w:rFonts w:hint="eastAsia" w:ascii="宋体" w:hAnsi="宋体" w:eastAsia="宋体" w:cs="宋体"/>
                <w:szCs w:val="21"/>
              </w:rPr>
              <w:t>报价30%</w:t>
            </w:r>
          </w:p>
        </w:tc>
        <w:tc>
          <w:tcPr>
            <w:tcW w:w="594" w:type="pct"/>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报价</w:t>
            </w:r>
          </w:p>
          <w:p>
            <w:pPr>
              <w:spacing w:line="360" w:lineRule="auto"/>
              <w:jc w:val="center"/>
              <w:rPr>
                <w:rFonts w:hint="eastAsia" w:ascii="宋体" w:hAnsi="宋体" w:eastAsia="宋体" w:cs="宋体"/>
                <w:szCs w:val="21"/>
              </w:rPr>
            </w:pPr>
            <w:r>
              <w:rPr>
                <w:rFonts w:hint="eastAsia" w:ascii="宋体" w:hAnsi="宋体" w:eastAsia="宋体" w:cs="宋体"/>
                <w:szCs w:val="21"/>
              </w:rPr>
              <w:t>30分</w:t>
            </w:r>
          </w:p>
        </w:tc>
        <w:tc>
          <w:tcPr>
            <w:tcW w:w="2952" w:type="pct"/>
            <w:shd w:val="clear" w:color="auto" w:fill="FFFFFF"/>
            <w:noWrap w:val="0"/>
            <w:tcMar>
              <w:top w:w="0" w:type="dxa"/>
              <w:left w:w="108" w:type="dxa"/>
              <w:bottom w:w="0" w:type="dxa"/>
              <w:right w:w="108" w:type="dxa"/>
            </w:tcMar>
            <w:vAlign w:val="center"/>
          </w:tcPr>
          <w:p>
            <w:pPr>
              <w:spacing w:line="240" w:lineRule="auto"/>
              <w:ind w:firstLine="210" w:firstLineChars="100"/>
              <w:rPr>
                <w:rFonts w:hint="eastAsia" w:ascii="宋体" w:hAnsi="宋体" w:eastAsia="宋体" w:cs="宋体"/>
                <w:szCs w:val="21"/>
              </w:rPr>
            </w:pPr>
            <w:r>
              <w:rPr>
                <w:rFonts w:hint="eastAsia" w:ascii="宋体" w:hAnsi="宋体" w:eastAsia="宋体" w:cs="宋体"/>
                <w:szCs w:val="21"/>
              </w:rPr>
              <w:t>以本次有效的最低投标报价为基准价，其价格分为满30分，投标报价得分=(投标基准价／投标报价)*30%*100。</w:t>
            </w:r>
          </w:p>
          <w:p>
            <w:pPr>
              <w:spacing w:line="240" w:lineRule="auto"/>
              <w:ind w:firstLine="210" w:firstLineChars="100"/>
              <w:rPr>
                <w:rFonts w:hint="eastAsia" w:ascii="宋体" w:hAnsi="宋体" w:eastAsia="宋体" w:cs="宋体"/>
                <w:szCs w:val="21"/>
              </w:rPr>
            </w:pPr>
            <w:r>
              <w:rPr>
                <w:rFonts w:hint="eastAsia" w:ascii="宋体" w:hAnsi="宋体" w:eastAsia="宋体" w:cs="宋体"/>
                <w:szCs w:val="21"/>
              </w:rPr>
              <w:t>注：1.小微企业（监狱企业、残疾人福利单位视同小微企业）价格扣除：根据财库[2020]46号文，对小型和微型企业（监狱企业、残疾人福利性单位视同小微企业）的价格给予10%的扣除，用扣除后的价格参与评标。</w:t>
            </w:r>
          </w:p>
          <w:p>
            <w:pPr>
              <w:spacing w:line="240" w:lineRule="auto"/>
              <w:ind w:firstLine="210" w:firstLineChars="100"/>
              <w:rPr>
                <w:rFonts w:hint="eastAsia" w:ascii="宋体" w:hAnsi="宋体" w:eastAsia="宋体" w:cs="宋体"/>
                <w:szCs w:val="21"/>
              </w:rPr>
            </w:pPr>
            <w:r>
              <w:rPr>
                <w:rFonts w:hint="eastAsia" w:ascii="宋体" w:hAnsi="宋体" w:eastAsia="宋体" w:cs="宋体"/>
                <w:szCs w:val="21"/>
              </w:rPr>
              <w:t>2.参加政府采购活动的投标人应提供中小企业应提供《中小企业声明函》；残疾人福利性单位应提供《残疾人福利性单位声明函》。</w:t>
            </w:r>
          </w:p>
          <w:p>
            <w:pPr>
              <w:spacing w:line="240" w:lineRule="auto"/>
              <w:ind w:firstLine="210" w:firstLineChars="100"/>
              <w:rPr>
                <w:rFonts w:hint="eastAsia" w:ascii="宋体" w:hAnsi="宋体" w:eastAsia="宋体" w:cs="宋体"/>
                <w:szCs w:val="21"/>
              </w:rPr>
            </w:pPr>
            <w:r>
              <w:rPr>
                <w:rFonts w:hint="eastAsia" w:ascii="宋体" w:hAnsi="宋体" w:eastAsia="宋体" w:cs="宋体"/>
                <w:szCs w:val="21"/>
              </w:rPr>
              <w:t>3.投标人为监狱企业的，提供由省级以上监狱管理局、戒毒管理局出具的投标人属于监狱企业的证明文件复印件。</w:t>
            </w:r>
          </w:p>
          <w:p>
            <w:pPr>
              <w:spacing w:line="240" w:lineRule="auto"/>
              <w:ind w:firstLine="210" w:firstLineChars="100"/>
              <w:rPr>
                <w:rFonts w:hint="eastAsia" w:ascii="宋体" w:hAnsi="宋体" w:eastAsia="宋体" w:cs="宋体"/>
                <w:szCs w:val="21"/>
              </w:rPr>
            </w:pPr>
            <w:r>
              <w:rPr>
                <w:rFonts w:hint="eastAsia" w:ascii="宋体" w:hAnsi="宋体" w:eastAsia="宋体" w:cs="宋体"/>
                <w:szCs w:val="21"/>
              </w:rPr>
              <w:t>注：残疾人福利性单位和监狱企业属于小型、微型企业的，不重复享受政策。</w:t>
            </w:r>
          </w:p>
        </w:tc>
        <w:tc>
          <w:tcPr>
            <w:tcW w:w="520" w:type="pct"/>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共同评</w:t>
            </w:r>
          </w:p>
          <w:p>
            <w:pPr>
              <w:spacing w:line="360" w:lineRule="auto"/>
              <w:jc w:val="center"/>
              <w:rPr>
                <w:rFonts w:hint="eastAsia" w:ascii="宋体" w:hAnsi="宋体" w:eastAsia="宋体" w:cs="宋体"/>
                <w:szCs w:val="21"/>
              </w:rPr>
            </w:pPr>
            <w:r>
              <w:rPr>
                <w:rFonts w:hint="eastAsia" w:ascii="宋体" w:hAnsi="宋体" w:eastAsia="宋体" w:cs="宋体"/>
                <w:szCs w:val="21"/>
              </w:rPr>
              <w:t>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37" w:hRule="atLeast"/>
          <w:jc w:val="center"/>
        </w:trPr>
        <w:tc>
          <w:tcPr>
            <w:tcW w:w="364" w:type="pct"/>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568" w:type="pct"/>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技术参数33%</w:t>
            </w:r>
          </w:p>
        </w:tc>
        <w:tc>
          <w:tcPr>
            <w:tcW w:w="594" w:type="pct"/>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技术参数33分</w:t>
            </w:r>
          </w:p>
        </w:tc>
        <w:tc>
          <w:tcPr>
            <w:tcW w:w="2952" w:type="pct"/>
            <w:shd w:val="clear" w:color="auto" w:fill="FFFFFF"/>
            <w:noWrap w:val="0"/>
            <w:tcMar>
              <w:top w:w="0" w:type="dxa"/>
              <w:left w:w="108" w:type="dxa"/>
              <w:bottom w:w="0" w:type="dxa"/>
              <w:right w:w="108" w:type="dxa"/>
            </w:tcMar>
            <w:vAlign w:val="center"/>
          </w:tcPr>
          <w:p>
            <w:pPr>
              <w:spacing w:line="240" w:lineRule="auto"/>
              <w:ind w:firstLine="210" w:firstLineChars="100"/>
              <w:rPr>
                <w:rFonts w:hint="eastAsia" w:ascii="宋体" w:hAnsi="宋体" w:eastAsia="宋体" w:cs="宋体"/>
                <w:snapToGrid w:val="0"/>
                <w:szCs w:val="21"/>
                <w:highlight w:val="none"/>
              </w:rPr>
            </w:pPr>
            <w:r>
              <w:rPr>
                <w:rFonts w:hint="eastAsia" w:ascii="宋体" w:hAnsi="宋体" w:eastAsia="宋体" w:cs="宋体"/>
                <w:snapToGrid w:val="0"/>
                <w:szCs w:val="21"/>
                <w:highlight w:val="none"/>
              </w:rPr>
              <w:t>投标产品技术参数要求：完全满足招标文件中第六章</w:t>
            </w:r>
            <w:r>
              <w:rPr>
                <w:rFonts w:hint="eastAsia" w:ascii="宋体" w:hAnsi="宋体" w:eastAsia="宋体" w:cs="宋体"/>
                <w:snapToGrid w:val="0"/>
                <w:szCs w:val="21"/>
                <w:highlight w:val="none"/>
                <w:lang w:eastAsia="zh-CN"/>
              </w:rPr>
              <w:t>“</w:t>
            </w:r>
            <w:r>
              <w:rPr>
                <w:rFonts w:hint="eastAsia" w:ascii="宋体" w:hAnsi="宋体" w:eastAsia="宋体" w:cs="宋体"/>
                <w:snapToGrid w:val="0"/>
                <w:szCs w:val="21"/>
                <w:highlight w:val="none"/>
              </w:rPr>
              <w:t>二、产品技术参数要求</w:t>
            </w:r>
            <w:r>
              <w:rPr>
                <w:rFonts w:hint="eastAsia" w:ascii="宋体" w:hAnsi="宋体" w:eastAsia="宋体" w:cs="宋体"/>
                <w:snapToGrid w:val="0"/>
                <w:szCs w:val="21"/>
                <w:highlight w:val="none"/>
                <w:lang w:eastAsia="zh-CN"/>
              </w:rPr>
              <w:t>”</w:t>
            </w:r>
            <w:r>
              <w:rPr>
                <w:rFonts w:hint="eastAsia" w:ascii="宋体" w:hAnsi="宋体" w:eastAsia="宋体" w:cs="宋体"/>
                <w:snapToGrid w:val="0"/>
                <w:szCs w:val="21"/>
                <w:highlight w:val="none"/>
                <w:lang w:val="en-US" w:eastAsia="zh-CN"/>
              </w:rPr>
              <w:t>中带</w:t>
            </w:r>
            <w:r>
              <w:rPr>
                <w:rFonts w:hint="eastAsia" w:ascii="宋体" w:hAnsi="宋体" w:eastAsia="宋体" w:cs="宋体"/>
                <w:snapToGrid w:val="0"/>
                <w:szCs w:val="21"/>
                <w:highlight w:val="none"/>
              </w:rPr>
              <w:t>“▲”一项的得1.5分，“▲”要求参数共计18项，最多得27分；完全满足招标文件中第六章</w:t>
            </w:r>
            <w:r>
              <w:rPr>
                <w:rFonts w:hint="eastAsia" w:ascii="宋体" w:hAnsi="宋体" w:eastAsia="宋体" w:cs="宋体"/>
                <w:snapToGrid w:val="0"/>
                <w:szCs w:val="21"/>
                <w:highlight w:val="none"/>
                <w:lang w:eastAsia="zh-CN"/>
              </w:rPr>
              <w:t>“</w:t>
            </w:r>
            <w:r>
              <w:rPr>
                <w:rFonts w:hint="eastAsia" w:ascii="宋体" w:hAnsi="宋体" w:eastAsia="宋体" w:cs="宋体"/>
                <w:snapToGrid w:val="0"/>
                <w:szCs w:val="21"/>
                <w:highlight w:val="none"/>
              </w:rPr>
              <w:t>二、产品技术参数要求</w:t>
            </w:r>
            <w:r>
              <w:rPr>
                <w:rFonts w:hint="eastAsia" w:ascii="宋体" w:hAnsi="宋体" w:eastAsia="宋体" w:cs="宋体"/>
                <w:snapToGrid w:val="0"/>
                <w:szCs w:val="21"/>
                <w:highlight w:val="none"/>
                <w:lang w:eastAsia="zh-CN"/>
              </w:rPr>
              <w:t>”</w:t>
            </w:r>
            <w:r>
              <w:rPr>
                <w:rFonts w:hint="eastAsia" w:ascii="宋体" w:hAnsi="宋体" w:eastAsia="宋体" w:cs="宋体"/>
                <w:snapToGrid w:val="0"/>
                <w:szCs w:val="21"/>
                <w:highlight w:val="none"/>
              </w:rPr>
              <w:t>中未带“▲”一项的得0.06分，未带“▲”要求参数共计100项，最多得6分。</w:t>
            </w:r>
          </w:p>
          <w:p>
            <w:pPr>
              <w:spacing w:line="240" w:lineRule="auto"/>
              <w:ind w:firstLine="211" w:firstLineChars="100"/>
              <w:rPr>
                <w:rFonts w:hint="eastAsia" w:ascii="宋体" w:hAnsi="宋体" w:eastAsia="宋体" w:cs="宋体"/>
                <w:b/>
                <w:bCs/>
                <w:snapToGrid w:val="0"/>
                <w:szCs w:val="21"/>
                <w:highlight w:val="none"/>
              </w:rPr>
            </w:pPr>
            <w:r>
              <w:rPr>
                <w:rFonts w:hint="eastAsia" w:ascii="宋体" w:hAnsi="宋体" w:eastAsia="宋体" w:cs="宋体"/>
                <w:b/>
                <w:bCs/>
                <w:snapToGrid w:val="0"/>
                <w:szCs w:val="21"/>
                <w:highlight w:val="none"/>
              </w:rPr>
              <w:t>注：带“▲”参数按招标文件第六章</w:t>
            </w:r>
            <w:r>
              <w:rPr>
                <w:rFonts w:hint="eastAsia" w:ascii="宋体" w:hAnsi="宋体" w:eastAsia="宋体" w:cs="宋体"/>
                <w:b/>
                <w:bCs/>
                <w:snapToGrid w:val="0"/>
                <w:szCs w:val="21"/>
                <w:highlight w:val="none"/>
                <w:lang w:eastAsia="zh-CN"/>
              </w:rPr>
              <w:t>“</w:t>
            </w:r>
            <w:r>
              <w:rPr>
                <w:rFonts w:hint="eastAsia" w:ascii="宋体" w:hAnsi="宋体" w:eastAsia="宋体" w:cs="宋体"/>
                <w:b/>
                <w:bCs/>
                <w:snapToGrid w:val="0"/>
                <w:szCs w:val="21"/>
                <w:highlight w:val="none"/>
              </w:rPr>
              <w:t>二、产品技术参数要求</w:t>
            </w:r>
            <w:r>
              <w:rPr>
                <w:rFonts w:hint="eastAsia" w:ascii="宋体" w:hAnsi="宋体" w:eastAsia="宋体" w:cs="宋体"/>
                <w:b/>
                <w:bCs/>
                <w:snapToGrid w:val="0"/>
                <w:szCs w:val="21"/>
                <w:highlight w:val="none"/>
                <w:lang w:eastAsia="zh-CN"/>
              </w:rPr>
              <w:t>”</w:t>
            </w:r>
            <w:r>
              <w:rPr>
                <w:rFonts w:hint="eastAsia" w:ascii="宋体" w:hAnsi="宋体" w:eastAsia="宋体" w:cs="宋体"/>
                <w:b/>
                <w:bCs/>
                <w:snapToGrid w:val="0"/>
                <w:szCs w:val="21"/>
                <w:highlight w:val="none"/>
              </w:rPr>
              <w:t>中要求提供证明材料加盖投标人公章；未带“▲”参数提供技术说明书加盖投标人公章。</w:t>
            </w:r>
          </w:p>
        </w:tc>
        <w:tc>
          <w:tcPr>
            <w:tcW w:w="520" w:type="pct"/>
            <w:shd w:val="clear" w:color="auto" w:fill="FFFFFF"/>
            <w:noWrap w:val="0"/>
            <w:tcMar>
              <w:top w:w="0" w:type="dxa"/>
              <w:left w:w="108" w:type="dxa"/>
              <w:bottom w:w="0" w:type="dxa"/>
              <w:right w:w="108" w:type="dxa"/>
            </w:tcMar>
            <w:vAlign w:val="center"/>
          </w:tcPr>
          <w:p>
            <w:pPr>
              <w:jc w:val="center"/>
              <w:rPr>
                <w:rFonts w:hint="eastAsia" w:ascii="宋体" w:hAnsi="宋体" w:eastAsia="宋体" w:cs="宋体"/>
                <w:szCs w:val="21"/>
              </w:rPr>
            </w:pPr>
            <w:r>
              <w:rPr>
                <w:rFonts w:hint="eastAsia" w:ascii="宋体" w:hAnsi="宋体" w:eastAsia="宋体" w:cs="宋体"/>
                <w:szCs w:val="21"/>
              </w:rPr>
              <w:t>技术评</w:t>
            </w:r>
          </w:p>
          <w:p>
            <w:pPr>
              <w:spacing w:line="360" w:lineRule="auto"/>
              <w:jc w:val="center"/>
              <w:rPr>
                <w:rFonts w:hint="eastAsia" w:ascii="宋体" w:hAnsi="宋体" w:eastAsia="宋体" w:cs="宋体"/>
                <w:szCs w:val="21"/>
              </w:rPr>
            </w:pPr>
            <w:r>
              <w:rPr>
                <w:rFonts w:hint="eastAsia" w:ascii="宋体" w:hAnsi="宋体" w:eastAsia="宋体" w:cs="宋体"/>
                <w:szCs w:val="21"/>
              </w:rPr>
              <w:t>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990" w:hRule="atLeast"/>
          <w:jc w:val="center"/>
        </w:trPr>
        <w:tc>
          <w:tcPr>
            <w:tcW w:w="364" w:type="pct"/>
            <w:tcBorders>
              <w:top w:val="single" w:color="auto" w:sz="4" w:space="0"/>
            </w:tcBorders>
            <w:shd w:val="clear" w:color="auto" w:fill="FFFFFF"/>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568" w:type="pct"/>
            <w:tcBorders>
              <w:top w:val="single" w:color="auto" w:sz="4" w:space="0"/>
            </w:tcBorders>
            <w:shd w:val="clear" w:color="auto" w:fill="FFFFFF"/>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项目实施方案16%</w:t>
            </w:r>
          </w:p>
        </w:tc>
        <w:tc>
          <w:tcPr>
            <w:tcW w:w="594" w:type="pct"/>
            <w:tcBorders>
              <w:top w:val="single" w:color="auto" w:sz="4" w:space="0"/>
            </w:tcBorders>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项目实施方案</w:t>
            </w:r>
          </w:p>
          <w:p>
            <w:pPr>
              <w:spacing w:line="360" w:lineRule="auto"/>
              <w:jc w:val="center"/>
              <w:rPr>
                <w:rFonts w:hint="eastAsia" w:ascii="宋体" w:hAnsi="宋体" w:eastAsia="宋体" w:cs="宋体"/>
                <w:szCs w:val="21"/>
              </w:rPr>
            </w:pPr>
            <w:r>
              <w:rPr>
                <w:rFonts w:hint="eastAsia" w:ascii="宋体" w:hAnsi="宋体" w:eastAsia="宋体" w:cs="宋体"/>
                <w:szCs w:val="21"/>
              </w:rPr>
              <w:t>16分</w:t>
            </w:r>
          </w:p>
        </w:tc>
        <w:tc>
          <w:tcPr>
            <w:tcW w:w="2952" w:type="pct"/>
            <w:shd w:val="clear" w:color="auto" w:fill="FFFFFF"/>
            <w:noWrap w:val="0"/>
            <w:tcMar>
              <w:top w:w="0" w:type="dxa"/>
              <w:left w:w="108" w:type="dxa"/>
              <w:bottom w:w="0" w:type="dxa"/>
              <w:right w:w="108" w:type="dxa"/>
            </w:tcMar>
            <w:vAlign w:val="center"/>
          </w:tcPr>
          <w:p>
            <w:pPr>
              <w:spacing w:line="240" w:lineRule="auto"/>
              <w:ind w:firstLine="210" w:firstLineChars="100"/>
              <w:rPr>
                <w:rFonts w:hint="eastAsia" w:ascii="宋体" w:hAnsi="宋体" w:eastAsia="宋体" w:cs="宋体"/>
                <w:szCs w:val="21"/>
              </w:rPr>
            </w:pPr>
            <w:r>
              <w:rPr>
                <w:rFonts w:hint="eastAsia" w:ascii="宋体" w:hAnsi="宋体" w:eastAsia="宋体" w:cs="宋体"/>
                <w:szCs w:val="21"/>
              </w:rPr>
              <w:t>投标人根据本项目的内容及要求编制</w:t>
            </w:r>
            <w:r>
              <w:rPr>
                <w:rFonts w:hint="eastAsia" w:ascii="宋体" w:hAnsi="宋体" w:eastAsia="宋体" w:cs="宋体"/>
                <w:szCs w:val="21"/>
                <w:lang w:val="en-US" w:eastAsia="zh-CN"/>
              </w:rPr>
              <w:t>项目</w:t>
            </w:r>
            <w:r>
              <w:rPr>
                <w:rFonts w:hint="eastAsia" w:ascii="宋体" w:hAnsi="宋体" w:eastAsia="宋体" w:cs="宋体"/>
                <w:szCs w:val="21"/>
              </w:rPr>
              <w:t>实施方案：①货源准备、②技术人员安排、③安装及调试方法、④质量控制措施进行阐述，方案完善、操作性强的得16分，每有一项缺失的扣4分，每有一项缺陷的扣2分，本项最多得16分。（“缺陷”是指：描述有歧义或逻辑有漏洞或方案内容与实际需求不相符或与项目需求结合不够紧密）</w:t>
            </w:r>
          </w:p>
        </w:tc>
        <w:tc>
          <w:tcPr>
            <w:tcW w:w="520" w:type="pct"/>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eastAsia="宋体" w:cs="宋体"/>
                <w:szCs w:val="21"/>
              </w:rPr>
            </w:pPr>
          </w:p>
          <w:p>
            <w:pPr>
              <w:jc w:val="center"/>
              <w:rPr>
                <w:rFonts w:hint="eastAsia" w:ascii="宋体" w:hAnsi="宋体" w:eastAsia="宋体" w:cs="宋体"/>
                <w:szCs w:val="21"/>
              </w:rPr>
            </w:pPr>
            <w:r>
              <w:rPr>
                <w:rFonts w:hint="eastAsia" w:ascii="宋体" w:hAnsi="宋体" w:eastAsia="宋体" w:cs="宋体"/>
                <w:szCs w:val="21"/>
              </w:rPr>
              <w:t>技术评</w:t>
            </w:r>
          </w:p>
          <w:p>
            <w:pPr>
              <w:jc w:val="center"/>
              <w:rPr>
                <w:rFonts w:hint="eastAsia" w:ascii="宋体" w:hAnsi="宋体" w:eastAsia="宋体" w:cs="宋体"/>
                <w:szCs w:val="21"/>
              </w:rPr>
            </w:pPr>
            <w:r>
              <w:rPr>
                <w:rFonts w:hint="eastAsia" w:ascii="宋体" w:hAnsi="宋体" w:eastAsia="宋体" w:cs="宋体"/>
                <w:szCs w:val="21"/>
              </w:rPr>
              <w:t>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102" w:hRule="atLeast"/>
          <w:jc w:val="center"/>
        </w:trPr>
        <w:tc>
          <w:tcPr>
            <w:tcW w:w="364" w:type="pct"/>
            <w:vMerge w:val="restart"/>
            <w:shd w:val="clear" w:color="auto" w:fill="FFFFFF"/>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4</w:t>
            </w:r>
          </w:p>
        </w:tc>
        <w:tc>
          <w:tcPr>
            <w:tcW w:w="568" w:type="pct"/>
            <w:vMerge w:val="restart"/>
            <w:shd w:val="clear" w:color="auto" w:fill="FFFFFF"/>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售后服务</w:t>
            </w:r>
            <w:r>
              <w:rPr>
                <w:rFonts w:hint="eastAsia" w:ascii="宋体" w:hAnsi="宋体" w:eastAsia="宋体" w:cs="宋体"/>
                <w:szCs w:val="21"/>
                <w:lang w:val="en-US" w:eastAsia="zh-CN"/>
              </w:rPr>
              <w:t>方案</w:t>
            </w:r>
            <w:r>
              <w:rPr>
                <w:rFonts w:hint="eastAsia" w:ascii="宋体" w:hAnsi="宋体" w:eastAsia="宋体" w:cs="宋体"/>
                <w:szCs w:val="21"/>
              </w:rPr>
              <w:t>20%</w:t>
            </w:r>
          </w:p>
        </w:tc>
        <w:tc>
          <w:tcPr>
            <w:tcW w:w="594" w:type="pct"/>
            <w:vMerge w:val="restart"/>
            <w:tcBorders>
              <w:top w:val="single" w:color="auto" w:sz="4" w:space="0"/>
            </w:tcBorders>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售后服务</w:t>
            </w:r>
            <w:r>
              <w:rPr>
                <w:rFonts w:hint="eastAsia" w:ascii="宋体" w:hAnsi="宋体" w:eastAsia="宋体" w:cs="宋体"/>
                <w:szCs w:val="21"/>
                <w:lang w:val="en-US" w:eastAsia="zh-CN"/>
              </w:rPr>
              <w:t>方案</w:t>
            </w:r>
            <w:r>
              <w:rPr>
                <w:rFonts w:hint="eastAsia" w:ascii="宋体" w:hAnsi="宋体" w:eastAsia="宋体" w:cs="宋体"/>
                <w:szCs w:val="21"/>
              </w:rPr>
              <w:t>20分</w:t>
            </w:r>
          </w:p>
        </w:tc>
        <w:tc>
          <w:tcPr>
            <w:tcW w:w="2952" w:type="pct"/>
            <w:shd w:val="clear" w:color="auto" w:fill="FFFFFF"/>
            <w:noWrap w:val="0"/>
            <w:tcMar>
              <w:top w:w="0" w:type="dxa"/>
              <w:left w:w="108" w:type="dxa"/>
              <w:bottom w:w="0" w:type="dxa"/>
              <w:right w:w="108" w:type="dxa"/>
            </w:tcMar>
            <w:vAlign w:val="center"/>
          </w:tcPr>
          <w:p>
            <w:pPr>
              <w:spacing w:line="240" w:lineRule="auto"/>
              <w:ind w:firstLine="210" w:firstLineChars="100"/>
              <w:rPr>
                <w:rFonts w:hint="eastAsia" w:ascii="宋体" w:hAnsi="宋体" w:eastAsia="宋体" w:cs="宋体"/>
                <w:szCs w:val="21"/>
              </w:rPr>
            </w:pPr>
            <w:r>
              <w:rPr>
                <w:rFonts w:hint="eastAsia" w:ascii="宋体" w:hAnsi="宋体" w:eastAsia="宋体" w:cs="宋体"/>
                <w:szCs w:val="21"/>
              </w:rPr>
              <w:t>投标人根据本项目的内容及要求编制售后服务方案：①售后服务管理制度、②售后服务人员安排、③售后服务内容及技术措施、④培训计划进行阐述方案完善、操作性强的得16分，每有一项缺失的扣4分，每有一项缺陷的扣2分，本项最多得16分。（“缺陷”是指：描述有歧义或逻辑有漏洞或方案内容与实际需求不相符或与项目需求结合不够紧密）</w:t>
            </w:r>
          </w:p>
        </w:tc>
        <w:tc>
          <w:tcPr>
            <w:tcW w:w="520" w:type="pct"/>
            <w:vMerge w:val="restart"/>
            <w:shd w:val="clear" w:color="auto" w:fill="FFFFFF"/>
            <w:noWrap w:val="0"/>
            <w:tcMar>
              <w:top w:w="0" w:type="dxa"/>
              <w:left w:w="108" w:type="dxa"/>
              <w:bottom w:w="0" w:type="dxa"/>
              <w:right w:w="108" w:type="dxa"/>
            </w:tcMar>
            <w:vAlign w:val="center"/>
          </w:tcPr>
          <w:p>
            <w:pPr>
              <w:jc w:val="center"/>
              <w:rPr>
                <w:rFonts w:hint="eastAsia" w:ascii="宋体" w:hAnsi="宋体" w:eastAsia="宋体" w:cs="宋体"/>
                <w:szCs w:val="21"/>
              </w:rPr>
            </w:pPr>
            <w:r>
              <w:rPr>
                <w:rFonts w:hint="eastAsia" w:ascii="宋体" w:hAnsi="宋体" w:eastAsia="宋体" w:cs="宋体"/>
                <w:szCs w:val="21"/>
              </w:rPr>
              <w:t>技术评</w:t>
            </w:r>
          </w:p>
          <w:p>
            <w:pPr>
              <w:spacing w:line="360" w:lineRule="auto"/>
              <w:jc w:val="center"/>
              <w:rPr>
                <w:rFonts w:hint="eastAsia" w:ascii="宋体" w:hAnsi="宋体" w:eastAsia="宋体" w:cs="宋体"/>
                <w:szCs w:val="21"/>
              </w:rPr>
            </w:pPr>
            <w:r>
              <w:rPr>
                <w:rFonts w:hint="eastAsia" w:ascii="宋体" w:hAnsi="宋体" w:eastAsia="宋体" w:cs="宋体"/>
                <w:szCs w:val="21"/>
              </w:rPr>
              <w:t>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31" w:hRule="atLeast"/>
          <w:jc w:val="center"/>
        </w:trPr>
        <w:tc>
          <w:tcPr>
            <w:tcW w:w="364" w:type="pct"/>
            <w:vMerge w:val="continue"/>
            <w:shd w:val="clear" w:color="auto" w:fill="FFFFFF"/>
            <w:noWrap w:val="0"/>
            <w:vAlign w:val="center"/>
          </w:tcPr>
          <w:p>
            <w:pPr>
              <w:spacing w:line="360" w:lineRule="auto"/>
              <w:jc w:val="center"/>
              <w:rPr>
                <w:rFonts w:hint="eastAsia" w:ascii="宋体" w:hAnsi="宋体" w:eastAsia="宋体" w:cs="宋体"/>
                <w:szCs w:val="21"/>
              </w:rPr>
            </w:pPr>
          </w:p>
        </w:tc>
        <w:tc>
          <w:tcPr>
            <w:tcW w:w="568" w:type="pct"/>
            <w:vMerge w:val="continue"/>
            <w:shd w:val="clear" w:color="auto" w:fill="FFFFFF"/>
            <w:noWrap w:val="0"/>
            <w:vAlign w:val="center"/>
          </w:tcPr>
          <w:p>
            <w:pPr>
              <w:spacing w:line="360" w:lineRule="auto"/>
              <w:jc w:val="center"/>
              <w:rPr>
                <w:rFonts w:hint="eastAsia" w:ascii="宋体" w:hAnsi="宋体" w:eastAsia="宋体" w:cs="宋体"/>
                <w:szCs w:val="21"/>
              </w:rPr>
            </w:pPr>
          </w:p>
        </w:tc>
        <w:tc>
          <w:tcPr>
            <w:tcW w:w="594" w:type="pct"/>
            <w:vMerge w:val="continue"/>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eastAsia="宋体" w:cs="宋体"/>
                <w:szCs w:val="21"/>
              </w:rPr>
            </w:pPr>
          </w:p>
        </w:tc>
        <w:tc>
          <w:tcPr>
            <w:tcW w:w="2952" w:type="pct"/>
            <w:shd w:val="clear" w:color="auto" w:fill="FFFFFF"/>
            <w:noWrap w:val="0"/>
            <w:tcMar>
              <w:top w:w="0" w:type="dxa"/>
              <w:left w:w="108" w:type="dxa"/>
              <w:bottom w:w="0" w:type="dxa"/>
              <w:right w:w="108" w:type="dxa"/>
            </w:tcMar>
            <w:vAlign w:val="center"/>
          </w:tcPr>
          <w:p>
            <w:pPr>
              <w:spacing w:line="240" w:lineRule="auto"/>
              <w:ind w:firstLine="210" w:firstLineChars="100"/>
              <w:rPr>
                <w:rFonts w:hint="eastAsia" w:ascii="宋体" w:hAnsi="宋体" w:eastAsia="宋体" w:cs="宋体"/>
                <w:szCs w:val="21"/>
              </w:rPr>
            </w:pPr>
            <w:r>
              <w:rPr>
                <w:rFonts w:hint="eastAsia" w:ascii="宋体" w:hAnsi="宋体" w:eastAsia="宋体" w:cs="宋体"/>
                <w:szCs w:val="21"/>
              </w:rPr>
              <w:t>为保证产品质量和售后服务，投标人每提供一个所投核心产品制造商售后服务承诺书原件得0.5分，最多得2分。</w:t>
            </w:r>
          </w:p>
        </w:tc>
        <w:tc>
          <w:tcPr>
            <w:tcW w:w="520" w:type="pct"/>
            <w:vMerge w:val="continue"/>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80" w:hRule="atLeast"/>
          <w:jc w:val="center"/>
        </w:trPr>
        <w:tc>
          <w:tcPr>
            <w:tcW w:w="364" w:type="pct"/>
            <w:vMerge w:val="continue"/>
            <w:shd w:val="clear" w:color="auto" w:fill="FFFFFF"/>
            <w:noWrap w:val="0"/>
            <w:vAlign w:val="center"/>
          </w:tcPr>
          <w:p>
            <w:pPr>
              <w:spacing w:line="360" w:lineRule="auto"/>
              <w:jc w:val="center"/>
              <w:rPr>
                <w:rFonts w:hint="eastAsia" w:ascii="宋体" w:hAnsi="宋体" w:eastAsia="宋体" w:cs="宋体"/>
                <w:szCs w:val="21"/>
              </w:rPr>
            </w:pPr>
          </w:p>
        </w:tc>
        <w:tc>
          <w:tcPr>
            <w:tcW w:w="568" w:type="pct"/>
            <w:vMerge w:val="continue"/>
            <w:shd w:val="clear" w:color="auto" w:fill="FFFFFF"/>
            <w:noWrap w:val="0"/>
            <w:vAlign w:val="center"/>
          </w:tcPr>
          <w:p>
            <w:pPr>
              <w:spacing w:line="360" w:lineRule="auto"/>
              <w:jc w:val="center"/>
              <w:rPr>
                <w:rFonts w:hint="eastAsia" w:ascii="宋体" w:hAnsi="宋体" w:eastAsia="宋体" w:cs="宋体"/>
                <w:szCs w:val="21"/>
              </w:rPr>
            </w:pPr>
          </w:p>
        </w:tc>
        <w:tc>
          <w:tcPr>
            <w:tcW w:w="594" w:type="pct"/>
            <w:vMerge w:val="continue"/>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eastAsia="宋体" w:cs="宋体"/>
                <w:szCs w:val="21"/>
              </w:rPr>
            </w:pPr>
          </w:p>
        </w:tc>
        <w:tc>
          <w:tcPr>
            <w:tcW w:w="2952" w:type="pct"/>
            <w:shd w:val="clear" w:color="auto" w:fill="FFFFFF"/>
            <w:noWrap w:val="0"/>
            <w:tcMar>
              <w:top w:w="0" w:type="dxa"/>
              <w:left w:w="108" w:type="dxa"/>
              <w:bottom w:w="0" w:type="dxa"/>
              <w:right w:w="108" w:type="dxa"/>
            </w:tcMar>
            <w:vAlign w:val="center"/>
          </w:tcPr>
          <w:p>
            <w:pPr>
              <w:spacing w:line="240" w:lineRule="auto"/>
              <w:ind w:firstLine="210" w:firstLineChars="100"/>
              <w:rPr>
                <w:rFonts w:hint="eastAsia" w:ascii="宋体" w:hAnsi="宋体" w:eastAsia="宋体" w:cs="宋体"/>
                <w:szCs w:val="21"/>
              </w:rPr>
            </w:pPr>
            <w:r>
              <w:rPr>
                <w:rFonts w:hint="eastAsia" w:ascii="宋体" w:hAnsi="宋体" w:eastAsia="宋体" w:cs="宋体"/>
                <w:szCs w:val="21"/>
              </w:rPr>
              <w:t>投标人在满足招标文件要求设备质保期（采购人验收合格之日起1年）的基础上，每承诺本项目</w:t>
            </w:r>
            <w:r>
              <w:rPr>
                <w:rFonts w:hint="eastAsia" w:ascii="宋体" w:hAnsi="宋体" w:eastAsia="宋体" w:cs="宋体"/>
                <w:szCs w:val="21"/>
                <w:lang w:val="en-US" w:eastAsia="zh-CN"/>
              </w:rPr>
              <w:t>所有</w:t>
            </w:r>
            <w:r>
              <w:rPr>
                <w:rFonts w:hint="eastAsia" w:ascii="宋体" w:hAnsi="宋体" w:eastAsia="宋体" w:cs="宋体"/>
                <w:szCs w:val="21"/>
              </w:rPr>
              <w:t>设备质保期增加1年得1分，</w:t>
            </w:r>
            <w:r>
              <w:rPr>
                <w:rFonts w:hint="eastAsia" w:ascii="宋体" w:hAnsi="宋体" w:eastAsia="宋体" w:cs="宋体"/>
                <w:szCs w:val="21"/>
                <w:lang w:val="en-US" w:eastAsia="zh-CN"/>
              </w:rPr>
              <w:t>所有</w:t>
            </w:r>
            <w:r>
              <w:rPr>
                <w:rFonts w:hint="eastAsia" w:ascii="宋体" w:hAnsi="宋体" w:eastAsia="宋体" w:cs="宋体"/>
                <w:szCs w:val="21"/>
              </w:rPr>
              <w:t>设备质保期增加2年的得2分，本项最多得2分。</w:t>
            </w:r>
          </w:p>
          <w:p>
            <w:pPr>
              <w:spacing w:line="240" w:lineRule="auto"/>
              <w:ind w:firstLine="211" w:firstLineChars="100"/>
              <w:rPr>
                <w:rFonts w:hint="eastAsia" w:ascii="宋体" w:hAnsi="宋体" w:eastAsia="宋体" w:cs="宋体"/>
                <w:szCs w:val="21"/>
              </w:rPr>
            </w:pPr>
            <w:r>
              <w:rPr>
                <w:rFonts w:hint="eastAsia" w:ascii="宋体" w:hAnsi="宋体" w:eastAsia="宋体" w:cs="宋体"/>
                <w:b/>
                <w:bCs/>
                <w:szCs w:val="21"/>
              </w:rPr>
              <w:t>注：提供承诺函加盖投标人公章。</w:t>
            </w:r>
          </w:p>
        </w:tc>
        <w:tc>
          <w:tcPr>
            <w:tcW w:w="520" w:type="pct"/>
            <w:vMerge w:val="continue"/>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15" w:hRule="atLeast"/>
          <w:jc w:val="center"/>
        </w:trPr>
        <w:tc>
          <w:tcPr>
            <w:tcW w:w="364" w:type="pct"/>
            <w:shd w:val="clear" w:color="auto" w:fill="FFFFFF"/>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5</w:t>
            </w:r>
          </w:p>
        </w:tc>
        <w:tc>
          <w:tcPr>
            <w:tcW w:w="568" w:type="pct"/>
            <w:shd w:val="clear" w:color="auto" w:fill="FFFFFF"/>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节能、环境标志、无线局域网产品</w:t>
            </w:r>
          </w:p>
          <w:p>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594" w:type="pct"/>
            <w:tcBorders>
              <w:top w:val="single" w:color="auto" w:sz="4" w:space="0"/>
              <w:bottom w:val="single" w:color="auto" w:sz="4" w:space="0"/>
            </w:tcBorders>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节能、环境标志、无线局域网产品1分</w:t>
            </w:r>
          </w:p>
        </w:tc>
        <w:tc>
          <w:tcPr>
            <w:tcW w:w="2952" w:type="pct"/>
            <w:shd w:val="clear" w:color="auto" w:fill="FFFFFF"/>
            <w:noWrap w:val="0"/>
            <w:tcMar>
              <w:top w:w="0" w:type="dxa"/>
              <w:left w:w="108" w:type="dxa"/>
              <w:bottom w:w="0" w:type="dxa"/>
              <w:right w:w="108" w:type="dxa"/>
            </w:tcMar>
            <w:vAlign w:val="center"/>
          </w:tcPr>
          <w:p>
            <w:pPr>
              <w:spacing w:line="240" w:lineRule="auto"/>
              <w:ind w:firstLine="210" w:firstLineChars="100"/>
              <w:rPr>
                <w:rFonts w:hint="eastAsia" w:ascii="宋体" w:hAnsi="宋体" w:eastAsia="宋体" w:cs="宋体"/>
                <w:szCs w:val="21"/>
              </w:rPr>
            </w:pPr>
            <w:r>
              <w:rPr>
                <w:rFonts w:hint="eastAsia" w:ascii="宋体" w:hAnsi="宋体" w:eastAsia="宋体" w:cs="宋体"/>
                <w:szCs w:val="21"/>
              </w:rPr>
              <w:t>投标产品中属于国家优先采购范围的，则每有一项为政府采购节能产品或者环境标志产品、无线局域网产品的得0.5分，非政府采购节能、环境标志产品、无线局域网产品的不得分。本项最多得1分。</w:t>
            </w:r>
          </w:p>
          <w:p>
            <w:pPr>
              <w:spacing w:line="240" w:lineRule="auto"/>
              <w:ind w:firstLine="210" w:firstLineChars="100"/>
              <w:rPr>
                <w:rFonts w:hint="eastAsia" w:ascii="宋体" w:hAnsi="宋体" w:eastAsia="宋体" w:cs="宋体"/>
                <w:szCs w:val="21"/>
              </w:rPr>
            </w:pPr>
            <w:r>
              <w:rPr>
                <w:rFonts w:hint="eastAsia" w:ascii="宋体" w:hAnsi="宋体" w:eastAsia="宋体" w:cs="宋体"/>
                <w:szCs w:val="21"/>
              </w:rPr>
              <w:t>注：1、按照《关于调整优化节能产品、环境标志产品政府采购执行机制的通知》（财库〔2019〕9 号）、《关于印发环境标志产品政府采购品目清单的通知》财库〔2019〕18号、《关于印发节能产品政府采购品目清单的通知》财库〔2019〕19号的规定，属于政府优先采购的品目清单范围的，提供国家确定的认证机构出具的、处于有效期之内的节能产品、环境标志产品认证证书复印件或该产品认证信息截图或者打印资料加盖投标人公章。</w:t>
            </w:r>
          </w:p>
          <w:p>
            <w:pPr>
              <w:spacing w:line="240" w:lineRule="auto"/>
              <w:ind w:firstLine="210" w:firstLineChars="100"/>
              <w:rPr>
                <w:rFonts w:hint="eastAsia" w:ascii="宋体" w:hAnsi="宋体" w:eastAsia="宋体" w:cs="宋体"/>
                <w:szCs w:val="21"/>
              </w:rPr>
            </w:pPr>
            <w:r>
              <w:rPr>
                <w:rFonts w:hint="eastAsia" w:ascii="宋体" w:hAnsi="宋体" w:eastAsia="宋体" w:cs="宋体"/>
                <w:szCs w:val="21"/>
              </w:rPr>
              <w:t>2、无线局域网产品以《中国政府采购网》最新颁布清单为准提供证书复印件加盖公章。</w:t>
            </w:r>
          </w:p>
        </w:tc>
        <w:tc>
          <w:tcPr>
            <w:tcW w:w="520" w:type="pct"/>
            <w:shd w:val="clear" w:color="auto" w:fill="FFFFFF"/>
            <w:noWrap w:val="0"/>
            <w:tcMar>
              <w:top w:w="0" w:type="dxa"/>
              <w:left w:w="108" w:type="dxa"/>
              <w:bottom w:w="0" w:type="dxa"/>
              <w:right w:w="108" w:type="dxa"/>
            </w:tcMar>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共同评</w:t>
            </w:r>
          </w:p>
          <w:p>
            <w:pPr>
              <w:spacing w:line="360" w:lineRule="auto"/>
              <w:jc w:val="center"/>
              <w:rPr>
                <w:rFonts w:hint="eastAsia" w:ascii="宋体" w:hAnsi="宋体" w:eastAsia="宋体" w:cs="宋体"/>
                <w:szCs w:val="21"/>
              </w:rPr>
            </w:pPr>
            <w:r>
              <w:rPr>
                <w:rFonts w:hint="eastAsia" w:ascii="宋体" w:hAnsi="宋体" w:eastAsia="宋体" w:cs="宋体"/>
                <w:szCs w:val="21"/>
              </w:rPr>
              <w:t>审因素</w:t>
            </w:r>
          </w:p>
        </w:tc>
      </w:tr>
    </w:tbl>
    <w:p>
      <w:pPr>
        <w:pStyle w:val="10"/>
        <w:pageBreakBefore w:val="0"/>
        <w:tabs>
          <w:tab w:val="left" w:pos="600"/>
        </w:tabs>
        <w:kinsoku/>
        <w:wordWrap/>
        <w:overflowPunct/>
        <w:topLinePunct w:val="0"/>
        <w:bidi w:val="0"/>
        <w:spacing w:after="0" w:line="360" w:lineRule="auto"/>
        <w:ind w:left="0" w:lef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注：评分的取值按四舍五入法，保留小数点后两位。</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4.3.4 本次综合评分法由评标委员会各成员独立对通过初审（资格检查和符合性检查）的投标人的投标文件进行评审和打分，评标得分＝（A1＋A2＋……＋An）/NA＋（B1＋B2＋……＋Bn）/ NB＋（C1＋C2＋……＋Cn）/ NC＋（D1＋D2＋……＋Dn）/ ND</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A1、A2……An分别为每个经济类评委（经济类专家）的打分，NA为经济类评委（经济类专家）人数；B1、B2＋……Bn 分别为每个技术类评委（技术类专家和采购人代表）的打分，NB为技术类评委（技术类专家和采购人代表）人数；C1、C2……Cn 分别为每个政策合同类评委（法律类专家）的打分，NC为政策合同类评委（法律类专家）人数；D1、D2……Dn 分别为评审委员会每个成员的打分（共同评分类），ND为评标委员会人数。    </w:t>
      </w:r>
      <w:bookmarkStart w:id="177" w:name="_Toc217446060"/>
    </w:p>
    <w:p>
      <w:pPr>
        <w:pStyle w:val="4"/>
        <w:pageBreakBefore w:val="0"/>
        <w:kinsoku/>
        <w:wordWrap/>
        <w:overflowPunct/>
        <w:topLinePunct w:val="0"/>
        <w:bidi w:val="0"/>
        <w:spacing w:before="0" w:after="0" w:line="360" w:lineRule="auto"/>
        <w:ind w:firstLine="472" w:firstLineChars="196"/>
        <w:rPr>
          <w:rFonts w:hint="eastAsia" w:ascii="宋体" w:hAnsi="宋体" w:eastAsia="宋体" w:cs="宋体"/>
          <w:color w:val="auto"/>
          <w:sz w:val="24"/>
          <w:szCs w:val="24"/>
          <w:highlight w:val="none"/>
        </w:rPr>
      </w:pPr>
    </w:p>
    <w:p>
      <w:pPr>
        <w:pStyle w:val="4"/>
        <w:pageBreakBefore w:val="0"/>
        <w:kinsoku/>
        <w:wordWrap/>
        <w:overflowPunct/>
        <w:topLinePunct w:val="0"/>
        <w:bidi w:val="0"/>
        <w:spacing w:before="0" w:after="0" w:line="360" w:lineRule="auto"/>
        <w:ind w:firstLine="472"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废 标</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5.1本次政府采购活动中，出现下列情形之一的，予以废标：</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（1）符合专业条件的投标人或者对招标文件作实质响应的投标人不足三家的；</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（2）出现影响采购公正的违法、违规行为的；</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（3）投标人的报价均超过了采购预算，采购人不能支付的；</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（4）因重大变故，采购任务取消的。</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废标后，采购代理机构应在四川政府采购网上公告，并公告废标的情形。投标人需要知晓导致废标情形的具体原因和理由的，可以通过书面形式询问招标采购单位。</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5.2对于评标过程中废标的采购项目，评标委员会应当对招标文件是否存在倾向性和歧视性、是否存在不合理条款进行论证，并出具书面论证意见。</w:t>
      </w:r>
    </w:p>
    <w:p>
      <w:pPr>
        <w:pStyle w:val="4"/>
        <w:pageBreakBefore w:val="0"/>
        <w:kinsoku/>
        <w:wordWrap/>
        <w:overflowPunct/>
        <w:topLinePunct w:val="0"/>
        <w:bidi w:val="0"/>
        <w:spacing w:before="0" w:after="0" w:line="360" w:lineRule="auto"/>
        <w:ind w:firstLine="472"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6、定标</w:t>
      </w:r>
      <w:bookmarkEnd w:id="177"/>
      <w:bookmarkStart w:id="178" w:name="_Toc217446061"/>
    </w:p>
    <w:bookmarkEnd w:id="178"/>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bookmarkStart w:id="179" w:name="_Toc183682432"/>
      <w:bookmarkStart w:id="180" w:name="_Toc217446105"/>
      <w:bookmarkStart w:id="181" w:name="_Toc208849022"/>
      <w:bookmarkStart w:id="182" w:name="_Toc183582297"/>
      <w:r>
        <w:rPr>
          <w:rFonts w:hint="eastAsia" w:ascii="宋体" w:hAnsi="宋体" w:eastAsia="宋体" w:cs="宋体"/>
          <w:color w:val="auto"/>
          <w:sz w:val="24"/>
          <w:highlight w:val="none"/>
        </w:rPr>
        <w:t>6.1. 定标原则：本项目根据评标委员会推荐的中标候选人名单，按顺序确定中标人。</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6.2. 定标程序</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6.2.1 评标委员会将评标情况写出书面报告，推荐中标候选人。</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6.2.2 采购代理机构在评标结束后2个工作日内将评标报告送采购人。</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6.2.3 采购人在收到评标报告后 5 个工作日内，按照评标报告中推荐的中标候选人顺序确定中标人。中标候选人并列的，由采购人自主采取公平、择优的方式选择中标人。</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注意，采购人按照推荐的中标候选人顺序确定中标人，不能认为采购人只能确定第一中标候选人为中标人，采购人有正当理由的，可以确定后一顺序中标候选人为中标人，依次类推。</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6.2.4 在四川政府采购网公告中标结果同时发出中标通知书，中标人自行登录政府采购云平台下载中标通知书。</w:t>
      </w:r>
    </w:p>
    <w:p>
      <w:pPr>
        <w:pageBreakBefore w:val="0"/>
        <w:kinsoku/>
        <w:wordWrap/>
        <w:overflowPunct/>
        <w:topLinePunct w:val="0"/>
        <w:bidi w:val="0"/>
        <w:spacing w:after="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7. </w:t>
      </w:r>
      <w:bookmarkEnd w:id="179"/>
      <w:bookmarkEnd w:id="180"/>
      <w:bookmarkEnd w:id="181"/>
      <w:bookmarkEnd w:id="182"/>
      <w:r>
        <w:rPr>
          <w:rFonts w:hint="eastAsia" w:ascii="宋体" w:hAnsi="宋体" w:eastAsia="宋体" w:cs="宋体"/>
          <w:b/>
          <w:bCs/>
          <w:color w:val="auto"/>
          <w:sz w:val="24"/>
          <w:highlight w:val="none"/>
        </w:rPr>
        <w:t>评标专家在政府采购活动中承担以下义务：</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（一）遵守评审工作纪律； </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（二）按照客观、公正、审慎的原则，根据采购文件规定的评审程序、评审方法和评审标准进行独立评审；</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（三）不得泄露评审文件、评审情况和在评审过程中获悉的商业秘密；</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（四）及时向监督部门报告评审过程中采购组织单位向评审专家做倾向性、误导性的解释或者说明，投标人行贿、提供虚假材料或者串通、受到的非法干预情况等违法违规行为；</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（五）发现采购文件内容违反国家有关强制性规定或者存在歧义、重大缺陷导致评审工作无法进行时，停止评审并向采购组织单位书面说明情况；</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（六）配合答复处理投标人的询问、质疑和投诉等事项；</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（七）法律、法规和规章规定的其他义务。</w:t>
      </w:r>
    </w:p>
    <w:p>
      <w:pPr>
        <w:pStyle w:val="4"/>
        <w:pageBreakBefore w:val="0"/>
        <w:kinsoku/>
        <w:wordWrap/>
        <w:overflowPunct/>
        <w:topLinePunct w:val="0"/>
        <w:bidi w:val="0"/>
        <w:spacing w:before="0" w:after="0" w:line="360" w:lineRule="auto"/>
        <w:ind w:firstLine="482"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8.评标专家在政府采购活动中应当遵守以下工作纪律：</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（一）遵行《政府采购法》第十二条和《政府采购法实施条例》第九条及财政部关于回避的规定。</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（二）评标前，应当将通讯工具或者相关电子设备交由招标采购单位统一保管。</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（三）评标过程中，不得与外界联系，因发生不可预见情况，确实需要与外界联系的，应当在监督人员监督之下办理。</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（五）在评标过程中和评标结束后，不得记录、复制或带走任何评标资料，除因规定的义务外，不得向外界透露评标内容。</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（六）服从评标现场招标采购单位的现场秩序管理，接受评标现场监督人员的合法监督。</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（七）遵守有关廉洁自律规定，不得私下接触投标人，不得收受投标人及有关业务单位和个人的财物或好处，不得接受采购组织单位的请托。</w:t>
      </w:r>
    </w:p>
    <w:p>
      <w:pPr>
        <w:pStyle w:val="3"/>
        <w:pageBreakBefore w:val="0"/>
        <w:kinsoku/>
        <w:wordWrap/>
        <w:overflowPunct/>
        <w:topLinePunct w:val="0"/>
        <w:bidi w:val="0"/>
        <w:spacing w:before="0" w:after="0"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r>
        <w:rPr>
          <w:rFonts w:hint="eastAsia" w:ascii="宋体" w:hAnsi="宋体" w:eastAsia="宋体" w:cs="宋体"/>
          <w:color w:val="auto"/>
          <w:sz w:val="36"/>
          <w:szCs w:val="36"/>
          <w:highlight w:val="none"/>
        </w:rPr>
        <w:t>第八章  政府采购合同</w:t>
      </w:r>
      <w:bookmarkEnd w:id="175"/>
      <w:bookmarkEnd w:id="176"/>
      <w:r>
        <w:rPr>
          <w:rFonts w:hint="eastAsia" w:ascii="宋体" w:hAnsi="宋体" w:eastAsia="宋体" w:cs="宋体"/>
          <w:color w:val="auto"/>
          <w:sz w:val="36"/>
          <w:szCs w:val="36"/>
          <w:highlight w:val="none"/>
        </w:rPr>
        <w:t>（草案）</w:t>
      </w:r>
    </w:p>
    <w:bookmarkEnd w:id="159"/>
    <w:p>
      <w:pPr>
        <w:spacing w:line="360" w:lineRule="auto"/>
        <w:ind w:firstLine="480" w:firstLineChars="200"/>
        <w:rPr>
          <w:rFonts w:hint="eastAsia" w:ascii="宋体" w:hAnsi="宋体" w:eastAsia="宋体" w:cs="宋体"/>
          <w:sz w:val="28"/>
          <w:szCs w:val="28"/>
        </w:rPr>
      </w:pPr>
      <w:r>
        <w:rPr>
          <w:rFonts w:hint="eastAsia" w:ascii="宋体" w:hAnsi="宋体" w:eastAsia="宋体" w:cs="宋体"/>
          <w:sz w:val="24"/>
        </w:rPr>
        <w:t>合同编号：</w:t>
      </w:r>
      <w:r>
        <w:rPr>
          <w:rFonts w:hint="eastAsia" w:ascii="宋体" w:hAnsi="宋体" w:eastAsia="宋体" w:cs="宋体"/>
          <w:sz w:val="28"/>
          <w:szCs w:val="28"/>
        </w:rPr>
        <w:t>XXXX。</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签订地点：XXXX。</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签订时间：XXXX年XX月XX日。</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采购人（甲方）：</w:t>
      </w:r>
      <w:r>
        <w:rPr>
          <w:rFonts w:hint="eastAsia" w:ascii="宋体" w:hAnsi="宋体" w:eastAsia="宋体" w:cs="宋体"/>
          <w:sz w:val="24"/>
          <w:u w:val="single"/>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投标人（乙方）：</w:t>
      </w:r>
      <w:r>
        <w:rPr>
          <w:rFonts w:hint="eastAsia" w:ascii="宋体" w:hAnsi="宋体" w:eastAsia="宋体" w:cs="宋体"/>
          <w:sz w:val="24"/>
          <w:u w:val="single"/>
        </w:rPr>
        <w:t xml:space="preserve">                              </w:t>
      </w:r>
      <w:r>
        <w:rPr>
          <w:rFonts w:hint="eastAsia" w:ascii="宋体" w:hAnsi="宋体" w:eastAsia="宋体" w:cs="宋体"/>
        </w:rPr>
        <w:t xml:space="preserve">                                       </w:t>
      </w:r>
    </w:p>
    <w:p>
      <w:pPr>
        <w:pStyle w:val="30"/>
        <w:ind w:firstLine="480"/>
        <w:rPr>
          <w:rFonts w:hint="eastAsia" w:ascii="宋体" w:hAnsi="宋体" w:eastAsia="宋体" w:cs="宋体"/>
        </w:rPr>
      </w:pPr>
      <w:r>
        <w:rPr>
          <w:rFonts w:hint="eastAsia" w:ascii="宋体" w:hAnsi="宋体" w:eastAsia="宋体" w:cs="宋体"/>
        </w:rPr>
        <w:t>根据《中华人民共和国政府采购法》、《中华人民共和国合同法》及</w:t>
      </w:r>
      <w:r>
        <w:rPr>
          <w:rFonts w:hint="eastAsia" w:ascii="宋体" w:hAnsi="宋体" w:eastAsia="宋体" w:cs="宋体"/>
          <w:szCs w:val="21"/>
        </w:rPr>
        <w:t>XX</w:t>
      </w:r>
      <w:r>
        <w:rPr>
          <w:rFonts w:hint="eastAsia" w:ascii="宋体" w:hAnsi="宋体" w:eastAsia="宋体" w:cs="宋体"/>
        </w:rPr>
        <w:t>公司</w:t>
      </w:r>
      <w:r>
        <w:rPr>
          <w:rFonts w:hint="eastAsia" w:ascii="宋体" w:hAnsi="宋体" w:eastAsia="宋体" w:cs="宋体"/>
          <w:u w:val="single"/>
        </w:rPr>
        <w:t xml:space="preserve">         </w:t>
      </w:r>
      <w:r>
        <w:rPr>
          <w:rFonts w:hint="eastAsia" w:ascii="宋体" w:hAnsi="宋体" w:eastAsia="宋体" w:cs="宋体"/>
        </w:rPr>
        <w:t>采购项目（项目编号：</w:t>
      </w:r>
      <w:r>
        <w:rPr>
          <w:rFonts w:hint="eastAsia" w:ascii="宋体" w:hAnsi="宋体" w:eastAsia="宋体" w:cs="宋体"/>
          <w:szCs w:val="21"/>
        </w:rPr>
        <w:t>XX</w:t>
      </w:r>
      <w:r>
        <w:rPr>
          <w:rFonts w:hint="eastAsia" w:ascii="宋体" w:hAnsi="宋体" w:eastAsia="宋体" w:cs="宋体"/>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pStyle w:val="4"/>
        <w:spacing w:line="400" w:lineRule="exact"/>
        <w:ind w:firstLine="482" w:firstLineChars="200"/>
        <w:rPr>
          <w:rFonts w:hint="eastAsia" w:ascii="宋体" w:hAnsi="宋体" w:eastAsia="宋体" w:cs="宋体"/>
          <w:sz w:val="24"/>
          <w:szCs w:val="24"/>
        </w:rPr>
      </w:pPr>
      <w:bookmarkStart w:id="183" w:name="_Toc217446107"/>
      <w:r>
        <w:rPr>
          <w:rFonts w:hint="eastAsia" w:ascii="宋体" w:hAnsi="宋体" w:eastAsia="宋体" w:cs="宋体"/>
          <w:sz w:val="24"/>
          <w:szCs w:val="24"/>
        </w:rPr>
        <w:t>一、合同货物</w:t>
      </w:r>
      <w:bookmarkEnd w:id="183"/>
    </w:p>
    <w:tbl>
      <w:tblPr>
        <w:tblStyle w:val="21"/>
        <w:tblW w:w="0" w:type="auto"/>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40" w:firstLineChars="100"/>
              <w:rPr>
                <w:rFonts w:hint="eastAsia" w:ascii="宋体" w:hAnsi="宋体" w:eastAsia="宋体" w:cs="宋体"/>
                <w:sz w:val="24"/>
              </w:rPr>
            </w:pPr>
            <w:r>
              <w:rPr>
                <w:rFonts w:hint="eastAsia" w:ascii="宋体" w:hAnsi="宋体" w:eastAsia="宋体" w:cs="宋体"/>
                <w:sz w:val="24"/>
              </w:rPr>
              <w:t>货物品名</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规格</w:t>
            </w:r>
          </w:p>
          <w:p>
            <w:pPr>
              <w:spacing w:line="400" w:lineRule="exact"/>
              <w:jc w:val="center"/>
              <w:rPr>
                <w:rFonts w:hint="eastAsia" w:ascii="宋体" w:hAnsi="宋体" w:eastAsia="宋体" w:cs="宋体"/>
                <w:sz w:val="24"/>
              </w:rPr>
            </w:pPr>
            <w:r>
              <w:rPr>
                <w:rFonts w:hint="eastAsia" w:ascii="宋体" w:hAnsi="宋体" w:eastAsia="宋体" w:cs="宋体"/>
                <w:sz w:val="24"/>
              </w:rPr>
              <w:t>型号</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sz w:val="24"/>
              </w:rPr>
            </w:pPr>
            <w:r>
              <w:rPr>
                <w:rFonts w:hint="eastAsia" w:ascii="宋体" w:hAnsi="宋体" w:eastAsia="宋体" w:cs="宋体"/>
                <w:sz w:val="24"/>
              </w:rPr>
              <w:t>单位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20" w:firstLineChars="50"/>
              <w:rPr>
                <w:rFonts w:hint="eastAsia" w:ascii="宋体" w:hAnsi="宋体" w:eastAsia="宋体" w:cs="宋体"/>
                <w:sz w:val="24"/>
              </w:rPr>
            </w:pPr>
            <w:r>
              <w:rPr>
                <w:rFonts w:hint="eastAsia" w:ascii="宋体" w:hAnsi="宋体" w:eastAsia="宋体" w:cs="宋体"/>
                <w:sz w:val="24"/>
              </w:rPr>
              <w:t>数量</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20" w:firstLineChars="50"/>
              <w:jc w:val="center"/>
              <w:rPr>
                <w:rFonts w:hint="eastAsia" w:ascii="宋体" w:hAnsi="宋体" w:eastAsia="宋体" w:cs="宋体"/>
                <w:sz w:val="24"/>
              </w:rPr>
            </w:pPr>
            <w:r>
              <w:rPr>
                <w:rFonts w:hint="eastAsia" w:ascii="宋体" w:hAnsi="宋体" w:eastAsia="宋体" w:cs="宋体"/>
                <w:sz w:val="24"/>
              </w:rPr>
              <w:t>单价</w:t>
            </w:r>
          </w:p>
          <w:p>
            <w:pPr>
              <w:spacing w:line="400" w:lineRule="exact"/>
              <w:jc w:val="center"/>
              <w:rPr>
                <w:rFonts w:hint="eastAsia" w:ascii="宋体" w:hAnsi="宋体" w:eastAsia="宋体" w:cs="宋体"/>
                <w:sz w:val="24"/>
              </w:rPr>
            </w:pPr>
            <w:r>
              <w:rPr>
                <w:rFonts w:hint="eastAsia" w:ascii="宋体" w:hAnsi="宋体" w:eastAsia="宋体" w:cs="宋体"/>
                <w:sz w:val="24"/>
              </w:rPr>
              <w:t>（万元）</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40" w:firstLineChars="100"/>
              <w:rPr>
                <w:rFonts w:hint="eastAsia" w:ascii="宋体" w:hAnsi="宋体" w:eastAsia="宋体" w:cs="宋体"/>
                <w:sz w:val="24"/>
              </w:rPr>
            </w:pPr>
            <w:r>
              <w:rPr>
                <w:rFonts w:hint="eastAsia" w:ascii="宋体" w:hAnsi="宋体" w:eastAsia="宋体" w:cs="宋体"/>
                <w:sz w:val="24"/>
              </w:rPr>
              <w:t>总价</w:t>
            </w:r>
          </w:p>
          <w:p>
            <w:pPr>
              <w:spacing w:line="400" w:lineRule="exact"/>
              <w:rPr>
                <w:rFonts w:hint="eastAsia" w:ascii="宋体" w:hAnsi="宋体" w:eastAsia="宋体" w:cs="宋体"/>
                <w:sz w:val="24"/>
              </w:rPr>
            </w:pPr>
            <w:r>
              <w:rPr>
                <w:rFonts w:hint="eastAsia" w:ascii="宋体" w:hAnsi="宋体" w:eastAsia="宋体" w:cs="宋体"/>
                <w:sz w:val="24"/>
              </w:rPr>
              <w:t>（万元）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随机</w:t>
            </w:r>
          </w:p>
          <w:p>
            <w:pPr>
              <w:spacing w:line="400" w:lineRule="exact"/>
              <w:jc w:val="center"/>
              <w:rPr>
                <w:rFonts w:hint="eastAsia" w:ascii="宋体" w:hAnsi="宋体" w:eastAsia="宋体" w:cs="宋体"/>
                <w:sz w:val="24"/>
              </w:rPr>
            </w:pPr>
            <w:r>
              <w:rPr>
                <w:rFonts w:hint="eastAsia" w:ascii="宋体" w:hAnsi="宋体" w:eastAsia="宋体" w:cs="宋体"/>
                <w:sz w:val="24"/>
              </w:rPr>
              <w:t>配件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20" w:firstLineChars="50"/>
              <w:rPr>
                <w:rFonts w:hint="eastAsia" w:ascii="宋体" w:hAnsi="宋体" w:eastAsia="宋体" w:cs="宋体"/>
                <w:sz w:val="24"/>
              </w:rPr>
            </w:pPr>
            <w:r>
              <w:rPr>
                <w:rFonts w:hint="eastAsia" w:ascii="宋体" w:hAnsi="宋体" w:eastAsia="宋体" w:cs="宋体"/>
                <w:sz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 </w:t>
            </w:r>
          </w:p>
        </w:tc>
      </w:tr>
    </w:tbl>
    <w:p>
      <w:pPr>
        <w:pStyle w:val="4"/>
        <w:spacing w:line="400" w:lineRule="exact"/>
        <w:ind w:firstLine="482" w:firstLineChars="200"/>
        <w:rPr>
          <w:rFonts w:hint="eastAsia" w:ascii="宋体" w:hAnsi="宋体" w:eastAsia="宋体" w:cs="宋体"/>
          <w:sz w:val="24"/>
          <w:szCs w:val="24"/>
        </w:rPr>
      </w:pPr>
      <w:bookmarkStart w:id="184" w:name="_Toc217446108"/>
      <w:r>
        <w:rPr>
          <w:rFonts w:hint="eastAsia" w:ascii="宋体" w:hAnsi="宋体" w:eastAsia="宋体" w:cs="宋体"/>
          <w:sz w:val="24"/>
          <w:szCs w:val="24"/>
        </w:rPr>
        <w:t>二、合同总价</w:t>
      </w:r>
      <w:bookmarkEnd w:id="184"/>
    </w:p>
    <w:p>
      <w:pPr>
        <w:pStyle w:val="8"/>
        <w:spacing w:line="400" w:lineRule="exact"/>
        <w:ind w:firstLine="420" w:firstLineChars="175"/>
        <w:rPr>
          <w:rFonts w:hint="eastAsia" w:ascii="宋体" w:hAnsi="宋体" w:eastAsia="宋体" w:cs="宋体"/>
          <w:sz w:val="24"/>
        </w:rPr>
      </w:pPr>
      <w:r>
        <w:rPr>
          <w:rFonts w:hint="eastAsia" w:ascii="宋体" w:hAnsi="宋体" w:eastAsia="宋体" w:cs="宋体"/>
          <w:sz w:val="24"/>
        </w:rPr>
        <w:t>合同总价为人民币大写：</w:t>
      </w:r>
      <w:r>
        <w:rPr>
          <w:rFonts w:hint="eastAsia" w:ascii="宋体" w:hAnsi="宋体" w:eastAsia="宋体" w:cs="宋体"/>
          <w:sz w:val="24"/>
          <w:u w:val="single"/>
        </w:rPr>
        <w:t xml:space="preserve">                </w:t>
      </w:r>
      <w:r>
        <w:rPr>
          <w:rFonts w:hint="eastAsia" w:ascii="宋体" w:hAnsi="宋体" w:eastAsia="宋体" w:cs="宋体"/>
          <w:sz w:val="24"/>
        </w:rPr>
        <w:t>元，即RMB￥</w:t>
      </w:r>
      <w:r>
        <w:rPr>
          <w:rFonts w:hint="eastAsia" w:ascii="宋体" w:hAnsi="宋体" w:eastAsia="宋体" w:cs="宋体"/>
          <w:sz w:val="24"/>
          <w:u w:val="single"/>
        </w:rPr>
        <w:t xml:space="preserve">        </w:t>
      </w:r>
      <w:r>
        <w:rPr>
          <w:rFonts w:hint="eastAsia" w:ascii="宋体" w:hAnsi="宋体" w:eastAsia="宋体" w:cs="宋体"/>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pStyle w:val="4"/>
        <w:spacing w:line="400" w:lineRule="exact"/>
        <w:ind w:firstLine="482" w:firstLineChars="200"/>
        <w:rPr>
          <w:rFonts w:hint="eastAsia" w:ascii="宋体" w:hAnsi="宋体" w:eastAsia="宋体" w:cs="宋体"/>
          <w:sz w:val="24"/>
          <w:szCs w:val="24"/>
        </w:rPr>
      </w:pPr>
      <w:bookmarkStart w:id="185" w:name="_Toc217446109"/>
      <w:r>
        <w:rPr>
          <w:rFonts w:hint="eastAsia" w:ascii="宋体" w:hAnsi="宋体" w:eastAsia="宋体" w:cs="宋体"/>
          <w:sz w:val="24"/>
          <w:szCs w:val="24"/>
        </w:rPr>
        <w:t>三、质量要求</w:t>
      </w:r>
      <w:bookmarkEnd w:id="185"/>
    </w:p>
    <w:p>
      <w:pPr>
        <w:pStyle w:val="30"/>
        <w:ind w:firstLine="480"/>
        <w:rPr>
          <w:rFonts w:hint="eastAsia" w:ascii="宋体" w:hAnsi="宋体" w:eastAsia="宋体" w:cs="宋体"/>
        </w:rPr>
      </w:pPr>
      <w:r>
        <w:rPr>
          <w:rFonts w:hint="eastAsia" w:ascii="宋体" w:hAnsi="宋体" w:eastAsia="宋体" w:cs="宋体"/>
        </w:rPr>
        <w:t>1、乙方须提供全新的货物（含零部件、配件等），表面无划伤、无碰撞痕迹，且权属清楚，不得侵害他人的知识产权。</w:t>
      </w:r>
    </w:p>
    <w:p>
      <w:pPr>
        <w:pStyle w:val="30"/>
        <w:ind w:firstLine="480"/>
        <w:rPr>
          <w:rFonts w:hint="eastAsia" w:ascii="宋体" w:hAnsi="宋体" w:eastAsia="宋体" w:cs="宋体"/>
        </w:rPr>
      </w:pPr>
      <w:r>
        <w:rPr>
          <w:rFonts w:hint="eastAsia" w:ascii="宋体" w:hAnsi="宋体" w:eastAsia="宋体" w:cs="宋体"/>
        </w:rPr>
        <w:t>2、货物必须符合或优于国家（行业）</w:t>
      </w:r>
      <w:r>
        <w:rPr>
          <w:rFonts w:hint="eastAsia" w:ascii="宋体" w:hAnsi="宋体" w:eastAsia="宋体" w:cs="宋体"/>
          <w:u w:val="single"/>
        </w:rPr>
        <w:t xml:space="preserve">          </w:t>
      </w:r>
      <w:r>
        <w:rPr>
          <w:rFonts w:hint="eastAsia" w:ascii="宋体" w:hAnsi="宋体" w:eastAsia="宋体" w:cs="宋体"/>
        </w:rPr>
        <w:t>标准，以及本项目招标文件的质量要求和技术指标与出厂标准。</w:t>
      </w:r>
    </w:p>
    <w:p>
      <w:pPr>
        <w:pStyle w:val="30"/>
        <w:ind w:firstLine="480"/>
        <w:rPr>
          <w:rFonts w:hint="eastAsia" w:ascii="宋体" w:hAnsi="宋体" w:eastAsia="宋体" w:cs="宋体"/>
        </w:rPr>
      </w:pPr>
      <w:r>
        <w:rPr>
          <w:rFonts w:hint="eastAsia" w:ascii="宋体" w:hAnsi="宋体" w:eastAsia="宋体" w:cs="宋体"/>
        </w:rPr>
        <w:t>3、乙方须在本合同签订之日起</w:t>
      </w:r>
      <w:r>
        <w:rPr>
          <w:rFonts w:hint="eastAsia" w:ascii="宋体" w:hAnsi="宋体" w:eastAsia="宋体" w:cs="宋体"/>
          <w:u w:val="single"/>
        </w:rPr>
        <w:t xml:space="preserve">   </w:t>
      </w:r>
      <w:r>
        <w:rPr>
          <w:rFonts w:hint="eastAsia" w:ascii="宋体" w:hAnsi="宋体" w:eastAsia="宋体" w:cs="宋体"/>
        </w:rPr>
        <w:t>日内送交货物给甲方，每台货物上均应有产品质量检验合格标志。</w:t>
      </w:r>
    </w:p>
    <w:p>
      <w:pPr>
        <w:pStyle w:val="30"/>
        <w:ind w:firstLine="480"/>
        <w:rPr>
          <w:rFonts w:hint="eastAsia" w:ascii="宋体" w:hAnsi="宋体" w:eastAsia="宋体" w:cs="宋体"/>
        </w:rPr>
      </w:pPr>
      <w:r>
        <w:rPr>
          <w:rFonts w:hint="eastAsia" w:ascii="宋体" w:hAnsi="宋体" w:eastAsia="宋体" w:cs="宋体"/>
        </w:rPr>
        <w:t>4、货物制造质量出现问题，乙方应负责三包（包修、包换、包退），费用由乙方负担，甲方有权到乙方生产场地检查货物质量和生产进度。</w:t>
      </w:r>
    </w:p>
    <w:p>
      <w:pPr>
        <w:pStyle w:val="30"/>
        <w:ind w:firstLine="480"/>
        <w:rPr>
          <w:rFonts w:hint="eastAsia" w:ascii="宋体" w:hAnsi="宋体" w:eastAsia="宋体" w:cs="宋体"/>
        </w:rPr>
      </w:pPr>
      <w:r>
        <w:rPr>
          <w:rFonts w:hint="eastAsia" w:ascii="宋体" w:hAnsi="宋体" w:eastAsia="宋体" w:cs="宋体"/>
        </w:rPr>
        <w:t>5、货到现场后由于甲方保管不当造成的质量问题，乙方亦应负责修理，但费用由甲方负担。</w:t>
      </w:r>
    </w:p>
    <w:p>
      <w:pPr>
        <w:pStyle w:val="4"/>
        <w:spacing w:line="400" w:lineRule="exact"/>
        <w:ind w:firstLine="482" w:firstLineChars="200"/>
        <w:rPr>
          <w:rFonts w:hint="eastAsia" w:ascii="宋体" w:hAnsi="宋体" w:eastAsia="宋体" w:cs="宋体"/>
          <w:sz w:val="24"/>
          <w:szCs w:val="24"/>
        </w:rPr>
      </w:pPr>
      <w:bookmarkStart w:id="186" w:name="_Toc217446110"/>
      <w:r>
        <w:rPr>
          <w:rFonts w:hint="eastAsia" w:ascii="宋体" w:hAnsi="宋体" w:eastAsia="宋体" w:cs="宋体"/>
          <w:sz w:val="24"/>
          <w:szCs w:val="24"/>
        </w:rPr>
        <w:t>四、交货及验收</w:t>
      </w:r>
      <w:bookmarkEnd w:id="186"/>
    </w:p>
    <w:p>
      <w:pPr>
        <w:pStyle w:val="30"/>
        <w:ind w:firstLine="480"/>
        <w:rPr>
          <w:rFonts w:hint="eastAsia" w:ascii="宋体" w:hAnsi="宋体" w:eastAsia="宋体" w:cs="宋体"/>
        </w:rPr>
      </w:pPr>
      <w:r>
        <w:rPr>
          <w:rFonts w:hint="eastAsia" w:ascii="宋体" w:hAnsi="宋体" w:eastAsia="宋体" w:cs="宋体"/>
        </w:rPr>
        <w:t>1、乙方交货期限为合同签订生效后的</w:t>
      </w:r>
      <w:r>
        <w:rPr>
          <w:rFonts w:hint="eastAsia" w:ascii="宋体" w:hAnsi="宋体" w:eastAsia="宋体" w:cs="宋体"/>
          <w:szCs w:val="21"/>
        </w:rPr>
        <w:t>XX</w:t>
      </w:r>
      <w:r>
        <w:rPr>
          <w:rFonts w:hint="eastAsia" w:ascii="宋体" w:hAnsi="宋体" w:eastAsia="宋体" w:cs="宋体"/>
        </w:rPr>
        <w:t>日内，在合同签订生效之日起</w:t>
      </w:r>
      <w:r>
        <w:rPr>
          <w:rFonts w:hint="eastAsia" w:ascii="宋体" w:hAnsi="宋体" w:eastAsia="宋体" w:cs="宋体"/>
          <w:szCs w:val="21"/>
        </w:rPr>
        <w:t>XX</w:t>
      </w:r>
      <w:r>
        <w:rPr>
          <w:rFonts w:hint="eastAsia" w:ascii="宋体" w:hAnsi="宋体" w:eastAsia="宋体" w:cs="宋体"/>
        </w:rPr>
        <w:t>天内交货到甲方指定地点，随即在</w:t>
      </w:r>
      <w:r>
        <w:rPr>
          <w:rFonts w:hint="eastAsia" w:ascii="宋体" w:hAnsi="宋体" w:eastAsia="宋体" w:cs="宋体"/>
          <w:szCs w:val="21"/>
        </w:rPr>
        <w:t>XX</w:t>
      </w:r>
      <w:r>
        <w:rPr>
          <w:rFonts w:hint="eastAsia" w:ascii="宋体" w:hAnsi="宋体" w:eastAsia="宋体" w:cs="宋体"/>
        </w:rPr>
        <w:t>日内全部完成安装调试验收合格交付使用，并且最迟应在</w:t>
      </w:r>
      <w:r>
        <w:rPr>
          <w:rFonts w:hint="eastAsia" w:ascii="宋体" w:hAnsi="宋体" w:eastAsia="宋体" w:cs="宋体"/>
          <w:szCs w:val="21"/>
        </w:rPr>
        <w:t>XX</w:t>
      </w:r>
      <w:r>
        <w:rPr>
          <w:rFonts w:hint="eastAsia" w:ascii="宋体" w:hAnsi="宋体" w:eastAsia="宋体" w:cs="宋体"/>
        </w:rPr>
        <w:t>年</w:t>
      </w:r>
      <w:r>
        <w:rPr>
          <w:rFonts w:hint="eastAsia" w:ascii="宋体" w:hAnsi="宋体" w:eastAsia="宋体" w:cs="宋体"/>
          <w:szCs w:val="21"/>
        </w:rPr>
        <w:t>XX</w:t>
      </w:r>
      <w:r>
        <w:rPr>
          <w:rFonts w:hint="eastAsia" w:ascii="宋体" w:hAnsi="宋体" w:eastAsia="宋体" w:cs="宋体"/>
        </w:rPr>
        <w:t>月</w:t>
      </w:r>
      <w:r>
        <w:rPr>
          <w:rFonts w:hint="eastAsia" w:ascii="宋体" w:hAnsi="宋体" w:eastAsia="宋体" w:cs="宋体"/>
          <w:szCs w:val="21"/>
        </w:rPr>
        <w:t>XX</w:t>
      </w:r>
      <w:r>
        <w:rPr>
          <w:rFonts w:hint="eastAsia" w:ascii="宋体" w:hAnsi="宋体" w:eastAsia="宋体" w:cs="宋体"/>
        </w:rPr>
        <w:t>日前全部完成安装调试验收合格交付使用(如由于采购人的原因造成合同延迟签订或验收的，时间顺延)。交货验收时须提供产品质检部门从同类产品中抽样检查合格的检测报告。</w:t>
      </w:r>
    </w:p>
    <w:p>
      <w:pPr>
        <w:pStyle w:val="30"/>
        <w:ind w:firstLine="480"/>
        <w:rPr>
          <w:rFonts w:hint="eastAsia" w:ascii="宋体" w:hAnsi="宋体" w:eastAsia="宋体" w:cs="宋体"/>
        </w:rPr>
      </w:pPr>
      <w:r>
        <w:rPr>
          <w:rFonts w:hint="eastAsia" w:ascii="宋体" w:hAnsi="宋体" w:eastAsia="宋体" w:cs="宋体"/>
        </w:rPr>
        <w:t>2、验收由甲方组织，乙方配合进行：</w:t>
      </w:r>
    </w:p>
    <w:p>
      <w:pPr>
        <w:pStyle w:val="30"/>
        <w:ind w:firstLine="480"/>
        <w:rPr>
          <w:rFonts w:hint="eastAsia" w:ascii="宋体" w:hAnsi="宋体" w:eastAsia="宋体" w:cs="宋体"/>
        </w:rPr>
      </w:pPr>
      <w:r>
        <w:rPr>
          <w:rFonts w:hint="eastAsia" w:ascii="宋体" w:hAnsi="宋体" w:eastAsia="宋体" w:cs="宋体"/>
        </w:rPr>
        <w:t>(1) 货物在乙方通知安装调试完毕后</w:t>
      </w:r>
      <w:r>
        <w:rPr>
          <w:rFonts w:hint="eastAsia" w:ascii="宋体" w:hAnsi="宋体" w:eastAsia="宋体" w:cs="宋体"/>
          <w:u w:val="single"/>
        </w:rPr>
        <w:t xml:space="preserve">    </w:t>
      </w:r>
      <w:r>
        <w:rPr>
          <w:rFonts w:hint="eastAsia" w:ascii="宋体" w:hAnsi="宋体" w:eastAsia="宋体" w:cs="宋体"/>
        </w:rPr>
        <w:t>日内初步验收。初步验收合格后，进入</w:t>
      </w:r>
      <w:r>
        <w:rPr>
          <w:rFonts w:hint="eastAsia" w:ascii="宋体" w:hAnsi="宋体" w:eastAsia="宋体" w:cs="宋体"/>
          <w:u w:val="single"/>
        </w:rPr>
        <w:t xml:space="preserve">    </w:t>
      </w:r>
      <w:r>
        <w:rPr>
          <w:rFonts w:hint="eastAsia" w:ascii="宋体" w:hAnsi="宋体" w:eastAsia="宋体" w:cs="宋体"/>
        </w:rPr>
        <w:t>试用期；试用期间发生重大质量问题，修复后试用相应顺延；试用期结束后</w:t>
      </w:r>
      <w:r>
        <w:rPr>
          <w:rFonts w:hint="eastAsia" w:ascii="宋体" w:hAnsi="宋体" w:eastAsia="宋体" w:cs="宋体"/>
          <w:u w:val="single"/>
        </w:rPr>
        <w:t xml:space="preserve">    </w:t>
      </w:r>
      <w:r>
        <w:rPr>
          <w:rFonts w:hint="eastAsia" w:ascii="宋体" w:hAnsi="宋体" w:eastAsia="宋体" w:cs="宋体"/>
        </w:rPr>
        <w:t>日内完成最终验收；</w:t>
      </w:r>
    </w:p>
    <w:p>
      <w:pPr>
        <w:pStyle w:val="30"/>
        <w:ind w:firstLine="480"/>
        <w:rPr>
          <w:rFonts w:hint="eastAsia" w:ascii="宋体" w:hAnsi="宋体" w:eastAsia="宋体" w:cs="宋体"/>
        </w:rPr>
      </w:pPr>
      <w:r>
        <w:rPr>
          <w:rFonts w:hint="eastAsia" w:ascii="宋体" w:hAnsi="宋体" w:eastAsia="宋体" w:cs="宋体"/>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pStyle w:val="30"/>
        <w:ind w:firstLine="480"/>
        <w:rPr>
          <w:rFonts w:hint="eastAsia" w:ascii="宋体" w:hAnsi="宋体" w:eastAsia="宋体" w:cs="宋体"/>
        </w:rPr>
      </w:pPr>
      <w:r>
        <w:rPr>
          <w:rFonts w:hint="eastAsia" w:ascii="宋体" w:hAnsi="宋体" w:eastAsia="宋体" w:cs="宋体"/>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30"/>
        <w:ind w:firstLine="480"/>
        <w:rPr>
          <w:rFonts w:hint="eastAsia" w:ascii="宋体" w:hAnsi="宋体" w:eastAsia="宋体" w:cs="宋体"/>
        </w:rPr>
      </w:pPr>
      <w:r>
        <w:rPr>
          <w:rFonts w:hint="eastAsia" w:ascii="宋体" w:hAnsi="宋体" w:eastAsia="宋体" w:cs="宋体"/>
        </w:rPr>
        <w:t>(4) 如质量验收合格，双方签署质量验收报告。</w:t>
      </w:r>
    </w:p>
    <w:p>
      <w:pPr>
        <w:pStyle w:val="30"/>
        <w:ind w:firstLine="480"/>
        <w:rPr>
          <w:rFonts w:hint="eastAsia" w:ascii="宋体" w:hAnsi="宋体" w:eastAsia="宋体" w:cs="宋体"/>
        </w:rPr>
      </w:pPr>
      <w:r>
        <w:rPr>
          <w:rFonts w:hint="eastAsia" w:ascii="宋体" w:hAnsi="宋体" w:eastAsia="宋体" w:cs="宋体"/>
        </w:rPr>
        <w:t>3、货物安装完成后</w:t>
      </w:r>
      <w:r>
        <w:rPr>
          <w:rFonts w:hint="eastAsia" w:ascii="宋体" w:hAnsi="宋体" w:eastAsia="宋体" w:cs="宋体"/>
          <w:u w:val="single"/>
        </w:rPr>
        <w:t xml:space="preserve">     </w:t>
      </w:r>
      <w:r>
        <w:rPr>
          <w:rFonts w:hint="eastAsia" w:ascii="宋体" w:hAnsi="宋体" w:eastAsia="宋体" w:cs="宋体"/>
        </w:rPr>
        <w:t>日内，甲方无故不进行验收工作并已使用货物的，视同已安装调试完成并验收合格。</w:t>
      </w:r>
    </w:p>
    <w:p>
      <w:pPr>
        <w:pStyle w:val="30"/>
        <w:ind w:firstLine="480"/>
        <w:rPr>
          <w:rFonts w:hint="eastAsia" w:ascii="宋体" w:hAnsi="宋体" w:eastAsia="宋体" w:cs="宋体"/>
        </w:rPr>
      </w:pPr>
      <w:r>
        <w:rPr>
          <w:rFonts w:hint="eastAsia" w:ascii="宋体" w:hAnsi="宋体" w:eastAsia="宋体" w:cs="宋体"/>
        </w:rPr>
        <w:t>4、乙方应将所提供货物的装箱清单、配件、随机工具、用户使用手册、原厂保修卡等资料交付给甲方；乙方不能完整交付货物及本款规定的单证和工具的，必须负责补齐，否则视为未按合同约定交货。</w:t>
      </w:r>
    </w:p>
    <w:p>
      <w:pPr>
        <w:pStyle w:val="30"/>
        <w:ind w:firstLine="480"/>
        <w:rPr>
          <w:rFonts w:hint="eastAsia" w:ascii="宋体" w:hAnsi="宋体" w:eastAsia="宋体" w:cs="宋体"/>
        </w:rPr>
      </w:pPr>
      <w:r>
        <w:rPr>
          <w:rFonts w:hint="eastAsia" w:ascii="宋体" w:hAnsi="宋体" w:eastAsia="宋体" w:cs="宋体"/>
        </w:rPr>
        <w:t>5、如货物经乙方</w:t>
      </w:r>
      <w:r>
        <w:rPr>
          <w:rFonts w:hint="eastAsia" w:ascii="宋体" w:hAnsi="宋体" w:eastAsia="宋体" w:cs="宋体"/>
          <w:u w:val="single"/>
        </w:rPr>
        <w:t xml:space="preserve">   </w:t>
      </w:r>
      <w:r>
        <w:rPr>
          <w:rFonts w:hint="eastAsia" w:ascii="宋体" w:hAnsi="宋体" w:eastAsia="宋体" w:cs="宋体"/>
        </w:rPr>
        <w:t>次维修仍不能达到合同约定的质量标准，甲方有权退货，并视作乙方不能交付货物而须支付违约赔偿金给甲方，甲方还可依法追究乙方的违约责任。 </w:t>
      </w:r>
    </w:p>
    <w:p>
      <w:pPr>
        <w:pStyle w:val="30"/>
        <w:ind w:firstLine="480"/>
        <w:rPr>
          <w:rFonts w:hint="eastAsia" w:ascii="宋体" w:hAnsi="宋体" w:eastAsia="宋体" w:cs="宋体"/>
        </w:rPr>
      </w:pPr>
      <w:r>
        <w:rPr>
          <w:rFonts w:hint="eastAsia" w:ascii="宋体" w:hAnsi="宋体" w:eastAsia="宋体" w:cs="宋体"/>
        </w:rPr>
        <w:t>6、其他未尽事宜应严格按照《四川省财政厅关于印发〈四川省政府采购项目需求论证和履约验收管理办法〉的通知》（川财采〔2015〕32号）的要求进行。</w:t>
      </w:r>
    </w:p>
    <w:p>
      <w:pPr>
        <w:pStyle w:val="4"/>
        <w:spacing w:line="400" w:lineRule="exact"/>
        <w:ind w:firstLine="482" w:firstLineChars="200"/>
        <w:rPr>
          <w:rFonts w:hint="eastAsia" w:ascii="宋体" w:hAnsi="宋体" w:eastAsia="宋体" w:cs="宋体"/>
          <w:sz w:val="24"/>
          <w:szCs w:val="24"/>
        </w:rPr>
      </w:pPr>
      <w:bookmarkStart w:id="187" w:name="_Toc217446111"/>
      <w:r>
        <w:rPr>
          <w:rFonts w:hint="eastAsia" w:ascii="宋体" w:hAnsi="宋体" w:eastAsia="宋体" w:cs="宋体"/>
          <w:sz w:val="24"/>
          <w:szCs w:val="24"/>
        </w:rPr>
        <w:t>五、付款方式</w:t>
      </w:r>
      <w:bookmarkEnd w:id="187"/>
    </w:p>
    <w:p>
      <w:pPr>
        <w:ind w:firstLine="480" w:firstLineChars="200"/>
        <w:rPr>
          <w:rFonts w:hint="eastAsia" w:ascii="宋体" w:hAnsi="宋体" w:eastAsia="宋体" w:cs="宋体"/>
          <w:sz w:val="24"/>
        </w:rPr>
      </w:pPr>
      <w:r>
        <w:rPr>
          <w:rFonts w:hint="eastAsia" w:ascii="宋体" w:hAnsi="宋体" w:eastAsia="宋体" w:cs="宋体"/>
          <w:sz w:val="24"/>
        </w:rPr>
        <w:t>1、甲方在本合同签订生效之日起接到乙方通知和票据凭证资料以及乙方交给甲方的合同履约保证金（按合同总价的百分之</w:t>
      </w:r>
      <w:r>
        <w:rPr>
          <w:rFonts w:hint="eastAsia" w:ascii="宋体" w:hAnsi="宋体" w:eastAsia="宋体" w:cs="宋体"/>
          <w:sz w:val="24"/>
          <w:u w:val="single"/>
        </w:rPr>
        <w:t xml:space="preserve">    </w:t>
      </w:r>
      <w:r>
        <w:rPr>
          <w:rFonts w:hint="eastAsia" w:ascii="宋体" w:hAnsi="宋体" w:eastAsia="宋体" w:cs="宋体"/>
          <w:sz w:val="24"/>
        </w:rPr>
        <w:t>计算款额¥</w:t>
      </w:r>
      <w:r>
        <w:rPr>
          <w:rFonts w:hint="eastAsia" w:ascii="宋体" w:hAnsi="宋体" w:eastAsia="宋体" w:cs="宋体"/>
          <w:sz w:val="24"/>
          <w:u w:val="single"/>
        </w:rPr>
        <w:t xml:space="preserve">            </w:t>
      </w:r>
      <w:r>
        <w:rPr>
          <w:rFonts w:hint="eastAsia" w:ascii="宋体" w:hAnsi="宋体" w:eastAsia="宋体" w:cs="宋体"/>
          <w:sz w:val="24"/>
        </w:rPr>
        <w:t>元，人民币大写：</w:t>
      </w:r>
      <w:r>
        <w:rPr>
          <w:rFonts w:hint="eastAsia" w:ascii="宋体" w:hAnsi="宋体" w:eastAsia="宋体" w:cs="宋体"/>
          <w:sz w:val="24"/>
          <w:u w:val="single"/>
        </w:rPr>
        <w:t xml:space="preserve">                        </w:t>
      </w:r>
      <w:r>
        <w:rPr>
          <w:rFonts w:hint="eastAsia" w:ascii="宋体" w:hAnsi="宋体" w:eastAsia="宋体" w:cs="宋体"/>
          <w:sz w:val="24"/>
        </w:rPr>
        <w:t>元整）后的</w:t>
      </w:r>
      <w:r>
        <w:rPr>
          <w:rFonts w:hint="eastAsia" w:ascii="宋体" w:hAnsi="宋体" w:eastAsia="宋体" w:cs="宋体"/>
          <w:sz w:val="24"/>
          <w:u w:val="single"/>
        </w:rPr>
        <w:t xml:space="preserve">    </w:t>
      </w:r>
      <w:r>
        <w:rPr>
          <w:rFonts w:hint="eastAsia" w:ascii="宋体" w:hAnsi="宋体" w:eastAsia="宋体" w:cs="宋体"/>
          <w:sz w:val="24"/>
        </w:rPr>
        <w:t>日内支付合同金额百分之</w:t>
      </w:r>
      <w:r>
        <w:rPr>
          <w:rFonts w:hint="eastAsia" w:ascii="宋体" w:hAnsi="宋体" w:eastAsia="宋体" w:cs="宋体"/>
          <w:sz w:val="24"/>
          <w:u w:val="single"/>
        </w:rPr>
        <w:t xml:space="preserve">       </w:t>
      </w:r>
      <w:r>
        <w:rPr>
          <w:rFonts w:hint="eastAsia" w:ascii="宋体" w:hAnsi="宋体" w:eastAsia="宋体" w:cs="宋体"/>
          <w:sz w:val="24"/>
        </w:rPr>
        <w:t>的价款；</w:t>
      </w:r>
    </w:p>
    <w:p>
      <w:pPr>
        <w:ind w:firstLine="480" w:firstLineChars="200"/>
        <w:rPr>
          <w:rFonts w:hint="eastAsia" w:ascii="宋体" w:hAnsi="宋体" w:eastAsia="宋体" w:cs="宋体"/>
          <w:sz w:val="24"/>
        </w:rPr>
      </w:pPr>
      <w:r>
        <w:rPr>
          <w:rFonts w:hint="eastAsia" w:ascii="宋体" w:hAnsi="宋体" w:eastAsia="宋体" w:cs="宋体"/>
          <w:sz w:val="24"/>
        </w:rPr>
        <w:t>2、全部货物安装调试完毕并验收合格之日起，甲方接到乙方通知与票据凭证资料以后的</w:t>
      </w:r>
      <w:r>
        <w:rPr>
          <w:rFonts w:hint="eastAsia" w:ascii="宋体" w:hAnsi="宋体" w:eastAsia="宋体" w:cs="宋体"/>
          <w:sz w:val="24"/>
          <w:u w:val="single"/>
        </w:rPr>
        <w:t xml:space="preserve">    </w:t>
      </w:r>
      <w:r>
        <w:rPr>
          <w:rFonts w:hint="eastAsia" w:ascii="宋体" w:hAnsi="宋体" w:eastAsia="宋体" w:cs="宋体"/>
          <w:sz w:val="24"/>
        </w:rPr>
        <w:t>日内，提交支付凭证资料给</w:t>
      </w:r>
      <w:r>
        <w:rPr>
          <w:rFonts w:hint="eastAsia" w:ascii="宋体" w:hAnsi="宋体" w:eastAsia="宋体" w:cs="宋体"/>
          <w:sz w:val="24"/>
          <w:u w:val="single"/>
        </w:rPr>
        <w:t xml:space="preserve">       </w:t>
      </w:r>
      <w:r>
        <w:rPr>
          <w:rFonts w:hint="eastAsia" w:ascii="宋体" w:hAnsi="宋体" w:eastAsia="宋体" w:cs="宋体"/>
          <w:sz w:val="24"/>
        </w:rPr>
        <w:t>财政国库支付执行机构办理财政国库支付手续，并由其向乙方核拨合同总价的百分之</w:t>
      </w:r>
      <w:r>
        <w:rPr>
          <w:rFonts w:hint="eastAsia" w:ascii="宋体" w:hAnsi="宋体" w:eastAsia="宋体" w:cs="宋体"/>
          <w:sz w:val="24"/>
          <w:u w:val="single"/>
        </w:rPr>
        <w:t xml:space="preserve">  </w:t>
      </w:r>
      <w:r>
        <w:rPr>
          <w:rFonts w:hint="eastAsia" w:ascii="宋体" w:hAnsi="宋体" w:eastAsia="宋体" w:cs="宋体"/>
          <w:sz w:val="24"/>
        </w:rPr>
        <w:t xml:space="preserve"> 计算款额¥</w:t>
      </w:r>
      <w:r>
        <w:rPr>
          <w:rFonts w:hint="eastAsia" w:ascii="宋体" w:hAnsi="宋体" w:eastAsia="宋体" w:cs="宋体"/>
          <w:sz w:val="24"/>
          <w:u w:val="single"/>
        </w:rPr>
        <w:t xml:space="preserve">              </w:t>
      </w:r>
      <w:r>
        <w:rPr>
          <w:rFonts w:hint="eastAsia" w:ascii="宋体" w:hAnsi="宋体" w:eastAsia="宋体" w:cs="宋体"/>
          <w:sz w:val="24"/>
        </w:rPr>
        <w:t>元，人民币大写：</w:t>
      </w:r>
      <w:r>
        <w:rPr>
          <w:rFonts w:hint="eastAsia" w:ascii="宋体" w:hAnsi="宋体" w:eastAsia="宋体" w:cs="宋体"/>
          <w:sz w:val="24"/>
          <w:u w:val="single"/>
        </w:rPr>
        <w:t xml:space="preserve">                        </w:t>
      </w:r>
      <w:r>
        <w:rPr>
          <w:rFonts w:hint="eastAsia" w:ascii="宋体" w:hAnsi="宋体" w:eastAsia="宋体" w:cs="宋体"/>
          <w:sz w:val="24"/>
        </w:rPr>
        <w:t>元整；</w:t>
      </w:r>
    </w:p>
    <w:p>
      <w:pPr>
        <w:pStyle w:val="30"/>
        <w:ind w:firstLine="480"/>
        <w:rPr>
          <w:rFonts w:hint="eastAsia" w:ascii="宋体" w:hAnsi="宋体" w:eastAsia="宋体" w:cs="宋体"/>
        </w:rPr>
      </w:pPr>
      <w:r>
        <w:rPr>
          <w:rFonts w:hint="eastAsia" w:ascii="宋体" w:hAnsi="宋体" w:eastAsia="宋体" w:cs="宋体"/>
        </w:rPr>
        <w:t>3、合同履约保证金：在货物验收合格后，采购代理机构接到乙方通知，以及由甲方确认本合同货物质量与服务等约定事项已经履行完毕的正式书面文件后的</w:t>
      </w:r>
      <w:r>
        <w:rPr>
          <w:rFonts w:hint="eastAsia" w:ascii="宋体" w:hAnsi="宋体" w:eastAsia="宋体" w:cs="宋体"/>
          <w:u w:val="single"/>
        </w:rPr>
        <w:t xml:space="preserve">     </w:t>
      </w:r>
      <w:r>
        <w:rPr>
          <w:rFonts w:hint="eastAsia" w:ascii="宋体" w:hAnsi="宋体" w:eastAsia="宋体" w:cs="宋体"/>
        </w:rPr>
        <w:t>日内由其向乙方退付履约保证金￥</w:t>
      </w:r>
      <w:r>
        <w:rPr>
          <w:rFonts w:hint="eastAsia" w:ascii="宋体" w:hAnsi="宋体" w:eastAsia="宋体" w:cs="宋体"/>
          <w:u w:val="single"/>
        </w:rPr>
        <w:t xml:space="preserve">      </w:t>
      </w:r>
      <w:r>
        <w:rPr>
          <w:rFonts w:hint="eastAsia" w:ascii="宋体" w:hAnsi="宋体" w:eastAsia="宋体" w:cs="宋体"/>
        </w:rPr>
        <w:t>元， 人民币大写：</w:t>
      </w:r>
      <w:r>
        <w:rPr>
          <w:rFonts w:hint="eastAsia" w:ascii="宋体" w:hAnsi="宋体" w:eastAsia="宋体" w:cs="宋体"/>
          <w:u w:val="single"/>
        </w:rPr>
        <w:t xml:space="preserve">              </w:t>
      </w:r>
      <w:r>
        <w:rPr>
          <w:rFonts w:hint="eastAsia" w:ascii="宋体" w:hAnsi="宋体" w:eastAsia="宋体" w:cs="宋体"/>
        </w:rPr>
        <w:t>元整；</w:t>
      </w:r>
    </w:p>
    <w:p>
      <w:pPr>
        <w:pStyle w:val="30"/>
        <w:ind w:firstLine="480"/>
        <w:rPr>
          <w:rFonts w:hint="eastAsia" w:ascii="宋体" w:hAnsi="宋体" w:eastAsia="宋体" w:cs="宋体"/>
        </w:rPr>
      </w:pPr>
      <w:r>
        <w:rPr>
          <w:rFonts w:hint="eastAsia" w:ascii="宋体" w:hAnsi="宋体" w:eastAsia="宋体" w:cs="宋体"/>
        </w:rPr>
        <w:t>4、乙方须向甲方出具合法有效完整的完税发票及凭证资料进行支付结算。</w:t>
      </w:r>
    </w:p>
    <w:p>
      <w:pPr>
        <w:pStyle w:val="4"/>
        <w:spacing w:line="400" w:lineRule="exact"/>
        <w:ind w:firstLine="482" w:firstLineChars="200"/>
        <w:rPr>
          <w:rFonts w:hint="eastAsia" w:ascii="宋体" w:hAnsi="宋体" w:eastAsia="宋体" w:cs="宋体"/>
          <w:sz w:val="24"/>
          <w:szCs w:val="24"/>
        </w:rPr>
      </w:pPr>
      <w:bookmarkStart w:id="188" w:name="_Toc217446112"/>
      <w:r>
        <w:rPr>
          <w:rFonts w:hint="eastAsia" w:ascii="宋体" w:hAnsi="宋体" w:eastAsia="宋体" w:cs="宋体"/>
          <w:sz w:val="24"/>
          <w:szCs w:val="24"/>
        </w:rPr>
        <w:t>六、售后服务</w:t>
      </w:r>
      <w:bookmarkEnd w:id="188"/>
    </w:p>
    <w:p>
      <w:pPr>
        <w:pStyle w:val="30"/>
        <w:ind w:firstLine="480"/>
        <w:rPr>
          <w:rFonts w:hint="eastAsia" w:ascii="宋体" w:hAnsi="宋体" w:eastAsia="宋体" w:cs="宋体"/>
        </w:rPr>
      </w:pPr>
      <w:r>
        <w:rPr>
          <w:rFonts w:hint="eastAsia" w:ascii="宋体" w:hAnsi="宋体" w:eastAsia="宋体" w:cs="宋体"/>
        </w:rPr>
        <w:t>1、质保期为验收合格后</w:t>
      </w:r>
      <w:r>
        <w:rPr>
          <w:rFonts w:hint="eastAsia" w:ascii="宋体" w:hAnsi="宋体" w:eastAsia="宋体" w:cs="宋体"/>
          <w:szCs w:val="21"/>
        </w:rPr>
        <w:t>XX</w:t>
      </w:r>
      <w:r>
        <w:rPr>
          <w:rFonts w:hint="eastAsia" w:ascii="宋体" w:hAnsi="宋体" w:eastAsia="宋体" w:cs="宋体"/>
        </w:rPr>
        <w:t>年，质保期内出现质量问题，乙方在接到通知后</w:t>
      </w:r>
      <w:r>
        <w:rPr>
          <w:rFonts w:hint="eastAsia" w:ascii="宋体" w:hAnsi="宋体" w:eastAsia="宋体" w:cs="宋体"/>
          <w:u w:val="single"/>
        </w:rPr>
        <w:t xml:space="preserve">   </w:t>
      </w:r>
      <w:r>
        <w:rPr>
          <w:rFonts w:hint="eastAsia" w:ascii="宋体" w:hAnsi="宋体" w:eastAsia="宋体" w:cs="宋体"/>
        </w:rPr>
        <w:t>小时内响应到场，</w:t>
      </w:r>
      <w:r>
        <w:rPr>
          <w:rFonts w:hint="eastAsia" w:ascii="宋体" w:hAnsi="宋体" w:eastAsia="宋体" w:cs="宋体"/>
          <w:u w:val="single"/>
        </w:rPr>
        <w:t xml:space="preserve">    </w:t>
      </w:r>
      <w:r>
        <w:rPr>
          <w:rFonts w:hint="eastAsia" w:ascii="宋体" w:hAnsi="宋体" w:eastAsia="宋体" w:cs="宋体"/>
        </w:rPr>
        <w:t>小时内完成维修或更换，并承担修理调换的费用；如货物经乙方</w:t>
      </w:r>
      <w:r>
        <w:rPr>
          <w:rFonts w:hint="eastAsia" w:ascii="宋体" w:hAnsi="宋体" w:eastAsia="宋体" w:cs="宋体"/>
          <w:u w:val="single"/>
        </w:rPr>
        <w:t xml:space="preserve">   </w:t>
      </w:r>
      <w:r>
        <w:rPr>
          <w:rFonts w:hint="eastAsia" w:ascii="宋体" w:hAnsi="宋体" w:eastAsia="宋体" w:cs="宋体"/>
        </w:rPr>
        <w:t>次维修仍不能达到本合同约定的质量标准，视作乙方未能按时交货，甲方有权退货并追究乙方的违约责任。货到现场后由于甲方保管不当造成的问题，乙方亦应负责修复，但费用由甲方负担。</w:t>
      </w:r>
    </w:p>
    <w:p>
      <w:pPr>
        <w:pStyle w:val="30"/>
        <w:ind w:firstLine="480"/>
        <w:rPr>
          <w:rFonts w:hint="eastAsia" w:ascii="宋体" w:hAnsi="宋体" w:eastAsia="宋体" w:cs="宋体"/>
        </w:rPr>
      </w:pPr>
      <w:r>
        <w:rPr>
          <w:rFonts w:hint="eastAsia" w:ascii="宋体" w:hAnsi="宋体" w:eastAsia="宋体" w:cs="宋体"/>
        </w:rPr>
        <w:t>2、乙方须指派专人负责与甲方联系售后服务事宜。 </w:t>
      </w:r>
    </w:p>
    <w:p>
      <w:pPr>
        <w:pStyle w:val="4"/>
        <w:spacing w:line="400" w:lineRule="exact"/>
        <w:ind w:firstLine="482" w:firstLineChars="200"/>
        <w:rPr>
          <w:rFonts w:hint="eastAsia" w:ascii="宋体" w:hAnsi="宋体" w:eastAsia="宋体" w:cs="宋体"/>
          <w:sz w:val="24"/>
          <w:szCs w:val="24"/>
        </w:rPr>
      </w:pPr>
      <w:bookmarkStart w:id="189" w:name="_Toc217446113"/>
      <w:r>
        <w:rPr>
          <w:rFonts w:hint="eastAsia" w:ascii="宋体" w:hAnsi="宋体" w:eastAsia="宋体" w:cs="宋体"/>
          <w:sz w:val="24"/>
          <w:szCs w:val="24"/>
        </w:rPr>
        <w:t>七、违约责任</w:t>
      </w:r>
      <w:bookmarkEnd w:id="189"/>
    </w:p>
    <w:p>
      <w:pPr>
        <w:pStyle w:val="30"/>
        <w:ind w:firstLine="480"/>
        <w:rPr>
          <w:rFonts w:hint="eastAsia" w:ascii="宋体" w:hAnsi="宋体" w:eastAsia="宋体" w:cs="宋体"/>
        </w:rPr>
      </w:pPr>
      <w:r>
        <w:rPr>
          <w:rFonts w:hint="eastAsia" w:ascii="宋体" w:hAnsi="宋体" w:eastAsia="宋体" w:cs="宋体"/>
        </w:rPr>
        <w:t>1、甲方违约责任</w:t>
      </w:r>
    </w:p>
    <w:p>
      <w:pPr>
        <w:pStyle w:val="30"/>
        <w:ind w:firstLine="480"/>
        <w:rPr>
          <w:rFonts w:hint="eastAsia" w:ascii="宋体" w:hAnsi="宋体" w:eastAsia="宋体" w:cs="宋体"/>
        </w:rPr>
      </w:pPr>
      <w:r>
        <w:rPr>
          <w:rFonts w:hint="eastAsia" w:ascii="宋体" w:hAnsi="宋体" w:eastAsia="宋体" w:cs="宋体"/>
        </w:rPr>
        <w:t>（1） 甲方无正当理由拒收货物的，甲方应偿付合同总价百分之</w:t>
      </w:r>
      <w:r>
        <w:rPr>
          <w:rFonts w:hint="eastAsia" w:ascii="宋体" w:hAnsi="宋体" w:eastAsia="宋体" w:cs="宋体"/>
          <w:u w:val="single"/>
        </w:rPr>
        <w:t xml:space="preserve">  </w:t>
      </w:r>
      <w:r>
        <w:rPr>
          <w:rFonts w:hint="eastAsia" w:ascii="宋体" w:hAnsi="宋体" w:eastAsia="宋体" w:cs="宋体"/>
        </w:rPr>
        <w:t>的违约金；</w:t>
      </w:r>
    </w:p>
    <w:p>
      <w:pPr>
        <w:pStyle w:val="30"/>
        <w:ind w:firstLine="480"/>
        <w:rPr>
          <w:rFonts w:hint="eastAsia" w:ascii="宋体" w:hAnsi="宋体" w:eastAsia="宋体" w:cs="宋体"/>
        </w:rPr>
      </w:pPr>
      <w:r>
        <w:rPr>
          <w:rFonts w:hint="eastAsia" w:ascii="宋体" w:hAnsi="宋体" w:eastAsia="宋体" w:cs="宋体"/>
        </w:rPr>
        <w:t>（2） 甲方逾期支付货款的，除应及时付足货款外，应向乙方偿付欠款总额万分之</w:t>
      </w:r>
      <w:r>
        <w:rPr>
          <w:rFonts w:hint="eastAsia" w:ascii="宋体" w:hAnsi="宋体" w:eastAsia="宋体" w:cs="宋体"/>
          <w:u w:val="single"/>
        </w:rPr>
        <w:t xml:space="preserve">  </w:t>
      </w:r>
      <w:r>
        <w:rPr>
          <w:rFonts w:hint="eastAsia" w:ascii="宋体" w:hAnsi="宋体" w:eastAsia="宋体" w:cs="宋体"/>
        </w:rPr>
        <w:t xml:space="preserve"> /天的违约金；逾期付款超过</w:t>
      </w:r>
      <w:r>
        <w:rPr>
          <w:rFonts w:hint="eastAsia" w:ascii="宋体" w:hAnsi="宋体" w:eastAsia="宋体" w:cs="宋体"/>
          <w:u w:val="single"/>
        </w:rPr>
        <w:t xml:space="preserve">  </w:t>
      </w:r>
      <w:r>
        <w:rPr>
          <w:rFonts w:hint="eastAsia" w:ascii="宋体" w:hAnsi="宋体" w:eastAsia="宋体" w:cs="宋体"/>
        </w:rPr>
        <w:t>天的，乙方有权终止合同；</w:t>
      </w:r>
    </w:p>
    <w:p>
      <w:pPr>
        <w:pStyle w:val="30"/>
        <w:ind w:firstLine="480"/>
        <w:rPr>
          <w:rFonts w:hint="eastAsia" w:ascii="宋体" w:hAnsi="宋体" w:eastAsia="宋体" w:cs="宋体"/>
        </w:rPr>
      </w:pPr>
      <w:r>
        <w:rPr>
          <w:rFonts w:hint="eastAsia" w:ascii="宋体" w:hAnsi="宋体" w:eastAsia="宋体" w:cs="宋体"/>
        </w:rPr>
        <w:t>（3） 甲方偿付的违约金不足以弥补乙方损失的，还应按乙方损失尚未弥补的部分，支付赔偿金给乙方。</w:t>
      </w:r>
    </w:p>
    <w:p>
      <w:pPr>
        <w:pStyle w:val="30"/>
        <w:ind w:firstLine="480"/>
        <w:rPr>
          <w:rFonts w:hint="eastAsia" w:ascii="宋体" w:hAnsi="宋体" w:eastAsia="宋体" w:cs="宋体"/>
        </w:rPr>
      </w:pPr>
      <w:r>
        <w:rPr>
          <w:rFonts w:hint="eastAsia" w:ascii="宋体" w:hAnsi="宋体" w:eastAsia="宋体" w:cs="宋体"/>
        </w:rPr>
        <w:t>2、乙方违约责任</w:t>
      </w:r>
    </w:p>
    <w:p>
      <w:pPr>
        <w:pStyle w:val="30"/>
        <w:ind w:firstLine="480"/>
        <w:rPr>
          <w:rFonts w:hint="eastAsia" w:ascii="宋体" w:hAnsi="宋体" w:eastAsia="宋体" w:cs="宋体"/>
        </w:rPr>
      </w:pPr>
      <w:r>
        <w:rPr>
          <w:rFonts w:hint="eastAsia" w:ascii="宋体" w:hAnsi="宋体" w:eastAsia="宋体" w:cs="宋体"/>
        </w:rPr>
        <w:t>（1）乙方交付的货物质量不符合合同规定的，乙方应向甲方支付合同总价的百分之</w:t>
      </w:r>
      <w:r>
        <w:rPr>
          <w:rFonts w:hint="eastAsia" w:ascii="宋体" w:hAnsi="宋体" w:eastAsia="宋体" w:cs="宋体"/>
          <w:u w:val="single"/>
        </w:rPr>
        <w:t xml:space="preserve">  </w:t>
      </w:r>
      <w:r>
        <w:rPr>
          <w:rFonts w:hint="eastAsia" w:ascii="宋体" w:hAnsi="宋体" w:eastAsia="宋体" w:cs="宋体"/>
        </w:rPr>
        <w:t>的违约金，并须在合同规定的交货时间内更换合格的货物给甲方，否则，视作乙方不能交付货物而违约，按本条本款下述第“（2）”项规定由乙方偿付违约赔偿金给甲方。</w:t>
      </w:r>
    </w:p>
    <w:p>
      <w:pPr>
        <w:pStyle w:val="30"/>
        <w:ind w:firstLine="480"/>
        <w:rPr>
          <w:rFonts w:hint="eastAsia" w:ascii="宋体" w:hAnsi="宋体" w:eastAsia="宋体" w:cs="宋体"/>
        </w:rPr>
      </w:pPr>
      <w:r>
        <w:rPr>
          <w:rFonts w:hint="eastAsia" w:ascii="宋体" w:hAnsi="宋体" w:eastAsia="宋体" w:cs="宋体"/>
        </w:rPr>
        <w:t>（2）乙方不能交付货物或逾期交付货物而违约的，除应及时交足货物外，应向甲方偿付逾期交货部分货款总额的万分之</w:t>
      </w:r>
      <w:r>
        <w:rPr>
          <w:rFonts w:hint="eastAsia" w:ascii="宋体" w:hAnsi="宋体" w:eastAsia="宋体" w:cs="宋体"/>
          <w:u w:val="single"/>
        </w:rPr>
        <w:t xml:space="preserve">  </w:t>
      </w:r>
      <w:r>
        <w:rPr>
          <w:rFonts w:hint="eastAsia" w:ascii="宋体" w:hAnsi="宋体" w:eastAsia="宋体" w:cs="宋体"/>
        </w:rPr>
        <w:t xml:space="preserve"> /天的违约金；逾期交货超过</w:t>
      </w:r>
      <w:r>
        <w:rPr>
          <w:rFonts w:hint="eastAsia" w:ascii="宋体" w:hAnsi="宋体" w:eastAsia="宋体" w:cs="宋体"/>
          <w:szCs w:val="21"/>
        </w:rPr>
        <w:t>XX</w:t>
      </w:r>
      <w:r>
        <w:rPr>
          <w:rFonts w:hint="eastAsia" w:ascii="宋体" w:hAnsi="宋体" w:eastAsia="宋体" w:cs="宋体"/>
        </w:rPr>
        <w:t>天，甲方有权终止合同，乙方则应按合同总价的百分之</w:t>
      </w:r>
      <w:r>
        <w:rPr>
          <w:rFonts w:hint="eastAsia" w:ascii="宋体" w:hAnsi="宋体" w:eastAsia="宋体" w:cs="宋体"/>
          <w:u w:val="single"/>
        </w:rPr>
        <w:t xml:space="preserve">  </w:t>
      </w:r>
      <w:r>
        <w:rPr>
          <w:rFonts w:hint="eastAsia" w:ascii="宋体" w:hAnsi="宋体" w:eastAsia="宋体" w:cs="宋体"/>
        </w:rPr>
        <w:t>的款额向甲方偿付赔偿金，并须全额退还甲方已经付给乙方的货款及其利息。</w:t>
      </w:r>
    </w:p>
    <w:p>
      <w:pPr>
        <w:pStyle w:val="30"/>
        <w:ind w:firstLine="480"/>
        <w:rPr>
          <w:rFonts w:hint="eastAsia" w:ascii="宋体" w:hAnsi="宋体" w:eastAsia="宋体" w:cs="宋体"/>
        </w:rPr>
      </w:pPr>
      <w:r>
        <w:rPr>
          <w:rFonts w:hint="eastAsia" w:ascii="宋体" w:hAnsi="宋体" w:eastAsia="宋体" w:cs="宋体"/>
        </w:rPr>
        <w:t>（3）乙方货物经甲方送交具有法定资格条件的质量技术监督机构检测后，如检测结果认定货物质量不符合本合同规定标准的，则视为乙方没有按时交货而违约，乙方须在</w:t>
      </w:r>
      <w:r>
        <w:rPr>
          <w:rFonts w:hint="eastAsia" w:ascii="宋体" w:hAnsi="宋体" w:eastAsia="宋体" w:cs="宋体"/>
          <w:u w:val="single"/>
        </w:rPr>
        <w:t xml:space="preserve">   </w:t>
      </w:r>
      <w:r>
        <w:rPr>
          <w:rFonts w:hint="eastAsia" w:ascii="宋体" w:hAnsi="宋体" w:eastAsia="宋体" w:cs="宋体"/>
        </w:rPr>
        <w:t>天内无条件更换合格的货物，如逾期不能更换合格的货物，甲方有权终止本合同，乙方应另付合同总价的百分之</w:t>
      </w:r>
      <w:r>
        <w:rPr>
          <w:rFonts w:hint="eastAsia" w:ascii="宋体" w:hAnsi="宋体" w:eastAsia="宋体" w:cs="宋体"/>
          <w:u w:val="single"/>
        </w:rPr>
        <w:t xml:space="preserve">   </w:t>
      </w:r>
      <w:r>
        <w:rPr>
          <w:rFonts w:hint="eastAsia" w:ascii="宋体" w:hAnsi="宋体" w:eastAsia="宋体" w:cs="宋体"/>
        </w:rPr>
        <w:t>的赔偿金给甲方。</w:t>
      </w:r>
    </w:p>
    <w:p>
      <w:pPr>
        <w:pStyle w:val="30"/>
        <w:ind w:firstLine="480"/>
        <w:rPr>
          <w:rFonts w:hint="eastAsia" w:ascii="宋体" w:hAnsi="宋体" w:eastAsia="宋体" w:cs="宋体"/>
        </w:rPr>
      </w:pPr>
      <w:r>
        <w:rPr>
          <w:rFonts w:hint="eastAsia" w:ascii="宋体" w:hAnsi="宋体" w:eastAsia="宋体" w:cs="宋体"/>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ascii="宋体" w:hAnsi="宋体" w:eastAsia="宋体" w:cs="宋体"/>
          <w:u w:val="single"/>
        </w:rPr>
        <w:t xml:space="preserve">   </w:t>
      </w:r>
      <w:r>
        <w:rPr>
          <w:rFonts w:hint="eastAsia" w:ascii="宋体" w:hAnsi="宋体" w:eastAsia="宋体" w:cs="宋体"/>
        </w:rPr>
        <w:t>向甲方支付违约金并赔偿因此给甲方造成的一切损失。</w:t>
      </w:r>
    </w:p>
    <w:p>
      <w:pPr>
        <w:pStyle w:val="30"/>
        <w:ind w:firstLine="480"/>
        <w:rPr>
          <w:rFonts w:hint="eastAsia" w:ascii="宋体" w:hAnsi="宋体" w:eastAsia="宋体" w:cs="宋体"/>
        </w:rPr>
      </w:pPr>
      <w:r>
        <w:rPr>
          <w:rFonts w:hint="eastAsia" w:ascii="宋体" w:hAnsi="宋体" w:eastAsia="宋体" w:cs="宋体"/>
        </w:rPr>
        <w:t>（5）乙方偿付的违约金不足以弥补甲方损失的，还应按甲方损失尚未弥补的部分，支付赔偿金给甲方。</w:t>
      </w:r>
    </w:p>
    <w:p>
      <w:pPr>
        <w:pStyle w:val="4"/>
        <w:spacing w:line="400" w:lineRule="exact"/>
        <w:ind w:firstLine="482" w:firstLineChars="200"/>
        <w:rPr>
          <w:rFonts w:hint="eastAsia" w:ascii="宋体" w:hAnsi="宋体" w:eastAsia="宋体" w:cs="宋体"/>
          <w:sz w:val="24"/>
          <w:szCs w:val="24"/>
        </w:rPr>
      </w:pPr>
      <w:bookmarkStart w:id="190" w:name="_Toc217446114"/>
      <w:r>
        <w:rPr>
          <w:rFonts w:hint="eastAsia" w:ascii="宋体" w:hAnsi="宋体" w:eastAsia="宋体" w:cs="宋体"/>
          <w:sz w:val="24"/>
          <w:szCs w:val="24"/>
        </w:rPr>
        <w:t>八、争议解决办法</w:t>
      </w:r>
      <w:bookmarkEnd w:id="190"/>
    </w:p>
    <w:p>
      <w:pPr>
        <w:pStyle w:val="30"/>
        <w:ind w:firstLine="480"/>
        <w:rPr>
          <w:rFonts w:hint="eastAsia" w:ascii="宋体" w:hAnsi="宋体" w:eastAsia="宋体" w:cs="宋体"/>
        </w:rPr>
      </w:pPr>
      <w:r>
        <w:rPr>
          <w:rFonts w:hint="eastAsia" w:ascii="宋体" w:hAnsi="宋体" w:eastAsia="宋体" w:cs="宋体"/>
        </w:rPr>
        <w:t>1、因货物的质量问题发生争议，由质量技术监督部门或其指定的质量鉴定机构进行质量鉴定。货物符合标准的，鉴定费由甲方承担；货物不符合质量标准的，鉴定费由乙方承担。</w:t>
      </w:r>
    </w:p>
    <w:p>
      <w:pPr>
        <w:pStyle w:val="30"/>
        <w:ind w:firstLine="480"/>
        <w:rPr>
          <w:rFonts w:hint="eastAsia" w:ascii="宋体" w:hAnsi="宋体" w:eastAsia="宋体" w:cs="宋体"/>
        </w:rPr>
      </w:pPr>
      <w:r>
        <w:rPr>
          <w:rFonts w:hint="eastAsia" w:ascii="宋体" w:hAnsi="宋体" w:eastAsia="宋体" w:cs="宋体"/>
        </w:rPr>
        <w:t>2、合同履行期间,若双方发生争议，可协商或由有关部门调解解决，协商或调解不成的，由当事人依法维护其合法权益。</w:t>
      </w:r>
    </w:p>
    <w:p>
      <w:pPr>
        <w:pStyle w:val="4"/>
        <w:spacing w:line="400" w:lineRule="exact"/>
        <w:ind w:firstLine="482" w:firstLineChars="200"/>
        <w:rPr>
          <w:rFonts w:hint="eastAsia" w:ascii="宋体" w:hAnsi="宋体" w:eastAsia="宋体" w:cs="宋体"/>
          <w:sz w:val="24"/>
          <w:szCs w:val="24"/>
        </w:rPr>
      </w:pPr>
      <w:bookmarkStart w:id="191" w:name="_Toc217446115"/>
      <w:r>
        <w:rPr>
          <w:rFonts w:hint="eastAsia" w:ascii="宋体" w:hAnsi="宋体" w:eastAsia="宋体" w:cs="宋体"/>
          <w:sz w:val="24"/>
          <w:szCs w:val="24"/>
        </w:rPr>
        <w:t>九、其他</w:t>
      </w:r>
      <w:bookmarkEnd w:id="191"/>
    </w:p>
    <w:p>
      <w:pPr>
        <w:pStyle w:val="30"/>
        <w:ind w:firstLine="480"/>
        <w:rPr>
          <w:rFonts w:hint="eastAsia" w:ascii="宋体" w:hAnsi="宋体" w:eastAsia="宋体" w:cs="宋体"/>
        </w:rPr>
      </w:pPr>
      <w:r>
        <w:rPr>
          <w:rFonts w:hint="eastAsia" w:ascii="宋体" w:hAnsi="宋体" w:eastAsia="宋体" w:cs="宋体"/>
        </w:rPr>
        <w:t>1、如有未尽事宜，由双方依法订立补充合同。</w:t>
      </w:r>
    </w:p>
    <w:p>
      <w:pPr>
        <w:pStyle w:val="30"/>
        <w:ind w:firstLine="480"/>
        <w:rPr>
          <w:rFonts w:hint="eastAsia" w:ascii="宋体" w:hAnsi="宋体" w:eastAsia="宋体" w:cs="宋体"/>
        </w:rPr>
      </w:pPr>
      <w:r>
        <w:rPr>
          <w:rFonts w:hint="eastAsia" w:ascii="宋体" w:hAnsi="宋体" w:eastAsia="宋体" w:cs="宋体"/>
        </w:rPr>
        <w:t>2、本合同一式六份，自双方签章之日起生效。甲方三份，乙方、政府采购管理部门、采购代理机构各一份。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甲方：   （盖章）   </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 xml:space="preserve">       乙方：   （盖章）</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法定代表人（授权代表）：            法定代表人（授权代表）：</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地    址：                         地    址：</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开户银行：                         开户银行：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账号：                             账号：</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电    话：                         电    话：</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传    真：                         传    真：</w:t>
      </w:r>
    </w:p>
    <w:p>
      <w:pPr>
        <w:pageBreakBefore w:val="0"/>
        <w:kinsoku/>
        <w:wordWrap/>
        <w:overflowPunct/>
        <w:topLinePunct w:val="0"/>
        <w:bidi w:val="0"/>
        <w:spacing w:after="0" w:line="360"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签约日期：XX年XX月XX日 </w:t>
      </w:r>
      <w:r>
        <w:rPr>
          <w:rFonts w:hint="eastAsia" w:ascii="宋体" w:hAnsi="宋体" w:eastAsia="宋体" w:cs="宋体"/>
          <w:sz w:val="24"/>
          <w:lang w:val="en-US" w:eastAsia="zh-CN"/>
        </w:rPr>
        <w:t xml:space="preserve">    </w:t>
      </w:r>
      <w:r>
        <w:rPr>
          <w:rFonts w:hint="eastAsia" w:ascii="宋体" w:hAnsi="宋体" w:eastAsia="宋体" w:cs="宋体"/>
          <w:sz w:val="24"/>
        </w:rPr>
        <w:t>签约日期：XX年XX月XX日</w:t>
      </w:r>
    </w:p>
    <w:p>
      <w:pPr>
        <w:rPr>
          <w:rFonts w:hint="eastAsia" w:ascii="宋体" w:hAnsi="宋体" w:cs="宋体"/>
          <w:sz w:val="24"/>
        </w:rPr>
      </w:pPr>
      <w:r>
        <w:rPr>
          <w:rFonts w:hint="eastAsia" w:ascii="宋体" w:hAnsi="宋体" w:cs="宋体"/>
          <w:sz w:val="24"/>
        </w:rPr>
        <w:br w:type="page"/>
      </w:r>
    </w:p>
    <w:p>
      <w:pPr>
        <w:pageBreakBefore w:val="0"/>
        <w:kinsoku/>
        <w:wordWrap/>
        <w:overflowPunct/>
        <w:topLinePunct w:val="0"/>
        <w:bidi w:val="0"/>
        <w:spacing w:after="0"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p>
    <w:p>
      <w:pPr>
        <w:pageBreakBefore w:val="0"/>
        <w:kinsoku/>
        <w:wordWrap/>
        <w:overflowPunct/>
        <w:topLinePunct w:val="0"/>
        <w:bidi w:val="0"/>
        <w:spacing w:after="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质疑函范本</w:t>
      </w:r>
    </w:p>
    <w:p>
      <w:pPr>
        <w:pageBreakBefore w:val="0"/>
        <w:kinsoku/>
        <w:wordWrap/>
        <w:overflowPunct/>
        <w:topLinePunct w:val="0"/>
        <w:bidi w:val="0"/>
        <w:adjustRightInd w:val="0"/>
        <w:snapToGrid w:val="0"/>
        <w:spacing w:after="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pPr>
        <w:pageBreakBefore w:val="0"/>
        <w:kinsoku/>
        <w:wordWrap/>
        <w:overflowPunct/>
        <w:topLinePunct w:val="0"/>
        <w:bidi w:val="0"/>
        <w:adjustRightInd w:val="0"/>
        <w:snapToGrid w:val="0"/>
        <w:spacing w:after="0"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pPr>
        <w:pageBreakBefore w:val="0"/>
        <w:kinsoku/>
        <w:wordWrap/>
        <w:overflowPunct/>
        <w:topLinePunct w:val="0"/>
        <w:bidi w:val="0"/>
        <w:adjustRightInd w:val="0"/>
        <w:snapToGrid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pPr>
        <w:pageBreakBefore w:val="0"/>
        <w:kinsoku/>
        <w:wordWrap/>
        <w:overflowPunct/>
        <w:topLinePunct w:val="0"/>
        <w:bidi w:val="0"/>
        <w:adjustRightInd w:val="0"/>
        <w:snapToGrid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pPr>
        <w:pageBreakBefore w:val="0"/>
        <w:kinsoku/>
        <w:wordWrap/>
        <w:overflowPunct/>
        <w:topLinePunct w:val="0"/>
        <w:bidi w:val="0"/>
        <w:adjustRightInd w:val="0"/>
        <w:snapToGrid w:val="0"/>
        <w:spacing w:after="0"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pPr>
        <w:pageBreakBefore w:val="0"/>
        <w:kinsoku/>
        <w:wordWrap/>
        <w:overflowPunct/>
        <w:topLinePunct w:val="0"/>
        <w:bidi w:val="0"/>
        <w:adjustRightInd w:val="0"/>
        <w:snapToGrid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pPr>
        <w:pageBreakBefore w:val="0"/>
        <w:kinsoku/>
        <w:wordWrap/>
        <w:overflowPunct/>
        <w:topLinePunct w:val="0"/>
        <w:bidi w:val="0"/>
        <w:adjustRightInd w:val="0"/>
        <w:snapToGrid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pPr>
        <w:pageBreakBefore w:val="0"/>
        <w:kinsoku/>
        <w:wordWrap/>
        <w:overflowPunct/>
        <w:topLinePunct w:val="0"/>
        <w:bidi w:val="0"/>
        <w:adjustRightInd w:val="0"/>
        <w:snapToGrid w:val="0"/>
        <w:spacing w:after="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pPr>
        <w:pageBreakBefore w:val="0"/>
        <w:kinsoku/>
        <w:wordWrap/>
        <w:overflowPunct/>
        <w:topLinePunct w:val="0"/>
        <w:bidi w:val="0"/>
        <w:adjustRightInd w:val="0"/>
        <w:snapToGrid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pPr>
        <w:pageBreakBefore w:val="0"/>
        <w:kinsoku/>
        <w:wordWrap/>
        <w:overflowPunct/>
        <w:topLinePunct w:val="0"/>
        <w:bidi w:val="0"/>
        <w:adjustRightInd w:val="0"/>
        <w:snapToGrid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pPr>
        <w:pageBreakBefore w:val="0"/>
        <w:kinsoku/>
        <w:wordWrap/>
        <w:overflowPunct/>
        <w:topLinePunct w:val="0"/>
        <w:bidi w:val="0"/>
        <w:adjustRightInd w:val="0"/>
        <w:snapToGrid w:val="0"/>
        <w:spacing w:after="0"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p>
    <w:p>
      <w:pPr>
        <w:pageBreakBefore w:val="0"/>
        <w:kinsoku/>
        <w:wordWrap/>
        <w:overflowPunct/>
        <w:topLinePunct w:val="0"/>
        <w:bidi w:val="0"/>
        <w:adjustRightInd w:val="0"/>
        <w:snapToGrid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采购文件获取日期：</w:t>
      </w:r>
      <w:r>
        <w:rPr>
          <w:rFonts w:hint="eastAsia" w:ascii="宋体" w:hAnsi="宋体" w:eastAsia="宋体" w:cs="宋体"/>
          <w:color w:val="auto"/>
          <w:sz w:val="24"/>
          <w:szCs w:val="24"/>
          <w:highlight w:val="none"/>
          <w:u w:val="dotted"/>
        </w:rPr>
        <w:t xml:space="preserve">                                           </w:t>
      </w:r>
    </w:p>
    <w:p>
      <w:pPr>
        <w:pageBreakBefore w:val="0"/>
        <w:kinsoku/>
        <w:wordWrap/>
        <w:overflowPunct/>
        <w:topLinePunct w:val="0"/>
        <w:bidi w:val="0"/>
        <w:adjustRightInd w:val="0"/>
        <w:snapToGrid w:val="0"/>
        <w:spacing w:after="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pPr>
        <w:pageBreakBefore w:val="0"/>
        <w:kinsoku/>
        <w:wordWrap/>
        <w:overflowPunct/>
        <w:topLinePunct w:val="0"/>
        <w:bidi w:val="0"/>
        <w:adjustRightInd w:val="0"/>
        <w:snapToGrid w:val="0"/>
        <w:spacing w:after="0"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pPr>
        <w:pageBreakBefore w:val="0"/>
        <w:kinsoku/>
        <w:wordWrap/>
        <w:overflowPunct/>
        <w:topLinePunct w:val="0"/>
        <w:bidi w:val="0"/>
        <w:adjustRightInd w:val="0"/>
        <w:snapToGrid w:val="0"/>
        <w:spacing w:after="0"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pPr>
        <w:pageBreakBefore w:val="0"/>
        <w:kinsoku/>
        <w:wordWrap/>
        <w:overflowPunct/>
        <w:topLinePunct w:val="0"/>
        <w:bidi w:val="0"/>
        <w:adjustRightInd w:val="0"/>
        <w:snapToGrid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pPr>
        <w:pageBreakBefore w:val="0"/>
        <w:kinsoku/>
        <w:wordWrap/>
        <w:overflowPunct/>
        <w:topLinePunct w:val="0"/>
        <w:bidi w:val="0"/>
        <w:adjustRightInd w:val="0"/>
        <w:snapToGrid w:val="0"/>
        <w:spacing w:after="0"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pPr>
        <w:pageBreakBefore w:val="0"/>
        <w:kinsoku/>
        <w:wordWrap/>
        <w:overflowPunct/>
        <w:topLinePunct w:val="0"/>
        <w:bidi w:val="0"/>
        <w:adjustRightInd w:val="0"/>
        <w:snapToGrid w:val="0"/>
        <w:spacing w:after="0"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pPr>
        <w:pageBreakBefore w:val="0"/>
        <w:kinsoku/>
        <w:wordWrap/>
        <w:overflowPunct/>
        <w:topLinePunct w:val="0"/>
        <w:bidi w:val="0"/>
        <w:adjustRightInd w:val="0"/>
        <w:snapToGrid w:val="0"/>
        <w:spacing w:after="0"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pPr>
        <w:pageBreakBefore w:val="0"/>
        <w:kinsoku/>
        <w:wordWrap/>
        <w:overflowPunct/>
        <w:topLinePunct w:val="0"/>
        <w:bidi w:val="0"/>
        <w:adjustRightInd w:val="0"/>
        <w:snapToGrid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ageBreakBefore w:val="0"/>
        <w:kinsoku/>
        <w:wordWrap/>
        <w:overflowPunct/>
        <w:topLinePunct w:val="0"/>
        <w:bidi w:val="0"/>
        <w:adjustRightInd w:val="0"/>
        <w:snapToGrid w:val="0"/>
        <w:spacing w:after="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pPr>
        <w:pageBreakBefore w:val="0"/>
        <w:kinsoku/>
        <w:wordWrap/>
        <w:overflowPunct/>
        <w:topLinePunct w:val="0"/>
        <w:bidi w:val="0"/>
        <w:adjustRightInd w:val="0"/>
        <w:snapToGrid w:val="0"/>
        <w:spacing w:after="0"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pPr>
        <w:pageBreakBefore w:val="0"/>
        <w:kinsoku/>
        <w:wordWrap/>
        <w:overflowPunct/>
        <w:topLinePunct w:val="0"/>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pPr>
        <w:pageBreakBefore w:val="0"/>
        <w:kinsoku/>
        <w:wordWrap/>
        <w:overflowPunct/>
        <w:topLinePunct w:val="0"/>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pPr>
        <w:pageBreakBefore w:val="0"/>
        <w:kinsoku/>
        <w:wordWrap/>
        <w:overflowPunct/>
        <w:topLinePunct w:val="0"/>
        <w:bidi w:val="0"/>
        <w:adjustRightInd w:val="0"/>
        <w:snapToGrid w:val="0"/>
        <w:spacing w:after="0" w:line="360" w:lineRule="auto"/>
        <w:rPr>
          <w:rFonts w:hint="eastAsia" w:ascii="宋体" w:hAnsi="宋体" w:eastAsia="宋体" w:cs="宋体"/>
          <w:color w:val="auto"/>
          <w:sz w:val="24"/>
          <w:szCs w:val="24"/>
          <w:highlight w:val="none"/>
        </w:rPr>
      </w:pPr>
    </w:p>
    <w:p>
      <w:pPr>
        <w:pageBreakBefore w:val="0"/>
        <w:kinsoku/>
        <w:wordWrap/>
        <w:overflowPunct/>
        <w:topLinePunct w:val="0"/>
        <w:bidi w:val="0"/>
        <w:spacing w:after="0" w:line="360" w:lineRule="auto"/>
        <w:rPr>
          <w:rFonts w:hint="eastAsia" w:ascii="宋体" w:hAnsi="宋体" w:eastAsia="宋体" w:cs="宋体"/>
          <w:b/>
          <w:color w:val="auto"/>
          <w:sz w:val="24"/>
          <w:szCs w:val="24"/>
          <w:highlight w:val="none"/>
        </w:rPr>
      </w:pPr>
    </w:p>
    <w:p>
      <w:pPr>
        <w:pageBreakBefore w:val="0"/>
        <w:kinsoku/>
        <w:wordWrap/>
        <w:overflowPunct/>
        <w:topLinePunct w:val="0"/>
        <w:bidi w:val="0"/>
        <w:spacing w:after="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质疑函制作说明：</w:t>
      </w:r>
    </w:p>
    <w:p>
      <w:pPr>
        <w:pageBreakBefore w:val="0"/>
        <w:widowControl/>
        <w:kinsoku/>
        <w:wordWrap/>
        <w:overflowPunct/>
        <w:topLinePunct w:val="0"/>
        <w:bidi w:val="0"/>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pPr>
        <w:pageBreakBefore w:val="0"/>
        <w:widowControl/>
        <w:kinsoku/>
        <w:wordWrap/>
        <w:overflowPunct/>
        <w:topLinePunct w:val="0"/>
        <w:bidi w:val="0"/>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pPr>
        <w:pageBreakBefore w:val="0"/>
        <w:widowControl/>
        <w:kinsoku/>
        <w:wordWrap/>
        <w:overflowPunct/>
        <w:topLinePunct w:val="0"/>
        <w:bidi w:val="0"/>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pPr>
        <w:pageBreakBefore w:val="0"/>
        <w:widowControl/>
        <w:kinsoku/>
        <w:wordWrap/>
        <w:overflowPunct/>
        <w:topLinePunct w:val="0"/>
        <w:bidi w:val="0"/>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pPr>
        <w:pageBreakBefore w:val="0"/>
        <w:widowControl/>
        <w:kinsoku/>
        <w:wordWrap/>
        <w:overflowPunct/>
        <w:topLinePunct w:val="0"/>
        <w:bidi w:val="0"/>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pPr>
        <w:pStyle w:val="2"/>
        <w:pageBreakBefore w:val="0"/>
        <w:kinsoku/>
        <w:wordWrap/>
        <w:overflowPunct/>
        <w:topLinePunct w:val="0"/>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ageBreakBefore w:val="0"/>
        <w:kinsoku/>
        <w:wordWrap/>
        <w:overflowPunct/>
        <w:topLinePunct w:val="0"/>
        <w:bidi w:val="0"/>
        <w:spacing w:after="0" w:line="360" w:lineRule="auto"/>
        <w:jc w:val="lef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附件</w:t>
      </w:r>
    </w:p>
    <w:p>
      <w:pPr>
        <w:pageBreakBefore w:val="0"/>
        <w:kinsoku/>
        <w:wordWrap/>
        <w:overflowPunct/>
        <w:topLinePunct w:val="0"/>
        <w:bidi w:val="0"/>
        <w:spacing w:after="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投诉书范本</w:t>
      </w:r>
    </w:p>
    <w:p>
      <w:pPr>
        <w:pageBreakBefore w:val="0"/>
        <w:kinsoku/>
        <w:wordWrap/>
        <w:overflowPunct/>
        <w:topLinePunct w:val="0"/>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一、投诉相关主体基本情况</w:t>
      </w:r>
    </w:p>
    <w:p>
      <w:pPr>
        <w:pageBreakBefore w:val="0"/>
        <w:kinsoku/>
        <w:wordWrap/>
        <w:overflowPunct/>
        <w:topLinePunct w:val="0"/>
        <w:bidi w:val="0"/>
        <w:spacing w:after="0"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w:t>
      </w:r>
      <w:r>
        <w:rPr>
          <w:rFonts w:hint="eastAsia" w:ascii="宋体" w:hAnsi="宋体" w:eastAsia="宋体" w:cs="宋体"/>
          <w:color w:val="auto"/>
          <w:sz w:val="24"/>
          <w:szCs w:val="24"/>
          <w:highlight w:val="none"/>
          <w:u w:val="dotted"/>
        </w:rPr>
        <w:t xml:space="preserve">                                               </w:t>
      </w:r>
    </w:p>
    <w:p>
      <w:pPr>
        <w:pageBreakBefore w:val="0"/>
        <w:kinsoku/>
        <w:wordWrap/>
        <w:overflowPunct/>
        <w:topLinePunct w:val="0"/>
        <w:bidi w:val="0"/>
        <w:spacing w:after="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pPr>
        <w:pageBreakBefore w:val="0"/>
        <w:tabs>
          <w:tab w:val="left" w:pos="6510"/>
        </w:tabs>
        <w:kinsoku/>
        <w:wordWrap/>
        <w:overflowPunct/>
        <w:topLinePunct w:val="0"/>
        <w:bidi w:val="0"/>
        <w:spacing w:after="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法定代表人/主要负责人：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pPr>
        <w:pageBreakBefore w:val="0"/>
        <w:tabs>
          <w:tab w:val="left" w:pos="6510"/>
        </w:tabs>
        <w:kinsoku/>
        <w:wordWrap/>
        <w:overflowPunct/>
        <w:topLinePunct w:val="0"/>
        <w:bidi w:val="0"/>
        <w:spacing w:after="0"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pPr>
        <w:pageBreakBefore w:val="0"/>
        <w:kinsoku/>
        <w:wordWrap/>
        <w:overflowPunct/>
        <w:topLinePunct w:val="0"/>
        <w:bidi w:val="0"/>
        <w:spacing w:after="0"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pPr>
        <w:pageBreakBefore w:val="0"/>
        <w:kinsoku/>
        <w:wordWrap/>
        <w:overflowPunct/>
        <w:topLinePunct w:val="0"/>
        <w:bidi w:val="0"/>
        <w:spacing w:after="0"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dotted"/>
        </w:rPr>
        <w:t xml:space="preserve">                   </w:t>
      </w:r>
    </w:p>
    <w:p>
      <w:pPr>
        <w:pageBreakBefore w:val="0"/>
        <w:kinsoku/>
        <w:wordWrap/>
        <w:overflowPunct/>
        <w:topLinePunct w:val="0"/>
        <w:bidi w:val="0"/>
        <w:spacing w:after="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被投诉人1：</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pPr>
        <w:pageBreakBefore w:val="0"/>
        <w:kinsoku/>
        <w:wordWrap/>
        <w:overflowPunct/>
        <w:topLinePunct w:val="0"/>
        <w:bidi w:val="0"/>
        <w:spacing w:after="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pPr>
        <w:pageBreakBefore w:val="0"/>
        <w:kinsoku/>
        <w:wordWrap/>
        <w:overflowPunct/>
        <w:topLinePunct w:val="0"/>
        <w:bidi w:val="0"/>
        <w:spacing w:after="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pPr>
        <w:pageBreakBefore w:val="0"/>
        <w:kinsoku/>
        <w:wordWrap/>
        <w:overflowPunct/>
        <w:topLinePunct w:val="0"/>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被投诉人2</w:t>
      </w:r>
    </w:p>
    <w:p>
      <w:pPr>
        <w:pageBreakBefore w:val="0"/>
        <w:kinsoku/>
        <w:wordWrap/>
        <w:overflowPunct/>
        <w:topLinePunct w:val="0"/>
        <w:bidi w:val="0"/>
        <w:spacing w:after="0"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pPr>
        <w:pageBreakBefore w:val="0"/>
        <w:kinsoku/>
        <w:wordWrap/>
        <w:overflowPunct/>
        <w:topLinePunct w:val="0"/>
        <w:bidi w:val="0"/>
        <w:spacing w:after="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相关供应商：</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pPr>
        <w:pageBreakBefore w:val="0"/>
        <w:kinsoku/>
        <w:wordWrap/>
        <w:overflowPunct/>
        <w:topLinePunct w:val="0"/>
        <w:bidi w:val="0"/>
        <w:spacing w:after="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pPr>
        <w:pageBreakBefore w:val="0"/>
        <w:kinsoku/>
        <w:wordWrap/>
        <w:overflowPunct/>
        <w:topLinePunct w:val="0"/>
        <w:bidi w:val="0"/>
        <w:spacing w:after="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pPr>
        <w:pageBreakBefore w:val="0"/>
        <w:kinsoku/>
        <w:wordWrap/>
        <w:overflowPunct/>
        <w:topLinePunct w:val="0"/>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二、投诉项目基本情况</w:t>
      </w:r>
    </w:p>
    <w:p>
      <w:pPr>
        <w:pageBreakBefore w:val="0"/>
        <w:kinsoku/>
        <w:wordWrap/>
        <w:overflowPunct/>
        <w:topLinePunct w:val="0"/>
        <w:bidi w:val="0"/>
        <w:spacing w:after="0"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dotted"/>
        </w:rPr>
        <w:t xml:space="preserve">                                        </w:t>
      </w:r>
    </w:p>
    <w:p>
      <w:pPr>
        <w:pageBreakBefore w:val="0"/>
        <w:kinsoku/>
        <w:wordWrap/>
        <w:overflowPunct/>
        <w:topLinePunct w:val="0"/>
        <w:bidi w:val="0"/>
        <w:spacing w:after="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pPr>
        <w:pageBreakBefore w:val="0"/>
        <w:kinsoku/>
        <w:wordWrap/>
        <w:overflowPunct/>
        <w:topLinePunct w:val="0"/>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pPr>
        <w:pageBreakBefore w:val="0"/>
        <w:kinsoku/>
        <w:wordWrap/>
        <w:overflowPunct/>
        <w:topLinePunct w:val="0"/>
        <w:bidi w:val="0"/>
        <w:spacing w:after="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color w:val="auto"/>
          <w:sz w:val="24"/>
          <w:szCs w:val="24"/>
          <w:highlight w:val="none"/>
          <w:u w:val="dotted"/>
        </w:rPr>
        <w:t xml:space="preserve">                                         </w:t>
      </w:r>
    </w:p>
    <w:p>
      <w:pPr>
        <w:pageBreakBefore w:val="0"/>
        <w:kinsoku/>
        <w:wordWrap/>
        <w:overflowPunct/>
        <w:topLinePunct w:val="0"/>
        <w:bidi w:val="0"/>
        <w:spacing w:after="0"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采购文件公告: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pPr>
        <w:pageBreakBefore w:val="0"/>
        <w:kinsoku/>
        <w:wordWrap/>
        <w:overflowPunct/>
        <w:topLinePunct w:val="0"/>
        <w:bidi w:val="0"/>
        <w:spacing w:after="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采购结果公告: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pPr>
        <w:pageBreakBefore w:val="0"/>
        <w:kinsoku/>
        <w:wordWrap/>
        <w:overflowPunct/>
        <w:topLinePunct w:val="0"/>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三、质疑基本情况</w:t>
      </w:r>
    </w:p>
    <w:p>
      <w:pPr>
        <w:pageBreakBefore w:val="0"/>
        <w:kinsoku/>
        <w:wordWrap/>
        <w:overflowPunct/>
        <w:topLinePunct w:val="0"/>
        <w:bidi w:val="0"/>
        <w:spacing w:after="0" w:line="360" w:lineRule="auto"/>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提出质疑，质疑事项为：</w:t>
      </w:r>
      <w:r>
        <w:rPr>
          <w:rFonts w:hint="eastAsia" w:ascii="宋体" w:hAnsi="宋体" w:eastAsia="宋体" w:cs="宋体"/>
          <w:color w:val="auto"/>
          <w:sz w:val="24"/>
          <w:szCs w:val="24"/>
          <w:highlight w:val="none"/>
          <w:u w:val="dotted"/>
        </w:rPr>
        <w:t xml:space="preserve">                                </w:t>
      </w:r>
    </w:p>
    <w:p>
      <w:pPr>
        <w:pageBreakBefore w:val="0"/>
        <w:kinsoku/>
        <w:wordWrap/>
        <w:overflowPunct/>
        <w:topLinePunct w:val="0"/>
        <w:bidi w:val="0"/>
        <w:spacing w:after="0"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pPr>
        <w:pageBreakBefore w:val="0"/>
        <w:kinsoku/>
        <w:wordWrap/>
        <w:overflowPunct/>
        <w:topLinePunct w:val="0"/>
        <w:bidi w:val="0"/>
        <w:spacing w:after="0"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采购人/代理机构</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日,就质疑事项作出了答复/没有在法定期限内作出答复。</w:t>
      </w:r>
    </w:p>
    <w:p>
      <w:pPr>
        <w:pageBreakBefore w:val="0"/>
        <w:kinsoku/>
        <w:wordWrap/>
        <w:overflowPunct/>
        <w:topLinePunct w:val="0"/>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四、投诉事项具体内容</w:t>
      </w:r>
    </w:p>
    <w:p>
      <w:pPr>
        <w:pageBreakBefore w:val="0"/>
        <w:kinsoku/>
        <w:wordWrap/>
        <w:overflowPunct/>
        <w:topLinePunct w:val="0"/>
        <w:bidi w:val="0"/>
        <w:spacing w:after="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投诉事项 1：</w:t>
      </w:r>
      <w:r>
        <w:rPr>
          <w:rFonts w:hint="eastAsia" w:ascii="宋体" w:hAnsi="宋体" w:eastAsia="宋体" w:cs="宋体"/>
          <w:color w:val="auto"/>
          <w:sz w:val="24"/>
          <w:szCs w:val="24"/>
          <w:highlight w:val="none"/>
          <w:u w:val="dotted"/>
        </w:rPr>
        <w:t xml:space="preserve">                                       </w:t>
      </w:r>
    </w:p>
    <w:p>
      <w:pPr>
        <w:pageBreakBefore w:val="0"/>
        <w:kinsoku/>
        <w:wordWrap/>
        <w:overflowPunct/>
        <w:topLinePunct w:val="0"/>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pPr>
        <w:pageBreakBefore w:val="0"/>
        <w:kinsoku/>
        <w:wordWrap/>
        <w:overflowPunct/>
        <w:topLinePunct w:val="0"/>
        <w:bidi w:val="0"/>
        <w:spacing w:after="0"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pPr>
        <w:pageBreakBefore w:val="0"/>
        <w:kinsoku/>
        <w:wordWrap/>
        <w:overflowPunct/>
        <w:topLinePunct w:val="0"/>
        <w:bidi w:val="0"/>
        <w:spacing w:after="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pPr>
        <w:pageBreakBefore w:val="0"/>
        <w:kinsoku/>
        <w:wordWrap/>
        <w:overflowPunct/>
        <w:topLinePunct w:val="0"/>
        <w:bidi w:val="0"/>
        <w:spacing w:after="0"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pPr>
        <w:pageBreakBefore w:val="0"/>
        <w:kinsoku/>
        <w:wordWrap/>
        <w:overflowPunct/>
        <w:topLinePunct w:val="0"/>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投诉事项2</w:t>
      </w:r>
    </w:p>
    <w:p>
      <w:pPr>
        <w:pageBreakBefore w:val="0"/>
        <w:kinsoku/>
        <w:wordWrap/>
        <w:overflowPunct/>
        <w:topLinePunct w:val="0"/>
        <w:bidi w:val="0"/>
        <w:spacing w:after="0"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pPr>
        <w:pageBreakBefore w:val="0"/>
        <w:kinsoku/>
        <w:wordWrap/>
        <w:overflowPunct/>
        <w:topLinePunct w:val="0"/>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五、与投诉事项相关的投诉请求</w:t>
      </w:r>
    </w:p>
    <w:p>
      <w:pPr>
        <w:pageBreakBefore w:val="0"/>
        <w:kinsoku/>
        <w:wordWrap/>
        <w:overflowPunct/>
        <w:topLinePunct w:val="0"/>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pPr>
        <w:pageBreakBefore w:val="0"/>
        <w:kinsoku/>
        <w:wordWrap/>
        <w:overflowPunct/>
        <w:topLinePunct w:val="0"/>
        <w:bidi w:val="0"/>
        <w:spacing w:after="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pPr>
        <w:pageBreakBefore w:val="0"/>
        <w:kinsoku/>
        <w:wordWrap/>
        <w:overflowPunct/>
        <w:topLinePunct w:val="0"/>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pPr>
        <w:pageBreakBefore w:val="0"/>
        <w:kinsoku/>
        <w:wordWrap/>
        <w:overflowPunct/>
        <w:topLinePunct w:val="0"/>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pPr>
        <w:pageBreakBefore w:val="0"/>
        <w:kinsoku/>
        <w:wordWrap/>
        <w:overflowPunct/>
        <w:topLinePunct w:val="0"/>
        <w:bidi w:val="0"/>
        <w:spacing w:after="0" w:line="360" w:lineRule="auto"/>
        <w:rPr>
          <w:rFonts w:hint="eastAsia" w:ascii="宋体" w:hAnsi="宋体" w:eastAsia="宋体" w:cs="宋体"/>
          <w:b/>
          <w:color w:val="auto"/>
          <w:sz w:val="24"/>
          <w:szCs w:val="24"/>
          <w:highlight w:val="none"/>
        </w:rPr>
      </w:pPr>
    </w:p>
    <w:p>
      <w:pPr>
        <w:pageBreakBefore w:val="0"/>
        <w:kinsoku/>
        <w:wordWrap/>
        <w:overflowPunct/>
        <w:topLinePunct w:val="0"/>
        <w:bidi w:val="0"/>
        <w:spacing w:after="0" w:line="360" w:lineRule="auto"/>
        <w:rPr>
          <w:rFonts w:hint="eastAsia" w:ascii="宋体" w:hAnsi="宋体" w:eastAsia="宋体" w:cs="宋体"/>
          <w:b/>
          <w:color w:val="auto"/>
          <w:sz w:val="24"/>
          <w:szCs w:val="24"/>
          <w:highlight w:val="none"/>
        </w:rPr>
      </w:pPr>
    </w:p>
    <w:p>
      <w:pPr>
        <w:pageBreakBefore w:val="0"/>
        <w:kinsoku/>
        <w:wordWrap/>
        <w:overflowPunct/>
        <w:topLinePunct w:val="0"/>
        <w:bidi w:val="0"/>
        <w:spacing w:after="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投诉书制作说明：</w:t>
      </w:r>
    </w:p>
    <w:p>
      <w:pPr>
        <w:pageBreakBefore w:val="0"/>
        <w:widowControl/>
        <w:kinsoku/>
        <w:wordWrap/>
        <w:overflowPunct/>
        <w:topLinePunct w:val="0"/>
        <w:bidi w:val="0"/>
        <w:spacing w:after="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1.投诉人提起投诉时，应当提交投诉书和必要的证明材料，并按照被投诉人和与投诉事项有关的供应商数量提供投诉书副本。</w:t>
      </w:r>
    </w:p>
    <w:p>
      <w:pPr>
        <w:pageBreakBefore w:val="0"/>
        <w:widowControl/>
        <w:kinsoku/>
        <w:wordWrap/>
        <w:overflowPunct/>
        <w:topLinePunct w:val="0"/>
        <w:bidi w:val="0"/>
        <w:spacing w:after="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szCs w:val="24"/>
          <w:highlight w:val="none"/>
        </w:rPr>
        <w:t>投诉人签署的授权委托书。授权委托书应当载明代理人的姓名或者名称、代理事项、具体权限、期限和相关事项。</w:t>
      </w:r>
    </w:p>
    <w:p>
      <w:pPr>
        <w:pageBreakBefore w:val="0"/>
        <w:widowControl/>
        <w:kinsoku/>
        <w:wordWrap/>
        <w:overflowPunct/>
        <w:topLinePunct w:val="0"/>
        <w:bidi w:val="0"/>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3.投诉人若对项目的某一分包进行投诉，投诉书应列明具体分包号。</w:t>
      </w:r>
    </w:p>
    <w:p>
      <w:pPr>
        <w:pageBreakBefore w:val="0"/>
        <w:widowControl/>
        <w:kinsoku/>
        <w:wordWrap/>
        <w:overflowPunct/>
        <w:topLinePunct w:val="0"/>
        <w:bidi w:val="0"/>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4.投诉书应简要列明质疑事项，质疑函、质疑答复等作为附件材料提供。</w:t>
      </w:r>
    </w:p>
    <w:p>
      <w:pPr>
        <w:pageBreakBefore w:val="0"/>
        <w:widowControl/>
        <w:kinsoku/>
        <w:wordWrap/>
        <w:overflowPunct/>
        <w:topLinePunct w:val="0"/>
        <w:bidi w:val="0"/>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5.投诉书的投诉事项应具体、明确，并有必要的事实依据和法律依据。</w:t>
      </w:r>
    </w:p>
    <w:p>
      <w:pPr>
        <w:pageBreakBefore w:val="0"/>
        <w:widowControl/>
        <w:kinsoku/>
        <w:wordWrap/>
        <w:overflowPunct/>
        <w:topLinePunct w:val="0"/>
        <w:bidi w:val="0"/>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6.投诉书的投诉请求应与投诉事项相关。</w:t>
      </w:r>
    </w:p>
    <w:p>
      <w:pPr>
        <w:pageBreakBefore w:val="0"/>
        <w:widowControl/>
        <w:kinsoku/>
        <w:wordWrap/>
        <w:overflowPunct/>
        <w:topLinePunct w:val="0"/>
        <w:bidi w:val="0"/>
        <w:spacing w:after="0" w:line="360" w:lineRule="auto"/>
        <w:ind w:firstLine="480" w:firstLineChars="200"/>
        <w:jc w:val="left"/>
        <w:rPr>
          <w:rFonts w:hint="eastAsia" w:ascii="宋体" w:hAnsi="宋体" w:eastAsia="宋体" w:cs="宋体"/>
          <w:color w:val="auto"/>
          <w:kern w:val="0"/>
          <w:sz w:val="32"/>
          <w:szCs w:val="32"/>
          <w:highlight w:val="none"/>
        </w:rPr>
      </w:pPr>
      <w:r>
        <w:rPr>
          <w:rFonts w:hint="eastAsia" w:ascii="宋体" w:hAnsi="宋体" w:eastAsia="宋体" w:cs="宋体"/>
          <w:color w:val="auto"/>
          <w:sz w:val="24"/>
          <w:szCs w:val="24"/>
          <w:highlight w:val="none"/>
        </w:rPr>
        <w:t>7.投诉人为自然人的，投诉书应当由本人签字；投诉人为法人或者其他组织的，投诉书应当由法定代表人、主要负责人，或者其授权代表签字或者盖章，并加盖公章。</w:t>
      </w:r>
    </w:p>
    <w:p>
      <w:pPr>
        <w:pageBreakBefore w:val="0"/>
        <w:kinsoku/>
        <w:wordWrap/>
        <w:overflowPunct/>
        <w:topLinePunct w:val="0"/>
        <w:bidi w:val="0"/>
        <w:spacing w:after="0" w:line="360" w:lineRule="auto"/>
        <w:jc w:val="left"/>
        <w:rPr>
          <w:rFonts w:hint="eastAsia" w:ascii="宋体" w:hAnsi="宋体" w:eastAsia="宋体" w:cs="宋体"/>
          <w:b/>
          <w:color w:val="auto"/>
          <w:sz w:val="30"/>
          <w:szCs w:val="30"/>
          <w:highlight w:val="none"/>
        </w:rPr>
      </w:pP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30"/>
          <w:szCs w:val="30"/>
          <w:highlight w:val="none"/>
        </w:rPr>
        <w:t xml:space="preserve"> </w:t>
      </w:r>
    </w:p>
    <w:p>
      <w:pPr>
        <w:pageBreakBefore w:val="0"/>
        <w:kinsoku/>
        <w:wordWrap/>
        <w:overflowPunct/>
        <w:topLinePunct w:val="0"/>
        <w:bidi w:val="0"/>
        <w:spacing w:after="0" w:line="360" w:lineRule="auto"/>
        <w:jc w:val="left"/>
        <w:rPr>
          <w:rFonts w:hint="eastAsia" w:ascii="宋体" w:hAnsi="宋体" w:eastAsia="宋体" w:cs="宋体"/>
          <w:b/>
          <w:color w:val="auto"/>
          <w:sz w:val="30"/>
          <w:szCs w:val="30"/>
          <w:highlight w:val="none"/>
        </w:rPr>
      </w:pPr>
    </w:p>
    <w:p>
      <w:pPr>
        <w:pStyle w:val="2"/>
        <w:pageBreakBefore w:val="0"/>
        <w:kinsoku/>
        <w:wordWrap/>
        <w:overflowPunct/>
        <w:topLinePunct w:val="0"/>
        <w:bidi w:val="0"/>
        <w:spacing w:after="0" w:line="360" w:lineRule="auto"/>
        <w:rPr>
          <w:rFonts w:hint="eastAsia" w:ascii="宋体" w:hAnsi="宋体" w:eastAsia="宋体" w:cs="宋体"/>
          <w:color w:val="auto"/>
          <w:highlight w:val="none"/>
        </w:rPr>
      </w:pPr>
    </w:p>
    <w:sectPr>
      <w:pgSz w:w="11905" w:h="16838"/>
      <w:pgMar w:top="1134" w:right="1134" w:bottom="1134" w:left="1134" w:header="454" w:footer="686" w:gutter="0"/>
      <w:cols w:space="0" w:num="1"/>
      <w:rtlGutter w:val="0"/>
      <w:docGrid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
    <w:altName w:val="仿宋"/>
    <w:panose1 w:val="00000000000000000000"/>
    <w:charset w:val="86"/>
    <w:family w:val="script"/>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0" w:line="240" w:lineRule="auto"/>
      <w:rPr>
        <w:rFonts w:eastAsia="方正仿宋"/>
        <w:b/>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rPr>
                              <w:rFonts w:hint="eastAsia"/>
                            </w:rPr>
                            <w:t>1</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pPr>
                      <w:pStyle w:val="12"/>
                    </w:pPr>
                    <w:r>
                      <w:rPr>
                        <w:rFonts w:hint="eastAsia"/>
                      </w:rPr>
                      <w:t>1</w:t>
                    </w:r>
                  </w:p>
                </w:txbxContent>
              </v:textbox>
            </v:shape>
          </w:pict>
        </mc:Fallback>
      </mc:AlternateContent>
    </w:r>
    <w:r>
      <w:rPr>
        <w:rFonts w:hint="eastAsia" w:eastAsia="方正仿宋"/>
        <w:b/>
      </w:rPr>
      <w:t>业务咨询：028-61677271    投诉建议：028-61195711</w:t>
    </w:r>
  </w:p>
  <w:p>
    <w:pPr>
      <w:pStyle w:val="12"/>
      <w:spacing w:after="0" w:line="240" w:lineRule="auto"/>
      <w:rPr>
        <w:rFonts w:eastAsia="方正仿宋"/>
        <w:b/>
      </w:rPr>
    </w:pPr>
    <w:r>
      <w:rPr>
        <w:rFonts w:hint="eastAsia" w:eastAsia="方正仿宋"/>
        <w:b/>
      </w:rPr>
      <w:t>地址：四川省成都市武侯区武科东四路18号联邦财富中心1-2-1005（C）</w:t>
    </w:r>
  </w:p>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0" w:line="240" w:lineRule="auto"/>
      <w:rPr>
        <w:rFonts w:eastAsia="方正仿宋"/>
        <w:b/>
      </w:rPr>
    </w:pPr>
    <w:r>
      <w:rPr>
        <w:rFonts w:hint="eastAsia" w:eastAsia="方正仿宋"/>
        <w:b/>
      </w:rPr>
      <w:t>业务咨询：028-61677271                                                       投诉建议：028-61195711</w:t>
    </w:r>
  </w:p>
  <w:p>
    <w:pPr>
      <w:pStyle w:val="12"/>
      <w:spacing w:after="0" w:line="240" w:lineRule="auto"/>
      <w:rPr>
        <w:rFonts w:eastAsia="方正仿宋"/>
      </w:rPr>
    </w:pPr>
    <w:r>
      <w:rPr>
        <w:rFonts w:hint="eastAsia" w:eastAsia="方正仿宋"/>
        <w:b/>
      </w:rPr>
      <w:t>地址：四川省成都市武侯区武科东四路18号联邦财富中心1-2-1005（C）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0" w:line="240" w:lineRule="auto"/>
      <w:rPr>
        <w:rFonts w:eastAsia="方正仿宋"/>
        <w:b/>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rPr>
                              <w:rFonts w:hint="eastAsia"/>
                            </w:rPr>
                            <w:t>1</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2"/>
                    </w:pPr>
                    <w:r>
                      <w:rPr>
                        <w:rFonts w:hint="eastAsia"/>
                      </w:rPr>
                      <w:t>1</w:t>
                    </w:r>
                  </w:p>
                </w:txbxContent>
              </v:textbox>
            </v:shape>
          </w:pict>
        </mc:Fallback>
      </mc:AlternateContent>
    </w:r>
    <w:r>
      <w:rPr>
        <w:rFonts w:hint="eastAsia" w:eastAsia="方正仿宋"/>
        <w:b/>
      </w:rPr>
      <w:t>业务咨询：028-61677271    投诉建议：028-61195711</w:t>
    </w:r>
  </w:p>
  <w:p>
    <w:pPr>
      <w:pStyle w:val="12"/>
      <w:spacing w:after="0" w:line="240" w:lineRule="auto"/>
      <w:rPr>
        <w:rFonts w:eastAsia="方正仿宋"/>
        <w:b/>
      </w:rPr>
    </w:pPr>
    <w:r>
      <w:rPr>
        <w:rFonts w:hint="eastAsia" w:eastAsia="方正仿宋"/>
        <w:b/>
      </w:rPr>
      <w:t>地址：四川省成都市武侯区武科东四路18号联邦财富中心1-2-1005（C）</w:t>
    </w:r>
  </w:p>
  <w:p>
    <w:pPr>
      <w:pStyle w:val="12"/>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0" w:line="240" w:lineRule="auto"/>
      <w:rPr>
        <w:rFonts w:eastAsia="方正仿宋"/>
        <w:b/>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rFonts w:hint="eastAsia" w:eastAsia="方正仿宋"/>
        <w:b/>
      </w:rPr>
      <w:t>业务咨询：028-61677271                                                       投诉建议：028-61195711</w:t>
    </w:r>
  </w:p>
  <w:p>
    <w:pPr>
      <w:pStyle w:val="12"/>
      <w:spacing w:after="0" w:line="240" w:lineRule="auto"/>
      <w:rPr>
        <w:rFonts w:eastAsia="方正仿宋"/>
      </w:rPr>
    </w:pPr>
    <w:r>
      <w:rPr>
        <w:rFonts w:hint="eastAsia" w:eastAsia="方正仿宋"/>
        <w:b/>
      </w:rPr>
      <w:t>地址：四川省成都市武侯区武科东四路18号联邦财富中心1-2-1005（C）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6300" w:hanging="6300" w:hangingChars="350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tabs>
        <w:tab w:val="left" w:pos="1190"/>
      </w:tabs>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r>
      <w:rPr>
        <w:rFonts w:hint="eastAsia" w:ascii="宋体" w:hAnsi="宋体" w:cs="宋体"/>
        <w:color w:val="000000"/>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A4A5B"/>
    <w:multiLevelType w:val="singleLevel"/>
    <w:tmpl w:val="9D0A4A5B"/>
    <w:lvl w:ilvl="0" w:tentative="0">
      <w:start w:val="4"/>
      <w:numFmt w:val="chineseCounting"/>
      <w:suff w:val="nothing"/>
      <w:lvlText w:val="%1、"/>
      <w:lvlJc w:val="left"/>
      <w:rPr>
        <w:rFonts w:hint="eastAsia"/>
      </w:rPr>
    </w:lvl>
  </w:abstractNum>
  <w:abstractNum w:abstractNumId="1">
    <w:nsid w:val="E8B019B6"/>
    <w:multiLevelType w:val="singleLevel"/>
    <w:tmpl w:val="E8B019B6"/>
    <w:lvl w:ilvl="0" w:tentative="0">
      <w:start w:val="2"/>
      <w:numFmt w:val="chineseCounting"/>
      <w:suff w:val="nothing"/>
      <w:lvlText w:val="%1、"/>
      <w:lvlJc w:val="left"/>
      <w:rPr>
        <w:rFonts w:hint="eastAsia"/>
      </w:rPr>
    </w:lvl>
  </w:abstractNum>
  <w:abstractNum w:abstractNumId="2">
    <w:nsid w:val="00000003"/>
    <w:multiLevelType w:val="multilevel"/>
    <w:tmpl w:val="00000003"/>
    <w:lvl w:ilvl="0" w:tentative="0">
      <w:start w:val="1"/>
      <w:numFmt w:val="decimal"/>
      <w:pStyle w:val="39"/>
      <w:suff w:val="space"/>
      <w:lvlText w:val="%1"/>
      <w:lvlJc w:val="left"/>
      <w:pPr>
        <w:ind w:left="284" w:hanging="284"/>
      </w:pPr>
      <w:rPr>
        <w:rFonts w:hint="default" w:ascii="Times New Roman" w:hAnsi="Times New Roman" w:eastAsia="黑体"/>
        <w:b/>
        <w:i w:val="0"/>
        <w:color w:val="000000"/>
        <w:sz w:val="36"/>
        <w:szCs w:val="36"/>
      </w:rPr>
    </w:lvl>
    <w:lvl w:ilvl="1" w:tentative="0">
      <w:start w:val="1"/>
      <w:numFmt w:val="decimal"/>
      <w:suff w:val="space"/>
      <w:lvlText w:val="%1.%2"/>
      <w:lvlJc w:val="left"/>
      <w:pPr>
        <w:tabs>
          <w:tab w:val="left" w:pos="0"/>
        </w:tabs>
        <w:ind w:left="284" w:hanging="284"/>
      </w:pPr>
      <w:rPr>
        <w:rFonts w:hint="default" w:ascii="宋体" w:hAnsi="宋体" w:eastAsia="宋体" w:cs="Times New Roman"/>
        <w:b/>
        <w:bCs w:val="0"/>
        <w:i w:val="0"/>
        <w:iCs w:val="0"/>
        <w:caps w:val="0"/>
        <w:smallCaps w:val="0"/>
        <w:snapToGrid w:val="0"/>
        <w:vanish w:val="0"/>
        <w:spacing w:val="0"/>
        <w:kern w:val="0"/>
        <w:position w:val="0"/>
        <w:sz w:val="28"/>
        <w:szCs w:val="21"/>
        <w:u w:val="none"/>
        <w:vertAlign w:val="baseline"/>
      </w:rPr>
    </w:lvl>
    <w:lvl w:ilvl="2" w:tentative="0">
      <w:start w:val="1"/>
      <w:numFmt w:val="decimal"/>
      <w:suff w:val="space"/>
      <w:lvlText w:val="%1.%2.%3"/>
      <w:lvlJc w:val="left"/>
      <w:pPr>
        <w:ind w:left="284" w:hanging="284"/>
      </w:pPr>
      <w:rPr>
        <w:rFonts w:hint="eastAsia"/>
        <w:b/>
      </w:rPr>
    </w:lvl>
    <w:lvl w:ilvl="3" w:tentative="0">
      <w:start w:val="1"/>
      <w:numFmt w:val="decimal"/>
      <w:suff w:val="space"/>
      <w:lvlText w:val="%1.%2.%3.%4"/>
      <w:lvlJc w:val="left"/>
      <w:pPr>
        <w:ind w:left="284" w:hanging="284"/>
      </w:pPr>
      <w:rPr>
        <w:rFonts w:hint="eastAsia"/>
        <w:bCs w:val="0"/>
        <w:i w:val="0"/>
        <w:iCs w:val="0"/>
        <w:caps w:val="0"/>
        <w:snapToGrid w:val="0"/>
        <w:vanish w:val="0"/>
        <w:spacing w:val="40"/>
        <w:kern w:val="0"/>
        <w:position w:val="0"/>
        <w:szCs w:val="21"/>
        <w:u w:val="none"/>
        <w:vertAlign w:val="baseline"/>
      </w:rPr>
    </w:lvl>
    <w:lvl w:ilvl="4" w:tentative="0">
      <w:start w:val="1"/>
      <w:numFmt w:val="decimal"/>
      <w:suff w:val="space"/>
      <w:lvlText w:val="%1.%2.%3.%4.%5"/>
      <w:lvlJc w:val="left"/>
      <w:pPr>
        <w:ind w:left="284" w:hanging="284"/>
      </w:pPr>
      <w:rPr>
        <w:rFonts w:hint="default" w:ascii="Times New Roman" w:hAnsi="Times New Roman" w:eastAsia="黑体"/>
        <w:b/>
        <w:i w:val="0"/>
        <w:color w:val="auto"/>
      </w:rPr>
    </w:lvl>
    <w:lvl w:ilvl="5" w:tentative="0">
      <w:start w:val="1"/>
      <w:numFmt w:val="decimal"/>
      <w:suff w:val="space"/>
      <w:lvlText w:val="%1.%2.%3.%4.%5.%6"/>
      <w:lvlJc w:val="left"/>
      <w:pPr>
        <w:ind w:left="284" w:hanging="284"/>
      </w:pPr>
      <w:rPr>
        <w:rFonts w:hint="default" w:ascii="Times New Roman" w:hAnsi="Times New Roman" w:eastAsia="黑体"/>
        <w:b/>
        <w:i w:val="0"/>
        <w:color w:val="auto"/>
      </w:rPr>
    </w:lvl>
    <w:lvl w:ilvl="6" w:tentative="0">
      <w:start w:val="1"/>
      <w:numFmt w:val="decimal"/>
      <w:lvlText w:val="%1.%2.%3.%4.%5.%6.%7"/>
      <w:lvlJc w:val="left"/>
      <w:pPr>
        <w:ind w:left="284" w:hanging="284"/>
      </w:pPr>
      <w:rPr>
        <w:rFonts w:hint="default" w:ascii="Times New Roman" w:hAnsi="Times New Roman" w:cs="Times New Roman"/>
      </w:rPr>
    </w:lvl>
    <w:lvl w:ilvl="7" w:tentative="0">
      <w:start w:val="1"/>
      <w:numFmt w:val="decimal"/>
      <w:lvlText w:val="%1.%2.%3.%4.%5.%6.%7.%8."/>
      <w:lvlJc w:val="left"/>
      <w:pPr>
        <w:ind w:left="284" w:hanging="284"/>
      </w:pPr>
      <w:rPr>
        <w:rFonts w:hint="eastAsia"/>
      </w:rPr>
    </w:lvl>
    <w:lvl w:ilvl="8" w:tentative="0">
      <w:start w:val="1"/>
      <w:numFmt w:val="decimal"/>
      <w:lvlText w:val="%1.%2.%3.%4.%5.%6.%7.%8.%9."/>
      <w:lvlJc w:val="left"/>
      <w:pPr>
        <w:ind w:left="284" w:hanging="284"/>
      </w:pPr>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31"/>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587D89C6"/>
    <w:multiLevelType w:val="singleLevel"/>
    <w:tmpl w:val="587D89C6"/>
    <w:lvl w:ilvl="0" w:tentative="0">
      <w:start w:val="1"/>
      <w:numFmt w:val="decimal"/>
      <w:suff w:val="nothing"/>
      <w:lvlText w:val="%1、"/>
      <w:lvlJc w:val="left"/>
    </w:lvl>
  </w:abstractNum>
  <w:abstractNum w:abstractNumId="5">
    <w:nsid w:val="58807131"/>
    <w:multiLevelType w:val="singleLevel"/>
    <w:tmpl w:val="58807131"/>
    <w:lvl w:ilvl="0" w:tentative="0">
      <w:start w:val="1"/>
      <w:numFmt w:val="decimal"/>
      <w:suff w:val="nothing"/>
      <w:lvlText w:val="%1、"/>
      <w:lvlJc w:val="left"/>
    </w:lvl>
  </w:abstractNum>
  <w:abstractNum w:abstractNumId="6">
    <w:nsid w:val="59C07086"/>
    <w:multiLevelType w:val="multilevel"/>
    <w:tmpl w:val="59C07086"/>
    <w:lvl w:ilvl="0" w:tentative="0">
      <w:start w:val="1"/>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7">
    <w:nsid w:val="65336C12"/>
    <w:multiLevelType w:val="singleLevel"/>
    <w:tmpl w:val="65336C12"/>
    <w:lvl w:ilvl="0" w:tentative="0">
      <w:start w:val="9"/>
      <w:numFmt w:val="chineseCounting"/>
      <w:suff w:val="nothing"/>
      <w:lvlText w:val="%1、"/>
      <w:lvlJc w:val="left"/>
      <w:rPr>
        <w:rFonts w:hint="eastAsia"/>
      </w:rPr>
    </w:lvl>
  </w:abstractNum>
  <w:num w:numId="1">
    <w:abstractNumId w:val="3"/>
  </w:num>
  <w:num w:numId="2">
    <w:abstractNumId w:val="2"/>
  </w:num>
  <w:num w:numId="3">
    <w:abstractNumId w:val="7"/>
  </w:num>
  <w:num w:numId="4">
    <w:abstractNumId w:val="0"/>
  </w:num>
  <w:num w:numId="5">
    <w:abstractNumId w:val="1"/>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iOTU3ZDVkZDFmNDNiNjNkY2NjM2E2NTUzNDViNTMifQ=="/>
  </w:docVars>
  <w:rsids>
    <w:rsidRoot w:val="749D463B"/>
    <w:rsid w:val="00017401"/>
    <w:rsid w:val="00030DEB"/>
    <w:rsid w:val="00035D3C"/>
    <w:rsid w:val="0004437E"/>
    <w:rsid w:val="00082CE7"/>
    <w:rsid w:val="000E426C"/>
    <w:rsid w:val="001176E8"/>
    <w:rsid w:val="0014244B"/>
    <w:rsid w:val="001B7013"/>
    <w:rsid w:val="001C66E0"/>
    <w:rsid w:val="001E4618"/>
    <w:rsid w:val="002528FF"/>
    <w:rsid w:val="002B697E"/>
    <w:rsid w:val="002F206F"/>
    <w:rsid w:val="00304E3E"/>
    <w:rsid w:val="00371150"/>
    <w:rsid w:val="003F0654"/>
    <w:rsid w:val="004270C2"/>
    <w:rsid w:val="00450C07"/>
    <w:rsid w:val="004542DE"/>
    <w:rsid w:val="00475346"/>
    <w:rsid w:val="004A16B4"/>
    <w:rsid w:val="004B540E"/>
    <w:rsid w:val="004B785E"/>
    <w:rsid w:val="004C56B5"/>
    <w:rsid w:val="004E0179"/>
    <w:rsid w:val="005224CD"/>
    <w:rsid w:val="005451CD"/>
    <w:rsid w:val="005922C1"/>
    <w:rsid w:val="005D4A37"/>
    <w:rsid w:val="00612D3D"/>
    <w:rsid w:val="00627471"/>
    <w:rsid w:val="00634015"/>
    <w:rsid w:val="006769C6"/>
    <w:rsid w:val="006F1349"/>
    <w:rsid w:val="0077229D"/>
    <w:rsid w:val="007B470D"/>
    <w:rsid w:val="007B78EC"/>
    <w:rsid w:val="007C1572"/>
    <w:rsid w:val="007F13B3"/>
    <w:rsid w:val="0083259B"/>
    <w:rsid w:val="00846780"/>
    <w:rsid w:val="00885478"/>
    <w:rsid w:val="008E1D75"/>
    <w:rsid w:val="009700C3"/>
    <w:rsid w:val="009844FA"/>
    <w:rsid w:val="009D0C33"/>
    <w:rsid w:val="00A43225"/>
    <w:rsid w:val="00A53E92"/>
    <w:rsid w:val="00AF606F"/>
    <w:rsid w:val="00B134D5"/>
    <w:rsid w:val="00B514C8"/>
    <w:rsid w:val="00B80244"/>
    <w:rsid w:val="00B83297"/>
    <w:rsid w:val="00BE2637"/>
    <w:rsid w:val="00BF18EB"/>
    <w:rsid w:val="00BF46A9"/>
    <w:rsid w:val="00C44507"/>
    <w:rsid w:val="00C94650"/>
    <w:rsid w:val="00C95131"/>
    <w:rsid w:val="00CB7497"/>
    <w:rsid w:val="00D235A1"/>
    <w:rsid w:val="00D26103"/>
    <w:rsid w:val="00D45EDE"/>
    <w:rsid w:val="00D46FCB"/>
    <w:rsid w:val="00D72789"/>
    <w:rsid w:val="00D8029C"/>
    <w:rsid w:val="00DF3DB9"/>
    <w:rsid w:val="00DF64ED"/>
    <w:rsid w:val="00E3783B"/>
    <w:rsid w:val="00E514AC"/>
    <w:rsid w:val="00ED209F"/>
    <w:rsid w:val="00F2158F"/>
    <w:rsid w:val="00F40B58"/>
    <w:rsid w:val="00F4184B"/>
    <w:rsid w:val="00F80C3B"/>
    <w:rsid w:val="00F80E6E"/>
    <w:rsid w:val="00F95E5E"/>
    <w:rsid w:val="00F96CDD"/>
    <w:rsid w:val="00FB51A5"/>
    <w:rsid w:val="00FC371C"/>
    <w:rsid w:val="01BB7D42"/>
    <w:rsid w:val="01EC59BC"/>
    <w:rsid w:val="02605BD8"/>
    <w:rsid w:val="03790308"/>
    <w:rsid w:val="037F5397"/>
    <w:rsid w:val="03C23A4E"/>
    <w:rsid w:val="04602883"/>
    <w:rsid w:val="04614744"/>
    <w:rsid w:val="053736E6"/>
    <w:rsid w:val="05907423"/>
    <w:rsid w:val="06400755"/>
    <w:rsid w:val="067B58FB"/>
    <w:rsid w:val="0732287A"/>
    <w:rsid w:val="08746A08"/>
    <w:rsid w:val="091F38B7"/>
    <w:rsid w:val="0A950266"/>
    <w:rsid w:val="0AA301FD"/>
    <w:rsid w:val="0C1F7C81"/>
    <w:rsid w:val="0C207CB5"/>
    <w:rsid w:val="0D12731C"/>
    <w:rsid w:val="0D3E3659"/>
    <w:rsid w:val="0D7F7CC8"/>
    <w:rsid w:val="0D8062FE"/>
    <w:rsid w:val="0F5558EA"/>
    <w:rsid w:val="0FF75E11"/>
    <w:rsid w:val="101A335B"/>
    <w:rsid w:val="1021594F"/>
    <w:rsid w:val="10AC760C"/>
    <w:rsid w:val="10DC30EE"/>
    <w:rsid w:val="11044847"/>
    <w:rsid w:val="13486F70"/>
    <w:rsid w:val="13D77156"/>
    <w:rsid w:val="13F51EDC"/>
    <w:rsid w:val="15131E2B"/>
    <w:rsid w:val="15C31776"/>
    <w:rsid w:val="169067FB"/>
    <w:rsid w:val="1894759B"/>
    <w:rsid w:val="19AE117B"/>
    <w:rsid w:val="1C9351F4"/>
    <w:rsid w:val="1CF86EAC"/>
    <w:rsid w:val="1E0D310C"/>
    <w:rsid w:val="1E890F8D"/>
    <w:rsid w:val="1ED27BC7"/>
    <w:rsid w:val="1F7E7583"/>
    <w:rsid w:val="1F997B7C"/>
    <w:rsid w:val="20922FD3"/>
    <w:rsid w:val="20AC020D"/>
    <w:rsid w:val="20F42EEC"/>
    <w:rsid w:val="22212345"/>
    <w:rsid w:val="22554988"/>
    <w:rsid w:val="248136AE"/>
    <w:rsid w:val="24C17B2D"/>
    <w:rsid w:val="25450842"/>
    <w:rsid w:val="25C611DD"/>
    <w:rsid w:val="26613AB8"/>
    <w:rsid w:val="27AC2A76"/>
    <w:rsid w:val="27B2227E"/>
    <w:rsid w:val="28176FBF"/>
    <w:rsid w:val="281F0E51"/>
    <w:rsid w:val="2A375D41"/>
    <w:rsid w:val="2AA0496F"/>
    <w:rsid w:val="2AFA28CA"/>
    <w:rsid w:val="2CE30F2A"/>
    <w:rsid w:val="2D7C43FD"/>
    <w:rsid w:val="2DD80C0B"/>
    <w:rsid w:val="2E8A7EEE"/>
    <w:rsid w:val="2EFA4062"/>
    <w:rsid w:val="2F164B67"/>
    <w:rsid w:val="30042A5F"/>
    <w:rsid w:val="300D61C0"/>
    <w:rsid w:val="303324E0"/>
    <w:rsid w:val="305F1118"/>
    <w:rsid w:val="307742A0"/>
    <w:rsid w:val="30874228"/>
    <w:rsid w:val="31242F27"/>
    <w:rsid w:val="31364554"/>
    <w:rsid w:val="323C354B"/>
    <w:rsid w:val="328E1975"/>
    <w:rsid w:val="329C3361"/>
    <w:rsid w:val="333252F7"/>
    <w:rsid w:val="345B7340"/>
    <w:rsid w:val="35BE6C5A"/>
    <w:rsid w:val="35F95012"/>
    <w:rsid w:val="365F6870"/>
    <w:rsid w:val="37675A91"/>
    <w:rsid w:val="377D32C8"/>
    <w:rsid w:val="387421EB"/>
    <w:rsid w:val="394B7113"/>
    <w:rsid w:val="39BB2260"/>
    <w:rsid w:val="3A8E2DAD"/>
    <w:rsid w:val="3AA13001"/>
    <w:rsid w:val="3C7D7CC9"/>
    <w:rsid w:val="3D0F4B64"/>
    <w:rsid w:val="3D9B0522"/>
    <w:rsid w:val="3E155F41"/>
    <w:rsid w:val="3E7C5368"/>
    <w:rsid w:val="3F982986"/>
    <w:rsid w:val="4033115E"/>
    <w:rsid w:val="41284444"/>
    <w:rsid w:val="413F21FB"/>
    <w:rsid w:val="426C0E50"/>
    <w:rsid w:val="42A111EB"/>
    <w:rsid w:val="43214980"/>
    <w:rsid w:val="434C20B3"/>
    <w:rsid w:val="43860484"/>
    <w:rsid w:val="43EA7528"/>
    <w:rsid w:val="445E0831"/>
    <w:rsid w:val="44BF1E1E"/>
    <w:rsid w:val="4525553B"/>
    <w:rsid w:val="454B06A9"/>
    <w:rsid w:val="46A16C84"/>
    <w:rsid w:val="4789027F"/>
    <w:rsid w:val="48355908"/>
    <w:rsid w:val="484742FD"/>
    <w:rsid w:val="48976F38"/>
    <w:rsid w:val="48C46C8E"/>
    <w:rsid w:val="48D360AD"/>
    <w:rsid w:val="49BB4034"/>
    <w:rsid w:val="4ACF5EC6"/>
    <w:rsid w:val="4B1E198C"/>
    <w:rsid w:val="4B93329E"/>
    <w:rsid w:val="4BA77A36"/>
    <w:rsid w:val="4C8B7009"/>
    <w:rsid w:val="4CD16177"/>
    <w:rsid w:val="4DA7500F"/>
    <w:rsid w:val="4DE17A85"/>
    <w:rsid w:val="4FA22979"/>
    <w:rsid w:val="52FD5F5E"/>
    <w:rsid w:val="53440AD8"/>
    <w:rsid w:val="536F4191"/>
    <w:rsid w:val="53DA3CD1"/>
    <w:rsid w:val="54280BEB"/>
    <w:rsid w:val="559020A1"/>
    <w:rsid w:val="55DE3D0A"/>
    <w:rsid w:val="56725239"/>
    <w:rsid w:val="56F846DD"/>
    <w:rsid w:val="57A6267F"/>
    <w:rsid w:val="57D47886"/>
    <w:rsid w:val="5A3D38AD"/>
    <w:rsid w:val="5A662545"/>
    <w:rsid w:val="5A855FC8"/>
    <w:rsid w:val="5A9C5C02"/>
    <w:rsid w:val="5AF7686F"/>
    <w:rsid w:val="5BB42718"/>
    <w:rsid w:val="5BF065D9"/>
    <w:rsid w:val="5C6334BB"/>
    <w:rsid w:val="5C713D87"/>
    <w:rsid w:val="5D192F00"/>
    <w:rsid w:val="5E266949"/>
    <w:rsid w:val="5E5B0909"/>
    <w:rsid w:val="5E9771FA"/>
    <w:rsid w:val="5F492490"/>
    <w:rsid w:val="5FE44FF8"/>
    <w:rsid w:val="60D85A8A"/>
    <w:rsid w:val="61635ACF"/>
    <w:rsid w:val="618015C9"/>
    <w:rsid w:val="61F45CEA"/>
    <w:rsid w:val="6234065D"/>
    <w:rsid w:val="6287076D"/>
    <w:rsid w:val="62B94114"/>
    <w:rsid w:val="644A30BE"/>
    <w:rsid w:val="64574301"/>
    <w:rsid w:val="645C66E8"/>
    <w:rsid w:val="649720BD"/>
    <w:rsid w:val="65204F88"/>
    <w:rsid w:val="65405B73"/>
    <w:rsid w:val="659A6806"/>
    <w:rsid w:val="65D02F4E"/>
    <w:rsid w:val="66A76FAF"/>
    <w:rsid w:val="66C14A5F"/>
    <w:rsid w:val="67CF01E6"/>
    <w:rsid w:val="68EF720B"/>
    <w:rsid w:val="6A2A64A5"/>
    <w:rsid w:val="6B761BA0"/>
    <w:rsid w:val="6E401A13"/>
    <w:rsid w:val="6EAB77E1"/>
    <w:rsid w:val="6FE51C7B"/>
    <w:rsid w:val="7047792D"/>
    <w:rsid w:val="709118D3"/>
    <w:rsid w:val="7341577E"/>
    <w:rsid w:val="737A4DB9"/>
    <w:rsid w:val="74343363"/>
    <w:rsid w:val="749D463B"/>
    <w:rsid w:val="75A37346"/>
    <w:rsid w:val="75CA7C65"/>
    <w:rsid w:val="77922AAD"/>
    <w:rsid w:val="779D4354"/>
    <w:rsid w:val="787E3CB5"/>
    <w:rsid w:val="78B74D45"/>
    <w:rsid w:val="7BEC78A6"/>
    <w:rsid w:val="7D4D4CBD"/>
    <w:rsid w:val="7E47775A"/>
    <w:rsid w:val="7F546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等线" w:hAnsi="等线" w:eastAsia="等线"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5" w:lineRule="auto"/>
      <w:outlineLvl w:val="2"/>
    </w:pPr>
    <w:rPr>
      <w:b/>
      <w:bCs/>
      <w:kern w:val="0"/>
      <w:sz w:val="32"/>
      <w:szCs w:val="32"/>
    </w:rPr>
  </w:style>
  <w:style w:type="paragraph" w:styleId="6">
    <w:name w:val="heading 4"/>
    <w:basedOn w:val="1"/>
    <w:next w:val="1"/>
    <w:qFormat/>
    <w:uiPriority w:val="0"/>
    <w:pPr>
      <w:keepNext/>
      <w:keepLines/>
      <w:spacing w:before="280" w:after="290" w:line="376" w:lineRule="auto"/>
      <w:outlineLvl w:val="3"/>
    </w:pPr>
    <w:rPr>
      <w:rFonts w:ascii="Calibri Light" w:hAnsi="Calibri Light" w:eastAsia="宋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rPr>
  </w:style>
  <w:style w:type="paragraph" w:styleId="7">
    <w:name w:val="index 8"/>
    <w:basedOn w:val="1"/>
    <w:next w:val="1"/>
    <w:qFormat/>
    <w:uiPriority w:val="0"/>
    <w:pPr>
      <w:spacing w:line="276" w:lineRule="auto"/>
      <w:jc w:val="left"/>
    </w:pPr>
    <w:rPr>
      <w:rFonts w:ascii="宋体" w:hAnsi="宋体" w:eastAsia="宋体"/>
      <w:color w:val="FF0000"/>
      <w:szCs w:val="21"/>
    </w:rPr>
  </w:style>
  <w:style w:type="paragraph" w:styleId="8">
    <w:name w:val="Normal Indent"/>
    <w:basedOn w:val="1"/>
    <w:qFormat/>
    <w:uiPriority w:val="0"/>
    <w:pPr>
      <w:ind w:firstLine="200" w:firstLineChars="200"/>
    </w:pPr>
  </w:style>
  <w:style w:type="paragraph" w:styleId="9">
    <w:name w:val="annotation text"/>
    <w:basedOn w:val="1"/>
    <w:link w:val="33"/>
    <w:qFormat/>
    <w:uiPriority w:val="0"/>
    <w:pPr>
      <w:jc w:val="left"/>
    </w:pPr>
  </w:style>
  <w:style w:type="paragraph" w:styleId="10">
    <w:name w:val="Body Text Indent"/>
    <w:basedOn w:val="1"/>
    <w:qFormat/>
    <w:uiPriority w:val="0"/>
    <w:pPr>
      <w:ind w:firstLine="630"/>
    </w:pPr>
    <w:rPr>
      <w:sz w:val="32"/>
      <w:szCs w:val="20"/>
    </w:rPr>
  </w:style>
  <w:style w:type="paragraph" w:styleId="11">
    <w:name w:val="Body Text Indent 2"/>
    <w:basedOn w:val="1"/>
    <w:qFormat/>
    <w:uiPriority w:val="0"/>
    <w:pPr>
      <w:spacing w:after="120" w:line="480" w:lineRule="auto"/>
      <w:ind w:left="420" w:leftChars="200"/>
    </w:pPr>
    <w:rPr>
      <w:kern w:val="0"/>
      <w:sz w:val="20"/>
    </w:rPr>
  </w:style>
  <w:style w:type="paragraph" w:styleId="12">
    <w:name w:val="footer"/>
    <w:basedOn w:val="1"/>
    <w:qFormat/>
    <w:uiPriority w:val="0"/>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15">
    <w:name w:val="table of figures"/>
    <w:basedOn w:val="1"/>
    <w:next w:val="1"/>
    <w:qFormat/>
    <w:uiPriority w:val="0"/>
    <w:pPr>
      <w:ind w:left="200" w:leftChars="200" w:hanging="200" w:hangingChars="200"/>
    </w:pPr>
    <w:rPr>
      <w:rFonts w:ascii="Times New Roman" w:hAnsi="Times New Roman" w:eastAsia="宋体"/>
    </w:rPr>
  </w:style>
  <w:style w:type="paragraph" w:styleId="16">
    <w:name w:val="Normal (Web)"/>
    <w:basedOn w:val="1"/>
    <w:qFormat/>
    <w:uiPriority w:val="0"/>
    <w:pPr>
      <w:widowControl/>
      <w:spacing w:before="100" w:beforeAutospacing="1" w:after="100" w:afterAutospacing="1"/>
      <w:jc w:val="left"/>
    </w:pPr>
    <w:rPr>
      <w:rFonts w:ascii="宋体"/>
      <w:kern w:val="0"/>
      <w:sz w:val="18"/>
      <w:szCs w:val="18"/>
    </w:rPr>
  </w:style>
  <w:style w:type="paragraph" w:styleId="17">
    <w:name w:val="Title"/>
    <w:basedOn w:val="1"/>
    <w:next w:val="1"/>
    <w:qFormat/>
    <w:uiPriority w:val="99"/>
    <w:pPr>
      <w:spacing w:before="240" w:after="60"/>
      <w:jc w:val="center"/>
      <w:outlineLvl w:val="0"/>
    </w:pPr>
    <w:rPr>
      <w:rFonts w:ascii="Cambria" w:hAnsi="Cambria"/>
      <w:b/>
      <w:bCs/>
      <w:sz w:val="32"/>
      <w:szCs w:val="32"/>
    </w:rPr>
  </w:style>
  <w:style w:type="paragraph" w:styleId="18">
    <w:name w:val="annotation subject"/>
    <w:basedOn w:val="9"/>
    <w:next w:val="9"/>
    <w:link w:val="34"/>
    <w:qFormat/>
    <w:uiPriority w:val="0"/>
    <w:rPr>
      <w:b/>
      <w:bCs/>
    </w:rPr>
  </w:style>
  <w:style w:type="paragraph" w:styleId="19">
    <w:name w:val="Body Text First Indent"/>
    <w:basedOn w:val="2"/>
    <w:qFormat/>
    <w:uiPriority w:val="0"/>
    <w:pPr>
      <w:ind w:firstLine="420" w:firstLineChars="100"/>
    </w:pPr>
  </w:style>
  <w:style w:type="paragraph" w:styleId="20">
    <w:name w:val="Body Text First Indent 2"/>
    <w:basedOn w:val="10"/>
    <w:unhideWhenUsed/>
    <w:qFormat/>
    <w:uiPriority w:val="99"/>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style>
  <w:style w:type="character" w:styleId="25">
    <w:name w:val="annotation reference"/>
    <w:basedOn w:val="23"/>
    <w:qFormat/>
    <w:uiPriority w:val="0"/>
    <w:rPr>
      <w:sz w:val="21"/>
      <w:szCs w:val="21"/>
    </w:rPr>
  </w:style>
  <w:style w:type="paragraph" w:customStyle="1" w:styleId="26">
    <w:name w:val="正文首行缩进两字符"/>
    <w:basedOn w:val="1"/>
    <w:qFormat/>
    <w:uiPriority w:val="0"/>
    <w:pPr>
      <w:spacing w:line="360" w:lineRule="auto"/>
      <w:ind w:firstLine="200" w:firstLineChars="200"/>
    </w:pPr>
  </w:style>
  <w:style w:type="paragraph" w:customStyle="1" w:styleId="27">
    <w:name w:val="样式"/>
    <w:qFormat/>
    <w:uiPriority w:val="0"/>
    <w:pPr>
      <w:widowControl w:val="0"/>
      <w:autoSpaceDE w:val="0"/>
      <w:autoSpaceDN w:val="0"/>
      <w:adjustRightInd w:val="0"/>
      <w:spacing w:after="160" w:line="259" w:lineRule="auto"/>
    </w:pPr>
    <w:rPr>
      <w:rFonts w:ascii="宋体" w:hAnsi="宋体" w:eastAsia="等线" w:cs="宋体"/>
      <w:sz w:val="24"/>
      <w:szCs w:val="24"/>
      <w:lang w:val="en-US" w:eastAsia="zh-CN" w:bidi="ar-SA"/>
    </w:rPr>
  </w:style>
  <w:style w:type="paragraph" w:customStyle="1" w:styleId="28">
    <w:name w:val="正文1"/>
    <w:qFormat/>
    <w:uiPriority w:val="0"/>
    <w:pPr>
      <w:widowControl w:val="0"/>
      <w:adjustRightInd w:val="0"/>
      <w:spacing w:after="160" w:line="312" w:lineRule="atLeast"/>
      <w:jc w:val="both"/>
      <w:textAlignment w:val="baseline"/>
    </w:pPr>
    <w:rPr>
      <w:rFonts w:ascii="宋体" w:hAnsi="等线" w:eastAsia="等线" w:cs="Times New Roman"/>
      <w:sz w:val="34"/>
      <w:szCs w:val="22"/>
      <w:lang w:val="en-US" w:eastAsia="zh-CN" w:bidi="ar-SA"/>
    </w:rPr>
  </w:style>
  <w:style w:type="paragraph" w:customStyle="1" w:styleId="29">
    <w:name w:val="列出段落3"/>
    <w:qFormat/>
    <w:uiPriority w:val="0"/>
    <w:pPr>
      <w:widowControl w:val="0"/>
      <w:ind w:firstLine="420" w:firstLineChars="200"/>
      <w:jc w:val="both"/>
    </w:pPr>
    <w:rPr>
      <w:rFonts w:ascii="Times New Roman" w:hAnsi="Times New Roman" w:eastAsia="宋体" w:cs="Times New Roman"/>
      <w:kern w:val="2"/>
      <w:sz w:val="21"/>
      <w:szCs w:val="21"/>
      <w:lang w:val="en-US" w:eastAsia="zh-CN" w:bidi="ar-SA"/>
    </w:rPr>
  </w:style>
  <w:style w:type="paragraph" w:customStyle="1" w:styleId="30">
    <w:name w:val="样式 首行缩进:  2 字符"/>
    <w:basedOn w:val="1"/>
    <w:qFormat/>
    <w:uiPriority w:val="0"/>
    <w:pPr>
      <w:spacing w:line="400" w:lineRule="exact"/>
      <w:ind w:firstLine="200" w:firstLineChars="200"/>
    </w:pPr>
    <w:rPr>
      <w:rFonts w:cs="宋体"/>
      <w:sz w:val="24"/>
    </w:rPr>
  </w:style>
  <w:style w:type="paragraph" w:customStyle="1" w:styleId="31">
    <w:name w:val="标题 5（有编号）（绿盟科技）"/>
    <w:basedOn w:val="1"/>
    <w:next w:val="32"/>
    <w:qFormat/>
    <w:uiPriority w:val="99"/>
    <w:pPr>
      <w:keepNext/>
      <w:keepLines/>
      <w:numPr>
        <w:ilvl w:val="4"/>
        <w:numId w:val="1"/>
      </w:numPr>
      <w:spacing w:before="280" w:after="156" w:line="377" w:lineRule="auto"/>
      <w:outlineLvl w:val="4"/>
    </w:pPr>
    <w:rPr>
      <w:rFonts w:ascii="Arial" w:hAnsi="Arial" w:eastAsia="黑体" w:cs="Arial"/>
      <w:b/>
      <w:bCs/>
    </w:rPr>
  </w:style>
  <w:style w:type="paragraph" w:customStyle="1" w:styleId="32">
    <w:name w:val="正文（绿盟科技）"/>
    <w:qFormat/>
    <w:uiPriority w:val="99"/>
    <w:pPr>
      <w:spacing w:line="300" w:lineRule="auto"/>
    </w:pPr>
    <w:rPr>
      <w:rFonts w:ascii="Arial" w:hAnsi="Arial" w:eastAsia="宋体" w:cs="Arial"/>
      <w:sz w:val="21"/>
      <w:szCs w:val="21"/>
      <w:lang w:val="en-US" w:eastAsia="zh-CN" w:bidi="ar-SA"/>
    </w:rPr>
  </w:style>
  <w:style w:type="character" w:customStyle="1" w:styleId="33">
    <w:name w:val="批注文字 字符"/>
    <w:basedOn w:val="23"/>
    <w:link w:val="9"/>
    <w:qFormat/>
    <w:uiPriority w:val="0"/>
    <w:rPr>
      <w:rFonts w:ascii="等线" w:hAnsi="等线" w:eastAsia="等线" w:cs="Times New Roman"/>
      <w:kern w:val="2"/>
      <w:sz w:val="21"/>
      <w:szCs w:val="24"/>
    </w:rPr>
  </w:style>
  <w:style w:type="character" w:customStyle="1" w:styleId="34">
    <w:name w:val="批注主题 字符"/>
    <w:basedOn w:val="33"/>
    <w:link w:val="18"/>
    <w:qFormat/>
    <w:uiPriority w:val="0"/>
    <w:rPr>
      <w:rFonts w:ascii="等线" w:hAnsi="等线" w:eastAsia="等线" w:cs="Times New Roman"/>
      <w:b/>
      <w:bCs/>
      <w:kern w:val="2"/>
      <w:sz w:val="21"/>
      <w:szCs w:val="24"/>
    </w:rPr>
  </w:style>
  <w:style w:type="character" w:customStyle="1" w:styleId="35">
    <w:name w:val="页码1"/>
    <w:qFormat/>
    <w:uiPriority w:val="0"/>
  </w:style>
  <w:style w:type="table" w:customStyle="1" w:styleId="36">
    <w:name w:val="Table Normal"/>
    <w:unhideWhenUsed/>
    <w:qFormat/>
    <w:uiPriority w:val="2"/>
    <w:pPr>
      <w:widowControl w:val="0"/>
      <w:autoSpaceDE w:val="0"/>
      <w:autoSpaceDN w:val="0"/>
    </w:pPr>
    <w:rPr>
      <w:sz w:val="22"/>
      <w:szCs w:val="22"/>
      <w:lang w:val="en-US" w:eastAsia="en-US" w:bidi="ar-SA"/>
    </w:rPr>
    <w:tblPr>
      <w:tblCellMar>
        <w:top w:w="0" w:type="dxa"/>
        <w:left w:w="0" w:type="dxa"/>
        <w:bottom w:w="0" w:type="dxa"/>
        <w:right w:w="0" w:type="dxa"/>
      </w:tblCellMar>
    </w:tblPr>
  </w:style>
  <w:style w:type="paragraph" w:customStyle="1" w:styleId="37">
    <w:name w:val="论文正文字体"/>
    <w:basedOn w:val="1"/>
    <w:qFormat/>
    <w:uiPriority w:val="0"/>
    <w:pPr>
      <w:spacing w:line="380" w:lineRule="exact"/>
      <w:ind w:firstLine="480" w:firstLineChars="200"/>
      <w:jc w:val="left"/>
    </w:pPr>
    <w:rPr>
      <w:rFonts w:ascii="宋体" w:hAnsi="宋体" w:eastAsia="宋体" w:cs="Times New Roman"/>
      <w:kern w:val="0"/>
      <w:sz w:val="24"/>
      <w:szCs w:val="20"/>
    </w:rPr>
  </w:style>
  <w:style w:type="character" w:customStyle="1" w:styleId="38">
    <w:name w:val="YJ商务1 Char"/>
    <w:link w:val="39"/>
    <w:qFormat/>
    <w:uiPriority w:val="0"/>
    <w:rPr>
      <w:rFonts w:ascii="黑体" w:hAnsi="黑体" w:eastAsia="黑体" w:cs="Times New Roman"/>
      <w:b/>
      <w:kern w:val="0"/>
      <w:sz w:val="36"/>
      <w:szCs w:val="36"/>
    </w:rPr>
  </w:style>
  <w:style w:type="paragraph" w:customStyle="1" w:styleId="39">
    <w:name w:val="YJ商务1"/>
    <w:basedOn w:val="1"/>
    <w:link w:val="38"/>
    <w:qFormat/>
    <w:uiPriority w:val="0"/>
    <w:pPr>
      <w:numPr>
        <w:ilvl w:val="0"/>
        <w:numId w:val="2"/>
      </w:numPr>
      <w:adjustRightInd w:val="0"/>
      <w:snapToGrid w:val="0"/>
      <w:spacing w:line="360" w:lineRule="auto"/>
      <w:ind w:firstLine="0"/>
      <w:jc w:val="left"/>
      <w:outlineLvl w:val="0"/>
    </w:pPr>
    <w:rPr>
      <w:rFonts w:ascii="黑体" w:hAnsi="黑体" w:eastAsia="黑体" w:cs="Times New Roman"/>
      <w:b/>
      <w:kern w:val="0"/>
      <w:sz w:val="36"/>
      <w:szCs w:val="36"/>
    </w:rPr>
  </w:style>
  <w:style w:type="paragraph" w:customStyle="1" w:styleId="40">
    <w:name w:val="5级标题-案"/>
    <w:basedOn w:val="1"/>
    <w:qFormat/>
    <w:uiPriority w:val="0"/>
    <w:pPr>
      <w:autoSpaceDE w:val="0"/>
      <w:autoSpaceDN w:val="0"/>
      <w:adjustRightInd w:val="0"/>
      <w:spacing w:line="360" w:lineRule="auto"/>
      <w:ind w:left="1008"/>
      <w:jc w:val="left"/>
      <w:outlineLvl w:val="4"/>
    </w:pPr>
    <w:rPr>
      <w:rFonts w:hint="eastAsia" w:ascii="宋体" w:hAnsi="宋体" w:eastAsia="宋体" w:cs="Times New Roman"/>
      <w:b/>
      <w:snapToGrid w:val="0"/>
      <w:kern w:val="0"/>
      <w:szCs w:val="24"/>
    </w:rPr>
  </w:style>
  <w:style w:type="paragraph" w:customStyle="1" w:styleId="41">
    <w:name w:val="Cover4"/>
    <w:basedOn w:val="1"/>
    <w:qFormat/>
    <w:uiPriority w:val="0"/>
    <w:pPr>
      <w:widowControl/>
      <w:adjustRightInd w:val="0"/>
      <w:snapToGrid w:val="0"/>
      <w:spacing w:before="160" w:after="160" w:line="240" w:lineRule="atLeast"/>
      <w:ind w:firstLine="200" w:firstLineChars="200"/>
      <w:jc w:val="left"/>
    </w:pPr>
    <w:rPr>
      <w:rFonts w:ascii="Arial" w:hAnsi="Arial" w:eastAsia="Arial" w:cs="Times New Roman"/>
      <w:b/>
      <w:bCs/>
      <w:sz w:val="24"/>
      <w:szCs w:val="24"/>
    </w:rPr>
  </w:style>
  <w:style w:type="paragraph" w:styleId="42">
    <w:name w:val="List Paragraph"/>
    <w:basedOn w:val="1"/>
    <w:qFormat/>
    <w:uiPriority w:val="34"/>
    <w:pPr>
      <w:widowControl w:val="0"/>
      <w:spacing w:line="240" w:lineRule="auto"/>
      <w:ind w:firstLine="420" w:firstLineChars="200"/>
    </w:pPr>
    <w:rPr>
      <w:rFonts w:cstheme="minorBidi"/>
      <w:kern w:val="2"/>
      <w:sz w:val="21"/>
      <w:szCs w:val="24"/>
    </w:rPr>
  </w:style>
  <w:style w:type="paragraph" w:customStyle="1" w:styleId="43">
    <w:name w:val="*正文"/>
    <w:basedOn w:val="1"/>
    <w:qFormat/>
    <w:uiPriority w:val="0"/>
    <w:pPr>
      <w:widowControl/>
      <w:spacing w:beforeLines="50" w:afterLines="50" w:line="300" w:lineRule="auto"/>
      <w:ind w:firstLine="200" w:firstLineChars="200"/>
      <w:jc w:val="left"/>
    </w:pPr>
    <w:rPr>
      <w:rFonts w:hAnsi="宋体" w:eastAsia="微软雅黑"/>
      <w:sz w:val="24"/>
      <w:szCs w:val="24"/>
    </w:rPr>
  </w:style>
  <w:style w:type="paragraph" w:customStyle="1" w:styleId="44">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41604</Words>
  <Characters>43664</Characters>
  <Lines>293</Lines>
  <Paragraphs>82</Paragraphs>
  <TotalTime>11</TotalTime>
  <ScaleCrop>false</ScaleCrop>
  <LinksUpToDate>false</LinksUpToDate>
  <CharactersWithSpaces>46788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2021-06-07T02:23:00Z</dcterms:created>
  <dc:creator>JX</dc:creator>
  <cp:lastModifiedBy>SHUANG</cp:lastModifiedBy>
  <dcterms:modified xsi:type="dcterms:W3CDTF">2022-04-28T01:18:50Z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AF801E24F67343608E10FCED8D11008B</vt:lpwstr>
  </property>
</Properties>
</file>