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 w:beforeLines="10" w:after="31" w:afterLines="10" w:line="360" w:lineRule="auto"/>
        <w:ind w:firstLine="321" w:firstLineChars="100"/>
        <w:rPr>
          <w:rFonts w:hAnsi="宋体" w:cs="宋体"/>
          <w:b/>
          <w:bCs/>
          <w:color w:val="auto"/>
          <w:sz w:val="32"/>
          <w:szCs w:val="21"/>
          <w:highlight w:val="none"/>
        </w:rPr>
      </w:pPr>
      <w:bookmarkStart w:id="0" w:name="_Toc578"/>
      <w:bookmarkStart w:id="1" w:name="_Toc5725"/>
      <w:r>
        <w:rPr>
          <w:rFonts w:hint="eastAsia" w:hAnsi="宋体" w:cs="宋体"/>
          <w:b/>
          <w:bCs/>
          <w:color w:val="auto"/>
          <w:sz w:val="32"/>
          <w:szCs w:val="21"/>
          <w:highlight w:val="none"/>
        </w:rPr>
        <w:t>项目编号：</w:t>
      </w:r>
      <w:r>
        <w:rPr>
          <w:rFonts w:hint="eastAsia" w:hAnsi="宋体" w:cs="宋体"/>
          <w:color w:val="auto"/>
          <w:sz w:val="21"/>
          <w:szCs w:val="21"/>
          <w:highlight w:val="none"/>
        </w:rPr>
        <w:t>（以政府采购云平台生成的为准）</w:t>
      </w:r>
    </w:p>
    <w:p>
      <w:pPr>
        <w:spacing w:before="31" w:beforeLines="10" w:after="31" w:afterLines="10" w:line="360" w:lineRule="auto"/>
        <w:ind w:left="1608" w:leftChars="95" w:hanging="1285" w:hangingChars="400"/>
        <w:rPr>
          <w:rFonts w:hAnsi="宋体" w:cs="宋体"/>
          <w:b/>
          <w:bCs/>
          <w:color w:val="auto"/>
          <w:sz w:val="32"/>
          <w:szCs w:val="21"/>
          <w:highlight w:val="none"/>
        </w:rPr>
      </w:pPr>
      <w:r>
        <w:rPr>
          <w:rFonts w:hint="eastAsia" w:hAnsi="宋体" w:cs="宋体"/>
          <w:b/>
          <w:bCs/>
          <w:color w:val="auto"/>
          <w:sz w:val="32"/>
          <w:szCs w:val="21"/>
          <w:highlight w:val="none"/>
        </w:rPr>
        <w:t>项目名称：幼儿园消防设施更换及维修项目</w:t>
      </w:r>
    </w:p>
    <w:p>
      <w:pPr>
        <w:pStyle w:val="24"/>
        <w:rPr>
          <w:rFonts w:ascii="宋体" w:hAnsi="宋体" w:cs="宋体"/>
          <w:b/>
          <w:bCs/>
          <w:color w:val="auto"/>
          <w:sz w:val="52"/>
          <w:szCs w:val="52"/>
          <w:highlight w:val="none"/>
        </w:rPr>
      </w:pPr>
    </w:p>
    <w:p>
      <w:pPr>
        <w:rPr>
          <w:rFonts w:hAnsi="宋体" w:cs="宋体"/>
          <w:color w:val="auto"/>
          <w:highlight w:val="none"/>
        </w:rPr>
      </w:pPr>
    </w:p>
    <w:p>
      <w:pPr>
        <w:spacing w:line="360" w:lineRule="auto"/>
        <w:jc w:val="center"/>
        <w:rPr>
          <w:rFonts w:hAnsi="宋体" w:cs="宋体"/>
          <w:b/>
          <w:bCs/>
          <w:color w:val="auto"/>
          <w:sz w:val="52"/>
          <w:szCs w:val="52"/>
          <w:highlight w:val="none"/>
        </w:rPr>
      </w:pPr>
    </w:p>
    <w:p>
      <w:pPr>
        <w:jc w:val="center"/>
        <w:rPr>
          <w:rFonts w:hAnsi="宋体" w:cs="宋体"/>
          <w:color w:val="auto"/>
          <w:highlight w:val="none"/>
        </w:rPr>
      </w:pPr>
      <w:r>
        <w:rPr>
          <w:rFonts w:hint="eastAsia" w:hAnsi="宋体" w:cs="宋体"/>
          <w:b/>
          <w:color w:val="auto"/>
          <w:sz w:val="96"/>
          <w:szCs w:val="21"/>
          <w:highlight w:val="none"/>
        </w:rPr>
        <w:t>招 标 文 件</w:t>
      </w:r>
    </w:p>
    <w:p>
      <w:pPr>
        <w:rPr>
          <w:rFonts w:hAnsi="宋体" w:cs="宋体"/>
          <w:b/>
          <w:color w:val="auto"/>
          <w:sz w:val="52"/>
          <w:highlight w:val="none"/>
        </w:rPr>
      </w:pPr>
    </w:p>
    <w:p>
      <w:pPr>
        <w:spacing w:before="31" w:beforeLines="10" w:after="31" w:afterLines="10"/>
        <w:jc w:val="center"/>
        <w:rPr>
          <w:rFonts w:hAnsi="宋体" w:cs="宋体"/>
          <w:b/>
          <w:bCs/>
          <w:color w:val="auto"/>
          <w:sz w:val="36"/>
          <w:highlight w:val="none"/>
        </w:rPr>
      </w:pPr>
    </w:p>
    <w:p>
      <w:pPr>
        <w:pStyle w:val="24"/>
        <w:rPr>
          <w:rFonts w:ascii="宋体" w:hAnsi="宋体" w:cs="宋体"/>
          <w:color w:val="auto"/>
          <w:highlight w:val="none"/>
        </w:rPr>
      </w:pPr>
    </w:p>
    <w:p>
      <w:pPr>
        <w:rPr>
          <w:rFonts w:hAnsi="宋体" w:cs="宋体"/>
          <w:color w:val="auto"/>
          <w:highlight w:val="none"/>
        </w:rPr>
      </w:pPr>
    </w:p>
    <w:p>
      <w:pPr>
        <w:pStyle w:val="24"/>
        <w:rPr>
          <w:rFonts w:ascii="宋体" w:hAnsi="宋体" w:cs="宋体"/>
          <w:color w:val="auto"/>
          <w:highlight w:val="none"/>
        </w:rPr>
      </w:pPr>
    </w:p>
    <w:p>
      <w:pPr>
        <w:rPr>
          <w:rFonts w:hAnsi="宋体" w:cs="宋体"/>
          <w:color w:val="auto"/>
          <w:highlight w:val="none"/>
        </w:rPr>
      </w:pPr>
    </w:p>
    <w:p>
      <w:pPr>
        <w:pStyle w:val="14"/>
        <w:rPr>
          <w:rFonts w:ascii="宋体" w:hAnsi="宋体" w:cs="宋体"/>
          <w:color w:val="auto"/>
          <w:highlight w:val="none"/>
        </w:rPr>
      </w:pPr>
    </w:p>
    <w:p>
      <w:pPr>
        <w:pStyle w:val="14"/>
        <w:rPr>
          <w:rFonts w:ascii="宋体" w:hAnsi="宋体" w:cs="宋体"/>
          <w:color w:val="auto"/>
          <w:highlight w:val="none"/>
        </w:rPr>
      </w:pPr>
    </w:p>
    <w:p>
      <w:pPr>
        <w:pStyle w:val="14"/>
        <w:rPr>
          <w:rFonts w:ascii="宋体" w:hAnsi="宋体" w:cs="宋体"/>
          <w:color w:val="auto"/>
          <w:highlight w:val="none"/>
        </w:rPr>
      </w:pPr>
    </w:p>
    <w:p>
      <w:pPr>
        <w:spacing w:line="360" w:lineRule="auto"/>
        <w:jc w:val="center"/>
        <w:rPr>
          <w:rFonts w:hAnsi="宋体" w:cs="宋体"/>
          <w:b/>
          <w:color w:val="auto"/>
          <w:sz w:val="32"/>
          <w:szCs w:val="32"/>
          <w:highlight w:val="none"/>
        </w:rPr>
      </w:pPr>
      <w:r>
        <w:rPr>
          <w:rFonts w:hint="eastAsia" w:hAnsi="宋体" w:cs="宋体"/>
          <w:b/>
          <w:color w:val="auto"/>
          <w:sz w:val="32"/>
          <w:szCs w:val="32"/>
          <w:highlight w:val="none"/>
        </w:rPr>
        <w:t>中国·四川·成都</w:t>
      </w:r>
    </w:p>
    <w:p>
      <w:pPr>
        <w:spacing w:line="360" w:lineRule="auto"/>
        <w:jc w:val="center"/>
        <w:rPr>
          <w:rFonts w:hAnsi="宋体" w:cs="宋体"/>
          <w:b/>
          <w:color w:val="auto"/>
          <w:sz w:val="32"/>
          <w:szCs w:val="32"/>
          <w:highlight w:val="none"/>
        </w:rPr>
      </w:pPr>
      <w:r>
        <w:rPr>
          <w:rFonts w:hint="eastAsia" w:hAnsi="宋体" w:cs="宋体"/>
          <w:b/>
          <w:color w:val="auto"/>
          <w:sz w:val="32"/>
          <w:szCs w:val="32"/>
          <w:highlight w:val="none"/>
        </w:rPr>
        <w:t>崇州市教育事业保障服务中心</w:t>
      </w:r>
    </w:p>
    <w:p>
      <w:pPr>
        <w:spacing w:line="360" w:lineRule="auto"/>
        <w:jc w:val="center"/>
        <w:rPr>
          <w:rFonts w:hAnsi="宋体" w:cs="宋体"/>
          <w:b/>
          <w:color w:val="auto"/>
          <w:sz w:val="32"/>
          <w:szCs w:val="32"/>
          <w:highlight w:val="none"/>
        </w:rPr>
      </w:pPr>
      <w:r>
        <w:rPr>
          <w:rFonts w:hint="eastAsia" w:hAnsi="宋体" w:cs="宋体"/>
          <w:b/>
          <w:color w:val="auto"/>
          <w:sz w:val="32"/>
          <w:szCs w:val="32"/>
          <w:highlight w:val="none"/>
        </w:rPr>
        <w:t>四川岳华工程咨询有限公司</w:t>
      </w:r>
    </w:p>
    <w:p>
      <w:pPr>
        <w:spacing w:line="360" w:lineRule="auto"/>
        <w:jc w:val="center"/>
        <w:rPr>
          <w:rFonts w:hAnsi="宋体" w:cs="宋体"/>
          <w:b/>
          <w:bCs/>
          <w:color w:val="auto"/>
          <w:sz w:val="32"/>
          <w:szCs w:val="32"/>
          <w:highlight w:val="none"/>
          <w:lang w:val="zh-CN"/>
        </w:rPr>
      </w:pPr>
      <w:r>
        <w:rPr>
          <w:rFonts w:hint="eastAsia" w:hAnsi="宋体" w:cs="宋体"/>
          <w:b/>
          <w:color w:val="auto"/>
          <w:sz w:val="30"/>
          <w:szCs w:val="30"/>
          <w:highlight w:val="none"/>
        </w:rPr>
        <w:t>2021</w:t>
      </w:r>
      <w:r>
        <w:rPr>
          <w:rFonts w:hint="eastAsia" w:hAnsi="宋体" w:cs="宋体"/>
          <w:b/>
          <w:bCs/>
          <w:color w:val="auto"/>
          <w:sz w:val="32"/>
          <w:szCs w:val="32"/>
          <w:highlight w:val="none"/>
          <w:lang w:val="zh-CN"/>
        </w:rPr>
        <w:t>年</w:t>
      </w:r>
      <w:r>
        <w:rPr>
          <w:rFonts w:hint="eastAsia" w:hAnsi="宋体" w:cs="宋体"/>
          <w:b/>
          <w:bCs/>
          <w:color w:val="auto"/>
          <w:sz w:val="32"/>
          <w:szCs w:val="32"/>
          <w:highlight w:val="none"/>
          <w:lang w:val="en-US" w:eastAsia="zh-CN"/>
        </w:rPr>
        <w:t>10</w:t>
      </w:r>
      <w:r>
        <w:rPr>
          <w:rFonts w:hint="eastAsia" w:hAnsi="宋体" w:cs="宋体"/>
          <w:b/>
          <w:bCs/>
          <w:color w:val="auto"/>
          <w:sz w:val="32"/>
          <w:szCs w:val="32"/>
          <w:highlight w:val="none"/>
          <w:lang w:val="zh-CN"/>
        </w:rPr>
        <w:t>月</w:t>
      </w:r>
    </w:p>
    <w:p>
      <w:pPr>
        <w:spacing w:line="360" w:lineRule="auto"/>
        <w:ind w:firstLine="1285" w:firstLineChars="400"/>
        <w:rPr>
          <w:rFonts w:hAnsi="宋体" w:cs="宋体"/>
          <w:b/>
          <w:bCs/>
          <w:color w:val="auto"/>
          <w:sz w:val="32"/>
          <w:szCs w:val="32"/>
          <w:highlight w:val="none"/>
        </w:rPr>
      </w:pPr>
    </w:p>
    <w:p>
      <w:pPr>
        <w:pStyle w:val="24"/>
        <w:rPr>
          <w:rFonts w:ascii="宋体" w:hAnsi="宋体" w:cs="宋体"/>
          <w:b/>
          <w:color w:val="auto"/>
          <w:sz w:val="32"/>
          <w:szCs w:val="32"/>
          <w:highlight w:val="none"/>
        </w:rPr>
        <w:sectPr>
          <w:headerReference r:id="rId3" w:type="default"/>
          <w:pgSz w:w="11906" w:h="16838"/>
          <w:pgMar w:top="1191" w:right="1134" w:bottom="1134" w:left="1418" w:header="851" w:footer="992" w:gutter="0"/>
          <w:pgNumType w:start="1"/>
          <w:cols w:space="720" w:num="1"/>
          <w:docGrid w:type="lines" w:linePitch="314" w:charSpace="0"/>
        </w:sectPr>
      </w:pPr>
    </w:p>
    <w:bookmarkEnd w:id="0"/>
    <w:bookmarkEnd w:id="1"/>
    <w:sdt>
      <w:sdtPr>
        <w:rPr>
          <w:rFonts w:hint="eastAsia" w:hAnsi="宋体" w:cs="宋体"/>
          <w:b/>
          <w:bCs/>
          <w:color w:val="auto"/>
          <w:sz w:val="32"/>
          <w:szCs w:val="32"/>
          <w:highlight w:val="none"/>
        </w:rPr>
        <w:id w:val="147470088"/>
        <w15:color w:val="DBDBDB"/>
        <w:docPartObj>
          <w:docPartGallery w:val="Table of Contents"/>
          <w:docPartUnique/>
        </w:docPartObj>
      </w:sdtPr>
      <w:sdtEndPr>
        <w:rPr>
          <w:rFonts w:hint="eastAsia" w:hAnsi="宋体" w:cs="宋体"/>
          <w:b/>
          <w:bCs/>
          <w:color w:val="auto"/>
          <w:sz w:val="24"/>
          <w:szCs w:val="24"/>
          <w:highlight w:val="none"/>
        </w:rPr>
      </w:sdtEndPr>
      <w:sdtContent>
        <w:p>
          <w:pPr>
            <w:spacing w:line="480" w:lineRule="auto"/>
            <w:jc w:val="center"/>
            <w:rPr>
              <w:rFonts w:hAnsi="宋体" w:cs="宋体"/>
              <w:b/>
              <w:bCs/>
              <w:color w:val="auto"/>
              <w:sz w:val="32"/>
              <w:szCs w:val="32"/>
              <w:highlight w:val="none"/>
            </w:rPr>
          </w:pPr>
          <w:r>
            <w:rPr>
              <w:rFonts w:hint="eastAsia" w:hAnsi="宋体" w:cs="宋体"/>
              <w:b/>
              <w:bCs/>
              <w:color w:val="auto"/>
              <w:sz w:val="32"/>
              <w:szCs w:val="32"/>
              <w:highlight w:val="none"/>
            </w:rPr>
            <w:t>目录</w:t>
          </w:r>
        </w:p>
        <w:p>
          <w:pPr>
            <w:pStyle w:val="24"/>
            <w:tabs>
              <w:tab w:val="right" w:leader="dot" w:pos="8788"/>
            </w:tabs>
            <w:spacing w:line="480" w:lineRule="auto"/>
            <w:rPr>
              <w:rFonts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TOC \o "1-1" \h \u </w:instrText>
          </w:r>
          <w:r>
            <w:rPr>
              <w:rFonts w:hint="eastAsia" w:ascii="宋体" w:hAnsi="宋体" w:cs="宋体"/>
              <w:color w:val="auto"/>
              <w:sz w:val="24"/>
              <w:szCs w:val="24"/>
              <w:highlight w:val="none"/>
            </w:rPr>
            <w:fldChar w:fldCharType="separate"/>
          </w:r>
          <w:r>
            <w:rPr>
              <w:color w:val="auto"/>
              <w:highlight w:val="none"/>
            </w:rPr>
            <w:fldChar w:fldCharType="begin"/>
          </w:r>
          <w:r>
            <w:rPr>
              <w:color w:val="auto"/>
              <w:highlight w:val="none"/>
            </w:rPr>
            <w:instrText xml:space="preserve"> HYPERLINK \l "_Toc27440" </w:instrText>
          </w:r>
          <w:r>
            <w:rPr>
              <w:color w:val="auto"/>
              <w:highlight w:val="none"/>
            </w:rPr>
            <w:fldChar w:fldCharType="separate"/>
          </w:r>
          <w:r>
            <w:rPr>
              <w:rFonts w:hint="eastAsia" w:ascii="宋体" w:hAnsi="宋体" w:cs="宋体"/>
              <w:color w:val="auto"/>
              <w:sz w:val="24"/>
              <w:szCs w:val="24"/>
              <w:highlight w:val="none"/>
            </w:rPr>
            <w:t>第一章 投标邀请</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_Toc27440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4"/>
            <w:tabs>
              <w:tab w:val="right" w:leader="dot" w:pos="8788"/>
            </w:tabs>
            <w:spacing w:line="48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"_Toc18419" </w:instrText>
          </w:r>
          <w:r>
            <w:rPr>
              <w:color w:val="auto"/>
              <w:highlight w:val="none"/>
            </w:rPr>
            <w:fldChar w:fldCharType="separate"/>
          </w:r>
          <w:r>
            <w:rPr>
              <w:rFonts w:hint="eastAsia" w:ascii="宋体" w:hAnsi="宋体" w:cs="宋体"/>
              <w:color w:val="auto"/>
              <w:sz w:val="24"/>
              <w:szCs w:val="24"/>
              <w:highlight w:val="none"/>
            </w:rPr>
            <w:t>第二章 投标人须知</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_Toc18419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5</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4"/>
            <w:tabs>
              <w:tab w:val="right" w:leader="dot" w:pos="8788"/>
            </w:tabs>
            <w:spacing w:line="48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"_Toc4196" </w:instrText>
          </w:r>
          <w:r>
            <w:rPr>
              <w:color w:val="auto"/>
              <w:highlight w:val="none"/>
            </w:rPr>
            <w:fldChar w:fldCharType="separate"/>
          </w:r>
          <w:r>
            <w:rPr>
              <w:rFonts w:hint="eastAsia" w:ascii="宋体" w:hAnsi="宋体" w:cs="宋体"/>
              <w:color w:val="auto"/>
              <w:sz w:val="24"/>
              <w:szCs w:val="24"/>
              <w:highlight w:val="none"/>
            </w:rPr>
            <w:t>第三章 投标文件格式</w:t>
          </w:r>
          <w:r>
            <w:rPr>
              <w:rFonts w:hint="eastAsia" w:ascii="宋体" w:hAnsi="宋体" w:cs="宋体"/>
              <w:color w:val="auto"/>
              <w:sz w:val="24"/>
              <w:szCs w:val="24"/>
              <w:highlight w:val="none"/>
            </w:rPr>
            <w:tab/>
          </w:r>
          <w:r>
            <w:rPr>
              <w:rFonts w:hint="eastAsia" w:ascii="宋体" w:hAnsi="宋体" w:cs="宋体"/>
              <w:color w:val="auto"/>
              <w:sz w:val="24"/>
              <w:szCs w:val="24"/>
              <w:highlight w:val="none"/>
            </w:rPr>
            <w:t>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2</w:t>
          </w:r>
        </w:p>
        <w:p>
          <w:pPr>
            <w:pStyle w:val="24"/>
            <w:tabs>
              <w:tab w:val="right" w:leader="dot" w:pos="8788"/>
            </w:tabs>
            <w:spacing w:line="48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"_Toc28177" </w:instrText>
          </w:r>
          <w:r>
            <w:rPr>
              <w:color w:val="auto"/>
              <w:highlight w:val="none"/>
            </w:rPr>
            <w:fldChar w:fldCharType="separate"/>
          </w:r>
          <w:r>
            <w:rPr>
              <w:rFonts w:hint="eastAsia" w:ascii="宋体" w:hAnsi="宋体" w:cs="宋体"/>
              <w:color w:val="auto"/>
              <w:sz w:val="24"/>
              <w:szCs w:val="24"/>
              <w:highlight w:val="none"/>
            </w:rPr>
            <w:t>第四章 投标人</w:t>
          </w:r>
          <w:r>
            <w:rPr>
              <w:rFonts w:hint="eastAsia" w:ascii="宋体" w:hAnsi="宋体" w:cs="宋体"/>
              <w:color w:val="auto"/>
              <w:sz w:val="24"/>
              <w:szCs w:val="24"/>
              <w:highlight w:val="none"/>
              <w:lang w:val="zh-CN"/>
            </w:rPr>
            <w:t>和投标产品</w:t>
          </w:r>
          <w:r>
            <w:rPr>
              <w:rFonts w:hint="eastAsia" w:ascii="宋体" w:hAnsi="宋体" w:cs="宋体"/>
              <w:color w:val="auto"/>
              <w:sz w:val="24"/>
              <w:szCs w:val="24"/>
              <w:highlight w:val="none"/>
            </w:rPr>
            <w:t>的资格、资质性及其他类似效力要求</w:t>
          </w:r>
          <w:r>
            <w:rPr>
              <w:rFonts w:hint="eastAsia" w:ascii="宋体" w:hAnsi="宋体" w:cs="宋体"/>
              <w:color w:val="auto"/>
              <w:sz w:val="24"/>
              <w:szCs w:val="24"/>
              <w:highlight w:val="none"/>
            </w:rPr>
            <w:tab/>
          </w:r>
          <w:r>
            <w:rPr>
              <w:rFonts w:hint="eastAsia" w:ascii="宋体" w:hAnsi="宋体" w:cs="宋体"/>
              <w:color w:val="auto"/>
              <w:sz w:val="24"/>
              <w:szCs w:val="24"/>
              <w:highlight w:val="none"/>
            </w:rPr>
            <w:t>4</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5</w:t>
          </w:r>
        </w:p>
        <w:p>
          <w:pPr>
            <w:pStyle w:val="24"/>
            <w:tabs>
              <w:tab w:val="right" w:leader="dot" w:pos="8788"/>
            </w:tabs>
            <w:spacing w:line="48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"_Toc30333" </w:instrText>
          </w:r>
          <w:r>
            <w:rPr>
              <w:color w:val="auto"/>
              <w:highlight w:val="none"/>
            </w:rPr>
            <w:fldChar w:fldCharType="separate"/>
          </w:r>
          <w:r>
            <w:rPr>
              <w:rFonts w:hint="eastAsia" w:ascii="宋体" w:hAnsi="宋体" w:cs="宋体"/>
              <w:color w:val="auto"/>
              <w:sz w:val="24"/>
              <w:szCs w:val="24"/>
              <w:highlight w:val="none"/>
            </w:rPr>
            <w:t>第五章 资格性审查</w:t>
          </w:r>
          <w:r>
            <w:rPr>
              <w:rFonts w:hint="eastAsia" w:ascii="宋体" w:hAnsi="宋体" w:cs="宋体"/>
              <w:color w:val="auto"/>
              <w:sz w:val="24"/>
              <w:szCs w:val="24"/>
              <w:highlight w:val="none"/>
            </w:rPr>
            <w:tab/>
          </w:r>
          <w:r>
            <w:rPr>
              <w:rFonts w:hint="eastAsia" w:ascii="宋体" w:hAnsi="宋体" w:cs="宋体"/>
              <w:color w:val="auto"/>
              <w:sz w:val="24"/>
              <w:szCs w:val="24"/>
              <w:highlight w:val="none"/>
            </w:rPr>
            <w:t>47</w:t>
          </w:r>
          <w:r>
            <w:rPr>
              <w:rFonts w:hint="eastAsia" w:ascii="宋体" w:hAnsi="宋体" w:cs="宋体"/>
              <w:color w:val="auto"/>
              <w:sz w:val="24"/>
              <w:szCs w:val="24"/>
              <w:highlight w:val="none"/>
            </w:rPr>
            <w:fldChar w:fldCharType="end"/>
          </w:r>
        </w:p>
        <w:p>
          <w:pPr>
            <w:pStyle w:val="24"/>
            <w:tabs>
              <w:tab w:val="right" w:leader="dot" w:pos="8788"/>
            </w:tabs>
            <w:spacing w:line="48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"_Toc25998" </w:instrText>
          </w:r>
          <w:r>
            <w:rPr>
              <w:color w:val="auto"/>
              <w:highlight w:val="none"/>
            </w:rPr>
            <w:fldChar w:fldCharType="separate"/>
          </w:r>
          <w:r>
            <w:rPr>
              <w:rFonts w:hint="eastAsia" w:ascii="宋体" w:hAnsi="宋体" w:cs="宋体"/>
              <w:color w:val="auto"/>
              <w:sz w:val="24"/>
              <w:szCs w:val="24"/>
              <w:highlight w:val="none"/>
            </w:rPr>
            <w:t>第六章 招标项目技术、服务及其他要求</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_Toc25998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50</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4"/>
            <w:tabs>
              <w:tab w:val="right" w:leader="dot" w:pos="8788"/>
            </w:tabs>
            <w:spacing w:line="480" w:lineRule="auto"/>
            <w:rPr>
              <w:rFonts w:hint="eastAsia" w:ascii="宋体" w:hAnsi="宋体" w:eastAsia="宋体" w:cs="宋体"/>
              <w:color w:val="auto"/>
              <w:sz w:val="24"/>
              <w:szCs w:val="24"/>
              <w:highlight w:val="none"/>
              <w:lang w:eastAsia="zh-CN"/>
            </w:rPr>
          </w:pPr>
          <w:r>
            <w:rPr>
              <w:color w:val="auto"/>
              <w:highlight w:val="none"/>
            </w:rPr>
            <w:fldChar w:fldCharType="begin"/>
          </w:r>
          <w:r>
            <w:rPr>
              <w:color w:val="auto"/>
              <w:highlight w:val="none"/>
            </w:rPr>
            <w:instrText xml:space="preserve"> HYPERLINK \l "_Toc28026" </w:instrText>
          </w:r>
          <w:r>
            <w:rPr>
              <w:color w:val="auto"/>
              <w:highlight w:val="none"/>
            </w:rPr>
            <w:fldChar w:fldCharType="separate"/>
          </w:r>
          <w:r>
            <w:rPr>
              <w:rFonts w:hint="eastAsia" w:ascii="宋体" w:hAnsi="宋体" w:cs="宋体"/>
              <w:color w:val="auto"/>
              <w:sz w:val="24"/>
              <w:szCs w:val="24"/>
              <w:highlight w:val="none"/>
            </w:rPr>
            <w:t>第七章 评标办法</w:t>
          </w:r>
          <w:r>
            <w:rPr>
              <w:rFonts w:hint="eastAsia" w:ascii="宋体" w:hAnsi="宋体" w:cs="宋体"/>
              <w:color w:val="auto"/>
              <w:sz w:val="24"/>
              <w:szCs w:val="24"/>
              <w:highlight w:val="none"/>
            </w:rPr>
            <w:tab/>
          </w:r>
          <w:r>
            <w:rPr>
              <w:rFonts w:hint="eastAsia" w:ascii="宋体" w:hAnsi="宋体" w:cs="宋体"/>
              <w:color w:val="auto"/>
              <w:sz w:val="24"/>
              <w:szCs w:val="24"/>
              <w:highlight w:val="none"/>
            </w:rPr>
            <w:t>5</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9</w:t>
          </w:r>
        </w:p>
        <w:p>
          <w:pPr>
            <w:pStyle w:val="24"/>
            <w:tabs>
              <w:tab w:val="right" w:leader="dot" w:pos="8788"/>
            </w:tabs>
            <w:spacing w:line="48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"_Toc19504" </w:instrText>
          </w:r>
          <w:r>
            <w:rPr>
              <w:color w:val="auto"/>
              <w:highlight w:val="none"/>
            </w:rPr>
            <w:fldChar w:fldCharType="separate"/>
          </w:r>
          <w:r>
            <w:rPr>
              <w:rFonts w:hint="eastAsia" w:ascii="宋体" w:hAnsi="宋体" w:cs="宋体"/>
              <w:color w:val="auto"/>
              <w:sz w:val="24"/>
              <w:szCs w:val="24"/>
              <w:highlight w:val="none"/>
            </w:rPr>
            <w:t>第八章 政府采购合同</w:t>
          </w:r>
          <w:r>
            <w:rPr>
              <w:rFonts w:hint="eastAsia" w:ascii="宋体" w:hAnsi="宋体" w:cs="宋体"/>
              <w:color w:val="auto"/>
              <w:sz w:val="24"/>
              <w:szCs w:val="24"/>
              <w:highlight w:val="none"/>
            </w:rPr>
            <w:tab/>
          </w:r>
          <w:r>
            <w:rPr>
              <w:rFonts w:hint="eastAsia" w:ascii="宋体" w:hAnsi="宋体" w:cs="宋体"/>
              <w:color w:val="auto"/>
              <w:sz w:val="24"/>
              <w:szCs w:val="24"/>
              <w:highlight w:val="none"/>
            </w:rPr>
            <w:t>71</w:t>
          </w:r>
          <w:r>
            <w:rPr>
              <w:rFonts w:hint="eastAsia" w:ascii="宋体" w:hAnsi="宋体" w:cs="宋体"/>
              <w:color w:val="auto"/>
              <w:sz w:val="24"/>
              <w:szCs w:val="24"/>
              <w:highlight w:val="none"/>
            </w:rPr>
            <w:fldChar w:fldCharType="end"/>
          </w:r>
        </w:p>
        <w:p>
          <w:pPr>
            <w:spacing w:line="480" w:lineRule="auto"/>
            <w:jc w:val="distribute"/>
            <w:rPr>
              <w:rFonts w:hAnsi="宋体" w:cs="宋体"/>
              <w:color w:val="auto"/>
              <w:sz w:val="24"/>
              <w:szCs w:val="24"/>
              <w:highlight w:val="none"/>
            </w:rPr>
          </w:pPr>
          <w:r>
            <w:rPr>
              <w:rFonts w:hint="eastAsia" w:hAnsi="宋体" w:cs="宋体"/>
              <w:color w:val="auto"/>
              <w:sz w:val="24"/>
              <w:szCs w:val="24"/>
              <w:highlight w:val="none"/>
            </w:rPr>
            <w:fldChar w:fldCharType="end"/>
          </w:r>
        </w:p>
      </w:sdtContent>
    </w:sdt>
    <w:p>
      <w:pPr>
        <w:pStyle w:val="4"/>
        <w:spacing w:before="0" w:after="0" w:line="360" w:lineRule="auto"/>
        <w:ind w:firstLine="482" w:firstLineChars="200"/>
        <w:jc w:val="distribute"/>
        <w:rPr>
          <w:rFonts w:ascii="宋体" w:hAnsi="宋体" w:cs="宋体"/>
          <w:bCs w:val="0"/>
          <w:color w:val="auto"/>
          <w:sz w:val="24"/>
          <w:szCs w:val="24"/>
          <w:highlight w:val="none"/>
        </w:rPr>
      </w:pPr>
      <w:bookmarkStart w:id="2" w:name="_Toc15568"/>
      <w:bookmarkStart w:id="3" w:name="_Toc26242"/>
      <w:bookmarkStart w:id="4" w:name="_Toc15794"/>
    </w:p>
    <w:p>
      <w:pPr>
        <w:pStyle w:val="4"/>
        <w:spacing w:before="0" w:after="0" w:line="360" w:lineRule="auto"/>
        <w:ind w:firstLine="420" w:firstLineChars="200"/>
        <w:jc w:val="center"/>
        <w:rPr>
          <w:rFonts w:ascii="宋体" w:hAnsi="宋体" w:cs="宋体"/>
          <w:color w:val="auto"/>
          <w:highlight w:val="none"/>
        </w:rPr>
      </w:pPr>
      <w:r>
        <w:rPr>
          <w:rFonts w:hint="eastAsia" w:ascii="宋体" w:hAnsi="宋体" w:cs="宋体"/>
          <w:b w:val="0"/>
          <w:bCs w:val="0"/>
          <w:color w:val="auto"/>
          <w:sz w:val="21"/>
          <w:szCs w:val="21"/>
          <w:highlight w:val="none"/>
        </w:rPr>
        <w:br w:type="page"/>
      </w:r>
      <w:bookmarkStart w:id="5" w:name="_Toc9731"/>
      <w:bookmarkStart w:id="6" w:name="_Toc27440"/>
      <w:bookmarkStart w:id="7" w:name="_Toc23616"/>
      <w:bookmarkStart w:id="8" w:name="_Toc213496267"/>
      <w:bookmarkStart w:id="9" w:name="_Toc213396759"/>
      <w:bookmarkStart w:id="10" w:name="_Toc217446031"/>
      <w:bookmarkStart w:id="11" w:name="_Toc213397009"/>
      <w:bookmarkStart w:id="12" w:name="_Toc213396945"/>
      <w:r>
        <w:rPr>
          <w:rFonts w:hint="eastAsia" w:ascii="宋体" w:hAnsi="宋体" w:cs="宋体"/>
          <w:color w:val="auto"/>
          <w:sz w:val="36"/>
          <w:szCs w:val="36"/>
          <w:highlight w:val="none"/>
        </w:rPr>
        <w:t>第一章 投标邀请</w:t>
      </w:r>
      <w:bookmarkEnd w:id="2"/>
      <w:bookmarkEnd w:id="3"/>
      <w:bookmarkEnd w:id="4"/>
      <w:bookmarkEnd w:id="5"/>
      <w:bookmarkEnd w:id="6"/>
      <w:bookmarkEnd w:id="7"/>
    </w:p>
    <w:p>
      <w:pPr>
        <w:spacing w:line="360" w:lineRule="auto"/>
        <w:ind w:firstLine="482" w:firstLineChars="200"/>
        <w:rPr>
          <w:rFonts w:hAnsi="宋体" w:cs="宋体"/>
          <w:color w:val="auto"/>
          <w:sz w:val="24"/>
          <w:highlight w:val="none"/>
          <w:lang w:val="zh-CN"/>
        </w:rPr>
      </w:pPr>
      <w:r>
        <w:rPr>
          <w:rFonts w:hint="eastAsia" w:hAnsi="宋体" w:cs="宋体"/>
          <w:b/>
          <w:bCs/>
          <w:color w:val="auto"/>
          <w:sz w:val="24"/>
          <w:highlight w:val="none"/>
          <w:u w:val="single"/>
        </w:rPr>
        <w:t>四川岳华工程咨询有限公司</w:t>
      </w:r>
      <w:r>
        <w:rPr>
          <w:rFonts w:hint="eastAsia" w:hAnsi="宋体" w:cs="宋体"/>
          <w:color w:val="auto"/>
          <w:sz w:val="24"/>
          <w:highlight w:val="none"/>
          <w:lang w:val="zh-CN"/>
        </w:rPr>
        <w:t>受</w:t>
      </w:r>
      <w:r>
        <w:rPr>
          <w:rFonts w:hint="eastAsia" w:hAnsi="宋体" w:cs="宋体"/>
          <w:b/>
          <w:bCs/>
          <w:color w:val="auto"/>
          <w:sz w:val="24"/>
          <w:highlight w:val="none"/>
          <w:u w:val="single"/>
        </w:rPr>
        <w:t>崇州市教育事业保障服务中心</w:t>
      </w:r>
      <w:r>
        <w:rPr>
          <w:rFonts w:hint="eastAsia" w:hAnsi="宋体" w:cs="宋体"/>
          <w:color w:val="auto"/>
          <w:sz w:val="24"/>
          <w:highlight w:val="none"/>
          <w:lang w:val="zh-CN"/>
        </w:rPr>
        <w:t>的委托，拟对</w:t>
      </w:r>
      <w:r>
        <w:rPr>
          <w:rFonts w:hint="eastAsia" w:hAnsi="宋体" w:cs="宋体"/>
          <w:b/>
          <w:bCs/>
          <w:color w:val="auto"/>
          <w:sz w:val="24"/>
          <w:highlight w:val="none"/>
          <w:u w:val="single"/>
        </w:rPr>
        <w:t>幼儿园消防设施更换及维修项目</w:t>
      </w:r>
      <w:r>
        <w:rPr>
          <w:rFonts w:hint="eastAsia" w:hAnsi="宋体" w:cs="宋体"/>
          <w:color w:val="auto"/>
          <w:sz w:val="24"/>
          <w:highlight w:val="none"/>
          <w:lang w:val="zh-CN"/>
        </w:rPr>
        <w:t>进行国内公开招标，兹邀请符合本次招标要求的供应商参加投标。</w:t>
      </w:r>
    </w:p>
    <w:p>
      <w:pPr>
        <w:wordWrap w:val="0"/>
        <w:topLinePunct/>
        <w:spacing w:line="360" w:lineRule="auto"/>
        <w:rPr>
          <w:rFonts w:hAnsi="宋体" w:cs="宋体"/>
          <w:color w:val="auto"/>
          <w:sz w:val="24"/>
          <w:highlight w:val="none"/>
        </w:rPr>
      </w:pPr>
      <w:r>
        <w:rPr>
          <w:rFonts w:hint="eastAsia" w:hAnsi="宋体" w:cs="宋体"/>
          <w:b/>
          <w:color w:val="auto"/>
          <w:sz w:val="24"/>
          <w:highlight w:val="none"/>
        </w:rPr>
        <w:t xml:space="preserve">    一、项目编号：</w:t>
      </w:r>
      <w:r>
        <w:rPr>
          <w:rFonts w:hint="eastAsia" w:hAnsi="宋体" w:cs="宋体"/>
          <w:color w:val="auto"/>
          <w:sz w:val="21"/>
          <w:szCs w:val="21"/>
          <w:highlight w:val="none"/>
        </w:rPr>
        <w:t>（以政府采购云平台生成的为准）</w:t>
      </w:r>
    </w:p>
    <w:p>
      <w:pPr>
        <w:numPr>
          <w:ilvl w:val="0"/>
          <w:numId w:val="2"/>
        </w:numPr>
        <w:spacing w:line="360" w:lineRule="auto"/>
        <w:ind w:left="1450" w:leftChars="143" w:hanging="964" w:hangingChars="400"/>
        <w:rPr>
          <w:rFonts w:hAnsi="宋体" w:cs="宋体"/>
          <w:color w:val="auto"/>
          <w:sz w:val="24"/>
          <w:highlight w:val="none"/>
        </w:rPr>
      </w:pPr>
      <w:r>
        <w:rPr>
          <w:rFonts w:hint="eastAsia" w:hAnsi="宋体" w:cs="宋体"/>
          <w:b/>
          <w:color w:val="auto"/>
          <w:sz w:val="24"/>
          <w:highlight w:val="none"/>
        </w:rPr>
        <w:t>项目名称：</w:t>
      </w:r>
      <w:r>
        <w:rPr>
          <w:rFonts w:hint="eastAsia" w:hAnsi="宋体" w:cs="宋体"/>
          <w:color w:val="auto"/>
          <w:sz w:val="24"/>
          <w:highlight w:val="none"/>
        </w:rPr>
        <w:t>幼儿园消防设施更换及维修项目</w:t>
      </w:r>
    </w:p>
    <w:p>
      <w:pPr>
        <w:numPr>
          <w:ilvl w:val="0"/>
          <w:numId w:val="2"/>
        </w:numPr>
        <w:wordWrap w:val="0"/>
        <w:topLinePunct/>
        <w:spacing w:line="360" w:lineRule="auto"/>
        <w:ind w:left="10" w:right="51" w:rightChars="15" w:firstLine="477" w:firstLineChars="198"/>
        <w:rPr>
          <w:rFonts w:hAnsi="宋体" w:cs="宋体"/>
          <w:b/>
          <w:color w:val="auto"/>
          <w:sz w:val="24"/>
          <w:szCs w:val="28"/>
          <w:highlight w:val="none"/>
        </w:rPr>
      </w:pPr>
      <w:r>
        <w:rPr>
          <w:rFonts w:hint="eastAsia" w:hAnsi="宋体" w:cs="宋体"/>
          <w:b/>
          <w:color w:val="auto"/>
          <w:sz w:val="24"/>
          <w:szCs w:val="28"/>
          <w:highlight w:val="none"/>
        </w:rPr>
        <w:t>资金来源：</w:t>
      </w:r>
      <w:r>
        <w:rPr>
          <w:rFonts w:hint="eastAsia" w:hAnsi="宋体" w:cs="宋体"/>
          <w:color w:val="auto"/>
          <w:sz w:val="24"/>
          <w:highlight w:val="none"/>
        </w:rPr>
        <w:t>财政资金，已落实。采购预算1200000元；备案号：(2021)0533号。</w:t>
      </w:r>
    </w:p>
    <w:p>
      <w:pPr>
        <w:numPr>
          <w:ilvl w:val="0"/>
          <w:numId w:val="2"/>
        </w:numPr>
        <w:spacing w:line="360" w:lineRule="auto"/>
        <w:ind w:left="10" w:firstLine="477" w:firstLineChars="198"/>
        <w:jc w:val="left"/>
        <w:rPr>
          <w:rFonts w:hAnsi="宋体" w:cs="宋体"/>
          <w:bCs/>
          <w:color w:val="auto"/>
          <w:sz w:val="24"/>
          <w:highlight w:val="none"/>
        </w:rPr>
      </w:pPr>
      <w:r>
        <w:rPr>
          <w:rFonts w:hint="eastAsia" w:hAnsi="宋体" w:cs="宋体"/>
          <w:b/>
          <w:color w:val="auto"/>
          <w:sz w:val="24"/>
          <w:highlight w:val="none"/>
        </w:rPr>
        <w:t>招标项目简介：</w:t>
      </w:r>
      <w:r>
        <w:rPr>
          <w:rFonts w:hint="eastAsia" w:hAnsi="宋体" w:cs="宋体"/>
          <w:bCs/>
          <w:color w:val="auto"/>
          <w:sz w:val="24"/>
          <w:highlight w:val="none"/>
        </w:rPr>
        <w:t>本项目共1个包，采购</w:t>
      </w:r>
      <w:r>
        <w:rPr>
          <w:rFonts w:hint="eastAsia" w:hAnsi="宋体" w:cs="宋体"/>
          <w:color w:val="auto"/>
          <w:sz w:val="24"/>
          <w:highlight w:val="none"/>
        </w:rPr>
        <w:t>幼儿园消防设施。</w:t>
      </w:r>
    </w:p>
    <w:p>
      <w:pPr>
        <w:wordWrap w:val="0"/>
        <w:topLinePunct/>
        <w:spacing w:line="360" w:lineRule="auto"/>
        <w:ind w:firstLine="482" w:firstLineChars="200"/>
        <w:rPr>
          <w:rFonts w:hAnsi="宋体" w:cs="宋体"/>
          <w:b/>
          <w:bCs/>
          <w:color w:val="auto"/>
          <w:sz w:val="24"/>
          <w:highlight w:val="none"/>
        </w:rPr>
      </w:pPr>
      <w:r>
        <w:rPr>
          <w:rFonts w:hint="eastAsia" w:hAnsi="宋体" w:cs="宋体"/>
          <w:b/>
          <w:bCs/>
          <w:color w:val="auto"/>
          <w:sz w:val="24"/>
          <w:highlight w:val="none"/>
        </w:rPr>
        <w:t>五、供应商参加本次政府采购活动应具备下列条件：</w:t>
      </w:r>
    </w:p>
    <w:p>
      <w:pPr>
        <w:spacing w:line="360" w:lineRule="auto"/>
        <w:ind w:firstLine="679" w:firstLineChars="283"/>
        <w:jc w:val="left"/>
        <w:rPr>
          <w:rFonts w:hAnsi="宋体" w:cs="宋体"/>
          <w:color w:val="auto"/>
          <w:sz w:val="24"/>
          <w:highlight w:val="none"/>
          <w:lang w:val="zh-CN"/>
        </w:rPr>
      </w:pPr>
      <w:r>
        <w:rPr>
          <w:rFonts w:hint="eastAsia" w:hAnsi="宋体" w:cs="宋体"/>
          <w:color w:val="auto"/>
          <w:sz w:val="24"/>
          <w:highlight w:val="none"/>
          <w:lang w:val="zh-CN"/>
        </w:rPr>
        <w:t>1.具有独立承担民事责任的能力；</w:t>
      </w:r>
    </w:p>
    <w:p>
      <w:pPr>
        <w:spacing w:line="360" w:lineRule="auto"/>
        <w:ind w:firstLine="679" w:firstLineChars="283"/>
        <w:jc w:val="left"/>
        <w:rPr>
          <w:rFonts w:hAnsi="宋体" w:cs="宋体"/>
          <w:color w:val="auto"/>
          <w:sz w:val="24"/>
          <w:highlight w:val="none"/>
          <w:lang w:val="zh-CN"/>
        </w:rPr>
      </w:pPr>
      <w:r>
        <w:rPr>
          <w:rFonts w:hint="eastAsia" w:hAnsi="宋体" w:cs="宋体"/>
          <w:color w:val="auto"/>
          <w:sz w:val="24"/>
          <w:highlight w:val="none"/>
          <w:lang w:val="zh-CN"/>
        </w:rPr>
        <w:t>2.具有良好的商业信誉和健全的财务会计制度；</w:t>
      </w:r>
    </w:p>
    <w:p>
      <w:pPr>
        <w:spacing w:line="360" w:lineRule="auto"/>
        <w:ind w:firstLine="679" w:firstLineChars="283"/>
        <w:jc w:val="left"/>
        <w:rPr>
          <w:rFonts w:hAnsi="宋体" w:cs="宋体"/>
          <w:color w:val="auto"/>
          <w:sz w:val="24"/>
          <w:highlight w:val="none"/>
          <w:lang w:val="zh-CN"/>
        </w:rPr>
      </w:pPr>
      <w:r>
        <w:rPr>
          <w:rFonts w:hint="eastAsia" w:hAnsi="宋体" w:cs="宋体"/>
          <w:color w:val="auto"/>
          <w:sz w:val="24"/>
          <w:highlight w:val="none"/>
          <w:lang w:val="zh-CN"/>
        </w:rPr>
        <w:t>3.具有履行合同所必需的设备和专业技术能力；</w:t>
      </w:r>
    </w:p>
    <w:p>
      <w:pPr>
        <w:spacing w:line="360" w:lineRule="auto"/>
        <w:ind w:firstLine="679" w:firstLineChars="283"/>
        <w:jc w:val="left"/>
        <w:rPr>
          <w:rFonts w:hAnsi="宋体" w:cs="宋体"/>
          <w:color w:val="auto"/>
          <w:sz w:val="24"/>
          <w:highlight w:val="none"/>
          <w:lang w:val="zh-CN"/>
        </w:rPr>
      </w:pPr>
      <w:r>
        <w:rPr>
          <w:rFonts w:hint="eastAsia" w:hAnsi="宋体" w:cs="宋体"/>
          <w:color w:val="auto"/>
          <w:sz w:val="24"/>
          <w:highlight w:val="none"/>
          <w:lang w:val="zh-CN"/>
        </w:rPr>
        <w:t>4.有依法缴纳税收和社会保障资金的良好记录；</w:t>
      </w:r>
    </w:p>
    <w:p>
      <w:pPr>
        <w:spacing w:line="360" w:lineRule="auto"/>
        <w:ind w:firstLine="679" w:firstLineChars="283"/>
        <w:jc w:val="left"/>
        <w:rPr>
          <w:rFonts w:hAnsi="宋体" w:cs="宋体"/>
          <w:color w:val="auto"/>
          <w:sz w:val="24"/>
          <w:highlight w:val="none"/>
          <w:lang w:val="zh-CN"/>
        </w:rPr>
      </w:pPr>
      <w:r>
        <w:rPr>
          <w:rFonts w:hint="eastAsia" w:hAnsi="宋体" w:cs="宋体"/>
          <w:color w:val="auto"/>
          <w:sz w:val="24"/>
          <w:highlight w:val="none"/>
          <w:lang w:val="zh-CN"/>
        </w:rPr>
        <w:t>5.参加政府采购活动前三年内，在经营活动中没有重大违法记录；</w:t>
      </w:r>
    </w:p>
    <w:p>
      <w:pPr>
        <w:spacing w:line="360" w:lineRule="auto"/>
        <w:ind w:firstLine="679" w:firstLineChars="283"/>
        <w:jc w:val="left"/>
        <w:rPr>
          <w:rFonts w:hAnsi="宋体" w:cs="宋体"/>
          <w:color w:val="auto"/>
          <w:sz w:val="24"/>
          <w:highlight w:val="none"/>
          <w:lang w:val="zh-CN"/>
        </w:rPr>
      </w:pPr>
      <w:r>
        <w:rPr>
          <w:rFonts w:hint="eastAsia" w:hAnsi="宋体" w:cs="宋体"/>
          <w:color w:val="auto"/>
          <w:sz w:val="24"/>
          <w:highlight w:val="none"/>
          <w:lang w:val="zh-CN"/>
        </w:rPr>
        <w:t>6.法律、行政法规规定的其他条件；</w:t>
      </w:r>
    </w:p>
    <w:p>
      <w:pPr>
        <w:spacing w:line="360" w:lineRule="auto"/>
        <w:ind w:firstLine="679" w:firstLineChars="283"/>
        <w:jc w:val="left"/>
        <w:rPr>
          <w:rFonts w:hAnsi="宋体" w:cs="宋体"/>
          <w:color w:val="auto"/>
          <w:sz w:val="24"/>
          <w:highlight w:val="none"/>
        </w:rPr>
      </w:pPr>
      <w:r>
        <w:rPr>
          <w:rFonts w:hint="eastAsia" w:hAnsi="宋体" w:cs="宋体"/>
          <w:color w:val="auto"/>
          <w:sz w:val="24"/>
          <w:highlight w:val="none"/>
          <w:lang w:val="zh-CN"/>
        </w:rPr>
        <w:t>7.采购人根据采购项目提出的特殊要求</w:t>
      </w:r>
      <w:r>
        <w:rPr>
          <w:rFonts w:hint="eastAsia" w:hAnsi="宋体" w:cs="宋体"/>
          <w:color w:val="auto"/>
          <w:sz w:val="24"/>
          <w:highlight w:val="none"/>
        </w:rPr>
        <w:t>：供应商具备建设行政主管部门颁发的消防设施工程专业承包二级及以上资质，且具有有效的安全生产许可证。</w:t>
      </w:r>
    </w:p>
    <w:p>
      <w:pPr>
        <w:spacing w:line="360" w:lineRule="auto"/>
        <w:ind w:firstLine="679" w:firstLineChars="283"/>
        <w:jc w:val="left"/>
        <w:rPr>
          <w:rFonts w:hAnsi="宋体" w:cs="宋体"/>
          <w:color w:val="auto"/>
          <w:sz w:val="24"/>
          <w:highlight w:val="none"/>
          <w:lang w:val="zh-CN"/>
        </w:rPr>
      </w:pPr>
      <w:r>
        <w:rPr>
          <w:rFonts w:hint="eastAsia" w:hAnsi="宋体" w:cs="宋体"/>
          <w:color w:val="auto"/>
          <w:sz w:val="24"/>
          <w:highlight w:val="none"/>
        </w:rPr>
        <w:t>8.</w:t>
      </w:r>
      <w:r>
        <w:rPr>
          <w:rFonts w:hint="eastAsia" w:hAnsi="宋体" w:cs="宋体"/>
          <w:color w:val="auto"/>
          <w:sz w:val="24"/>
          <w:highlight w:val="none"/>
          <w:lang w:val="zh-CN"/>
        </w:rPr>
        <w:t>本项目不接受联合体投标。</w:t>
      </w:r>
    </w:p>
    <w:p>
      <w:pPr>
        <w:pStyle w:val="14"/>
        <w:ind w:firstLine="482" w:firstLineChars="200"/>
        <w:rPr>
          <w:rFonts w:ascii="宋体" w:hAnsi="宋体" w:cs="宋体"/>
          <w:color w:val="auto"/>
          <w:highlight w:val="none"/>
        </w:rPr>
      </w:pPr>
      <w:r>
        <w:rPr>
          <w:rFonts w:hint="eastAsia" w:ascii="宋体" w:hAnsi="宋体" w:cs="宋体"/>
          <w:b/>
          <w:bCs/>
          <w:color w:val="auto"/>
          <w:highlight w:val="none"/>
        </w:rPr>
        <w:t>六、严禁参加本次采购活动的供应商：</w:t>
      </w:r>
    </w:p>
    <w:p>
      <w:pPr>
        <w:pStyle w:val="14"/>
        <w:spacing w:after="0" w:line="360" w:lineRule="auto"/>
        <w:ind w:firstLine="480" w:firstLineChars="200"/>
        <w:rPr>
          <w:rFonts w:ascii="宋体" w:hAnsi="宋体" w:cs="宋体"/>
          <w:color w:val="auto"/>
          <w:highlight w:val="none"/>
        </w:rPr>
      </w:pPr>
      <w:r>
        <w:rPr>
          <w:rFonts w:hint="eastAsia" w:ascii="宋体" w:hAnsi="宋体" w:cs="宋体"/>
          <w:color w:val="auto"/>
          <w:highlight w:val="none"/>
        </w:rPr>
        <w:t>根据《关于在政府采购活动中查询及使用信用记录有关问题的通知》（财库〔2016〕125 号）的要求，采购人/采购代理机构将通过“信用中国”网站</w:t>
      </w:r>
    </w:p>
    <w:p>
      <w:pPr>
        <w:pStyle w:val="14"/>
        <w:spacing w:after="0" w:line="360" w:lineRule="auto"/>
        <w:ind w:firstLine="480" w:firstLineChars="200"/>
        <w:rPr>
          <w:rFonts w:ascii="宋体" w:hAnsi="宋体" w:cs="宋体"/>
          <w:b/>
          <w:bCs/>
          <w:color w:val="auto"/>
          <w:highlight w:val="none"/>
        </w:rPr>
      </w:pPr>
      <w:r>
        <w:rPr>
          <w:color w:val="auto"/>
          <w:highlight w:val="none"/>
        </w:rPr>
        <w:fldChar w:fldCharType="begin"/>
      </w:r>
      <w:r>
        <w:rPr>
          <w:color w:val="auto"/>
          <w:highlight w:val="none"/>
        </w:rPr>
        <w:instrText xml:space="preserve"> HYPERLINK "http://www.creditchina.gov.cn/" \h </w:instrText>
      </w:r>
      <w:r>
        <w:rPr>
          <w:color w:val="auto"/>
          <w:highlight w:val="none"/>
        </w:rPr>
        <w:fldChar w:fldCharType="separate"/>
      </w:r>
      <w:r>
        <w:rPr>
          <w:rFonts w:hint="eastAsia" w:ascii="宋体" w:hAnsi="宋体" w:cs="宋体"/>
          <w:color w:val="auto"/>
          <w:highlight w:val="none"/>
        </w:rPr>
        <w:t>（www.creditchina.gov.cn</w:t>
      </w:r>
      <w:r>
        <w:rPr>
          <w:rFonts w:hint="eastAsia" w:ascii="宋体" w:hAnsi="宋体" w:cs="宋体"/>
          <w:color w:val="auto"/>
          <w:highlight w:val="none"/>
        </w:rPr>
        <w:fldChar w:fldCharType="end"/>
      </w:r>
      <w:r>
        <w:rPr>
          <w:rFonts w:hint="eastAsia" w:ascii="宋体" w:hAnsi="宋体" w:cs="宋体"/>
          <w:color w:val="auto"/>
          <w:highlight w:val="none"/>
        </w:rPr>
        <w:t>）、“中国政府采购网”网站（</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"http://www.ccgp.gov.cn/" \h </w:instrText>
      </w:r>
      <w:r>
        <w:rPr>
          <w:rFonts w:hint="eastAsia" w:ascii="宋体" w:hAnsi="宋体" w:cs="宋体"/>
          <w:color w:val="auto"/>
          <w:highlight w:val="none"/>
        </w:rPr>
        <w:fldChar w:fldCharType="separate"/>
      </w:r>
      <w:r>
        <w:rPr>
          <w:rFonts w:hint="eastAsia" w:ascii="宋体" w:hAnsi="宋体" w:cs="宋体"/>
          <w:color w:val="auto"/>
          <w:highlight w:val="none"/>
        </w:rPr>
        <w:t>www.ccgp.gov.cn</w:t>
      </w:r>
      <w:r>
        <w:rPr>
          <w:rFonts w:hint="eastAsia" w:ascii="宋体" w:hAnsi="宋体" w:cs="宋体"/>
          <w:color w:val="auto"/>
          <w:highlight w:val="none"/>
        </w:rPr>
        <w:fldChar w:fldCharType="end"/>
      </w:r>
      <w:r>
        <w:rPr>
          <w:rFonts w:hint="eastAsia" w:ascii="宋体" w:hAnsi="宋体" w:cs="宋体"/>
          <w:color w:val="auto"/>
          <w:highlight w:val="none"/>
        </w:rPr>
        <w:t>）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p>
    <w:p>
      <w:pPr>
        <w:wordWrap w:val="0"/>
        <w:topLinePunct/>
        <w:spacing w:line="360" w:lineRule="auto"/>
        <w:ind w:firstLine="482" w:firstLineChars="200"/>
        <w:rPr>
          <w:rFonts w:hAnsi="宋体" w:cs="宋体"/>
          <w:b/>
          <w:color w:val="auto"/>
          <w:sz w:val="24"/>
          <w:highlight w:val="none"/>
        </w:rPr>
      </w:pPr>
      <w:r>
        <w:rPr>
          <w:rFonts w:hint="eastAsia" w:hAnsi="宋体" w:cs="宋体"/>
          <w:b/>
          <w:bCs/>
          <w:color w:val="auto"/>
          <w:sz w:val="24"/>
          <w:highlight w:val="none"/>
        </w:rPr>
        <w:t>七、</w:t>
      </w:r>
      <w:r>
        <w:rPr>
          <w:rFonts w:hint="eastAsia" w:hAnsi="宋体" w:cs="宋体"/>
          <w:b/>
          <w:color w:val="auto"/>
          <w:sz w:val="24"/>
          <w:highlight w:val="none"/>
        </w:rPr>
        <w:t>获取招标文件的时间期限、地点、方式及招标文件售价：</w:t>
      </w:r>
    </w:p>
    <w:p>
      <w:pPr>
        <w:spacing w:after="50" w:line="400" w:lineRule="exact"/>
        <w:ind w:firstLine="480" w:firstLineChars="200"/>
        <w:rPr>
          <w:rFonts w:hAnsi="宋体" w:cs="宋体"/>
          <w:color w:val="auto"/>
          <w:sz w:val="24"/>
          <w:highlight w:val="none"/>
        </w:rPr>
      </w:pPr>
      <w:r>
        <w:rPr>
          <w:rFonts w:hint="eastAsia" w:hAnsi="宋体" w:cs="宋体"/>
          <w:color w:val="auto"/>
          <w:sz w:val="24"/>
          <w:highlight w:val="none"/>
        </w:rPr>
        <w:t>1</w:t>
      </w:r>
      <w:r>
        <w:rPr>
          <w:rFonts w:hint="eastAsia" w:hAnsi="宋体" w:cs="宋体"/>
          <w:color w:val="auto"/>
          <w:sz w:val="24"/>
          <w:highlight w:val="none"/>
          <w:lang w:val="en-US" w:eastAsia="zh-CN"/>
        </w:rPr>
        <w:t>.</w:t>
      </w:r>
      <w:r>
        <w:rPr>
          <w:rFonts w:hint="eastAsia" w:hAnsi="宋体" w:cs="宋体"/>
          <w:color w:val="auto"/>
          <w:sz w:val="24"/>
          <w:highlight w:val="none"/>
        </w:rPr>
        <w:t>招标文件获取期限(报名时间)：自2021年</w:t>
      </w:r>
      <w:r>
        <w:rPr>
          <w:rFonts w:hint="eastAsia" w:hAnsi="宋体" w:cs="宋体"/>
          <w:color w:val="auto"/>
          <w:sz w:val="24"/>
          <w:highlight w:val="none"/>
          <w:lang w:val="en-US" w:eastAsia="zh-CN"/>
        </w:rPr>
        <w:t>10</w:t>
      </w:r>
      <w:r>
        <w:rPr>
          <w:rFonts w:hint="eastAsia" w:hAnsi="宋体" w:cs="宋体"/>
          <w:color w:val="auto"/>
          <w:sz w:val="24"/>
          <w:highlight w:val="none"/>
        </w:rPr>
        <w:t>月</w:t>
      </w:r>
      <w:r>
        <w:rPr>
          <w:rFonts w:hint="eastAsia" w:hAnsi="宋体" w:cs="宋体"/>
          <w:color w:val="auto"/>
          <w:sz w:val="24"/>
          <w:highlight w:val="none"/>
          <w:lang w:val="en-US" w:eastAsia="zh-CN"/>
        </w:rPr>
        <w:t>12</w:t>
      </w:r>
      <w:r>
        <w:rPr>
          <w:rFonts w:hint="eastAsia" w:hAnsi="宋体" w:cs="宋体"/>
          <w:color w:val="auto"/>
          <w:sz w:val="24"/>
          <w:highlight w:val="none"/>
        </w:rPr>
        <w:t>日至2021年</w:t>
      </w:r>
      <w:r>
        <w:rPr>
          <w:rFonts w:hint="eastAsia" w:hAnsi="宋体" w:cs="宋体"/>
          <w:color w:val="auto"/>
          <w:sz w:val="24"/>
          <w:highlight w:val="none"/>
          <w:lang w:val="en-US" w:eastAsia="zh-CN"/>
        </w:rPr>
        <w:t>10</w:t>
      </w:r>
      <w:r>
        <w:rPr>
          <w:rFonts w:hint="eastAsia" w:hAnsi="宋体" w:cs="宋体"/>
          <w:color w:val="auto"/>
          <w:sz w:val="24"/>
          <w:highlight w:val="none"/>
        </w:rPr>
        <w:t>月</w:t>
      </w:r>
      <w:r>
        <w:rPr>
          <w:rFonts w:hint="eastAsia" w:hAnsi="宋体" w:cs="宋体"/>
          <w:color w:val="auto"/>
          <w:sz w:val="24"/>
          <w:highlight w:val="none"/>
          <w:lang w:val="en-US" w:eastAsia="zh-CN"/>
        </w:rPr>
        <w:t>18</w:t>
      </w:r>
      <w:r>
        <w:rPr>
          <w:rFonts w:hint="eastAsia" w:hAnsi="宋体" w:cs="宋体"/>
          <w:color w:val="auto"/>
          <w:sz w:val="24"/>
          <w:highlight w:val="none"/>
        </w:rPr>
        <w:t>日。</w:t>
      </w:r>
    </w:p>
    <w:p>
      <w:pPr>
        <w:spacing w:after="50" w:line="400" w:lineRule="exact"/>
        <w:ind w:firstLine="480" w:firstLineChars="200"/>
        <w:rPr>
          <w:rFonts w:hAnsi="宋体" w:cs="宋体"/>
          <w:color w:val="auto"/>
          <w:sz w:val="24"/>
          <w:highlight w:val="none"/>
        </w:rPr>
      </w:pPr>
      <w:r>
        <w:rPr>
          <w:rFonts w:hint="eastAsia" w:hAnsi="宋体" w:cs="宋体"/>
          <w:color w:val="auto"/>
          <w:sz w:val="24"/>
          <w:highlight w:val="none"/>
        </w:rPr>
        <w:t>2</w:t>
      </w:r>
      <w:r>
        <w:rPr>
          <w:rFonts w:hint="eastAsia" w:hAnsi="宋体" w:cs="宋体"/>
          <w:color w:val="auto"/>
          <w:sz w:val="24"/>
          <w:highlight w:val="none"/>
          <w:lang w:val="en-US" w:eastAsia="zh-CN"/>
        </w:rPr>
        <w:t>.</w:t>
      </w:r>
      <w:r>
        <w:rPr>
          <w:rFonts w:hint="eastAsia" w:hAnsi="宋体" w:cs="宋体"/>
          <w:color w:val="auto"/>
          <w:sz w:val="24"/>
          <w:highlight w:val="none"/>
        </w:rPr>
        <w:t>招标文件的获取地点：政府采购云平台（网址：</w:t>
      </w:r>
      <w:r>
        <w:rPr>
          <w:rFonts w:hint="eastAsia" w:hAnsi="宋体" w:cs="宋体"/>
          <w:color w:val="auto"/>
          <w:sz w:val="24"/>
          <w:highlight w:val="none"/>
        </w:rPr>
        <w:fldChar w:fldCharType="begin"/>
      </w:r>
      <w:r>
        <w:rPr>
          <w:rFonts w:hint="eastAsia" w:hAnsi="宋体" w:cs="宋体"/>
          <w:color w:val="auto"/>
          <w:sz w:val="24"/>
          <w:highlight w:val="none"/>
        </w:rPr>
        <w:instrText xml:space="preserve"> HYPERLINK "https://www.zcygov.cn）。" </w:instrText>
      </w:r>
      <w:r>
        <w:rPr>
          <w:rFonts w:hint="eastAsia" w:hAnsi="宋体" w:cs="宋体"/>
          <w:color w:val="auto"/>
          <w:sz w:val="24"/>
          <w:highlight w:val="none"/>
        </w:rPr>
        <w:fldChar w:fldCharType="separate"/>
      </w:r>
      <w:r>
        <w:rPr>
          <w:rStyle w:val="45"/>
          <w:rFonts w:hint="eastAsia" w:ascii="宋体" w:hAnsi="宋体" w:cs="宋体"/>
          <w:color w:val="auto"/>
          <w:sz w:val="24"/>
          <w:highlight w:val="none"/>
        </w:rPr>
        <w:t>https://www.zcygov.cn）。</w:t>
      </w:r>
      <w:r>
        <w:rPr>
          <w:rFonts w:hint="eastAsia" w:hAnsi="宋体" w:cs="宋体"/>
          <w:color w:val="auto"/>
          <w:sz w:val="24"/>
          <w:highlight w:val="none"/>
        </w:rPr>
        <w:fldChar w:fldCharType="end"/>
      </w:r>
    </w:p>
    <w:p>
      <w:pPr>
        <w:spacing w:after="50" w:line="400" w:lineRule="exact"/>
        <w:ind w:firstLine="480" w:firstLineChars="200"/>
        <w:rPr>
          <w:rFonts w:hAnsi="宋体" w:cs="宋体"/>
          <w:color w:val="auto"/>
          <w:sz w:val="24"/>
          <w:highlight w:val="none"/>
        </w:rPr>
      </w:pPr>
      <w:r>
        <w:rPr>
          <w:rFonts w:hint="eastAsia" w:hAnsi="宋体" w:cs="宋体"/>
          <w:color w:val="auto"/>
          <w:sz w:val="24"/>
          <w:highlight w:val="none"/>
        </w:rPr>
        <w:t>3</w:t>
      </w:r>
      <w:r>
        <w:rPr>
          <w:rFonts w:hint="eastAsia" w:hAnsi="宋体" w:cs="宋体"/>
          <w:color w:val="auto"/>
          <w:sz w:val="24"/>
          <w:highlight w:val="none"/>
          <w:lang w:eastAsia="zh-CN"/>
        </w:rPr>
        <w:t>.</w:t>
      </w:r>
      <w:r>
        <w:rPr>
          <w:rFonts w:hint="eastAsia" w:hAnsi="宋体" w:cs="宋体"/>
          <w:color w:val="auto"/>
          <w:sz w:val="24"/>
          <w:highlight w:val="none"/>
        </w:rPr>
        <w:t>招标文件的获取方式</w:t>
      </w:r>
    </w:p>
    <w:p>
      <w:pPr>
        <w:spacing w:after="50" w:line="400" w:lineRule="exact"/>
        <w:ind w:firstLine="480" w:firstLineChars="200"/>
        <w:rPr>
          <w:rFonts w:hAnsi="宋体" w:cs="宋体"/>
          <w:color w:val="auto"/>
          <w:sz w:val="24"/>
          <w:highlight w:val="none"/>
        </w:rPr>
      </w:pPr>
      <w:r>
        <w:rPr>
          <w:rFonts w:hint="eastAsia" w:hAnsi="宋体" w:cs="宋体"/>
          <w:color w:val="auto"/>
          <w:sz w:val="24"/>
          <w:highlight w:val="none"/>
        </w:rPr>
        <w:t>招标文件获取方式：投标人从“政府采购云平台”获取采购文件（网址：https://www.zcygov.cn）。登录政府采购云平台—项目采购—获取采购文件—申请获取采购文件。</w:t>
      </w:r>
    </w:p>
    <w:p>
      <w:pPr>
        <w:spacing w:after="50" w:line="400" w:lineRule="exact"/>
        <w:ind w:firstLine="480" w:firstLineChars="200"/>
        <w:rPr>
          <w:rFonts w:hAnsi="宋体" w:cs="宋体"/>
          <w:color w:val="auto"/>
          <w:sz w:val="24"/>
          <w:highlight w:val="none"/>
        </w:rPr>
      </w:pPr>
      <w:r>
        <w:rPr>
          <w:rFonts w:hint="eastAsia" w:hAnsi="宋体" w:cs="宋体"/>
          <w:color w:val="auto"/>
          <w:sz w:val="24"/>
          <w:highlight w:val="none"/>
        </w:rPr>
        <w:t>4</w:t>
      </w:r>
      <w:r>
        <w:rPr>
          <w:rFonts w:hint="eastAsia" w:hAnsi="宋体" w:cs="宋体"/>
          <w:color w:val="auto"/>
          <w:sz w:val="24"/>
          <w:highlight w:val="none"/>
          <w:lang w:eastAsia="zh-CN"/>
        </w:rPr>
        <w:t>.</w:t>
      </w:r>
      <w:r>
        <w:rPr>
          <w:rFonts w:hint="eastAsia" w:hAnsi="宋体" w:cs="宋体"/>
          <w:color w:val="auto"/>
          <w:sz w:val="24"/>
          <w:highlight w:val="none"/>
        </w:rPr>
        <w:t>本项目招标文件售价人民币0元/份（招标文件免费获取）。</w:t>
      </w:r>
    </w:p>
    <w:p>
      <w:pPr>
        <w:spacing w:after="50" w:line="400" w:lineRule="exact"/>
        <w:ind w:firstLine="480" w:firstLineChars="200"/>
        <w:rPr>
          <w:rFonts w:hAnsi="宋体" w:cs="宋体"/>
          <w:color w:val="auto"/>
          <w:sz w:val="24"/>
          <w:highlight w:val="none"/>
        </w:rPr>
      </w:pPr>
      <w:r>
        <w:rPr>
          <w:rFonts w:hint="eastAsia" w:hAnsi="宋体" w:cs="宋体"/>
          <w:color w:val="auto"/>
          <w:sz w:val="24"/>
          <w:highlight w:val="none"/>
        </w:rPr>
        <w:t>注意事项：</w:t>
      </w:r>
    </w:p>
    <w:p>
      <w:pPr>
        <w:spacing w:after="50" w:line="400" w:lineRule="exact"/>
        <w:ind w:firstLine="480" w:firstLineChars="200"/>
        <w:rPr>
          <w:rFonts w:hAnsi="宋体" w:cs="宋体"/>
          <w:color w:val="auto"/>
          <w:sz w:val="24"/>
          <w:highlight w:val="none"/>
        </w:rPr>
      </w:pPr>
      <w:r>
        <w:rPr>
          <w:rFonts w:hint="eastAsia" w:hAnsi="宋体" w:cs="宋体"/>
          <w:color w:val="auto"/>
          <w:sz w:val="24"/>
          <w:highlight w:val="none"/>
        </w:rPr>
        <w:t>（1）投标人只有在“政府采购云平台”完成获取招标文件申请并下载招标文件后才视作依法参与本项目。如未在“政府采购云平台”内完成相关流程，引起的投标无效责任自负。</w:t>
      </w:r>
    </w:p>
    <w:p>
      <w:pPr>
        <w:spacing w:after="50" w:line="400" w:lineRule="exact"/>
        <w:ind w:firstLine="480" w:firstLineChars="200"/>
        <w:rPr>
          <w:rFonts w:hAnsi="宋体" w:cs="宋体"/>
          <w:color w:val="auto"/>
          <w:sz w:val="24"/>
          <w:highlight w:val="none"/>
        </w:rPr>
      </w:pPr>
      <w:r>
        <w:rPr>
          <w:rFonts w:hint="eastAsia" w:hAnsi="宋体" w:cs="宋体"/>
          <w:color w:val="auto"/>
          <w:sz w:val="24"/>
          <w:highlight w:val="none"/>
        </w:rPr>
        <w:t>（2）本项目为电子招标投标项目，投标人参与本项目全过程中凡涉及系统操作请详见《供应商政府采购项目电子交易操作指南》。（操作指南以政府采购云平台网站发布为准，操作指南请登录政府采购云平台后，点击“前台大厅—操作指南—供应商”处下载查看）。</w:t>
      </w:r>
    </w:p>
    <w:p>
      <w:pPr>
        <w:wordWrap w:val="0"/>
        <w:topLinePunct/>
        <w:spacing w:line="360" w:lineRule="auto"/>
        <w:ind w:firstLine="480" w:firstLineChars="200"/>
        <w:rPr>
          <w:rFonts w:hAnsi="宋体" w:cs="宋体"/>
          <w:color w:val="auto"/>
          <w:sz w:val="24"/>
          <w:szCs w:val="24"/>
          <w:highlight w:val="none"/>
        </w:rPr>
      </w:pPr>
      <w:r>
        <w:rPr>
          <w:rFonts w:hint="eastAsia" w:hAnsi="宋体" w:cs="宋体"/>
          <w:color w:val="auto"/>
          <w:sz w:val="24"/>
          <w:highlight w:val="none"/>
        </w:rPr>
        <w:t>（3）投标资格不能转让。</w:t>
      </w:r>
    </w:p>
    <w:p>
      <w:pPr>
        <w:spacing w:after="50" w:line="420" w:lineRule="exact"/>
        <w:ind w:firstLine="472" w:firstLineChars="196"/>
        <w:rPr>
          <w:rFonts w:hAnsi="宋体" w:cs="宋体"/>
          <w:b/>
          <w:color w:val="auto"/>
          <w:sz w:val="24"/>
          <w:highlight w:val="none"/>
        </w:rPr>
      </w:pPr>
      <w:r>
        <w:rPr>
          <w:rFonts w:hint="eastAsia" w:hAnsi="宋体" w:cs="宋体"/>
          <w:b/>
          <w:color w:val="auto"/>
          <w:sz w:val="24"/>
          <w:szCs w:val="28"/>
          <w:highlight w:val="none"/>
        </w:rPr>
        <w:t>八、</w:t>
      </w:r>
      <w:r>
        <w:rPr>
          <w:rFonts w:hint="eastAsia" w:hAnsi="宋体" w:cs="宋体"/>
          <w:b/>
          <w:color w:val="auto"/>
          <w:sz w:val="24"/>
          <w:highlight w:val="none"/>
        </w:rPr>
        <w:t>投标截止时间和开标时间：2021年1</w:t>
      </w:r>
      <w:r>
        <w:rPr>
          <w:rFonts w:hint="eastAsia" w:hAnsi="宋体" w:cs="宋体"/>
          <w:b/>
          <w:color w:val="auto"/>
          <w:sz w:val="24"/>
          <w:highlight w:val="none"/>
          <w:lang w:val="en-US" w:eastAsia="zh-CN"/>
        </w:rPr>
        <w:t>1</w:t>
      </w:r>
      <w:r>
        <w:rPr>
          <w:rFonts w:hint="eastAsia" w:hAnsi="宋体" w:cs="宋体"/>
          <w:b/>
          <w:color w:val="auto"/>
          <w:sz w:val="24"/>
          <w:highlight w:val="none"/>
        </w:rPr>
        <w:t>月</w:t>
      </w:r>
      <w:r>
        <w:rPr>
          <w:rFonts w:hint="eastAsia" w:hAnsi="宋体" w:cs="宋体"/>
          <w:b/>
          <w:color w:val="auto"/>
          <w:sz w:val="24"/>
          <w:highlight w:val="none"/>
          <w:lang w:val="en-US" w:eastAsia="zh-CN"/>
        </w:rPr>
        <w:t>1</w:t>
      </w:r>
      <w:bookmarkStart w:id="1068" w:name="_GoBack"/>
      <w:bookmarkEnd w:id="1068"/>
      <w:r>
        <w:rPr>
          <w:rFonts w:hint="eastAsia" w:hAnsi="宋体" w:cs="宋体"/>
          <w:b/>
          <w:color w:val="auto"/>
          <w:sz w:val="24"/>
          <w:highlight w:val="none"/>
        </w:rPr>
        <w:t xml:space="preserve">日09时30分 </w:t>
      </w:r>
      <w:r>
        <w:rPr>
          <w:rFonts w:hint="eastAsia" w:hAnsi="宋体" w:cs="宋体"/>
          <w:color w:val="auto"/>
          <w:sz w:val="24"/>
          <w:szCs w:val="28"/>
          <w:highlight w:val="none"/>
        </w:rPr>
        <w:t>（北京时间）</w:t>
      </w:r>
      <w:r>
        <w:rPr>
          <w:rFonts w:hint="eastAsia" w:hAnsi="宋体" w:cs="宋体"/>
          <w:b/>
          <w:color w:val="auto"/>
          <w:sz w:val="24"/>
          <w:highlight w:val="none"/>
        </w:rPr>
        <w:t>。</w:t>
      </w:r>
    </w:p>
    <w:p>
      <w:pPr>
        <w:pStyle w:val="15"/>
        <w:wordWrap w:val="0"/>
        <w:topLinePunct/>
        <w:spacing w:line="360" w:lineRule="auto"/>
        <w:ind w:firstLine="480"/>
        <w:rPr>
          <w:rFonts w:ascii="宋体" w:hAnsi="宋体" w:cs="宋体"/>
          <w:color w:val="auto"/>
          <w:sz w:val="24"/>
          <w:szCs w:val="28"/>
          <w:highlight w:val="none"/>
        </w:rPr>
      </w:pPr>
      <w:r>
        <w:rPr>
          <w:rFonts w:hint="eastAsia" w:ascii="宋体" w:hAnsi="宋体" w:cs="宋体"/>
          <w:color w:val="auto"/>
          <w:sz w:val="24"/>
          <w:szCs w:val="28"/>
          <w:highlight w:val="none"/>
        </w:rPr>
        <w:t>投标截止时间前，投标人应将加密的电子投标文件递交至“政府采购云平台”对应项目（包件）。本次招标不接受其他方式的投标文件。</w:t>
      </w:r>
    </w:p>
    <w:p>
      <w:pPr>
        <w:spacing w:after="50" w:line="400" w:lineRule="exact"/>
        <w:ind w:firstLine="489" w:firstLineChars="203"/>
        <w:rPr>
          <w:rFonts w:hAnsi="宋体" w:cs="宋体"/>
          <w:b/>
          <w:color w:val="auto"/>
          <w:sz w:val="24"/>
          <w:highlight w:val="none"/>
        </w:rPr>
      </w:pPr>
      <w:r>
        <w:rPr>
          <w:rFonts w:hint="eastAsia" w:hAnsi="宋体" w:cs="宋体"/>
          <w:b/>
          <w:color w:val="auto"/>
          <w:sz w:val="24"/>
          <w:highlight w:val="none"/>
        </w:rPr>
        <w:t>九、开标地点：</w:t>
      </w:r>
    </w:p>
    <w:p>
      <w:pPr>
        <w:spacing w:after="50" w:line="400" w:lineRule="exact"/>
        <w:ind w:firstLine="487" w:firstLineChars="203"/>
        <w:rPr>
          <w:rFonts w:hAnsi="宋体" w:cs="宋体"/>
          <w:bCs/>
          <w:color w:val="auto"/>
          <w:sz w:val="24"/>
          <w:szCs w:val="28"/>
          <w:highlight w:val="none"/>
        </w:rPr>
      </w:pPr>
      <w:r>
        <w:rPr>
          <w:rFonts w:hint="eastAsia" w:hAnsi="宋体" w:cs="宋体"/>
          <w:bCs/>
          <w:color w:val="auto"/>
          <w:sz w:val="24"/>
          <w:szCs w:val="28"/>
          <w:highlight w:val="none"/>
        </w:rPr>
        <w:t>1</w:t>
      </w:r>
      <w:r>
        <w:rPr>
          <w:rFonts w:hint="eastAsia" w:hAnsi="宋体" w:cs="宋体"/>
          <w:bCs/>
          <w:color w:val="auto"/>
          <w:sz w:val="24"/>
          <w:szCs w:val="28"/>
          <w:highlight w:val="none"/>
          <w:lang w:eastAsia="zh-CN"/>
        </w:rPr>
        <w:t>.</w:t>
      </w:r>
      <w:r>
        <w:rPr>
          <w:rFonts w:hint="eastAsia" w:hAnsi="宋体" w:cs="宋体"/>
          <w:bCs/>
          <w:color w:val="auto"/>
          <w:sz w:val="24"/>
          <w:szCs w:val="28"/>
          <w:highlight w:val="none"/>
        </w:rPr>
        <w:t>本项目为不见面开标项目。</w:t>
      </w:r>
    </w:p>
    <w:p>
      <w:pPr>
        <w:spacing w:after="50" w:line="400" w:lineRule="exact"/>
        <w:ind w:firstLine="487" w:firstLineChars="203"/>
        <w:rPr>
          <w:rFonts w:hAnsi="宋体" w:cs="宋体"/>
          <w:bCs/>
          <w:color w:val="auto"/>
          <w:sz w:val="24"/>
          <w:szCs w:val="28"/>
          <w:highlight w:val="none"/>
        </w:rPr>
      </w:pPr>
      <w:r>
        <w:rPr>
          <w:rFonts w:hint="eastAsia" w:hAnsi="宋体" w:cs="宋体"/>
          <w:bCs/>
          <w:color w:val="auto"/>
          <w:sz w:val="24"/>
          <w:szCs w:val="28"/>
          <w:highlight w:val="none"/>
        </w:rPr>
        <w:t>2</w:t>
      </w:r>
      <w:r>
        <w:rPr>
          <w:rFonts w:hint="eastAsia" w:hAnsi="宋体" w:cs="宋体"/>
          <w:bCs/>
          <w:color w:val="auto"/>
          <w:sz w:val="24"/>
          <w:szCs w:val="28"/>
          <w:highlight w:val="none"/>
          <w:lang w:eastAsia="zh-CN"/>
        </w:rPr>
        <w:t>.</w:t>
      </w:r>
      <w:r>
        <w:rPr>
          <w:rFonts w:hint="eastAsia" w:hAnsi="宋体" w:cs="宋体"/>
          <w:bCs/>
          <w:color w:val="auto"/>
          <w:sz w:val="24"/>
          <w:szCs w:val="28"/>
          <w:highlight w:val="none"/>
        </w:rPr>
        <w:t>开标地点：政府采购云平台(https://www.zcygov.cn)。</w:t>
      </w:r>
    </w:p>
    <w:p>
      <w:pPr>
        <w:spacing w:after="50" w:line="400" w:lineRule="exact"/>
        <w:ind w:firstLine="487" w:firstLineChars="203"/>
        <w:rPr>
          <w:rFonts w:hAnsi="宋体" w:cs="宋体"/>
          <w:bCs/>
          <w:color w:val="auto"/>
          <w:sz w:val="24"/>
          <w:szCs w:val="28"/>
          <w:highlight w:val="none"/>
        </w:rPr>
      </w:pPr>
      <w:r>
        <w:rPr>
          <w:rFonts w:hint="eastAsia" w:hAnsi="宋体" w:cs="宋体"/>
          <w:bCs/>
          <w:color w:val="auto"/>
          <w:sz w:val="24"/>
          <w:szCs w:val="28"/>
          <w:highlight w:val="none"/>
        </w:rPr>
        <w:t>3</w:t>
      </w:r>
      <w:r>
        <w:rPr>
          <w:rFonts w:hint="eastAsia" w:hAnsi="宋体" w:cs="宋体"/>
          <w:bCs/>
          <w:color w:val="auto"/>
          <w:sz w:val="24"/>
          <w:szCs w:val="28"/>
          <w:highlight w:val="none"/>
          <w:lang w:eastAsia="zh-CN"/>
        </w:rPr>
        <w:t>.</w:t>
      </w:r>
      <w:r>
        <w:rPr>
          <w:rFonts w:hint="eastAsia" w:hAnsi="宋体" w:cs="宋体"/>
          <w:bCs/>
          <w:color w:val="auto"/>
          <w:sz w:val="24"/>
          <w:szCs w:val="28"/>
          <w:highlight w:val="none"/>
        </w:rPr>
        <w:t>本项目只接受投标人加密并递交至“政府采购云平台”的投标文件。</w:t>
      </w:r>
    </w:p>
    <w:p>
      <w:pPr>
        <w:wordWrap w:val="0"/>
        <w:topLinePunct/>
        <w:spacing w:line="360" w:lineRule="auto"/>
        <w:ind w:firstLine="480" w:firstLineChars="200"/>
        <w:rPr>
          <w:rFonts w:hAnsi="宋体" w:cs="宋体"/>
          <w:color w:val="auto"/>
          <w:sz w:val="24"/>
          <w:szCs w:val="28"/>
          <w:highlight w:val="none"/>
        </w:rPr>
      </w:pPr>
      <w:r>
        <w:rPr>
          <w:rFonts w:hint="eastAsia" w:hAnsi="宋体" w:cs="宋体"/>
          <w:bCs/>
          <w:color w:val="auto"/>
          <w:sz w:val="24"/>
          <w:szCs w:val="28"/>
          <w:highlight w:val="none"/>
        </w:rPr>
        <w:t>4</w:t>
      </w:r>
      <w:r>
        <w:rPr>
          <w:rFonts w:hint="eastAsia" w:hAnsi="宋体" w:cs="宋体"/>
          <w:bCs/>
          <w:color w:val="auto"/>
          <w:sz w:val="24"/>
          <w:szCs w:val="28"/>
          <w:highlight w:val="none"/>
          <w:lang w:eastAsia="zh-CN"/>
        </w:rPr>
        <w:t>.</w:t>
      </w:r>
      <w:r>
        <w:rPr>
          <w:rFonts w:hint="eastAsia" w:hAnsi="宋体" w:cs="宋体"/>
          <w:bCs/>
          <w:color w:val="auto"/>
          <w:sz w:val="24"/>
          <w:szCs w:val="28"/>
          <w:highlight w:val="none"/>
        </w:rPr>
        <w:t>投标人在政府采购云平台上传投标文件，系统提示投标文件上传成功后，须在投标截止时间前对上传的投标文件下载核对，投标人应对投标文件是否能解密、文件是否能打开、每页是否都有电子签章等进行核对。</w:t>
      </w:r>
    </w:p>
    <w:p>
      <w:pPr>
        <w:pStyle w:val="62"/>
        <w:wordWrap w:val="0"/>
        <w:topLinePunct/>
        <w:ind w:firstLine="482"/>
        <w:rPr>
          <w:rFonts w:ascii="宋体" w:hAnsi="宋体" w:cs="宋体"/>
          <w:color w:val="auto"/>
          <w:sz w:val="24"/>
          <w:highlight w:val="none"/>
        </w:rPr>
      </w:pPr>
      <w:r>
        <w:rPr>
          <w:rFonts w:hint="eastAsia" w:ascii="宋体" w:hAnsi="宋体" w:cs="宋体"/>
          <w:b/>
          <w:color w:val="auto"/>
          <w:sz w:val="24"/>
          <w:highlight w:val="none"/>
        </w:rPr>
        <w:t>十、采购信息发布媒体：</w:t>
      </w:r>
      <w:r>
        <w:rPr>
          <w:rFonts w:hint="eastAsia" w:ascii="宋体" w:hAnsi="宋体" w:cs="宋体"/>
          <w:color w:val="auto"/>
          <w:sz w:val="24"/>
          <w:highlight w:val="none"/>
        </w:rPr>
        <w:t>本投标邀请在四川政府采购网（http://www.ccgp-sichuan.gov.cn）上以公告形式发布，公告期限为发布之日起5个工作日。</w:t>
      </w:r>
    </w:p>
    <w:p>
      <w:pPr>
        <w:tabs>
          <w:tab w:val="left" w:pos="2310"/>
        </w:tabs>
        <w:spacing w:line="360" w:lineRule="auto"/>
        <w:ind w:right="680" w:rightChars="200" w:firstLine="482" w:firstLineChars="200"/>
        <w:rPr>
          <w:rFonts w:hAnsi="宋体" w:cs="宋体"/>
          <w:b/>
          <w:bCs/>
          <w:color w:val="auto"/>
          <w:kern w:val="2"/>
          <w:sz w:val="24"/>
          <w:szCs w:val="24"/>
          <w:highlight w:val="none"/>
          <w:lang w:val="zh-CN"/>
        </w:rPr>
      </w:pPr>
      <w:bookmarkStart w:id="13" w:name="OLE_LINK20"/>
      <w:r>
        <w:rPr>
          <w:rFonts w:hint="eastAsia" w:hAnsi="宋体" w:cs="宋体"/>
          <w:b/>
          <w:bCs/>
          <w:color w:val="auto"/>
          <w:kern w:val="2"/>
          <w:sz w:val="24"/>
          <w:szCs w:val="24"/>
          <w:highlight w:val="none"/>
          <w:lang w:val="zh-CN"/>
        </w:rPr>
        <w:t>十一、联系方式：</w:t>
      </w:r>
    </w:p>
    <w:p>
      <w:pPr>
        <w:tabs>
          <w:tab w:val="left" w:pos="2310"/>
        </w:tabs>
        <w:spacing w:line="360" w:lineRule="auto"/>
        <w:ind w:right="680" w:rightChars="200" w:firstLine="482" w:firstLineChars="200"/>
        <w:rPr>
          <w:rFonts w:hAnsi="宋体" w:cs="宋体"/>
          <w:color w:val="auto"/>
          <w:sz w:val="24"/>
          <w:szCs w:val="24"/>
          <w:highlight w:val="none"/>
        </w:rPr>
      </w:pPr>
      <w:r>
        <w:rPr>
          <w:rFonts w:hint="eastAsia" w:hAnsi="宋体" w:cs="宋体"/>
          <w:b/>
          <w:bCs/>
          <w:color w:val="auto"/>
          <w:kern w:val="2"/>
          <w:sz w:val="24"/>
          <w:szCs w:val="24"/>
          <w:highlight w:val="none"/>
          <w:lang w:val="zh-CN"/>
        </w:rPr>
        <w:t>采 购 人：</w:t>
      </w:r>
      <w:bookmarkEnd w:id="13"/>
      <w:r>
        <w:rPr>
          <w:rFonts w:hint="eastAsia" w:hAnsi="宋体" w:cs="宋体"/>
          <w:b/>
          <w:bCs/>
          <w:color w:val="auto"/>
          <w:kern w:val="2"/>
          <w:sz w:val="24"/>
          <w:szCs w:val="24"/>
          <w:highlight w:val="none"/>
          <w:lang w:val="zh-CN"/>
        </w:rPr>
        <w:t>崇州市教育事业保障服务中心</w:t>
      </w:r>
    </w:p>
    <w:p>
      <w:pPr>
        <w:tabs>
          <w:tab w:val="left" w:pos="2310"/>
        </w:tabs>
        <w:spacing w:line="360" w:lineRule="auto"/>
        <w:ind w:right="680" w:rightChars="200" w:firstLine="480" w:firstLineChars="200"/>
        <w:rPr>
          <w:rFonts w:hAnsi="宋体" w:cs="宋体"/>
          <w:color w:val="auto"/>
          <w:sz w:val="24"/>
          <w:szCs w:val="24"/>
          <w:highlight w:val="none"/>
        </w:rPr>
      </w:pPr>
      <w:r>
        <w:rPr>
          <w:rFonts w:hint="eastAsia" w:hAnsi="宋体" w:cs="宋体"/>
          <w:color w:val="auto"/>
          <w:sz w:val="24"/>
          <w:szCs w:val="24"/>
          <w:highlight w:val="none"/>
        </w:rPr>
        <w:t>地    址：崇州市崇阳街道崇庆中路148号</w:t>
      </w:r>
    </w:p>
    <w:p>
      <w:pPr>
        <w:tabs>
          <w:tab w:val="left" w:pos="2310"/>
        </w:tabs>
        <w:spacing w:line="360" w:lineRule="auto"/>
        <w:ind w:right="680" w:rightChars="200" w:firstLine="480" w:firstLineChars="200"/>
        <w:rPr>
          <w:rFonts w:hAnsi="宋体" w:cs="宋体"/>
          <w:color w:val="auto"/>
          <w:sz w:val="24"/>
          <w:szCs w:val="24"/>
          <w:highlight w:val="none"/>
        </w:rPr>
      </w:pPr>
      <w:r>
        <w:rPr>
          <w:rFonts w:hint="eastAsia" w:hAnsi="宋体" w:cs="宋体"/>
          <w:color w:val="auto"/>
          <w:sz w:val="24"/>
          <w:szCs w:val="24"/>
          <w:highlight w:val="none"/>
        </w:rPr>
        <w:t>联 系 人：叶先生</w:t>
      </w:r>
    </w:p>
    <w:p>
      <w:pPr>
        <w:tabs>
          <w:tab w:val="left" w:pos="2310"/>
        </w:tabs>
        <w:spacing w:line="360" w:lineRule="auto"/>
        <w:ind w:right="680" w:rightChars="200" w:firstLine="480" w:firstLineChars="200"/>
        <w:rPr>
          <w:rFonts w:hAnsi="宋体" w:cs="宋体"/>
          <w:color w:val="auto"/>
          <w:sz w:val="24"/>
          <w:szCs w:val="24"/>
          <w:highlight w:val="none"/>
        </w:rPr>
      </w:pPr>
      <w:r>
        <w:rPr>
          <w:rFonts w:hint="eastAsia" w:hAnsi="宋体" w:cs="宋体"/>
          <w:color w:val="auto"/>
          <w:sz w:val="24"/>
          <w:szCs w:val="24"/>
          <w:highlight w:val="none"/>
        </w:rPr>
        <w:t>联系电话：028-82268997</w:t>
      </w:r>
    </w:p>
    <w:p>
      <w:pPr>
        <w:pStyle w:val="62"/>
        <w:ind w:firstLine="482"/>
        <w:rPr>
          <w:rFonts w:ascii="宋体" w:hAnsi="宋体" w:cs="宋体"/>
          <w:b/>
          <w:bCs/>
          <w:color w:val="auto"/>
          <w:sz w:val="24"/>
          <w:highlight w:val="none"/>
        </w:rPr>
      </w:pPr>
      <w:r>
        <w:rPr>
          <w:rFonts w:hint="eastAsia" w:ascii="宋体" w:hAnsi="宋体" w:cs="宋体"/>
          <w:b/>
          <w:bCs/>
          <w:color w:val="auto"/>
          <w:sz w:val="24"/>
          <w:highlight w:val="none"/>
        </w:rPr>
        <w:t>采购代理机构：</w:t>
      </w:r>
      <w:r>
        <w:rPr>
          <w:rFonts w:hint="eastAsia" w:ascii="宋体" w:hAnsi="宋体" w:cs="宋体"/>
          <w:b/>
          <w:bCs/>
          <w:color w:val="auto"/>
          <w:sz w:val="24"/>
          <w:highlight w:val="none"/>
          <w:lang w:val="zh-CN"/>
        </w:rPr>
        <w:t>四川岳华工程咨询有限公司</w:t>
      </w:r>
    </w:p>
    <w:p>
      <w:pPr>
        <w:pStyle w:val="62"/>
        <w:ind w:firstLine="480"/>
        <w:rPr>
          <w:rFonts w:ascii="宋体" w:hAnsi="宋体" w:cs="宋体"/>
          <w:color w:val="auto"/>
          <w:sz w:val="24"/>
          <w:highlight w:val="none"/>
          <w:lang w:val="zh-CN"/>
        </w:rPr>
      </w:pPr>
      <w:r>
        <w:rPr>
          <w:rFonts w:hint="eastAsia" w:ascii="宋体" w:hAnsi="宋体" w:cs="宋体"/>
          <w:color w:val="auto"/>
          <w:sz w:val="24"/>
          <w:highlight w:val="none"/>
        </w:rPr>
        <w:t>地    址：</w:t>
      </w:r>
      <w:r>
        <w:rPr>
          <w:rFonts w:hint="eastAsia" w:ascii="宋体" w:hAnsi="宋体" w:cs="宋体"/>
          <w:color w:val="auto"/>
          <w:sz w:val="24"/>
          <w:highlight w:val="none"/>
          <w:lang w:val="zh-CN"/>
        </w:rPr>
        <w:t>成都市崇州市崇庆北路247号（1栋1单元201室）</w:t>
      </w:r>
    </w:p>
    <w:p>
      <w:pPr>
        <w:pStyle w:val="62"/>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 系 人：</w:t>
      </w:r>
      <w:r>
        <w:rPr>
          <w:rFonts w:hint="eastAsia" w:ascii="宋体" w:hAnsi="宋体" w:cs="宋体"/>
          <w:color w:val="auto"/>
          <w:sz w:val="24"/>
          <w:highlight w:val="none"/>
          <w:lang w:eastAsia="zh-CN"/>
        </w:rPr>
        <w:t>王女士</w:t>
      </w:r>
    </w:p>
    <w:p>
      <w:pPr>
        <w:pStyle w:val="62"/>
        <w:ind w:firstLine="480"/>
        <w:rPr>
          <w:rFonts w:hint="eastAsia" w:ascii="宋体" w:hAnsi="宋体" w:eastAsia="宋体" w:cs="宋体"/>
          <w:b/>
          <w:color w:val="auto"/>
          <w:sz w:val="36"/>
          <w:highlight w:val="none"/>
          <w:lang w:eastAsia="zh-CN"/>
        </w:rPr>
      </w:pPr>
      <w:r>
        <w:rPr>
          <w:rFonts w:hint="eastAsia" w:ascii="宋体" w:hAnsi="宋体" w:cs="宋体"/>
          <w:color w:val="auto"/>
          <w:sz w:val="24"/>
          <w:highlight w:val="none"/>
        </w:rPr>
        <w:t>联系电话：</w:t>
      </w:r>
      <w:r>
        <w:rPr>
          <w:rFonts w:hint="eastAsia" w:ascii="宋体" w:hAnsi="宋体" w:cs="宋体"/>
          <w:color w:val="auto"/>
          <w:sz w:val="24"/>
          <w:highlight w:val="none"/>
          <w:lang w:eastAsia="zh-CN"/>
        </w:rPr>
        <w:t>028-82212457</w:t>
      </w:r>
    </w:p>
    <w:p>
      <w:pPr>
        <w:spacing w:after="120" w:afterLines="50" w:line="360" w:lineRule="auto"/>
        <w:jc w:val="center"/>
        <w:outlineLvl w:val="0"/>
        <w:rPr>
          <w:rFonts w:hAnsi="宋体" w:cs="宋体"/>
          <w:b/>
          <w:color w:val="auto"/>
          <w:sz w:val="36"/>
          <w:highlight w:val="none"/>
        </w:rPr>
      </w:pPr>
    </w:p>
    <w:p>
      <w:pPr>
        <w:spacing w:after="120" w:afterLines="50" w:line="360" w:lineRule="auto"/>
        <w:jc w:val="right"/>
        <w:outlineLvl w:val="0"/>
        <w:rPr>
          <w:rFonts w:hAnsi="宋体" w:cs="宋体"/>
          <w:bCs/>
          <w:color w:val="auto"/>
          <w:sz w:val="24"/>
          <w:szCs w:val="24"/>
          <w:highlight w:val="none"/>
        </w:rPr>
      </w:pPr>
    </w:p>
    <w:p>
      <w:pPr>
        <w:spacing w:after="120" w:afterLines="50" w:line="360" w:lineRule="auto"/>
        <w:jc w:val="center"/>
        <w:outlineLvl w:val="0"/>
        <w:rPr>
          <w:rFonts w:hAnsi="宋体" w:cs="宋体"/>
          <w:b/>
          <w:color w:val="auto"/>
          <w:sz w:val="36"/>
          <w:highlight w:val="none"/>
        </w:rPr>
      </w:pPr>
      <w:r>
        <w:rPr>
          <w:rFonts w:hint="eastAsia" w:hAnsi="宋体" w:cs="宋体"/>
          <w:bCs/>
          <w:color w:val="auto"/>
          <w:sz w:val="24"/>
          <w:szCs w:val="24"/>
          <w:highlight w:val="none"/>
        </w:rPr>
        <w:br w:type="page"/>
      </w:r>
      <w:bookmarkStart w:id="14" w:name="_Toc18419"/>
      <w:bookmarkStart w:id="15" w:name="_Toc7416"/>
      <w:bookmarkStart w:id="16" w:name="_Toc29899"/>
      <w:bookmarkStart w:id="17" w:name="_Toc25668"/>
      <w:bookmarkStart w:id="18" w:name="_Toc3856"/>
      <w:r>
        <w:rPr>
          <w:rFonts w:hint="eastAsia" w:hAnsi="宋体" w:cs="宋体"/>
          <w:b/>
          <w:color w:val="auto"/>
          <w:sz w:val="36"/>
          <w:szCs w:val="36"/>
          <w:highlight w:val="none"/>
        </w:rPr>
        <w:t>第二章 投标人须知</w:t>
      </w:r>
      <w:bookmarkEnd w:id="8"/>
      <w:bookmarkEnd w:id="9"/>
      <w:bookmarkEnd w:id="10"/>
      <w:bookmarkEnd w:id="11"/>
      <w:bookmarkEnd w:id="12"/>
      <w:bookmarkEnd w:id="14"/>
      <w:bookmarkEnd w:id="15"/>
      <w:bookmarkEnd w:id="16"/>
      <w:bookmarkEnd w:id="17"/>
      <w:bookmarkEnd w:id="18"/>
    </w:p>
    <w:p>
      <w:pPr>
        <w:pStyle w:val="5"/>
        <w:spacing w:before="0" w:after="0" w:line="400" w:lineRule="exact"/>
        <w:jc w:val="center"/>
        <w:rPr>
          <w:rFonts w:ascii="宋体" w:hAnsi="宋体" w:eastAsia="宋体" w:cs="宋体"/>
          <w:bCs w:val="0"/>
          <w:color w:val="auto"/>
          <w:highlight w:val="none"/>
        </w:rPr>
      </w:pPr>
      <w:bookmarkStart w:id="19" w:name="_Toc189727030"/>
      <w:bookmarkStart w:id="20" w:name="_Toc31215"/>
      <w:bookmarkStart w:id="21" w:name="_Toc327196261"/>
      <w:bookmarkStart w:id="22" w:name="_Toc213396760"/>
      <w:bookmarkStart w:id="23" w:name="_Toc213496268"/>
      <w:bookmarkStart w:id="24" w:name="_Toc217446032"/>
      <w:bookmarkStart w:id="25" w:name="_Toc28824"/>
      <w:bookmarkStart w:id="26" w:name="_Toc213397010"/>
      <w:bookmarkStart w:id="27" w:name="_Toc213396946"/>
      <w:bookmarkStart w:id="28" w:name="_Toc16580"/>
      <w:bookmarkStart w:id="29" w:name="_Toc14035"/>
      <w:r>
        <w:rPr>
          <w:rFonts w:hint="eastAsia" w:ascii="宋体" w:hAnsi="宋体" w:eastAsia="宋体" w:cs="宋体"/>
          <w:bCs w:val="0"/>
          <w:color w:val="auto"/>
          <w:highlight w:val="none"/>
        </w:rPr>
        <w:t>一、投标人须知附表</w:t>
      </w:r>
      <w:bookmarkEnd w:id="19"/>
      <w:bookmarkEnd w:id="20"/>
      <w:bookmarkEnd w:id="21"/>
      <w:bookmarkEnd w:id="22"/>
      <w:bookmarkEnd w:id="23"/>
      <w:bookmarkEnd w:id="24"/>
      <w:bookmarkEnd w:id="25"/>
      <w:bookmarkEnd w:id="26"/>
      <w:bookmarkEnd w:id="27"/>
      <w:bookmarkEnd w:id="28"/>
      <w:bookmarkEnd w:id="29"/>
    </w:p>
    <w:tbl>
      <w:tblPr>
        <w:tblStyle w:val="37"/>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0"/>
        <w:gridCol w:w="1596"/>
        <w:gridCol w:w="7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tblHeader/>
          <w:jc w:val="center"/>
        </w:trPr>
        <w:tc>
          <w:tcPr>
            <w:tcW w:w="910" w:type="dxa"/>
            <w:vAlign w:val="center"/>
          </w:tcPr>
          <w:p>
            <w:pPr>
              <w:pStyle w:val="63"/>
              <w:spacing w:line="320" w:lineRule="exact"/>
              <w:ind w:left="9"/>
              <w:jc w:val="center"/>
              <w:rPr>
                <w:color w:val="auto"/>
                <w:sz w:val="21"/>
                <w:szCs w:val="21"/>
                <w:highlight w:val="none"/>
                <w:lang w:val="zh-CN"/>
              </w:rPr>
            </w:pPr>
            <w:bookmarkStart w:id="30" w:name="_Toc327196262"/>
            <w:r>
              <w:rPr>
                <w:rFonts w:hint="eastAsia"/>
                <w:color w:val="auto"/>
                <w:sz w:val="21"/>
                <w:szCs w:val="21"/>
                <w:highlight w:val="none"/>
                <w:lang w:val="zh-CN"/>
              </w:rPr>
              <w:t>序 号</w:t>
            </w:r>
          </w:p>
        </w:tc>
        <w:tc>
          <w:tcPr>
            <w:tcW w:w="1596" w:type="dxa"/>
            <w:vAlign w:val="center"/>
          </w:tcPr>
          <w:p>
            <w:pPr>
              <w:pStyle w:val="63"/>
              <w:spacing w:line="320" w:lineRule="exact"/>
              <w:ind w:left="38"/>
              <w:jc w:val="center"/>
              <w:rPr>
                <w:color w:val="auto"/>
                <w:sz w:val="21"/>
                <w:szCs w:val="21"/>
                <w:highlight w:val="none"/>
                <w:lang w:val="zh-CN"/>
              </w:rPr>
            </w:pPr>
            <w:r>
              <w:rPr>
                <w:rFonts w:hint="eastAsia"/>
                <w:color w:val="auto"/>
                <w:sz w:val="21"/>
                <w:szCs w:val="21"/>
                <w:highlight w:val="none"/>
              </w:rPr>
              <w:t>条款名称</w:t>
            </w:r>
          </w:p>
        </w:tc>
        <w:tc>
          <w:tcPr>
            <w:tcW w:w="7244" w:type="dxa"/>
            <w:vAlign w:val="center"/>
          </w:tcPr>
          <w:p>
            <w:pPr>
              <w:pStyle w:val="63"/>
              <w:spacing w:line="320" w:lineRule="exact"/>
              <w:ind w:left="78" w:leftChars="23" w:right="51" w:rightChars="15"/>
              <w:jc w:val="center"/>
              <w:rPr>
                <w:color w:val="auto"/>
                <w:sz w:val="21"/>
                <w:szCs w:val="21"/>
                <w:highlight w:val="none"/>
                <w:lang w:val="zh-CN"/>
              </w:rPr>
            </w:pPr>
            <w:r>
              <w:rPr>
                <w:rFonts w:hint="eastAsia"/>
                <w:color w:val="auto"/>
                <w:sz w:val="21"/>
                <w:szCs w:val="21"/>
                <w:highlight w:val="none"/>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910" w:type="dxa"/>
            <w:vMerge w:val="restart"/>
            <w:vAlign w:val="center"/>
          </w:tcPr>
          <w:p>
            <w:pPr>
              <w:pStyle w:val="63"/>
              <w:numPr>
                <w:ilvl w:val="0"/>
                <w:numId w:val="3"/>
              </w:numPr>
              <w:spacing w:line="320" w:lineRule="exact"/>
              <w:ind w:right="-4"/>
              <w:jc w:val="center"/>
              <w:rPr>
                <w:color w:val="auto"/>
                <w:sz w:val="21"/>
                <w:szCs w:val="21"/>
                <w:highlight w:val="none"/>
                <w:lang w:val="zh-CN"/>
              </w:rPr>
            </w:pPr>
          </w:p>
        </w:tc>
        <w:tc>
          <w:tcPr>
            <w:tcW w:w="1596" w:type="dxa"/>
            <w:vAlign w:val="center"/>
          </w:tcPr>
          <w:p>
            <w:pPr>
              <w:pStyle w:val="63"/>
              <w:spacing w:line="320" w:lineRule="exact"/>
              <w:ind w:left="38"/>
              <w:jc w:val="center"/>
              <w:rPr>
                <w:color w:val="auto"/>
                <w:sz w:val="21"/>
                <w:szCs w:val="21"/>
                <w:highlight w:val="none"/>
                <w:lang w:val="zh-CN"/>
              </w:rPr>
            </w:pPr>
            <w:r>
              <w:rPr>
                <w:rFonts w:hint="eastAsia"/>
                <w:color w:val="auto"/>
                <w:sz w:val="21"/>
                <w:szCs w:val="21"/>
                <w:highlight w:val="none"/>
                <w:lang w:val="zh-CN"/>
              </w:rPr>
              <w:t>采购预算</w:t>
            </w:r>
          </w:p>
          <w:p>
            <w:pPr>
              <w:pStyle w:val="63"/>
              <w:spacing w:line="320" w:lineRule="exact"/>
              <w:ind w:left="38"/>
              <w:jc w:val="center"/>
              <w:rPr>
                <w:color w:val="auto"/>
                <w:sz w:val="21"/>
                <w:szCs w:val="21"/>
                <w:highlight w:val="none"/>
                <w:lang w:val="zh-CN"/>
              </w:rPr>
            </w:pPr>
            <w:r>
              <w:rPr>
                <w:rFonts w:hint="eastAsia"/>
                <w:color w:val="auto"/>
                <w:sz w:val="21"/>
                <w:szCs w:val="21"/>
                <w:highlight w:val="none"/>
                <w:lang w:val="zh-CN"/>
              </w:rPr>
              <w:t>(实质性要求)</w:t>
            </w:r>
          </w:p>
        </w:tc>
        <w:tc>
          <w:tcPr>
            <w:tcW w:w="7244" w:type="dxa"/>
            <w:vAlign w:val="center"/>
          </w:tcPr>
          <w:p>
            <w:pPr>
              <w:pStyle w:val="63"/>
              <w:spacing w:line="320" w:lineRule="exact"/>
              <w:ind w:left="78" w:leftChars="23" w:right="51" w:rightChars="15"/>
              <w:jc w:val="both"/>
              <w:rPr>
                <w:color w:val="auto"/>
                <w:sz w:val="21"/>
                <w:szCs w:val="21"/>
                <w:highlight w:val="none"/>
              </w:rPr>
            </w:pPr>
            <w:r>
              <w:rPr>
                <w:rFonts w:hint="eastAsia"/>
                <w:color w:val="auto"/>
                <w:sz w:val="21"/>
                <w:szCs w:val="21"/>
                <w:highlight w:val="none"/>
              </w:rPr>
              <w:t>1.本次采购预算为1200000元。</w:t>
            </w:r>
          </w:p>
          <w:p>
            <w:pPr>
              <w:pStyle w:val="63"/>
              <w:spacing w:line="320" w:lineRule="exact"/>
              <w:ind w:left="78" w:leftChars="23" w:right="51" w:rightChars="15"/>
              <w:jc w:val="both"/>
              <w:rPr>
                <w:color w:val="auto"/>
                <w:sz w:val="21"/>
                <w:szCs w:val="21"/>
                <w:highlight w:val="none"/>
              </w:rPr>
            </w:pPr>
            <w:r>
              <w:rPr>
                <w:rFonts w:hint="eastAsia"/>
                <w:color w:val="auto"/>
                <w:sz w:val="21"/>
                <w:szCs w:val="21"/>
                <w:highlight w:val="none"/>
              </w:rPr>
              <w:t>2.</w:t>
            </w:r>
            <w:r>
              <w:rPr>
                <w:rFonts w:hint="eastAsia"/>
                <w:color w:val="auto"/>
                <w:sz w:val="21"/>
                <w:szCs w:val="21"/>
                <w:highlight w:val="none"/>
                <w:lang w:val="zh-CN"/>
              </w:rPr>
              <w:t>本项目</w:t>
            </w:r>
            <w:r>
              <w:rPr>
                <w:rFonts w:hint="eastAsia"/>
                <w:color w:val="auto"/>
                <w:sz w:val="21"/>
                <w:szCs w:val="21"/>
                <w:highlight w:val="none"/>
              </w:rPr>
              <w:t>投标报价</w:t>
            </w:r>
            <w:r>
              <w:rPr>
                <w:rFonts w:hint="eastAsia"/>
                <w:color w:val="auto"/>
                <w:sz w:val="21"/>
                <w:szCs w:val="21"/>
                <w:highlight w:val="none"/>
                <w:lang w:val="zh-CN"/>
              </w:rPr>
              <w:t>不能超过</w:t>
            </w:r>
            <w:r>
              <w:rPr>
                <w:rFonts w:hint="eastAsia"/>
                <w:color w:val="auto"/>
                <w:sz w:val="21"/>
                <w:szCs w:val="21"/>
                <w:highlight w:val="none"/>
              </w:rPr>
              <w:t>本项目采购</w:t>
            </w:r>
            <w:r>
              <w:rPr>
                <w:rFonts w:hint="eastAsia"/>
                <w:color w:val="auto"/>
                <w:sz w:val="21"/>
                <w:szCs w:val="21"/>
                <w:highlight w:val="none"/>
                <w:lang w:val="zh-CN"/>
              </w:rPr>
              <w:t>预算，</w:t>
            </w:r>
            <w:r>
              <w:rPr>
                <w:rFonts w:hint="eastAsia"/>
                <w:color w:val="auto"/>
                <w:sz w:val="21"/>
                <w:szCs w:val="21"/>
                <w:highlight w:val="none"/>
              </w:rPr>
              <w:t>否则将被视为无效投标。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910" w:type="dxa"/>
            <w:vMerge w:val="continue"/>
            <w:vAlign w:val="center"/>
          </w:tcPr>
          <w:p>
            <w:pPr>
              <w:pStyle w:val="63"/>
              <w:spacing w:line="320" w:lineRule="exact"/>
              <w:ind w:right="-4"/>
              <w:jc w:val="both"/>
              <w:rPr>
                <w:color w:val="auto"/>
                <w:sz w:val="21"/>
                <w:szCs w:val="21"/>
                <w:highlight w:val="none"/>
                <w:lang w:val="zh-CN"/>
              </w:rPr>
            </w:pPr>
          </w:p>
        </w:tc>
        <w:tc>
          <w:tcPr>
            <w:tcW w:w="1596" w:type="dxa"/>
            <w:vAlign w:val="center"/>
          </w:tcPr>
          <w:p>
            <w:pPr>
              <w:pStyle w:val="63"/>
              <w:spacing w:line="320" w:lineRule="exact"/>
              <w:ind w:left="38"/>
              <w:jc w:val="center"/>
              <w:rPr>
                <w:color w:val="auto"/>
                <w:sz w:val="21"/>
                <w:szCs w:val="21"/>
                <w:highlight w:val="none"/>
              </w:rPr>
            </w:pPr>
            <w:r>
              <w:rPr>
                <w:rFonts w:hint="eastAsia"/>
                <w:color w:val="auto"/>
                <w:sz w:val="21"/>
                <w:szCs w:val="21"/>
                <w:highlight w:val="none"/>
              </w:rPr>
              <w:t>最高限价</w:t>
            </w:r>
          </w:p>
          <w:p>
            <w:pPr>
              <w:pStyle w:val="63"/>
              <w:spacing w:line="320" w:lineRule="exact"/>
              <w:ind w:left="38"/>
              <w:jc w:val="center"/>
              <w:rPr>
                <w:color w:val="auto"/>
                <w:sz w:val="21"/>
                <w:szCs w:val="21"/>
                <w:highlight w:val="none"/>
              </w:rPr>
            </w:pPr>
            <w:r>
              <w:rPr>
                <w:rFonts w:hint="eastAsia"/>
                <w:color w:val="auto"/>
                <w:sz w:val="21"/>
                <w:szCs w:val="21"/>
                <w:highlight w:val="none"/>
              </w:rPr>
              <w:t>(实质性要求)</w:t>
            </w:r>
          </w:p>
        </w:tc>
        <w:tc>
          <w:tcPr>
            <w:tcW w:w="7244" w:type="dxa"/>
            <w:vAlign w:val="center"/>
          </w:tcPr>
          <w:p>
            <w:pPr>
              <w:pStyle w:val="63"/>
              <w:spacing w:line="320" w:lineRule="exact"/>
              <w:ind w:left="78" w:leftChars="23" w:right="51" w:rightChars="15"/>
              <w:jc w:val="both"/>
              <w:rPr>
                <w:color w:val="auto"/>
                <w:sz w:val="21"/>
                <w:szCs w:val="21"/>
                <w:highlight w:val="none"/>
              </w:rPr>
            </w:pPr>
            <w:r>
              <w:rPr>
                <w:rFonts w:hint="eastAsia"/>
                <w:color w:val="auto"/>
                <w:sz w:val="21"/>
                <w:szCs w:val="21"/>
                <w:highlight w:val="none"/>
              </w:rPr>
              <w:t>1.最高限价为1200000元。</w:t>
            </w:r>
          </w:p>
          <w:p>
            <w:pPr>
              <w:pStyle w:val="63"/>
              <w:spacing w:line="320" w:lineRule="exact"/>
              <w:ind w:left="78" w:leftChars="23" w:right="51" w:rightChars="15"/>
              <w:jc w:val="both"/>
              <w:rPr>
                <w:color w:val="auto"/>
                <w:sz w:val="21"/>
                <w:szCs w:val="21"/>
                <w:highlight w:val="none"/>
              </w:rPr>
            </w:pPr>
            <w:r>
              <w:rPr>
                <w:rFonts w:hint="eastAsia"/>
                <w:color w:val="auto"/>
                <w:sz w:val="21"/>
                <w:szCs w:val="21"/>
                <w:highlight w:val="none"/>
              </w:rPr>
              <w:t>2.超过最高限价的报价为无效投标。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numPr>
                <w:ilvl w:val="0"/>
                <w:numId w:val="3"/>
              </w:numPr>
              <w:spacing w:line="320" w:lineRule="exact"/>
              <w:ind w:right="-4"/>
              <w:jc w:val="center"/>
              <w:rPr>
                <w:color w:val="auto"/>
                <w:sz w:val="21"/>
                <w:szCs w:val="21"/>
                <w:highlight w:val="none"/>
                <w:lang w:val="zh-CN"/>
              </w:rPr>
            </w:pPr>
          </w:p>
        </w:tc>
        <w:tc>
          <w:tcPr>
            <w:tcW w:w="1596" w:type="dxa"/>
            <w:vAlign w:val="center"/>
          </w:tcPr>
          <w:p>
            <w:pPr>
              <w:pStyle w:val="63"/>
              <w:spacing w:line="320" w:lineRule="exact"/>
              <w:ind w:left="38"/>
              <w:jc w:val="center"/>
              <w:rPr>
                <w:color w:val="auto"/>
                <w:sz w:val="21"/>
                <w:szCs w:val="21"/>
                <w:highlight w:val="none"/>
                <w:lang w:val="zh-CN"/>
              </w:rPr>
            </w:pPr>
            <w:r>
              <w:rPr>
                <w:rFonts w:hint="eastAsia"/>
                <w:color w:val="auto"/>
                <w:sz w:val="21"/>
                <w:szCs w:val="21"/>
                <w:highlight w:val="none"/>
                <w:lang w:val="zh-CN"/>
              </w:rPr>
              <w:t>采购方式</w:t>
            </w:r>
          </w:p>
        </w:tc>
        <w:tc>
          <w:tcPr>
            <w:tcW w:w="7244" w:type="dxa"/>
            <w:vAlign w:val="center"/>
          </w:tcPr>
          <w:p>
            <w:pPr>
              <w:pStyle w:val="63"/>
              <w:spacing w:line="320" w:lineRule="exact"/>
              <w:ind w:left="78" w:leftChars="23" w:right="51" w:rightChars="15"/>
              <w:jc w:val="both"/>
              <w:rPr>
                <w:color w:val="auto"/>
                <w:sz w:val="21"/>
                <w:szCs w:val="21"/>
                <w:highlight w:val="none"/>
                <w:lang w:val="zh-CN"/>
              </w:rPr>
            </w:pPr>
            <w:r>
              <w:rPr>
                <w:rFonts w:hint="eastAsia"/>
                <w:color w:val="auto"/>
                <w:sz w:val="21"/>
                <w:szCs w:val="21"/>
                <w:highlight w:val="none"/>
                <w:lang w:val="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910" w:type="dxa"/>
            <w:vAlign w:val="center"/>
          </w:tcPr>
          <w:p>
            <w:pPr>
              <w:pStyle w:val="63"/>
              <w:numPr>
                <w:ilvl w:val="0"/>
                <w:numId w:val="3"/>
              </w:numPr>
              <w:spacing w:line="320" w:lineRule="exact"/>
              <w:ind w:right="-4"/>
              <w:jc w:val="center"/>
              <w:rPr>
                <w:color w:val="auto"/>
                <w:sz w:val="21"/>
                <w:szCs w:val="21"/>
                <w:highlight w:val="none"/>
                <w:lang w:val="zh-CN"/>
              </w:rPr>
            </w:pPr>
          </w:p>
        </w:tc>
        <w:tc>
          <w:tcPr>
            <w:tcW w:w="1596" w:type="dxa"/>
            <w:vAlign w:val="center"/>
          </w:tcPr>
          <w:p>
            <w:pPr>
              <w:pStyle w:val="63"/>
              <w:spacing w:line="320" w:lineRule="exact"/>
              <w:ind w:left="96"/>
              <w:jc w:val="center"/>
              <w:rPr>
                <w:color w:val="auto"/>
                <w:sz w:val="21"/>
                <w:szCs w:val="21"/>
                <w:highlight w:val="none"/>
                <w:lang w:val="zh-CN"/>
              </w:rPr>
            </w:pPr>
            <w:r>
              <w:rPr>
                <w:rFonts w:hint="eastAsia"/>
                <w:color w:val="auto"/>
                <w:sz w:val="21"/>
                <w:szCs w:val="21"/>
                <w:highlight w:val="none"/>
                <w:lang w:val="zh-CN"/>
              </w:rPr>
              <w:t>评标方法</w:t>
            </w:r>
          </w:p>
        </w:tc>
        <w:tc>
          <w:tcPr>
            <w:tcW w:w="7244" w:type="dxa"/>
            <w:vAlign w:val="center"/>
          </w:tcPr>
          <w:p>
            <w:pPr>
              <w:pStyle w:val="63"/>
              <w:spacing w:line="320" w:lineRule="exact"/>
              <w:ind w:left="78" w:leftChars="23" w:right="51" w:rightChars="15"/>
              <w:rPr>
                <w:color w:val="auto"/>
                <w:sz w:val="21"/>
                <w:szCs w:val="21"/>
                <w:highlight w:val="none"/>
                <w:lang w:val="zh-CN"/>
              </w:rPr>
            </w:pPr>
            <w:r>
              <w:rPr>
                <w:rFonts w:hint="eastAsia"/>
                <w:color w:val="auto"/>
                <w:sz w:val="21"/>
                <w:szCs w:val="21"/>
                <w:highlight w:val="none"/>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910" w:type="dxa"/>
            <w:vAlign w:val="center"/>
          </w:tcPr>
          <w:p>
            <w:pPr>
              <w:pStyle w:val="63"/>
              <w:numPr>
                <w:ilvl w:val="0"/>
                <w:numId w:val="3"/>
              </w:numPr>
              <w:spacing w:line="320" w:lineRule="exact"/>
              <w:ind w:right="-4"/>
              <w:jc w:val="center"/>
              <w:rPr>
                <w:color w:val="auto"/>
                <w:sz w:val="21"/>
                <w:szCs w:val="21"/>
                <w:highlight w:val="none"/>
              </w:rPr>
            </w:pPr>
          </w:p>
        </w:tc>
        <w:tc>
          <w:tcPr>
            <w:tcW w:w="1596" w:type="dxa"/>
            <w:vAlign w:val="center"/>
          </w:tcPr>
          <w:p>
            <w:pPr>
              <w:pStyle w:val="63"/>
              <w:spacing w:line="320" w:lineRule="exact"/>
              <w:ind w:left="96"/>
              <w:jc w:val="center"/>
              <w:rPr>
                <w:color w:val="auto"/>
                <w:sz w:val="21"/>
                <w:szCs w:val="21"/>
                <w:highlight w:val="none"/>
                <w:lang w:val="zh-CN"/>
              </w:rPr>
            </w:pPr>
            <w:r>
              <w:rPr>
                <w:rFonts w:hint="eastAsia"/>
                <w:color w:val="auto"/>
                <w:sz w:val="21"/>
                <w:szCs w:val="21"/>
                <w:highlight w:val="none"/>
                <w:lang w:val="zh-CN"/>
              </w:rPr>
              <w:t>交货时间、</w:t>
            </w:r>
            <w:r>
              <w:rPr>
                <w:rFonts w:hint="eastAsia"/>
                <w:color w:val="auto"/>
                <w:sz w:val="21"/>
                <w:szCs w:val="21"/>
                <w:highlight w:val="none"/>
              </w:rPr>
              <w:t>交货地点</w:t>
            </w:r>
          </w:p>
          <w:p>
            <w:pPr>
              <w:pStyle w:val="63"/>
              <w:spacing w:line="320" w:lineRule="exact"/>
              <w:ind w:left="96"/>
              <w:jc w:val="center"/>
              <w:rPr>
                <w:color w:val="auto"/>
                <w:sz w:val="21"/>
                <w:szCs w:val="21"/>
                <w:highlight w:val="none"/>
                <w:lang w:val="zh-CN"/>
              </w:rPr>
            </w:pPr>
            <w:r>
              <w:rPr>
                <w:rFonts w:hint="eastAsia"/>
                <w:color w:val="auto"/>
                <w:sz w:val="21"/>
                <w:szCs w:val="21"/>
                <w:highlight w:val="none"/>
                <w:lang w:val="zh-CN"/>
              </w:rPr>
              <w:t>(实质性要求)</w:t>
            </w:r>
          </w:p>
        </w:tc>
        <w:tc>
          <w:tcPr>
            <w:tcW w:w="7244" w:type="dxa"/>
            <w:vAlign w:val="center"/>
          </w:tcPr>
          <w:p>
            <w:pPr>
              <w:pStyle w:val="63"/>
              <w:spacing w:line="320" w:lineRule="exact"/>
              <w:ind w:right="51" w:rightChars="15"/>
              <w:rPr>
                <w:color w:val="auto"/>
                <w:sz w:val="21"/>
                <w:szCs w:val="21"/>
                <w:highlight w:val="none"/>
              </w:rPr>
            </w:pPr>
            <w:r>
              <w:rPr>
                <w:rFonts w:hint="eastAsia"/>
                <w:color w:val="auto"/>
                <w:sz w:val="21"/>
                <w:szCs w:val="21"/>
                <w:highlight w:val="none"/>
              </w:rPr>
              <w:t>1.</w:t>
            </w:r>
            <w:r>
              <w:rPr>
                <w:rFonts w:hint="eastAsia"/>
                <w:color w:val="auto"/>
                <w:sz w:val="21"/>
                <w:szCs w:val="21"/>
                <w:highlight w:val="none"/>
                <w:lang w:val="zh-CN"/>
              </w:rPr>
              <w:t>交货时间</w:t>
            </w:r>
            <w:r>
              <w:rPr>
                <w:rFonts w:hint="eastAsia"/>
                <w:color w:val="auto"/>
                <w:sz w:val="21"/>
                <w:szCs w:val="21"/>
                <w:highlight w:val="none"/>
              </w:rPr>
              <w:t>：自合同签订生效之日起</w:t>
            </w:r>
            <w:r>
              <w:rPr>
                <w:color w:val="auto"/>
                <w:sz w:val="21"/>
                <w:szCs w:val="21"/>
                <w:highlight w:val="none"/>
              </w:rPr>
              <w:t>90</w:t>
            </w:r>
            <w:r>
              <w:rPr>
                <w:rFonts w:hint="eastAsia"/>
                <w:color w:val="auto"/>
                <w:sz w:val="21"/>
                <w:szCs w:val="21"/>
                <w:highlight w:val="none"/>
              </w:rPr>
              <w:t>日内完成设备的供货、安装、调试、验收等工作。</w:t>
            </w:r>
          </w:p>
          <w:p>
            <w:pPr>
              <w:pStyle w:val="63"/>
              <w:spacing w:line="320" w:lineRule="exact"/>
              <w:ind w:right="51" w:rightChars="15"/>
              <w:rPr>
                <w:color w:val="auto"/>
                <w:sz w:val="21"/>
                <w:szCs w:val="21"/>
                <w:highlight w:val="none"/>
              </w:rPr>
            </w:pPr>
            <w:r>
              <w:rPr>
                <w:rFonts w:hint="eastAsia"/>
                <w:color w:val="auto"/>
                <w:sz w:val="21"/>
                <w:szCs w:val="21"/>
                <w:highlight w:val="none"/>
              </w:rPr>
              <w:t>2.交货地点：所有货物在采购人使用现场安装调试经验收合格后交货。投标人必须按合同的规定，准时提供投标产品和材料并负责所供产品、材料的包装和运输并且免费安装调试。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numPr>
                <w:ilvl w:val="0"/>
                <w:numId w:val="3"/>
              </w:numPr>
              <w:spacing w:line="320" w:lineRule="exact"/>
              <w:ind w:right="-4"/>
              <w:jc w:val="center"/>
              <w:rPr>
                <w:color w:val="auto"/>
                <w:sz w:val="21"/>
                <w:szCs w:val="21"/>
                <w:highlight w:val="none"/>
              </w:rPr>
            </w:pPr>
          </w:p>
        </w:tc>
        <w:tc>
          <w:tcPr>
            <w:tcW w:w="1596" w:type="dxa"/>
            <w:vAlign w:val="center"/>
          </w:tcPr>
          <w:p>
            <w:pPr>
              <w:pStyle w:val="63"/>
              <w:spacing w:line="320" w:lineRule="exact"/>
              <w:ind w:left="96"/>
              <w:jc w:val="center"/>
              <w:rPr>
                <w:color w:val="auto"/>
                <w:sz w:val="21"/>
                <w:szCs w:val="21"/>
                <w:highlight w:val="none"/>
              </w:rPr>
            </w:pPr>
            <w:r>
              <w:rPr>
                <w:rFonts w:hint="eastAsia"/>
                <w:color w:val="auto"/>
                <w:sz w:val="21"/>
                <w:szCs w:val="21"/>
                <w:highlight w:val="none"/>
              </w:rPr>
              <w:t>质量要求、验收标准</w:t>
            </w:r>
          </w:p>
        </w:tc>
        <w:tc>
          <w:tcPr>
            <w:tcW w:w="7244" w:type="dxa"/>
            <w:vAlign w:val="center"/>
          </w:tcPr>
          <w:p>
            <w:pPr>
              <w:pStyle w:val="63"/>
              <w:spacing w:line="320" w:lineRule="exact"/>
              <w:ind w:left="78" w:leftChars="23" w:right="51" w:rightChars="15"/>
              <w:rPr>
                <w:color w:val="auto"/>
                <w:sz w:val="21"/>
                <w:szCs w:val="21"/>
                <w:highlight w:val="none"/>
              </w:rPr>
            </w:pPr>
            <w:r>
              <w:rPr>
                <w:rFonts w:hint="eastAsia"/>
                <w:color w:val="auto"/>
                <w:sz w:val="21"/>
                <w:szCs w:val="21"/>
                <w:highlight w:val="none"/>
              </w:rPr>
              <w:t>质量要求：达到国家相关标准、行业标准、地方标准或者其他标准、规范要求；</w:t>
            </w:r>
          </w:p>
          <w:p>
            <w:pPr>
              <w:pStyle w:val="63"/>
              <w:spacing w:line="320" w:lineRule="exact"/>
              <w:ind w:left="78" w:leftChars="23" w:right="51" w:rightChars="15"/>
              <w:rPr>
                <w:color w:val="auto"/>
                <w:sz w:val="21"/>
                <w:szCs w:val="21"/>
                <w:highlight w:val="none"/>
              </w:rPr>
            </w:pPr>
            <w:r>
              <w:rPr>
                <w:rFonts w:hint="eastAsia"/>
                <w:color w:val="auto"/>
                <w:sz w:val="21"/>
                <w:szCs w:val="21"/>
                <w:highlight w:val="none"/>
              </w:rPr>
              <w:t>验收标准：中标人与采购人应严格按照《财政部关于进一步加强政府采购需求和履约验收管理的指导意见》(财库〔2016〕205号)的要求进行验收。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numPr>
                <w:ilvl w:val="0"/>
                <w:numId w:val="3"/>
              </w:numPr>
              <w:spacing w:line="320" w:lineRule="exact"/>
              <w:ind w:right="-4"/>
              <w:jc w:val="center"/>
              <w:rPr>
                <w:color w:val="auto"/>
                <w:sz w:val="21"/>
                <w:szCs w:val="21"/>
                <w:highlight w:val="none"/>
              </w:rPr>
            </w:pPr>
          </w:p>
        </w:tc>
        <w:tc>
          <w:tcPr>
            <w:tcW w:w="1596" w:type="dxa"/>
            <w:vAlign w:val="center"/>
          </w:tcPr>
          <w:p>
            <w:pPr>
              <w:pStyle w:val="63"/>
              <w:spacing w:line="320" w:lineRule="exact"/>
              <w:ind w:left="96"/>
              <w:jc w:val="center"/>
              <w:rPr>
                <w:color w:val="auto"/>
                <w:sz w:val="21"/>
                <w:szCs w:val="21"/>
                <w:highlight w:val="none"/>
              </w:rPr>
            </w:pPr>
            <w:r>
              <w:rPr>
                <w:rFonts w:hint="eastAsia"/>
                <w:color w:val="auto"/>
                <w:sz w:val="21"/>
                <w:szCs w:val="21"/>
                <w:highlight w:val="none"/>
              </w:rPr>
              <w:t>现场考察、标前答疑会</w:t>
            </w:r>
          </w:p>
        </w:tc>
        <w:tc>
          <w:tcPr>
            <w:tcW w:w="7244" w:type="dxa"/>
            <w:vAlign w:val="center"/>
          </w:tcPr>
          <w:p>
            <w:pPr>
              <w:pStyle w:val="63"/>
              <w:wordWrap w:val="0"/>
              <w:topLinePunct/>
              <w:spacing w:line="320" w:lineRule="exact"/>
              <w:ind w:right="170" w:rightChars="50"/>
              <w:jc w:val="both"/>
              <w:rPr>
                <w:color w:val="auto"/>
                <w:sz w:val="21"/>
                <w:szCs w:val="21"/>
                <w:highlight w:val="none"/>
              </w:rPr>
            </w:pPr>
            <w:r>
              <w:rPr>
                <w:rFonts w:hint="eastAsia"/>
                <w:color w:val="auto"/>
                <w:sz w:val="21"/>
                <w:szCs w:val="21"/>
                <w:highlight w:val="none"/>
              </w:rPr>
              <w:t>1.采购人、采购代理机构可以视采购项目的具体情况，组织投标人进行现场考察或开标前答疑会，但不得单独或分别组织只有一个投标人参加的现场考察和答疑会。若组织答疑会和现场考察以采购代理机构通知为准。</w:t>
            </w:r>
          </w:p>
          <w:p>
            <w:pPr>
              <w:pStyle w:val="63"/>
              <w:spacing w:line="320" w:lineRule="exact"/>
              <w:ind w:left="78" w:leftChars="23" w:right="51" w:rightChars="15"/>
              <w:rPr>
                <w:color w:val="auto"/>
                <w:sz w:val="21"/>
                <w:szCs w:val="21"/>
                <w:highlight w:val="none"/>
              </w:rPr>
            </w:pPr>
            <w:r>
              <w:rPr>
                <w:rFonts w:hint="eastAsia"/>
                <w:color w:val="auto"/>
                <w:sz w:val="21"/>
                <w:szCs w:val="21"/>
                <w:highlight w:val="none"/>
              </w:rPr>
              <w:t>2.投标人考察现场所发生的一切费用由投标人自己承担。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numPr>
                <w:ilvl w:val="0"/>
                <w:numId w:val="3"/>
              </w:numPr>
              <w:spacing w:line="320" w:lineRule="exact"/>
              <w:ind w:right="-4"/>
              <w:jc w:val="center"/>
              <w:rPr>
                <w:color w:val="auto"/>
                <w:sz w:val="21"/>
                <w:highlight w:val="none"/>
                <w:lang w:val="zh-CN"/>
              </w:rPr>
            </w:pPr>
          </w:p>
        </w:tc>
        <w:tc>
          <w:tcPr>
            <w:tcW w:w="1596" w:type="dxa"/>
            <w:vAlign w:val="center"/>
          </w:tcPr>
          <w:p>
            <w:pPr>
              <w:pStyle w:val="63"/>
              <w:spacing w:line="320" w:lineRule="exact"/>
              <w:ind w:left="96"/>
              <w:jc w:val="center"/>
              <w:rPr>
                <w:color w:val="auto"/>
                <w:sz w:val="21"/>
                <w:highlight w:val="none"/>
                <w:lang w:val="zh-CN"/>
              </w:rPr>
            </w:pPr>
            <w:r>
              <w:rPr>
                <w:rFonts w:hint="eastAsia"/>
                <w:color w:val="auto"/>
                <w:sz w:val="21"/>
                <w:highlight w:val="none"/>
                <w:lang w:val="zh-CN"/>
              </w:rPr>
              <w:t>投标保证金</w:t>
            </w:r>
            <w:r>
              <w:rPr>
                <w:rFonts w:hint="eastAsia"/>
                <w:color w:val="auto"/>
                <w:sz w:val="21"/>
                <w:highlight w:val="none"/>
              </w:rPr>
              <w:t>(实质性要求)</w:t>
            </w:r>
          </w:p>
        </w:tc>
        <w:tc>
          <w:tcPr>
            <w:tcW w:w="7244" w:type="dxa"/>
            <w:vAlign w:val="center"/>
          </w:tcPr>
          <w:p>
            <w:pPr>
              <w:spacing w:line="320" w:lineRule="exact"/>
              <w:ind w:left="78" w:leftChars="23" w:right="51" w:rightChars="15"/>
              <w:rPr>
                <w:rFonts w:hAnsi="宋体" w:cs="宋体"/>
                <w:color w:val="auto"/>
                <w:sz w:val="21"/>
                <w:highlight w:val="none"/>
                <w:lang w:val="zh-CN"/>
              </w:rPr>
            </w:pPr>
            <w:r>
              <w:rPr>
                <w:rFonts w:hint="eastAsia" w:hAnsi="宋体" w:cs="宋体"/>
                <w:color w:val="auto"/>
                <w:sz w:val="21"/>
                <w:highlight w:val="none"/>
                <w:lang w:val="zh-CN"/>
              </w:rPr>
              <w:t>根据四川省财政厅关于进一步做好疫情防控期间政府采购工作有关事项的通知（川财采【2020】28号），疫情防控期间不收取投标保证金。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numPr>
                <w:ilvl w:val="0"/>
                <w:numId w:val="3"/>
              </w:numPr>
              <w:spacing w:line="320" w:lineRule="exact"/>
              <w:ind w:right="-4"/>
              <w:jc w:val="center"/>
              <w:rPr>
                <w:color w:val="auto"/>
                <w:sz w:val="21"/>
                <w:szCs w:val="21"/>
                <w:highlight w:val="none"/>
              </w:rPr>
            </w:pPr>
          </w:p>
        </w:tc>
        <w:tc>
          <w:tcPr>
            <w:tcW w:w="1596" w:type="dxa"/>
            <w:vAlign w:val="center"/>
          </w:tcPr>
          <w:p>
            <w:pPr>
              <w:pStyle w:val="63"/>
              <w:spacing w:line="320" w:lineRule="exact"/>
              <w:ind w:left="96"/>
              <w:jc w:val="center"/>
              <w:rPr>
                <w:color w:val="auto"/>
                <w:sz w:val="21"/>
                <w:highlight w:val="none"/>
              </w:rPr>
            </w:pPr>
            <w:r>
              <w:rPr>
                <w:rFonts w:hint="eastAsia"/>
                <w:color w:val="auto"/>
                <w:sz w:val="21"/>
                <w:highlight w:val="none"/>
              </w:rPr>
              <w:t>履约保证金</w:t>
            </w:r>
          </w:p>
          <w:p>
            <w:pPr>
              <w:pStyle w:val="63"/>
              <w:spacing w:line="320" w:lineRule="exact"/>
              <w:ind w:left="96"/>
              <w:jc w:val="center"/>
              <w:rPr>
                <w:color w:val="auto"/>
                <w:sz w:val="21"/>
                <w:highlight w:val="none"/>
              </w:rPr>
            </w:pPr>
            <w:r>
              <w:rPr>
                <w:rFonts w:hint="eastAsia"/>
                <w:color w:val="auto"/>
                <w:sz w:val="21"/>
                <w:highlight w:val="none"/>
              </w:rPr>
              <w:t>(实质性要求)</w:t>
            </w:r>
          </w:p>
        </w:tc>
        <w:tc>
          <w:tcPr>
            <w:tcW w:w="7244" w:type="dxa"/>
            <w:vAlign w:val="center"/>
          </w:tcPr>
          <w:p>
            <w:pPr>
              <w:spacing w:line="320" w:lineRule="exact"/>
              <w:ind w:left="78" w:leftChars="23" w:right="51" w:rightChars="15"/>
              <w:rPr>
                <w:rFonts w:hAnsi="宋体" w:cs="宋体"/>
                <w:color w:val="auto"/>
                <w:sz w:val="21"/>
                <w:highlight w:val="none"/>
              </w:rPr>
            </w:pPr>
            <w:r>
              <w:rPr>
                <w:rFonts w:hint="eastAsia" w:hAnsi="宋体" w:cs="宋体"/>
                <w:color w:val="auto"/>
                <w:sz w:val="21"/>
                <w:highlight w:val="none"/>
              </w:rPr>
              <w:t>本项目不作要求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5"/>
              <w:numPr>
                <w:ilvl w:val="0"/>
                <w:numId w:val="3"/>
              </w:numPr>
              <w:spacing w:line="320" w:lineRule="exact"/>
              <w:ind w:firstLineChars="0"/>
              <w:jc w:val="center"/>
              <w:rPr>
                <w:rFonts w:ascii="宋体" w:hAnsi="宋体"/>
                <w:color w:val="auto"/>
                <w:sz w:val="21"/>
                <w:szCs w:val="21"/>
                <w:highlight w:val="none"/>
              </w:rPr>
            </w:pPr>
          </w:p>
        </w:tc>
        <w:tc>
          <w:tcPr>
            <w:tcW w:w="1596" w:type="dxa"/>
            <w:vAlign w:val="center"/>
          </w:tcPr>
          <w:p>
            <w:pPr>
              <w:pStyle w:val="63"/>
              <w:spacing w:line="320" w:lineRule="exact"/>
              <w:ind w:left="96"/>
              <w:jc w:val="center"/>
              <w:rPr>
                <w:color w:val="auto"/>
                <w:sz w:val="21"/>
                <w:szCs w:val="21"/>
                <w:highlight w:val="none"/>
              </w:rPr>
            </w:pPr>
            <w:r>
              <w:rPr>
                <w:rFonts w:hint="eastAsia"/>
                <w:color w:val="auto"/>
                <w:sz w:val="21"/>
                <w:szCs w:val="21"/>
                <w:highlight w:val="none"/>
              </w:rPr>
              <w:t>联合体投标</w:t>
            </w:r>
          </w:p>
          <w:p>
            <w:pPr>
              <w:pStyle w:val="63"/>
              <w:spacing w:line="320" w:lineRule="exact"/>
              <w:ind w:left="96"/>
              <w:jc w:val="center"/>
              <w:rPr>
                <w:color w:val="auto"/>
                <w:sz w:val="21"/>
                <w:szCs w:val="21"/>
                <w:highlight w:val="none"/>
              </w:rPr>
            </w:pPr>
            <w:r>
              <w:rPr>
                <w:rFonts w:hint="eastAsia"/>
                <w:color w:val="auto"/>
                <w:sz w:val="21"/>
                <w:szCs w:val="21"/>
                <w:highlight w:val="none"/>
              </w:rPr>
              <w:t>(实质性要求)</w:t>
            </w:r>
          </w:p>
        </w:tc>
        <w:tc>
          <w:tcPr>
            <w:tcW w:w="7244" w:type="dxa"/>
            <w:vAlign w:val="center"/>
          </w:tcPr>
          <w:p>
            <w:pPr>
              <w:spacing w:line="320" w:lineRule="exact"/>
              <w:ind w:left="78" w:leftChars="23" w:right="51" w:rightChars="15"/>
              <w:rPr>
                <w:rFonts w:hAnsi="宋体" w:cs="宋体"/>
                <w:color w:val="auto"/>
                <w:sz w:val="21"/>
                <w:szCs w:val="21"/>
                <w:highlight w:val="none"/>
              </w:rPr>
            </w:pPr>
            <w:r>
              <w:rPr>
                <w:rFonts w:hint="eastAsia" w:hAnsi="宋体" w:cs="宋体"/>
                <w:color w:val="auto"/>
                <w:sz w:val="21"/>
                <w:szCs w:val="21"/>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5"/>
              <w:numPr>
                <w:ilvl w:val="0"/>
                <w:numId w:val="3"/>
              </w:numPr>
              <w:spacing w:line="320" w:lineRule="exact"/>
              <w:ind w:firstLineChars="0"/>
              <w:jc w:val="center"/>
              <w:rPr>
                <w:rFonts w:ascii="宋体" w:hAnsi="宋体"/>
                <w:color w:val="auto"/>
                <w:sz w:val="21"/>
                <w:szCs w:val="21"/>
                <w:highlight w:val="none"/>
              </w:rPr>
            </w:pPr>
          </w:p>
        </w:tc>
        <w:tc>
          <w:tcPr>
            <w:tcW w:w="1596" w:type="dxa"/>
            <w:vAlign w:val="center"/>
          </w:tcPr>
          <w:p>
            <w:pPr>
              <w:pStyle w:val="63"/>
              <w:spacing w:line="320" w:lineRule="exact"/>
              <w:ind w:left="96"/>
              <w:jc w:val="center"/>
              <w:rPr>
                <w:color w:val="auto"/>
                <w:sz w:val="21"/>
                <w:szCs w:val="21"/>
                <w:highlight w:val="none"/>
              </w:rPr>
            </w:pPr>
            <w:r>
              <w:rPr>
                <w:rFonts w:hint="eastAsia"/>
                <w:color w:val="auto"/>
                <w:sz w:val="21"/>
                <w:szCs w:val="21"/>
                <w:highlight w:val="none"/>
              </w:rPr>
              <w:t>投标有效期</w:t>
            </w:r>
          </w:p>
          <w:p>
            <w:pPr>
              <w:pStyle w:val="63"/>
              <w:spacing w:line="320" w:lineRule="exact"/>
              <w:ind w:left="96"/>
              <w:jc w:val="center"/>
              <w:rPr>
                <w:color w:val="auto"/>
                <w:sz w:val="21"/>
                <w:szCs w:val="21"/>
                <w:highlight w:val="none"/>
              </w:rPr>
            </w:pPr>
            <w:r>
              <w:rPr>
                <w:rFonts w:hint="eastAsia"/>
                <w:color w:val="auto"/>
                <w:sz w:val="21"/>
                <w:szCs w:val="21"/>
                <w:highlight w:val="none"/>
              </w:rPr>
              <w:t>(实质性要求)</w:t>
            </w:r>
          </w:p>
        </w:tc>
        <w:tc>
          <w:tcPr>
            <w:tcW w:w="7244" w:type="dxa"/>
            <w:vAlign w:val="center"/>
          </w:tcPr>
          <w:p>
            <w:pPr>
              <w:spacing w:line="320" w:lineRule="exact"/>
              <w:ind w:left="78" w:leftChars="23" w:right="51" w:rightChars="15"/>
              <w:rPr>
                <w:rFonts w:hAnsi="宋体" w:cs="宋体"/>
                <w:color w:val="auto"/>
                <w:sz w:val="21"/>
                <w:szCs w:val="21"/>
                <w:highlight w:val="none"/>
              </w:rPr>
            </w:pPr>
            <w:r>
              <w:rPr>
                <w:rFonts w:hint="eastAsia" w:hAnsi="宋体" w:cs="宋体"/>
                <w:color w:val="auto"/>
                <w:sz w:val="21"/>
                <w:szCs w:val="21"/>
                <w:highlight w:val="none"/>
              </w:rPr>
              <w:t>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5"/>
              <w:numPr>
                <w:ilvl w:val="0"/>
                <w:numId w:val="3"/>
              </w:numPr>
              <w:spacing w:line="320" w:lineRule="exact"/>
              <w:ind w:firstLineChars="0"/>
              <w:jc w:val="center"/>
              <w:rPr>
                <w:rFonts w:ascii="宋体" w:hAnsi="宋体"/>
                <w:color w:val="auto"/>
                <w:sz w:val="21"/>
                <w:szCs w:val="21"/>
                <w:highlight w:val="none"/>
              </w:rPr>
            </w:pPr>
          </w:p>
        </w:tc>
        <w:tc>
          <w:tcPr>
            <w:tcW w:w="1596" w:type="dxa"/>
            <w:vAlign w:val="center"/>
          </w:tcPr>
          <w:p>
            <w:pPr>
              <w:pStyle w:val="63"/>
              <w:spacing w:line="320" w:lineRule="exact"/>
              <w:ind w:left="96"/>
              <w:jc w:val="center"/>
              <w:rPr>
                <w:color w:val="auto"/>
                <w:sz w:val="21"/>
                <w:szCs w:val="21"/>
                <w:highlight w:val="none"/>
              </w:rPr>
            </w:pPr>
            <w:r>
              <w:rPr>
                <w:rFonts w:hint="eastAsia"/>
                <w:color w:val="auto"/>
                <w:sz w:val="21"/>
                <w:szCs w:val="21"/>
                <w:highlight w:val="none"/>
              </w:rPr>
              <w:t>备选投标方案和报价</w:t>
            </w:r>
          </w:p>
        </w:tc>
        <w:tc>
          <w:tcPr>
            <w:tcW w:w="7244" w:type="dxa"/>
            <w:vAlign w:val="center"/>
          </w:tcPr>
          <w:p>
            <w:pPr>
              <w:spacing w:line="320" w:lineRule="exact"/>
              <w:ind w:left="78" w:leftChars="23" w:right="51" w:rightChars="15"/>
              <w:rPr>
                <w:rFonts w:hAnsi="宋体" w:cs="宋体"/>
                <w:color w:val="auto"/>
                <w:sz w:val="21"/>
                <w:szCs w:val="21"/>
                <w:highlight w:val="none"/>
              </w:rPr>
            </w:pPr>
            <w:r>
              <w:rPr>
                <w:rFonts w:hint="eastAsia" w:hAnsi="宋体" w:cs="宋体"/>
                <w:color w:val="auto"/>
                <w:sz w:val="21"/>
                <w:szCs w:val="21"/>
                <w:highlight w:val="none"/>
              </w:rPr>
              <w:t>本项目不接受备选投标方案和多个报价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5"/>
              <w:numPr>
                <w:ilvl w:val="0"/>
                <w:numId w:val="3"/>
              </w:numPr>
              <w:spacing w:line="320" w:lineRule="exact"/>
              <w:ind w:firstLineChars="0"/>
              <w:jc w:val="center"/>
              <w:rPr>
                <w:rFonts w:ascii="宋体" w:hAnsi="宋体"/>
                <w:color w:val="auto"/>
                <w:sz w:val="21"/>
                <w:szCs w:val="21"/>
                <w:highlight w:val="none"/>
              </w:rPr>
            </w:pPr>
          </w:p>
        </w:tc>
        <w:tc>
          <w:tcPr>
            <w:tcW w:w="1596" w:type="dxa"/>
            <w:vAlign w:val="center"/>
          </w:tcPr>
          <w:p>
            <w:pPr>
              <w:pStyle w:val="63"/>
              <w:spacing w:line="320" w:lineRule="exact"/>
              <w:ind w:left="96"/>
              <w:jc w:val="center"/>
              <w:rPr>
                <w:color w:val="auto"/>
                <w:sz w:val="21"/>
                <w:szCs w:val="21"/>
                <w:highlight w:val="none"/>
                <w:lang w:val="zh-CN"/>
              </w:rPr>
            </w:pPr>
            <w:r>
              <w:rPr>
                <w:rFonts w:hint="eastAsia"/>
                <w:color w:val="auto"/>
                <w:sz w:val="21"/>
                <w:szCs w:val="21"/>
                <w:highlight w:val="none"/>
              </w:rPr>
              <w:t>招标</w:t>
            </w:r>
            <w:r>
              <w:rPr>
                <w:rFonts w:hint="eastAsia"/>
                <w:color w:val="auto"/>
                <w:sz w:val="21"/>
                <w:szCs w:val="21"/>
                <w:highlight w:val="none"/>
                <w:lang w:val="zh-CN"/>
              </w:rPr>
              <w:t>代理</w:t>
            </w:r>
          </w:p>
          <w:p>
            <w:pPr>
              <w:pStyle w:val="63"/>
              <w:spacing w:line="320" w:lineRule="exact"/>
              <w:ind w:left="96"/>
              <w:jc w:val="center"/>
              <w:rPr>
                <w:color w:val="auto"/>
                <w:sz w:val="21"/>
                <w:szCs w:val="21"/>
                <w:highlight w:val="none"/>
                <w:lang w:val="zh-CN"/>
              </w:rPr>
            </w:pPr>
            <w:r>
              <w:rPr>
                <w:rFonts w:hint="eastAsia"/>
                <w:color w:val="auto"/>
                <w:sz w:val="21"/>
                <w:szCs w:val="21"/>
                <w:highlight w:val="none"/>
                <w:lang w:val="zh-CN"/>
              </w:rPr>
              <w:t>服务费</w:t>
            </w:r>
          </w:p>
        </w:tc>
        <w:tc>
          <w:tcPr>
            <w:tcW w:w="7244" w:type="dxa"/>
            <w:vAlign w:val="center"/>
          </w:tcPr>
          <w:p>
            <w:pPr>
              <w:numPr>
                <w:ilvl w:val="0"/>
                <w:numId w:val="4"/>
              </w:numPr>
              <w:spacing w:line="320" w:lineRule="exact"/>
              <w:ind w:left="78" w:leftChars="23" w:right="51" w:rightChars="15"/>
              <w:rPr>
                <w:rFonts w:hAnsi="宋体" w:cs="宋体"/>
                <w:color w:val="auto"/>
                <w:sz w:val="21"/>
                <w:szCs w:val="21"/>
                <w:highlight w:val="none"/>
              </w:rPr>
            </w:pPr>
            <w:r>
              <w:rPr>
                <w:rFonts w:hint="eastAsia" w:hAnsi="宋体" w:cs="宋体"/>
                <w:color w:val="auto"/>
                <w:sz w:val="21"/>
                <w:szCs w:val="21"/>
                <w:highlight w:val="none"/>
              </w:rPr>
              <w:t>收取标准：</w:t>
            </w:r>
            <w:r>
              <w:rPr>
                <w:rFonts w:hint="eastAsia" w:hAnsi="宋体" w:cs="宋体"/>
                <w:color w:val="auto"/>
                <w:sz w:val="21"/>
                <w:szCs w:val="21"/>
                <w:highlight w:val="none"/>
                <w:lang w:val="zh-CN"/>
              </w:rPr>
              <w:t>该费用参照《招标代理服务收费管理暂行办法》(计价格</w:t>
            </w:r>
            <w:r>
              <w:rPr>
                <w:rFonts w:hint="eastAsia" w:hAnsi="宋体" w:cs="宋体"/>
                <w:color w:val="auto"/>
                <w:sz w:val="21"/>
                <w:szCs w:val="21"/>
                <w:highlight w:val="none"/>
              </w:rPr>
              <w:t>〔</w:t>
            </w:r>
            <w:r>
              <w:rPr>
                <w:rFonts w:hint="eastAsia" w:hAnsi="宋体" w:cs="宋体"/>
                <w:color w:val="auto"/>
                <w:sz w:val="21"/>
                <w:szCs w:val="21"/>
                <w:highlight w:val="none"/>
                <w:lang w:val="zh-CN"/>
              </w:rPr>
              <w:t>2002</w:t>
            </w:r>
            <w:r>
              <w:rPr>
                <w:rFonts w:hint="eastAsia" w:hAnsi="宋体" w:cs="宋体"/>
                <w:color w:val="auto"/>
                <w:sz w:val="21"/>
                <w:szCs w:val="21"/>
                <w:highlight w:val="none"/>
              </w:rPr>
              <w:t>〕</w:t>
            </w:r>
            <w:r>
              <w:rPr>
                <w:rFonts w:hint="eastAsia" w:hAnsi="宋体" w:cs="宋体"/>
                <w:color w:val="auto"/>
                <w:sz w:val="21"/>
                <w:szCs w:val="21"/>
                <w:highlight w:val="none"/>
                <w:lang w:val="zh-CN"/>
              </w:rPr>
              <w:t>1980号)及《国家发展改革委办公厅关于招标代理服务收费有关问题的通知》(发改办价格</w:t>
            </w:r>
            <w:r>
              <w:rPr>
                <w:rFonts w:hint="eastAsia" w:hAnsi="宋体" w:cs="宋体"/>
                <w:color w:val="auto"/>
                <w:sz w:val="21"/>
                <w:szCs w:val="21"/>
                <w:highlight w:val="none"/>
              </w:rPr>
              <w:t>〔</w:t>
            </w:r>
            <w:r>
              <w:rPr>
                <w:rFonts w:hint="eastAsia" w:hAnsi="宋体" w:cs="宋体"/>
                <w:color w:val="auto"/>
                <w:sz w:val="21"/>
                <w:szCs w:val="21"/>
                <w:highlight w:val="none"/>
                <w:lang w:val="zh-CN"/>
              </w:rPr>
              <w:t>2003</w:t>
            </w:r>
            <w:r>
              <w:rPr>
                <w:rFonts w:hint="eastAsia" w:hAnsi="宋体" w:cs="宋体"/>
                <w:color w:val="auto"/>
                <w:sz w:val="21"/>
                <w:szCs w:val="21"/>
                <w:highlight w:val="none"/>
              </w:rPr>
              <w:t>〕</w:t>
            </w:r>
            <w:r>
              <w:rPr>
                <w:rFonts w:hint="eastAsia" w:hAnsi="宋体" w:cs="宋体"/>
                <w:color w:val="auto"/>
                <w:sz w:val="21"/>
                <w:szCs w:val="21"/>
                <w:highlight w:val="none"/>
                <w:lang w:val="zh-CN"/>
              </w:rPr>
              <w:t>857号)</w:t>
            </w:r>
            <w:r>
              <w:rPr>
                <w:rFonts w:hint="eastAsia" w:hAnsi="宋体" w:cs="宋体"/>
                <w:color w:val="auto"/>
                <w:sz w:val="21"/>
                <w:szCs w:val="21"/>
                <w:highlight w:val="none"/>
              </w:rPr>
              <w:t>的标准</w:t>
            </w:r>
            <w:r>
              <w:rPr>
                <w:rFonts w:hint="eastAsia" w:hAnsi="宋体" w:cs="宋体"/>
                <w:color w:val="auto"/>
                <w:sz w:val="21"/>
                <w:szCs w:val="21"/>
                <w:highlight w:val="none"/>
                <w:lang w:val="zh-CN"/>
              </w:rPr>
              <w:t>计取</w:t>
            </w:r>
            <w:r>
              <w:rPr>
                <w:rFonts w:hint="eastAsia" w:hAnsi="宋体" w:cs="宋体"/>
                <w:color w:val="auto"/>
                <w:sz w:val="21"/>
                <w:szCs w:val="21"/>
                <w:highlight w:val="none"/>
              </w:rPr>
              <w:t>。</w:t>
            </w:r>
          </w:p>
          <w:p>
            <w:pPr>
              <w:numPr>
                <w:ilvl w:val="0"/>
                <w:numId w:val="4"/>
              </w:numPr>
              <w:spacing w:line="320" w:lineRule="exact"/>
              <w:ind w:left="78" w:leftChars="23" w:right="51" w:rightChars="15"/>
              <w:rPr>
                <w:rFonts w:hAnsi="宋体" w:cs="宋体"/>
                <w:color w:val="auto"/>
                <w:sz w:val="21"/>
                <w:szCs w:val="21"/>
                <w:highlight w:val="none"/>
                <w:lang w:val="zh-CN"/>
              </w:rPr>
            </w:pPr>
            <w:r>
              <w:rPr>
                <w:rFonts w:hint="eastAsia" w:hAnsi="宋体" w:cs="宋体"/>
                <w:color w:val="auto"/>
                <w:sz w:val="21"/>
                <w:szCs w:val="21"/>
                <w:highlight w:val="none"/>
              </w:rPr>
              <w:t>收取方式：中标通知书发出后二个工作日内由中标人一次性支付。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8" w:hRule="atLeast"/>
          <w:jc w:val="center"/>
        </w:trPr>
        <w:tc>
          <w:tcPr>
            <w:tcW w:w="910" w:type="dxa"/>
            <w:vAlign w:val="center"/>
          </w:tcPr>
          <w:p>
            <w:pPr>
              <w:pStyle w:val="63"/>
              <w:numPr>
                <w:ilvl w:val="0"/>
                <w:numId w:val="3"/>
              </w:numPr>
              <w:wordWrap w:val="0"/>
              <w:spacing w:line="320" w:lineRule="exact"/>
              <w:jc w:val="center"/>
              <w:rPr>
                <w:color w:val="auto"/>
                <w:sz w:val="21"/>
                <w:szCs w:val="21"/>
                <w:highlight w:val="none"/>
              </w:rPr>
            </w:pPr>
          </w:p>
        </w:tc>
        <w:tc>
          <w:tcPr>
            <w:tcW w:w="1596" w:type="dxa"/>
            <w:vAlign w:val="center"/>
          </w:tcPr>
          <w:p>
            <w:pPr>
              <w:pStyle w:val="63"/>
              <w:spacing w:line="320" w:lineRule="exact"/>
              <w:ind w:left="96"/>
              <w:jc w:val="center"/>
              <w:rPr>
                <w:color w:val="auto"/>
                <w:sz w:val="21"/>
                <w:szCs w:val="21"/>
                <w:highlight w:val="none"/>
                <w:lang w:val="zh-CN"/>
              </w:rPr>
            </w:pPr>
            <w:r>
              <w:rPr>
                <w:rFonts w:hint="eastAsia"/>
                <w:color w:val="auto"/>
                <w:sz w:val="21"/>
                <w:szCs w:val="21"/>
                <w:highlight w:val="none"/>
              </w:rPr>
              <w:t>是否</w:t>
            </w:r>
            <w:r>
              <w:rPr>
                <w:rFonts w:hint="eastAsia"/>
                <w:color w:val="auto"/>
                <w:sz w:val="21"/>
                <w:szCs w:val="21"/>
                <w:highlight w:val="none"/>
                <w:lang w:val="zh-CN"/>
              </w:rPr>
              <w:t>专门面向中小企业的项目</w:t>
            </w:r>
            <w:r>
              <w:rPr>
                <w:rFonts w:hint="eastAsia"/>
                <w:color w:val="auto"/>
                <w:sz w:val="21"/>
                <w:szCs w:val="21"/>
                <w:highlight w:val="none"/>
              </w:rPr>
              <w:t>或专门面向小微企业采购的项目</w:t>
            </w:r>
          </w:p>
        </w:tc>
        <w:tc>
          <w:tcPr>
            <w:tcW w:w="7244" w:type="dxa"/>
            <w:vAlign w:val="center"/>
          </w:tcPr>
          <w:p>
            <w:pPr>
              <w:pStyle w:val="63"/>
              <w:wordWrap w:val="0"/>
              <w:topLinePunct/>
              <w:spacing w:line="320" w:lineRule="exact"/>
              <w:ind w:left="78" w:leftChars="23" w:right="51" w:rightChars="15"/>
              <w:jc w:val="both"/>
              <w:rPr>
                <w:color w:val="auto"/>
                <w:sz w:val="21"/>
                <w:szCs w:val="21"/>
                <w:highlight w:val="none"/>
                <w:lang w:val="zh-CN"/>
              </w:rPr>
            </w:pPr>
            <w:r>
              <w:rPr>
                <w:rFonts w:hint="eastAsia"/>
                <w:color w:val="auto"/>
                <w:sz w:val="21"/>
                <w:szCs w:val="21"/>
                <w:highlight w:val="none"/>
              </w:rPr>
              <w:t>本项目为</w:t>
            </w:r>
            <w:r>
              <w:rPr>
                <w:rFonts w:hint="eastAsia"/>
                <w:color w:val="auto"/>
                <w:sz w:val="21"/>
                <w:szCs w:val="21"/>
                <w:highlight w:val="none"/>
                <w:lang w:val="zh-CN"/>
              </w:rPr>
              <w:t>非专门面向中小企业</w:t>
            </w:r>
            <w:r>
              <w:rPr>
                <w:rFonts w:hint="eastAsia"/>
                <w:color w:val="auto"/>
                <w:sz w:val="21"/>
                <w:szCs w:val="21"/>
                <w:highlight w:val="none"/>
              </w:rPr>
              <w:t>采购</w:t>
            </w:r>
            <w:r>
              <w:rPr>
                <w:rFonts w:hint="eastAsia"/>
                <w:color w:val="auto"/>
                <w:sz w:val="21"/>
                <w:szCs w:val="21"/>
                <w:highlight w:val="none"/>
                <w:lang w:val="zh-CN"/>
              </w:rPr>
              <w:t>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910" w:type="dxa"/>
            <w:vAlign w:val="center"/>
          </w:tcPr>
          <w:p>
            <w:pPr>
              <w:pStyle w:val="63"/>
              <w:numPr>
                <w:ilvl w:val="0"/>
                <w:numId w:val="3"/>
              </w:numPr>
              <w:wordWrap w:val="0"/>
              <w:spacing w:line="320" w:lineRule="exact"/>
              <w:jc w:val="center"/>
              <w:rPr>
                <w:color w:val="auto"/>
                <w:sz w:val="21"/>
                <w:szCs w:val="21"/>
                <w:highlight w:val="none"/>
              </w:rPr>
            </w:pPr>
          </w:p>
        </w:tc>
        <w:tc>
          <w:tcPr>
            <w:tcW w:w="1596" w:type="dxa"/>
            <w:vAlign w:val="center"/>
          </w:tcPr>
          <w:p>
            <w:pPr>
              <w:pStyle w:val="63"/>
              <w:spacing w:line="320" w:lineRule="exact"/>
              <w:ind w:left="96"/>
              <w:jc w:val="center"/>
              <w:rPr>
                <w:rFonts w:hint="eastAsia"/>
                <w:color w:val="auto"/>
                <w:sz w:val="21"/>
                <w:szCs w:val="21"/>
                <w:highlight w:val="none"/>
              </w:rPr>
            </w:pPr>
            <w:r>
              <w:rPr>
                <w:rFonts w:hint="eastAsia" w:ascii="宋体" w:hAnsi="宋体" w:eastAsia="宋体" w:cs="宋体"/>
                <w:color w:val="auto"/>
                <w:sz w:val="21"/>
                <w:szCs w:val="21"/>
                <w:highlight w:val="none"/>
                <w:lang w:val="zh-CN"/>
              </w:rPr>
              <w:t>小微企业（监狱企业、残疾人福利性单位视同小微企业）价格扣除</w:t>
            </w:r>
          </w:p>
        </w:tc>
        <w:tc>
          <w:tcPr>
            <w:tcW w:w="7244" w:type="dxa"/>
            <w:vAlign w:val="center"/>
          </w:tcPr>
          <w:p>
            <w:pPr>
              <w:widowControl/>
              <w:jc w:val="left"/>
              <w:rPr>
                <w:rFonts w:hint="eastAsia"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所属行业</w:t>
            </w:r>
            <w:r>
              <w:rPr>
                <w:rFonts w:hint="eastAsia" w:cs="宋体"/>
                <w:color w:val="auto"/>
                <w:sz w:val="21"/>
                <w:szCs w:val="21"/>
                <w:highlight w:val="none"/>
                <w:lang w:val="zh-CN" w:eastAsia="zh-CN"/>
              </w:rPr>
              <w:t>：工业。</w:t>
            </w:r>
          </w:p>
          <w:p>
            <w:pPr>
              <w:widowControl/>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1、根据《政府采购促进中小企业发展管理办法》（财库[2020]46 号）的规定，对小型和微型企业产品的价格给予 10%的价格扣除，用扣除后的价格参与评审。</w:t>
            </w:r>
          </w:p>
          <w:p>
            <w:pPr>
              <w:widowControl/>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2、参加政府采购活动的中小企业（监狱企业）提供《中小企业（监狱企业）声明函》原件，未提供的，视为放弃享受小微企业价格扣除优惠政策。</w:t>
            </w:r>
          </w:p>
          <w:p>
            <w:pPr>
              <w:widowControl/>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大中型企业和其他自然人、法人或者其他组织与小型、微型企业组成联合体共同参加非专门面向中小企业的政府采购活动的，联合体投标协议中约定，小型、微型企业的协议合同金额占到联合体投标协议合同总金额30%以上的，可给予联合体3%的价格扣除。 </w:t>
            </w:r>
          </w:p>
          <w:p>
            <w:pPr>
              <w:widowControl/>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联合体各方均为小型、微型企业的，联合体视同为小型、微型企业享受规定的扶持政策。组成联合体的大中型企业和其他自然人、法人或者其他组织，与小型、微型企业之间不得存在投资关系。</w:t>
            </w:r>
          </w:p>
          <w:p>
            <w:pPr>
              <w:pStyle w:val="63"/>
              <w:wordWrap w:val="0"/>
              <w:topLinePunct/>
              <w:spacing w:line="320" w:lineRule="exact"/>
              <w:ind w:left="78" w:leftChars="23" w:right="51" w:rightChars="15"/>
              <w:jc w:val="both"/>
              <w:rPr>
                <w:rFonts w:hint="eastAsia"/>
                <w:color w:val="auto"/>
                <w:sz w:val="21"/>
                <w:szCs w:val="21"/>
                <w:highlight w:val="none"/>
              </w:rPr>
            </w:pPr>
            <w:r>
              <w:rPr>
                <w:rFonts w:hint="eastAsia" w:ascii="宋体" w:hAnsi="宋体" w:eastAsia="宋体" w:cs="宋体"/>
                <w:color w:val="auto"/>
                <w:sz w:val="21"/>
                <w:szCs w:val="21"/>
                <w:highlight w:val="none"/>
                <w:lang w:val="en-US" w:eastAsia="zh-CN"/>
              </w:rPr>
              <w:t>4、参加政府采购活动的残疾人福利性单位应当提供《残疾人福利性单位声明函》原件，未提供的，视为放弃享受小微企业价格扣除优惠政策。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numPr>
                <w:ilvl w:val="0"/>
                <w:numId w:val="3"/>
              </w:numPr>
              <w:wordWrap w:val="0"/>
              <w:spacing w:line="320" w:lineRule="exact"/>
              <w:jc w:val="center"/>
              <w:rPr>
                <w:color w:val="auto"/>
                <w:sz w:val="21"/>
                <w:szCs w:val="21"/>
                <w:highlight w:val="none"/>
              </w:rPr>
            </w:pPr>
          </w:p>
        </w:tc>
        <w:tc>
          <w:tcPr>
            <w:tcW w:w="1596" w:type="dxa"/>
            <w:vAlign w:val="center"/>
          </w:tcPr>
          <w:p>
            <w:pPr>
              <w:pStyle w:val="63"/>
              <w:spacing w:line="320" w:lineRule="exact"/>
              <w:ind w:left="38"/>
              <w:jc w:val="center"/>
              <w:rPr>
                <w:color w:val="auto"/>
                <w:kern w:val="2"/>
                <w:sz w:val="21"/>
                <w:szCs w:val="21"/>
                <w:highlight w:val="none"/>
              </w:rPr>
            </w:pPr>
            <w:r>
              <w:rPr>
                <w:rFonts w:hint="eastAsia"/>
                <w:color w:val="auto"/>
                <w:kern w:val="2"/>
                <w:sz w:val="21"/>
                <w:szCs w:val="21"/>
                <w:highlight w:val="none"/>
              </w:rPr>
              <w:t>低于成本价不正当竞争预防措施</w:t>
            </w:r>
          </w:p>
          <w:p>
            <w:pPr>
              <w:pStyle w:val="63"/>
              <w:spacing w:line="320" w:lineRule="exact"/>
              <w:ind w:left="38"/>
              <w:jc w:val="center"/>
              <w:rPr>
                <w:color w:val="auto"/>
                <w:sz w:val="21"/>
                <w:szCs w:val="21"/>
                <w:highlight w:val="none"/>
              </w:rPr>
            </w:pPr>
            <w:r>
              <w:rPr>
                <w:rFonts w:hint="eastAsia"/>
                <w:color w:val="auto"/>
                <w:sz w:val="21"/>
                <w:szCs w:val="21"/>
                <w:highlight w:val="none"/>
              </w:rPr>
              <w:t>(实质性要求)</w:t>
            </w:r>
          </w:p>
        </w:tc>
        <w:tc>
          <w:tcPr>
            <w:tcW w:w="7244" w:type="dxa"/>
            <w:vAlign w:val="center"/>
          </w:tcPr>
          <w:p>
            <w:pPr>
              <w:pStyle w:val="63"/>
              <w:spacing w:line="320" w:lineRule="exact"/>
              <w:ind w:left="78" w:leftChars="23" w:right="51" w:rightChars="15"/>
              <w:jc w:val="both"/>
              <w:rPr>
                <w:rFonts w:hint="eastAsia" w:eastAsia="宋体"/>
                <w:color w:val="auto"/>
                <w:sz w:val="21"/>
                <w:szCs w:val="21"/>
                <w:highlight w:val="none"/>
                <w:lang w:eastAsia="zh-CN"/>
              </w:rPr>
            </w:pPr>
            <w:r>
              <w:rPr>
                <w:rFonts w:hint="eastAsia"/>
                <w:color w:val="auto"/>
                <w:sz w:val="21"/>
                <w:szCs w:val="21"/>
                <w:highlight w:val="none"/>
              </w:rPr>
              <w:t>在评审过程中，评标委员会认为供应商的报价明显低于其他通过资格性、符合性审查供应商的报价，有可能影响产品质量或者不能诚信履约的，评审委员会应当要求其在评审现场合理的时间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63"/>
              <w:spacing w:line="320" w:lineRule="exact"/>
              <w:ind w:left="78" w:leftChars="23" w:right="51" w:rightChars="15"/>
              <w:jc w:val="both"/>
              <w:rPr>
                <w:rFonts w:hint="eastAsia" w:eastAsia="宋体"/>
                <w:color w:val="auto"/>
                <w:sz w:val="21"/>
                <w:szCs w:val="21"/>
                <w:highlight w:val="none"/>
                <w:lang w:eastAsia="zh-CN"/>
              </w:rPr>
            </w:pPr>
            <w:r>
              <w:rPr>
                <w:rFonts w:hint="eastAsia"/>
                <w:color w:val="auto"/>
                <w:sz w:val="21"/>
                <w:szCs w:val="21"/>
                <w:highlight w:val="none"/>
              </w:rPr>
              <w:t>供应商书面说明应当签字确认或者加盖公章，否则无效。</w:t>
            </w:r>
          </w:p>
          <w:p>
            <w:pPr>
              <w:pStyle w:val="63"/>
              <w:spacing w:line="320" w:lineRule="exact"/>
              <w:ind w:left="78" w:leftChars="23" w:right="51" w:rightChars="15"/>
              <w:jc w:val="both"/>
              <w:rPr>
                <w:color w:val="auto"/>
                <w:sz w:val="21"/>
                <w:szCs w:val="21"/>
                <w:highlight w:val="none"/>
              </w:rPr>
            </w:pPr>
            <w:r>
              <w:rPr>
                <w:rFonts w:hint="eastAsia"/>
                <w:color w:val="auto"/>
                <w:sz w:val="21"/>
                <w:szCs w:val="21"/>
                <w:highlight w:val="none"/>
              </w:rPr>
              <w:t>供应商提供书面说明后，评审委员会应当结合采购项目采购需求、专业实际情况、供应商财务状况报告、与其他供应商比较情况等就供应商书面说明进行审查评价。供应商拒绝或者变相拒绝提供有效书面说明或者书面说明不能证明其报价合理性的，评审委员会应当将其投标文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numPr>
                <w:ilvl w:val="0"/>
                <w:numId w:val="3"/>
              </w:numPr>
              <w:wordWrap w:val="0"/>
              <w:spacing w:line="320" w:lineRule="exact"/>
              <w:jc w:val="center"/>
              <w:rPr>
                <w:color w:val="auto"/>
                <w:sz w:val="21"/>
                <w:szCs w:val="21"/>
                <w:highlight w:val="none"/>
              </w:rPr>
            </w:pPr>
          </w:p>
        </w:tc>
        <w:tc>
          <w:tcPr>
            <w:tcW w:w="1596" w:type="dxa"/>
            <w:vAlign w:val="center"/>
          </w:tcPr>
          <w:p>
            <w:pPr>
              <w:pStyle w:val="63"/>
              <w:spacing w:line="320" w:lineRule="exact"/>
              <w:jc w:val="center"/>
              <w:rPr>
                <w:color w:val="auto"/>
                <w:sz w:val="21"/>
                <w:szCs w:val="21"/>
                <w:highlight w:val="none"/>
                <w:lang w:val="zh-CN"/>
              </w:rPr>
            </w:pPr>
            <w:r>
              <w:rPr>
                <w:rFonts w:hint="eastAsia"/>
                <w:color w:val="auto"/>
                <w:sz w:val="21"/>
                <w:szCs w:val="21"/>
                <w:highlight w:val="none"/>
                <w:lang w:val="zh-CN"/>
              </w:rPr>
              <w:t>评</w:t>
            </w:r>
            <w:r>
              <w:rPr>
                <w:rFonts w:hint="eastAsia"/>
                <w:color w:val="auto"/>
                <w:sz w:val="21"/>
                <w:szCs w:val="21"/>
                <w:highlight w:val="none"/>
              </w:rPr>
              <w:t>审</w:t>
            </w:r>
            <w:r>
              <w:rPr>
                <w:rFonts w:hint="eastAsia"/>
                <w:color w:val="auto"/>
                <w:sz w:val="21"/>
                <w:szCs w:val="21"/>
                <w:highlight w:val="none"/>
                <w:lang w:val="zh-CN"/>
              </w:rPr>
              <w:t>情况的公告</w:t>
            </w:r>
          </w:p>
        </w:tc>
        <w:tc>
          <w:tcPr>
            <w:tcW w:w="7244" w:type="dxa"/>
            <w:vAlign w:val="center"/>
          </w:tcPr>
          <w:p>
            <w:pPr>
              <w:pStyle w:val="63"/>
              <w:wordWrap w:val="0"/>
              <w:topLinePunct/>
              <w:spacing w:line="320" w:lineRule="exact"/>
              <w:ind w:left="78" w:leftChars="23" w:right="51" w:rightChars="15"/>
              <w:jc w:val="both"/>
              <w:rPr>
                <w:color w:val="auto"/>
                <w:sz w:val="21"/>
                <w:szCs w:val="21"/>
                <w:highlight w:val="none"/>
                <w:lang w:val="zh-CN"/>
              </w:rPr>
            </w:pPr>
            <w:r>
              <w:rPr>
                <w:rFonts w:hint="eastAsia"/>
                <w:color w:val="auto"/>
                <w:sz w:val="21"/>
                <w:szCs w:val="21"/>
                <w:highlight w:val="none"/>
              </w:rPr>
              <w:t>所有供应商投标文件资格性、符合性审查情况、采用综合评分法时的总得分和分项汇总得分情况、评审结果等将在四川政府采购网上采购结果公告附件中予以公告。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numPr>
                <w:ilvl w:val="0"/>
                <w:numId w:val="3"/>
              </w:numPr>
              <w:wordWrap w:val="0"/>
              <w:spacing w:line="320" w:lineRule="exact"/>
              <w:jc w:val="center"/>
              <w:rPr>
                <w:color w:val="auto"/>
                <w:sz w:val="21"/>
                <w:szCs w:val="21"/>
                <w:highlight w:val="none"/>
              </w:rPr>
            </w:pPr>
          </w:p>
        </w:tc>
        <w:tc>
          <w:tcPr>
            <w:tcW w:w="1596" w:type="dxa"/>
            <w:vAlign w:val="center"/>
          </w:tcPr>
          <w:p>
            <w:pPr>
              <w:pStyle w:val="63"/>
              <w:spacing w:line="320" w:lineRule="exact"/>
              <w:jc w:val="center"/>
              <w:rPr>
                <w:color w:val="auto"/>
                <w:sz w:val="21"/>
                <w:szCs w:val="21"/>
                <w:highlight w:val="none"/>
                <w:lang w:val="zh-CN"/>
              </w:rPr>
            </w:pPr>
            <w:r>
              <w:rPr>
                <w:rFonts w:hint="eastAsia"/>
                <w:color w:val="auto"/>
                <w:kern w:val="2"/>
                <w:sz w:val="21"/>
                <w:szCs w:val="21"/>
                <w:highlight w:val="none"/>
              </w:rPr>
              <w:t>采购文件咨询</w:t>
            </w:r>
          </w:p>
        </w:tc>
        <w:tc>
          <w:tcPr>
            <w:tcW w:w="7244" w:type="dxa"/>
          </w:tcPr>
          <w:p>
            <w:pPr>
              <w:spacing w:line="320" w:lineRule="exact"/>
              <w:ind w:left="78" w:leftChars="23" w:right="51" w:rightChars="15"/>
              <w:rPr>
                <w:rFonts w:hAnsi="宋体" w:cs="宋体"/>
                <w:color w:val="auto"/>
                <w:sz w:val="21"/>
                <w:szCs w:val="21"/>
                <w:highlight w:val="none"/>
              </w:rPr>
            </w:pPr>
            <w:r>
              <w:rPr>
                <w:rFonts w:hint="eastAsia" w:hAnsi="宋体" w:cs="宋体"/>
                <w:color w:val="auto"/>
                <w:sz w:val="21"/>
                <w:szCs w:val="21"/>
                <w:highlight w:val="none"/>
              </w:rPr>
              <w:t>联系人：</w:t>
            </w:r>
            <w:r>
              <w:rPr>
                <w:rFonts w:hint="eastAsia" w:hAnsi="宋体" w:cs="宋体"/>
                <w:color w:val="auto"/>
                <w:sz w:val="21"/>
                <w:szCs w:val="21"/>
                <w:highlight w:val="none"/>
                <w:lang w:eastAsia="zh-CN"/>
              </w:rPr>
              <w:t>王女士</w:t>
            </w:r>
            <w:r>
              <w:rPr>
                <w:rFonts w:hint="eastAsia" w:hAnsi="宋体" w:cs="宋体"/>
                <w:color w:val="auto"/>
                <w:sz w:val="21"/>
                <w:szCs w:val="21"/>
                <w:highlight w:val="none"/>
              </w:rPr>
              <w:t xml:space="preserve">    </w:t>
            </w:r>
          </w:p>
          <w:p>
            <w:pPr>
              <w:spacing w:line="320" w:lineRule="exact"/>
              <w:ind w:left="78" w:leftChars="23" w:right="51" w:rightChars="15"/>
              <w:rPr>
                <w:rFonts w:hint="eastAsia" w:hAnsi="宋体" w:eastAsia="宋体" w:cs="宋体"/>
                <w:color w:val="auto"/>
                <w:sz w:val="21"/>
                <w:szCs w:val="21"/>
                <w:highlight w:val="none"/>
                <w:lang w:eastAsia="zh-CN"/>
              </w:rPr>
            </w:pPr>
            <w:r>
              <w:rPr>
                <w:rFonts w:hint="eastAsia" w:hAnsi="宋体" w:cs="宋体"/>
                <w:color w:val="auto"/>
                <w:sz w:val="21"/>
                <w:szCs w:val="21"/>
                <w:highlight w:val="none"/>
              </w:rPr>
              <w:t>联系电话：</w:t>
            </w:r>
            <w:r>
              <w:rPr>
                <w:rFonts w:hint="eastAsia" w:hAnsi="宋体" w:cs="宋体"/>
                <w:color w:val="auto"/>
                <w:sz w:val="24"/>
                <w:highlight w:val="none"/>
                <w:lang w:eastAsia="zh-CN"/>
              </w:rPr>
              <w:t>028-82212457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numPr>
                <w:ilvl w:val="0"/>
                <w:numId w:val="3"/>
              </w:numPr>
              <w:wordWrap w:val="0"/>
              <w:spacing w:line="320" w:lineRule="exact"/>
              <w:jc w:val="center"/>
              <w:rPr>
                <w:color w:val="auto"/>
                <w:sz w:val="21"/>
                <w:szCs w:val="21"/>
                <w:highlight w:val="none"/>
              </w:rPr>
            </w:pPr>
          </w:p>
        </w:tc>
        <w:tc>
          <w:tcPr>
            <w:tcW w:w="1596" w:type="dxa"/>
            <w:vAlign w:val="center"/>
          </w:tcPr>
          <w:p>
            <w:pPr>
              <w:pStyle w:val="63"/>
              <w:spacing w:line="320" w:lineRule="exact"/>
              <w:jc w:val="center"/>
              <w:rPr>
                <w:color w:val="auto"/>
                <w:sz w:val="21"/>
                <w:szCs w:val="21"/>
                <w:highlight w:val="none"/>
                <w:lang w:val="zh-CN"/>
              </w:rPr>
            </w:pPr>
            <w:r>
              <w:rPr>
                <w:rFonts w:hint="eastAsia"/>
                <w:color w:val="auto"/>
                <w:kern w:val="2"/>
                <w:sz w:val="21"/>
                <w:szCs w:val="21"/>
                <w:highlight w:val="none"/>
              </w:rPr>
              <w:t>开评标工作咨询</w:t>
            </w:r>
          </w:p>
        </w:tc>
        <w:tc>
          <w:tcPr>
            <w:tcW w:w="7244" w:type="dxa"/>
          </w:tcPr>
          <w:p>
            <w:pPr>
              <w:spacing w:line="320" w:lineRule="exact"/>
              <w:ind w:left="78" w:leftChars="23" w:right="51" w:rightChars="15"/>
              <w:rPr>
                <w:rFonts w:hAnsi="宋体" w:cs="宋体"/>
                <w:color w:val="auto"/>
                <w:sz w:val="21"/>
                <w:szCs w:val="21"/>
                <w:highlight w:val="none"/>
              </w:rPr>
            </w:pPr>
            <w:r>
              <w:rPr>
                <w:rFonts w:hint="eastAsia" w:hAnsi="宋体" w:cs="宋体"/>
                <w:color w:val="auto"/>
                <w:sz w:val="21"/>
                <w:szCs w:val="21"/>
                <w:highlight w:val="none"/>
              </w:rPr>
              <w:t>联系人：</w:t>
            </w:r>
            <w:r>
              <w:rPr>
                <w:rFonts w:hint="eastAsia" w:hAnsi="宋体" w:cs="宋体"/>
                <w:color w:val="auto"/>
                <w:sz w:val="21"/>
                <w:szCs w:val="21"/>
                <w:highlight w:val="none"/>
                <w:lang w:eastAsia="zh-CN"/>
              </w:rPr>
              <w:t>王女士</w:t>
            </w:r>
            <w:r>
              <w:rPr>
                <w:rFonts w:hint="eastAsia" w:hAnsi="宋体" w:cs="宋体"/>
                <w:color w:val="auto"/>
                <w:sz w:val="21"/>
                <w:szCs w:val="21"/>
                <w:highlight w:val="none"/>
              </w:rPr>
              <w:t xml:space="preserve">     </w:t>
            </w:r>
          </w:p>
          <w:p>
            <w:pPr>
              <w:spacing w:line="320" w:lineRule="exact"/>
              <w:ind w:left="78" w:leftChars="23" w:right="51" w:rightChars="15"/>
              <w:rPr>
                <w:rFonts w:hint="eastAsia" w:hAnsi="宋体" w:eastAsia="宋体" w:cs="宋体"/>
                <w:color w:val="auto"/>
                <w:sz w:val="21"/>
                <w:szCs w:val="21"/>
                <w:highlight w:val="none"/>
                <w:lang w:eastAsia="zh-CN"/>
              </w:rPr>
            </w:pPr>
            <w:r>
              <w:rPr>
                <w:rFonts w:hint="eastAsia" w:hAnsi="宋体" w:cs="宋体"/>
                <w:color w:val="auto"/>
                <w:sz w:val="21"/>
                <w:szCs w:val="21"/>
                <w:highlight w:val="none"/>
              </w:rPr>
              <w:t>联系电话：</w:t>
            </w:r>
            <w:r>
              <w:rPr>
                <w:rFonts w:hint="eastAsia" w:hAnsi="宋体" w:cs="宋体"/>
                <w:color w:val="auto"/>
                <w:sz w:val="24"/>
                <w:highlight w:val="none"/>
                <w:lang w:eastAsia="zh-CN"/>
              </w:rPr>
              <w:t>028-82212457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numPr>
                <w:ilvl w:val="0"/>
                <w:numId w:val="3"/>
              </w:numPr>
              <w:wordWrap w:val="0"/>
              <w:spacing w:line="320" w:lineRule="exact"/>
              <w:jc w:val="center"/>
              <w:rPr>
                <w:color w:val="auto"/>
                <w:sz w:val="21"/>
                <w:szCs w:val="21"/>
                <w:highlight w:val="none"/>
              </w:rPr>
            </w:pPr>
          </w:p>
        </w:tc>
        <w:tc>
          <w:tcPr>
            <w:tcW w:w="1596" w:type="dxa"/>
            <w:vAlign w:val="center"/>
          </w:tcPr>
          <w:p>
            <w:pPr>
              <w:spacing w:line="320" w:lineRule="exact"/>
              <w:ind w:left="170" w:leftChars="50" w:right="170" w:rightChars="50"/>
              <w:jc w:val="center"/>
              <w:rPr>
                <w:rFonts w:hAnsi="宋体" w:cs="宋体"/>
                <w:color w:val="auto"/>
                <w:sz w:val="21"/>
                <w:szCs w:val="21"/>
                <w:highlight w:val="none"/>
                <w:lang w:val="zh-CN"/>
              </w:rPr>
            </w:pPr>
            <w:r>
              <w:rPr>
                <w:rFonts w:hint="eastAsia" w:hAnsi="宋体" w:cs="宋体"/>
                <w:color w:val="auto"/>
                <w:sz w:val="21"/>
                <w:szCs w:val="21"/>
                <w:highlight w:val="none"/>
              </w:rPr>
              <w:t>中标通知书领取</w:t>
            </w:r>
          </w:p>
        </w:tc>
        <w:tc>
          <w:tcPr>
            <w:tcW w:w="7244" w:type="dxa"/>
            <w:vAlign w:val="center"/>
          </w:tcPr>
          <w:p>
            <w:pPr>
              <w:pStyle w:val="63"/>
              <w:wordWrap w:val="0"/>
              <w:spacing w:line="320" w:lineRule="exact"/>
              <w:ind w:left="78" w:leftChars="23" w:right="51" w:rightChars="15"/>
              <w:jc w:val="both"/>
              <w:rPr>
                <w:color w:val="auto"/>
                <w:sz w:val="21"/>
                <w:szCs w:val="21"/>
                <w:highlight w:val="none"/>
              </w:rPr>
            </w:pPr>
            <w:r>
              <w:rPr>
                <w:rFonts w:hint="eastAsia"/>
                <w:color w:val="auto"/>
                <w:sz w:val="21"/>
                <w:szCs w:val="21"/>
                <w:highlight w:val="none"/>
              </w:rPr>
              <w:t>结果公告在四川政府采购网上公告后，请中标供应商凭有效身份证明证件到四川岳华工程咨询有限公司领取中标通知书</w:t>
            </w:r>
          </w:p>
          <w:p>
            <w:pPr>
              <w:spacing w:line="320" w:lineRule="exact"/>
              <w:ind w:left="78" w:leftChars="23" w:right="51" w:rightChars="15"/>
              <w:rPr>
                <w:rFonts w:hAnsi="宋体" w:cs="宋体"/>
                <w:color w:val="auto"/>
                <w:sz w:val="21"/>
                <w:szCs w:val="21"/>
                <w:highlight w:val="none"/>
              </w:rPr>
            </w:pPr>
            <w:r>
              <w:rPr>
                <w:rFonts w:hint="eastAsia" w:hAnsi="宋体" w:cs="宋体"/>
                <w:color w:val="auto"/>
                <w:sz w:val="21"/>
                <w:szCs w:val="21"/>
                <w:highlight w:val="none"/>
              </w:rPr>
              <w:t>联系人：</w:t>
            </w:r>
            <w:r>
              <w:rPr>
                <w:rFonts w:hint="eastAsia" w:hAnsi="宋体" w:cs="宋体"/>
                <w:color w:val="auto"/>
                <w:sz w:val="21"/>
                <w:szCs w:val="21"/>
                <w:highlight w:val="none"/>
                <w:lang w:eastAsia="zh-CN"/>
              </w:rPr>
              <w:t>王女士</w:t>
            </w:r>
            <w:r>
              <w:rPr>
                <w:rFonts w:hint="eastAsia" w:hAnsi="宋体" w:cs="宋体"/>
                <w:color w:val="auto"/>
                <w:sz w:val="21"/>
                <w:szCs w:val="21"/>
                <w:highlight w:val="none"/>
              </w:rPr>
              <w:t xml:space="preserve">    </w:t>
            </w:r>
          </w:p>
          <w:p>
            <w:pPr>
              <w:spacing w:line="320" w:lineRule="exact"/>
              <w:ind w:left="78" w:leftChars="23" w:right="51" w:rightChars="15"/>
              <w:rPr>
                <w:rFonts w:hint="eastAsia" w:hAnsi="宋体" w:eastAsia="宋体" w:cs="宋体"/>
                <w:color w:val="auto"/>
                <w:sz w:val="21"/>
                <w:szCs w:val="21"/>
                <w:highlight w:val="none"/>
                <w:lang w:eastAsia="zh-CN"/>
              </w:rPr>
            </w:pPr>
            <w:r>
              <w:rPr>
                <w:rFonts w:hint="eastAsia" w:hAnsi="宋体" w:cs="宋体"/>
                <w:color w:val="auto"/>
                <w:sz w:val="21"/>
                <w:szCs w:val="21"/>
                <w:highlight w:val="none"/>
              </w:rPr>
              <w:t>联系电话：</w:t>
            </w:r>
            <w:r>
              <w:rPr>
                <w:rFonts w:hint="eastAsia" w:hAnsi="宋体" w:cs="宋体"/>
                <w:color w:val="auto"/>
                <w:sz w:val="24"/>
                <w:highlight w:val="none"/>
                <w:lang w:eastAsia="zh-CN"/>
              </w:rPr>
              <w:t>028-82212457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numPr>
                <w:ilvl w:val="0"/>
                <w:numId w:val="3"/>
              </w:numPr>
              <w:wordWrap w:val="0"/>
              <w:spacing w:line="320" w:lineRule="exact"/>
              <w:jc w:val="center"/>
              <w:rPr>
                <w:color w:val="auto"/>
                <w:sz w:val="21"/>
                <w:szCs w:val="21"/>
                <w:highlight w:val="none"/>
              </w:rPr>
            </w:pPr>
          </w:p>
        </w:tc>
        <w:tc>
          <w:tcPr>
            <w:tcW w:w="1596" w:type="dxa"/>
            <w:vAlign w:val="center"/>
          </w:tcPr>
          <w:p>
            <w:pPr>
              <w:pStyle w:val="63"/>
              <w:spacing w:line="320" w:lineRule="exact"/>
              <w:jc w:val="center"/>
              <w:rPr>
                <w:color w:val="auto"/>
                <w:sz w:val="21"/>
                <w:szCs w:val="21"/>
                <w:highlight w:val="none"/>
                <w:lang w:val="zh-CN"/>
              </w:rPr>
            </w:pPr>
            <w:r>
              <w:rPr>
                <w:rFonts w:hint="eastAsia"/>
                <w:color w:val="auto"/>
                <w:kern w:val="2"/>
                <w:sz w:val="21"/>
                <w:szCs w:val="21"/>
                <w:highlight w:val="none"/>
              </w:rPr>
              <w:t>供应商询问</w:t>
            </w:r>
          </w:p>
        </w:tc>
        <w:tc>
          <w:tcPr>
            <w:tcW w:w="7244" w:type="dxa"/>
          </w:tcPr>
          <w:p>
            <w:pPr>
              <w:spacing w:line="320" w:lineRule="exact"/>
              <w:ind w:left="78" w:leftChars="23" w:right="51" w:rightChars="15"/>
              <w:rPr>
                <w:rFonts w:hAnsi="宋体" w:cs="宋体"/>
                <w:color w:val="auto"/>
                <w:sz w:val="21"/>
                <w:szCs w:val="21"/>
                <w:highlight w:val="none"/>
                <w:lang w:val="zh-CN"/>
              </w:rPr>
            </w:pPr>
            <w:r>
              <w:rPr>
                <w:rFonts w:hint="eastAsia" w:hAnsi="宋体" w:cs="宋体"/>
                <w:color w:val="auto"/>
                <w:sz w:val="21"/>
                <w:szCs w:val="21"/>
                <w:highlight w:val="none"/>
              </w:rPr>
              <w:t>根据委托代理协议约定，供应商询问由采购代理机构</w:t>
            </w:r>
            <w:r>
              <w:rPr>
                <w:rFonts w:hint="eastAsia" w:hAnsi="宋体" w:cs="宋体"/>
                <w:color w:val="auto"/>
                <w:sz w:val="21"/>
                <w:szCs w:val="21"/>
                <w:highlight w:val="none"/>
                <w:lang w:val="zh-CN"/>
              </w:rPr>
              <w:t>负责答复</w:t>
            </w:r>
          </w:p>
          <w:p>
            <w:pPr>
              <w:spacing w:line="320" w:lineRule="exact"/>
              <w:ind w:left="78" w:leftChars="23" w:right="51" w:rightChars="15"/>
              <w:rPr>
                <w:rFonts w:hAnsi="宋体" w:cs="宋体"/>
                <w:color w:val="auto"/>
                <w:sz w:val="21"/>
                <w:szCs w:val="21"/>
                <w:highlight w:val="none"/>
              </w:rPr>
            </w:pPr>
            <w:r>
              <w:rPr>
                <w:rFonts w:hint="eastAsia" w:hAnsi="宋体" w:cs="宋体"/>
                <w:color w:val="auto"/>
                <w:sz w:val="21"/>
                <w:szCs w:val="21"/>
                <w:highlight w:val="none"/>
              </w:rPr>
              <w:t>联系人：</w:t>
            </w:r>
            <w:r>
              <w:rPr>
                <w:rFonts w:hint="eastAsia" w:hAnsi="宋体" w:cs="宋体"/>
                <w:color w:val="auto"/>
                <w:sz w:val="21"/>
                <w:szCs w:val="21"/>
                <w:highlight w:val="none"/>
                <w:lang w:eastAsia="zh-CN"/>
              </w:rPr>
              <w:t>王女士</w:t>
            </w:r>
            <w:r>
              <w:rPr>
                <w:rFonts w:hint="eastAsia" w:hAnsi="宋体" w:cs="宋体"/>
                <w:color w:val="auto"/>
                <w:sz w:val="21"/>
                <w:szCs w:val="21"/>
                <w:highlight w:val="none"/>
              </w:rPr>
              <w:t xml:space="preserve">     </w:t>
            </w:r>
          </w:p>
          <w:p>
            <w:pPr>
              <w:spacing w:line="320" w:lineRule="exact"/>
              <w:ind w:left="78" w:leftChars="23" w:right="51" w:rightChars="15"/>
              <w:rPr>
                <w:rFonts w:hint="eastAsia" w:hAnsi="宋体" w:eastAsia="宋体" w:cs="宋体"/>
                <w:color w:val="auto"/>
                <w:sz w:val="21"/>
                <w:szCs w:val="21"/>
                <w:highlight w:val="none"/>
                <w:lang w:eastAsia="zh-CN"/>
              </w:rPr>
            </w:pPr>
            <w:r>
              <w:rPr>
                <w:rFonts w:hint="eastAsia" w:hAnsi="宋体" w:cs="宋体"/>
                <w:color w:val="auto"/>
                <w:sz w:val="21"/>
                <w:szCs w:val="21"/>
                <w:highlight w:val="none"/>
              </w:rPr>
              <w:t>联系电话：</w:t>
            </w:r>
            <w:r>
              <w:rPr>
                <w:rFonts w:hint="eastAsia" w:hAnsi="宋体" w:cs="宋体"/>
                <w:color w:val="auto"/>
                <w:sz w:val="24"/>
                <w:highlight w:val="none"/>
                <w:lang w:eastAsia="zh-CN"/>
              </w:rPr>
              <w:t>028-82212457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numPr>
                <w:ilvl w:val="0"/>
                <w:numId w:val="3"/>
              </w:numPr>
              <w:wordWrap w:val="0"/>
              <w:spacing w:line="320" w:lineRule="exact"/>
              <w:jc w:val="center"/>
              <w:rPr>
                <w:color w:val="auto"/>
                <w:sz w:val="21"/>
                <w:szCs w:val="21"/>
                <w:highlight w:val="none"/>
              </w:rPr>
            </w:pPr>
          </w:p>
        </w:tc>
        <w:tc>
          <w:tcPr>
            <w:tcW w:w="1596" w:type="dxa"/>
            <w:vAlign w:val="center"/>
          </w:tcPr>
          <w:p>
            <w:pPr>
              <w:pStyle w:val="63"/>
              <w:spacing w:line="320" w:lineRule="exact"/>
              <w:jc w:val="center"/>
              <w:rPr>
                <w:color w:val="auto"/>
                <w:sz w:val="21"/>
                <w:szCs w:val="21"/>
                <w:highlight w:val="none"/>
                <w:lang w:val="zh-CN"/>
              </w:rPr>
            </w:pPr>
            <w:r>
              <w:rPr>
                <w:rFonts w:hint="eastAsia"/>
                <w:color w:val="auto"/>
                <w:kern w:val="2"/>
                <w:sz w:val="21"/>
                <w:szCs w:val="21"/>
                <w:highlight w:val="none"/>
              </w:rPr>
              <w:t>供应商质疑</w:t>
            </w:r>
          </w:p>
        </w:tc>
        <w:tc>
          <w:tcPr>
            <w:tcW w:w="7244" w:type="dxa"/>
            <w:vAlign w:val="center"/>
          </w:tcPr>
          <w:p>
            <w:pPr>
              <w:spacing w:line="320" w:lineRule="exact"/>
              <w:ind w:left="78" w:leftChars="23" w:right="51" w:rightChars="15"/>
              <w:jc w:val="left"/>
              <w:rPr>
                <w:rFonts w:hAnsi="宋体" w:cs="宋体"/>
                <w:color w:val="auto"/>
                <w:sz w:val="21"/>
                <w:szCs w:val="21"/>
                <w:highlight w:val="none"/>
              </w:rPr>
            </w:pPr>
            <w:r>
              <w:rPr>
                <w:rFonts w:hint="eastAsia" w:hAnsi="宋体" w:cs="宋体"/>
                <w:color w:val="auto"/>
                <w:sz w:val="21"/>
                <w:szCs w:val="21"/>
                <w:highlight w:val="none"/>
              </w:rPr>
              <w:t>根据委托代理协议约定，对于采购文件(招标文件技术条款和除政府采购法第二十二条之外的其他资格条件、专业商务要求)的质疑由采购人</w:t>
            </w:r>
            <w:r>
              <w:rPr>
                <w:rFonts w:hint="eastAsia" w:hAnsi="宋体" w:cs="宋体"/>
                <w:color w:val="auto"/>
                <w:sz w:val="21"/>
                <w:szCs w:val="21"/>
                <w:highlight w:val="none"/>
                <w:lang w:val="zh-CN"/>
              </w:rPr>
              <w:t>负责答复；对于采购过程</w:t>
            </w:r>
            <w:r>
              <w:rPr>
                <w:rFonts w:hint="eastAsia" w:hAnsi="宋体" w:cs="宋体"/>
                <w:color w:val="auto"/>
                <w:sz w:val="21"/>
                <w:szCs w:val="21"/>
                <w:highlight w:val="none"/>
              </w:rPr>
              <w:t>由采购代理机构</w:t>
            </w:r>
            <w:r>
              <w:rPr>
                <w:rFonts w:hint="eastAsia" w:hAnsi="宋体" w:cs="宋体"/>
                <w:color w:val="auto"/>
                <w:sz w:val="21"/>
                <w:szCs w:val="21"/>
                <w:highlight w:val="none"/>
                <w:lang w:val="zh-CN"/>
              </w:rPr>
              <w:t>负责答复；对于采购结果</w:t>
            </w:r>
            <w:r>
              <w:rPr>
                <w:rFonts w:hint="eastAsia" w:hAnsi="宋体" w:cs="宋体"/>
                <w:color w:val="auto"/>
                <w:sz w:val="21"/>
                <w:szCs w:val="21"/>
                <w:highlight w:val="none"/>
              </w:rPr>
              <w:t>由采购代理机构</w:t>
            </w:r>
            <w:r>
              <w:rPr>
                <w:rFonts w:hint="eastAsia" w:hAnsi="宋体" w:cs="宋体"/>
                <w:color w:val="auto"/>
                <w:sz w:val="21"/>
                <w:szCs w:val="21"/>
                <w:highlight w:val="none"/>
                <w:lang w:val="zh-CN"/>
              </w:rPr>
              <w:t>负责答复</w:t>
            </w:r>
            <w:r>
              <w:rPr>
                <w:rFonts w:hint="eastAsia" w:hAnsi="宋体" w:cs="宋体"/>
                <w:color w:val="auto"/>
                <w:sz w:val="21"/>
                <w:szCs w:val="21"/>
                <w:highlight w:val="none"/>
              </w:rPr>
              <w:t>。</w:t>
            </w:r>
          </w:p>
          <w:p>
            <w:pPr>
              <w:spacing w:line="320" w:lineRule="exact"/>
              <w:ind w:left="78" w:leftChars="23" w:right="51" w:rightChars="15"/>
              <w:rPr>
                <w:rFonts w:hAnsi="宋体" w:cs="宋体"/>
                <w:color w:val="auto"/>
                <w:sz w:val="21"/>
                <w:szCs w:val="21"/>
                <w:highlight w:val="none"/>
              </w:rPr>
            </w:pPr>
            <w:r>
              <w:rPr>
                <w:rFonts w:hint="eastAsia" w:hAnsi="宋体" w:cs="宋体"/>
                <w:color w:val="auto"/>
                <w:sz w:val="21"/>
                <w:szCs w:val="21"/>
                <w:highlight w:val="none"/>
              </w:rPr>
              <w:t>联系人：</w:t>
            </w:r>
            <w:r>
              <w:rPr>
                <w:rFonts w:hint="eastAsia" w:hAnsi="宋体" w:cs="宋体"/>
                <w:color w:val="auto"/>
                <w:sz w:val="21"/>
                <w:szCs w:val="21"/>
                <w:highlight w:val="none"/>
                <w:lang w:eastAsia="zh-CN"/>
              </w:rPr>
              <w:t>王女士</w:t>
            </w:r>
            <w:r>
              <w:rPr>
                <w:rFonts w:hint="eastAsia" w:hAnsi="宋体" w:cs="宋体"/>
                <w:color w:val="auto"/>
                <w:sz w:val="21"/>
                <w:szCs w:val="21"/>
                <w:highlight w:val="none"/>
              </w:rPr>
              <w:t xml:space="preserve">     </w:t>
            </w:r>
          </w:p>
          <w:p>
            <w:pPr>
              <w:spacing w:line="320" w:lineRule="exact"/>
              <w:ind w:left="78" w:leftChars="23" w:right="51" w:rightChars="15"/>
              <w:jc w:val="left"/>
              <w:rPr>
                <w:rFonts w:hint="eastAsia" w:hAnsi="宋体" w:eastAsia="宋体" w:cs="宋体"/>
                <w:color w:val="auto"/>
                <w:sz w:val="24"/>
                <w:highlight w:val="none"/>
                <w:lang w:eastAsia="zh-CN"/>
              </w:rPr>
            </w:pPr>
            <w:r>
              <w:rPr>
                <w:rFonts w:hint="eastAsia" w:hAnsi="宋体" w:cs="宋体"/>
                <w:color w:val="auto"/>
                <w:sz w:val="21"/>
                <w:szCs w:val="21"/>
                <w:highlight w:val="none"/>
              </w:rPr>
              <w:t>联系电话：</w:t>
            </w:r>
            <w:r>
              <w:rPr>
                <w:rFonts w:hint="eastAsia" w:hAnsi="宋体" w:cs="宋体"/>
                <w:color w:val="auto"/>
                <w:sz w:val="24"/>
                <w:highlight w:val="none"/>
                <w:lang w:eastAsia="zh-CN"/>
              </w:rPr>
              <w:t>028-82212457</w:t>
            </w:r>
          </w:p>
          <w:p>
            <w:pPr>
              <w:spacing w:line="320" w:lineRule="exact"/>
              <w:ind w:left="78" w:leftChars="23" w:right="51" w:rightChars="15"/>
              <w:jc w:val="left"/>
              <w:rPr>
                <w:rFonts w:hAnsi="宋体" w:cs="宋体"/>
                <w:color w:val="auto"/>
                <w:sz w:val="21"/>
                <w:szCs w:val="21"/>
                <w:highlight w:val="none"/>
              </w:rPr>
            </w:pPr>
            <w:r>
              <w:rPr>
                <w:rFonts w:hint="eastAsia" w:hAnsi="宋体" w:cs="宋体"/>
                <w:color w:val="auto"/>
                <w:sz w:val="21"/>
                <w:szCs w:val="21"/>
                <w:highlight w:val="none"/>
                <w:lang w:val="zh-CN"/>
              </w:rPr>
              <w:t>注：根据《中华人民共和国政府采购法》</w:t>
            </w:r>
            <w:r>
              <w:rPr>
                <w:rFonts w:hint="eastAsia" w:hAnsi="宋体" w:cs="宋体"/>
                <w:color w:val="auto"/>
                <w:sz w:val="21"/>
                <w:szCs w:val="21"/>
                <w:highlight w:val="none"/>
              </w:rPr>
              <w:t>等法律法规</w:t>
            </w:r>
            <w:r>
              <w:rPr>
                <w:rFonts w:hint="eastAsia" w:hAnsi="宋体" w:cs="宋体"/>
                <w:color w:val="auto"/>
                <w:sz w:val="21"/>
                <w:szCs w:val="21"/>
                <w:highlight w:val="none"/>
                <w:lang w:val="zh-CN"/>
              </w:rPr>
              <w:t>规定，</w:t>
            </w:r>
            <w:r>
              <w:rPr>
                <w:rFonts w:hint="eastAsia" w:hAnsi="宋体" w:cs="宋体"/>
                <w:color w:val="auto"/>
                <w:sz w:val="21"/>
                <w:szCs w:val="21"/>
                <w:highlight w:val="none"/>
              </w:rPr>
              <w:t>供应商质疑应当有明确的请求和必要的证明材料。</w:t>
            </w:r>
          </w:p>
          <w:p>
            <w:pPr>
              <w:spacing w:line="320" w:lineRule="exact"/>
              <w:ind w:left="78" w:leftChars="23" w:right="51" w:rightChars="15"/>
              <w:jc w:val="left"/>
              <w:rPr>
                <w:rFonts w:hAnsi="宋体" w:cs="宋体"/>
                <w:color w:val="auto"/>
                <w:sz w:val="21"/>
                <w:szCs w:val="21"/>
                <w:highlight w:val="none"/>
              </w:rPr>
            </w:pPr>
            <w:r>
              <w:rPr>
                <w:rFonts w:hint="eastAsia" w:hAnsi="宋体" w:cs="宋体"/>
                <w:color w:val="auto"/>
                <w:sz w:val="21"/>
                <w:szCs w:val="21"/>
                <w:highlight w:val="none"/>
                <w:lang w:val="zh-CN"/>
              </w:rPr>
              <w:t>供应商质疑不得超出采购文件、采购过程、采购结果的范围，不得进行虚假、恶意质疑，不得以质疑为手段获取不当得利、实现非法目的。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numPr>
                <w:ilvl w:val="0"/>
                <w:numId w:val="3"/>
              </w:numPr>
              <w:wordWrap w:val="0"/>
              <w:spacing w:line="320" w:lineRule="exact"/>
              <w:jc w:val="center"/>
              <w:rPr>
                <w:color w:val="auto"/>
                <w:sz w:val="21"/>
                <w:szCs w:val="21"/>
                <w:highlight w:val="none"/>
              </w:rPr>
            </w:pPr>
          </w:p>
        </w:tc>
        <w:tc>
          <w:tcPr>
            <w:tcW w:w="1596" w:type="dxa"/>
            <w:vAlign w:val="center"/>
          </w:tcPr>
          <w:p>
            <w:pPr>
              <w:pStyle w:val="63"/>
              <w:spacing w:line="320" w:lineRule="exact"/>
              <w:jc w:val="center"/>
              <w:rPr>
                <w:color w:val="auto"/>
                <w:sz w:val="21"/>
                <w:szCs w:val="21"/>
                <w:highlight w:val="none"/>
                <w:lang w:val="zh-CN"/>
              </w:rPr>
            </w:pPr>
            <w:r>
              <w:rPr>
                <w:rFonts w:hint="eastAsia"/>
                <w:color w:val="auto"/>
                <w:kern w:val="2"/>
                <w:sz w:val="21"/>
                <w:szCs w:val="21"/>
                <w:highlight w:val="none"/>
              </w:rPr>
              <w:t>供应商投诉</w:t>
            </w:r>
          </w:p>
        </w:tc>
        <w:tc>
          <w:tcPr>
            <w:tcW w:w="7244" w:type="dxa"/>
          </w:tcPr>
          <w:p>
            <w:pPr>
              <w:spacing w:line="320" w:lineRule="exact"/>
              <w:ind w:left="78" w:leftChars="23" w:right="51" w:rightChars="15"/>
              <w:rPr>
                <w:rFonts w:hAnsi="宋体" w:cs="宋体"/>
                <w:color w:val="auto"/>
                <w:sz w:val="21"/>
                <w:szCs w:val="21"/>
                <w:highlight w:val="none"/>
              </w:rPr>
            </w:pPr>
            <w:r>
              <w:rPr>
                <w:rFonts w:hint="eastAsia" w:hAnsi="宋体" w:cs="宋体"/>
                <w:color w:val="auto"/>
                <w:sz w:val="21"/>
                <w:szCs w:val="21"/>
                <w:highlight w:val="none"/>
              </w:rPr>
              <w:t xml:space="preserve">投诉受理单位：崇州市财政局（地址：崇州市崇阳街道永安中路1号，电话：028-82313883） </w:t>
            </w:r>
          </w:p>
          <w:p>
            <w:pPr>
              <w:spacing w:line="320" w:lineRule="exact"/>
              <w:ind w:left="78" w:leftChars="23" w:right="51" w:rightChars="15"/>
              <w:rPr>
                <w:rFonts w:hAnsi="宋体" w:cs="宋体"/>
                <w:color w:val="auto"/>
                <w:sz w:val="21"/>
                <w:szCs w:val="21"/>
                <w:highlight w:val="none"/>
              </w:rPr>
            </w:pPr>
            <w:r>
              <w:rPr>
                <w:rFonts w:hint="eastAsia" w:hAnsi="宋体" w:cs="宋体"/>
                <w:color w:val="auto"/>
                <w:sz w:val="21"/>
                <w:szCs w:val="21"/>
                <w:highlight w:val="none"/>
              </w:rPr>
              <w:t>注：供应商投诉应当有明确的请求和必要的证明材料。供应商投诉的事项不得超出已质疑事项的范围。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numPr>
                <w:ilvl w:val="0"/>
                <w:numId w:val="3"/>
              </w:numPr>
              <w:wordWrap w:val="0"/>
              <w:spacing w:line="320" w:lineRule="exact"/>
              <w:jc w:val="center"/>
              <w:rPr>
                <w:color w:val="auto"/>
                <w:sz w:val="21"/>
                <w:szCs w:val="21"/>
                <w:highlight w:val="none"/>
              </w:rPr>
            </w:pPr>
          </w:p>
        </w:tc>
        <w:tc>
          <w:tcPr>
            <w:tcW w:w="1596" w:type="dxa"/>
            <w:vAlign w:val="center"/>
          </w:tcPr>
          <w:p>
            <w:pPr>
              <w:pStyle w:val="63"/>
              <w:spacing w:line="320" w:lineRule="exact"/>
              <w:jc w:val="center"/>
              <w:rPr>
                <w:color w:val="auto"/>
                <w:kern w:val="2"/>
                <w:sz w:val="21"/>
                <w:szCs w:val="21"/>
                <w:highlight w:val="none"/>
              </w:rPr>
            </w:pPr>
            <w:r>
              <w:rPr>
                <w:rFonts w:hint="eastAsia"/>
                <w:color w:val="auto"/>
                <w:kern w:val="2"/>
                <w:sz w:val="21"/>
                <w:szCs w:val="21"/>
                <w:highlight w:val="none"/>
              </w:rPr>
              <w:t>进口产品（实质性要求）</w:t>
            </w:r>
          </w:p>
        </w:tc>
        <w:tc>
          <w:tcPr>
            <w:tcW w:w="7244" w:type="dxa"/>
          </w:tcPr>
          <w:p>
            <w:pPr>
              <w:spacing w:line="320" w:lineRule="exact"/>
              <w:ind w:left="78" w:leftChars="23" w:right="51" w:rightChars="15"/>
              <w:rPr>
                <w:rFonts w:hAnsi="宋体" w:cs="宋体"/>
                <w:color w:val="auto"/>
                <w:sz w:val="21"/>
                <w:szCs w:val="21"/>
                <w:highlight w:val="none"/>
              </w:rPr>
            </w:pPr>
            <w:r>
              <w:rPr>
                <w:rFonts w:hint="eastAsia" w:hAnsi="宋体" w:cs="宋体"/>
                <w:color w:val="auto"/>
                <w:sz w:val="21"/>
                <w:szCs w:val="21"/>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numPr>
                <w:ilvl w:val="0"/>
                <w:numId w:val="3"/>
              </w:numPr>
              <w:wordWrap w:val="0"/>
              <w:spacing w:line="320" w:lineRule="exact"/>
              <w:jc w:val="center"/>
              <w:rPr>
                <w:color w:val="auto"/>
                <w:sz w:val="21"/>
                <w:szCs w:val="21"/>
                <w:highlight w:val="none"/>
              </w:rPr>
            </w:pPr>
          </w:p>
        </w:tc>
        <w:tc>
          <w:tcPr>
            <w:tcW w:w="1596" w:type="dxa"/>
            <w:vAlign w:val="center"/>
          </w:tcPr>
          <w:p>
            <w:pPr>
              <w:pStyle w:val="63"/>
              <w:spacing w:line="320" w:lineRule="exact"/>
              <w:jc w:val="center"/>
              <w:rPr>
                <w:color w:val="auto"/>
                <w:kern w:val="2"/>
                <w:sz w:val="21"/>
                <w:szCs w:val="21"/>
                <w:highlight w:val="none"/>
              </w:rPr>
            </w:pPr>
            <w:r>
              <w:rPr>
                <w:rFonts w:hint="eastAsia"/>
                <w:color w:val="auto"/>
                <w:kern w:val="2"/>
                <w:sz w:val="21"/>
                <w:szCs w:val="21"/>
                <w:highlight w:val="none"/>
              </w:rPr>
              <w:t>强制认证产品（如涉及）</w:t>
            </w:r>
          </w:p>
        </w:tc>
        <w:tc>
          <w:tcPr>
            <w:tcW w:w="7244" w:type="dxa"/>
          </w:tcPr>
          <w:p>
            <w:pPr>
              <w:spacing w:line="320" w:lineRule="exact"/>
              <w:ind w:left="78" w:leftChars="23" w:right="51" w:rightChars="15"/>
              <w:rPr>
                <w:rFonts w:hAnsi="宋体" w:cs="宋体"/>
                <w:color w:val="auto"/>
                <w:sz w:val="21"/>
                <w:szCs w:val="21"/>
                <w:highlight w:val="none"/>
              </w:rPr>
            </w:pPr>
            <w:r>
              <w:rPr>
                <w:rFonts w:hint="eastAsia" w:hAnsi="宋体" w:cs="宋体"/>
                <w:color w:val="auto"/>
                <w:sz w:val="21"/>
                <w:szCs w:val="21"/>
                <w:highlight w:val="none"/>
              </w:rPr>
              <w:t>如本项目有涉及 CCC 认证产品参与投标的，应在投标文件中提供 CCC 认证证书（复印件）或提供承诺（招标文件另有要求的除外），承诺供应商在签订合同前将 CCC 认证证书（复印件）提供至采购人，投标时 CCC 认证证书应在有效期内，未提供或不能提供的视为虚假响应。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numPr>
                <w:ilvl w:val="0"/>
                <w:numId w:val="3"/>
              </w:numPr>
              <w:wordWrap w:val="0"/>
              <w:spacing w:line="320" w:lineRule="exact"/>
              <w:jc w:val="center"/>
              <w:rPr>
                <w:color w:val="auto"/>
                <w:sz w:val="21"/>
                <w:szCs w:val="21"/>
                <w:highlight w:val="none"/>
              </w:rPr>
            </w:pPr>
          </w:p>
        </w:tc>
        <w:tc>
          <w:tcPr>
            <w:tcW w:w="1596" w:type="dxa"/>
            <w:vAlign w:val="center"/>
          </w:tcPr>
          <w:p>
            <w:pPr>
              <w:pStyle w:val="63"/>
              <w:spacing w:line="320" w:lineRule="exact"/>
              <w:jc w:val="center"/>
              <w:rPr>
                <w:color w:val="auto"/>
                <w:kern w:val="2"/>
                <w:sz w:val="21"/>
                <w:szCs w:val="21"/>
                <w:highlight w:val="none"/>
              </w:rPr>
            </w:pPr>
            <w:r>
              <w:rPr>
                <w:rFonts w:hint="eastAsia"/>
                <w:color w:val="auto"/>
                <w:kern w:val="2"/>
                <w:sz w:val="21"/>
                <w:szCs w:val="21"/>
                <w:highlight w:val="none"/>
              </w:rPr>
              <w:t>政府强制/优先采购的节能、环保、无线局域网产品（实质性要求）</w:t>
            </w:r>
          </w:p>
        </w:tc>
        <w:tc>
          <w:tcPr>
            <w:tcW w:w="7244" w:type="dxa"/>
          </w:tcPr>
          <w:p>
            <w:pPr>
              <w:spacing w:line="320" w:lineRule="exact"/>
              <w:ind w:left="78" w:leftChars="23" w:right="51" w:rightChars="15"/>
              <w:rPr>
                <w:rFonts w:hAnsi="宋体" w:cs="宋体"/>
                <w:color w:val="auto"/>
                <w:sz w:val="21"/>
                <w:szCs w:val="21"/>
                <w:highlight w:val="none"/>
              </w:rPr>
            </w:pPr>
            <w:r>
              <w:rPr>
                <w:rFonts w:hint="eastAsia" w:hAnsi="宋体" w:cs="宋体"/>
                <w:color w:val="auto"/>
                <w:sz w:val="21"/>
                <w:szCs w:val="21"/>
                <w:highlight w:val="none"/>
              </w:rPr>
              <w:t>1、根据《财政部 发展改革委 生态环境部 市场监管总局关于调整优化节能产品、环境标志产品政府采购执行机制的通知》 （财库〔2019〕9 号），政府采购节能产品、环境标志产品实施品目清单管理。财政部、发展改革委、生态环境部等部门，确定实施政府优先采购和强制采购的产品类别及所依据的相关标准规范，以品目清单的形式发布并适时调整。</w:t>
            </w:r>
          </w:p>
          <w:p>
            <w:pPr>
              <w:spacing w:line="320" w:lineRule="exact"/>
              <w:ind w:left="78" w:leftChars="23" w:right="51" w:rightChars="15"/>
              <w:rPr>
                <w:rFonts w:hAnsi="宋体" w:cs="宋体"/>
                <w:color w:val="auto"/>
                <w:sz w:val="21"/>
                <w:szCs w:val="21"/>
                <w:highlight w:val="none"/>
              </w:rPr>
            </w:pPr>
            <w:r>
              <w:rPr>
                <w:rFonts w:hint="eastAsia" w:hAnsi="宋体" w:cs="宋体"/>
                <w:color w:val="auto"/>
                <w:sz w:val="21"/>
                <w:szCs w:val="21"/>
                <w:highlight w:val="none"/>
              </w:rPr>
              <w:t>2、本项目依据品目清单（指投标截止之日前最新一期清单）和认证证书实施政府优先采购和强制采购。投标人的投标产品属于品目清单范围的，投标人应当提供国家确定的认证机构出具的、处于有效期之内的节能产品、环境标志产品认证证书，本项目对获得证书的产品实施政府优先采购或强制采购。</w:t>
            </w:r>
          </w:p>
          <w:p>
            <w:pPr>
              <w:spacing w:line="320" w:lineRule="exact"/>
              <w:ind w:left="78" w:leftChars="23" w:right="51" w:rightChars="15"/>
              <w:rPr>
                <w:rFonts w:hAnsi="宋体" w:cs="宋体"/>
                <w:color w:val="auto"/>
                <w:sz w:val="21"/>
                <w:szCs w:val="21"/>
                <w:highlight w:val="none"/>
              </w:rPr>
            </w:pPr>
            <w:r>
              <w:rPr>
                <w:rFonts w:hint="eastAsia" w:hAnsi="宋体" w:cs="宋体"/>
                <w:color w:val="auto"/>
                <w:sz w:val="21"/>
                <w:szCs w:val="21"/>
                <w:highlight w:val="none"/>
              </w:rPr>
              <w:t xml:space="preserve">3、列入无线局域网认证产品政府采购清单（指采购文件发布之日前最新一期清单）产品为政府优先采购的无线局域网产品。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numPr>
                <w:ilvl w:val="0"/>
                <w:numId w:val="3"/>
              </w:numPr>
              <w:wordWrap w:val="0"/>
              <w:spacing w:line="320" w:lineRule="exact"/>
              <w:jc w:val="center"/>
              <w:rPr>
                <w:color w:val="auto"/>
                <w:sz w:val="21"/>
                <w:szCs w:val="21"/>
                <w:highlight w:val="none"/>
              </w:rPr>
            </w:pPr>
          </w:p>
        </w:tc>
        <w:tc>
          <w:tcPr>
            <w:tcW w:w="1596" w:type="dxa"/>
            <w:vAlign w:val="center"/>
          </w:tcPr>
          <w:p>
            <w:pPr>
              <w:pStyle w:val="63"/>
              <w:spacing w:line="320" w:lineRule="exact"/>
              <w:jc w:val="center"/>
              <w:rPr>
                <w:color w:val="auto"/>
                <w:kern w:val="2"/>
                <w:sz w:val="21"/>
                <w:szCs w:val="21"/>
                <w:highlight w:val="none"/>
              </w:rPr>
            </w:pPr>
            <w:r>
              <w:rPr>
                <w:rFonts w:hint="eastAsia"/>
                <w:color w:val="auto"/>
                <w:kern w:val="2"/>
                <w:sz w:val="21"/>
                <w:szCs w:val="21"/>
                <w:highlight w:val="none"/>
              </w:rPr>
              <w:t>国家或行业主管部门强制性规定（实质性要求）</w:t>
            </w:r>
          </w:p>
        </w:tc>
        <w:tc>
          <w:tcPr>
            <w:tcW w:w="7244" w:type="dxa"/>
          </w:tcPr>
          <w:p>
            <w:pPr>
              <w:spacing w:line="320" w:lineRule="exact"/>
              <w:ind w:left="78" w:leftChars="23" w:right="51" w:rightChars="15"/>
              <w:rPr>
                <w:rFonts w:hAnsi="宋体" w:cs="宋体"/>
                <w:color w:val="auto"/>
                <w:sz w:val="21"/>
                <w:szCs w:val="21"/>
                <w:highlight w:val="none"/>
              </w:rPr>
            </w:pPr>
            <w:r>
              <w:rPr>
                <w:rFonts w:hint="eastAsia" w:hAnsi="宋体" w:cs="宋体"/>
                <w:color w:val="auto"/>
                <w:sz w:val="21"/>
                <w:szCs w:val="21"/>
                <w:highlight w:val="none"/>
              </w:rPr>
              <w:t xml:space="preserve">国家或行业主管部门对投标人和投标产品的技术标准、质量标准和资格资质条件等有强制性规定的，须符合其要求并提供相关证明材料或承诺，否则以符合性审查不通过处理。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numPr>
                <w:ilvl w:val="0"/>
                <w:numId w:val="3"/>
              </w:numPr>
              <w:wordWrap w:val="0"/>
              <w:spacing w:line="320" w:lineRule="exact"/>
              <w:jc w:val="center"/>
              <w:rPr>
                <w:color w:val="auto"/>
                <w:sz w:val="21"/>
                <w:szCs w:val="21"/>
                <w:highlight w:val="none"/>
              </w:rPr>
            </w:pPr>
          </w:p>
        </w:tc>
        <w:tc>
          <w:tcPr>
            <w:tcW w:w="1596" w:type="dxa"/>
            <w:vAlign w:val="center"/>
          </w:tcPr>
          <w:p>
            <w:pPr>
              <w:pStyle w:val="63"/>
              <w:spacing w:line="320" w:lineRule="exact"/>
              <w:jc w:val="center"/>
              <w:rPr>
                <w:color w:val="auto"/>
                <w:sz w:val="21"/>
                <w:szCs w:val="21"/>
                <w:highlight w:val="none"/>
              </w:rPr>
            </w:pPr>
            <w:r>
              <w:rPr>
                <w:rFonts w:hint="eastAsia"/>
                <w:color w:val="auto"/>
                <w:sz w:val="21"/>
                <w:szCs w:val="21"/>
                <w:highlight w:val="none"/>
                <w:lang w:val="zh-CN"/>
              </w:rPr>
              <w:t>温馨提示</w:t>
            </w:r>
          </w:p>
        </w:tc>
        <w:tc>
          <w:tcPr>
            <w:tcW w:w="7244" w:type="dxa"/>
            <w:vAlign w:val="center"/>
          </w:tcPr>
          <w:p>
            <w:pPr>
              <w:pStyle w:val="63"/>
              <w:spacing w:line="276" w:lineRule="auto"/>
              <w:ind w:left="167" w:leftChars="49"/>
              <w:rPr>
                <w:color w:val="auto"/>
                <w:sz w:val="21"/>
                <w:szCs w:val="21"/>
                <w:highlight w:val="none"/>
                <w:lang w:val="zh-CN"/>
              </w:rPr>
            </w:pPr>
            <w:r>
              <w:rPr>
                <w:rFonts w:hint="eastAsia"/>
                <w:color w:val="auto"/>
                <w:sz w:val="21"/>
                <w:szCs w:val="21"/>
                <w:highlight w:val="none"/>
              </w:rPr>
              <w:t>1.</w:t>
            </w:r>
            <w:r>
              <w:rPr>
                <w:rFonts w:hint="eastAsia"/>
                <w:color w:val="auto"/>
                <w:sz w:val="21"/>
                <w:szCs w:val="21"/>
                <w:highlight w:val="none"/>
                <w:lang w:val="zh-CN"/>
              </w:rPr>
              <w:t>供应商需准备全流程所必需的硬件设备包括电脑（版本 win7 64位及以上）、麦克风、摄像头、CA证书等。建议使用同一台电脑完成投标、评标相关事宜，推荐安装 chrome 浏览器，且解密CA必须和加密CA为同一把。</w:t>
            </w:r>
          </w:p>
          <w:p>
            <w:pPr>
              <w:pStyle w:val="63"/>
              <w:spacing w:line="276" w:lineRule="auto"/>
              <w:ind w:left="167" w:leftChars="49"/>
              <w:rPr>
                <w:color w:val="auto"/>
                <w:sz w:val="21"/>
                <w:szCs w:val="21"/>
                <w:highlight w:val="none"/>
                <w:lang w:val="zh-CN"/>
              </w:rPr>
            </w:pPr>
            <w:r>
              <w:rPr>
                <w:rFonts w:hint="eastAsia"/>
                <w:color w:val="auto"/>
                <w:sz w:val="21"/>
                <w:szCs w:val="21"/>
                <w:highlight w:val="none"/>
                <w:lang w:val="zh-CN"/>
              </w:rPr>
              <w:t>2.政府采购云平台供应商注册地址：</w:t>
            </w:r>
          </w:p>
          <w:p>
            <w:pPr>
              <w:pStyle w:val="63"/>
              <w:wordWrap w:val="0"/>
              <w:topLinePunct/>
              <w:spacing w:line="320" w:lineRule="exact"/>
              <w:ind w:left="78" w:leftChars="23" w:right="51" w:rightChars="15"/>
              <w:jc w:val="both"/>
              <w:rPr>
                <w:color w:val="auto"/>
                <w:sz w:val="21"/>
                <w:szCs w:val="21"/>
                <w:highlight w:val="none"/>
              </w:rPr>
            </w:pPr>
            <w:r>
              <w:rPr>
                <w:rFonts w:hint="eastAsia"/>
                <w:color w:val="auto"/>
                <w:sz w:val="21"/>
                <w:szCs w:val="21"/>
                <w:highlight w:val="none"/>
                <w:lang w:val="zh-CN"/>
              </w:rPr>
              <w:t>https://middle.zcygov.cn/v-settle-front/registry?settleCategory=1&amp;entranceType=119&amp;utm=a0017.b1347.cl50.3.c0de9400b91b11eb870ad7da87d69c97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750" w:type="dxa"/>
            <w:gridSpan w:val="3"/>
            <w:vAlign w:val="center"/>
          </w:tcPr>
          <w:p>
            <w:pPr>
              <w:pStyle w:val="63"/>
              <w:tabs>
                <w:tab w:val="left" w:pos="2561"/>
              </w:tabs>
              <w:wordWrap w:val="0"/>
              <w:topLinePunct/>
              <w:spacing w:line="320" w:lineRule="exact"/>
              <w:ind w:left="78" w:leftChars="23" w:right="51" w:rightChars="15"/>
              <w:jc w:val="center"/>
              <w:rPr>
                <w:b/>
                <w:bCs/>
                <w:color w:val="auto"/>
                <w:sz w:val="21"/>
                <w:szCs w:val="21"/>
                <w:highlight w:val="none"/>
              </w:rPr>
            </w:pPr>
            <w:r>
              <w:rPr>
                <w:rFonts w:hint="eastAsia"/>
                <w:b/>
                <w:bCs/>
                <w:color w:val="auto"/>
                <w:sz w:val="21"/>
                <w:szCs w:val="21"/>
                <w:highlight w:val="none"/>
              </w:rPr>
              <w:t>特别说明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750" w:type="dxa"/>
            <w:gridSpan w:val="3"/>
            <w:vAlign w:val="center"/>
          </w:tcPr>
          <w:p>
            <w:pPr>
              <w:pStyle w:val="63"/>
              <w:wordWrap w:val="0"/>
              <w:topLinePunct/>
              <w:spacing w:line="320" w:lineRule="exact"/>
              <w:ind w:left="78" w:leftChars="23" w:right="51" w:rightChars="15"/>
              <w:jc w:val="both"/>
              <w:rPr>
                <w:b/>
                <w:bCs/>
                <w:color w:val="auto"/>
                <w:sz w:val="21"/>
                <w:szCs w:val="21"/>
                <w:highlight w:val="none"/>
              </w:rPr>
            </w:pPr>
            <w:r>
              <w:rPr>
                <w:rFonts w:hint="eastAsia"/>
                <w:b/>
                <w:bCs/>
                <w:color w:val="auto"/>
                <w:sz w:val="21"/>
                <w:szCs w:val="21"/>
                <w:highlight w:val="none"/>
              </w:rPr>
              <w:t xml:space="preserve">本项目可采用信用融资政策。 </w:t>
            </w:r>
          </w:p>
          <w:p>
            <w:pPr>
              <w:pStyle w:val="63"/>
              <w:wordWrap w:val="0"/>
              <w:topLinePunct/>
              <w:spacing w:line="320" w:lineRule="exact"/>
              <w:ind w:left="78" w:leftChars="23" w:right="51" w:rightChars="15"/>
              <w:jc w:val="both"/>
              <w:rPr>
                <w:b/>
                <w:bCs/>
                <w:color w:val="auto"/>
                <w:sz w:val="21"/>
                <w:szCs w:val="21"/>
                <w:highlight w:val="none"/>
              </w:rPr>
            </w:pPr>
            <w:r>
              <w:rPr>
                <w:rFonts w:hint="eastAsia"/>
                <w:b/>
                <w:bCs/>
                <w:color w:val="auto"/>
                <w:sz w:val="21"/>
                <w:szCs w:val="21"/>
                <w:highlight w:val="none"/>
              </w:rPr>
              <w:t xml:space="preserve">为贯彻落实中央、省、成都市关于支持民营经济健康发展相关精神和政府采购支持中小企业发展政策，有效缓解中小企业融资难、融资贵问题，支持中小企业参与政府采购活动，促进中小企业发展，以下银行开展崇州市本级“政采贷”业务工作。 </w:t>
            </w:r>
          </w:p>
          <w:p>
            <w:pPr>
              <w:pStyle w:val="63"/>
              <w:wordWrap w:val="0"/>
              <w:topLinePunct/>
              <w:spacing w:line="320" w:lineRule="exact"/>
              <w:ind w:left="78" w:leftChars="23" w:right="51" w:rightChars="15"/>
              <w:jc w:val="both"/>
              <w:rPr>
                <w:b/>
                <w:bCs/>
                <w:color w:val="auto"/>
                <w:sz w:val="21"/>
                <w:szCs w:val="21"/>
                <w:highlight w:val="none"/>
              </w:rPr>
            </w:pPr>
            <w:r>
              <w:rPr>
                <w:rFonts w:hint="eastAsia"/>
                <w:b/>
                <w:bCs/>
                <w:color w:val="auto"/>
                <w:sz w:val="21"/>
                <w:szCs w:val="21"/>
                <w:highlight w:val="none"/>
              </w:rPr>
              <w:t>崇州市级政府采购信用融资信息一览表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wordWrap w:val="0"/>
              <w:spacing w:line="320" w:lineRule="exact"/>
              <w:jc w:val="center"/>
              <w:rPr>
                <w:color w:val="auto"/>
                <w:sz w:val="21"/>
                <w:szCs w:val="21"/>
                <w:highlight w:val="none"/>
              </w:rPr>
            </w:pPr>
            <w:r>
              <w:rPr>
                <w:rFonts w:hint="eastAsia"/>
                <w:color w:val="auto"/>
                <w:sz w:val="21"/>
                <w:szCs w:val="21"/>
                <w:highlight w:val="none"/>
              </w:rPr>
              <w:t>银行名称</w:t>
            </w:r>
          </w:p>
        </w:tc>
        <w:tc>
          <w:tcPr>
            <w:tcW w:w="1596" w:type="dxa"/>
            <w:vAlign w:val="center"/>
          </w:tcPr>
          <w:p>
            <w:pPr>
              <w:pStyle w:val="63"/>
              <w:spacing w:line="320" w:lineRule="exact"/>
              <w:jc w:val="center"/>
              <w:rPr>
                <w:color w:val="auto"/>
                <w:sz w:val="21"/>
                <w:szCs w:val="21"/>
                <w:highlight w:val="none"/>
              </w:rPr>
            </w:pPr>
            <w:r>
              <w:rPr>
                <w:rFonts w:hint="eastAsia"/>
                <w:color w:val="auto"/>
                <w:sz w:val="21"/>
                <w:szCs w:val="21"/>
                <w:highlight w:val="none"/>
              </w:rPr>
              <w:t>联系人及方式</w:t>
            </w:r>
          </w:p>
        </w:tc>
        <w:tc>
          <w:tcPr>
            <w:tcW w:w="7244" w:type="dxa"/>
            <w:vAlign w:val="center"/>
          </w:tcPr>
          <w:p>
            <w:pPr>
              <w:pStyle w:val="63"/>
              <w:wordWrap w:val="0"/>
              <w:topLinePunct/>
              <w:spacing w:line="320" w:lineRule="exact"/>
              <w:ind w:left="78" w:leftChars="23" w:right="51" w:rightChars="15"/>
              <w:jc w:val="center"/>
              <w:rPr>
                <w:color w:val="auto"/>
                <w:sz w:val="21"/>
                <w:szCs w:val="21"/>
                <w:highlight w:val="none"/>
              </w:rPr>
            </w:pPr>
            <w:r>
              <w:rPr>
                <w:rFonts w:hint="eastAsia"/>
                <w:color w:val="auto"/>
                <w:sz w:val="21"/>
                <w:szCs w:val="21"/>
                <w:highlight w:val="none"/>
              </w:rPr>
              <w:t>融资政策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wordWrap w:val="0"/>
              <w:spacing w:line="320" w:lineRule="exact"/>
              <w:jc w:val="both"/>
              <w:rPr>
                <w:color w:val="auto"/>
                <w:sz w:val="21"/>
                <w:szCs w:val="21"/>
                <w:highlight w:val="none"/>
              </w:rPr>
            </w:pPr>
            <w:r>
              <w:rPr>
                <w:rFonts w:hint="eastAsia"/>
                <w:color w:val="auto"/>
                <w:sz w:val="21"/>
                <w:szCs w:val="21"/>
                <w:highlight w:val="none"/>
              </w:rPr>
              <w:t>成都农商银行崇州支行</w:t>
            </w:r>
          </w:p>
        </w:tc>
        <w:tc>
          <w:tcPr>
            <w:tcW w:w="1596" w:type="dxa"/>
            <w:vAlign w:val="center"/>
          </w:tcPr>
          <w:p>
            <w:pPr>
              <w:jc w:val="center"/>
              <w:rPr>
                <w:rFonts w:hAnsi="宋体" w:cs="宋体"/>
                <w:color w:val="auto"/>
                <w:sz w:val="21"/>
                <w:szCs w:val="21"/>
                <w:highlight w:val="none"/>
              </w:rPr>
            </w:pPr>
            <w:r>
              <w:rPr>
                <w:rFonts w:hint="eastAsia" w:hAnsi="宋体" w:cs="宋体"/>
                <w:color w:val="auto"/>
                <w:sz w:val="21"/>
                <w:szCs w:val="21"/>
                <w:highlight w:val="none"/>
              </w:rPr>
              <w:t>业务部客户经理  任艳菊 13881851255</w:t>
            </w:r>
          </w:p>
          <w:p>
            <w:pPr>
              <w:jc w:val="center"/>
              <w:rPr>
                <w:rFonts w:hAnsi="宋体" w:cs="宋体"/>
                <w:color w:val="auto"/>
                <w:sz w:val="21"/>
                <w:szCs w:val="21"/>
                <w:highlight w:val="none"/>
              </w:rPr>
            </w:pPr>
            <w:r>
              <w:rPr>
                <w:rFonts w:hint="eastAsia" w:hAnsi="宋体" w:cs="宋体"/>
                <w:color w:val="auto"/>
                <w:sz w:val="21"/>
                <w:szCs w:val="21"/>
                <w:highlight w:val="none"/>
              </w:rPr>
              <w:t>业务部客户经理  骆晓峰 13551850363</w:t>
            </w:r>
          </w:p>
          <w:p>
            <w:pPr>
              <w:pStyle w:val="63"/>
              <w:spacing w:line="320" w:lineRule="exact"/>
              <w:jc w:val="center"/>
              <w:rPr>
                <w:color w:val="auto"/>
                <w:sz w:val="21"/>
                <w:szCs w:val="21"/>
                <w:highlight w:val="none"/>
              </w:rPr>
            </w:pPr>
            <w:r>
              <w:rPr>
                <w:rFonts w:hint="eastAsia"/>
                <w:color w:val="auto"/>
                <w:sz w:val="21"/>
                <w:szCs w:val="21"/>
                <w:highlight w:val="none"/>
              </w:rPr>
              <w:t xml:space="preserve">业务部经理  </w:t>
            </w:r>
          </w:p>
          <w:p>
            <w:pPr>
              <w:pStyle w:val="63"/>
              <w:spacing w:line="320" w:lineRule="exact"/>
              <w:jc w:val="center"/>
              <w:rPr>
                <w:color w:val="auto"/>
                <w:sz w:val="21"/>
                <w:szCs w:val="21"/>
                <w:highlight w:val="none"/>
              </w:rPr>
            </w:pPr>
            <w:r>
              <w:rPr>
                <w:rFonts w:hint="eastAsia"/>
                <w:color w:val="auto"/>
                <w:sz w:val="21"/>
                <w:szCs w:val="21"/>
                <w:highlight w:val="none"/>
              </w:rPr>
              <w:t>陈晓阳 13438190630</w:t>
            </w:r>
          </w:p>
        </w:tc>
        <w:tc>
          <w:tcPr>
            <w:tcW w:w="7244" w:type="dxa"/>
            <w:vAlign w:val="center"/>
          </w:tcPr>
          <w:p>
            <w:pPr>
              <w:ind w:firstLine="420" w:firstLineChars="200"/>
              <w:rPr>
                <w:rFonts w:hAnsi="宋体" w:cs="宋体"/>
                <w:color w:val="auto"/>
                <w:sz w:val="21"/>
                <w:szCs w:val="21"/>
                <w:highlight w:val="none"/>
              </w:rPr>
            </w:pPr>
            <w:r>
              <w:rPr>
                <w:rFonts w:hint="eastAsia" w:hAnsi="宋体" w:cs="宋体"/>
                <w:color w:val="auto"/>
                <w:sz w:val="21"/>
                <w:szCs w:val="21"/>
                <w:highlight w:val="none"/>
              </w:rPr>
              <w:t>1、授信额度：</w:t>
            </w:r>
          </w:p>
          <w:p>
            <w:pPr>
              <w:ind w:firstLine="420" w:firstLineChars="200"/>
              <w:rPr>
                <w:rFonts w:hAnsi="宋体" w:cs="宋体"/>
                <w:color w:val="auto"/>
                <w:sz w:val="21"/>
                <w:szCs w:val="21"/>
                <w:highlight w:val="none"/>
              </w:rPr>
            </w:pPr>
            <w:r>
              <w:rPr>
                <w:rFonts w:hint="eastAsia" w:hAnsi="宋体" w:cs="宋体"/>
                <w:color w:val="auto"/>
                <w:sz w:val="21"/>
                <w:szCs w:val="21"/>
                <w:highlight w:val="none"/>
              </w:rPr>
              <w:t>（1）流动资金贷款类：最高不超过政府采购合同中采购总金额的85%；</w:t>
            </w:r>
          </w:p>
          <w:p>
            <w:pPr>
              <w:ind w:firstLine="420" w:firstLineChars="200"/>
              <w:rPr>
                <w:rFonts w:hAnsi="宋体" w:cs="宋体"/>
                <w:color w:val="auto"/>
                <w:sz w:val="21"/>
                <w:szCs w:val="21"/>
                <w:highlight w:val="none"/>
              </w:rPr>
            </w:pPr>
            <w:r>
              <w:rPr>
                <w:rFonts w:hint="eastAsia" w:hAnsi="宋体" w:cs="宋体"/>
                <w:color w:val="auto"/>
                <w:sz w:val="21"/>
                <w:szCs w:val="21"/>
                <w:highlight w:val="none"/>
              </w:rPr>
              <w:t>（2）承兑汇票及保函类：保证金比例不低于15%。</w:t>
            </w:r>
          </w:p>
          <w:p>
            <w:pPr>
              <w:ind w:firstLine="420" w:firstLineChars="200"/>
              <w:rPr>
                <w:rFonts w:hAnsi="宋体" w:cs="宋体"/>
                <w:color w:val="auto"/>
                <w:sz w:val="21"/>
                <w:szCs w:val="21"/>
                <w:highlight w:val="none"/>
              </w:rPr>
            </w:pPr>
            <w:r>
              <w:rPr>
                <w:rFonts w:hint="eastAsia" w:hAnsi="宋体" w:cs="宋体"/>
                <w:color w:val="auto"/>
                <w:sz w:val="21"/>
                <w:szCs w:val="21"/>
                <w:highlight w:val="none"/>
              </w:rPr>
              <w:t>2、授信期限：</w:t>
            </w:r>
          </w:p>
          <w:p>
            <w:pPr>
              <w:ind w:firstLine="420" w:firstLineChars="200"/>
              <w:rPr>
                <w:rFonts w:hAnsi="宋体" w:cs="宋体"/>
                <w:color w:val="auto"/>
                <w:sz w:val="21"/>
                <w:szCs w:val="21"/>
                <w:highlight w:val="none"/>
              </w:rPr>
            </w:pPr>
            <w:r>
              <w:rPr>
                <w:rFonts w:hint="eastAsia" w:hAnsi="宋体" w:cs="宋体"/>
                <w:color w:val="auto"/>
                <w:sz w:val="21"/>
                <w:szCs w:val="21"/>
                <w:highlight w:val="none"/>
              </w:rPr>
              <w:t>（1）流动资金贷款期限原则上不超过18个月，重大项目最高不超过3年，主要根据政府采购合同的付款周期确定。贷款期间可展期1次，可提前还款。</w:t>
            </w:r>
          </w:p>
          <w:p>
            <w:pPr>
              <w:ind w:firstLine="420" w:firstLineChars="200"/>
              <w:rPr>
                <w:rFonts w:hAnsi="宋体" w:cs="宋体"/>
                <w:color w:val="auto"/>
                <w:sz w:val="21"/>
                <w:szCs w:val="21"/>
                <w:highlight w:val="none"/>
              </w:rPr>
            </w:pPr>
            <w:r>
              <w:rPr>
                <w:rFonts w:hint="eastAsia" w:hAnsi="宋体" w:cs="宋体"/>
                <w:color w:val="auto"/>
                <w:sz w:val="21"/>
                <w:szCs w:val="21"/>
                <w:highlight w:val="none"/>
              </w:rPr>
              <w:t>（2）银行承兑汇票（纸质）不超过6个月；银行承兑汇票（电子）不超过1年。</w:t>
            </w:r>
          </w:p>
          <w:p>
            <w:pPr>
              <w:ind w:firstLine="420" w:firstLineChars="200"/>
              <w:rPr>
                <w:rFonts w:hAnsi="宋体" w:cs="宋体"/>
                <w:color w:val="auto"/>
                <w:sz w:val="21"/>
                <w:szCs w:val="21"/>
                <w:highlight w:val="none"/>
              </w:rPr>
            </w:pPr>
            <w:r>
              <w:rPr>
                <w:rFonts w:hint="eastAsia" w:hAnsi="宋体" w:cs="宋体"/>
                <w:color w:val="auto"/>
                <w:sz w:val="21"/>
                <w:szCs w:val="21"/>
                <w:highlight w:val="none"/>
              </w:rPr>
              <w:t>（3）保函期限原则上不超过3年，根据政府采购合同的付款周期确定。</w:t>
            </w:r>
          </w:p>
          <w:p>
            <w:pPr>
              <w:ind w:firstLine="420" w:firstLineChars="200"/>
              <w:rPr>
                <w:rFonts w:hAnsi="宋体" w:cs="宋体"/>
                <w:color w:val="auto"/>
                <w:sz w:val="21"/>
                <w:szCs w:val="21"/>
                <w:highlight w:val="none"/>
              </w:rPr>
            </w:pPr>
            <w:r>
              <w:rPr>
                <w:rFonts w:hint="eastAsia" w:hAnsi="宋体" w:cs="宋体"/>
                <w:color w:val="auto"/>
                <w:sz w:val="21"/>
                <w:szCs w:val="21"/>
                <w:highlight w:val="none"/>
              </w:rPr>
              <w:t>（4）根据采购文件中约定的采购款项支付进度，增加适当宽限期设置还款计划。</w:t>
            </w:r>
          </w:p>
          <w:p>
            <w:pPr>
              <w:ind w:firstLine="420" w:firstLineChars="200"/>
              <w:rPr>
                <w:rFonts w:hAnsi="宋体" w:cs="宋体"/>
                <w:color w:val="auto"/>
                <w:sz w:val="21"/>
                <w:szCs w:val="21"/>
                <w:highlight w:val="none"/>
              </w:rPr>
            </w:pPr>
            <w:r>
              <w:rPr>
                <w:rFonts w:hint="eastAsia" w:hAnsi="宋体" w:cs="宋体"/>
                <w:color w:val="auto"/>
                <w:sz w:val="21"/>
                <w:szCs w:val="21"/>
                <w:highlight w:val="none"/>
              </w:rPr>
              <w:t>3、利率定价：</w:t>
            </w:r>
          </w:p>
          <w:p>
            <w:pPr>
              <w:ind w:firstLine="420" w:firstLineChars="200"/>
              <w:rPr>
                <w:rFonts w:hAnsi="宋体" w:cs="宋体"/>
                <w:color w:val="auto"/>
                <w:sz w:val="21"/>
                <w:szCs w:val="21"/>
                <w:highlight w:val="none"/>
              </w:rPr>
            </w:pPr>
            <w:r>
              <w:rPr>
                <w:rFonts w:hint="eastAsia" w:hAnsi="宋体" w:cs="宋体"/>
                <w:color w:val="auto"/>
                <w:sz w:val="21"/>
                <w:szCs w:val="21"/>
                <w:highlight w:val="none"/>
              </w:rPr>
              <w:t>原则上不超过基准利率上浮30%。对地处贫困地区的供应商实行更加优惠的定价。</w:t>
            </w:r>
          </w:p>
          <w:p>
            <w:pPr>
              <w:pStyle w:val="63"/>
              <w:wordWrap w:val="0"/>
              <w:topLinePunct/>
              <w:spacing w:line="320" w:lineRule="exact"/>
              <w:ind w:left="78" w:leftChars="23" w:right="51" w:rightChars="15"/>
              <w:jc w:val="both"/>
              <w:rPr>
                <w:color w:val="auto"/>
                <w:sz w:val="21"/>
                <w:szCs w:val="21"/>
                <w:highlight w:val="none"/>
              </w:rPr>
            </w:pPr>
            <w:r>
              <w:rPr>
                <w:rFonts w:hint="eastAsia"/>
                <w:color w:val="auto"/>
                <w:sz w:val="21"/>
                <w:szCs w:val="21"/>
                <w:highlight w:val="none"/>
              </w:rPr>
              <w:t>4、办结时间：原则上从资料齐备到审批通过在5个工作日内。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wordWrap w:val="0"/>
              <w:spacing w:line="320" w:lineRule="exact"/>
              <w:jc w:val="both"/>
              <w:rPr>
                <w:color w:val="auto"/>
                <w:sz w:val="21"/>
                <w:szCs w:val="21"/>
                <w:highlight w:val="none"/>
              </w:rPr>
            </w:pPr>
            <w:r>
              <w:rPr>
                <w:rFonts w:hint="eastAsia"/>
                <w:color w:val="auto"/>
                <w:sz w:val="21"/>
                <w:szCs w:val="21"/>
                <w:highlight w:val="none"/>
              </w:rPr>
              <w:t>崇州上银村镇银行</w:t>
            </w:r>
          </w:p>
        </w:tc>
        <w:tc>
          <w:tcPr>
            <w:tcW w:w="1596" w:type="dxa"/>
            <w:vAlign w:val="center"/>
          </w:tcPr>
          <w:p>
            <w:pPr>
              <w:jc w:val="center"/>
              <w:rPr>
                <w:rFonts w:hAnsi="宋体" w:cs="宋体"/>
                <w:color w:val="auto"/>
                <w:sz w:val="21"/>
                <w:szCs w:val="21"/>
                <w:highlight w:val="none"/>
              </w:rPr>
            </w:pPr>
            <w:r>
              <w:rPr>
                <w:rFonts w:hint="eastAsia" w:hAnsi="宋体" w:cs="宋体"/>
                <w:color w:val="auto"/>
                <w:sz w:val="21"/>
                <w:szCs w:val="21"/>
                <w:highlight w:val="none"/>
              </w:rPr>
              <w:t xml:space="preserve">龚真真 </w:t>
            </w:r>
            <w:r>
              <w:rPr>
                <w:rFonts w:hint="eastAsia" w:hAnsi="宋体" w:cs="宋体"/>
                <w:color w:val="auto"/>
                <w:sz w:val="21"/>
                <w:szCs w:val="21"/>
                <w:highlight w:val="none"/>
              </w:rPr>
              <w:tab/>
            </w:r>
            <w:r>
              <w:rPr>
                <w:rFonts w:hint="eastAsia" w:hAnsi="宋体" w:cs="宋体"/>
                <w:color w:val="auto"/>
                <w:sz w:val="21"/>
                <w:szCs w:val="21"/>
                <w:highlight w:val="none"/>
              </w:rPr>
              <w:t>副 行 长17740215212</w:t>
            </w:r>
          </w:p>
          <w:p>
            <w:pPr>
              <w:jc w:val="center"/>
              <w:rPr>
                <w:rFonts w:hAnsi="宋体" w:cs="宋体"/>
                <w:color w:val="auto"/>
                <w:sz w:val="21"/>
                <w:szCs w:val="21"/>
                <w:highlight w:val="none"/>
              </w:rPr>
            </w:pPr>
            <w:r>
              <w:rPr>
                <w:rFonts w:hint="eastAsia" w:hAnsi="宋体" w:cs="宋体"/>
                <w:color w:val="auto"/>
                <w:sz w:val="21"/>
                <w:szCs w:val="21"/>
                <w:highlight w:val="none"/>
              </w:rPr>
              <w:t>杨彦铭</w:t>
            </w:r>
            <w:r>
              <w:rPr>
                <w:rFonts w:hint="eastAsia" w:hAnsi="宋体" w:cs="宋体"/>
                <w:color w:val="auto"/>
                <w:sz w:val="21"/>
                <w:szCs w:val="21"/>
                <w:highlight w:val="none"/>
              </w:rPr>
              <w:tab/>
            </w:r>
            <w:r>
              <w:rPr>
                <w:rFonts w:hint="eastAsia" w:hAnsi="宋体" w:cs="宋体"/>
                <w:color w:val="auto"/>
                <w:sz w:val="21"/>
                <w:szCs w:val="21"/>
                <w:highlight w:val="none"/>
              </w:rPr>
              <w:t>部门总经理13981735391</w:t>
            </w:r>
          </w:p>
          <w:p>
            <w:pPr>
              <w:jc w:val="center"/>
              <w:rPr>
                <w:rFonts w:hAnsi="宋体" w:cs="宋体"/>
                <w:color w:val="auto"/>
                <w:sz w:val="21"/>
                <w:szCs w:val="21"/>
                <w:highlight w:val="none"/>
              </w:rPr>
            </w:pPr>
            <w:r>
              <w:rPr>
                <w:rFonts w:hint="eastAsia" w:hAnsi="宋体" w:cs="宋体"/>
                <w:color w:val="auto"/>
                <w:sz w:val="21"/>
                <w:szCs w:val="21"/>
                <w:highlight w:val="none"/>
              </w:rPr>
              <w:t>黄龙</w:t>
            </w:r>
            <w:r>
              <w:rPr>
                <w:rFonts w:hint="eastAsia" w:hAnsi="宋体" w:cs="宋体"/>
                <w:color w:val="auto"/>
                <w:sz w:val="21"/>
                <w:szCs w:val="21"/>
                <w:highlight w:val="none"/>
              </w:rPr>
              <w:tab/>
            </w:r>
            <w:r>
              <w:rPr>
                <w:rFonts w:hint="eastAsia" w:hAnsi="宋体" w:cs="宋体"/>
                <w:color w:val="auto"/>
                <w:sz w:val="21"/>
                <w:szCs w:val="21"/>
                <w:highlight w:val="none"/>
              </w:rPr>
              <w:t>副总经理13348884865</w:t>
            </w:r>
          </w:p>
          <w:p>
            <w:pPr>
              <w:jc w:val="center"/>
              <w:rPr>
                <w:rFonts w:hAnsi="宋体" w:cs="宋体"/>
                <w:color w:val="auto"/>
                <w:sz w:val="21"/>
                <w:szCs w:val="21"/>
                <w:highlight w:val="none"/>
              </w:rPr>
            </w:pPr>
            <w:r>
              <w:rPr>
                <w:rFonts w:hint="eastAsia" w:hAnsi="宋体" w:cs="宋体"/>
                <w:color w:val="auto"/>
                <w:sz w:val="21"/>
                <w:szCs w:val="21"/>
                <w:highlight w:val="none"/>
              </w:rPr>
              <w:t>羊孝丽</w:t>
            </w:r>
            <w:r>
              <w:rPr>
                <w:rFonts w:hint="eastAsia" w:hAnsi="宋体" w:cs="宋体"/>
                <w:color w:val="auto"/>
                <w:sz w:val="21"/>
                <w:szCs w:val="21"/>
                <w:highlight w:val="none"/>
              </w:rPr>
              <w:tab/>
            </w:r>
            <w:r>
              <w:rPr>
                <w:rFonts w:hint="eastAsia" w:hAnsi="宋体" w:cs="宋体"/>
                <w:color w:val="auto"/>
                <w:sz w:val="21"/>
                <w:szCs w:val="21"/>
                <w:highlight w:val="none"/>
              </w:rPr>
              <w:t>客户经理15884577260</w:t>
            </w:r>
          </w:p>
          <w:p>
            <w:pPr>
              <w:jc w:val="center"/>
              <w:rPr>
                <w:rFonts w:hAnsi="宋体" w:cs="宋体"/>
                <w:color w:val="auto"/>
                <w:sz w:val="21"/>
                <w:szCs w:val="21"/>
                <w:highlight w:val="none"/>
              </w:rPr>
            </w:pPr>
            <w:r>
              <w:rPr>
                <w:rFonts w:hint="eastAsia" w:hAnsi="宋体" w:cs="宋体"/>
                <w:color w:val="auto"/>
                <w:sz w:val="21"/>
                <w:szCs w:val="21"/>
                <w:highlight w:val="none"/>
              </w:rPr>
              <w:t>尹翔</w:t>
            </w:r>
            <w:r>
              <w:rPr>
                <w:rFonts w:hint="eastAsia" w:hAnsi="宋体" w:cs="宋体"/>
                <w:color w:val="auto"/>
                <w:sz w:val="21"/>
                <w:szCs w:val="21"/>
                <w:highlight w:val="none"/>
              </w:rPr>
              <w:tab/>
            </w:r>
            <w:r>
              <w:rPr>
                <w:rFonts w:hint="eastAsia" w:hAnsi="宋体" w:cs="宋体"/>
                <w:color w:val="auto"/>
                <w:sz w:val="21"/>
                <w:szCs w:val="21"/>
                <w:highlight w:val="none"/>
              </w:rPr>
              <w:t>客户经理13982166628</w:t>
            </w:r>
          </w:p>
          <w:p>
            <w:pPr>
              <w:pStyle w:val="63"/>
              <w:spacing w:line="320" w:lineRule="exact"/>
              <w:jc w:val="center"/>
              <w:rPr>
                <w:color w:val="auto"/>
                <w:sz w:val="21"/>
                <w:szCs w:val="21"/>
                <w:highlight w:val="none"/>
              </w:rPr>
            </w:pPr>
            <w:r>
              <w:rPr>
                <w:rFonts w:hint="eastAsia"/>
                <w:color w:val="auto"/>
                <w:sz w:val="21"/>
                <w:szCs w:val="21"/>
                <w:highlight w:val="none"/>
              </w:rPr>
              <w:t>吴翅飞</w:t>
            </w:r>
            <w:r>
              <w:rPr>
                <w:rFonts w:hint="eastAsia"/>
                <w:color w:val="auto"/>
                <w:sz w:val="21"/>
                <w:szCs w:val="21"/>
                <w:highlight w:val="none"/>
              </w:rPr>
              <w:tab/>
            </w:r>
            <w:r>
              <w:rPr>
                <w:rFonts w:hint="eastAsia"/>
                <w:color w:val="auto"/>
                <w:sz w:val="21"/>
                <w:szCs w:val="21"/>
                <w:highlight w:val="none"/>
              </w:rPr>
              <w:t>客户经理18982275308</w:t>
            </w:r>
          </w:p>
        </w:tc>
        <w:tc>
          <w:tcPr>
            <w:tcW w:w="7244" w:type="dxa"/>
            <w:vAlign w:val="center"/>
          </w:tcPr>
          <w:p>
            <w:pPr>
              <w:ind w:firstLine="420" w:firstLineChars="200"/>
              <w:rPr>
                <w:rFonts w:hAnsi="宋体" w:cs="宋体"/>
                <w:color w:val="auto"/>
                <w:sz w:val="21"/>
                <w:szCs w:val="21"/>
                <w:highlight w:val="none"/>
              </w:rPr>
            </w:pPr>
            <w:r>
              <w:rPr>
                <w:rFonts w:hint="eastAsia" w:hAnsi="宋体" w:cs="宋体"/>
                <w:color w:val="auto"/>
                <w:sz w:val="21"/>
                <w:szCs w:val="21"/>
                <w:highlight w:val="none"/>
              </w:rPr>
              <w:t>授信政策</w:t>
            </w:r>
          </w:p>
          <w:p>
            <w:pPr>
              <w:ind w:firstLine="420" w:firstLineChars="200"/>
              <w:rPr>
                <w:rFonts w:hAnsi="宋体" w:cs="宋体"/>
                <w:color w:val="auto"/>
                <w:sz w:val="21"/>
                <w:szCs w:val="21"/>
                <w:highlight w:val="none"/>
              </w:rPr>
            </w:pPr>
            <w:r>
              <w:rPr>
                <w:rFonts w:hint="eastAsia" w:hAnsi="宋体" w:cs="宋体"/>
                <w:color w:val="auto"/>
                <w:sz w:val="21"/>
                <w:szCs w:val="21"/>
                <w:highlight w:val="none"/>
              </w:rPr>
              <w:t>担保方式：信用</w:t>
            </w:r>
          </w:p>
          <w:p>
            <w:pPr>
              <w:ind w:firstLine="420" w:firstLineChars="200"/>
              <w:rPr>
                <w:rFonts w:hAnsi="宋体" w:cs="宋体"/>
                <w:color w:val="auto"/>
                <w:sz w:val="21"/>
                <w:szCs w:val="21"/>
                <w:highlight w:val="none"/>
              </w:rPr>
            </w:pPr>
            <w:r>
              <w:rPr>
                <w:rFonts w:hint="eastAsia" w:hAnsi="宋体" w:cs="宋体"/>
                <w:color w:val="auto"/>
                <w:sz w:val="21"/>
                <w:szCs w:val="21"/>
                <w:highlight w:val="none"/>
              </w:rPr>
              <w:t>授信期限：不高于采购合同期限，最高不超过三年</w:t>
            </w:r>
          </w:p>
          <w:p>
            <w:pPr>
              <w:ind w:firstLine="420" w:firstLineChars="200"/>
              <w:rPr>
                <w:rFonts w:hAnsi="宋体" w:cs="宋体"/>
                <w:color w:val="auto"/>
                <w:sz w:val="21"/>
                <w:szCs w:val="21"/>
                <w:highlight w:val="none"/>
              </w:rPr>
            </w:pPr>
            <w:r>
              <w:rPr>
                <w:rFonts w:hint="eastAsia" w:hAnsi="宋体" w:cs="宋体"/>
                <w:color w:val="auto"/>
                <w:sz w:val="21"/>
                <w:szCs w:val="21"/>
                <w:highlight w:val="none"/>
              </w:rPr>
              <w:t>利率水平：基准上浮30%</w:t>
            </w:r>
          </w:p>
          <w:p>
            <w:pPr>
              <w:ind w:firstLine="420" w:firstLineChars="200"/>
              <w:rPr>
                <w:rFonts w:hAnsi="宋体" w:cs="宋体"/>
                <w:color w:val="auto"/>
                <w:sz w:val="21"/>
                <w:szCs w:val="21"/>
                <w:highlight w:val="none"/>
              </w:rPr>
            </w:pPr>
            <w:r>
              <w:rPr>
                <w:rFonts w:hint="eastAsia" w:hAnsi="宋体" w:cs="宋体"/>
                <w:color w:val="auto"/>
                <w:sz w:val="21"/>
                <w:szCs w:val="21"/>
                <w:highlight w:val="none"/>
              </w:rPr>
              <w:t>放款时限：审批通过后5个工作日内</w:t>
            </w:r>
          </w:p>
          <w:p>
            <w:pPr>
              <w:pStyle w:val="63"/>
              <w:wordWrap w:val="0"/>
              <w:topLinePunct/>
              <w:spacing w:line="320" w:lineRule="exact"/>
              <w:ind w:left="78" w:leftChars="23" w:right="51" w:rightChars="15"/>
              <w:jc w:val="both"/>
              <w:rPr>
                <w:color w:val="auto"/>
                <w:sz w:val="21"/>
                <w:szCs w:val="21"/>
                <w:highlight w:val="none"/>
              </w:rPr>
            </w:pPr>
            <w:r>
              <w:rPr>
                <w:rFonts w:hint="eastAsia"/>
                <w:color w:val="auto"/>
                <w:sz w:val="21"/>
                <w:szCs w:val="21"/>
                <w:highlight w:val="none"/>
              </w:rPr>
              <w:t>授信成数：最高不高于合同总价款的90%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wordWrap w:val="0"/>
              <w:spacing w:line="320" w:lineRule="exact"/>
              <w:jc w:val="both"/>
              <w:rPr>
                <w:color w:val="auto"/>
                <w:sz w:val="21"/>
                <w:szCs w:val="21"/>
                <w:highlight w:val="none"/>
              </w:rPr>
            </w:pPr>
            <w:r>
              <w:rPr>
                <w:rFonts w:hint="eastAsia"/>
                <w:color w:val="auto"/>
                <w:sz w:val="21"/>
                <w:szCs w:val="21"/>
                <w:highlight w:val="none"/>
              </w:rPr>
              <w:t>农行崇州支行</w:t>
            </w:r>
          </w:p>
        </w:tc>
        <w:tc>
          <w:tcPr>
            <w:tcW w:w="1596" w:type="dxa"/>
            <w:vAlign w:val="center"/>
          </w:tcPr>
          <w:p>
            <w:pPr>
              <w:jc w:val="center"/>
              <w:rPr>
                <w:rFonts w:hAnsi="宋体" w:cs="宋体"/>
                <w:color w:val="auto"/>
                <w:sz w:val="21"/>
                <w:szCs w:val="21"/>
                <w:highlight w:val="none"/>
              </w:rPr>
            </w:pPr>
            <w:r>
              <w:rPr>
                <w:rFonts w:hint="eastAsia" w:hAnsi="宋体" w:cs="宋体"/>
                <w:color w:val="auto"/>
                <w:sz w:val="21"/>
                <w:szCs w:val="21"/>
                <w:highlight w:val="none"/>
              </w:rPr>
              <w:t>陈东江</w:t>
            </w:r>
            <w:r>
              <w:rPr>
                <w:rFonts w:hint="eastAsia" w:hAnsi="宋体" w:cs="宋体"/>
                <w:color w:val="auto"/>
                <w:sz w:val="21"/>
                <w:szCs w:val="21"/>
                <w:highlight w:val="none"/>
              </w:rPr>
              <w:tab/>
            </w:r>
            <w:r>
              <w:rPr>
                <w:rFonts w:hint="eastAsia" w:hAnsi="宋体" w:cs="宋体"/>
                <w:color w:val="auto"/>
                <w:sz w:val="21"/>
                <w:szCs w:val="21"/>
                <w:highlight w:val="none"/>
              </w:rPr>
              <w:t>副 行 长</w:t>
            </w:r>
            <w:r>
              <w:rPr>
                <w:rFonts w:hint="eastAsia" w:hAnsi="宋体" w:cs="宋体"/>
                <w:color w:val="auto"/>
                <w:sz w:val="21"/>
                <w:szCs w:val="21"/>
                <w:highlight w:val="none"/>
              </w:rPr>
              <w:tab/>
            </w:r>
            <w:r>
              <w:rPr>
                <w:rFonts w:hint="eastAsia" w:hAnsi="宋体" w:cs="宋体"/>
                <w:color w:val="auto"/>
                <w:sz w:val="21"/>
                <w:szCs w:val="21"/>
                <w:highlight w:val="none"/>
              </w:rPr>
              <w:t>13980843688</w:t>
            </w:r>
          </w:p>
          <w:p>
            <w:pPr>
              <w:jc w:val="center"/>
              <w:rPr>
                <w:rFonts w:hAnsi="宋体" w:cs="宋体"/>
                <w:color w:val="auto"/>
                <w:sz w:val="21"/>
                <w:szCs w:val="21"/>
                <w:highlight w:val="none"/>
              </w:rPr>
            </w:pPr>
            <w:r>
              <w:rPr>
                <w:rFonts w:hint="eastAsia" w:hAnsi="宋体" w:cs="宋体"/>
                <w:color w:val="auto"/>
                <w:sz w:val="21"/>
                <w:szCs w:val="21"/>
                <w:highlight w:val="none"/>
              </w:rPr>
              <w:t>肖毓</w:t>
            </w:r>
            <w:r>
              <w:rPr>
                <w:rFonts w:hint="eastAsia" w:hAnsi="宋体" w:cs="宋体"/>
                <w:color w:val="auto"/>
                <w:sz w:val="21"/>
                <w:szCs w:val="21"/>
                <w:highlight w:val="none"/>
              </w:rPr>
              <w:tab/>
            </w:r>
            <w:r>
              <w:rPr>
                <w:rFonts w:hint="eastAsia" w:hAnsi="宋体" w:cs="宋体"/>
                <w:color w:val="auto"/>
                <w:sz w:val="21"/>
                <w:szCs w:val="21"/>
                <w:highlight w:val="none"/>
              </w:rPr>
              <w:t>部门经理</w:t>
            </w:r>
            <w:r>
              <w:rPr>
                <w:rFonts w:hint="eastAsia" w:hAnsi="宋体" w:cs="宋体"/>
                <w:color w:val="auto"/>
                <w:sz w:val="21"/>
                <w:szCs w:val="21"/>
                <w:highlight w:val="none"/>
              </w:rPr>
              <w:tab/>
            </w:r>
            <w:r>
              <w:rPr>
                <w:rFonts w:hint="eastAsia" w:hAnsi="宋体" w:cs="宋体"/>
                <w:color w:val="auto"/>
                <w:sz w:val="21"/>
                <w:szCs w:val="21"/>
                <w:highlight w:val="none"/>
              </w:rPr>
              <w:t>13882110585</w:t>
            </w:r>
          </w:p>
          <w:p>
            <w:pPr>
              <w:jc w:val="center"/>
              <w:rPr>
                <w:rFonts w:hAnsi="宋体" w:cs="宋体"/>
                <w:color w:val="auto"/>
                <w:sz w:val="21"/>
                <w:szCs w:val="21"/>
                <w:highlight w:val="none"/>
              </w:rPr>
            </w:pPr>
            <w:r>
              <w:rPr>
                <w:rFonts w:hint="eastAsia" w:hAnsi="宋体" w:cs="宋体"/>
                <w:color w:val="auto"/>
                <w:sz w:val="21"/>
                <w:szCs w:val="21"/>
                <w:highlight w:val="none"/>
              </w:rPr>
              <w:t>何莉</w:t>
            </w:r>
            <w:r>
              <w:rPr>
                <w:rFonts w:hint="eastAsia" w:hAnsi="宋体" w:cs="宋体"/>
                <w:color w:val="auto"/>
                <w:sz w:val="21"/>
                <w:szCs w:val="21"/>
                <w:highlight w:val="none"/>
              </w:rPr>
              <w:tab/>
            </w:r>
            <w:r>
              <w:rPr>
                <w:rFonts w:hint="eastAsia" w:hAnsi="宋体" w:cs="宋体"/>
                <w:color w:val="auto"/>
                <w:sz w:val="21"/>
                <w:szCs w:val="21"/>
                <w:highlight w:val="none"/>
              </w:rPr>
              <w:t>副 经 理</w:t>
            </w:r>
            <w:r>
              <w:rPr>
                <w:rFonts w:hint="eastAsia" w:hAnsi="宋体" w:cs="宋体"/>
                <w:color w:val="auto"/>
                <w:sz w:val="21"/>
                <w:szCs w:val="21"/>
                <w:highlight w:val="none"/>
              </w:rPr>
              <w:tab/>
            </w:r>
            <w:r>
              <w:rPr>
                <w:rFonts w:hint="eastAsia" w:hAnsi="宋体" w:cs="宋体"/>
                <w:color w:val="auto"/>
                <w:sz w:val="21"/>
                <w:szCs w:val="21"/>
                <w:highlight w:val="none"/>
              </w:rPr>
              <w:t>15982110977</w:t>
            </w:r>
          </w:p>
          <w:p>
            <w:pPr>
              <w:jc w:val="center"/>
              <w:rPr>
                <w:rFonts w:hAnsi="宋体" w:cs="宋体"/>
                <w:color w:val="auto"/>
                <w:sz w:val="21"/>
                <w:szCs w:val="21"/>
                <w:highlight w:val="none"/>
              </w:rPr>
            </w:pPr>
            <w:r>
              <w:rPr>
                <w:rFonts w:hint="eastAsia" w:hAnsi="宋体" w:cs="宋体"/>
                <w:color w:val="auto"/>
                <w:sz w:val="21"/>
                <w:szCs w:val="21"/>
                <w:highlight w:val="none"/>
              </w:rPr>
              <w:t>唐雪姣</w:t>
            </w:r>
            <w:r>
              <w:rPr>
                <w:rFonts w:hint="eastAsia" w:hAnsi="宋体" w:cs="宋体"/>
                <w:color w:val="auto"/>
                <w:sz w:val="21"/>
                <w:szCs w:val="21"/>
                <w:highlight w:val="none"/>
              </w:rPr>
              <w:tab/>
            </w:r>
            <w:r>
              <w:rPr>
                <w:rFonts w:hint="eastAsia" w:hAnsi="宋体" w:cs="宋体"/>
                <w:color w:val="auto"/>
                <w:sz w:val="21"/>
                <w:szCs w:val="21"/>
                <w:highlight w:val="none"/>
              </w:rPr>
              <w:t>客户经理</w:t>
            </w:r>
            <w:r>
              <w:rPr>
                <w:rFonts w:hint="eastAsia" w:hAnsi="宋体" w:cs="宋体"/>
                <w:color w:val="auto"/>
                <w:sz w:val="21"/>
                <w:szCs w:val="21"/>
                <w:highlight w:val="none"/>
              </w:rPr>
              <w:tab/>
            </w:r>
            <w:r>
              <w:rPr>
                <w:rFonts w:hint="eastAsia" w:hAnsi="宋体" w:cs="宋体"/>
                <w:color w:val="auto"/>
                <w:sz w:val="21"/>
                <w:szCs w:val="21"/>
                <w:highlight w:val="none"/>
              </w:rPr>
              <w:t>13689013376</w:t>
            </w:r>
          </w:p>
          <w:p>
            <w:pPr>
              <w:pStyle w:val="63"/>
              <w:spacing w:line="320" w:lineRule="exact"/>
              <w:jc w:val="center"/>
              <w:rPr>
                <w:color w:val="auto"/>
                <w:sz w:val="21"/>
                <w:szCs w:val="21"/>
                <w:highlight w:val="none"/>
              </w:rPr>
            </w:pPr>
            <w:r>
              <w:rPr>
                <w:rFonts w:hint="eastAsia"/>
                <w:color w:val="auto"/>
                <w:sz w:val="21"/>
                <w:szCs w:val="21"/>
                <w:highlight w:val="none"/>
              </w:rPr>
              <w:t>王羽</w:t>
            </w:r>
            <w:r>
              <w:rPr>
                <w:rFonts w:hint="eastAsia"/>
                <w:color w:val="auto"/>
                <w:sz w:val="21"/>
                <w:szCs w:val="21"/>
                <w:highlight w:val="none"/>
              </w:rPr>
              <w:tab/>
            </w:r>
            <w:r>
              <w:rPr>
                <w:rFonts w:hint="eastAsia"/>
                <w:color w:val="auto"/>
                <w:sz w:val="21"/>
                <w:szCs w:val="21"/>
                <w:highlight w:val="none"/>
              </w:rPr>
              <w:t>客户经理</w:t>
            </w:r>
            <w:r>
              <w:rPr>
                <w:rFonts w:hint="eastAsia"/>
                <w:color w:val="auto"/>
                <w:sz w:val="21"/>
                <w:szCs w:val="21"/>
                <w:highlight w:val="none"/>
              </w:rPr>
              <w:tab/>
            </w:r>
            <w:r>
              <w:rPr>
                <w:rFonts w:hint="eastAsia"/>
                <w:color w:val="auto"/>
                <w:sz w:val="21"/>
                <w:szCs w:val="21"/>
                <w:highlight w:val="none"/>
              </w:rPr>
              <w:t>13568936607</w:t>
            </w:r>
          </w:p>
        </w:tc>
        <w:tc>
          <w:tcPr>
            <w:tcW w:w="7244" w:type="dxa"/>
            <w:vAlign w:val="center"/>
          </w:tcPr>
          <w:p>
            <w:pPr>
              <w:ind w:firstLine="420" w:firstLineChars="200"/>
              <w:rPr>
                <w:rFonts w:hAnsi="宋体" w:cs="宋体"/>
                <w:color w:val="auto"/>
                <w:sz w:val="21"/>
                <w:szCs w:val="21"/>
                <w:highlight w:val="none"/>
              </w:rPr>
            </w:pPr>
            <w:r>
              <w:rPr>
                <w:rFonts w:hint="eastAsia" w:hAnsi="宋体" w:cs="宋体"/>
                <w:color w:val="auto"/>
                <w:sz w:val="21"/>
                <w:szCs w:val="21"/>
                <w:highlight w:val="none"/>
              </w:rPr>
              <w:t>1、授信额度</w:t>
            </w:r>
          </w:p>
          <w:p>
            <w:pPr>
              <w:ind w:firstLine="420" w:firstLineChars="200"/>
              <w:rPr>
                <w:rFonts w:hAnsi="宋体" w:cs="宋体"/>
                <w:color w:val="auto"/>
                <w:sz w:val="21"/>
                <w:szCs w:val="21"/>
                <w:highlight w:val="none"/>
              </w:rPr>
            </w:pPr>
            <w:r>
              <w:rPr>
                <w:rFonts w:hint="eastAsia" w:hAnsi="宋体" w:cs="宋体"/>
                <w:color w:val="auto"/>
                <w:sz w:val="21"/>
                <w:szCs w:val="21"/>
                <w:highlight w:val="none"/>
              </w:rPr>
              <w:t>根据《政府采购合同》金额测定授信额度理论值，最高可贷合同总金额的70%，原则不超过1000万元。小微企业单户信用贷款额度不超过500万元。</w:t>
            </w:r>
          </w:p>
          <w:p>
            <w:pPr>
              <w:ind w:firstLine="420" w:firstLineChars="200"/>
              <w:rPr>
                <w:rFonts w:hAnsi="宋体" w:cs="宋体"/>
                <w:color w:val="auto"/>
                <w:sz w:val="21"/>
                <w:szCs w:val="21"/>
                <w:highlight w:val="none"/>
              </w:rPr>
            </w:pPr>
            <w:r>
              <w:rPr>
                <w:rFonts w:hint="eastAsia" w:hAnsi="宋体" w:cs="宋体"/>
                <w:color w:val="auto"/>
                <w:sz w:val="21"/>
                <w:szCs w:val="21"/>
                <w:highlight w:val="none"/>
              </w:rPr>
              <w:t>2、融资期限</w:t>
            </w:r>
          </w:p>
          <w:p>
            <w:pPr>
              <w:ind w:firstLine="420" w:firstLineChars="200"/>
              <w:rPr>
                <w:rFonts w:hAnsi="宋体" w:cs="宋体"/>
                <w:color w:val="auto"/>
                <w:sz w:val="21"/>
                <w:szCs w:val="21"/>
                <w:highlight w:val="none"/>
              </w:rPr>
            </w:pPr>
            <w:r>
              <w:rPr>
                <w:rFonts w:hint="eastAsia" w:hAnsi="宋体" w:cs="宋体"/>
                <w:color w:val="auto"/>
                <w:sz w:val="21"/>
                <w:szCs w:val="21"/>
                <w:highlight w:val="none"/>
              </w:rPr>
              <w:t>融资到期日不超过《政府采购合同》项下应收账款付款到期日后3个月（含），融资期限原则上不超过1年（含），最长不超过3年。</w:t>
            </w:r>
          </w:p>
          <w:p>
            <w:pPr>
              <w:ind w:firstLine="420" w:firstLineChars="200"/>
              <w:rPr>
                <w:rFonts w:hAnsi="宋体" w:cs="宋体"/>
                <w:color w:val="auto"/>
                <w:sz w:val="21"/>
                <w:szCs w:val="21"/>
                <w:highlight w:val="none"/>
              </w:rPr>
            </w:pPr>
            <w:r>
              <w:rPr>
                <w:rFonts w:hint="eastAsia" w:hAnsi="宋体" w:cs="宋体"/>
                <w:color w:val="auto"/>
                <w:sz w:val="21"/>
                <w:szCs w:val="21"/>
                <w:highlight w:val="none"/>
              </w:rPr>
              <w:t xml:space="preserve">3、融资利率 </w:t>
            </w:r>
          </w:p>
          <w:p>
            <w:pPr>
              <w:ind w:firstLine="420" w:firstLineChars="200"/>
              <w:rPr>
                <w:rFonts w:hAnsi="宋体" w:cs="宋体"/>
                <w:color w:val="auto"/>
                <w:sz w:val="21"/>
                <w:szCs w:val="21"/>
                <w:highlight w:val="none"/>
              </w:rPr>
            </w:pPr>
            <w:r>
              <w:rPr>
                <w:rFonts w:hint="eastAsia" w:hAnsi="宋体" w:cs="宋体"/>
                <w:color w:val="auto"/>
                <w:sz w:val="21"/>
                <w:szCs w:val="21"/>
                <w:highlight w:val="none"/>
              </w:rPr>
              <w:t>原则上不超过人民银行同期基准利率上浮30%。</w:t>
            </w:r>
          </w:p>
          <w:p>
            <w:pPr>
              <w:ind w:firstLine="420" w:firstLineChars="200"/>
              <w:rPr>
                <w:rFonts w:hAnsi="宋体" w:cs="宋体"/>
                <w:color w:val="auto"/>
                <w:sz w:val="21"/>
                <w:szCs w:val="21"/>
                <w:highlight w:val="none"/>
              </w:rPr>
            </w:pPr>
            <w:r>
              <w:rPr>
                <w:rFonts w:hint="eastAsia" w:hAnsi="宋体" w:cs="宋体"/>
                <w:color w:val="auto"/>
                <w:sz w:val="21"/>
                <w:szCs w:val="21"/>
                <w:highlight w:val="none"/>
              </w:rPr>
              <w:t>4、还款方式</w:t>
            </w:r>
          </w:p>
          <w:p>
            <w:pPr>
              <w:pStyle w:val="63"/>
              <w:wordWrap w:val="0"/>
              <w:topLinePunct/>
              <w:spacing w:line="320" w:lineRule="exact"/>
              <w:ind w:left="78" w:leftChars="23" w:right="51" w:rightChars="15"/>
              <w:jc w:val="both"/>
              <w:rPr>
                <w:color w:val="auto"/>
                <w:sz w:val="21"/>
                <w:szCs w:val="21"/>
                <w:highlight w:val="none"/>
              </w:rPr>
            </w:pPr>
            <w:r>
              <w:rPr>
                <w:rFonts w:hint="eastAsia"/>
                <w:color w:val="auto"/>
                <w:sz w:val="21"/>
                <w:szCs w:val="21"/>
                <w:highlight w:val="none"/>
              </w:rPr>
              <w:t>贷款期限在１年以内的，可采用一次性还本付息方式或一次还本、分期付息方式。贷款期限在１年以上的，采用按月（季）分期还本付息方式。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wordWrap w:val="0"/>
              <w:spacing w:line="320" w:lineRule="exact"/>
              <w:jc w:val="both"/>
              <w:rPr>
                <w:color w:val="auto"/>
                <w:sz w:val="21"/>
                <w:szCs w:val="21"/>
                <w:highlight w:val="none"/>
              </w:rPr>
            </w:pPr>
            <w:r>
              <w:rPr>
                <w:rFonts w:hint="eastAsia"/>
                <w:color w:val="auto"/>
                <w:sz w:val="21"/>
                <w:szCs w:val="21"/>
                <w:highlight w:val="none"/>
              </w:rPr>
              <w:t>中行崇州支行</w:t>
            </w:r>
          </w:p>
        </w:tc>
        <w:tc>
          <w:tcPr>
            <w:tcW w:w="1596" w:type="dxa"/>
            <w:vAlign w:val="center"/>
          </w:tcPr>
          <w:p>
            <w:pPr>
              <w:jc w:val="center"/>
              <w:rPr>
                <w:rFonts w:hAnsi="宋体" w:cs="宋体"/>
                <w:color w:val="auto"/>
                <w:sz w:val="21"/>
                <w:szCs w:val="21"/>
                <w:highlight w:val="none"/>
              </w:rPr>
            </w:pPr>
            <w:r>
              <w:rPr>
                <w:rFonts w:hint="eastAsia" w:hAnsi="宋体" w:cs="宋体"/>
                <w:color w:val="auto"/>
                <w:sz w:val="21"/>
                <w:szCs w:val="21"/>
                <w:highlight w:val="none"/>
              </w:rPr>
              <w:t>分管行长 王勇 82313560  13980969703</w:t>
            </w:r>
          </w:p>
          <w:p>
            <w:pPr>
              <w:pStyle w:val="63"/>
              <w:spacing w:line="320" w:lineRule="exact"/>
              <w:jc w:val="center"/>
              <w:rPr>
                <w:color w:val="auto"/>
                <w:sz w:val="21"/>
                <w:szCs w:val="21"/>
                <w:highlight w:val="none"/>
              </w:rPr>
            </w:pPr>
            <w:r>
              <w:rPr>
                <w:rFonts w:hint="eastAsia"/>
                <w:color w:val="auto"/>
                <w:sz w:val="21"/>
                <w:szCs w:val="21"/>
                <w:highlight w:val="none"/>
              </w:rPr>
              <w:t>分管主任龚才兵 82276832  18081054180</w:t>
            </w:r>
          </w:p>
        </w:tc>
        <w:tc>
          <w:tcPr>
            <w:tcW w:w="7244" w:type="dxa"/>
            <w:vAlign w:val="center"/>
          </w:tcPr>
          <w:p>
            <w:pPr>
              <w:ind w:firstLine="420" w:firstLineChars="200"/>
              <w:rPr>
                <w:rFonts w:hAnsi="宋体" w:cs="宋体"/>
                <w:color w:val="auto"/>
                <w:sz w:val="21"/>
                <w:szCs w:val="21"/>
                <w:highlight w:val="none"/>
              </w:rPr>
            </w:pPr>
            <w:r>
              <w:rPr>
                <w:rFonts w:hint="eastAsia" w:hAnsi="宋体" w:cs="宋体"/>
                <w:color w:val="auto"/>
                <w:sz w:val="21"/>
                <w:szCs w:val="21"/>
                <w:highlight w:val="none"/>
              </w:rPr>
              <w:t>授信额度：单一合同项下信用授信金额不得高于合同标的的70%，最高不超过2000万元，最长不超过一年。</w:t>
            </w:r>
          </w:p>
          <w:p>
            <w:pPr>
              <w:ind w:firstLine="420" w:firstLineChars="200"/>
              <w:rPr>
                <w:rFonts w:hAnsi="宋体" w:cs="宋体"/>
                <w:color w:val="auto"/>
                <w:sz w:val="21"/>
                <w:szCs w:val="21"/>
                <w:highlight w:val="none"/>
              </w:rPr>
            </w:pPr>
            <w:r>
              <w:rPr>
                <w:rFonts w:hint="eastAsia" w:hAnsi="宋体" w:cs="宋体"/>
                <w:color w:val="auto"/>
                <w:sz w:val="21"/>
                <w:szCs w:val="21"/>
                <w:highlight w:val="none"/>
              </w:rPr>
              <w:t>担保方式：须借款人法定代表人、主要股东、实际控制人或关联企业提供连带责任保证担保；也可采购取房地产抵押或第三方保证等。</w:t>
            </w:r>
          </w:p>
          <w:p>
            <w:pPr>
              <w:pStyle w:val="63"/>
              <w:wordWrap w:val="0"/>
              <w:topLinePunct/>
              <w:spacing w:line="320" w:lineRule="exact"/>
              <w:ind w:left="78" w:leftChars="23" w:right="51" w:rightChars="15"/>
              <w:jc w:val="both"/>
              <w:rPr>
                <w:color w:val="auto"/>
                <w:sz w:val="21"/>
                <w:szCs w:val="21"/>
                <w:highlight w:val="none"/>
              </w:rPr>
            </w:pPr>
            <w:r>
              <w:rPr>
                <w:rFonts w:hint="eastAsia"/>
                <w:color w:val="auto"/>
                <w:sz w:val="21"/>
                <w:szCs w:val="21"/>
                <w:highlight w:val="none"/>
              </w:rPr>
              <w:t>执行利率：按年化4.5675%执行；非普惠金融贷款企业，在一年期基准贷款利率4.35%的基础上上浮10%-40%。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wordWrap w:val="0"/>
              <w:spacing w:line="320" w:lineRule="exact"/>
              <w:jc w:val="both"/>
              <w:rPr>
                <w:color w:val="auto"/>
                <w:sz w:val="21"/>
                <w:szCs w:val="21"/>
                <w:highlight w:val="none"/>
              </w:rPr>
            </w:pPr>
            <w:r>
              <w:rPr>
                <w:rFonts w:hint="eastAsia"/>
                <w:color w:val="auto"/>
                <w:sz w:val="21"/>
                <w:szCs w:val="21"/>
                <w:highlight w:val="none"/>
              </w:rPr>
              <w:t>重庆银行崇州支行</w:t>
            </w:r>
          </w:p>
        </w:tc>
        <w:tc>
          <w:tcPr>
            <w:tcW w:w="1596" w:type="dxa"/>
            <w:vAlign w:val="center"/>
          </w:tcPr>
          <w:p>
            <w:pPr>
              <w:jc w:val="center"/>
              <w:rPr>
                <w:rFonts w:hAnsi="宋体" w:cs="宋体"/>
                <w:color w:val="auto"/>
                <w:sz w:val="21"/>
                <w:szCs w:val="21"/>
                <w:highlight w:val="none"/>
              </w:rPr>
            </w:pPr>
            <w:r>
              <w:rPr>
                <w:rFonts w:hint="eastAsia" w:hAnsi="宋体" w:cs="宋体"/>
                <w:color w:val="auto"/>
                <w:sz w:val="21"/>
                <w:szCs w:val="21"/>
                <w:highlight w:val="none"/>
              </w:rPr>
              <w:t xml:space="preserve">业务部经理   </w:t>
            </w:r>
          </w:p>
          <w:p>
            <w:pPr>
              <w:jc w:val="center"/>
              <w:rPr>
                <w:rFonts w:hAnsi="宋体" w:cs="宋体"/>
                <w:color w:val="auto"/>
                <w:sz w:val="21"/>
                <w:szCs w:val="21"/>
                <w:highlight w:val="none"/>
              </w:rPr>
            </w:pPr>
            <w:r>
              <w:rPr>
                <w:rFonts w:hint="eastAsia" w:hAnsi="宋体" w:cs="宋体"/>
                <w:color w:val="auto"/>
                <w:sz w:val="21"/>
                <w:szCs w:val="21"/>
                <w:highlight w:val="none"/>
              </w:rPr>
              <w:t>李盛勇  18108259677</w:t>
            </w:r>
          </w:p>
          <w:p>
            <w:pPr>
              <w:jc w:val="center"/>
              <w:rPr>
                <w:rFonts w:hAnsi="宋体" w:cs="宋体"/>
                <w:color w:val="auto"/>
                <w:sz w:val="21"/>
                <w:szCs w:val="21"/>
                <w:highlight w:val="none"/>
              </w:rPr>
            </w:pPr>
            <w:r>
              <w:rPr>
                <w:rFonts w:hint="eastAsia" w:hAnsi="宋体" w:cs="宋体"/>
                <w:color w:val="auto"/>
                <w:sz w:val="21"/>
                <w:szCs w:val="21"/>
                <w:highlight w:val="none"/>
              </w:rPr>
              <w:t>小微业务部副经理   余蓥   13550034115</w:t>
            </w:r>
          </w:p>
          <w:p>
            <w:pPr>
              <w:pStyle w:val="63"/>
              <w:spacing w:line="320" w:lineRule="exact"/>
              <w:jc w:val="center"/>
              <w:rPr>
                <w:color w:val="auto"/>
                <w:sz w:val="21"/>
                <w:szCs w:val="21"/>
                <w:highlight w:val="none"/>
              </w:rPr>
            </w:pPr>
            <w:r>
              <w:rPr>
                <w:rFonts w:hint="eastAsia"/>
                <w:color w:val="auto"/>
                <w:sz w:val="21"/>
                <w:szCs w:val="21"/>
                <w:highlight w:val="none"/>
              </w:rPr>
              <w:t>小微业务部客户经理  陈文韬 13547927235</w:t>
            </w:r>
          </w:p>
        </w:tc>
        <w:tc>
          <w:tcPr>
            <w:tcW w:w="7244" w:type="dxa"/>
            <w:vAlign w:val="center"/>
          </w:tcPr>
          <w:p>
            <w:pPr>
              <w:ind w:firstLine="420" w:firstLineChars="200"/>
              <w:rPr>
                <w:rFonts w:hAnsi="宋体" w:cs="宋体"/>
                <w:color w:val="auto"/>
                <w:sz w:val="21"/>
                <w:szCs w:val="21"/>
                <w:highlight w:val="none"/>
              </w:rPr>
            </w:pPr>
            <w:r>
              <w:rPr>
                <w:rFonts w:hint="eastAsia" w:hAnsi="宋体" w:cs="宋体"/>
                <w:color w:val="auto"/>
                <w:sz w:val="21"/>
                <w:szCs w:val="21"/>
                <w:highlight w:val="none"/>
              </w:rPr>
              <w:t>授信额度：单一合同项下信用授信金额不得高于合同标的的80%，目前暂不超过100万元。</w:t>
            </w:r>
          </w:p>
          <w:p>
            <w:pPr>
              <w:pStyle w:val="63"/>
              <w:wordWrap w:val="0"/>
              <w:topLinePunct/>
              <w:spacing w:line="320" w:lineRule="exact"/>
              <w:ind w:left="78" w:leftChars="23" w:right="51" w:rightChars="15"/>
              <w:jc w:val="both"/>
              <w:rPr>
                <w:color w:val="auto"/>
                <w:sz w:val="21"/>
                <w:szCs w:val="21"/>
                <w:highlight w:val="none"/>
              </w:rPr>
            </w:pPr>
            <w:r>
              <w:rPr>
                <w:rFonts w:hint="eastAsia"/>
                <w:color w:val="auto"/>
                <w:sz w:val="21"/>
                <w:szCs w:val="21"/>
                <w:highlight w:val="none"/>
              </w:rPr>
              <w:t>执行利率：申请人信用评价实施差异化定价，原则上不超过基准利率上浮30%。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0" w:type="dxa"/>
            <w:vAlign w:val="center"/>
          </w:tcPr>
          <w:p>
            <w:pPr>
              <w:pStyle w:val="63"/>
              <w:wordWrap w:val="0"/>
              <w:spacing w:line="320" w:lineRule="exact"/>
              <w:jc w:val="both"/>
              <w:rPr>
                <w:color w:val="auto"/>
                <w:sz w:val="21"/>
                <w:szCs w:val="21"/>
                <w:highlight w:val="none"/>
              </w:rPr>
            </w:pPr>
            <w:r>
              <w:rPr>
                <w:rFonts w:hint="eastAsia"/>
                <w:color w:val="auto"/>
                <w:sz w:val="21"/>
                <w:szCs w:val="21"/>
                <w:highlight w:val="none"/>
              </w:rPr>
              <w:t>工商银行崇州支行</w:t>
            </w:r>
          </w:p>
        </w:tc>
        <w:tc>
          <w:tcPr>
            <w:tcW w:w="1596" w:type="dxa"/>
            <w:vAlign w:val="center"/>
          </w:tcPr>
          <w:p>
            <w:pPr>
              <w:pStyle w:val="63"/>
              <w:spacing w:line="320" w:lineRule="exact"/>
              <w:jc w:val="center"/>
              <w:rPr>
                <w:color w:val="auto"/>
                <w:sz w:val="21"/>
                <w:szCs w:val="21"/>
                <w:highlight w:val="none"/>
              </w:rPr>
            </w:pPr>
            <w:r>
              <w:rPr>
                <w:rFonts w:hint="eastAsia"/>
                <w:color w:val="auto"/>
                <w:sz w:val="21"/>
                <w:szCs w:val="21"/>
                <w:highlight w:val="none"/>
              </w:rPr>
              <w:t>分管行长：张樱川13882296300</w:t>
            </w:r>
          </w:p>
          <w:p>
            <w:pPr>
              <w:pStyle w:val="63"/>
              <w:spacing w:line="320" w:lineRule="exact"/>
              <w:jc w:val="center"/>
              <w:rPr>
                <w:color w:val="auto"/>
                <w:sz w:val="21"/>
                <w:szCs w:val="21"/>
                <w:highlight w:val="none"/>
              </w:rPr>
            </w:pPr>
            <w:r>
              <w:rPr>
                <w:rFonts w:hint="eastAsia"/>
                <w:color w:val="auto"/>
                <w:sz w:val="21"/>
                <w:szCs w:val="21"/>
                <w:highlight w:val="none"/>
              </w:rPr>
              <w:t xml:space="preserve">  分管科长：曲希17760374425</w:t>
            </w:r>
          </w:p>
          <w:p>
            <w:pPr>
              <w:pStyle w:val="63"/>
              <w:spacing w:line="320" w:lineRule="exact"/>
              <w:jc w:val="center"/>
              <w:rPr>
                <w:color w:val="auto"/>
                <w:sz w:val="21"/>
                <w:szCs w:val="21"/>
                <w:highlight w:val="none"/>
              </w:rPr>
            </w:pPr>
            <w:r>
              <w:rPr>
                <w:rFonts w:hint="eastAsia"/>
                <w:color w:val="auto"/>
                <w:sz w:val="21"/>
                <w:szCs w:val="21"/>
                <w:highlight w:val="none"/>
              </w:rPr>
              <w:t xml:space="preserve">  客户经理：余波13688482133</w:t>
            </w:r>
          </w:p>
          <w:p>
            <w:pPr>
              <w:pStyle w:val="63"/>
              <w:spacing w:line="320" w:lineRule="exact"/>
              <w:jc w:val="center"/>
              <w:rPr>
                <w:color w:val="auto"/>
                <w:sz w:val="21"/>
                <w:szCs w:val="21"/>
                <w:highlight w:val="none"/>
              </w:rPr>
            </w:pPr>
            <w:r>
              <w:rPr>
                <w:rFonts w:hint="eastAsia"/>
                <w:color w:val="auto"/>
                <w:sz w:val="21"/>
                <w:szCs w:val="21"/>
                <w:highlight w:val="none"/>
              </w:rPr>
              <w:t xml:space="preserve">  客户经理：华昌庚15828604669</w:t>
            </w:r>
          </w:p>
        </w:tc>
        <w:tc>
          <w:tcPr>
            <w:tcW w:w="7244" w:type="dxa"/>
            <w:vAlign w:val="center"/>
          </w:tcPr>
          <w:p>
            <w:pPr>
              <w:pStyle w:val="63"/>
              <w:wordWrap w:val="0"/>
              <w:topLinePunct/>
              <w:spacing w:line="320" w:lineRule="exact"/>
              <w:ind w:left="78" w:leftChars="23" w:right="51" w:rightChars="15"/>
              <w:rPr>
                <w:color w:val="auto"/>
                <w:sz w:val="21"/>
                <w:szCs w:val="21"/>
                <w:highlight w:val="none"/>
              </w:rPr>
            </w:pPr>
            <w:r>
              <w:rPr>
                <w:rFonts w:hint="eastAsia"/>
                <w:color w:val="auto"/>
                <w:sz w:val="21"/>
                <w:szCs w:val="21"/>
                <w:highlight w:val="none"/>
              </w:rPr>
              <w:t>融资额度</w:t>
            </w:r>
          </w:p>
          <w:p>
            <w:pPr>
              <w:pStyle w:val="63"/>
              <w:wordWrap w:val="0"/>
              <w:topLinePunct/>
              <w:spacing w:line="320" w:lineRule="exact"/>
              <w:ind w:left="78" w:leftChars="23" w:right="51" w:rightChars="15"/>
              <w:rPr>
                <w:color w:val="auto"/>
                <w:sz w:val="21"/>
                <w:szCs w:val="21"/>
                <w:highlight w:val="none"/>
              </w:rPr>
            </w:pPr>
            <w:r>
              <w:rPr>
                <w:rFonts w:hint="eastAsia"/>
                <w:color w:val="auto"/>
                <w:sz w:val="21"/>
                <w:szCs w:val="21"/>
                <w:highlight w:val="none"/>
              </w:rPr>
              <w:t xml:space="preserve"> 1、采用信用方式的，单户贷款金额最高不超过200万元,微型企业单户最高不超过100万元。</w:t>
            </w:r>
          </w:p>
          <w:p>
            <w:pPr>
              <w:pStyle w:val="63"/>
              <w:wordWrap w:val="0"/>
              <w:topLinePunct/>
              <w:spacing w:line="320" w:lineRule="exact"/>
              <w:ind w:left="78" w:leftChars="23" w:right="51" w:rightChars="15"/>
              <w:rPr>
                <w:color w:val="auto"/>
                <w:sz w:val="21"/>
                <w:szCs w:val="21"/>
                <w:highlight w:val="none"/>
              </w:rPr>
            </w:pPr>
            <w:r>
              <w:rPr>
                <w:rFonts w:hint="eastAsia"/>
                <w:color w:val="auto"/>
                <w:sz w:val="21"/>
                <w:szCs w:val="21"/>
                <w:highlight w:val="none"/>
              </w:rPr>
              <w:t xml:space="preserve"> 2、追加以政府采购的应收账款质押作为增信（以下统称“增信措施”），有增信措施的，单户贷款金额最高不超过500万元,微型企业单户最高不超过200万元，且一般不超过对应的政府采购合同项下应收账款实有金额的70%，但最高不超过80%。</w:t>
            </w:r>
          </w:p>
          <w:p>
            <w:pPr>
              <w:pStyle w:val="63"/>
              <w:wordWrap w:val="0"/>
              <w:topLinePunct/>
              <w:spacing w:line="320" w:lineRule="exact"/>
              <w:ind w:left="78" w:leftChars="23" w:right="51" w:rightChars="15"/>
              <w:rPr>
                <w:color w:val="auto"/>
                <w:sz w:val="21"/>
                <w:szCs w:val="21"/>
                <w:highlight w:val="none"/>
              </w:rPr>
            </w:pPr>
            <w:r>
              <w:rPr>
                <w:rFonts w:hint="eastAsia"/>
                <w:color w:val="auto"/>
                <w:sz w:val="21"/>
                <w:szCs w:val="21"/>
                <w:highlight w:val="none"/>
              </w:rPr>
              <w:t>执行利率：“政采贷”业务定价不得低于人民银行基准利率执行，根据不同客户情况合理确定。</w:t>
            </w:r>
          </w:p>
          <w:p>
            <w:pPr>
              <w:pStyle w:val="63"/>
              <w:wordWrap w:val="0"/>
              <w:topLinePunct/>
              <w:spacing w:line="320" w:lineRule="exact"/>
              <w:ind w:left="78" w:leftChars="23" w:right="51" w:rightChars="15"/>
              <w:jc w:val="both"/>
              <w:rPr>
                <w:color w:val="auto"/>
                <w:sz w:val="21"/>
                <w:szCs w:val="21"/>
                <w:highlight w:val="none"/>
              </w:rPr>
            </w:pPr>
            <w:r>
              <w:rPr>
                <w:rFonts w:hint="eastAsia"/>
                <w:color w:val="auto"/>
                <w:sz w:val="21"/>
                <w:szCs w:val="21"/>
                <w:highlight w:val="none"/>
              </w:rPr>
              <w:t>还款方式：“政采贷”贷款根据企业经营特点、应收账款的回款特点确定还款方式，可采用一次性还款或分期还款方式，但须按月付息。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750" w:type="dxa"/>
            <w:gridSpan w:val="3"/>
            <w:vAlign w:val="center"/>
          </w:tcPr>
          <w:p>
            <w:pPr>
              <w:pStyle w:val="63"/>
              <w:wordWrap w:val="0"/>
              <w:topLinePunct/>
              <w:spacing w:line="320" w:lineRule="exact"/>
              <w:ind w:left="78" w:leftChars="23" w:right="51" w:rightChars="15"/>
              <w:jc w:val="both"/>
              <w:rPr>
                <w:b/>
                <w:bCs/>
                <w:color w:val="auto"/>
                <w:sz w:val="21"/>
                <w:szCs w:val="21"/>
                <w:highlight w:val="none"/>
              </w:rPr>
            </w:pPr>
            <w:r>
              <w:rPr>
                <w:rFonts w:hint="eastAsia"/>
                <w:b/>
                <w:bCs/>
                <w:color w:val="auto"/>
                <w:sz w:val="21"/>
                <w:szCs w:val="21"/>
                <w:highlight w:val="none"/>
              </w:rPr>
              <w:t xml:space="preserve">按照崇州市级支持中小企业政府采购信息融资实施方案，提供以下单位联系方式： </w:t>
            </w:r>
          </w:p>
          <w:p>
            <w:pPr>
              <w:pStyle w:val="63"/>
              <w:wordWrap w:val="0"/>
              <w:topLinePunct/>
              <w:spacing w:line="320" w:lineRule="exact"/>
              <w:ind w:left="78" w:leftChars="23" w:right="51" w:rightChars="15"/>
              <w:jc w:val="both"/>
              <w:rPr>
                <w:color w:val="auto"/>
                <w:sz w:val="21"/>
                <w:szCs w:val="21"/>
                <w:highlight w:val="none"/>
              </w:rPr>
            </w:pPr>
            <w:r>
              <w:rPr>
                <w:rFonts w:hint="eastAsia"/>
                <w:b/>
                <w:bCs/>
                <w:color w:val="auto"/>
                <w:sz w:val="21"/>
                <w:szCs w:val="21"/>
                <w:highlight w:val="none"/>
              </w:rPr>
              <w:t>崇州市政府采购信用融资银行联系方式一览表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506" w:type="dxa"/>
            <w:gridSpan w:val="2"/>
            <w:vAlign w:val="center"/>
          </w:tcPr>
          <w:p>
            <w:pPr>
              <w:pStyle w:val="63"/>
              <w:spacing w:line="320" w:lineRule="exact"/>
              <w:jc w:val="center"/>
              <w:rPr>
                <w:color w:val="auto"/>
                <w:sz w:val="21"/>
                <w:szCs w:val="21"/>
                <w:highlight w:val="none"/>
              </w:rPr>
            </w:pPr>
            <w:r>
              <w:rPr>
                <w:rFonts w:hint="eastAsia"/>
                <w:color w:val="auto"/>
                <w:sz w:val="21"/>
                <w:szCs w:val="21"/>
                <w:highlight w:val="none"/>
              </w:rPr>
              <w:t>银行名称</w:t>
            </w:r>
          </w:p>
        </w:tc>
        <w:tc>
          <w:tcPr>
            <w:tcW w:w="7244" w:type="dxa"/>
            <w:vAlign w:val="center"/>
          </w:tcPr>
          <w:p>
            <w:pPr>
              <w:pStyle w:val="63"/>
              <w:wordWrap w:val="0"/>
              <w:topLinePunct/>
              <w:spacing w:line="320" w:lineRule="exact"/>
              <w:ind w:left="78" w:leftChars="23" w:right="51" w:rightChars="15"/>
              <w:jc w:val="center"/>
              <w:rPr>
                <w:color w:val="auto"/>
                <w:sz w:val="21"/>
                <w:szCs w:val="21"/>
                <w:highlight w:val="none"/>
              </w:rPr>
            </w:pPr>
            <w:r>
              <w:rPr>
                <w:rFonts w:hint="eastAsia"/>
                <w:color w:val="auto"/>
                <w:sz w:val="21"/>
                <w:szCs w:val="21"/>
                <w:highlight w:val="none"/>
              </w:rPr>
              <w:t>联系人及方式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506" w:type="dxa"/>
            <w:gridSpan w:val="2"/>
            <w:vAlign w:val="center"/>
          </w:tcPr>
          <w:p>
            <w:pPr>
              <w:pStyle w:val="63"/>
              <w:spacing w:line="320" w:lineRule="exact"/>
              <w:jc w:val="center"/>
              <w:rPr>
                <w:color w:val="auto"/>
                <w:sz w:val="21"/>
                <w:szCs w:val="21"/>
                <w:highlight w:val="none"/>
              </w:rPr>
            </w:pPr>
            <w:r>
              <w:rPr>
                <w:rFonts w:hint="eastAsia"/>
                <w:color w:val="auto"/>
                <w:sz w:val="21"/>
                <w:szCs w:val="21"/>
                <w:highlight w:val="none"/>
              </w:rPr>
              <w:t>成都农商银行崇州支行</w:t>
            </w:r>
          </w:p>
        </w:tc>
        <w:tc>
          <w:tcPr>
            <w:tcW w:w="7244" w:type="dxa"/>
            <w:vAlign w:val="center"/>
          </w:tcPr>
          <w:p>
            <w:pPr>
              <w:pStyle w:val="63"/>
              <w:wordWrap w:val="0"/>
              <w:topLinePunct/>
              <w:spacing w:line="320" w:lineRule="exact"/>
              <w:ind w:left="78" w:leftChars="23" w:right="51" w:rightChars="15"/>
              <w:jc w:val="center"/>
              <w:rPr>
                <w:color w:val="auto"/>
                <w:sz w:val="21"/>
                <w:szCs w:val="21"/>
                <w:highlight w:val="none"/>
              </w:rPr>
            </w:pPr>
            <w:r>
              <w:rPr>
                <w:rFonts w:hint="eastAsia"/>
                <w:color w:val="auto"/>
                <w:sz w:val="21"/>
                <w:szCs w:val="21"/>
                <w:highlight w:val="none"/>
              </w:rPr>
              <w:t>业务部客户经理  任艳菊 13881851255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506" w:type="dxa"/>
            <w:gridSpan w:val="2"/>
            <w:vAlign w:val="center"/>
          </w:tcPr>
          <w:p>
            <w:pPr>
              <w:pStyle w:val="63"/>
              <w:spacing w:line="320" w:lineRule="exact"/>
              <w:jc w:val="center"/>
              <w:rPr>
                <w:color w:val="auto"/>
                <w:sz w:val="21"/>
                <w:szCs w:val="21"/>
                <w:highlight w:val="none"/>
              </w:rPr>
            </w:pPr>
            <w:r>
              <w:rPr>
                <w:rFonts w:hint="eastAsia"/>
                <w:color w:val="auto"/>
                <w:sz w:val="21"/>
                <w:szCs w:val="21"/>
                <w:highlight w:val="none"/>
              </w:rPr>
              <w:t>崇州上银村镇银行</w:t>
            </w:r>
          </w:p>
        </w:tc>
        <w:tc>
          <w:tcPr>
            <w:tcW w:w="7244" w:type="dxa"/>
            <w:vAlign w:val="center"/>
          </w:tcPr>
          <w:p>
            <w:pPr>
              <w:pStyle w:val="63"/>
              <w:wordWrap w:val="0"/>
              <w:topLinePunct/>
              <w:spacing w:line="320" w:lineRule="exact"/>
              <w:ind w:left="78" w:leftChars="23" w:right="51" w:rightChars="15"/>
              <w:jc w:val="center"/>
              <w:rPr>
                <w:color w:val="auto"/>
                <w:sz w:val="21"/>
                <w:szCs w:val="21"/>
                <w:highlight w:val="none"/>
              </w:rPr>
            </w:pPr>
            <w:r>
              <w:rPr>
                <w:rFonts w:hint="eastAsia"/>
                <w:color w:val="auto"/>
                <w:sz w:val="21"/>
                <w:szCs w:val="21"/>
                <w:highlight w:val="none"/>
              </w:rPr>
              <w:t xml:space="preserve">部门总经理      杨彦铭 </w:t>
            </w:r>
            <w:r>
              <w:rPr>
                <w:rFonts w:hint="eastAsia"/>
                <w:color w:val="auto"/>
                <w:sz w:val="21"/>
                <w:szCs w:val="21"/>
                <w:highlight w:val="none"/>
              </w:rPr>
              <w:tab/>
            </w:r>
            <w:r>
              <w:rPr>
                <w:rFonts w:hint="eastAsia"/>
                <w:color w:val="auto"/>
                <w:sz w:val="21"/>
                <w:szCs w:val="21"/>
                <w:highlight w:val="none"/>
              </w:rPr>
              <w:t>13981735391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506" w:type="dxa"/>
            <w:gridSpan w:val="2"/>
            <w:vAlign w:val="center"/>
          </w:tcPr>
          <w:p>
            <w:pPr>
              <w:pStyle w:val="63"/>
              <w:spacing w:line="320" w:lineRule="exact"/>
              <w:jc w:val="center"/>
              <w:rPr>
                <w:color w:val="auto"/>
                <w:sz w:val="21"/>
                <w:szCs w:val="21"/>
                <w:highlight w:val="none"/>
              </w:rPr>
            </w:pPr>
            <w:r>
              <w:rPr>
                <w:rFonts w:hint="eastAsia"/>
                <w:color w:val="auto"/>
                <w:sz w:val="21"/>
                <w:szCs w:val="21"/>
                <w:highlight w:val="none"/>
              </w:rPr>
              <w:t>中国农业银行崇州支行</w:t>
            </w:r>
          </w:p>
        </w:tc>
        <w:tc>
          <w:tcPr>
            <w:tcW w:w="7244" w:type="dxa"/>
            <w:vAlign w:val="center"/>
          </w:tcPr>
          <w:p>
            <w:pPr>
              <w:pStyle w:val="63"/>
              <w:wordWrap w:val="0"/>
              <w:topLinePunct/>
              <w:spacing w:line="320" w:lineRule="exact"/>
              <w:ind w:left="78" w:leftChars="23" w:right="51" w:rightChars="15"/>
              <w:jc w:val="center"/>
              <w:rPr>
                <w:color w:val="auto"/>
                <w:sz w:val="21"/>
                <w:szCs w:val="21"/>
                <w:highlight w:val="none"/>
              </w:rPr>
            </w:pPr>
            <w:r>
              <w:rPr>
                <w:rFonts w:hint="eastAsia"/>
                <w:color w:val="auto"/>
                <w:sz w:val="21"/>
                <w:szCs w:val="21"/>
                <w:highlight w:val="none"/>
              </w:rPr>
              <w:t xml:space="preserve">部门经理        肖  毓 </w:t>
            </w:r>
            <w:r>
              <w:rPr>
                <w:rFonts w:hint="eastAsia"/>
                <w:color w:val="auto"/>
                <w:sz w:val="21"/>
                <w:szCs w:val="21"/>
                <w:highlight w:val="none"/>
              </w:rPr>
              <w:tab/>
            </w:r>
            <w:r>
              <w:rPr>
                <w:rFonts w:hint="eastAsia"/>
                <w:color w:val="auto"/>
                <w:sz w:val="21"/>
                <w:szCs w:val="21"/>
                <w:highlight w:val="none"/>
              </w:rPr>
              <w:t>13882110585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506" w:type="dxa"/>
            <w:gridSpan w:val="2"/>
            <w:vAlign w:val="center"/>
          </w:tcPr>
          <w:p>
            <w:pPr>
              <w:pStyle w:val="63"/>
              <w:spacing w:line="320" w:lineRule="exact"/>
              <w:jc w:val="center"/>
              <w:rPr>
                <w:color w:val="auto"/>
                <w:sz w:val="21"/>
                <w:szCs w:val="21"/>
                <w:highlight w:val="none"/>
              </w:rPr>
            </w:pPr>
            <w:r>
              <w:rPr>
                <w:rFonts w:hint="eastAsia"/>
                <w:color w:val="auto"/>
                <w:sz w:val="21"/>
                <w:szCs w:val="21"/>
                <w:highlight w:val="none"/>
              </w:rPr>
              <w:t>中国银行崇州支行</w:t>
            </w:r>
          </w:p>
        </w:tc>
        <w:tc>
          <w:tcPr>
            <w:tcW w:w="7244" w:type="dxa"/>
            <w:vAlign w:val="center"/>
          </w:tcPr>
          <w:p>
            <w:pPr>
              <w:pStyle w:val="63"/>
              <w:wordWrap w:val="0"/>
              <w:topLinePunct/>
              <w:spacing w:line="320" w:lineRule="exact"/>
              <w:ind w:left="78" w:leftChars="23" w:right="51" w:rightChars="15"/>
              <w:jc w:val="center"/>
              <w:rPr>
                <w:color w:val="auto"/>
                <w:sz w:val="21"/>
                <w:szCs w:val="21"/>
                <w:highlight w:val="none"/>
              </w:rPr>
            </w:pPr>
            <w:r>
              <w:rPr>
                <w:rFonts w:hint="eastAsia"/>
                <w:color w:val="auto"/>
                <w:sz w:val="21"/>
                <w:szCs w:val="21"/>
                <w:highlight w:val="none"/>
              </w:rPr>
              <w:t>分管主任        龚才兵  18081054180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506" w:type="dxa"/>
            <w:gridSpan w:val="2"/>
            <w:vAlign w:val="center"/>
          </w:tcPr>
          <w:p>
            <w:pPr>
              <w:pStyle w:val="63"/>
              <w:spacing w:line="320" w:lineRule="exact"/>
              <w:jc w:val="center"/>
              <w:rPr>
                <w:color w:val="auto"/>
                <w:sz w:val="21"/>
                <w:szCs w:val="21"/>
                <w:highlight w:val="none"/>
              </w:rPr>
            </w:pPr>
            <w:r>
              <w:rPr>
                <w:rFonts w:hint="eastAsia"/>
                <w:color w:val="auto"/>
                <w:sz w:val="21"/>
                <w:szCs w:val="21"/>
                <w:highlight w:val="none"/>
              </w:rPr>
              <w:t>重庆银行崇州支行</w:t>
            </w:r>
          </w:p>
        </w:tc>
        <w:tc>
          <w:tcPr>
            <w:tcW w:w="7244" w:type="dxa"/>
            <w:vAlign w:val="center"/>
          </w:tcPr>
          <w:p>
            <w:pPr>
              <w:pStyle w:val="63"/>
              <w:wordWrap w:val="0"/>
              <w:topLinePunct/>
              <w:spacing w:line="320" w:lineRule="exact"/>
              <w:ind w:left="78" w:leftChars="23" w:right="51" w:rightChars="15"/>
              <w:jc w:val="center"/>
              <w:rPr>
                <w:color w:val="auto"/>
                <w:sz w:val="21"/>
                <w:szCs w:val="21"/>
                <w:highlight w:val="none"/>
              </w:rPr>
            </w:pPr>
            <w:r>
              <w:rPr>
                <w:rFonts w:hint="eastAsia"/>
                <w:color w:val="auto"/>
                <w:sz w:val="21"/>
                <w:szCs w:val="21"/>
                <w:highlight w:val="none"/>
              </w:rPr>
              <w:t>业务部经理      李盛勇  18108259677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506" w:type="dxa"/>
            <w:gridSpan w:val="2"/>
            <w:vAlign w:val="center"/>
          </w:tcPr>
          <w:p>
            <w:pPr>
              <w:pStyle w:val="63"/>
              <w:spacing w:line="320" w:lineRule="exact"/>
              <w:jc w:val="center"/>
              <w:rPr>
                <w:color w:val="auto"/>
                <w:sz w:val="21"/>
                <w:szCs w:val="21"/>
                <w:highlight w:val="none"/>
              </w:rPr>
            </w:pPr>
            <w:r>
              <w:rPr>
                <w:rFonts w:hint="eastAsia"/>
                <w:color w:val="auto"/>
                <w:sz w:val="21"/>
                <w:szCs w:val="21"/>
                <w:highlight w:val="none"/>
              </w:rPr>
              <w:t>工商银行崇州支行</w:t>
            </w:r>
          </w:p>
        </w:tc>
        <w:tc>
          <w:tcPr>
            <w:tcW w:w="7244" w:type="dxa"/>
            <w:vAlign w:val="center"/>
          </w:tcPr>
          <w:p>
            <w:pPr>
              <w:pStyle w:val="63"/>
              <w:wordWrap w:val="0"/>
              <w:topLinePunct/>
              <w:spacing w:line="320" w:lineRule="exact"/>
              <w:ind w:left="78" w:leftChars="23" w:right="51" w:rightChars="15"/>
              <w:jc w:val="center"/>
              <w:rPr>
                <w:color w:val="auto"/>
                <w:sz w:val="21"/>
                <w:szCs w:val="21"/>
                <w:highlight w:val="none"/>
              </w:rPr>
            </w:pPr>
            <w:r>
              <w:rPr>
                <w:rFonts w:hint="eastAsia"/>
                <w:color w:val="auto"/>
                <w:sz w:val="21"/>
                <w:szCs w:val="21"/>
                <w:highlight w:val="none"/>
              </w:rPr>
              <w:t>分管科长        曲  希  17760374425</w:t>
            </w:r>
          </w:p>
        </w:tc>
      </w:tr>
    </w:tbl>
    <w:p>
      <w:pPr>
        <w:pStyle w:val="5"/>
        <w:spacing w:line="400" w:lineRule="exact"/>
        <w:jc w:val="center"/>
        <w:rPr>
          <w:rFonts w:ascii="宋体" w:hAnsi="宋体" w:eastAsia="宋体" w:cs="宋体"/>
          <w:bCs w:val="0"/>
          <w:color w:val="auto"/>
          <w:highlight w:val="none"/>
        </w:rPr>
      </w:pPr>
      <w:r>
        <w:rPr>
          <w:rFonts w:hint="eastAsia" w:ascii="宋体" w:hAnsi="宋体" w:eastAsia="宋体" w:cs="宋体"/>
          <w:bCs w:val="0"/>
          <w:color w:val="auto"/>
          <w:highlight w:val="none"/>
        </w:rPr>
        <w:br w:type="page"/>
      </w:r>
      <w:bookmarkStart w:id="31" w:name="_Toc23295"/>
      <w:bookmarkStart w:id="32" w:name="_Toc2042"/>
      <w:bookmarkStart w:id="33" w:name="_Toc9222"/>
      <w:bookmarkStart w:id="34" w:name="_Toc4011"/>
      <w:r>
        <w:rPr>
          <w:rFonts w:hint="eastAsia" w:ascii="宋体" w:hAnsi="宋体" w:eastAsia="宋体" w:cs="宋体"/>
          <w:bCs w:val="0"/>
          <w:color w:val="auto"/>
          <w:highlight w:val="none"/>
        </w:rPr>
        <w:t>二、总 则</w:t>
      </w:r>
      <w:bookmarkEnd w:id="30"/>
      <w:bookmarkEnd w:id="31"/>
      <w:bookmarkEnd w:id="32"/>
      <w:bookmarkEnd w:id="33"/>
      <w:bookmarkEnd w:id="34"/>
    </w:p>
    <w:p>
      <w:pPr>
        <w:pStyle w:val="6"/>
        <w:spacing w:line="400" w:lineRule="exact"/>
        <w:ind w:firstLine="482" w:firstLineChars="200"/>
        <w:rPr>
          <w:rFonts w:ascii="宋体" w:hAnsi="宋体" w:cs="宋体"/>
          <w:color w:val="auto"/>
          <w:sz w:val="24"/>
          <w:szCs w:val="24"/>
          <w:highlight w:val="none"/>
        </w:rPr>
      </w:pPr>
      <w:bookmarkStart w:id="35" w:name="_Toc183582205"/>
      <w:bookmarkStart w:id="36" w:name="_Toc183682342"/>
      <w:bookmarkStart w:id="37" w:name="_Toc217446034"/>
      <w:bookmarkStart w:id="38" w:name="_Toc308084574"/>
      <w:bookmarkStart w:id="39" w:name="_Toc319439877"/>
      <w:bookmarkStart w:id="40" w:name="_Toc308188129"/>
      <w:bookmarkStart w:id="41" w:name="_Toc5790"/>
      <w:bookmarkStart w:id="42" w:name="_Toc23796"/>
      <w:bookmarkStart w:id="43" w:name="_Toc20769"/>
      <w:bookmarkStart w:id="44" w:name="_Toc10311"/>
      <w:bookmarkStart w:id="45" w:name="_Toc29532"/>
      <w:bookmarkStart w:id="46" w:name="_Toc32483"/>
      <w:bookmarkStart w:id="47" w:name="_Toc309897492"/>
      <w:bookmarkStart w:id="48" w:name="_Toc31870"/>
      <w:bookmarkStart w:id="49" w:name="_Toc307564829"/>
      <w:bookmarkStart w:id="50" w:name="_Toc307501086"/>
      <w:bookmarkStart w:id="51" w:name="_Toc28450"/>
      <w:bookmarkStart w:id="52" w:name="_Toc12046"/>
      <w:bookmarkStart w:id="53" w:name="_Toc3601"/>
      <w:bookmarkStart w:id="54" w:name="_Toc31725"/>
      <w:bookmarkStart w:id="55" w:name="_Toc319440119"/>
      <w:bookmarkStart w:id="56" w:name="_Toc327196263"/>
      <w:r>
        <w:rPr>
          <w:rFonts w:hint="eastAsia" w:ascii="宋体" w:hAnsi="宋体" w:cs="宋体"/>
          <w:color w:val="auto"/>
          <w:sz w:val="24"/>
          <w:szCs w:val="24"/>
          <w:highlight w:val="none"/>
        </w:rPr>
        <w:t>1</w:t>
      </w:r>
      <w:bookmarkEnd w:id="35"/>
      <w:bookmarkEnd w:id="36"/>
      <w:r>
        <w:rPr>
          <w:rFonts w:hint="eastAsia" w:ascii="宋体" w:hAnsi="宋体" w:cs="宋体"/>
          <w:color w:val="auto"/>
          <w:sz w:val="24"/>
          <w:szCs w:val="24"/>
          <w:highlight w:val="none"/>
        </w:rPr>
        <w:t>.适用范围</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pPr>
        <w:tabs>
          <w:tab w:val="left" w:pos="7665"/>
        </w:tabs>
        <w:spacing w:line="440" w:lineRule="exact"/>
        <w:ind w:firstLine="480" w:firstLineChars="200"/>
        <w:rPr>
          <w:rFonts w:hAnsi="宋体" w:cs="宋体"/>
          <w:color w:val="auto"/>
          <w:sz w:val="24"/>
          <w:highlight w:val="none"/>
        </w:rPr>
      </w:pPr>
      <w:r>
        <w:rPr>
          <w:rFonts w:hint="eastAsia" w:hAnsi="宋体" w:cs="宋体"/>
          <w:color w:val="auto"/>
          <w:sz w:val="24"/>
          <w:highlight w:val="none"/>
        </w:rPr>
        <w:t>1.1 本招标文件仅适用于本次公开招标采购项目。</w:t>
      </w:r>
    </w:p>
    <w:p>
      <w:pPr>
        <w:pStyle w:val="6"/>
        <w:spacing w:line="400" w:lineRule="exact"/>
        <w:ind w:firstLine="482" w:firstLineChars="200"/>
        <w:rPr>
          <w:rFonts w:ascii="宋体" w:hAnsi="宋体" w:cs="宋体"/>
          <w:color w:val="auto"/>
          <w:sz w:val="24"/>
          <w:szCs w:val="24"/>
          <w:highlight w:val="none"/>
        </w:rPr>
      </w:pPr>
      <w:bookmarkStart w:id="57" w:name="_Toc183582206"/>
      <w:bookmarkStart w:id="58" w:name="_Toc183682343"/>
      <w:bookmarkStart w:id="59" w:name="_Toc319440120"/>
      <w:bookmarkStart w:id="60" w:name="_Toc319439878"/>
      <w:bookmarkStart w:id="61" w:name="_Toc19670"/>
      <w:bookmarkStart w:id="62" w:name="_Toc2775"/>
      <w:bookmarkStart w:id="63" w:name="_Toc7942"/>
      <w:bookmarkStart w:id="64" w:name="_Toc309897493"/>
      <w:bookmarkStart w:id="65" w:name="_Toc307564830"/>
      <w:bookmarkStart w:id="66" w:name="_Toc16858"/>
      <w:bookmarkStart w:id="67" w:name="_Toc308084575"/>
      <w:bookmarkStart w:id="68" w:name="_Toc327196264"/>
      <w:bookmarkStart w:id="69" w:name="_Toc24985"/>
      <w:bookmarkStart w:id="70" w:name="_Toc156"/>
      <w:bookmarkStart w:id="71" w:name="_Toc307501087"/>
      <w:bookmarkStart w:id="72" w:name="_Toc13022"/>
      <w:bookmarkStart w:id="73" w:name="_Toc19069"/>
      <w:bookmarkStart w:id="74" w:name="_Toc308188130"/>
      <w:bookmarkStart w:id="75" w:name="_Toc10659"/>
      <w:bookmarkStart w:id="76" w:name="_Toc217446035"/>
      <w:bookmarkStart w:id="77" w:name="_Toc524"/>
      <w:bookmarkStart w:id="78" w:name="_Toc24751"/>
      <w:r>
        <w:rPr>
          <w:rFonts w:hint="eastAsia" w:ascii="宋体" w:hAnsi="宋体" w:cs="宋体"/>
          <w:color w:val="auto"/>
          <w:sz w:val="24"/>
          <w:szCs w:val="24"/>
          <w:highlight w:val="none"/>
        </w:rPr>
        <w:t>2</w:t>
      </w:r>
      <w:bookmarkEnd w:id="57"/>
      <w:bookmarkEnd w:id="58"/>
      <w:r>
        <w:rPr>
          <w:rFonts w:hint="eastAsia" w:ascii="宋体" w:hAnsi="宋体" w:cs="宋体"/>
          <w:color w:val="auto"/>
          <w:sz w:val="24"/>
          <w:szCs w:val="24"/>
          <w:highlight w:val="none"/>
        </w:rPr>
        <w:t>.有关定义</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pPr>
        <w:tabs>
          <w:tab w:val="left" w:pos="7665"/>
        </w:tabs>
        <w:spacing w:line="440" w:lineRule="exact"/>
        <w:ind w:firstLine="480" w:firstLineChars="200"/>
        <w:rPr>
          <w:rFonts w:hAnsi="宋体" w:cs="宋体"/>
          <w:color w:val="auto"/>
          <w:sz w:val="24"/>
          <w:highlight w:val="none"/>
        </w:rPr>
      </w:pPr>
      <w:r>
        <w:rPr>
          <w:rFonts w:hint="eastAsia" w:hAnsi="宋体" w:cs="宋体"/>
          <w:color w:val="auto"/>
          <w:sz w:val="24"/>
          <w:highlight w:val="none"/>
        </w:rPr>
        <w:t>2.1 “采购人”系指依法进行政府采购的国家机关、事业单位、团体组织。本次招标的采购人是</w:t>
      </w:r>
      <w:r>
        <w:rPr>
          <w:rFonts w:hint="eastAsia" w:hAnsi="宋体" w:cs="宋体"/>
          <w:color w:val="auto"/>
          <w:sz w:val="24"/>
          <w:highlight w:val="none"/>
          <w:u w:val="single"/>
        </w:rPr>
        <w:t>崇州市教育事业保障服务中心</w:t>
      </w:r>
      <w:r>
        <w:rPr>
          <w:rFonts w:hint="eastAsia" w:hAnsi="宋体" w:cs="宋体"/>
          <w:color w:val="auto"/>
          <w:sz w:val="24"/>
          <w:highlight w:val="none"/>
        </w:rPr>
        <w:t>。</w:t>
      </w:r>
    </w:p>
    <w:p>
      <w:pPr>
        <w:pStyle w:val="10"/>
        <w:ind w:firstLine="480"/>
        <w:rPr>
          <w:rFonts w:ascii="宋体" w:hAnsi="宋体" w:cs="宋体"/>
          <w:color w:val="auto"/>
          <w:sz w:val="24"/>
          <w:highlight w:val="none"/>
        </w:rPr>
      </w:pPr>
      <w:r>
        <w:rPr>
          <w:rFonts w:hint="eastAsia" w:ascii="宋体" w:hAnsi="宋体" w:cs="宋体"/>
          <w:color w:val="auto"/>
          <w:sz w:val="24"/>
          <w:highlight w:val="none"/>
        </w:rPr>
        <w:t>2.2 “采购代理机构” 系指根据采购人的委托依法办理招标事宜的采购机构。本次招标的采购代理机构是</w:t>
      </w:r>
      <w:r>
        <w:rPr>
          <w:rFonts w:hint="eastAsia" w:ascii="宋体" w:hAnsi="宋体" w:cs="宋体"/>
          <w:color w:val="auto"/>
          <w:kern w:val="0"/>
          <w:sz w:val="24"/>
          <w:highlight w:val="none"/>
          <w:u w:val="single"/>
        </w:rPr>
        <w:t>四川岳华工程咨询有限公司</w:t>
      </w:r>
      <w:r>
        <w:rPr>
          <w:rFonts w:hint="eastAsia" w:ascii="宋体" w:hAnsi="宋体" w:cs="宋体"/>
          <w:color w:val="auto"/>
          <w:kern w:val="0"/>
          <w:sz w:val="24"/>
          <w:highlight w:val="none"/>
        </w:rPr>
        <w:t>。</w:t>
      </w:r>
    </w:p>
    <w:p>
      <w:pPr>
        <w:tabs>
          <w:tab w:val="left" w:pos="7665"/>
        </w:tabs>
        <w:spacing w:line="440" w:lineRule="exact"/>
        <w:ind w:firstLine="480" w:firstLineChars="200"/>
        <w:rPr>
          <w:rFonts w:hAnsi="宋体" w:cs="宋体"/>
          <w:color w:val="auto"/>
          <w:sz w:val="24"/>
          <w:highlight w:val="none"/>
        </w:rPr>
      </w:pPr>
      <w:r>
        <w:rPr>
          <w:rFonts w:hint="eastAsia" w:hAnsi="宋体" w:cs="宋体"/>
          <w:color w:val="auto"/>
          <w:sz w:val="24"/>
          <w:highlight w:val="none"/>
        </w:rPr>
        <w:t>2.3 “招标采购单位”系指“采购人”和“采购代理机构”的统称。</w:t>
      </w:r>
    </w:p>
    <w:p>
      <w:pPr>
        <w:tabs>
          <w:tab w:val="left" w:pos="7665"/>
        </w:tabs>
        <w:spacing w:line="440" w:lineRule="exact"/>
        <w:ind w:firstLine="480" w:firstLineChars="200"/>
        <w:rPr>
          <w:rFonts w:hAnsi="宋体" w:cs="宋体"/>
          <w:color w:val="auto"/>
          <w:sz w:val="24"/>
          <w:highlight w:val="none"/>
        </w:rPr>
      </w:pPr>
      <w:r>
        <w:rPr>
          <w:rFonts w:hint="eastAsia" w:hAnsi="宋体" w:cs="宋体"/>
          <w:color w:val="auto"/>
          <w:sz w:val="24"/>
          <w:highlight w:val="none"/>
        </w:rPr>
        <w:t>2.4 “投标人”系指购买了招标文件拟参加投标和向采购人提供货物及相应服务的供应商。</w:t>
      </w:r>
    </w:p>
    <w:p>
      <w:pPr>
        <w:tabs>
          <w:tab w:val="left" w:pos="7665"/>
        </w:tabs>
        <w:spacing w:line="440" w:lineRule="exact"/>
        <w:ind w:firstLine="480" w:firstLineChars="200"/>
        <w:rPr>
          <w:rFonts w:hAnsi="宋体" w:cs="宋体"/>
          <w:color w:val="auto"/>
          <w:sz w:val="24"/>
          <w:highlight w:val="none"/>
        </w:rPr>
      </w:pPr>
      <w:r>
        <w:rPr>
          <w:rFonts w:hint="eastAsia" w:hAnsi="宋体" w:cs="宋体"/>
          <w:color w:val="auto"/>
          <w:sz w:val="24"/>
          <w:highlight w:val="none"/>
        </w:rPr>
        <w:t>2.5 本招标文件各部分规定的期间以时、日、月、年计算。期间开始的时和日，不计算在期间内，而从次日开始计算。期间届满的最后一天是节假日的，以节假日后的第一日为期间届满的日期。</w:t>
      </w:r>
    </w:p>
    <w:p>
      <w:pPr>
        <w:tabs>
          <w:tab w:val="left" w:pos="7665"/>
        </w:tabs>
        <w:spacing w:line="440" w:lineRule="exact"/>
        <w:ind w:firstLine="480" w:firstLineChars="200"/>
        <w:rPr>
          <w:rFonts w:hAnsi="宋体" w:cs="宋体"/>
          <w:color w:val="auto"/>
          <w:sz w:val="24"/>
          <w:highlight w:val="none"/>
        </w:rPr>
      </w:pPr>
      <w:r>
        <w:rPr>
          <w:rFonts w:hint="eastAsia" w:hAnsi="宋体" w:cs="宋体"/>
          <w:color w:val="auto"/>
          <w:sz w:val="24"/>
          <w:highlight w:val="none"/>
        </w:rPr>
        <w:t>2.6本招标文件各部分规定的时间均以北京时间为准。</w:t>
      </w:r>
    </w:p>
    <w:p>
      <w:pPr>
        <w:pStyle w:val="6"/>
        <w:spacing w:line="400" w:lineRule="exact"/>
        <w:ind w:firstLine="482" w:firstLineChars="200"/>
        <w:rPr>
          <w:rFonts w:ascii="宋体" w:hAnsi="宋体" w:cs="宋体"/>
          <w:color w:val="auto"/>
          <w:sz w:val="24"/>
          <w:szCs w:val="24"/>
          <w:highlight w:val="none"/>
        </w:rPr>
      </w:pPr>
      <w:bookmarkStart w:id="79" w:name="_Toc309897494"/>
      <w:bookmarkStart w:id="80" w:name="_Toc3060"/>
      <w:bookmarkStart w:id="81" w:name="_Toc7511"/>
      <w:bookmarkStart w:id="82" w:name="_Toc217446036"/>
      <w:bookmarkStart w:id="83" w:name="_Toc22174"/>
      <w:bookmarkStart w:id="84" w:name="_Toc23383"/>
      <w:bookmarkStart w:id="85" w:name="_Toc217390843"/>
      <w:bookmarkStart w:id="86" w:name="_Toc308084576"/>
      <w:bookmarkStart w:id="87" w:name="_Toc307564831"/>
      <w:bookmarkStart w:id="88" w:name="_Toc183582207"/>
      <w:bookmarkStart w:id="89" w:name="_Toc308188131"/>
      <w:bookmarkStart w:id="90" w:name="_Toc319439879"/>
      <w:bookmarkStart w:id="91" w:name="_Toc327196265"/>
      <w:bookmarkStart w:id="92" w:name="_Toc183682344"/>
      <w:bookmarkStart w:id="93" w:name="_Toc30244"/>
      <w:bookmarkStart w:id="94" w:name="_Toc319440121"/>
      <w:bookmarkStart w:id="95" w:name="_Toc24547"/>
      <w:bookmarkStart w:id="96" w:name="_Toc307501088"/>
      <w:bookmarkStart w:id="97" w:name="_Toc29784"/>
      <w:bookmarkStart w:id="98" w:name="_Toc26508"/>
      <w:bookmarkStart w:id="99" w:name="_Toc31295"/>
      <w:bookmarkStart w:id="100" w:name="_Toc30689"/>
      <w:bookmarkStart w:id="101" w:name="_Toc4334"/>
      <w:r>
        <w:rPr>
          <w:rFonts w:hint="eastAsia" w:ascii="宋体" w:hAnsi="宋体" w:cs="宋体"/>
          <w:color w:val="auto"/>
          <w:sz w:val="24"/>
          <w:szCs w:val="24"/>
          <w:highlight w:val="none"/>
        </w:rPr>
        <w:t>3.合格的投标人</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Pr>
          <w:rFonts w:hint="eastAsia" w:ascii="宋体" w:hAnsi="宋体" w:cs="宋体"/>
          <w:color w:val="auto"/>
          <w:sz w:val="24"/>
          <w:szCs w:val="24"/>
          <w:highlight w:val="none"/>
        </w:rPr>
        <w:t>(实质性要求)</w:t>
      </w:r>
      <w:bookmarkEnd w:id="99"/>
      <w:bookmarkEnd w:id="100"/>
      <w:bookmarkEnd w:id="101"/>
    </w:p>
    <w:p>
      <w:pPr>
        <w:tabs>
          <w:tab w:val="left" w:pos="7665"/>
        </w:tabs>
        <w:spacing w:line="440" w:lineRule="exact"/>
        <w:ind w:firstLine="480" w:firstLineChars="200"/>
        <w:rPr>
          <w:rFonts w:hAnsi="宋体" w:cs="宋体"/>
          <w:color w:val="auto"/>
          <w:sz w:val="24"/>
          <w:highlight w:val="none"/>
        </w:rPr>
      </w:pPr>
      <w:r>
        <w:rPr>
          <w:rFonts w:hint="eastAsia" w:hAnsi="宋体" w:cs="宋体"/>
          <w:color w:val="auto"/>
          <w:sz w:val="24"/>
          <w:highlight w:val="none"/>
        </w:rPr>
        <w:t>合格的投标人应具备以下条件：</w:t>
      </w:r>
    </w:p>
    <w:p>
      <w:pPr>
        <w:tabs>
          <w:tab w:val="left" w:pos="7665"/>
        </w:tabs>
        <w:spacing w:line="440" w:lineRule="exact"/>
        <w:ind w:firstLine="480" w:firstLineChars="200"/>
        <w:rPr>
          <w:rFonts w:hAnsi="宋体" w:cs="宋体"/>
          <w:color w:val="auto"/>
          <w:sz w:val="24"/>
          <w:highlight w:val="none"/>
        </w:rPr>
      </w:pPr>
      <w:r>
        <w:rPr>
          <w:rFonts w:hint="eastAsia" w:hAnsi="宋体" w:cs="宋体"/>
          <w:color w:val="auto"/>
          <w:sz w:val="24"/>
          <w:highlight w:val="none"/>
        </w:rPr>
        <w:t>(1)本招标文件“投标邀请”第五条规定的条件；</w:t>
      </w:r>
    </w:p>
    <w:p>
      <w:pPr>
        <w:tabs>
          <w:tab w:val="left" w:pos="7665"/>
        </w:tabs>
        <w:spacing w:line="440" w:lineRule="exact"/>
        <w:ind w:firstLine="480" w:firstLineChars="200"/>
        <w:rPr>
          <w:rFonts w:hAnsi="宋体" w:cs="宋体"/>
          <w:color w:val="auto"/>
          <w:sz w:val="24"/>
          <w:highlight w:val="none"/>
        </w:rPr>
      </w:pPr>
      <w:r>
        <w:rPr>
          <w:rFonts w:hint="eastAsia" w:hAnsi="宋体" w:cs="宋体"/>
          <w:color w:val="auto"/>
          <w:sz w:val="24"/>
          <w:highlight w:val="none"/>
        </w:rPr>
        <w:t>(2)遵守国家有关的法律、法规、规章和其他政策制度；</w:t>
      </w:r>
    </w:p>
    <w:p>
      <w:pPr>
        <w:tabs>
          <w:tab w:val="left" w:pos="7665"/>
        </w:tabs>
        <w:spacing w:line="440" w:lineRule="exact"/>
        <w:ind w:firstLine="480" w:firstLineChars="200"/>
        <w:rPr>
          <w:rFonts w:hAnsi="宋体" w:cs="宋体"/>
          <w:color w:val="auto"/>
          <w:sz w:val="24"/>
          <w:highlight w:val="none"/>
        </w:rPr>
      </w:pPr>
      <w:r>
        <w:rPr>
          <w:rFonts w:hint="eastAsia" w:hAnsi="宋体" w:cs="宋体"/>
          <w:color w:val="auto"/>
          <w:sz w:val="24"/>
          <w:highlight w:val="none"/>
        </w:rPr>
        <w:t>(3)按照招标文件“投标邀请”中第七条规定获取了招标文件。</w:t>
      </w:r>
    </w:p>
    <w:p>
      <w:pPr>
        <w:pStyle w:val="6"/>
        <w:spacing w:line="400" w:lineRule="exact"/>
        <w:ind w:firstLine="482" w:firstLineChars="200"/>
        <w:rPr>
          <w:rFonts w:ascii="宋体" w:hAnsi="宋体" w:cs="宋体"/>
          <w:color w:val="auto"/>
          <w:sz w:val="24"/>
          <w:szCs w:val="24"/>
          <w:highlight w:val="none"/>
        </w:rPr>
      </w:pPr>
      <w:bookmarkStart w:id="102" w:name="_Toc217446037"/>
      <w:bookmarkStart w:id="103" w:name="_Toc309897495"/>
      <w:bookmarkStart w:id="104" w:name="_Toc183682345"/>
      <w:bookmarkStart w:id="105" w:name="_Toc327196266"/>
      <w:bookmarkStart w:id="106" w:name="_Toc12293"/>
      <w:bookmarkStart w:id="107" w:name="_Toc319439880"/>
      <w:bookmarkStart w:id="108" w:name="_Toc26952"/>
      <w:bookmarkStart w:id="109" w:name="_Toc14323"/>
      <w:bookmarkStart w:id="110" w:name="_Toc9761"/>
      <w:bookmarkStart w:id="111" w:name="_Toc307501089"/>
      <w:bookmarkStart w:id="112" w:name="_Toc5067"/>
      <w:bookmarkStart w:id="113" w:name="_Toc4414"/>
      <w:bookmarkStart w:id="114" w:name="_Toc319440122"/>
      <w:bookmarkStart w:id="115" w:name="_Toc28895"/>
      <w:bookmarkStart w:id="116" w:name="_Toc308188132"/>
      <w:bookmarkStart w:id="117" w:name="_Toc21649"/>
      <w:bookmarkStart w:id="118" w:name="_Toc183582208"/>
      <w:bookmarkStart w:id="119" w:name="_Toc307564832"/>
      <w:bookmarkStart w:id="120" w:name="_Toc308084577"/>
      <w:bookmarkStart w:id="121" w:name="_Toc7047"/>
      <w:bookmarkStart w:id="122" w:name="_Toc6077"/>
      <w:bookmarkStart w:id="123" w:name="_Toc31729"/>
      <w:r>
        <w:rPr>
          <w:rFonts w:hint="eastAsia" w:ascii="宋体" w:hAnsi="宋体" w:cs="宋体"/>
          <w:color w:val="auto"/>
          <w:sz w:val="24"/>
          <w:szCs w:val="24"/>
          <w:highlight w:val="none"/>
        </w:rPr>
        <w:t>4.投标费用</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Pr>
          <w:rFonts w:hint="eastAsia" w:ascii="宋体" w:hAnsi="宋体" w:cs="宋体"/>
          <w:color w:val="auto"/>
          <w:sz w:val="24"/>
          <w:szCs w:val="24"/>
          <w:highlight w:val="none"/>
        </w:rPr>
        <w:t>(实质性要求)</w:t>
      </w:r>
      <w:bookmarkEnd w:id="121"/>
      <w:bookmarkEnd w:id="122"/>
      <w:bookmarkEnd w:id="123"/>
    </w:p>
    <w:p>
      <w:pPr>
        <w:tabs>
          <w:tab w:val="left" w:pos="7665"/>
        </w:tabs>
        <w:spacing w:line="440" w:lineRule="exact"/>
        <w:ind w:firstLine="480"/>
        <w:rPr>
          <w:rFonts w:hAnsi="宋体" w:cs="宋体"/>
          <w:color w:val="auto"/>
          <w:sz w:val="24"/>
          <w:highlight w:val="none"/>
        </w:rPr>
      </w:pPr>
      <w:r>
        <w:rPr>
          <w:rFonts w:hint="eastAsia" w:hAnsi="宋体" w:cs="宋体"/>
          <w:color w:val="auto"/>
          <w:sz w:val="24"/>
          <w:highlight w:val="none"/>
        </w:rPr>
        <w:t>投标人参加投标的有关费用由投标人自行承担。</w:t>
      </w:r>
    </w:p>
    <w:p>
      <w:pPr>
        <w:pStyle w:val="6"/>
        <w:spacing w:line="400" w:lineRule="exact"/>
        <w:ind w:firstLine="482" w:firstLineChars="200"/>
        <w:rPr>
          <w:rFonts w:ascii="宋体" w:hAnsi="宋体" w:cs="宋体"/>
          <w:color w:val="auto"/>
          <w:sz w:val="24"/>
          <w:szCs w:val="24"/>
          <w:highlight w:val="none"/>
        </w:rPr>
      </w:pPr>
      <w:bookmarkStart w:id="124" w:name="_Toc309897496"/>
      <w:bookmarkStart w:id="125" w:name="_Toc7710"/>
      <w:bookmarkStart w:id="126" w:name="_Toc28490"/>
      <w:bookmarkStart w:id="127" w:name="_Toc18984"/>
      <w:bookmarkStart w:id="128" w:name="_Toc11996"/>
      <w:bookmarkStart w:id="129" w:name="_Toc308084578"/>
      <w:bookmarkStart w:id="130" w:name="_Toc308188133"/>
      <w:bookmarkStart w:id="131" w:name="_Toc319440123"/>
      <w:bookmarkStart w:id="132" w:name="_Toc327196267"/>
      <w:bookmarkStart w:id="133" w:name="_Toc319439881"/>
      <w:bookmarkStart w:id="134" w:name="_Toc11131"/>
      <w:bookmarkStart w:id="135" w:name="_Toc27927"/>
      <w:bookmarkStart w:id="136" w:name="_Toc27604"/>
      <w:bookmarkStart w:id="137" w:name="_Toc307564833"/>
      <w:bookmarkStart w:id="138" w:name="_Toc307501090"/>
      <w:bookmarkStart w:id="139" w:name="_Toc18993"/>
      <w:bookmarkStart w:id="140" w:name="_Toc25456"/>
      <w:bookmarkStart w:id="141" w:name="_Toc11923"/>
      <w:bookmarkStart w:id="142" w:name="_Toc5564"/>
      <w:r>
        <w:rPr>
          <w:rFonts w:hint="eastAsia" w:ascii="宋体" w:hAnsi="宋体" w:cs="宋体"/>
          <w:color w:val="auto"/>
          <w:sz w:val="24"/>
          <w:szCs w:val="24"/>
          <w:highlight w:val="none"/>
        </w:rPr>
        <w:t>5.充分、公平竞争保障措施</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Pr>
          <w:rFonts w:hint="eastAsia" w:ascii="宋体" w:hAnsi="宋体" w:cs="宋体"/>
          <w:color w:val="auto"/>
          <w:sz w:val="24"/>
          <w:szCs w:val="24"/>
          <w:highlight w:val="none"/>
        </w:rPr>
        <w:t>(实质性要求)</w:t>
      </w:r>
      <w:bookmarkEnd w:id="140"/>
      <w:bookmarkEnd w:id="141"/>
      <w:bookmarkEnd w:id="142"/>
    </w:p>
    <w:p>
      <w:pPr>
        <w:tabs>
          <w:tab w:val="left" w:pos="7665"/>
        </w:tabs>
        <w:spacing w:line="400" w:lineRule="exact"/>
        <w:ind w:firstLine="480"/>
        <w:rPr>
          <w:rFonts w:hAnsi="宋体" w:cs="宋体"/>
          <w:color w:val="auto"/>
          <w:sz w:val="24"/>
          <w:highlight w:val="none"/>
        </w:rPr>
      </w:pPr>
      <w:bookmarkStart w:id="143" w:name="_Toc327196268"/>
      <w:bookmarkStart w:id="144" w:name="_Toc13891"/>
      <w:bookmarkStart w:id="145" w:name="_Toc183582209"/>
      <w:bookmarkStart w:id="146" w:name="_Toc217446038"/>
      <w:bookmarkStart w:id="147" w:name="_Toc183682346"/>
      <w:bookmarkStart w:id="148" w:name="_Toc77400779"/>
      <w:bookmarkStart w:id="149" w:name="_Toc89075875"/>
      <w:r>
        <w:rPr>
          <w:rFonts w:hint="eastAsia" w:hAnsi="宋体" w:cs="宋体"/>
          <w:color w:val="auto"/>
          <w:sz w:val="24"/>
          <w:highlight w:val="none"/>
        </w:rPr>
        <w:t>5.1提供相同品牌产品处理。</w:t>
      </w:r>
    </w:p>
    <w:p>
      <w:pPr>
        <w:tabs>
          <w:tab w:val="left" w:pos="7665"/>
        </w:tabs>
        <w:spacing w:line="400" w:lineRule="exact"/>
        <w:ind w:firstLine="480"/>
        <w:rPr>
          <w:rFonts w:hAnsi="宋体" w:cs="宋体"/>
          <w:color w:val="auto"/>
          <w:sz w:val="24"/>
          <w:highlight w:val="none"/>
        </w:rPr>
      </w:pPr>
      <w:r>
        <w:rPr>
          <w:rFonts w:hint="eastAsia" w:hAnsi="宋体" w:cs="宋体"/>
          <w:color w:val="auto"/>
          <w:sz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随机抽签的方式确定一个投标人获得中标人推荐资格，其他同品牌投标人不作为中标候选人。</w:t>
      </w:r>
    </w:p>
    <w:p>
      <w:pPr>
        <w:tabs>
          <w:tab w:val="left" w:pos="7665"/>
        </w:tabs>
        <w:spacing w:line="400" w:lineRule="exact"/>
        <w:ind w:firstLine="480"/>
        <w:rPr>
          <w:rFonts w:hAnsi="宋体" w:cs="宋体"/>
          <w:color w:val="auto"/>
          <w:sz w:val="24"/>
          <w:highlight w:val="none"/>
        </w:rPr>
      </w:pPr>
      <w:r>
        <w:rPr>
          <w:rFonts w:hint="eastAsia" w:hAnsi="宋体" w:cs="宋体"/>
          <w:color w:val="auto"/>
          <w:sz w:val="24"/>
          <w:highlight w:val="none"/>
        </w:rPr>
        <w:t>5.2提供相同制造厂商不同品牌产品处理。制造厂商有二个以上品牌，制造厂商与分销商或经销商或代理商同时参加投标，投标产品为不同品牌的，制造厂商投标产品所属品牌为该品牌的有效投标人，其他投标人的投标文件作为无效投标处理。制造厂商有二个以上品牌，只有分销商或经销商或代理商参加投标，投标产品为不同品牌的，所投品牌产品以其中通过资格审查、符合性检查且报价最低的参加评标，报价相同的，由采购人自主选择确定一个参加评标的投标人，其他投标人的投标文件作为无效投标处理。</w:t>
      </w:r>
    </w:p>
    <w:p>
      <w:pPr>
        <w:tabs>
          <w:tab w:val="left" w:pos="7665"/>
        </w:tabs>
        <w:spacing w:line="400" w:lineRule="exact"/>
        <w:ind w:firstLine="480"/>
        <w:rPr>
          <w:rFonts w:hAnsi="宋体" w:cs="宋体"/>
          <w:color w:val="auto"/>
          <w:sz w:val="24"/>
          <w:highlight w:val="none"/>
        </w:rPr>
      </w:pPr>
      <w:r>
        <w:rPr>
          <w:rFonts w:hint="eastAsia" w:hAnsi="宋体" w:cs="宋体"/>
          <w:color w:val="auto"/>
          <w:sz w:val="24"/>
          <w:highlight w:val="none"/>
        </w:rPr>
        <w:t>5.3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选择其中一家符合条件的供应商参加后续的政府采购活动。</w:t>
      </w:r>
    </w:p>
    <w:p>
      <w:pPr>
        <w:tabs>
          <w:tab w:val="left" w:pos="7665"/>
        </w:tabs>
        <w:spacing w:line="400" w:lineRule="exact"/>
        <w:ind w:firstLine="480"/>
        <w:rPr>
          <w:rFonts w:hAnsi="宋体" w:cs="宋体"/>
          <w:color w:val="auto"/>
          <w:sz w:val="24"/>
          <w:highlight w:val="none"/>
        </w:rPr>
      </w:pPr>
      <w:r>
        <w:rPr>
          <w:rFonts w:hint="eastAsia" w:hAnsi="宋体" w:cs="宋体"/>
          <w:color w:val="auto"/>
          <w:sz w:val="24"/>
          <w:highlight w:val="none"/>
        </w:rPr>
        <w:t>5.4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tabs>
          <w:tab w:val="left" w:pos="7665"/>
        </w:tabs>
        <w:spacing w:line="400" w:lineRule="exact"/>
        <w:ind w:firstLine="480"/>
        <w:rPr>
          <w:rFonts w:hAnsi="宋体" w:cs="宋体"/>
          <w:color w:val="auto"/>
          <w:sz w:val="24"/>
          <w:highlight w:val="none"/>
        </w:rPr>
      </w:pPr>
      <w:r>
        <w:rPr>
          <w:rFonts w:hint="eastAsia" w:hAnsi="宋体" w:cs="宋体"/>
          <w:color w:val="auto"/>
          <w:sz w:val="24"/>
          <w:highlight w:val="none"/>
        </w:rPr>
        <w:t>5.5利害关系代理人处理。2家以上的供应商不得在同一合同项下的采购项目中，同时委托同一个自然人、同一家庭的人员、同一单位的人员作为其代理人，否则，其投标文件作为无效处理。</w:t>
      </w:r>
    </w:p>
    <w:p>
      <w:pPr>
        <w:pStyle w:val="5"/>
        <w:spacing w:before="0" w:after="0" w:line="440" w:lineRule="exact"/>
        <w:jc w:val="center"/>
        <w:rPr>
          <w:rFonts w:ascii="宋体" w:hAnsi="宋体" w:eastAsia="宋体" w:cs="宋体"/>
          <w:bCs w:val="0"/>
          <w:color w:val="auto"/>
          <w:highlight w:val="none"/>
        </w:rPr>
      </w:pPr>
      <w:bookmarkStart w:id="150" w:name="_Toc23907"/>
      <w:bookmarkStart w:id="151" w:name="_Toc14125"/>
      <w:bookmarkStart w:id="152" w:name="_Toc27564"/>
      <w:r>
        <w:rPr>
          <w:rFonts w:hint="eastAsia" w:ascii="宋体" w:hAnsi="宋体" w:eastAsia="宋体" w:cs="宋体"/>
          <w:bCs w:val="0"/>
          <w:color w:val="auto"/>
          <w:highlight w:val="none"/>
        </w:rPr>
        <w:t>三、招标文件</w:t>
      </w:r>
      <w:bookmarkEnd w:id="143"/>
      <w:bookmarkEnd w:id="144"/>
      <w:bookmarkEnd w:id="145"/>
      <w:bookmarkEnd w:id="146"/>
      <w:bookmarkEnd w:id="147"/>
      <w:bookmarkEnd w:id="148"/>
      <w:bookmarkEnd w:id="149"/>
      <w:bookmarkEnd w:id="150"/>
      <w:bookmarkEnd w:id="151"/>
      <w:bookmarkEnd w:id="152"/>
    </w:p>
    <w:p>
      <w:pPr>
        <w:pStyle w:val="6"/>
        <w:spacing w:line="400" w:lineRule="exact"/>
        <w:ind w:firstLine="482" w:firstLineChars="200"/>
        <w:rPr>
          <w:rFonts w:ascii="宋体" w:hAnsi="宋体" w:cs="宋体"/>
          <w:color w:val="auto"/>
          <w:sz w:val="24"/>
          <w:szCs w:val="24"/>
          <w:highlight w:val="none"/>
        </w:rPr>
      </w:pPr>
      <w:bookmarkStart w:id="153" w:name="_Toc309897498"/>
      <w:bookmarkStart w:id="154" w:name="_Toc16404"/>
      <w:bookmarkStart w:id="155" w:name="_Toc217446039"/>
      <w:bookmarkStart w:id="156" w:name="_Toc24565"/>
      <w:bookmarkStart w:id="157" w:name="_Toc319440125"/>
      <w:bookmarkStart w:id="158" w:name="_Toc307564835"/>
      <w:bookmarkStart w:id="159" w:name="_Toc25650"/>
      <w:bookmarkStart w:id="160" w:name="_Toc19030"/>
      <w:bookmarkStart w:id="161" w:name="_Toc8208"/>
      <w:bookmarkStart w:id="162" w:name="_Toc319439883"/>
      <w:bookmarkStart w:id="163" w:name="_Toc5983"/>
      <w:bookmarkStart w:id="164" w:name="_Toc29703"/>
      <w:bookmarkStart w:id="165" w:name="_Toc308084580"/>
      <w:bookmarkStart w:id="166" w:name="_Toc8808"/>
      <w:bookmarkStart w:id="167" w:name="_Toc183682347"/>
      <w:bookmarkStart w:id="168" w:name="_Toc25874"/>
      <w:bookmarkStart w:id="169" w:name="_Toc22520"/>
      <w:bookmarkStart w:id="170" w:name="_Toc307501092"/>
      <w:bookmarkStart w:id="171" w:name="_Toc327196269"/>
      <w:bookmarkStart w:id="172" w:name="_Toc21985"/>
      <w:bookmarkStart w:id="173" w:name="_Toc308188135"/>
      <w:bookmarkStart w:id="174" w:name="_Toc183582210"/>
      <w:r>
        <w:rPr>
          <w:rFonts w:hint="eastAsia" w:ascii="宋体" w:hAnsi="宋体" w:cs="宋体"/>
          <w:color w:val="auto"/>
          <w:sz w:val="24"/>
          <w:szCs w:val="24"/>
          <w:highlight w:val="none"/>
        </w:rPr>
        <w:t>6.招标文件的构成</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pPr>
        <w:tabs>
          <w:tab w:val="left" w:pos="7665"/>
        </w:tabs>
        <w:spacing w:line="440" w:lineRule="exact"/>
        <w:ind w:firstLine="499" w:firstLineChars="208"/>
        <w:rPr>
          <w:rFonts w:hAnsi="宋体" w:cs="宋体"/>
          <w:color w:val="auto"/>
          <w:sz w:val="24"/>
          <w:highlight w:val="none"/>
        </w:rPr>
      </w:pPr>
      <w:r>
        <w:rPr>
          <w:rFonts w:hint="eastAsia" w:hAnsi="宋体" w:cs="宋体"/>
          <w:color w:val="auto"/>
          <w:sz w:val="24"/>
          <w:highlight w:val="none"/>
        </w:rPr>
        <w:t>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numPr>
          <w:ilvl w:val="0"/>
          <w:numId w:val="5"/>
        </w:numPr>
        <w:spacing w:line="440" w:lineRule="exact"/>
        <w:ind w:left="0" w:firstLine="480"/>
        <w:rPr>
          <w:rFonts w:hAnsi="宋体" w:cs="宋体"/>
          <w:color w:val="auto"/>
          <w:sz w:val="24"/>
          <w:highlight w:val="none"/>
        </w:rPr>
      </w:pPr>
      <w:r>
        <w:rPr>
          <w:rFonts w:hint="eastAsia" w:hAnsi="宋体" w:cs="宋体"/>
          <w:color w:val="auto"/>
          <w:sz w:val="24"/>
          <w:highlight w:val="none"/>
        </w:rPr>
        <w:t>投标邀请；</w:t>
      </w:r>
    </w:p>
    <w:p>
      <w:pPr>
        <w:numPr>
          <w:ilvl w:val="0"/>
          <w:numId w:val="5"/>
        </w:numPr>
        <w:spacing w:line="440" w:lineRule="exact"/>
        <w:ind w:left="0" w:firstLine="480"/>
        <w:rPr>
          <w:rFonts w:hAnsi="宋体" w:cs="宋体"/>
          <w:color w:val="auto"/>
          <w:sz w:val="24"/>
          <w:highlight w:val="none"/>
        </w:rPr>
      </w:pPr>
      <w:r>
        <w:rPr>
          <w:rFonts w:hint="eastAsia" w:hAnsi="宋体" w:cs="宋体"/>
          <w:color w:val="auto"/>
          <w:sz w:val="24"/>
          <w:highlight w:val="none"/>
        </w:rPr>
        <w:t>投标人须知；</w:t>
      </w:r>
    </w:p>
    <w:p>
      <w:pPr>
        <w:numPr>
          <w:ilvl w:val="0"/>
          <w:numId w:val="5"/>
        </w:numPr>
        <w:spacing w:line="440" w:lineRule="exact"/>
        <w:ind w:left="0" w:firstLine="480"/>
        <w:rPr>
          <w:rFonts w:hAnsi="宋体" w:cs="宋体"/>
          <w:color w:val="auto"/>
          <w:sz w:val="24"/>
          <w:highlight w:val="none"/>
        </w:rPr>
      </w:pPr>
      <w:r>
        <w:rPr>
          <w:rFonts w:hint="eastAsia" w:hAnsi="宋体" w:cs="宋体"/>
          <w:color w:val="auto"/>
          <w:sz w:val="24"/>
          <w:highlight w:val="none"/>
        </w:rPr>
        <w:t>投标文件格式；</w:t>
      </w:r>
    </w:p>
    <w:p>
      <w:pPr>
        <w:numPr>
          <w:ilvl w:val="0"/>
          <w:numId w:val="5"/>
        </w:numPr>
        <w:spacing w:line="440" w:lineRule="exact"/>
        <w:ind w:left="0" w:firstLine="480"/>
        <w:rPr>
          <w:rFonts w:hAnsi="宋体" w:cs="宋体"/>
          <w:color w:val="auto"/>
          <w:sz w:val="24"/>
          <w:highlight w:val="none"/>
        </w:rPr>
      </w:pPr>
      <w:r>
        <w:rPr>
          <w:rFonts w:hint="eastAsia" w:hAnsi="宋体" w:cs="宋体"/>
          <w:color w:val="auto"/>
          <w:sz w:val="24"/>
          <w:highlight w:val="none"/>
        </w:rPr>
        <w:t>招标项目技术、服务、政府采购合同内容条款及其他商务要求；</w:t>
      </w:r>
    </w:p>
    <w:p>
      <w:pPr>
        <w:numPr>
          <w:ilvl w:val="0"/>
          <w:numId w:val="5"/>
        </w:numPr>
        <w:spacing w:line="440" w:lineRule="exact"/>
        <w:ind w:left="0" w:firstLine="480"/>
        <w:rPr>
          <w:rFonts w:hAnsi="宋体" w:cs="宋体"/>
          <w:color w:val="auto"/>
          <w:sz w:val="24"/>
          <w:highlight w:val="none"/>
        </w:rPr>
      </w:pPr>
      <w:r>
        <w:rPr>
          <w:rFonts w:hint="eastAsia" w:hAnsi="宋体" w:cs="宋体"/>
          <w:color w:val="auto"/>
          <w:sz w:val="24"/>
          <w:highlight w:val="none"/>
        </w:rPr>
        <w:t>资格审查办法；</w:t>
      </w:r>
    </w:p>
    <w:p>
      <w:pPr>
        <w:numPr>
          <w:ilvl w:val="0"/>
          <w:numId w:val="5"/>
        </w:numPr>
        <w:spacing w:line="440" w:lineRule="exact"/>
        <w:ind w:left="0" w:firstLine="480"/>
        <w:rPr>
          <w:rFonts w:hAnsi="宋体" w:cs="宋体"/>
          <w:color w:val="auto"/>
          <w:sz w:val="24"/>
          <w:highlight w:val="none"/>
        </w:rPr>
      </w:pPr>
      <w:r>
        <w:rPr>
          <w:rFonts w:hint="eastAsia" w:hAnsi="宋体" w:cs="宋体"/>
          <w:color w:val="auto"/>
          <w:sz w:val="24"/>
          <w:highlight w:val="none"/>
        </w:rPr>
        <w:t>评标办法；</w:t>
      </w:r>
    </w:p>
    <w:p>
      <w:pPr>
        <w:numPr>
          <w:ilvl w:val="0"/>
          <w:numId w:val="5"/>
        </w:numPr>
        <w:spacing w:line="440" w:lineRule="exact"/>
        <w:ind w:left="0" w:firstLine="480"/>
        <w:rPr>
          <w:rFonts w:hAnsi="宋体" w:cs="宋体"/>
          <w:color w:val="auto"/>
          <w:sz w:val="24"/>
          <w:highlight w:val="none"/>
        </w:rPr>
      </w:pPr>
      <w:r>
        <w:rPr>
          <w:rFonts w:hint="eastAsia" w:hAnsi="宋体" w:cs="宋体"/>
          <w:color w:val="auto"/>
          <w:sz w:val="24"/>
          <w:highlight w:val="none"/>
        </w:rPr>
        <w:t>合同主要条款（供参考）。</w:t>
      </w:r>
    </w:p>
    <w:p>
      <w:pPr>
        <w:pStyle w:val="6"/>
        <w:spacing w:line="400" w:lineRule="exact"/>
        <w:ind w:firstLine="482" w:firstLineChars="200"/>
        <w:rPr>
          <w:rFonts w:ascii="宋体" w:hAnsi="宋体" w:cs="宋体"/>
          <w:color w:val="auto"/>
          <w:sz w:val="24"/>
          <w:szCs w:val="24"/>
          <w:highlight w:val="none"/>
        </w:rPr>
      </w:pPr>
      <w:bookmarkStart w:id="175" w:name="_Toc183682348"/>
      <w:bookmarkStart w:id="176" w:name="_Toc183582211"/>
      <w:bookmarkStart w:id="177" w:name="_Toc307564836"/>
      <w:bookmarkStart w:id="178" w:name="_Toc108"/>
      <w:bookmarkStart w:id="179" w:name="_Toc19612"/>
      <w:bookmarkStart w:id="180" w:name="_Toc307501093"/>
      <w:bookmarkStart w:id="181" w:name="_Toc26020"/>
      <w:bookmarkStart w:id="182" w:name="_Toc17632"/>
      <w:bookmarkStart w:id="183" w:name="_Toc13600"/>
      <w:bookmarkStart w:id="184" w:name="_Toc319439884"/>
      <w:bookmarkStart w:id="185" w:name="_Toc327196270"/>
      <w:bookmarkStart w:id="186" w:name="_Toc308188136"/>
      <w:bookmarkStart w:id="187" w:name="_Toc309897499"/>
      <w:bookmarkStart w:id="188" w:name="_Toc27690"/>
      <w:bookmarkStart w:id="189" w:name="_Toc16291"/>
      <w:bookmarkStart w:id="190" w:name="_Toc319440126"/>
      <w:bookmarkStart w:id="191" w:name="_Toc217446040"/>
      <w:bookmarkStart w:id="192" w:name="_Toc11995"/>
      <w:bookmarkStart w:id="193" w:name="_Toc25894"/>
      <w:bookmarkStart w:id="194" w:name="_Toc22085"/>
      <w:bookmarkStart w:id="195" w:name="_Toc308084581"/>
      <w:bookmarkStart w:id="196" w:name="_Toc7541"/>
      <w:r>
        <w:rPr>
          <w:rFonts w:hint="eastAsia" w:ascii="宋体" w:hAnsi="宋体" w:cs="宋体"/>
          <w:color w:val="auto"/>
          <w:sz w:val="24"/>
          <w:szCs w:val="24"/>
          <w:highlight w:val="none"/>
        </w:rPr>
        <w:t>7.招标文件的澄清</w:t>
      </w:r>
      <w:bookmarkEnd w:id="175"/>
      <w:bookmarkEnd w:id="176"/>
      <w:r>
        <w:rPr>
          <w:rFonts w:hint="eastAsia" w:ascii="宋体" w:hAnsi="宋体" w:cs="宋体"/>
          <w:color w:val="auto"/>
          <w:sz w:val="24"/>
          <w:szCs w:val="24"/>
          <w:highlight w:val="none"/>
        </w:rPr>
        <w:t>和修改</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7.1 招标采购单位可以依法对招标文件进行澄清或者修改。</w:t>
      </w:r>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7.2 招标采购单位对已发出的招标文件进行澄清或者修改，应当以书面形式将澄清或者修改的内容通知所有购买了招标文件的投标人，同时在四川政府采购网上发布更正公告。该澄清或者修改的内容为招标文件的组成部分，澄清或者修改的内容可能影响投标文件、资格预审申请文件编制的，采购人或者采购代理机构发布公告并书面通知投标人的时间，应当在投标截止时间至少15日前、提交资格预审申请文件截止时间至少3日前；不足上述时间的，应当顺延提交投标文件、资格预审申请文件的截止时间。</w:t>
      </w:r>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7.3 投标人应于投标文件递交截止时间之前在《四川政府采购网》查询本项目的更正公告，以保证其对招标文件做出正确的响应。投标人未按要求下载相关文件，或由于未及时关注更正公告的信息造成的后果，其责任由投标人自行负责。</w:t>
      </w:r>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7.4 投标人认为需要对招标文件进行澄清或者修改的，可以以书面形式向招标采购单位构提出申请，但招标采购单位可以决定是否采纳投标人的申请事项。</w:t>
      </w:r>
      <w:r>
        <w:rPr>
          <w:rFonts w:hint="eastAsia" w:hAnsi="宋体" w:cs="宋体"/>
          <w:color w:val="auto"/>
          <w:sz w:val="24"/>
          <w:szCs w:val="20"/>
          <w:highlight w:val="none"/>
        </w:rPr>
        <w:t>　</w:t>
      </w:r>
    </w:p>
    <w:p>
      <w:pPr>
        <w:pStyle w:val="6"/>
        <w:spacing w:line="400" w:lineRule="exact"/>
        <w:ind w:firstLine="482" w:firstLineChars="200"/>
        <w:rPr>
          <w:rFonts w:ascii="宋体" w:hAnsi="宋体" w:cs="宋体"/>
          <w:color w:val="auto"/>
          <w:sz w:val="24"/>
          <w:szCs w:val="24"/>
          <w:highlight w:val="none"/>
        </w:rPr>
      </w:pPr>
      <w:bookmarkStart w:id="197" w:name="_Toc8838"/>
      <w:bookmarkStart w:id="198" w:name="_Toc9735"/>
      <w:bookmarkStart w:id="199" w:name="_Toc308084582"/>
      <w:bookmarkStart w:id="200" w:name="_Toc7026"/>
      <w:bookmarkStart w:id="201" w:name="_Toc208848971"/>
      <w:bookmarkStart w:id="202" w:name="_Toc319439885"/>
      <w:bookmarkStart w:id="203" w:name="_Toc307564837"/>
      <w:bookmarkStart w:id="204" w:name="_Toc308188137"/>
      <w:bookmarkStart w:id="205" w:name="_Toc22061"/>
      <w:bookmarkStart w:id="206" w:name="_Toc17111"/>
      <w:bookmarkStart w:id="207" w:name="_Toc3361"/>
      <w:bookmarkStart w:id="208" w:name="_Toc16546"/>
      <w:bookmarkStart w:id="209" w:name="_Toc3159"/>
      <w:bookmarkStart w:id="210" w:name="_Toc319440127"/>
      <w:bookmarkStart w:id="211" w:name="_Toc327196271"/>
      <w:bookmarkStart w:id="212" w:name="_Toc309897500"/>
      <w:bookmarkStart w:id="213" w:name="_Toc217446041"/>
      <w:bookmarkStart w:id="214" w:name="_Toc307501094"/>
      <w:bookmarkStart w:id="215" w:name="_Toc2637"/>
      <w:bookmarkStart w:id="216" w:name="_Toc6811"/>
      <w:bookmarkStart w:id="217" w:name="_Toc24226"/>
      <w:r>
        <w:rPr>
          <w:rFonts w:hint="eastAsia" w:ascii="宋体" w:hAnsi="宋体" w:cs="宋体"/>
          <w:color w:val="auto"/>
          <w:sz w:val="24"/>
          <w:szCs w:val="24"/>
          <w:highlight w:val="none"/>
        </w:rPr>
        <w:t>8.答疑会和现场考察</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pPr>
        <w:pStyle w:val="63"/>
        <w:wordWrap w:val="0"/>
        <w:topLinePunct/>
        <w:spacing w:line="440" w:lineRule="exact"/>
        <w:ind w:right="170" w:rightChars="50" w:firstLine="480" w:firstLineChars="200"/>
        <w:jc w:val="both"/>
        <w:rPr>
          <w:color w:val="auto"/>
          <w:szCs w:val="22"/>
          <w:highlight w:val="none"/>
        </w:rPr>
      </w:pPr>
      <w:bookmarkStart w:id="218" w:name="_Toc77400780"/>
      <w:bookmarkStart w:id="219" w:name="_Toc327196272"/>
      <w:bookmarkStart w:id="220" w:name="_Toc89075876"/>
      <w:bookmarkStart w:id="221" w:name="_Toc27479"/>
      <w:bookmarkStart w:id="222" w:name="_Toc217446042"/>
      <w:bookmarkStart w:id="223" w:name="_Toc16131"/>
      <w:bookmarkStart w:id="224" w:name="_Toc20199"/>
      <w:bookmarkStart w:id="225" w:name="_Toc5372"/>
      <w:bookmarkStart w:id="226" w:name="_Toc183682351"/>
      <w:bookmarkStart w:id="227" w:name="_Toc183582214"/>
      <w:r>
        <w:rPr>
          <w:rFonts w:hint="eastAsia"/>
          <w:color w:val="auto"/>
          <w:szCs w:val="22"/>
          <w:highlight w:val="none"/>
        </w:rPr>
        <w:t>8.1 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r>
        <w:rPr>
          <w:rFonts w:hint="eastAsia"/>
          <w:color w:val="auto"/>
          <w:highlight w:val="none"/>
        </w:rPr>
        <w:t>。</w:t>
      </w:r>
    </w:p>
    <w:p>
      <w:pPr>
        <w:pStyle w:val="5"/>
        <w:spacing w:before="0" w:after="0" w:line="440" w:lineRule="exact"/>
        <w:ind w:firstLine="480"/>
        <w:rPr>
          <w:rFonts w:ascii="宋体" w:hAnsi="宋体" w:eastAsia="宋体" w:cs="宋体"/>
          <w:b w:val="0"/>
          <w:bCs w:val="0"/>
          <w:color w:val="auto"/>
          <w:sz w:val="24"/>
          <w:szCs w:val="22"/>
          <w:highlight w:val="none"/>
        </w:rPr>
      </w:pPr>
      <w:r>
        <w:rPr>
          <w:rFonts w:hint="eastAsia" w:ascii="宋体" w:hAnsi="宋体" w:eastAsia="宋体" w:cs="宋体"/>
          <w:b w:val="0"/>
          <w:bCs w:val="0"/>
          <w:color w:val="auto"/>
          <w:sz w:val="24"/>
          <w:szCs w:val="22"/>
          <w:highlight w:val="none"/>
        </w:rPr>
        <w:t xml:space="preserve">8.2 供应商考察现场所发生的一切费用由供应商自己承担。 </w:t>
      </w:r>
    </w:p>
    <w:p>
      <w:pPr>
        <w:pStyle w:val="5"/>
        <w:spacing w:before="0" w:after="0" w:line="440" w:lineRule="exact"/>
        <w:jc w:val="center"/>
        <w:rPr>
          <w:rFonts w:ascii="宋体" w:hAnsi="宋体" w:eastAsia="宋体" w:cs="宋体"/>
          <w:bCs w:val="0"/>
          <w:color w:val="auto"/>
          <w:highlight w:val="none"/>
        </w:rPr>
      </w:pPr>
      <w:r>
        <w:rPr>
          <w:rFonts w:hint="eastAsia" w:ascii="宋体" w:hAnsi="宋体" w:eastAsia="宋体" w:cs="宋体"/>
          <w:bCs w:val="0"/>
          <w:color w:val="auto"/>
          <w:highlight w:val="none"/>
        </w:rPr>
        <w:t>四、投标文件</w:t>
      </w:r>
      <w:bookmarkEnd w:id="218"/>
      <w:bookmarkEnd w:id="219"/>
      <w:bookmarkEnd w:id="220"/>
      <w:bookmarkEnd w:id="221"/>
      <w:bookmarkEnd w:id="222"/>
      <w:bookmarkEnd w:id="223"/>
      <w:bookmarkEnd w:id="224"/>
      <w:bookmarkEnd w:id="225"/>
      <w:bookmarkEnd w:id="226"/>
      <w:bookmarkEnd w:id="227"/>
    </w:p>
    <w:p>
      <w:pPr>
        <w:pStyle w:val="6"/>
        <w:spacing w:line="400" w:lineRule="exact"/>
        <w:ind w:firstLine="482" w:firstLineChars="200"/>
        <w:rPr>
          <w:rFonts w:ascii="宋体" w:hAnsi="宋体" w:cs="宋体"/>
          <w:color w:val="auto"/>
          <w:sz w:val="24"/>
          <w:szCs w:val="24"/>
          <w:highlight w:val="none"/>
        </w:rPr>
      </w:pPr>
      <w:bookmarkStart w:id="228" w:name="_Toc327196273"/>
      <w:bookmarkStart w:id="229" w:name="_Toc307501096"/>
      <w:bookmarkStart w:id="230" w:name="_Toc21169"/>
      <w:bookmarkStart w:id="231" w:name="_Toc307564839"/>
      <w:bookmarkStart w:id="232" w:name="_Toc26076"/>
      <w:bookmarkStart w:id="233" w:name="_Toc2601"/>
      <w:bookmarkStart w:id="234" w:name="_Toc29330"/>
      <w:bookmarkStart w:id="235" w:name="_Toc1641"/>
      <w:bookmarkStart w:id="236" w:name="_Toc319439887"/>
      <w:bookmarkStart w:id="237" w:name="_Toc308188139"/>
      <w:bookmarkStart w:id="238" w:name="_Toc308084584"/>
      <w:bookmarkStart w:id="239" w:name="_Toc183582215"/>
      <w:bookmarkStart w:id="240" w:name="_Toc23564"/>
      <w:bookmarkStart w:id="241" w:name="_Toc217446043"/>
      <w:bookmarkStart w:id="242" w:name="_Toc319440129"/>
      <w:bookmarkStart w:id="243" w:name="_Toc309897502"/>
      <w:bookmarkStart w:id="244" w:name="_Toc27053"/>
      <w:bookmarkStart w:id="245" w:name="_Toc3041"/>
      <w:bookmarkStart w:id="246" w:name="_Toc183682352"/>
      <w:bookmarkStart w:id="247" w:name="_Toc3307"/>
      <w:bookmarkStart w:id="248" w:name="_Toc11217"/>
      <w:bookmarkStart w:id="249" w:name="_Toc8388"/>
      <w:r>
        <w:rPr>
          <w:rFonts w:hint="eastAsia" w:ascii="宋体" w:hAnsi="宋体" w:cs="宋体"/>
          <w:color w:val="auto"/>
          <w:sz w:val="24"/>
          <w:szCs w:val="24"/>
          <w:highlight w:val="none"/>
        </w:rPr>
        <w:t>9.投标文件的语言</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Pr>
          <w:rFonts w:hint="eastAsia" w:ascii="宋体" w:hAnsi="宋体" w:cs="宋体"/>
          <w:color w:val="auto"/>
          <w:sz w:val="24"/>
          <w:szCs w:val="24"/>
          <w:highlight w:val="none"/>
        </w:rPr>
        <w:t>(实质性要求)</w:t>
      </w:r>
      <w:bookmarkEnd w:id="247"/>
      <w:bookmarkEnd w:id="248"/>
      <w:bookmarkEnd w:id="249"/>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9.1 投标人提交的投标文件以及投标人与招标采购单位就有关投标的所有来往书面文件均须使用中文。投标文件中如附有外文资料，必须逐一对应翻译成中文并加盖投标人公章后附在相关外文资料后面，否则，所提供的外文资料将可能被视为无效材料（说明：供应商的法定代表人为外籍人士的，法定代表人的签字和护照除外）。</w:t>
      </w:r>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9.2 翻译的中文资料与外文资料如果出现差异和矛盾时，以中文为准。涉嫌虚假响应的按照相关法律法规处理。</w:t>
      </w:r>
    </w:p>
    <w:p>
      <w:pPr>
        <w:pStyle w:val="6"/>
        <w:spacing w:line="400" w:lineRule="exact"/>
        <w:ind w:firstLine="482" w:firstLineChars="200"/>
        <w:rPr>
          <w:rFonts w:ascii="宋体" w:hAnsi="宋体" w:cs="宋体"/>
          <w:color w:val="auto"/>
          <w:sz w:val="24"/>
          <w:szCs w:val="24"/>
          <w:highlight w:val="none"/>
        </w:rPr>
      </w:pPr>
      <w:bookmarkStart w:id="250" w:name="_Toc12195"/>
      <w:bookmarkStart w:id="251" w:name="_Toc11901"/>
      <w:bookmarkStart w:id="252" w:name="_Toc2379"/>
      <w:bookmarkStart w:id="253" w:name="_Toc307564840"/>
      <w:bookmarkStart w:id="254" w:name="_Toc17444"/>
      <w:bookmarkStart w:id="255" w:name="_Toc20188"/>
      <w:bookmarkStart w:id="256" w:name="_Toc308188140"/>
      <w:bookmarkStart w:id="257" w:name="_Toc15226"/>
      <w:bookmarkStart w:id="258" w:name="_Toc15145"/>
      <w:bookmarkStart w:id="259" w:name="_Toc20091"/>
      <w:bookmarkStart w:id="260" w:name="_Toc307501097"/>
      <w:bookmarkStart w:id="261" w:name="_Toc309897503"/>
      <w:bookmarkStart w:id="262" w:name="_Toc183682353"/>
      <w:bookmarkStart w:id="263" w:name="_Toc217446044"/>
      <w:bookmarkStart w:id="264" w:name="_Toc183582216"/>
      <w:bookmarkStart w:id="265" w:name="_Toc308084585"/>
      <w:bookmarkStart w:id="266" w:name="_Toc319439888"/>
      <w:bookmarkStart w:id="267" w:name="_Toc327196274"/>
      <w:bookmarkStart w:id="268" w:name="_Toc319440130"/>
      <w:bookmarkStart w:id="269" w:name="_Toc18700"/>
      <w:bookmarkStart w:id="270" w:name="_Toc27229"/>
      <w:bookmarkStart w:id="271" w:name="_Toc10594"/>
      <w:r>
        <w:rPr>
          <w:rFonts w:hint="eastAsia" w:ascii="宋体" w:hAnsi="宋体" w:cs="宋体"/>
          <w:color w:val="auto"/>
          <w:sz w:val="24"/>
          <w:szCs w:val="24"/>
          <w:highlight w:val="none"/>
        </w:rPr>
        <w:t>10.计量单位</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rPr>
          <w:rFonts w:hint="eastAsia" w:ascii="宋体" w:hAnsi="宋体" w:cs="宋体"/>
          <w:color w:val="auto"/>
          <w:sz w:val="24"/>
          <w:szCs w:val="24"/>
          <w:highlight w:val="none"/>
        </w:rPr>
        <w:t>(实质性要求)</w:t>
      </w:r>
      <w:bookmarkEnd w:id="269"/>
      <w:bookmarkEnd w:id="270"/>
      <w:bookmarkEnd w:id="271"/>
    </w:p>
    <w:p>
      <w:pPr>
        <w:spacing w:line="440" w:lineRule="exact"/>
        <w:ind w:firstLine="470" w:firstLineChars="196"/>
        <w:rPr>
          <w:rFonts w:hAnsi="宋体" w:cs="宋体"/>
          <w:color w:val="auto"/>
          <w:sz w:val="24"/>
          <w:highlight w:val="none"/>
        </w:rPr>
      </w:pPr>
      <w:r>
        <w:rPr>
          <w:rFonts w:hint="eastAsia" w:hAnsi="宋体" w:cs="宋体"/>
          <w:color w:val="auto"/>
          <w:sz w:val="24"/>
          <w:highlight w:val="none"/>
        </w:rPr>
        <w:t>除招标文件中另有规定外，本次采购项目所有合同项下的投标均采用国家法定的计量单位。</w:t>
      </w:r>
    </w:p>
    <w:p>
      <w:pPr>
        <w:pStyle w:val="6"/>
        <w:spacing w:line="400" w:lineRule="exact"/>
        <w:ind w:firstLine="482" w:firstLineChars="200"/>
        <w:rPr>
          <w:rFonts w:ascii="宋体" w:hAnsi="宋体" w:cs="宋体"/>
          <w:color w:val="auto"/>
          <w:sz w:val="24"/>
          <w:szCs w:val="24"/>
          <w:highlight w:val="none"/>
        </w:rPr>
      </w:pPr>
      <w:bookmarkStart w:id="272" w:name="_Toc217446045"/>
      <w:bookmarkStart w:id="273" w:name="_Toc309897504"/>
      <w:bookmarkStart w:id="274" w:name="_Toc319440131"/>
      <w:bookmarkStart w:id="275" w:name="_Toc22739"/>
      <w:bookmarkStart w:id="276" w:name="_Toc319439889"/>
      <w:bookmarkStart w:id="277" w:name="_Toc16798"/>
      <w:bookmarkStart w:id="278" w:name="_Toc25216"/>
      <w:bookmarkStart w:id="279" w:name="_Toc308084586"/>
      <w:bookmarkStart w:id="280" w:name="_Toc8803"/>
      <w:bookmarkStart w:id="281" w:name="_Toc698"/>
      <w:bookmarkStart w:id="282" w:name="_Toc307501098"/>
      <w:bookmarkStart w:id="283" w:name="_Toc307564841"/>
      <w:bookmarkStart w:id="284" w:name="_Toc24761"/>
      <w:bookmarkStart w:id="285" w:name="_Toc327196275"/>
      <w:bookmarkStart w:id="286" w:name="_Toc308188141"/>
      <w:bookmarkStart w:id="287" w:name="_Toc8881"/>
      <w:bookmarkStart w:id="288" w:name="_Toc15435"/>
      <w:bookmarkStart w:id="289" w:name="_Toc19960"/>
      <w:bookmarkStart w:id="290" w:name="_Toc21948"/>
      <w:bookmarkStart w:id="291" w:name="_Toc11633"/>
      <w:r>
        <w:rPr>
          <w:rFonts w:hint="eastAsia" w:ascii="宋体" w:hAnsi="宋体" w:cs="宋体"/>
          <w:color w:val="auto"/>
          <w:sz w:val="24"/>
          <w:szCs w:val="24"/>
          <w:highlight w:val="none"/>
        </w:rPr>
        <w:t>11.投标货币</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r>
        <w:rPr>
          <w:rFonts w:hint="eastAsia" w:ascii="宋体" w:hAnsi="宋体" w:cs="宋体"/>
          <w:color w:val="auto"/>
          <w:sz w:val="24"/>
          <w:szCs w:val="24"/>
          <w:highlight w:val="none"/>
        </w:rPr>
        <w:t>(实质性要求)</w:t>
      </w:r>
      <w:bookmarkEnd w:id="289"/>
      <w:bookmarkEnd w:id="290"/>
      <w:bookmarkEnd w:id="291"/>
    </w:p>
    <w:p>
      <w:pPr>
        <w:tabs>
          <w:tab w:val="left" w:pos="7665"/>
        </w:tabs>
        <w:spacing w:line="440" w:lineRule="exact"/>
        <w:ind w:left="13" w:hanging="118"/>
        <w:rPr>
          <w:rFonts w:hAnsi="宋体" w:cs="宋体"/>
          <w:color w:val="auto"/>
          <w:sz w:val="24"/>
          <w:highlight w:val="none"/>
        </w:rPr>
      </w:pPr>
      <w:r>
        <w:rPr>
          <w:rFonts w:hint="eastAsia" w:hAnsi="宋体" w:cs="宋体"/>
          <w:color w:val="auto"/>
          <w:sz w:val="24"/>
          <w:highlight w:val="none"/>
        </w:rPr>
        <w:t xml:space="preserve">     本次招标项目的投标均以人民币报价。</w:t>
      </w:r>
    </w:p>
    <w:p>
      <w:pPr>
        <w:pStyle w:val="6"/>
        <w:spacing w:line="400" w:lineRule="exact"/>
        <w:ind w:firstLine="482" w:firstLineChars="200"/>
        <w:rPr>
          <w:rFonts w:ascii="宋体" w:hAnsi="宋体" w:cs="宋体"/>
          <w:color w:val="auto"/>
          <w:sz w:val="24"/>
          <w:szCs w:val="24"/>
          <w:highlight w:val="none"/>
        </w:rPr>
      </w:pPr>
      <w:bookmarkStart w:id="292" w:name="_Toc21894"/>
      <w:bookmarkStart w:id="293" w:name="_Toc24432"/>
      <w:bookmarkStart w:id="294" w:name="_Toc309897505"/>
      <w:bookmarkStart w:id="295" w:name="_Toc21797"/>
      <w:bookmarkStart w:id="296" w:name="_Toc7935"/>
      <w:bookmarkStart w:id="297" w:name="_Toc319439890"/>
      <w:bookmarkStart w:id="298" w:name="_Toc307501099"/>
      <w:bookmarkStart w:id="299" w:name="_Toc308188142"/>
      <w:bookmarkStart w:id="300" w:name="_Toc217446046"/>
      <w:bookmarkStart w:id="301" w:name="_Toc308084587"/>
      <w:bookmarkStart w:id="302" w:name="_Toc15074"/>
      <w:bookmarkStart w:id="303" w:name="_Toc319440132"/>
      <w:bookmarkStart w:id="304" w:name="_Toc327196276"/>
      <w:bookmarkStart w:id="305" w:name="_Toc8550"/>
      <w:bookmarkStart w:id="306" w:name="_Toc307564842"/>
      <w:bookmarkStart w:id="307" w:name="_Toc25266"/>
      <w:bookmarkStart w:id="308" w:name="_Toc16409"/>
      <w:bookmarkStart w:id="309" w:name="_Toc4336"/>
      <w:bookmarkStart w:id="310" w:name="_Toc32667"/>
      <w:bookmarkStart w:id="311" w:name="_Toc20014"/>
      <w:r>
        <w:rPr>
          <w:rFonts w:hint="eastAsia" w:ascii="宋体" w:hAnsi="宋体" w:cs="宋体"/>
          <w:color w:val="auto"/>
          <w:sz w:val="24"/>
          <w:szCs w:val="24"/>
          <w:highlight w:val="none"/>
        </w:rPr>
        <w:t>12.联合体投标</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Pr>
          <w:rFonts w:hint="eastAsia" w:ascii="宋体" w:hAnsi="宋体" w:cs="宋体"/>
          <w:color w:val="auto"/>
          <w:sz w:val="24"/>
          <w:szCs w:val="24"/>
          <w:highlight w:val="none"/>
        </w:rPr>
        <w:t>(实质性要求)</w:t>
      </w:r>
      <w:bookmarkEnd w:id="309"/>
      <w:bookmarkEnd w:id="310"/>
      <w:bookmarkEnd w:id="311"/>
    </w:p>
    <w:p>
      <w:pPr>
        <w:pStyle w:val="15"/>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本次政府采购活动不接受联合体投标。</w:t>
      </w:r>
    </w:p>
    <w:p>
      <w:pPr>
        <w:pStyle w:val="6"/>
        <w:spacing w:line="400" w:lineRule="exact"/>
        <w:ind w:firstLine="482" w:firstLineChars="200"/>
        <w:rPr>
          <w:rFonts w:ascii="宋体" w:hAnsi="宋体" w:cs="宋体"/>
          <w:color w:val="auto"/>
          <w:sz w:val="24"/>
          <w:szCs w:val="24"/>
          <w:highlight w:val="none"/>
        </w:rPr>
      </w:pPr>
      <w:bookmarkStart w:id="312" w:name="_Toc27877"/>
      <w:bookmarkStart w:id="313" w:name="_Toc327196277"/>
      <w:bookmarkStart w:id="314" w:name="_Toc319440133"/>
      <w:bookmarkStart w:id="315" w:name="_Toc307501100"/>
      <w:bookmarkStart w:id="316" w:name="_Toc13754"/>
      <w:bookmarkStart w:id="317" w:name="_Toc308188143"/>
      <w:bookmarkStart w:id="318" w:name="_Toc307564843"/>
      <w:bookmarkStart w:id="319" w:name="_Toc308084588"/>
      <w:bookmarkStart w:id="320" w:name="_Toc30958"/>
      <w:bookmarkStart w:id="321" w:name="_Toc217446047"/>
      <w:bookmarkStart w:id="322" w:name="_Toc7819"/>
      <w:bookmarkStart w:id="323" w:name="_Toc319439891"/>
      <w:bookmarkStart w:id="324" w:name="_Toc309897506"/>
      <w:bookmarkStart w:id="325" w:name="_Toc18912"/>
      <w:bookmarkStart w:id="326" w:name="_Toc10974"/>
      <w:bookmarkStart w:id="327" w:name="_Toc3781"/>
      <w:bookmarkStart w:id="328" w:name="_Toc2050"/>
      <w:bookmarkStart w:id="329" w:name="_Toc22458"/>
      <w:bookmarkStart w:id="330" w:name="_Toc15468"/>
      <w:bookmarkStart w:id="331" w:name="_Toc9626"/>
      <w:r>
        <w:rPr>
          <w:rFonts w:hint="eastAsia" w:ascii="宋体" w:hAnsi="宋体" w:cs="宋体"/>
          <w:color w:val="auto"/>
          <w:sz w:val="24"/>
          <w:szCs w:val="24"/>
          <w:highlight w:val="none"/>
        </w:rPr>
        <w:t>13.知识产权</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Pr>
          <w:rFonts w:hint="eastAsia" w:ascii="宋体" w:hAnsi="宋体" w:cs="宋体"/>
          <w:color w:val="auto"/>
          <w:sz w:val="24"/>
          <w:szCs w:val="24"/>
          <w:highlight w:val="none"/>
        </w:rPr>
        <w:t>(实质性要求)</w:t>
      </w:r>
      <w:bookmarkEnd w:id="329"/>
      <w:bookmarkEnd w:id="330"/>
      <w:bookmarkEnd w:id="331"/>
    </w:p>
    <w:p>
      <w:pPr>
        <w:spacing w:line="440" w:lineRule="exact"/>
        <w:ind w:firstLine="460" w:firstLineChars="192"/>
        <w:rPr>
          <w:rFonts w:hAnsi="宋体" w:cs="宋体"/>
          <w:color w:val="auto"/>
          <w:sz w:val="24"/>
          <w:highlight w:val="none"/>
        </w:rPr>
      </w:pPr>
      <w:r>
        <w:rPr>
          <w:rFonts w:hint="eastAsia" w:hAnsi="宋体" w:cs="宋体"/>
          <w:color w:val="auto"/>
          <w:sz w:val="24"/>
          <w:highlight w:val="none"/>
        </w:rPr>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spacing w:line="440" w:lineRule="exact"/>
        <w:ind w:firstLine="460" w:firstLineChars="192"/>
        <w:rPr>
          <w:rFonts w:hAnsi="宋体" w:cs="宋体"/>
          <w:color w:val="auto"/>
          <w:sz w:val="24"/>
          <w:highlight w:val="none"/>
        </w:rPr>
      </w:pPr>
      <w:r>
        <w:rPr>
          <w:rFonts w:hint="eastAsia" w:hAnsi="宋体" w:cs="宋体"/>
          <w:color w:val="auto"/>
          <w:sz w:val="24"/>
          <w:highlight w:val="none"/>
        </w:rPr>
        <w:t>13.2 采购人享有本项目实施过程中产生的知识成果及知识产权。</w:t>
      </w:r>
    </w:p>
    <w:p>
      <w:pPr>
        <w:spacing w:line="440" w:lineRule="exact"/>
        <w:ind w:firstLine="460" w:firstLineChars="192"/>
        <w:rPr>
          <w:rFonts w:hAnsi="宋体" w:cs="宋体"/>
          <w:color w:val="auto"/>
          <w:sz w:val="24"/>
          <w:highlight w:val="none"/>
        </w:rPr>
      </w:pPr>
      <w:r>
        <w:rPr>
          <w:rFonts w:hint="eastAsia" w:hAnsi="宋体" w:cs="宋体"/>
          <w:color w:val="auto"/>
          <w:sz w:val="24"/>
          <w:highlight w:val="none"/>
        </w:rPr>
        <w:t>13.3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pPr>
        <w:spacing w:line="440" w:lineRule="exact"/>
        <w:ind w:firstLine="460" w:firstLineChars="192"/>
        <w:rPr>
          <w:rFonts w:hAnsi="宋体" w:cs="宋体"/>
          <w:color w:val="auto"/>
          <w:sz w:val="24"/>
          <w:highlight w:val="none"/>
        </w:rPr>
      </w:pPr>
      <w:r>
        <w:rPr>
          <w:rFonts w:hint="eastAsia" w:hAnsi="宋体" w:cs="宋体"/>
          <w:color w:val="auto"/>
          <w:sz w:val="24"/>
          <w:highlight w:val="none"/>
        </w:rPr>
        <w:t xml:space="preserve">13.4 如采用投标人所不拥有的知识产权，则在投标报价中必须包括合法获取该知识产权的相关费用。 </w:t>
      </w:r>
    </w:p>
    <w:p>
      <w:pPr>
        <w:pStyle w:val="6"/>
        <w:spacing w:line="400" w:lineRule="exact"/>
        <w:ind w:firstLine="482" w:firstLineChars="200"/>
        <w:rPr>
          <w:rFonts w:ascii="宋体" w:hAnsi="宋体" w:cs="宋体"/>
          <w:color w:val="auto"/>
          <w:sz w:val="24"/>
          <w:szCs w:val="24"/>
          <w:highlight w:val="none"/>
        </w:rPr>
      </w:pPr>
      <w:bookmarkStart w:id="332" w:name="_Toc5369"/>
      <w:bookmarkStart w:id="333" w:name="_Toc2706"/>
      <w:bookmarkStart w:id="334" w:name="_Toc7660"/>
      <w:bookmarkStart w:id="335" w:name="_Toc307564844"/>
      <w:bookmarkStart w:id="336" w:name="_Toc307501101"/>
      <w:bookmarkStart w:id="337" w:name="_Toc183682354"/>
      <w:bookmarkStart w:id="338" w:name="_Toc327196278"/>
      <w:bookmarkStart w:id="339" w:name="_Toc11856"/>
      <w:bookmarkStart w:id="340" w:name="_Toc308084589"/>
      <w:bookmarkStart w:id="341" w:name="_Toc8432"/>
      <w:bookmarkStart w:id="342" w:name="_Toc791"/>
      <w:bookmarkStart w:id="343" w:name="_Toc183582217"/>
      <w:bookmarkStart w:id="344" w:name="_Toc1140"/>
      <w:bookmarkStart w:id="345" w:name="_Toc308188144"/>
      <w:bookmarkStart w:id="346" w:name="_Toc217446048"/>
      <w:bookmarkStart w:id="347" w:name="_Toc16281"/>
      <w:bookmarkStart w:id="348" w:name="_Toc319440134"/>
      <w:bookmarkStart w:id="349" w:name="_Toc10817"/>
      <w:bookmarkStart w:id="350" w:name="_Toc319439892"/>
      <w:bookmarkStart w:id="351" w:name="_Toc309897507"/>
      <w:bookmarkStart w:id="352" w:name="_Toc6143"/>
      <w:bookmarkStart w:id="353" w:name="_Toc30708"/>
      <w:r>
        <w:rPr>
          <w:rFonts w:hint="eastAsia" w:ascii="宋体" w:hAnsi="宋体" w:cs="宋体"/>
          <w:color w:val="auto"/>
          <w:sz w:val="24"/>
          <w:szCs w:val="24"/>
          <w:highlight w:val="none"/>
        </w:rPr>
        <w:t>14.投标文件的组成</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pPr>
        <w:spacing w:line="440" w:lineRule="exact"/>
        <w:ind w:firstLine="470" w:firstLineChars="196"/>
        <w:rPr>
          <w:rFonts w:hAnsi="宋体" w:cs="宋体"/>
          <w:color w:val="auto"/>
          <w:sz w:val="24"/>
          <w:highlight w:val="none"/>
        </w:rPr>
      </w:pPr>
      <w:r>
        <w:rPr>
          <w:rFonts w:hint="eastAsia" w:hAnsi="宋体" w:cs="宋体"/>
          <w:color w:val="auto"/>
          <w:sz w:val="24"/>
          <w:highlight w:val="none"/>
        </w:rPr>
        <w:t>投标人应按照招标文件的规定和要求编制投标文件，否则视为无效投标。投标人拟在中标后将中标项目的非主体、非关键性工作交由他人完成的，应当在投标文件中载明。投标人编写的投标文件应包括下列部分：</w:t>
      </w:r>
    </w:p>
    <w:p>
      <w:pPr>
        <w:widowControl/>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cs="宋体"/>
          <w:color w:val="auto"/>
          <w:sz w:val="24"/>
          <w:szCs w:val="24"/>
          <w:highlight w:val="none"/>
        </w:rPr>
        <w:t>投标人应按照招标文件的规定和要求编制投标文件。投标人编写的投标文件应至少包括下列两部分文件:</w:t>
      </w:r>
    </w:p>
    <w:p>
      <w:pPr>
        <w:widowControl/>
        <w:spacing w:line="360" w:lineRule="auto"/>
        <w:ind w:firstLine="482" w:firstLineChars="200"/>
        <w:jc w:val="left"/>
        <w:rPr>
          <w:rFonts w:hint="eastAsia" w:hAnsi="宋体" w:eastAsia="宋体" w:cs="宋体"/>
          <w:b/>
          <w:color w:val="auto"/>
          <w:sz w:val="24"/>
          <w:szCs w:val="32"/>
          <w:highlight w:val="none"/>
          <w:lang w:eastAsia="zh-CN"/>
        </w:rPr>
      </w:pPr>
      <w:r>
        <w:rPr>
          <w:rFonts w:hint="eastAsia" w:hAnsi="宋体" w:cs="宋体"/>
          <w:b/>
          <w:color w:val="auto"/>
          <w:sz w:val="24"/>
          <w:szCs w:val="32"/>
          <w:highlight w:val="none"/>
        </w:rPr>
        <w:t>文件一:资格性投标文件(用于资格审查和符合性审查)</w:t>
      </w:r>
    </w:p>
    <w:p>
      <w:pPr>
        <w:widowControl/>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cs="宋体"/>
          <w:color w:val="auto"/>
          <w:sz w:val="24"/>
          <w:szCs w:val="24"/>
          <w:highlight w:val="none"/>
        </w:rPr>
        <w:t xml:space="preserve">    包括本文件第五章所列内容要求具备的资格证明文件等（部分资料格式见第三章）。</w:t>
      </w:r>
    </w:p>
    <w:p>
      <w:pPr>
        <w:widowControl/>
        <w:spacing w:line="360" w:lineRule="auto"/>
        <w:ind w:firstLine="482" w:firstLineChars="200"/>
        <w:jc w:val="left"/>
        <w:rPr>
          <w:rFonts w:hAnsi="宋体" w:cs="宋体"/>
          <w:color w:val="auto"/>
          <w:sz w:val="24"/>
          <w:szCs w:val="24"/>
          <w:highlight w:val="none"/>
        </w:rPr>
      </w:pPr>
      <w:r>
        <w:rPr>
          <w:rFonts w:hint="eastAsia" w:hAnsi="宋体" w:cs="宋体"/>
          <w:b/>
          <w:color w:val="auto"/>
          <w:sz w:val="24"/>
          <w:szCs w:val="32"/>
          <w:highlight w:val="none"/>
        </w:rPr>
        <w:t>文件二:其他投标文件(用于资格审查以外的评标)</w:t>
      </w:r>
    </w:p>
    <w:p>
      <w:pPr>
        <w:pStyle w:val="24"/>
        <w:rPr>
          <w:rFonts w:ascii="宋体" w:hAnsi="宋体" w:cs="宋体"/>
          <w:color w:val="auto"/>
          <w:highlight w:val="none"/>
        </w:rPr>
      </w:pPr>
      <w:r>
        <w:rPr>
          <w:rFonts w:hint="eastAsia" w:ascii="宋体" w:hAnsi="宋体" w:cs="宋体"/>
          <w:color w:val="auto"/>
          <w:sz w:val="24"/>
          <w:szCs w:val="24"/>
          <w:highlight w:val="none"/>
        </w:rPr>
        <w:t>视采购项目具体情况可以包括以下内容（部分资料格式见第三章）:</w:t>
      </w:r>
    </w:p>
    <w:p>
      <w:pPr>
        <w:spacing w:line="440" w:lineRule="exact"/>
        <w:ind w:firstLine="472" w:firstLineChars="196"/>
        <w:rPr>
          <w:rFonts w:hAnsi="宋体" w:cs="宋体"/>
          <w:color w:val="auto"/>
          <w:sz w:val="24"/>
          <w:highlight w:val="none"/>
        </w:rPr>
      </w:pPr>
      <w:r>
        <w:rPr>
          <w:rFonts w:hint="eastAsia" w:hAnsi="宋体" w:cs="宋体"/>
          <w:b/>
          <w:color w:val="auto"/>
          <w:sz w:val="24"/>
          <w:highlight w:val="none"/>
        </w:rPr>
        <w:t>（一） 报价部分。</w:t>
      </w:r>
      <w:r>
        <w:rPr>
          <w:rFonts w:hint="eastAsia" w:hAnsi="宋体" w:cs="宋体"/>
          <w:bCs/>
          <w:color w:val="auto"/>
          <w:sz w:val="24"/>
          <w:highlight w:val="none"/>
        </w:rPr>
        <w:t>投标人</w:t>
      </w:r>
      <w:r>
        <w:rPr>
          <w:rFonts w:hint="eastAsia" w:hAnsi="宋体" w:cs="宋体"/>
          <w:color w:val="auto"/>
          <w:sz w:val="24"/>
          <w:highlight w:val="none"/>
        </w:rPr>
        <w:t>按照以下要求填写的“报价一览表”、“报价明细表”，否则视为无效投标。本次招标报价要求：</w:t>
      </w:r>
    </w:p>
    <w:p>
      <w:pPr>
        <w:spacing w:line="440" w:lineRule="exact"/>
        <w:ind w:firstLine="499" w:firstLineChars="208"/>
        <w:rPr>
          <w:rFonts w:hAnsi="宋体" w:cs="宋体"/>
          <w:color w:val="auto"/>
          <w:sz w:val="24"/>
          <w:highlight w:val="none"/>
          <w:lang w:val="zh-CN"/>
        </w:rPr>
      </w:pPr>
      <w:r>
        <w:rPr>
          <w:rFonts w:hint="eastAsia" w:hAnsi="宋体" w:cs="宋体"/>
          <w:color w:val="auto"/>
          <w:sz w:val="24"/>
          <w:highlight w:val="none"/>
        </w:rPr>
        <w:t>(1)投标人的报价是投标人响应招标项目包要求的全部工作内容的价格体现，包括完成本项目所涉及的一切费用</w:t>
      </w:r>
      <w:r>
        <w:rPr>
          <w:rFonts w:hint="eastAsia" w:hAnsi="宋体" w:cs="宋体"/>
          <w:b/>
          <w:bCs/>
          <w:color w:val="auto"/>
          <w:sz w:val="24"/>
          <w:szCs w:val="24"/>
          <w:highlight w:val="none"/>
        </w:rPr>
        <w:t>(实质性要求)</w:t>
      </w:r>
      <w:r>
        <w:rPr>
          <w:rFonts w:hint="eastAsia" w:hAnsi="宋体" w:cs="宋体"/>
          <w:color w:val="auto"/>
          <w:sz w:val="24"/>
          <w:highlight w:val="none"/>
        </w:rPr>
        <w:t>。</w:t>
      </w:r>
    </w:p>
    <w:p>
      <w:pPr>
        <w:widowControl/>
        <w:spacing w:line="360" w:lineRule="auto"/>
        <w:ind w:left="17" w:leftChars="5" w:firstLine="460" w:firstLineChars="191"/>
        <w:jc w:val="left"/>
        <w:rPr>
          <w:rFonts w:hAnsi="宋体" w:cs="宋体"/>
          <w:color w:val="auto"/>
          <w:sz w:val="24"/>
          <w:highlight w:val="none"/>
          <w:lang w:val="zh-CN"/>
        </w:rPr>
      </w:pPr>
      <w:r>
        <w:rPr>
          <w:rFonts w:hint="eastAsia" w:hAnsi="宋体" w:cs="宋体"/>
          <w:b/>
          <w:color w:val="auto"/>
          <w:sz w:val="24"/>
          <w:highlight w:val="none"/>
        </w:rPr>
        <w:t>（二）服务</w:t>
      </w:r>
      <w:r>
        <w:rPr>
          <w:rFonts w:hint="eastAsia" w:hAnsi="宋体" w:cs="宋体"/>
          <w:b/>
          <w:color w:val="auto"/>
          <w:sz w:val="24"/>
          <w:highlight w:val="none"/>
          <w:lang w:val="zh-CN"/>
        </w:rPr>
        <w:t>部分。</w:t>
      </w:r>
      <w:r>
        <w:rPr>
          <w:rFonts w:hint="eastAsia" w:hAnsi="宋体" w:cs="宋体"/>
          <w:color w:val="auto"/>
          <w:sz w:val="24"/>
          <w:highlight w:val="none"/>
          <w:lang w:val="zh-CN"/>
        </w:rPr>
        <w:t>投标人按照招标文件要求做出的</w:t>
      </w:r>
      <w:r>
        <w:rPr>
          <w:rFonts w:hint="eastAsia" w:hAnsi="宋体" w:cs="宋体"/>
          <w:color w:val="auto"/>
          <w:sz w:val="24"/>
          <w:highlight w:val="none"/>
        </w:rPr>
        <w:t>技术</w:t>
      </w:r>
      <w:r>
        <w:rPr>
          <w:rFonts w:hint="eastAsia" w:hAnsi="宋体" w:cs="宋体"/>
          <w:color w:val="auto"/>
          <w:sz w:val="24"/>
          <w:highlight w:val="none"/>
          <w:lang w:val="zh-CN"/>
        </w:rPr>
        <w:t>应答，主要是针对招标项目</w:t>
      </w:r>
      <w:r>
        <w:rPr>
          <w:rFonts w:hint="eastAsia" w:hAnsi="宋体" w:cs="宋体"/>
          <w:color w:val="auto"/>
          <w:sz w:val="24"/>
          <w:szCs w:val="24"/>
          <w:highlight w:val="none"/>
        </w:rPr>
        <w:t>的服务指标、参数和服务要求做出的</w:t>
      </w:r>
      <w:r>
        <w:rPr>
          <w:rFonts w:hint="eastAsia" w:hAnsi="宋体" w:cs="宋体"/>
          <w:color w:val="auto"/>
          <w:sz w:val="24"/>
          <w:highlight w:val="none"/>
          <w:lang w:val="zh-CN"/>
        </w:rPr>
        <w:t>实质性响应和满足。投标人的</w:t>
      </w:r>
      <w:r>
        <w:rPr>
          <w:rFonts w:hint="eastAsia" w:hAnsi="宋体" w:cs="宋体"/>
          <w:color w:val="auto"/>
          <w:sz w:val="24"/>
          <w:highlight w:val="none"/>
        </w:rPr>
        <w:t>技术应答应尽可能</w:t>
      </w:r>
      <w:r>
        <w:rPr>
          <w:rFonts w:hint="eastAsia" w:hAnsi="宋体" w:cs="宋体"/>
          <w:color w:val="auto"/>
          <w:sz w:val="24"/>
          <w:highlight w:val="none"/>
          <w:lang w:val="zh-CN"/>
        </w:rPr>
        <w:t>包括下列内容：</w:t>
      </w:r>
    </w:p>
    <w:p>
      <w:pPr>
        <w:widowControl/>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（1）服务应答表；</w:t>
      </w:r>
    </w:p>
    <w:p>
      <w:pPr>
        <w:pStyle w:val="14"/>
        <w:ind w:firstLine="480" w:firstLineChars="200"/>
        <w:rPr>
          <w:rFonts w:ascii="宋体" w:hAnsi="宋体" w:cs="宋体"/>
          <w:color w:val="auto"/>
          <w:highlight w:val="none"/>
        </w:rPr>
      </w:pPr>
      <w:r>
        <w:rPr>
          <w:rFonts w:hint="eastAsia" w:ascii="宋体" w:hAnsi="宋体" w:cs="宋体"/>
          <w:color w:val="auto"/>
          <w:highlight w:val="none"/>
        </w:rPr>
        <w:t>（2）投标人认为需要提供的文件和资料。</w:t>
      </w:r>
    </w:p>
    <w:p>
      <w:pPr>
        <w:spacing w:line="440" w:lineRule="exact"/>
        <w:ind w:firstLine="472" w:firstLineChars="196"/>
        <w:rPr>
          <w:rFonts w:hAnsi="宋体" w:cs="宋体"/>
          <w:color w:val="auto"/>
          <w:sz w:val="24"/>
          <w:highlight w:val="none"/>
        </w:rPr>
      </w:pPr>
      <w:r>
        <w:rPr>
          <w:rFonts w:hint="eastAsia" w:hAnsi="宋体" w:cs="宋体"/>
          <w:b/>
          <w:bCs/>
          <w:color w:val="auto"/>
          <w:sz w:val="24"/>
          <w:highlight w:val="none"/>
        </w:rPr>
        <w:t>（三） 商务部分。</w:t>
      </w:r>
      <w:r>
        <w:rPr>
          <w:rFonts w:hint="eastAsia" w:hAnsi="宋体" w:cs="宋体"/>
          <w:color w:val="auto"/>
          <w:sz w:val="24"/>
          <w:szCs w:val="24"/>
          <w:highlight w:val="none"/>
        </w:rPr>
        <w:t>投标人按照招标文件要求提供的有关文件及优惠承诺</w:t>
      </w:r>
      <w:r>
        <w:rPr>
          <w:rFonts w:hint="eastAsia" w:hAnsi="宋体" w:cs="宋体"/>
          <w:color w:val="auto"/>
          <w:sz w:val="24"/>
          <w:highlight w:val="none"/>
        </w:rPr>
        <w:t>；包括以下内容：</w:t>
      </w:r>
    </w:p>
    <w:p>
      <w:pPr>
        <w:widowControl/>
        <w:spacing w:line="360" w:lineRule="auto"/>
        <w:ind w:firstLine="720" w:firstLineChars="300"/>
        <w:jc w:val="left"/>
        <w:rPr>
          <w:rFonts w:hAnsi="宋体" w:cs="宋体"/>
          <w:color w:val="auto"/>
          <w:sz w:val="24"/>
          <w:szCs w:val="24"/>
          <w:highlight w:val="none"/>
        </w:rPr>
      </w:pPr>
      <w:bookmarkStart w:id="354" w:name="_Toc307501102"/>
      <w:bookmarkStart w:id="355" w:name="_Toc183582218"/>
      <w:bookmarkStart w:id="356" w:name="_Toc183682355"/>
      <w:bookmarkStart w:id="357" w:name="_Toc217446049"/>
      <w:r>
        <w:rPr>
          <w:rFonts w:hint="eastAsia" w:hAnsi="宋体" w:cs="宋体"/>
          <w:color w:val="auto"/>
          <w:sz w:val="24"/>
          <w:szCs w:val="24"/>
          <w:highlight w:val="none"/>
        </w:rPr>
        <w:t>(1)投标函；</w:t>
      </w:r>
    </w:p>
    <w:p>
      <w:pPr>
        <w:widowControl/>
        <w:spacing w:line="360" w:lineRule="auto"/>
        <w:ind w:firstLine="720" w:firstLineChars="300"/>
        <w:jc w:val="left"/>
        <w:rPr>
          <w:rFonts w:hAnsi="宋体" w:cs="宋体"/>
          <w:color w:val="auto"/>
          <w:sz w:val="24"/>
          <w:szCs w:val="24"/>
          <w:highlight w:val="none"/>
        </w:rPr>
      </w:pPr>
      <w:r>
        <w:rPr>
          <w:rFonts w:hint="eastAsia" w:hAnsi="宋体" w:cs="宋体"/>
          <w:color w:val="auto"/>
          <w:sz w:val="24"/>
          <w:szCs w:val="24"/>
          <w:highlight w:val="none"/>
        </w:rPr>
        <w:t>(2)商务应答表；</w:t>
      </w:r>
    </w:p>
    <w:p>
      <w:pPr>
        <w:widowControl/>
        <w:spacing w:line="360" w:lineRule="auto"/>
        <w:jc w:val="left"/>
        <w:rPr>
          <w:rFonts w:hAnsi="宋体" w:cs="宋体"/>
          <w:color w:val="auto"/>
          <w:sz w:val="24"/>
          <w:szCs w:val="24"/>
          <w:highlight w:val="none"/>
        </w:rPr>
      </w:pPr>
      <w:r>
        <w:rPr>
          <w:rFonts w:hint="eastAsia" w:hAnsi="宋体" w:cs="宋体"/>
          <w:color w:val="auto"/>
          <w:sz w:val="24"/>
          <w:szCs w:val="24"/>
          <w:highlight w:val="none"/>
        </w:rPr>
        <w:t xml:space="preserve">      (3)投标人根据第七章评分细则提供相关的证明材料(复印件)；</w:t>
      </w:r>
    </w:p>
    <w:p>
      <w:pPr>
        <w:widowControl/>
        <w:spacing w:line="360" w:lineRule="auto"/>
        <w:ind w:firstLine="720" w:firstLineChars="300"/>
        <w:jc w:val="left"/>
        <w:rPr>
          <w:rFonts w:hAnsi="宋体" w:cs="宋体"/>
          <w:color w:val="auto"/>
          <w:sz w:val="24"/>
          <w:szCs w:val="24"/>
          <w:highlight w:val="none"/>
        </w:rPr>
      </w:pPr>
      <w:r>
        <w:rPr>
          <w:rFonts w:hint="eastAsia" w:hAnsi="宋体" w:cs="宋体"/>
          <w:color w:val="auto"/>
          <w:sz w:val="24"/>
          <w:szCs w:val="24"/>
          <w:highlight w:val="none"/>
        </w:rPr>
        <w:t>(4)投标人认为应当提供的其他证明材料。</w:t>
      </w:r>
    </w:p>
    <w:p>
      <w:pPr>
        <w:pStyle w:val="24"/>
        <w:ind w:firstLine="482" w:firstLineChars="200"/>
        <w:rPr>
          <w:rFonts w:ascii="宋体" w:hAnsi="宋体" w:cs="宋体"/>
          <w:color w:val="auto"/>
          <w:highlight w:val="none"/>
        </w:rPr>
      </w:pPr>
      <w:r>
        <w:rPr>
          <w:rFonts w:hint="eastAsia" w:ascii="宋体" w:hAnsi="宋体" w:cs="宋体"/>
          <w:b/>
          <w:bCs/>
          <w:color w:val="auto"/>
          <w:sz w:val="24"/>
          <w:szCs w:val="24"/>
          <w:highlight w:val="none"/>
        </w:rPr>
        <w:t>(四)其他部分</w:t>
      </w:r>
      <w:r>
        <w:rPr>
          <w:rFonts w:hint="eastAsia" w:ascii="宋体" w:hAnsi="宋体" w:cs="宋体"/>
          <w:color w:val="auto"/>
          <w:sz w:val="24"/>
          <w:highlight w:val="none"/>
        </w:rPr>
        <w:t>（如涉及，不涉及的无需提交证明材料）</w:t>
      </w:r>
      <w:r>
        <w:rPr>
          <w:rFonts w:hint="eastAsia" w:ascii="宋体" w:hAnsi="宋体" w:cs="宋体"/>
          <w:color w:val="auto"/>
          <w:sz w:val="24"/>
          <w:szCs w:val="24"/>
          <w:highlight w:val="none"/>
        </w:rPr>
        <w:t>。投标人按照招标文件要求作出的其他应答和承诺。</w:t>
      </w:r>
    </w:p>
    <w:p>
      <w:pPr>
        <w:pStyle w:val="6"/>
        <w:spacing w:line="400" w:lineRule="exact"/>
        <w:ind w:firstLine="482" w:firstLineChars="200"/>
        <w:rPr>
          <w:rFonts w:ascii="宋体" w:hAnsi="宋体" w:cs="宋体"/>
          <w:color w:val="auto"/>
          <w:sz w:val="24"/>
          <w:szCs w:val="24"/>
          <w:highlight w:val="none"/>
        </w:rPr>
      </w:pPr>
      <w:bookmarkStart w:id="358" w:name="_Toc327196279"/>
      <w:bookmarkStart w:id="359" w:name="_Toc4288"/>
      <w:bookmarkStart w:id="360" w:name="_Toc32103"/>
      <w:bookmarkStart w:id="361" w:name="_Toc309897508"/>
      <w:bookmarkStart w:id="362" w:name="_Toc6789"/>
      <w:bookmarkStart w:id="363" w:name="_Toc26967"/>
      <w:bookmarkStart w:id="364" w:name="_Toc3096"/>
      <w:bookmarkStart w:id="365" w:name="_Toc15103"/>
      <w:bookmarkStart w:id="366" w:name="_Toc308084590"/>
      <w:bookmarkStart w:id="367" w:name="_Toc23655"/>
      <w:bookmarkStart w:id="368" w:name="_Toc1874"/>
      <w:bookmarkStart w:id="369" w:name="_Toc15763"/>
      <w:bookmarkStart w:id="370" w:name="_Toc31194"/>
      <w:bookmarkStart w:id="371" w:name="_Toc319439893"/>
      <w:bookmarkStart w:id="372" w:name="_Toc308188145"/>
      <w:bookmarkStart w:id="373" w:name="_Toc31136"/>
      <w:bookmarkStart w:id="374" w:name="_Toc319440135"/>
      <w:bookmarkStart w:id="375" w:name="_Toc307564845"/>
      <w:r>
        <w:rPr>
          <w:rFonts w:hint="eastAsia" w:ascii="宋体" w:hAnsi="宋体" w:cs="宋体"/>
          <w:color w:val="auto"/>
          <w:sz w:val="24"/>
          <w:szCs w:val="24"/>
          <w:highlight w:val="none"/>
        </w:rPr>
        <w:t>15.投标文件格式</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Pr>
          <w:rFonts w:hint="eastAsia" w:ascii="宋体" w:hAnsi="宋体" w:cs="宋体"/>
          <w:color w:val="auto"/>
          <w:sz w:val="24"/>
          <w:szCs w:val="24"/>
          <w:highlight w:val="none"/>
        </w:rPr>
        <w:tab/>
      </w:r>
    </w:p>
    <w:p>
      <w:pPr>
        <w:tabs>
          <w:tab w:val="left" w:pos="7665"/>
        </w:tabs>
        <w:spacing w:line="440" w:lineRule="exact"/>
        <w:ind w:left="20" w:leftChars="6" w:firstLine="480" w:firstLineChars="200"/>
        <w:rPr>
          <w:rFonts w:hAnsi="宋体" w:cs="宋体"/>
          <w:color w:val="auto"/>
          <w:sz w:val="24"/>
          <w:highlight w:val="none"/>
        </w:rPr>
      </w:pPr>
      <w:r>
        <w:rPr>
          <w:rFonts w:hint="eastAsia" w:hAnsi="宋体" w:cs="宋体"/>
          <w:color w:val="auto"/>
          <w:sz w:val="24"/>
          <w:highlight w:val="none"/>
        </w:rPr>
        <w:t>15.1 投标人应按照招标文件第三章中提供的“投标文件格式”填写相关内容。</w:t>
      </w:r>
    </w:p>
    <w:p>
      <w:pPr>
        <w:tabs>
          <w:tab w:val="left" w:pos="7665"/>
        </w:tabs>
        <w:spacing w:line="440" w:lineRule="exact"/>
        <w:ind w:left="20" w:leftChars="6" w:firstLine="480" w:firstLineChars="200"/>
        <w:rPr>
          <w:rFonts w:hAnsi="宋体" w:cs="宋体"/>
          <w:color w:val="auto"/>
          <w:sz w:val="24"/>
          <w:highlight w:val="none"/>
        </w:rPr>
      </w:pPr>
      <w:r>
        <w:rPr>
          <w:rFonts w:hint="eastAsia" w:hAnsi="宋体" w:cs="宋体"/>
          <w:color w:val="auto"/>
          <w:sz w:val="24"/>
          <w:highlight w:val="none"/>
        </w:rPr>
        <w:t>15.2 对于没有格式要求的由投标人自行编写。</w:t>
      </w:r>
    </w:p>
    <w:p>
      <w:pPr>
        <w:pStyle w:val="6"/>
        <w:spacing w:line="400" w:lineRule="exact"/>
        <w:ind w:firstLine="482" w:firstLineChars="200"/>
        <w:rPr>
          <w:rFonts w:ascii="宋体" w:hAnsi="宋体" w:cs="宋体"/>
          <w:color w:val="auto"/>
          <w:sz w:val="24"/>
          <w:szCs w:val="24"/>
          <w:highlight w:val="none"/>
        </w:rPr>
      </w:pPr>
      <w:bookmarkStart w:id="376" w:name="_Toc20642"/>
      <w:bookmarkStart w:id="377" w:name="_Toc4102"/>
      <w:bookmarkStart w:id="378" w:name="_Toc21967"/>
      <w:bookmarkStart w:id="379" w:name="_Toc29891"/>
      <w:bookmarkStart w:id="380" w:name="_Toc319440136"/>
      <w:bookmarkStart w:id="381" w:name="_Toc319439894"/>
      <w:bookmarkStart w:id="382" w:name="_Toc327196280"/>
      <w:bookmarkStart w:id="383" w:name="_Toc183582223"/>
      <w:bookmarkStart w:id="384" w:name="_Toc21884"/>
      <w:bookmarkStart w:id="385" w:name="_Toc309897509"/>
      <w:bookmarkStart w:id="386" w:name="_Toc27418"/>
      <w:bookmarkStart w:id="387" w:name="_Toc308188146"/>
      <w:bookmarkStart w:id="388" w:name="_Toc14382"/>
      <w:bookmarkStart w:id="389" w:name="_Toc217446050"/>
      <w:bookmarkStart w:id="390" w:name="_Toc307564846"/>
      <w:bookmarkStart w:id="391" w:name="_Toc183682360"/>
      <w:bookmarkStart w:id="392" w:name="_Toc307501103"/>
      <w:bookmarkStart w:id="393" w:name="_Toc308084591"/>
      <w:bookmarkStart w:id="394" w:name="_Toc31944"/>
      <w:bookmarkStart w:id="395" w:name="_Toc14436"/>
      <w:bookmarkStart w:id="396" w:name="_Toc2456"/>
      <w:bookmarkStart w:id="397" w:name="_Toc32574"/>
      <w:r>
        <w:rPr>
          <w:rFonts w:hint="eastAsia" w:ascii="宋体" w:hAnsi="宋体" w:cs="宋体"/>
          <w:color w:val="auto"/>
          <w:sz w:val="24"/>
          <w:szCs w:val="24"/>
          <w:highlight w:val="none"/>
        </w:rPr>
        <w:t>16.投标保证金</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Pr>
          <w:rFonts w:hint="eastAsia" w:ascii="宋体" w:hAnsi="宋体" w:cs="宋体"/>
          <w:color w:val="auto"/>
          <w:sz w:val="24"/>
          <w:szCs w:val="24"/>
          <w:highlight w:val="none"/>
        </w:rPr>
        <w:t>(实质性要求</w:t>
      </w:r>
      <w:bookmarkEnd w:id="395"/>
      <w:r>
        <w:rPr>
          <w:rFonts w:hint="eastAsia" w:ascii="宋体" w:hAnsi="宋体" w:cs="宋体"/>
          <w:color w:val="auto"/>
          <w:sz w:val="24"/>
          <w:szCs w:val="24"/>
          <w:highlight w:val="none"/>
        </w:rPr>
        <w:t>)</w:t>
      </w:r>
      <w:bookmarkEnd w:id="396"/>
      <w:bookmarkEnd w:id="397"/>
    </w:p>
    <w:p>
      <w:pPr>
        <w:spacing w:line="440" w:lineRule="exact"/>
        <w:ind w:firstLine="470" w:firstLineChars="196"/>
        <w:rPr>
          <w:rFonts w:hAnsi="宋体" w:cs="宋体"/>
          <w:color w:val="auto"/>
          <w:sz w:val="24"/>
          <w:highlight w:val="none"/>
        </w:rPr>
      </w:pPr>
      <w:bookmarkStart w:id="398" w:name="_Toc31284"/>
      <w:bookmarkStart w:id="399" w:name="_Toc26011"/>
      <w:bookmarkStart w:id="400" w:name="_Toc9356"/>
      <w:bookmarkStart w:id="401" w:name="_Toc308084592"/>
      <w:bookmarkStart w:id="402" w:name="_Toc319440137"/>
      <w:bookmarkStart w:id="403" w:name="_Toc307564847"/>
      <w:bookmarkStart w:id="404" w:name="_Toc319439895"/>
      <w:bookmarkStart w:id="405" w:name="_Toc183582224"/>
      <w:bookmarkStart w:id="406" w:name="_Toc327196281"/>
      <w:bookmarkStart w:id="407" w:name="_Toc13956"/>
      <w:bookmarkStart w:id="408" w:name="_Toc17857"/>
      <w:bookmarkStart w:id="409" w:name="_Toc29434"/>
      <w:bookmarkStart w:id="410" w:name="_Toc308188147"/>
      <w:bookmarkStart w:id="411" w:name="_Toc309897510"/>
      <w:bookmarkStart w:id="412" w:name="_Toc27589"/>
      <w:bookmarkStart w:id="413" w:name="_Toc307501104"/>
      <w:bookmarkStart w:id="414" w:name="_Toc21338"/>
      <w:bookmarkStart w:id="415" w:name="_Toc183682361"/>
      <w:bookmarkStart w:id="416" w:name="_Toc217446051"/>
      <w:r>
        <w:rPr>
          <w:rFonts w:hint="eastAsia" w:hAnsi="宋体" w:cs="宋体"/>
          <w:color w:val="auto"/>
          <w:sz w:val="24"/>
          <w:highlight w:val="none"/>
        </w:rPr>
        <w:t xml:space="preserve"> </w:t>
      </w:r>
      <w:r>
        <w:rPr>
          <w:rFonts w:hint="eastAsia" w:hAnsi="宋体" w:cs="宋体"/>
          <w:color w:val="auto"/>
          <w:sz w:val="24"/>
          <w:highlight w:val="none"/>
          <w:lang w:val="zh-CN"/>
        </w:rPr>
        <w:t>根据四川省财政厅关于进一步做好疫情防控期间政府采购工作有关事项的通知（川财采【2020】28号），疫情防控期间不收取投标保证金</w:t>
      </w:r>
      <w:r>
        <w:rPr>
          <w:rFonts w:hint="eastAsia" w:hAnsi="宋体" w:cs="宋体"/>
          <w:color w:val="auto"/>
          <w:sz w:val="24"/>
          <w:highlight w:val="none"/>
        </w:rPr>
        <w:t>。</w:t>
      </w:r>
    </w:p>
    <w:p>
      <w:pPr>
        <w:pStyle w:val="6"/>
        <w:spacing w:line="400" w:lineRule="exact"/>
        <w:ind w:firstLine="482" w:firstLineChars="200"/>
        <w:rPr>
          <w:rFonts w:ascii="宋体" w:hAnsi="宋体" w:cs="宋体"/>
          <w:color w:val="auto"/>
          <w:sz w:val="24"/>
          <w:szCs w:val="24"/>
          <w:highlight w:val="none"/>
        </w:rPr>
      </w:pPr>
      <w:bookmarkStart w:id="417" w:name="_Toc20243"/>
      <w:bookmarkStart w:id="418" w:name="_Toc24782"/>
      <w:bookmarkStart w:id="419" w:name="_Toc19115"/>
      <w:r>
        <w:rPr>
          <w:rFonts w:hint="eastAsia" w:ascii="宋体" w:hAnsi="宋体" w:cs="宋体"/>
          <w:color w:val="auto"/>
          <w:sz w:val="24"/>
          <w:szCs w:val="24"/>
          <w:highlight w:val="none"/>
        </w:rPr>
        <w:t>17.投标有效期</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r>
        <w:rPr>
          <w:rFonts w:hint="eastAsia" w:ascii="宋体" w:hAnsi="宋体" w:cs="宋体"/>
          <w:color w:val="auto"/>
          <w:sz w:val="24"/>
          <w:szCs w:val="24"/>
          <w:highlight w:val="none"/>
        </w:rPr>
        <w:t>(实质性要求</w:t>
      </w:r>
      <w:bookmarkEnd w:id="417"/>
      <w:r>
        <w:rPr>
          <w:rFonts w:hint="eastAsia" w:ascii="宋体" w:hAnsi="宋体" w:cs="宋体"/>
          <w:color w:val="auto"/>
          <w:sz w:val="24"/>
          <w:szCs w:val="24"/>
          <w:highlight w:val="none"/>
        </w:rPr>
        <w:t>)</w:t>
      </w:r>
      <w:bookmarkEnd w:id="418"/>
      <w:bookmarkEnd w:id="419"/>
    </w:p>
    <w:p>
      <w:pPr>
        <w:tabs>
          <w:tab w:val="left" w:pos="7665"/>
        </w:tabs>
        <w:spacing w:line="400" w:lineRule="exact"/>
        <w:ind w:left="20" w:leftChars="6" w:firstLine="360" w:firstLineChars="150"/>
        <w:rPr>
          <w:rFonts w:hAnsi="宋体" w:cs="宋体"/>
          <w:color w:val="auto"/>
          <w:sz w:val="24"/>
          <w:highlight w:val="none"/>
        </w:rPr>
      </w:pPr>
      <w:r>
        <w:rPr>
          <w:rFonts w:hint="eastAsia" w:hAnsi="宋体" w:cs="宋体"/>
          <w:color w:val="auto"/>
          <w:sz w:val="24"/>
          <w:highlight w:val="none"/>
          <w:lang w:val="zh-CN"/>
        </w:rPr>
        <w:t>投标有效期为提交投标文件的截止之日起90天。</w:t>
      </w:r>
    </w:p>
    <w:p>
      <w:pPr>
        <w:pStyle w:val="6"/>
        <w:spacing w:line="400" w:lineRule="exact"/>
        <w:ind w:firstLine="482" w:firstLineChars="200"/>
        <w:rPr>
          <w:rFonts w:ascii="宋体" w:hAnsi="宋体" w:cs="宋体"/>
          <w:color w:val="auto"/>
          <w:sz w:val="24"/>
          <w:szCs w:val="24"/>
          <w:highlight w:val="none"/>
        </w:rPr>
      </w:pPr>
      <w:bookmarkStart w:id="420" w:name="_Toc309897511"/>
      <w:bookmarkStart w:id="421" w:name="_Toc307564848"/>
      <w:bookmarkStart w:id="422" w:name="_Toc308188148"/>
      <w:bookmarkStart w:id="423" w:name="_Toc25471"/>
      <w:bookmarkStart w:id="424" w:name="_Toc6827"/>
      <w:bookmarkStart w:id="425" w:name="_Toc183582225"/>
      <w:bookmarkStart w:id="426" w:name="_Toc319440138"/>
      <w:bookmarkStart w:id="427" w:name="_Toc27612"/>
      <w:bookmarkStart w:id="428" w:name="_Toc319439896"/>
      <w:bookmarkStart w:id="429" w:name="_Toc307501105"/>
      <w:bookmarkStart w:id="430" w:name="_Toc3717"/>
      <w:bookmarkStart w:id="431" w:name="_Toc3077"/>
      <w:bookmarkStart w:id="432" w:name="_Toc12545"/>
      <w:bookmarkStart w:id="433" w:name="_Toc27461"/>
      <w:bookmarkStart w:id="434" w:name="_Toc327196282"/>
      <w:bookmarkStart w:id="435" w:name="_Toc183682362"/>
      <w:bookmarkStart w:id="436" w:name="_Toc26817"/>
      <w:bookmarkStart w:id="437" w:name="_Toc308084593"/>
      <w:bookmarkStart w:id="438" w:name="_Toc6239"/>
      <w:bookmarkStart w:id="439" w:name="_Toc217446052"/>
      <w:bookmarkStart w:id="440" w:name="_Toc7213"/>
      <w:bookmarkStart w:id="441" w:name="_Toc22593"/>
      <w:r>
        <w:rPr>
          <w:rFonts w:hint="eastAsia" w:ascii="宋体" w:hAnsi="宋体" w:cs="宋体"/>
          <w:color w:val="auto"/>
          <w:sz w:val="24"/>
          <w:szCs w:val="24"/>
          <w:highlight w:val="none"/>
        </w:rPr>
        <w:t>18.</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r>
        <w:rPr>
          <w:rFonts w:hint="eastAsia" w:ascii="宋体" w:hAnsi="宋体" w:cs="宋体"/>
          <w:color w:val="auto"/>
          <w:sz w:val="24"/>
          <w:szCs w:val="24"/>
          <w:highlight w:val="none"/>
        </w:rPr>
        <w:t>投标文件的制作、签章、加密</w:t>
      </w:r>
    </w:p>
    <w:p>
      <w:pPr>
        <w:tabs>
          <w:tab w:val="left" w:pos="1080"/>
        </w:tabs>
        <w:spacing w:line="400" w:lineRule="exact"/>
        <w:ind w:firstLine="460" w:firstLineChars="192"/>
        <w:rPr>
          <w:rFonts w:hAnsi="宋体" w:cs="宋体"/>
          <w:color w:val="auto"/>
          <w:sz w:val="24"/>
          <w:highlight w:val="none"/>
        </w:rPr>
      </w:pPr>
      <w:bookmarkStart w:id="442" w:name="_Toc23675"/>
      <w:bookmarkStart w:id="443" w:name="_Toc319439897"/>
      <w:bookmarkStart w:id="444" w:name="_Toc319440139"/>
      <w:bookmarkStart w:id="445" w:name="_Toc308188149"/>
      <w:bookmarkStart w:id="446" w:name="_Toc13153"/>
      <w:bookmarkStart w:id="447" w:name="_Toc10555"/>
      <w:bookmarkStart w:id="448" w:name="_Toc183582226"/>
      <w:bookmarkStart w:id="449" w:name="_Toc307501106"/>
      <w:bookmarkStart w:id="450" w:name="_Toc308084594"/>
      <w:bookmarkStart w:id="451" w:name="_Toc19635"/>
      <w:bookmarkStart w:id="452" w:name="_Toc307564849"/>
      <w:bookmarkStart w:id="453" w:name="_Toc77400781"/>
      <w:bookmarkStart w:id="454" w:name="_Toc327196283"/>
      <w:bookmarkStart w:id="455" w:name="_Toc183682363"/>
      <w:bookmarkStart w:id="456" w:name="_Toc89075877"/>
      <w:bookmarkStart w:id="457" w:name="_Toc217446053"/>
      <w:bookmarkStart w:id="458" w:name="_Toc5019"/>
      <w:bookmarkStart w:id="459" w:name="_Toc309897512"/>
      <w:bookmarkStart w:id="460" w:name="_Toc27443"/>
      <w:r>
        <w:rPr>
          <w:rFonts w:hint="eastAsia" w:hAnsi="宋体" w:cs="宋体"/>
          <w:color w:val="auto"/>
          <w:sz w:val="24"/>
          <w:highlight w:val="none"/>
        </w:rPr>
        <w:t>18.1 本项目实行电子投标。投标人应先安装“政采云投标客户端”。（政府采购云平台—CA管理—绑定CA—下载驱动—“政采云投标客户端”立即下载）。投标人应按招标文件要求，通过“政采云投标客户端”制作、加密并提交投标文件。（实质性要求）</w:t>
      </w:r>
    </w:p>
    <w:p>
      <w:pPr>
        <w:tabs>
          <w:tab w:val="left" w:pos="1080"/>
        </w:tabs>
        <w:spacing w:line="400" w:lineRule="exact"/>
        <w:ind w:firstLine="460" w:firstLineChars="192"/>
        <w:rPr>
          <w:rFonts w:hAnsi="宋体" w:cs="宋体"/>
          <w:color w:val="auto"/>
          <w:sz w:val="24"/>
          <w:highlight w:val="none"/>
        </w:rPr>
      </w:pPr>
      <w:r>
        <w:rPr>
          <w:rFonts w:hint="eastAsia" w:hAnsi="宋体" w:cs="宋体"/>
          <w:color w:val="auto"/>
          <w:sz w:val="24"/>
          <w:highlight w:val="none"/>
        </w:rPr>
        <w:t>18.2 投标文件每页均应加盖投标人（法定名称）电子签章，不得使用投标人专用章（如经济合同章、投标专用章等）或下属单位印章代替。（实质性要求）</w:t>
      </w:r>
    </w:p>
    <w:p>
      <w:pPr>
        <w:tabs>
          <w:tab w:val="left" w:pos="1080"/>
        </w:tabs>
        <w:spacing w:line="400" w:lineRule="exact"/>
        <w:ind w:firstLine="460" w:firstLineChars="192"/>
        <w:rPr>
          <w:rFonts w:hAnsi="宋体" w:cs="宋体"/>
          <w:color w:val="auto"/>
          <w:sz w:val="24"/>
          <w:highlight w:val="none"/>
        </w:rPr>
      </w:pPr>
      <w:r>
        <w:rPr>
          <w:rFonts w:hint="eastAsia" w:hAnsi="宋体" w:cs="宋体"/>
          <w:color w:val="auto"/>
          <w:sz w:val="24"/>
          <w:highlight w:val="none"/>
        </w:rPr>
        <w:t>18.3 投标人应使用本企业CA数字证书对投标文件进行加密。（实质性要求）</w:t>
      </w:r>
    </w:p>
    <w:p>
      <w:pPr>
        <w:tabs>
          <w:tab w:val="left" w:pos="1080"/>
        </w:tabs>
        <w:spacing w:line="400" w:lineRule="exact"/>
        <w:ind w:firstLine="460" w:firstLineChars="192"/>
        <w:rPr>
          <w:rFonts w:hAnsi="宋体" w:cs="宋体"/>
          <w:color w:val="auto"/>
          <w:sz w:val="24"/>
          <w:highlight w:val="none"/>
        </w:rPr>
      </w:pPr>
      <w:r>
        <w:rPr>
          <w:rFonts w:hint="eastAsia" w:hAnsi="宋体" w:cs="宋体"/>
          <w:color w:val="auto"/>
          <w:sz w:val="24"/>
          <w:highlight w:val="none"/>
        </w:rPr>
        <w:t>18.4 招标文件若有修改，投标人根据修改后的招标文件制作或修改并递交投标文件。</w:t>
      </w:r>
    </w:p>
    <w:p>
      <w:pPr>
        <w:tabs>
          <w:tab w:val="left" w:pos="1080"/>
        </w:tabs>
        <w:spacing w:line="400" w:lineRule="exact"/>
        <w:ind w:firstLine="460" w:firstLineChars="192"/>
        <w:rPr>
          <w:rFonts w:hAnsi="宋体" w:cs="宋体"/>
          <w:color w:val="auto"/>
          <w:sz w:val="24"/>
          <w:highlight w:val="none"/>
        </w:rPr>
      </w:pPr>
      <w:r>
        <w:rPr>
          <w:rFonts w:hint="eastAsia" w:hAnsi="宋体" w:cs="宋体"/>
          <w:color w:val="auto"/>
          <w:sz w:val="24"/>
          <w:highlight w:val="none"/>
        </w:rPr>
        <w:t>18.5 使用“政府采购云平台”需要提前申领CA数字证书及电子签章，请自行前往四川CA、CFCA、天威CA、北京CA、重庆CA、山西CA、浙江汇信CA、天谷CA、国信CA、山东CA、新疆CA、乌海CA等统一认证服务点办理，只需办理其中一家CA数字证书及签章（提示：办理时请说明参与成都市政府采购项目）。投标人应及时完成在“政府采购云平台”的注册及CA账号绑定，确保顺利参与电子投标。（实质性要求）</w:t>
      </w:r>
    </w:p>
    <w:p>
      <w:pPr>
        <w:tabs>
          <w:tab w:val="left" w:pos="1080"/>
        </w:tabs>
        <w:spacing w:line="440" w:lineRule="exact"/>
        <w:ind w:firstLine="480" w:firstLineChars="200"/>
        <w:rPr>
          <w:rFonts w:hAnsi="宋体" w:cs="宋体"/>
          <w:color w:val="auto"/>
          <w:sz w:val="24"/>
          <w:highlight w:val="none"/>
        </w:rPr>
      </w:pPr>
      <w:r>
        <w:rPr>
          <w:rFonts w:hint="eastAsia" w:hAnsi="宋体" w:cs="宋体"/>
          <w:color w:val="auto"/>
          <w:sz w:val="24"/>
          <w:highlight w:val="none"/>
        </w:rPr>
        <w:t>说明：1、招标文件中要求提供复印件证明材料的，包含原件的影印件或复印件或扫描件。2、本项目如涉及分包段采购的，投标人可对包段进行选择投标，但投标人必须对所投包段中的所有内容进行投标，并响应招标文件的要求和分包段分别编制投标文件。</w:t>
      </w:r>
    </w:p>
    <w:p>
      <w:pPr>
        <w:pStyle w:val="6"/>
        <w:spacing w:line="400" w:lineRule="exact"/>
        <w:ind w:firstLine="482" w:firstLineChars="200"/>
        <w:rPr>
          <w:rFonts w:ascii="宋体" w:hAnsi="宋体" w:cs="宋体"/>
          <w:color w:val="auto"/>
          <w:sz w:val="24"/>
          <w:szCs w:val="24"/>
          <w:highlight w:val="none"/>
        </w:rPr>
      </w:pPr>
      <w:bookmarkStart w:id="461" w:name="_Toc16752"/>
      <w:bookmarkStart w:id="462" w:name="_Toc23619"/>
      <w:bookmarkStart w:id="463" w:name="_Toc17010"/>
      <w:bookmarkStart w:id="464" w:name="_Toc6805"/>
      <w:bookmarkStart w:id="465" w:name="_Toc21788"/>
      <w:r>
        <w:rPr>
          <w:rFonts w:hint="eastAsia" w:ascii="宋体" w:hAnsi="宋体" w:cs="宋体"/>
          <w:color w:val="auto"/>
          <w:sz w:val="24"/>
          <w:szCs w:val="24"/>
          <w:highlight w:val="none"/>
        </w:rPr>
        <w:t>19.</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Start w:id="466" w:name="_Toc183582227"/>
      <w:bookmarkStart w:id="467" w:name="_Toc183682364"/>
      <w:bookmarkStart w:id="468" w:name="_Toc308188150"/>
      <w:bookmarkStart w:id="469" w:name="_Toc9965"/>
      <w:bookmarkStart w:id="470" w:name="_Toc20273"/>
      <w:bookmarkStart w:id="471" w:name="_Toc309897513"/>
      <w:bookmarkStart w:id="472" w:name="_Toc217446054"/>
      <w:bookmarkStart w:id="473" w:name="_Toc54"/>
      <w:bookmarkStart w:id="474" w:name="_Toc5768"/>
      <w:bookmarkStart w:id="475" w:name="_Toc319440140"/>
      <w:bookmarkStart w:id="476" w:name="_Toc7231"/>
      <w:bookmarkStart w:id="477" w:name="_Toc308084595"/>
      <w:bookmarkStart w:id="478" w:name="_Toc2092"/>
      <w:bookmarkStart w:id="479" w:name="_Toc319439898"/>
      <w:bookmarkStart w:id="480" w:name="_Toc25113"/>
      <w:bookmarkStart w:id="481" w:name="_Toc8863"/>
      <w:bookmarkStart w:id="482" w:name="_Toc307501107"/>
      <w:bookmarkStart w:id="483" w:name="_Toc327196284"/>
      <w:bookmarkStart w:id="484" w:name="_Toc25947"/>
      <w:bookmarkStart w:id="485" w:name="_Toc27234"/>
      <w:bookmarkStart w:id="486" w:name="_Toc307564850"/>
      <w:bookmarkStart w:id="487" w:name="_Toc19406"/>
      <w:r>
        <w:rPr>
          <w:rFonts w:hint="eastAsia" w:ascii="宋体" w:hAnsi="宋体" w:cs="宋体"/>
          <w:color w:val="auto"/>
          <w:sz w:val="24"/>
          <w:szCs w:val="24"/>
          <w:highlight w:val="none"/>
        </w:rPr>
        <w:t>投标文件的</w:t>
      </w:r>
      <w:bookmarkEnd w:id="466"/>
      <w:bookmarkEnd w:id="467"/>
      <w:r>
        <w:rPr>
          <w:rFonts w:hint="eastAsia" w:ascii="宋体" w:hAnsi="宋体" w:cs="宋体"/>
          <w:color w:val="auto"/>
          <w:sz w:val="24"/>
          <w:szCs w:val="24"/>
          <w:highlight w:val="none"/>
        </w:rPr>
        <w:t>递交</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pPr>
        <w:tabs>
          <w:tab w:val="left" w:pos="1095"/>
        </w:tabs>
        <w:spacing w:line="400" w:lineRule="exact"/>
        <w:ind w:firstLine="460" w:firstLineChars="192"/>
        <w:rPr>
          <w:rFonts w:hAnsi="宋体" w:cs="宋体"/>
          <w:color w:val="auto"/>
          <w:sz w:val="24"/>
          <w:highlight w:val="none"/>
        </w:rPr>
      </w:pPr>
      <w:r>
        <w:rPr>
          <w:rFonts w:hint="eastAsia" w:hAnsi="宋体" w:cs="宋体"/>
          <w:color w:val="auto"/>
          <w:sz w:val="24"/>
          <w:highlight w:val="none"/>
        </w:rPr>
        <w:t>19.1 投标人应当在投标文件递交截止时间前，将生成的已加密的电子投标文件成功递交至“政府采购云平台”。</w:t>
      </w:r>
    </w:p>
    <w:p>
      <w:pPr>
        <w:tabs>
          <w:tab w:val="left" w:pos="1095"/>
        </w:tabs>
        <w:spacing w:line="400" w:lineRule="exact"/>
        <w:ind w:firstLine="460" w:firstLineChars="192"/>
        <w:rPr>
          <w:rFonts w:hAnsi="宋体" w:cs="宋体"/>
          <w:color w:val="auto"/>
          <w:sz w:val="24"/>
          <w:highlight w:val="none"/>
        </w:rPr>
      </w:pPr>
      <w:r>
        <w:rPr>
          <w:rFonts w:hint="eastAsia" w:hAnsi="宋体" w:cs="宋体"/>
          <w:color w:val="auto"/>
          <w:sz w:val="24"/>
          <w:highlight w:val="none"/>
        </w:rPr>
        <w:t>19.2投标人应充分考虑递交文件的不可预见因素，在投标截止时间后将无法递交。</w:t>
      </w:r>
    </w:p>
    <w:p>
      <w:pPr>
        <w:tabs>
          <w:tab w:val="left" w:pos="1095"/>
        </w:tabs>
        <w:spacing w:line="440" w:lineRule="exact"/>
        <w:ind w:firstLine="460" w:firstLineChars="192"/>
        <w:rPr>
          <w:rFonts w:hAnsi="宋体" w:cs="宋体"/>
          <w:color w:val="auto"/>
          <w:sz w:val="24"/>
          <w:highlight w:val="none"/>
        </w:rPr>
      </w:pPr>
      <w:r>
        <w:rPr>
          <w:rFonts w:hint="eastAsia" w:hAnsi="宋体" w:cs="宋体"/>
          <w:color w:val="auto"/>
          <w:sz w:val="24"/>
          <w:highlight w:val="none"/>
        </w:rPr>
        <w:t>19.3 投标人在政府采购云平台上传投标文件，系统提示投标文件上传成功后，须在投标截止时间前对上传的投标文件下载核对，投标人应对投标文件是否能解密、文件是否能打开、每页是否都有电子签章等进行核对。</w:t>
      </w:r>
    </w:p>
    <w:p>
      <w:pPr>
        <w:pStyle w:val="6"/>
        <w:spacing w:line="400" w:lineRule="exact"/>
        <w:ind w:firstLine="482" w:firstLineChars="200"/>
        <w:rPr>
          <w:rFonts w:ascii="宋体" w:hAnsi="宋体" w:cs="宋体"/>
          <w:color w:val="auto"/>
          <w:sz w:val="24"/>
          <w:szCs w:val="24"/>
          <w:highlight w:val="none"/>
        </w:rPr>
      </w:pPr>
      <w:bookmarkStart w:id="488" w:name="_Toc183682365"/>
      <w:bookmarkStart w:id="489" w:name="_Toc183582228"/>
      <w:bookmarkStart w:id="490" w:name="_Toc23816"/>
      <w:bookmarkStart w:id="491" w:name="_Toc1451"/>
      <w:bookmarkStart w:id="492" w:name="_Toc7313"/>
      <w:bookmarkStart w:id="493" w:name="_Toc307501108"/>
      <w:bookmarkStart w:id="494" w:name="_Toc12138"/>
      <w:bookmarkStart w:id="495" w:name="_Toc217446055"/>
      <w:bookmarkStart w:id="496" w:name="_Toc327196285"/>
      <w:bookmarkStart w:id="497" w:name="_Toc25795"/>
      <w:bookmarkStart w:id="498" w:name="_Toc22634"/>
      <w:bookmarkStart w:id="499" w:name="_Toc309897514"/>
      <w:bookmarkStart w:id="500" w:name="_Toc4178"/>
      <w:bookmarkStart w:id="501" w:name="_Toc6140"/>
      <w:bookmarkStart w:id="502" w:name="_Toc308084596"/>
      <w:bookmarkStart w:id="503" w:name="_Toc319439899"/>
      <w:bookmarkStart w:id="504" w:name="_Toc308188151"/>
      <w:bookmarkStart w:id="505" w:name="_Toc319440141"/>
      <w:bookmarkStart w:id="506" w:name="_Toc17045"/>
      <w:bookmarkStart w:id="507" w:name="_Toc15674"/>
      <w:bookmarkStart w:id="508" w:name="_Toc3865"/>
      <w:bookmarkStart w:id="509" w:name="_Toc307564851"/>
      <w:r>
        <w:rPr>
          <w:rFonts w:hint="eastAsia" w:ascii="宋体" w:hAnsi="宋体" w:cs="宋体"/>
          <w:color w:val="auto"/>
          <w:sz w:val="24"/>
          <w:szCs w:val="24"/>
          <w:highlight w:val="none"/>
        </w:rPr>
        <w:t>20.投标文件的修改和撤</w:t>
      </w:r>
      <w:bookmarkEnd w:id="488"/>
      <w:bookmarkEnd w:id="489"/>
      <w:r>
        <w:rPr>
          <w:rFonts w:hint="eastAsia" w:ascii="宋体" w:hAnsi="宋体" w:cs="宋体"/>
          <w:color w:val="auto"/>
          <w:sz w:val="24"/>
          <w:szCs w:val="24"/>
          <w:highlight w:val="none"/>
        </w:rPr>
        <w:t>回</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pPr>
        <w:spacing w:line="400" w:lineRule="exact"/>
        <w:ind w:firstLine="480"/>
        <w:rPr>
          <w:rFonts w:hAnsi="宋体" w:cs="宋体"/>
          <w:color w:val="auto"/>
          <w:sz w:val="24"/>
          <w:highlight w:val="none"/>
        </w:rPr>
      </w:pPr>
      <w:r>
        <w:rPr>
          <w:rFonts w:hint="eastAsia" w:hAnsi="宋体" w:cs="宋体"/>
          <w:color w:val="auto"/>
          <w:sz w:val="24"/>
          <w:highlight w:val="none"/>
        </w:rPr>
        <w:t>20.1投标截止时间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pPr>
        <w:spacing w:line="400" w:lineRule="exact"/>
        <w:ind w:firstLine="480"/>
        <w:rPr>
          <w:rFonts w:hAnsi="宋体" w:cs="宋体"/>
          <w:color w:val="auto"/>
          <w:sz w:val="24"/>
          <w:highlight w:val="none"/>
        </w:rPr>
      </w:pPr>
      <w:r>
        <w:rPr>
          <w:rFonts w:hint="eastAsia" w:hAnsi="宋体" w:cs="宋体"/>
          <w:color w:val="auto"/>
          <w:sz w:val="24"/>
          <w:highlight w:val="none"/>
        </w:rPr>
        <w:t>20.2投标截止时间后，投标人不得对其递交的投标文件做任何补充、修改。</w:t>
      </w:r>
    </w:p>
    <w:p>
      <w:pPr>
        <w:pStyle w:val="6"/>
        <w:spacing w:line="400" w:lineRule="exact"/>
        <w:ind w:firstLine="482" w:firstLineChars="200"/>
        <w:rPr>
          <w:rFonts w:ascii="宋体" w:hAnsi="宋体" w:cs="宋体"/>
          <w:color w:val="auto"/>
          <w:sz w:val="24"/>
          <w:szCs w:val="24"/>
          <w:highlight w:val="none"/>
        </w:rPr>
      </w:pPr>
      <w:r>
        <w:rPr>
          <w:rFonts w:hint="eastAsia" w:ascii="宋体" w:hAnsi="宋体" w:cs="宋体"/>
          <w:color w:val="auto"/>
          <w:sz w:val="24"/>
          <w:szCs w:val="24"/>
          <w:highlight w:val="none"/>
        </w:rPr>
        <w:t>21.投标文件的解密</w:t>
      </w:r>
    </w:p>
    <w:p>
      <w:pPr>
        <w:spacing w:line="400" w:lineRule="exact"/>
        <w:ind w:firstLine="480"/>
        <w:rPr>
          <w:rFonts w:hAnsi="宋体" w:cs="宋体"/>
          <w:color w:val="auto"/>
          <w:sz w:val="24"/>
          <w:highlight w:val="none"/>
        </w:rPr>
      </w:pPr>
      <w:r>
        <w:rPr>
          <w:rFonts w:hint="eastAsia" w:hAnsi="宋体" w:cs="宋体"/>
          <w:color w:val="auto"/>
          <w:sz w:val="24"/>
          <w:highlight w:val="none"/>
        </w:rPr>
        <w:t>投标人登录政府采购云平台，点击“项目采购—开标评标”模块，进入本项目“开标大厅”，等待代理机构开启解密后，进行线上解密。除因断电、断网、系统故障或其他不可抗力等因素，导致系统无法使用外，投标人在规定的解密时间内，未成功解密的投标文件将视为无效投标文件。</w:t>
      </w:r>
    </w:p>
    <w:p>
      <w:pPr>
        <w:pStyle w:val="14"/>
        <w:rPr>
          <w:rFonts w:ascii="宋体" w:hAnsi="宋体" w:cs="宋体"/>
          <w:color w:val="auto"/>
          <w:highlight w:val="none"/>
        </w:rPr>
      </w:pPr>
    </w:p>
    <w:p>
      <w:pPr>
        <w:pStyle w:val="5"/>
        <w:spacing w:before="0" w:after="0" w:line="440" w:lineRule="exact"/>
        <w:jc w:val="center"/>
        <w:rPr>
          <w:rFonts w:ascii="宋体" w:hAnsi="宋体" w:eastAsia="宋体" w:cs="宋体"/>
          <w:bCs w:val="0"/>
          <w:color w:val="auto"/>
          <w:highlight w:val="none"/>
        </w:rPr>
      </w:pPr>
      <w:bookmarkStart w:id="510" w:name="_Toc327196286"/>
      <w:bookmarkStart w:id="511" w:name="_Toc15691"/>
      <w:bookmarkStart w:id="512" w:name="_Toc77400782"/>
      <w:bookmarkStart w:id="513" w:name="_Toc183682368"/>
      <w:bookmarkStart w:id="514" w:name="_Toc16817"/>
      <w:bookmarkStart w:id="515" w:name="_Toc183582231"/>
      <w:bookmarkStart w:id="516" w:name="_Toc89075878"/>
      <w:bookmarkStart w:id="517" w:name="_Toc31425"/>
      <w:bookmarkStart w:id="518" w:name="_Toc217446056"/>
      <w:bookmarkStart w:id="519" w:name="_Toc21531"/>
      <w:r>
        <w:rPr>
          <w:rFonts w:hint="eastAsia" w:ascii="宋体" w:hAnsi="宋体" w:eastAsia="宋体" w:cs="宋体"/>
          <w:bCs w:val="0"/>
          <w:color w:val="auto"/>
          <w:highlight w:val="none"/>
        </w:rPr>
        <w:t>五、开标和中标</w:t>
      </w:r>
      <w:bookmarkEnd w:id="510"/>
      <w:bookmarkEnd w:id="511"/>
      <w:bookmarkEnd w:id="512"/>
      <w:bookmarkEnd w:id="513"/>
      <w:bookmarkEnd w:id="514"/>
      <w:bookmarkEnd w:id="515"/>
      <w:bookmarkEnd w:id="516"/>
      <w:bookmarkEnd w:id="517"/>
      <w:bookmarkEnd w:id="518"/>
      <w:bookmarkEnd w:id="519"/>
    </w:p>
    <w:p>
      <w:pPr>
        <w:pStyle w:val="6"/>
        <w:spacing w:line="400" w:lineRule="exact"/>
        <w:ind w:firstLine="482" w:firstLineChars="200"/>
        <w:rPr>
          <w:rFonts w:ascii="宋体" w:hAnsi="宋体" w:cs="宋体"/>
          <w:color w:val="auto"/>
          <w:sz w:val="24"/>
          <w:szCs w:val="24"/>
          <w:highlight w:val="none"/>
        </w:rPr>
      </w:pPr>
      <w:bookmarkStart w:id="520" w:name="_Toc308188153"/>
      <w:bookmarkStart w:id="521" w:name="_Toc319439901"/>
      <w:bookmarkStart w:id="522" w:name="_Toc19952"/>
      <w:bookmarkStart w:id="523" w:name="_Toc183682369"/>
      <w:bookmarkStart w:id="524" w:name="_Toc319440143"/>
      <w:bookmarkStart w:id="525" w:name="_Toc308084598"/>
      <w:bookmarkStart w:id="526" w:name="_Toc217446057"/>
      <w:bookmarkStart w:id="527" w:name="_Toc13237"/>
      <w:bookmarkStart w:id="528" w:name="_Toc11957"/>
      <w:bookmarkStart w:id="529" w:name="_Toc20023"/>
      <w:bookmarkStart w:id="530" w:name="_Toc29493"/>
      <w:bookmarkStart w:id="531" w:name="_Toc307501110"/>
      <w:bookmarkStart w:id="532" w:name="_Toc309897516"/>
      <w:bookmarkStart w:id="533" w:name="_Toc6289"/>
      <w:bookmarkStart w:id="534" w:name="_Toc29031"/>
      <w:bookmarkStart w:id="535" w:name="_Toc8915"/>
      <w:bookmarkStart w:id="536" w:name="_Toc327196287"/>
      <w:bookmarkStart w:id="537" w:name="_Toc183582232"/>
      <w:bookmarkStart w:id="538" w:name="_Toc18049"/>
      <w:bookmarkStart w:id="539" w:name="_Toc307564853"/>
      <w:bookmarkStart w:id="540" w:name="_Toc15426"/>
      <w:bookmarkStart w:id="541" w:name="_Toc23998"/>
      <w:r>
        <w:rPr>
          <w:rFonts w:hint="eastAsia" w:ascii="宋体" w:hAnsi="宋体" w:cs="宋体"/>
          <w:color w:val="auto"/>
          <w:sz w:val="24"/>
          <w:szCs w:val="24"/>
          <w:highlight w:val="none"/>
        </w:rPr>
        <w:t>22.开标</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pPr>
        <w:spacing w:line="400" w:lineRule="exact"/>
        <w:ind w:firstLine="480" w:firstLineChars="200"/>
        <w:rPr>
          <w:rFonts w:hAnsi="宋体" w:cs="宋体"/>
          <w:color w:val="auto"/>
          <w:sz w:val="24"/>
          <w:highlight w:val="none"/>
        </w:rPr>
      </w:pPr>
      <w:bookmarkStart w:id="542" w:name="_Toc217446058"/>
      <w:bookmarkStart w:id="543" w:name="_Toc307564854"/>
      <w:bookmarkStart w:id="544" w:name="_Toc319439902"/>
      <w:bookmarkStart w:id="545" w:name="_Toc15266"/>
      <w:bookmarkStart w:id="546" w:name="_Toc26350"/>
      <w:bookmarkStart w:id="547" w:name="_Toc319440144"/>
      <w:bookmarkStart w:id="548" w:name="_Toc308188154"/>
      <w:bookmarkStart w:id="549" w:name="_Toc327196288"/>
      <w:bookmarkStart w:id="550" w:name="_Toc21367"/>
      <w:bookmarkStart w:id="551" w:name="_Toc5097"/>
      <w:bookmarkStart w:id="552" w:name="_Toc309897517"/>
      <w:bookmarkStart w:id="553" w:name="_Toc10782"/>
      <w:bookmarkStart w:id="554" w:name="_Toc12755"/>
      <w:bookmarkStart w:id="555" w:name="_Toc827"/>
      <w:bookmarkStart w:id="556" w:name="_Toc20885"/>
      <w:bookmarkStart w:id="557" w:name="_Toc7168"/>
      <w:bookmarkStart w:id="558" w:name="_Toc308084599"/>
      <w:bookmarkStart w:id="559" w:name="_Toc24509"/>
      <w:bookmarkStart w:id="560" w:name="_Toc17927"/>
      <w:bookmarkStart w:id="561" w:name="_Toc307501111"/>
      <w:r>
        <w:rPr>
          <w:rFonts w:hint="eastAsia" w:hAnsi="宋体" w:cs="宋体"/>
          <w:color w:val="auto"/>
          <w:sz w:val="24"/>
          <w:highlight w:val="none"/>
        </w:rPr>
        <w:t>22.1本项目为不见面开标项目。（递交电子投标文件的投标人不足3家的，不予开标。）</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22.2开标准备工作。投标人需在开标当日、投标截止时间前登录“政府采购云平台”，通过本项目“开标大厅”参与不见面开标。登录政府采购云平台—项目采购—开标评标—开标大厅（确保进入本项目开标大厅）。</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提示：投标人未按时登录不见面开标系统，错过开标解密时间的，由投标人自行承担不利后果。</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22.3解密投标文件。等待代理机构开启解密后，投标人进行线上解密。开启解密后，投标人应在60分钟内（具体时限以政府采购云平台系统设定的时间为准），使用加密该投标文件的CA数字证书在线完成投标文件的解密。除因断电、断网、系统故障或其他不可抗力等因素，导致系统无法使用外，投标人在规定的解密时间内，未成功解密的投标文件将视为无效投标文件。</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22.4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22.5投标人电脑终端等硬件设备和软件系统配置：投标人电脑终端等硬件设备和软件系统配置应符合电子投标（含不见面开标大厅）投标人电脑终端配置要求并运行正常，投标人承担因未尽职责产生的不利后果。</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22.6因断电、断网、系统故障或其他不可抗力等因素导致不见面开标系统无法正常运行的，开标活动中止或延迟，待系统恢复正常后继续进行开标活动。</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22.7不见面开标过程中，各方主体均应遵守互联网有关规定，不得发表与交易活动无关的言论。</w:t>
      </w:r>
    </w:p>
    <w:p>
      <w:pPr>
        <w:pStyle w:val="6"/>
        <w:spacing w:line="400" w:lineRule="exact"/>
        <w:ind w:firstLine="482" w:firstLineChars="200"/>
        <w:rPr>
          <w:rFonts w:ascii="宋体" w:hAnsi="宋体" w:cs="宋体"/>
          <w:color w:val="auto"/>
          <w:sz w:val="24"/>
          <w:szCs w:val="24"/>
          <w:highlight w:val="none"/>
        </w:rPr>
      </w:pPr>
      <w:r>
        <w:rPr>
          <w:rFonts w:hint="eastAsia" w:ascii="宋体" w:hAnsi="宋体" w:cs="宋体"/>
          <w:color w:val="auto"/>
          <w:sz w:val="24"/>
          <w:szCs w:val="24"/>
          <w:highlight w:val="none"/>
        </w:rPr>
        <w:t>23.</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r>
        <w:rPr>
          <w:rFonts w:hint="eastAsia" w:ascii="宋体" w:hAnsi="宋体" w:cs="宋体"/>
          <w:color w:val="auto"/>
          <w:sz w:val="24"/>
          <w:szCs w:val="24"/>
          <w:highlight w:val="none"/>
        </w:rPr>
        <w:t>开评标过程存档</w:t>
      </w:r>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开标和评标过程进行全过程电子监控，并将电子监控资料存储介质留存归档。</w:t>
      </w:r>
    </w:p>
    <w:p>
      <w:pPr>
        <w:pStyle w:val="6"/>
        <w:spacing w:line="400" w:lineRule="exact"/>
        <w:ind w:firstLine="482" w:firstLineChars="200"/>
        <w:rPr>
          <w:rFonts w:ascii="宋体" w:hAnsi="宋体" w:cs="宋体"/>
          <w:color w:val="auto"/>
          <w:sz w:val="24"/>
          <w:szCs w:val="24"/>
          <w:highlight w:val="none"/>
        </w:rPr>
      </w:pPr>
      <w:bookmarkStart w:id="562" w:name="_Toc8800"/>
      <w:bookmarkStart w:id="563" w:name="_Toc183582238"/>
      <w:bookmarkStart w:id="564" w:name="_Toc15967"/>
      <w:bookmarkStart w:id="565" w:name="_Toc307501112"/>
      <w:bookmarkStart w:id="566" w:name="_Toc9806"/>
      <w:bookmarkStart w:id="567" w:name="_Toc217446063"/>
      <w:bookmarkStart w:id="568" w:name="_Toc308188155"/>
      <w:bookmarkStart w:id="569" w:name="_Toc13751"/>
      <w:bookmarkStart w:id="570" w:name="_Toc183682375"/>
      <w:bookmarkStart w:id="571" w:name="_Toc128"/>
      <w:bookmarkStart w:id="572" w:name="_Toc308084600"/>
      <w:bookmarkStart w:id="573" w:name="_Toc327196289"/>
      <w:bookmarkStart w:id="574" w:name="_Toc307564855"/>
      <w:bookmarkStart w:id="575" w:name="_Toc319439903"/>
      <w:bookmarkStart w:id="576" w:name="_Toc309897518"/>
      <w:bookmarkStart w:id="577" w:name="_Toc489"/>
      <w:bookmarkStart w:id="578" w:name="_Toc28123"/>
      <w:bookmarkStart w:id="579" w:name="_Toc319440145"/>
      <w:bookmarkStart w:id="580" w:name="_Toc6332"/>
      <w:bookmarkStart w:id="581" w:name="_Toc11258"/>
      <w:bookmarkStart w:id="582" w:name="_Toc28481"/>
      <w:bookmarkStart w:id="583" w:name="_Toc16512"/>
      <w:r>
        <w:rPr>
          <w:rFonts w:hint="eastAsia" w:ascii="宋体" w:hAnsi="宋体" w:cs="宋体"/>
          <w:color w:val="auto"/>
          <w:sz w:val="24"/>
          <w:szCs w:val="24"/>
          <w:highlight w:val="none"/>
        </w:rPr>
        <w:t>24.</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r>
        <w:rPr>
          <w:rFonts w:hint="eastAsia" w:ascii="宋体" w:hAnsi="宋体" w:cs="宋体"/>
          <w:color w:val="auto"/>
          <w:sz w:val="24"/>
          <w:szCs w:val="24"/>
          <w:highlight w:val="none"/>
        </w:rPr>
        <w:t>评标情况公告</w:t>
      </w:r>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所有供应商投标文件资格性、符合性检查情况、采用综合评分法时的总得分和分项汇总得分情况、评标结果等将在四川政府采购网上采购结果公告栏中予以公告。</w:t>
      </w:r>
    </w:p>
    <w:p>
      <w:pPr>
        <w:pStyle w:val="6"/>
        <w:spacing w:line="400" w:lineRule="exact"/>
        <w:ind w:firstLine="482" w:firstLineChars="200"/>
        <w:rPr>
          <w:rFonts w:ascii="宋体" w:hAnsi="宋体" w:cs="宋体"/>
          <w:bCs w:val="0"/>
          <w:color w:val="auto"/>
          <w:sz w:val="24"/>
          <w:szCs w:val="24"/>
          <w:highlight w:val="none"/>
        </w:rPr>
      </w:pPr>
      <w:r>
        <w:rPr>
          <w:rFonts w:hint="eastAsia" w:ascii="宋体" w:hAnsi="宋体" w:cs="宋体"/>
          <w:bCs w:val="0"/>
          <w:color w:val="auto"/>
          <w:sz w:val="24"/>
          <w:szCs w:val="24"/>
          <w:highlight w:val="none"/>
        </w:rPr>
        <w:t>25.中标通知书</w:t>
      </w:r>
    </w:p>
    <w:p>
      <w:pPr>
        <w:tabs>
          <w:tab w:val="left" w:pos="7665"/>
        </w:tabs>
        <w:spacing w:line="400" w:lineRule="exact"/>
        <w:ind w:firstLine="480" w:firstLineChars="200"/>
        <w:rPr>
          <w:rFonts w:hAnsi="宋体" w:cs="宋体"/>
          <w:color w:val="auto"/>
          <w:sz w:val="24"/>
          <w:highlight w:val="none"/>
        </w:rPr>
      </w:pPr>
      <w:r>
        <w:rPr>
          <w:rFonts w:hint="eastAsia" w:hAnsi="宋体" w:cs="宋体"/>
          <w:color w:val="auto"/>
          <w:sz w:val="24"/>
          <w:highlight w:val="none"/>
        </w:rPr>
        <w:t>25</w:t>
      </w:r>
      <w:r>
        <w:rPr>
          <w:rFonts w:hint="eastAsia" w:hAnsi="宋体" w:cs="宋体"/>
          <w:bCs/>
          <w:color w:val="auto"/>
          <w:sz w:val="24"/>
          <w:highlight w:val="none"/>
        </w:rPr>
        <w:t>.</w:t>
      </w:r>
      <w:r>
        <w:rPr>
          <w:rFonts w:hint="eastAsia" w:hAnsi="宋体" w:cs="宋体"/>
          <w:color w:val="auto"/>
          <w:sz w:val="24"/>
          <w:highlight w:val="none"/>
        </w:rPr>
        <w:t>1 中标通知书为签订政府采购合同的依据之一，是合同的有效组成部分。</w:t>
      </w:r>
    </w:p>
    <w:p>
      <w:pPr>
        <w:tabs>
          <w:tab w:val="left" w:pos="7665"/>
        </w:tabs>
        <w:spacing w:line="400" w:lineRule="exact"/>
        <w:ind w:firstLine="480"/>
        <w:rPr>
          <w:rFonts w:hAnsi="宋体" w:cs="宋体"/>
          <w:color w:val="auto"/>
          <w:sz w:val="24"/>
          <w:highlight w:val="none"/>
        </w:rPr>
      </w:pPr>
      <w:r>
        <w:rPr>
          <w:rFonts w:hint="eastAsia" w:hAnsi="宋体" w:cs="宋体"/>
          <w:color w:val="auto"/>
          <w:sz w:val="24"/>
          <w:highlight w:val="none"/>
        </w:rPr>
        <w:t>25.2 中标通知书对采购人和中标人均具有法律效力。中标通知书发出后，采购人改变中标结果，或者中标人无正当理由放弃中标的，应当承担相应的法律责任。</w:t>
      </w:r>
    </w:p>
    <w:p>
      <w:pPr>
        <w:tabs>
          <w:tab w:val="left" w:pos="7665"/>
        </w:tabs>
        <w:spacing w:line="400" w:lineRule="exact"/>
        <w:ind w:firstLine="480"/>
        <w:rPr>
          <w:rFonts w:hAnsi="宋体" w:cs="宋体"/>
          <w:color w:val="auto"/>
          <w:sz w:val="24"/>
          <w:highlight w:val="none"/>
        </w:rPr>
      </w:pPr>
      <w:r>
        <w:rPr>
          <w:rFonts w:hint="eastAsia" w:hAnsi="宋体" w:cs="宋体"/>
          <w:color w:val="auto"/>
          <w:sz w:val="24"/>
          <w:highlight w:val="none"/>
        </w:rPr>
        <w:t>25.3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pPr>
        <w:tabs>
          <w:tab w:val="left" w:pos="7665"/>
        </w:tabs>
        <w:spacing w:line="400" w:lineRule="exact"/>
        <w:ind w:firstLine="480"/>
        <w:rPr>
          <w:rFonts w:hAnsi="宋体" w:cs="宋体"/>
          <w:color w:val="auto"/>
          <w:sz w:val="24"/>
          <w:highlight w:val="none"/>
        </w:rPr>
      </w:pPr>
      <w:r>
        <w:rPr>
          <w:rFonts w:hint="eastAsia" w:hAnsi="宋体" w:cs="宋体"/>
          <w:color w:val="auto"/>
          <w:sz w:val="24"/>
          <w:highlight w:val="none"/>
        </w:rPr>
        <w:t>25.4在四川政府采购网公告中标结果同时发出中标通知书，中标供应商自行登录政府采购云平台下载中标通知书。</w:t>
      </w:r>
    </w:p>
    <w:p>
      <w:pPr>
        <w:pStyle w:val="5"/>
        <w:spacing w:before="0" w:after="0" w:line="440" w:lineRule="exact"/>
        <w:jc w:val="center"/>
        <w:rPr>
          <w:rFonts w:ascii="宋体" w:hAnsi="宋体" w:eastAsia="宋体" w:cs="宋体"/>
          <w:bCs w:val="0"/>
          <w:color w:val="auto"/>
          <w:highlight w:val="none"/>
        </w:rPr>
      </w:pPr>
      <w:bookmarkStart w:id="584" w:name="_Toc13383"/>
      <w:bookmarkStart w:id="585" w:name="_Toc10354"/>
      <w:bookmarkStart w:id="586" w:name="_Toc217446064"/>
      <w:bookmarkStart w:id="587" w:name="_Toc327196290"/>
      <w:bookmarkStart w:id="588" w:name="_Toc2685"/>
      <w:bookmarkStart w:id="589" w:name="_Toc17916"/>
      <w:bookmarkStart w:id="590" w:name="_Toc183582240"/>
      <w:bookmarkStart w:id="591" w:name="_Toc183682377"/>
      <w:r>
        <w:rPr>
          <w:rFonts w:hint="eastAsia" w:ascii="宋体" w:hAnsi="宋体" w:eastAsia="宋体" w:cs="宋体"/>
          <w:bCs w:val="0"/>
          <w:color w:val="auto"/>
          <w:highlight w:val="none"/>
        </w:rPr>
        <w:t>六、签订及履行合同和验收</w:t>
      </w:r>
      <w:bookmarkEnd w:id="584"/>
      <w:bookmarkEnd w:id="585"/>
      <w:bookmarkEnd w:id="586"/>
      <w:bookmarkEnd w:id="587"/>
      <w:bookmarkEnd w:id="588"/>
      <w:bookmarkEnd w:id="589"/>
    </w:p>
    <w:p>
      <w:pPr>
        <w:pStyle w:val="6"/>
        <w:spacing w:line="400" w:lineRule="exact"/>
        <w:ind w:firstLine="482" w:firstLineChars="200"/>
        <w:rPr>
          <w:rFonts w:ascii="宋体" w:hAnsi="宋体" w:cs="宋体"/>
          <w:bCs w:val="0"/>
          <w:color w:val="auto"/>
          <w:sz w:val="24"/>
          <w:szCs w:val="24"/>
          <w:highlight w:val="none"/>
        </w:rPr>
      </w:pPr>
      <w:bookmarkStart w:id="592" w:name="_Toc308188157"/>
      <w:bookmarkStart w:id="593" w:name="_Toc319440147"/>
      <w:bookmarkStart w:id="594" w:name="_Toc309897520"/>
      <w:bookmarkStart w:id="595" w:name="_Toc16835"/>
      <w:bookmarkStart w:id="596" w:name="_Toc327196291"/>
      <w:bookmarkStart w:id="597" w:name="_Toc515"/>
      <w:bookmarkStart w:id="598" w:name="_Toc27989"/>
      <w:bookmarkStart w:id="599" w:name="_Toc20427"/>
      <w:bookmarkStart w:id="600" w:name="_Toc4460"/>
      <w:bookmarkStart w:id="601" w:name="_Toc25992"/>
      <w:bookmarkStart w:id="602" w:name="_Toc319439905"/>
      <w:bookmarkStart w:id="603" w:name="_Toc307501114"/>
      <w:bookmarkStart w:id="604" w:name="_Toc17937"/>
      <w:bookmarkStart w:id="605" w:name="_Toc308084602"/>
      <w:bookmarkStart w:id="606" w:name="_Toc307564857"/>
      <w:bookmarkStart w:id="607" w:name="_Toc24949"/>
      <w:bookmarkStart w:id="608" w:name="_Toc3130"/>
      <w:bookmarkStart w:id="609" w:name="_Toc27214"/>
      <w:bookmarkStart w:id="610" w:name="_Toc217446065"/>
      <w:bookmarkStart w:id="611" w:name="_Toc5659"/>
      <w:r>
        <w:rPr>
          <w:rFonts w:hint="eastAsia" w:ascii="宋体" w:hAnsi="宋体" w:cs="宋体"/>
          <w:bCs w:val="0"/>
          <w:color w:val="auto"/>
          <w:sz w:val="24"/>
          <w:szCs w:val="24"/>
          <w:highlight w:val="none"/>
        </w:rPr>
        <w:t>26.签订合同</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26.1 中标人在收到采购代理机构发出的《中标通知书》后，应在法律法规规定的时间内与采购人签订采购合同。由于中标人的原因逾期未与采购人签订采购合同的，将视为放弃中标，取消其中标资格并将按相关规定进行处理。</w:t>
      </w:r>
    </w:p>
    <w:p>
      <w:pPr>
        <w:spacing w:line="440" w:lineRule="exact"/>
        <w:ind w:firstLine="420" w:firstLineChars="175"/>
        <w:rPr>
          <w:rFonts w:hAnsi="宋体" w:cs="宋体"/>
          <w:color w:val="auto"/>
          <w:sz w:val="24"/>
          <w:highlight w:val="none"/>
        </w:rPr>
      </w:pPr>
      <w:r>
        <w:rPr>
          <w:rFonts w:hint="eastAsia" w:hAnsi="宋体" w:cs="宋体"/>
          <w:color w:val="auto"/>
          <w:sz w:val="24"/>
          <w:highlight w:val="none"/>
        </w:rPr>
        <w:t>26.2 采购人不得向中标人提出任何不合理的要求，作为签订合同的条件，不得与中标人私下订立背离合同实质性内容的任何协议，所签订的合同不得对招标文件和中标人投标文件确定的事项进行修改。</w:t>
      </w:r>
    </w:p>
    <w:p>
      <w:pPr>
        <w:spacing w:line="440" w:lineRule="exact"/>
        <w:ind w:firstLine="420" w:firstLineChars="175"/>
        <w:rPr>
          <w:rFonts w:hAnsi="宋体" w:cs="宋体"/>
          <w:color w:val="auto"/>
          <w:sz w:val="24"/>
          <w:highlight w:val="none"/>
        </w:rPr>
      </w:pPr>
      <w:r>
        <w:rPr>
          <w:rFonts w:hint="eastAsia" w:hAnsi="宋体" w:cs="宋体"/>
          <w:color w:val="auto"/>
          <w:sz w:val="24"/>
          <w:highlight w:val="none"/>
        </w:rPr>
        <w:t>26.3 中标人因不可抗力原因不能履行采购合同或放弃中标的，采购人可以与排在中标人之后第一位的中标候选人签订采购合同，以此类推。</w:t>
      </w:r>
    </w:p>
    <w:p>
      <w:pPr>
        <w:spacing w:line="440" w:lineRule="exact"/>
        <w:ind w:firstLine="420" w:firstLineChars="175"/>
        <w:rPr>
          <w:rFonts w:hAnsi="宋体" w:cs="宋体"/>
          <w:color w:val="auto"/>
          <w:sz w:val="24"/>
          <w:highlight w:val="none"/>
        </w:rPr>
      </w:pPr>
      <w:r>
        <w:rPr>
          <w:rFonts w:hint="eastAsia" w:hAnsi="宋体" w:cs="宋体"/>
          <w:color w:val="auto"/>
          <w:sz w:val="24"/>
          <w:highlight w:val="none"/>
        </w:rPr>
        <w:t>26.4中标人在合同签订之后2个工作日内，将签订的合同原件1份送至采购代理机构进行登记备案。</w:t>
      </w:r>
    </w:p>
    <w:p>
      <w:pPr>
        <w:pStyle w:val="6"/>
        <w:spacing w:line="400" w:lineRule="exact"/>
        <w:ind w:firstLine="482" w:firstLineChars="200"/>
        <w:rPr>
          <w:rFonts w:ascii="宋体" w:hAnsi="宋体" w:cs="宋体"/>
          <w:bCs w:val="0"/>
          <w:color w:val="auto"/>
          <w:sz w:val="24"/>
          <w:szCs w:val="24"/>
          <w:highlight w:val="none"/>
        </w:rPr>
      </w:pPr>
      <w:bookmarkStart w:id="612" w:name="_Toc3758"/>
      <w:bookmarkStart w:id="613" w:name="_Toc31670"/>
      <w:bookmarkStart w:id="614" w:name="_Toc309897521"/>
      <w:bookmarkStart w:id="615" w:name="_Toc319439906"/>
      <w:bookmarkStart w:id="616" w:name="_Toc307501115"/>
      <w:bookmarkStart w:id="617" w:name="_Toc308188158"/>
      <w:bookmarkStart w:id="618" w:name="_Toc327196292"/>
      <w:bookmarkStart w:id="619" w:name="_Toc319440148"/>
      <w:bookmarkStart w:id="620" w:name="_Toc217446066"/>
      <w:bookmarkStart w:id="621" w:name="_Toc20139"/>
      <w:bookmarkStart w:id="622" w:name="_Toc12489"/>
      <w:bookmarkStart w:id="623" w:name="_Toc307564858"/>
      <w:bookmarkStart w:id="624" w:name="_Toc12852"/>
      <w:bookmarkStart w:id="625" w:name="_Toc31397"/>
      <w:bookmarkStart w:id="626" w:name="_Toc308084603"/>
      <w:bookmarkStart w:id="627" w:name="_Toc24196"/>
      <w:bookmarkStart w:id="628" w:name="_Toc25756"/>
      <w:bookmarkStart w:id="629" w:name="_Toc27317"/>
      <w:bookmarkStart w:id="630" w:name="_Toc26000"/>
      <w:bookmarkStart w:id="631" w:name="_Toc29795"/>
      <w:r>
        <w:rPr>
          <w:rFonts w:hint="eastAsia" w:ascii="宋体" w:hAnsi="宋体" w:cs="宋体"/>
          <w:bCs w:val="0"/>
          <w:color w:val="auto"/>
          <w:sz w:val="24"/>
          <w:szCs w:val="24"/>
          <w:highlight w:val="none"/>
        </w:rPr>
        <w:t>27.合同</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r>
        <w:rPr>
          <w:rFonts w:hint="eastAsia" w:ascii="宋体" w:hAnsi="宋体" w:cs="宋体"/>
          <w:bCs w:val="0"/>
          <w:color w:val="auto"/>
          <w:sz w:val="24"/>
          <w:szCs w:val="24"/>
          <w:highlight w:val="none"/>
        </w:rPr>
        <w:t>分包</w:t>
      </w:r>
      <w:bookmarkEnd w:id="627"/>
      <w:bookmarkEnd w:id="628"/>
      <w:r>
        <w:rPr>
          <w:rFonts w:hint="eastAsia" w:ascii="宋体" w:hAnsi="宋体" w:cs="宋体"/>
          <w:bCs w:val="0"/>
          <w:color w:val="auto"/>
          <w:sz w:val="24"/>
          <w:szCs w:val="24"/>
          <w:highlight w:val="none"/>
        </w:rPr>
        <w:t>(实质性要求)</w:t>
      </w:r>
      <w:bookmarkEnd w:id="629"/>
      <w:bookmarkEnd w:id="630"/>
      <w:bookmarkEnd w:id="631"/>
    </w:p>
    <w:p>
      <w:pPr>
        <w:spacing w:line="440" w:lineRule="exact"/>
        <w:ind w:firstLine="540" w:firstLineChars="225"/>
        <w:rPr>
          <w:rFonts w:hAnsi="宋体" w:cs="宋体"/>
          <w:color w:val="auto"/>
          <w:sz w:val="24"/>
          <w:highlight w:val="none"/>
        </w:rPr>
      </w:pPr>
      <w:bookmarkStart w:id="632" w:name="_Toc319439907"/>
      <w:bookmarkStart w:id="633" w:name="_Toc16143"/>
      <w:bookmarkStart w:id="634" w:name="_Toc29552"/>
      <w:bookmarkStart w:id="635" w:name="_Toc308084604"/>
      <w:bookmarkStart w:id="636" w:name="_Toc29842"/>
      <w:bookmarkStart w:id="637" w:name="_Toc307564859"/>
      <w:bookmarkStart w:id="638" w:name="_Toc15644"/>
      <w:bookmarkStart w:id="639" w:name="_Toc30827"/>
      <w:bookmarkStart w:id="640" w:name="_Toc309897522"/>
      <w:bookmarkStart w:id="641" w:name="_Toc19999"/>
      <w:bookmarkStart w:id="642" w:name="_Toc319440149"/>
      <w:bookmarkStart w:id="643" w:name="_Toc29332"/>
      <w:bookmarkStart w:id="644" w:name="_Toc217446067"/>
      <w:bookmarkStart w:id="645" w:name="_Toc30954"/>
      <w:bookmarkStart w:id="646" w:name="_Toc307501116"/>
      <w:bookmarkStart w:id="647" w:name="_Toc308188159"/>
      <w:bookmarkStart w:id="648" w:name="_Toc327196293"/>
      <w:r>
        <w:rPr>
          <w:rFonts w:hint="eastAsia" w:hAnsi="宋体" w:cs="宋体"/>
          <w:color w:val="auto"/>
          <w:sz w:val="24"/>
          <w:highlight w:val="none"/>
        </w:rPr>
        <w:t>本项目不允许分包。</w:t>
      </w:r>
    </w:p>
    <w:p>
      <w:pPr>
        <w:pStyle w:val="6"/>
        <w:spacing w:line="400" w:lineRule="exact"/>
        <w:ind w:firstLine="482" w:firstLineChars="200"/>
        <w:rPr>
          <w:rFonts w:ascii="宋体" w:hAnsi="宋体" w:cs="宋体"/>
          <w:bCs w:val="0"/>
          <w:color w:val="auto"/>
          <w:sz w:val="24"/>
          <w:szCs w:val="24"/>
          <w:highlight w:val="none"/>
        </w:rPr>
      </w:pPr>
      <w:bookmarkStart w:id="649" w:name="_Toc8340"/>
      <w:bookmarkStart w:id="650" w:name="_Toc28937"/>
      <w:bookmarkStart w:id="651" w:name="_Toc5242"/>
      <w:r>
        <w:rPr>
          <w:rFonts w:hint="eastAsia" w:ascii="宋体" w:hAnsi="宋体" w:cs="宋体"/>
          <w:bCs w:val="0"/>
          <w:color w:val="auto"/>
          <w:sz w:val="24"/>
          <w:szCs w:val="24"/>
          <w:highlight w:val="none"/>
        </w:rPr>
        <w:t>28. 合同转包(实质性要求)</w:t>
      </w:r>
      <w:bookmarkEnd w:id="649"/>
      <w:bookmarkEnd w:id="650"/>
      <w:bookmarkEnd w:id="651"/>
    </w:p>
    <w:p>
      <w:pPr>
        <w:spacing w:line="440" w:lineRule="exact"/>
        <w:ind w:firstLine="540" w:firstLineChars="225"/>
        <w:rPr>
          <w:rFonts w:hAnsi="宋体" w:cs="宋体"/>
          <w:color w:val="auto"/>
          <w:sz w:val="24"/>
          <w:highlight w:val="none"/>
        </w:rPr>
      </w:pPr>
      <w:r>
        <w:rPr>
          <w:rFonts w:hint="eastAsia" w:hAnsi="宋体" w:cs="宋体"/>
          <w:color w:val="auto"/>
          <w:sz w:val="24"/>
          <w:highlight w:val="none"/>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spacing w:line="440" w:lineRule="exact"/>
        <w:ind w:firstLine="540" w:firstLineChars="225"/>
        <w:rPr>
          <w:rFonts w:hAnsi="宋体" w:cs="宋体"/>
          <w:color w:val="auto"/>
          <w:sz w:val="24"/>
          <w:highlight w:val="none"/>
        </w:rPr>
      </w:pPr>
      <w:r>
        <w:rPr>
          <w:rFonts w:hint="eastAsia" w:hAnsi="宋体" w:cs="宋体"/>
          <w:color w:val="auto"/>
          <w:sz w:val="24"/>
          <w:highlight w:val="none"/>
        </w:rPr>
        <w:t>中标人转包的，视同拒绝履行政府采购合同义务，将依法追究法律责任。</w:t>
      </w:r>
    </w:p>
    <w:p>
      <w:pPr>
        <w:pStyle w:val="6"/>
        <w:spacing w:line="400" w:lineRule="exact"/>
        <w:ind w:firstLine="482" w:firstLineChars="200"/>
        <w:rPr>
          <w:rFonts w:ascii="宋体" w:hAnsi="宋体" w:cs="宋体"/>
          <w:bCs w:val="0"/>
          <w:color w:val="auto"/>
          <w:sz w:val="24"/>
          <w:szCs w:val="24"/>
          <w:highlight w:val="none"/>
        </w:rPr>
      </w:pPr>
      <w:bookmarkStart w:id="652" w:name="_Toc12603"/>
      <w:bookmarkStart w:id="653" w:name="_Toc11992"/>
      <w:bookmarkStart w:id="654" w:name="_Toc7239"/>
      <w:r>
        <w:rPr>
          <w:rFonts w:hint="eastAsia" w:ascii="宋体" w:hAnsi="宋体" w:cs="宋体"/>
          <w:bCs w:val="0"/>
          <w:color w:val="auto"/>
          <w:sz w:val="24"/>
          <w:szCs w:val="24"/>
          <w:highlight w:val="none"/>
        </w:rPr>
        <w:t>29. 补充合同</w:t>
      </w:r>
      <w:bookmarkEnd w:id="652"/>
      <w:bookmarkEnd w:id="653"/>
      <w:bookmarkEnd w:id="654"/>
    </w:p>
    <w:p>
      <w:pPr>
        <w:spacing w:line="440" w:lineRule="exact"/>
        <w:ind w:firstLine="493"/>
        <w:rPr>
          <w:rFonts w:hAnsi="宋体" w:cs="宋体"/>
          <w:color w:val="auto"/>
          <w:sz w:val="24"/>
          <w:highlight w:val="none"/>
        </w:rPr>
      </w:pPr>
      <w:r>
        <w:rPr>
          <w:rFonts w:hint="eastAsia" w:hAnsi="宋体" w:cs="宋体"/>
          <w:color w:val="auto"/>
          <w:sz w:val="24"/>
          <w:highlight w:val="none"/>
        </w:rPr>
        <w:t>采购合同履行过程中，采购人需要追加与合同标的相同的货物或者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服务的名称、价格、履约方式、验收标准等必须与原政府采购合同一致。</w:t>
      </w:r>
    </w:p>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Pr>
        <w:pStyle w:val="6"/>
        <w:spacing w:line="400" w:lineRule="exact"/>
        <w:ind w:firstLine="482" w:firstLineChars="200"/>
        <w:rPr>
          <w:rFonts w:ascii="宋体" w:hAnsi="宋体" w:cs="宋体"/>
          <w:bCs w:val="0"/>
          <w:color w:val="auto"/>
          <w:sz w:val="24"/>
          <w:szCs w:val="24"/>
          <w:highlight w:val="none"/>
        </w:rPr>
      </w:pPr>
      <w:bookmarkStart w:id="655" w:name="_Toc308164812"/>
      <w:bookmarkStart w:id="656" w:name="_Toc30508"/>
      <w:bookmarkStart w:id="657" w:name="_Toc24237"/>
      <w:bookmarkStart w:id="658" w:name="_Toc31704"/>
      <w:bookmarkStart w:id="659" w:name="_Toc319439908"/>
      <w:bookmarkStart w:id="660" w:name="_Toc307564860"/>
      <w:bookmarkStart w:id="661" w:name="_Toc307501117"/>
      <w:bookmarkStart w:id="662" w:name="_Toc327196294"/>
      <w:bookmarkStart w:id="663" w:name="_Toc27331"/>
      <w:bookmarkStart w:id="664" w:name="_Toc19537"/>
      <w:bookmarkStart w:id="665" w:name="_Toc28404"/>
      <w:bookmarkStart w:id="666" w:name="_Toc319440150"/>
      <w:bookmarkStart w:id="667" w:name="_Toc30856"/>
      <w:bookmarkStart w:id="668" w:name="_Toc217446068"/>
      <w:bookmarkStart w:id="669" w:name="_Toc27686"/>
      <w:bookmarkStart w:id="670" w:name="_Toc11533"/>
      <w:bookmarkStart w:id="671" w:name="_Toc308084605"/>
      <w:bookmarkStart w:id="672" w:name="_Toc16034"/>
      <w:bookmarkStart w:id="673" w:name="_Toc22746"/>
      <w:bookmarkStart w:id="674" w:name="_Toc309897523"/>
      <w:bookmarkStart w:id="675" w:name="_Toc308188160"/>
      <w:r>
        <w:rPr>
          <w:rFonts w:hint="eastAsia" w:ascii="宋体" w:hAnsi="宋体" w:cs="宋体"/>
          <w:bCs w:val="0"/>
          <w:color w:val="auto"/>
          <w:sz w:val="24"/>
          <w:szCs w:val="24"/>
          <w:highlight w:val="none"/>
        </w:rPr>
        <w:t>30. 履约保证金</w:t>
      </w:r>
      <w:bookmarkEnd w:id="655"/>
      <w:r>
        <w:rPr>
          <w:rFonts w:hint="eastAsia" w:ascii="宋体" w:hAnsi="宋体" w:cs="宋体"/>
          <w:bCs w:val="0"/>
          <w:color w:val="auto"/>
          <w:sz w:val="24"/>
          <w:szCs w:val="24"/>
          <w:highlight w:val="none"/>
        </w:rPr>
        <w:t>(本项目不作要求)</w:t>
      </w:r>
      <w:bookmarkEnd w:id="656"/>
      <w:bookmarkEnd w:id="657"/>
      <w:bookmarkEnd w:id="658"/>
    </w:p>
    <w:p>
      <w:pPr>
        <w:pStyle w:val="6"/>
        <w:spacing w:line="400" w:lineRule="exact"/>
        <w:ind w:firstLine="482" w:firstLineChars="200"/>
        <w:rPr>
          <w:rFonts w:ascii="宋体" w:hAnsi="宋体" w:cs="宋体"/>
          <w:bCs w:val="0"/>
          <w:color w:val="auto"/>
          <w:sz w:val="24"/>
          <w:szCs w:val="24"/>
          <w:highlight w:val="none"/>
        </w:rPr>
      </w:pPr>
      <w:bookmarkStart w:id="676" w:name="_Toc19123"/>
      <w:bookmarkStart w:id="677" w:name="_Toc13715"/>
      <w:bookmarkStart w:id="678" w:name="_Toc12689"/>
      <w:r>
        <w:rPr>
          <w:rFonts w:hint="eastAsia" w:ascii="宋体" w:hAnsi="宋体" w:cs="宋体"/>
          <w:bCs w:val="0"/>
          <w:color w:val="auto"/>
          <w:sz w:val="24"/>
          <w:szCs w:val="24"/>
          <w:highlight w:val="none"/>
        </w:rPr>
        <w:t>31. 合同公告</w:t>
      </w:r>
      <w:bookmarkEnd w:id="676"/>
      <w:bookmarkEnd w:id="677"/>
      <w:bookmarkEnd w:id="678"/>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采购人应当自政府采购合同签订(双方当事人均已签字盖章)之日起2个工作日内，将政府采购合同在省级以上人民政府财政部门指定的媒体上公告(四川政府采购网)，但政府采购合同中涉及国家秘密、商业秘密的内容除外。</w:t>
      </w:r>
    </w:p>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Pr>
        <w:pStyle w:val="6"/>
        <w:spacing w:line="400" w:lineRule="exact"/>
        <w:ind w:firstLine="482" w:firstLineChars="200"/>
        <w:rPr>
          <w:rFonts w:ascii="宋体" w:hAnsi="宋体" w:cs="宋体"/>
          <w:bCs w:val="0"/>
          <w:color w:val="auto"/>
          <w:sz w:val="24"/>
          <w:szCs w:val="24"/>
          <w:highlight w:val="none"/>
        </w:rPr>
      </w:pPr>
      <w:bookmarkStart w:id="679" w:name="_Toc22299"/>
      <w:bookmarkStart w:id="680" w:name="_Toc10023"/>
      <w:bookmarkStart w:id="681" w:name="_Toc30953"/>
      <w:bookmarkStart w:id="682" w:name="_Toc319440151"/>
      <w:bookmarkStart w:id="683" w:name="_Toc13392"/>
      <w:bookmarkStart w:id="684" w:name="_Toc18278"/>
      <w:bookmarkStart w:id="685" w:name="_Toc16494"/>
      <w:bookmarkStart w:id="686" w:name="_Toc360"/>
      <w:bookmarkStart w:id="687" w:name="_Toc327196295"/>
      <w:bookmarkStart w:id="688" w:name="_Toc319439909"/>
      <w:bookmarkStart w:id="689" w:name="_Toc307564861"/>
      <w:bookmarkStart w:id="690" w:name="_Toc4961"/>
      <w:bookmarkStart w:id="691" w:name="_Toc308188161"/>
      <w:bookmarkStart w:id="692" w:name="_Toc308084606"/>
      <w:bookmarkStart w:id="693" w:name="_Toc309897524"/>
      <w:bookmarkStart w:id="694" w:name="_Toc217446069"/>
      <w:bookmarkStart w:id="695" w:name="_Toc7893"/>
      <w:bookmarkStart w:id="696" w:name="_Toc307501118"/>
      <w:bookmarkStart w:id="697" w:name="_Toc14211"/>
      <w:bookmarkStart w:id="698" w:name="_Toc20855"/>
      <w:r>
        <w:rPr>
          <w:rFonts w:hint="eastAsia" w:ascii="宋体" w:hAnsi="宋体" w:cs="宋体"/>
          <w:bCs w:val="0"/>
          <w:color w:val="auto"/>
          <w:sz w:val="24"/>
          <w:szCs w:val="24"/>
          <w:highlight w:val="none"/>
        </w:rPr>
        <w:t>32. 合同备案</w:t>
      </w:r>
      <w:bookmarkEnd w:id="679"/>
      <w:bookmarkEnd w:id="680"/>
      <w:bookmarkEnd w:id="681"/>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采购人应当将政府采购合同副本自签订(双方当事人均已签字盖章)之日起七个工作日内通过四川政府采购网报同级财政部门备案。</w:t>
      </w:r>
    </w:p>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pPr>
        <w:pStyle w:val="6"/>
        <w:spacing w:line="400" w:lineRule="exact"/>
        <w:ind w:firstLine="482" w:firstLineChars="200"/>
        <w:rPr>
          <w:rFonts w:ascii="宋体" w:hAnsi="宋体" w:cs="宋体"/>
          <w:bCs w:val="0"/>
          <w:color w:val="auto"/>
          <w:sz w:val="24"/>
          <w:szCs w:val="24"/>
          <w:highlight w:val="none"/>
        </w:rPr>
      </w:pPr>
      <w:bookmarkStart w:id="699" w:name="_Toc15310"/>
      <w:bookmarkStart w:id="700" w:name="_Toc13204"/>
      <w:bookmarkStart w:id="701" w:name="_Toc13194"/>
      <w:bookmarkStart w:id="702" w:name="_Toc27872"/>
      <w:bookmarkStart w:id="703" w:name="_Toc307501119"/>
      <w:bookmarkStart w:id="704" w:name="_Toc18547"/>
      <w:bookmarkStart w:id="705" w:name="_Toc307564862"/>
      <w:bookmarkStart w:id="706" w:name="_Toc17018"/>
      <w:bookmarkStart w:id="707" w:name="_Toc9916"/>
      <w:bookmarkStart w:id="708" w:name="_Toc15219"/>
      <w:bookmarkStart w:id="709" w:name="_Toc9815"/>
      <w:bookmarkStart w:id="710" w:name="_Toc319439910"/>
      <w:bookmarkStart w:id="711" w:name="_Toc5754"/>
      <w:bookmarkStart w:id="712" w:name="_Toc309897525"/>
      <w:bookmarkStart w:id="713" w:name="_Toc327196296"/>
      <w:bookmarkStart w:id="714" w:name="_Toc308188162"/>
      <w:bookmarkStart w:id="715" w:name="_Toc319440152"/>
      <w:bookmarkStart w:id="716" w:name="_Toc308084607"/>
      <w:bookmarkStart w:id="717" w:name="_Toc217446070"/>
      <w:bookmarkStart w:id="718" w:name="_Toc27114"/>
      <w:r>
        <w:rPr>
          <w:rFonts w:hint="eastAsia" w:ascii="宋体" w:hAnsi="宋体" w:cs="宋体"/>
          <w:bCs w:val="0"/>
          <w:color w:val="auto"/>
          <w:sz w:val="24"/>
          <w:szCs w:val="24"/>
          <w:highlight w:val="none"/>
        </w:rPr>
        <w:t>33. 履行合同</w:t>
      </w:r>
      <w:bookmarkEnd w:id="699"/>
      <w:bookmarkEnd w:id="700"/>
      <w:bookmarkEnd w:id="701"/>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33.1 中标人与采购人签订合同后，合同双方应严格执行合同条款，履行合同规定的义务，保证合同的顺利完成。</w:t>
      </w:r>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33.2 在合同履行过程中，如发生合同纠纷，合同双方应按照《中华人民共和国民法典》的有关规定进行处理。</w:t>
      </w:r>
    </w:p>
    <w:p>
      <w:pPr>
        <w:pStyle w:val="6"/>
        <w:spacing w:line="400" w:lineRule="exact"/>
        <w:ind w:firstLine="482" w:firstLineChars="200"/>
        <w:rPr>
          <w:rFonts w:ascii="宋体" w:hAnsi="宋体" w:cs="宋体"/>
          <w:bCs w:val="0"/>
          <w:color w:val="auto"/>
          <w:sz w:val="24"/>
          <w:szCs w:val="24"/>
          <w:highlight w:val="none"/>
        </w:rPr>
      </w:pPr>
      <w:bookmarkStart w:id="719" w:name="_Toc13473"/>
      <w:bookmarkStart w:id="720" w:name="_Toc31"/>
      <w:bookmarkStart w:id="721" w:name="_Toc12435"/>
      <w:r>
        <w:rPr>
          <w:rFonts w:hint="eastAsia" w:ascii="宋体" w:hAnsi="宋体" w:cs="宋体"/>
          <w:bCs w:val="0"/>
          <w:color w:val="auto"/>
          <w:sz w:val="24"/>
          <w:szCs w:val="24"/>
          <w:highlight w:val="none"/>
        </w:rPr>
        <w:t>34.验收</w:t>
      </w:r>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p>
      <w:pPr>
        <w:spacing w:line="440" w:lineRule="exact"/>
        <w:ind w:firstLine="480" w:firstLineChars="200"/>
        <w:rPr>
          <w:rFonts w:hAnsi="宋体" w:cs="宋体"/>
          <w:color w:val="auto"/>
          <w:sz w:val="24"/>
          <w:highlight w:val="none"/>
        </w:rPr>
      </w:pPr>
      <w:bookmarkStart w:id="722" w:name="_Toc217446071"/>
      <w:r>
        <w:rPr>
          <w:rFonts w:hint="eastAsia" w:hAnsi="宋体" w:cs="宋体"/>
          <w:color w:val="auto"/>
          <w:sz w:val="24"/>
          <w:highlight w:val="none"/>
        </w:rPr>
        <w:t>34.1本项目采购人及其委托的采购代理机构将严格按照《财政部关于进一步加强政府采购需求和履约验收管理的指导意见》(财库〔2016〕205号)的要求进行验收。相关信息涉密和权限限定要求、知识产权归采购人使用。</w:t>
      </w:r>
    </w:p>
    <w:bookmarkEnd w:id="590"/>
    <w:bookmarkEnd w:id="591"/>
    <w:bookmarkEnd w:id="722"/>
    <w:p>
      <w:pPr>
        <w:pStyle w:val="6"/>
        <w:spacing w:line="400" w:lineRule="exact"/>
        <w:ind w:firstLine="482" w:firstLineChars="200"/>
        <w:rPr>
          <w:rFonts w:ascii="宋体" w:hAnsi="宋体" w:cs="宋体"/>
          <w:bCs w:val="0"/>
          <w:color w:val="auto"/>
          <w:sz w:val="24"/>
          <w:szCs w:val="24"/>
          <w:highlight w:val="none"/>
        </w:rPr>
      </w:pPr>
      <w:bookmarkStart w:id="723" w:name="_Toc308164818"/>
      <w:bookmarkStart w:id="724" w:name="_Toc16716"/>
      <w:bookmarkStart w:id="725" w:name="_Toc17896"/>
      <w:bookmarkStart w:id="726" w:name="_Toc23426"/>
      <w:bookmarkStart w:id="727" w:name="_Toc217446074"/>
      <w:bookmarkStart w:id="728" w:name="_Toc327196297"/>
      <w:bookmarkStart w:id="729" w:name="_Toc16219"/>
      <w:bookmarkStart w:id="730" w:name="_Toc183682380"/>
      <w:bookmarkStart w:id="731" w:name="_Toc183582243"/>
      <w:r>
        <w:rPr>
          <w:rFonts w:hint="eastAsia" w:ascii="宋体" w:hAnsi="宋体" w:cs="宋体"/>
          <w:bCs w:val="0"/>
          <w:color w:val="auto"/>
          <w:sz w:val="24"/>
          <w:szCs w:val="24"/>
          <w:highlight w:val="none"/>
        </w:rPr>
        <w:t>35.资金支付</w:t>
      </w:r>
      <w:bookmarkEnd w:id="723"/>
      <w:r>
        <w:rPr>
          <w:rFonts w:hint="eastAsia" w:ascii="宋体" w:hAnsi="宋体" w:cs="宋体"/>
          <w:bCs w:val="0"/>
          <w:color w:val="auto"/>
          <w:sz w:val="24"/>
          <w:szCs w:val="24"/>
          <w:highlight w:val="none"/>
        </w:rPr>
        <w:t>方式</w:t>
      </w:r>
      <w:bookmarkEnd w:id="724"/>
      <w:bookmarkEnd w:id="725"/>
      <w:bookmarkEnd w:id="726"/>
    </w:p>
    <w:p>
      <w:pPr>
        <w:spacing w:line="440" w:lineRule="exact"/>
        <w:ind w:firstLine="480" w:firstLineChars="200"/>
        <w:rPr>
          <w:rFonts w:hAnsi="宋体" w:cs="宋体"/>
          <w:color w:val="auto"/>
          <w:sz w:val="24"/>
          <w:highlight w:val="none"/>
        </w:rPr>
      </w:pPr>
      <w:r>
        <w:rPr>
          <w:rFonts w:hint="eastAsia" w:hAnsi="宋体" w:cs="宋体"/>
          <w:color w:val="auto"/>
          <w:sz w:val="24"/>
          <w:highlight w:val="none"/>
          <w:lang w:val="zh-CN"/>
        </w:rPr>
        <w:t>采购人将按照政府采购合同规定，及时向成交供应商支付采购资金</w:t>
      </w:r>
      <w:r>
        <w:rPr>
          <w:rFonts w:hint="eastAsia" w:hAnsi="宋体" w:cs="宋体"/>
          <w:color w:val="auto"/>
          <w:sz w:val="24"/>
          <w:highlight w:val="none"/>
        </w:rPr>
        <w:t>。</w:t>
      </w:r>
    </w:p>
    <w:p>
      <w:pPr>
        <w:pStyle w:val="5"/>
        <w:spacing w:before="0" w:after="0" w:line="440" w:lineRule="exact"/>
        <w:jc w:val="center"/>
        <w:rPr>
          <w:rFonts w:ascii="宋体" w:hAnsi="宋体" w:eastAsia="宋体" w:cs="宋体"/>
          <w:bCs w:val="0"/>
          <w:color w:val="auto"/>
          <w:highlight w:val="none"/>
        </w:rPr>
      </w:pPr>
      <w:bookmarkStart w:id="732" w:name="_Toc15972"/>
      <w:bookmarkStart w:id="733" w:name="_Toc27770"/>
      <w:bookmarkStart w:id="734" w:name="_Toc28984"/>
      <w:r>
        <w:rPr>
          <w:rFonts w:hint="eastAsia" w:ascii="宋体" w:hAnsi="宋体" w:eastAsia="宋体" w:cs="宋体"/>
          <w:bCs w:val="0"/>
          <w:color w:val="auto"/>
          <w:highlight w:val="none"/>
        </w:rPr>
        <w:t>七、投标纪律要求</w:t>
      </w:r>
      <w:bookmarkEnd w:id="727"/>
      <w:bookmarkEnd w:id="728"/>
      <w:bookmarkEnd w:id="729"/>
      <w:bookmarkEnd w:id="732"/>
      <w:bookmarkEnd w:id="733"/>
      <w:bookmarkEnd w:id="734"/>
    </w:p>
    <w:p>
      <w:pPr>
        <w:pStyle w:val="6"/>
        <w:spacing w:line="400" w:lineRule="exact"/>
        <w:ind w:firstLine="482" w:firstLineChars="200"/>
        <w:rPr>
          <w:rFonts w:ascii="宋体" w:hAnsi="宋体" w:cs="宋体"/>
          <w:bCs w:val="0"/>
          <w:color w:val="auto"/>
          <w:sz w:val="24"/>
          <w:szCs w:val="24"/>
          <w:highlight w:val="none"/>
        </w:rPr>
      </w:pPr>
      <w:bookmarkStart w:id="735" w:name="_Toc5014"/>
      <w:bookmarkStart w:id="736" w:name="_Toc307501121"/>
      <w:bookmarkStart w:id="737" w:name="_Toc1828"/>
      <w:bookmarkStart w:id="738" w:name="_Toc307564864"/>
      <w:bookmarkStart w:id="739" w:name="_Toc308188164"/>
      <w:bookmarkStart w:id="740" w:name="_Toc309897527"/>
      <w:bookmarkStart w:id="741" w:name="_Toc30964"/>
      <w:bookmarkStart w:id="742" w:name="_Toc319440154"/>
      <w:bookmarkStart w:id="743" w:name="_Toc27399"/>
      <w:bookmarkStart w:id="744" w:name="_Toc17887"/>
      <w:bookmarkStart w:id="745" w:name="_Toc10754"/>
      <w:bookmarkStart w:id="746" w:name="_Toc327196298"/>
      <w:bookmarkStart w:id="747" w:name="_Toc6284"/>
      <w:bookmarkStart w:id="748" w:name="_Toc308084609"/>
      <w:bookmarkStart w:id="749" w:name="_Toc21018"/>
      <w:bookmarkStart w:id="750" w:name="_Toc31498"/>
      <w:bookmarkStart w:id="751" w:name="_Toc319439912"/>
      <w:bookmarkStart w:id="752" w:name="_Toc14263"/>
      <w:bookmarkStart w:id="753" w:name="_Toc217446075"/>
      <w:bookmarkStart w:id="754" w:name="_Toc11074"/>
      <w:r>
        <w:rPr>
          <w:rFonts w:hint="eastAsia" w:ascii="宋体" w:hAnsi="宋体" w:cs="宋体"/>
          <w:bCs w:val="0"/>
          <w:color w:val="auto"/>
          <w:sz w:val="24"/>
          <w:szCs w:val="24"/>
          <w:highlight w:val="none"/>
        </w:rPr>
        <w:t>36.投标人不得具有的情形</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p>
    <w:p>
      <w:pPr>
        <w:pStyle w:val="10"/>
        <w:spacing w:line="440" w:lineRule="exact"/>
        <w:ind w:firstLine="480"/>
        <w:rPr>
          <w:rFonts w:ascii="宋体" w:hAnsi="宋体" w:cs="宋体"/>
          <w:color w:val="auto"/>
          <w:sz w:val="24"/>
          <w:highlight w:val="none"/>
        </w:rPr>
      </w:pPr>
      <w:r>
        <w:rPr>
          <w:rFonts w:hint="eastAsia" w:ascii="宋体" w:hAnsi="宋体" w:cs="宋体"/>
          <w:color w:val="auto"/>
          <w:sz w:val="24"/>
          <w:highlight w:val="none"/>
        </w:rPr>
        <w:t>(1)提供虚假材料谋取中标；</w:t>
      </w:r>
    </w:p>
    <w:p>
      <w:pPr>
        <w:pStyle w:val="10"/>
        <w:spacing w:line="440" w:lineRule="exact"/>
        <w:ind w:firstLine="480"/>
        <w:rPr>
          <w:rFonts w:ascii="宋体" w:hAnsi="宋体" w:cs="宋体"/>
          <w:color w:val="auto"/>
          <w:sz w:val="24"/>
          <w:highlight w:val="none"/>
        </w:rPr>
      </w:pPr>
      <w:r>
        <w:rPr>
          <w:rFonts w:hint="eastAsia" w:ascii="宋体" w:hAnsi="宋体" w:cs="宋体"/>
          <w:color w:val="auto"/>
          <w:sz w:val="24"/>
          <w:highlight w:val="none"/>
        </w:rPr>
        <w:t>(2)采取不正当手段诋毁、排挤其他投标人；</w:t>
      </w:r>
    </w:p>
    <w:p>
      <w:pPr>
        <w:pStyle w:val="10"/>
        <w:spacing w:line="440" w:lineRule="exact"/>
        <w:ind w:firstLine="480"/>
        <w:rPr>
          <w:rFonts w:ascii="宋体" w:hAnsi="宋体" w:cs="宋体"/>
          <w:color w:val="auto"/>
          <w:sz w:val="24"/>
          <w:highlight w:val="none"/>
        </w:rPr>
      </w:pPr>
      <w:r>
        <w:rPr>
          <w:rFonts w:hint="eastAsia" w:ascii="宋体" w:hAnsi="宋体" w:cs="宋体"/>
          <w:color w:val="auto"/>
          <w:sz w:val="24"/>
          <w:highlight w:val="none"/>
        </w:rPr>
        <w:t>(3)与招标采购单位、其他投标人恶意串通；</w:t>
      </w:r>
    </w:p>
    <w:p>
      <w:pPr>
        <w:pStyle w:val="10"/>
        <w:spacing w:line="440" w:lineRule="exact"/>
        <w:ind w:firstLine="480"/>
        <w:rPr>
          <w:rFonts w:ascii="宋体" w:hAnsi="宋体" w:cs="宋体"/>
          <w:color w:val="auto"/>
          <w:sz w:val="24"/>
          <w:highlight w:val="none"/>
        </w:rPr>
      </w:pPr>
      <w:r>
        <w:rPr>
          <w:rFonts w:hint="eastAsia" w:ascii="宋体" w:hAnsi="宋体" w:cs="宋体"/>
          <w:color w:val="auto"/>
          <w:sz w:val="24"/>
          <w:highlight w:val="none"/>
        </w:rPr>
        <w:t>(4)向招标采购单位、评标委员会成员行贿或者提供其他不正当利益；</w:t>
      </w:r>
    </w:p>
    <w:p>
      <w:pPr>
        <w:pStyle w:val="10"/>
        <w:spacing w:line="440" w:lineRule="exact"/>
        <w:ind w:firstLine="480"/>
        <w:rPr>
          <w:rFonts w:ascii="宋体" w:hAnsi="宋体" w:cs="宋体"/>
          <w:color w:val="auto"/>
          <w:sz w:val="24"/>
          <w:highlight w:val="none"/>
        </w:rPr>
      </w:pPr>
      <w:r>
        <w:rPr>
          <w:rFonts w:hint="eastAsia" w:ascii="宋体" w:hAnsi="宋体" w:cs="宋体"/>
          <w:color w:val="auto"/>
          <w:sz w:val="24"/>
          <w:highlight w:val="none"/>
        </w:rPr>
        <w:t>(5)在招标过程中与招标采购单位进行协商谈判；</w:t>
      </w:r>
    </w:p>
    <w:p>
      <w:pPr>
        <w:pStyle w:val="10"/>
        <w:spacing w:line="440" w:lineRule="exact"/>
        <w:ind w:firstLine="480"/>
        <w:rPr>
          <w:rFonts w:ascii="宋体" w:hAnsi="宋体" w:cs="宋体"/>
          <w:color w:val="auto"/>
          <w:sz w:val="24"/>
          <w:highlight w:val="none"/>
        </w:rPr>
      </w:pPr>
      <w:r>
        <w:rPr>
          <w:rFonts w:hint="eastAsia" w:ascii="宋体" w:hAnsi="宋体" w:cs="宋体"/>
          <w:color w:val="auto"/>
          <w:sz w:val="24"/>
          <w:highlight w:val="none"/>
        </w:rPr>
        <w:t>(6)中标或者成交后无正当理由拒不与采购人签订政府采购合同；</w:t>
      </w:r>
    </w:p>
    <w:p>
      <w:pPr>
        <w:pStyle w:val="10"/>
        <w:spacing w:line="440" w:lineRule="exact"/>
        <w:ind w:firstLine="480"/>
        <w:rPr>
          <w:rFonts w:ascii="宋体" w:hAnsi="宋体" w:cs="宋体"/>
          <w:color w:val="auto"/>
          <w:sz w:val="24"/>
          <w:highlight w:val="none"/>
        </w:rPr>
      </w:pPr>
      <w:r>
        <w:rPr>
          <w:rFonts w:hint="eastAsia" w:ascii="宋体" w:hAnsi="宋体" w:cs="宋体"/>
          <w:color w:val="auto"/>
          <w:sz w:val="24"/>
          <w:highlight w:val="none"/>
        </w:rPr>
        <w:t>(7)未按照采购文件确定的事项签订政府采购合同；</w:t>
      </w:r>
    </w:p>
    <w:p>
      <w:pPr>
        <w:pStyle w:val="10"/>
        <w:spacing w:line="440" w:lineRule="exact"/>
        <w:ind w:firstLine="480"/>
        <w:rPr>
          <w:rFonts w:ascii="宋体" w:hAnsi="宋体" w:cs="宋体"/>
          <w:color w:val="auto"/>
          <w:sz w:val="24"/>
          <w:highlight w:val="none"/>
        </w:rPr>
      </w:pPr>
      <w:r>
        <w:rPr>
          <w:rFonts w:hint="eastAsia" w:ascii="宋体" w:hAnsi="宋体" w:cs="宋体"/>
          <w:color w:val="auto"/>
          <w:sz w:val="24"/>
          <w:highlight w:val="none"/>
        </w:rPr>
        <w:t>(8)将政府采购合同转包或者违规分包；</w:t>
      </w:r>
    </w:p>
    <w:p>
      <w:pPr>
        <w:pStyle w:val="10"/>
        <w:spacing w:line="440" w:lineRule="exact"/>
        <w:ind w:firstLine="480"/>
        <w:rPr>
          <w:rFonts w:ascii="宋体" w:hAnsi="宋体" w:cs="宋体"/>
          <w:color w:val="auto"/>
          <w:sz w:val="24"/>
          <w:highlight w:val="none"/>
        </w:rPr>
      </w:pPr>
      <w:r>
        <w:rPr>
          <w:rFonts w:hint="eastAsia" w:ascii="宋体" w:hAnsi="宋体" w:cs="宋体"/>
          <w:color w:val="auto"/>
          <w:sz w:val="24"/>
          <w:highlight w:val="none"/>
        </w:rPr>
        <w:t>(9)提供假冒伪劣产品；</w:t>
      </w:r>
    </w:p>
    <w:p>
      <w:pPr>
        <w:pStyle w:val="10"/>
        <w:spacing w:line="440" w:lineRule="exact"/>
        <w:ind w:firstLine="480"/>
        <w:rPr>
          <w:rFonts w:ascii="宋体" w:hAnsi="宋体" w:cs="宋体"/>
          <w:color w:val="auto"/>
          <w:sz w:val="24"/>
          <w:highlight w:val="none"/>
        </w:rPr>
      </w:pPr>
      <w:r>
        <w:rPr>
          <w:rFonts w:hint="eastAsia" w:ascii="宋体" w:hAnsi="宋体" w:cs="宋体"/>
          <w:color w:val="auto"/>
          <w:sz w:val="24"/>
          <w:highlight w:val="none"/>
        </w:rPr>
        <w:t>(10)擅自变更、中止或者终止政府采购合同；</w:t>
      </w:r>
    </w:p>
    <w:p>
      <w:pPr>
        <w:pStyle w:val="10"/>
        <w:spacing w:line="440" w:lineRule="exact"/>
        <w:ind w:firstLine="480"/>
        <w:rPr>
          <w:rFonts w:ascii="宋体" w:hAnsi="宋体" w:cs="宋体"/>
          <w:color w:val="auto"/>
          <w:sz w:val="24"/>
          <w:highlight w:val="none"/>
        </w:rPr>
      </w:pPr>
      <w:r>
        <w:rPr>
          <w:rFonts w:hint="eastAsia" w:ascii="宋体" w:hAnsi="宋体" w:cs="宋体"/>
          <w:color w:val="auto"/>
          <w:sz w:val="24"/>
          <w:highlight w:val="none"/>
        </w:rPr>
        <w:t>(11)拒绝有关部门的监督检查或者向监督检查部门提供虚假情况；</w:t>
      </w:r>
    </w:p>
    <w:p>
      <w:pPr>
        <w:pStyle w:val="10"/>
        <w:spacing w:line="440" w:lineRule="exact"/>
        <w:ind w:firstLine="480"/>
        <w:rPr>
          <w:rFonts w:ascii="宋体" w:hAnsi="宋体" w:cs="宋体"/>
          <w:color w:val="auto"/>
          <w:sz w:val="24"/>
          <w:highlight w:val="none"/>
        </w:rPr>
      </w:pPr>
      <w:r>
        <w:rPr>
          <w:rFonts w:hint="eastAsia" w:ascii="宋体" w:hAnsi="宋体" w:cs="宋体"/>
          <w:color w:val="auto"/>
          <w:sz w:val="24"/>
          <w:highlight w:val="none"/>
        </w:rPr>
        <w:t>(12)法律法规规定的其他情形。</w:t>
      </w:r>
    </w:p>
    <w:p>
      <w:pPr>
        <w:pStyle w:val="10"/>
        <w:spacing w:line="440" w:lineRule="exact"/>
        <w:ind w:firstLine="480"/>
        <w:rPr>
          <w:rFonts w:ascii="宋体" w:hAnsi="宋体" w:cs="宋体"/>
          <w:color w:val="auto"/>
          <w:sz w:val="24"/>
          <w:highlight w:val="none"/>
        </w:rPr>
      </w:pPr>
      <w:r>
        <w:rPr>
          <w:rFonts w:hint="eastAsia" w:ascii="宋体" w:hAnsi="宋体" w:cs="宋体"/>
          <w:color w:val="auto"/>
          <w:sz w:val="24"/>
          <w:highlight w:val="none"/>
        </w:rPr>
        <w:t>投标人有上述情形的，按照规定追究法律责任，具备(1)-(10)条情形之一的，同时将取消中标资格或者认定中标无效。</w:t>
      </w:r>
    </w:p>
    <w:p>
      <w:pPr>
        <w:pStyle w:val="5"/>
        <w:spacing w:before="0" w:after="0" w:line="440" w:lineRule="exact"/>
        <w:jc w:val="center"/>
        <w:rPr>
          <w:rFonts w:ascii="宋体" w:hAnsi="宋体" w:eastAsia="宋体" w:cs="宋体"/>
          <w:bCs w:val="0"/>
          <w:color w:val="auto"/>
          <w:highlight w:val="none"/>
        </w:rPr>
      </w:pPr>
      <w:bookmarkStart w:id="755" w:name="_Toc8765"/>
      <w:bookmarkStart w:id="756" w:name="_Toc6469"/>
      <w:bookmarkStart w:id="757" w:name="_Toc20327"/>
      <w:bookmarkStart w:id="758" w:name="_Toc217446078"/>
      <w:r>
        <w:rPr>
          <w:rFonts w:hint="eastAsia" w:ascii="宋体" w:hAnsi="宋体" w:eastAsia="宋体" w:cs="宋体"/>
          <w:bCs w:val="0"/>
          <w:color w:val="auto"/>
          <w:highlight w:val="none"/>
        </w:rPr>
        <w:t>八、询问</w:t>
      </w:r>
      <w:bookmarkEnd w:id="755"/>
      <w:bookmarkEnd w:id="756"/>
      <w:bookmarkEnd w:id="757"/>
      <w:r>
        <w:rPr>
          <w:rFonts w:hint="eastAsia" w:ascii="宋体" w:hAnsi="宋体" w:eastAsia="宋体" w:cs="宋体"/>
          <w:bCs w:val="0"/>
          <w:color w:val="auto"/>
          <w:highlight w:val="none"/>
        </w:rPr>
        <w:t>、质疑和投诉</w:t>
      </w:r>
    </w:p>
    <w:p>
      <w:pPr>
        <w:pStyle w:val="6"/>
        <w:spacing w:line="400" w:lineRule="exact"/>
        <w:ind w:firstLine="482" w:firstLineChars="200"/>
        <w:rPr>
          <w:rFonts w:ascii="宋体" w:hAnsi="宋体" w:cs="宋体"/>
          <w:bCs w:val="0"/>
          <w:color w:val="auto"/>
          <w:sz w:val="24"/>
          <w:szCs w:val="24"/>
          <w:highlight w:val="none"/>
        </w:rPr>
      </w:pPr>
      <w:bookmarkStart w:id="759" w:name="_Toc12421"/>
      <w:bookmarkStart w:id="760" w:name="_Toc12717"/>
      <w:bookmarkStart w:id="761" w:name="_Toc24165"/>
      <w:bookmarkStart w:id="762" w:name="_Toc327196301"/>
      <w:bookmarkStart w:id="763" w:name="_Toc21424"/>
      <w:r>
        <w:rPr>
          <w:rFonts w:hint="eastAsia" w:ascii="宋体" w:hAnsi="宋体" w:cs="宋体"/>
          <w:bCs w:val="0"/>
          <w:color w:val="auto"/>
          <w:sz w:val="24"/>
          <w:szCs w:val="24"/>
          <w:highlight w:val="none"/>
        </w:rPr>
        <w:t xml:space="preserve">37. </w:t>
      </w:r>
      <w:bookmarkEnd w:id="759"/>
      <w:bookmarkEnd w:id="760"/>
      <w:bookmarkEnd w:id="761"/>
      <w:r>
        <w:rPr>
          <w:rFonts w:hint="eastAsia" w:ascii="宋体" w:hAnsi="宋体" w:cs="宋体"/>
          <w:bCs w:val="0"/>
          <w:color w:val="auto"/>
          <w:sz w:val="24"/>
          <w:szCs w:val="24"/>
          <w:highlight w:val="none"/>
        </w:rPr>
        <w:t>询问、质疑、投诉</w:t>
      </w:r>
    </w:p>
    <w:p>
      <w:pPr>
        <w:tabs>
          <w:tab w:val="left" w:pos="7665"/>
        </w:tabs>
        <w:wordWrap w:val="0"/>
        <w:spacing w:line="440" w:lineRule="exact"/>
        <w:ind w:firstLine="480" w:firstLineChars="200"/>
        <w:rPr>
          <w:rFonts w:hAnsi="宋体" w:cs="宋体"/>
          <w:color w:val="auto"/>
          <w:sz w:val="24"/>
          <w:highlight w:val="none"/>
        </w:rPr>
      </w:pPr>
      <w:r>
        <w:rPr>
          <w:rFonts w:hint="eastAsia" w:hAnsi="宋体" w:cs="宋体"/>
          <w:color w:val="auto"/>
          <w:sz w:val="24"/>
          <w:highlight w:val="none"/>
        </w:rPr>
        <w:t>询问、质疑、投诉的接收和处理严格按照《中华人民共和国政府采购法》、《中华人民共和国政府采购法实施条例》、《政府采购货物和服务招标投标管理办法》、《政府采购质疑和投诉办法》、《财政部关于加强政府采购供应商投诉受理审查工作的通知》等相关规定办理。</w:t>
      </w:r>
    </w:p>
    <w:p>
      <w:pPr>
        <w:tabs>
          <w:tab w:val="left" w:pos="7665"/>
        </w:tabs>
        <w:wordWrap w:val="0"/>
        <w:spacing w:line="440" w:lineRule="exact"/>
        <w:ind w:firstLine="480" w:firstLineChars="200"/>
        <w:rPr>
          <w:rFonts w:hAnsi="宋体" w:cs="宋体"/>
          <w:color w:val="auto"/>
          <w:sz w:val="24"/>
          <w:highlight w:val="none"/>
        </w:rPr>
      </w:pPr>
      <w:r>
        <w:rPr>
          <w:rFonts w:hint="eastAsia" w:hAnsi="宋体" w:cs="宋体"/>
          <w:color w:val="auto"/>
          <w:sz w:val="24"/>
          <w:highlight w:val="none"/>
        </w:rPr>
        <w:t>供应商提出质疑应当提交质疑函和必要的证明材料。质疑函应当包括下列内容：</w:t>
      </w:r>
    </w:p>
    <w:p>
      <w:pPr>
        <w:tabs>
          <w:tab w:val="left" w:pos="7665"/>
        </w:tabs>
        <w:wordWrap w:val="0"/>
        <w:spacing w:line="440" w:lineRule="exact"/>
        <w:ind w:firstLine="480" w:firstLineChars="200"/>
        <w:rPr>
          <w:rFonts w:hAnsi="宋体" w:cs="宋体"/>
          <w:color w:val="auto"/>
          <w:sz w:val="24"/>
          <w:highlight w:val="none"/>
        </w:rPr>
      </w:pPr>
      <w:r>
        <w:rPr>
          <w:rFonts w:hint="eastAsia" w:hAnsi="宋体" w:cs="宋体"/>
          <w:color w:val="auto"/>
          <w:sz w:val="24"/>
          <w:highlight w:val="none"/>
        </w:rPr>
        <w:t>（1）供应商的姓名或者名称、地址、邮编、联系人及联系电话；</w:t>
      </w:r>
    </w:p>
    <w:p>
      <w:pPr>
        <w:tabs>
          <w:tab w:val="left" w:pos="7665"/>
        </w:tabs>
        <w:wordWrap w:val="0"/>
        <w:spacing w:line="440" w:lineRule="exact"/>
        <w:ind w:firstLine="480" w:firstLineChars="200"/>
        <w:rPr>
          <w:rFonts w:hAnsi="宋体" w:cs="宋体"/>
          <w:color w:val="auto"/>
          <w:sz w:val="24"/>
          <w:highlight w:val="none"/>
        </w:rPr>
      </w:pPr>
      <w:r>
        <w:rPr>
          <w:rFonts w:hint="eastAsia" w:hAnsi="宋体" w:cs="宋体"/>
          <w:color w:val="auto"/>
          <w:sz w:val="24"/>
          <w:highlight w:val="none"/>
        </w:rPr>
        <w:t>（2）质疑项目的名称、编号；</w:t>
      </w:r>
    </w:p>
    <w:p>
      <w:pPr>
        <w:tabs>
          <w:tab w:val="left" w:pos="7665"/>
        </w:tabs>
        <w:wordWrap w:val="0"/>
        <w:spacing w:line="440" w:lineRule="exact"/>
        <w:ind w:firstLine="480" w:firstLineChars="200"/>
        <w:rPr>
          <w:rFonts w:hAnsi="宋体" w:cs="宋体"/>
          <w:color w:val="auto"/>
          <w:sz w:val="24"/>
          <w:highlight w:val="none"/>
        </w:rPr>
      </w:pPr>
      <w:r>
        <w:rPr>
          <w:rFonts w:hint="eastAsia" w:hAnsi="宋体" w:cs="宋体"/>
          <w:color w:val="auto"/>
          <w:sz w:val="24"/>
          <w:highlight w:val="none"/>
        </w:rPr>
        <w:t>（3）具体、明确的质疑事项和与质疑事项相关的请求；</w:t>
      </w:r>
    </w:p>
    <w:p>
      <w:pPr>
        <w:tabs>
          <w:tab w:val="left" w:pos="7665"/>
        </w:tabs>
        <w:wordWrap w:val="0"/>
        <w:spacing w:line="440" w:lineRule="exact"/>
        <w:ind w:firstLine="480" w:firstLineChars="200"/>
        <w:rPr>
          <w:rFonts w:hAnsi="宋体" w:cs="宋体"/>
          <w:color w:val="auto"/>
          <w:sz w:val="24"/>
          <w:highlight w:val="none"/>
        </w:rPr>
      </w:pPr>
      <w:r>
        <w:rPr>
          <w:rFonts w:hint="eastAsia" w:hAnsi="宋体" w:cs="宋体"/>
          <w:color w:val="auto"/>
          <w:sz w:val="24"/>
          <w:highlight w:val="none"/>
        </w:rPr>
        <w:t>（4）事实依据；</w:t>
      </w:r>
    </w:p>
    <w:p>
      <w:pPr>
        <w:tabs>
          <w:tab w:val="left" w:pos="7665"/>
        </w:tabs>
        <w:wordWrap w:val="0"/>
        <w:spacing w:line="440" w:lineRule="exact"/>
        <w:ind w:firstLine="480" w:firstLineChars="200"/>
        <w:rPr>
          <w:rFonts w:hAnsi="宋体" w:cs="宋体"/>
          <w:color w:val="auto"/>
          <w:sz w:val="24"/>
          <w:highlight w:val="none"/>
        </w:rPr>
      </w:pPr>
      <w:r>
        <w:rPr>
          <w:rFonts w:hint="eastAsia" w:hAnsi="宋体" w:cs="宋体"/>
          <w:color w:val="auto"/>
          <w:sz w:val="24"/>
          <w:highlight w:val="none"/>
        </w:rPr>
        <w:t>（5）必要的法律依据；</w:t>
      </w:r>
    </w:p>
    <w:p>
      <w:pPr>
        <w:tabs>
          <w:tab w:val="left" w:pos="7665"/>
        </w:tabs>
        <w:wordWrap w:val="0"/>
        <w:spacing w:line="440" w:lineRule="exact"/>
        <w:ind w:firstLine="480" w:firstLineChars="200"/>
        <w:rPr>
          <w:rFonts w:hAnsi="宋体" w:cs="宋体"/>
          <w:color w:val="auto"/>
          <w:sz w:val="24"/>
          <w:highlight w:val="none"/>
        </w:rPr>
      </w:pPr>
      <w:r>
        <w:rPr>
          <w:rFonts w:hint="eastAsia" w:hAnsi="宋体" w:cs="宋体"/>
          <w:color w:val="auto"/>
          <w:sz w:val="24"/>
          <w:highlight w:val="none"/>
        </w:rPr>
        <w:t>（6）提出质疑的日期。</w:t>
      </w:r>
    </w:p>
    <w:p>
      <w:pPr>
        <w:tabs>
          <w:tab w:val="left" w:pos="7665"/>
        </w:tabs>
        <w:wordWrap w:val="0"/>
        <w:spacing w:line="440" w:lineRule="exact"/>
        <w:ind w:firstLine="480" w:firstLineChars="200"/>
        <w:rPr>
          <w:rFonts w:hAnsi="宋体" w:cs="宋体"/>
          <w:color w:val="auto"/>
          <w:sz w:val="24"/>
          <w:highlight w:val="none"/>
        </w:rPr>
      </w:pPr>
      <w:r>
        <w:rPr>
          <w:rFonts w:hint="eastAsia" w:hAnsi="宋体" w:cs="宋体"/>
          <w:color w:val="auto"/>
          <w:sz w:val="24"/>
          <w:highlight w:val="none"/>
        </w:rPr>
        <w:t>供应商为自然人的，应当由本人签字；供应商为法人或者其他组织的，应当由法定代表人、主要负责人，或者其授权代表签字或者盖章，并加盖公章。</w:t>
      </w:r>
    </w:p>
    <w:bookmarkEnd w:id="730"/>
    <w:bookmarkEnd w:id="731"/>
    <w:bookmarkEnd w:id="758"/>
    <w:bookmarkEnd w:id="762"/>
    <w:bookmarkEnd w:id="763"/>
    <w:p>
      <w:pPr>
        <w:pStyle w:val="20"/>
        <w:spacing w:after="0" w:line="440" w:lineRule="exact"/>
        <w:ind w:left="0" w:leftChars="0"/>
        <w:rPr>
          <w:rFonts w:ascii="宋体" w:hAnsi="宋体" w:cs="宋体"/>
          <w:color w:val="auto"/>
          <w:sz w:val="24"/>
          <w:highlight w:val="none"/>
        </w:rPr>
      </w:pPr>
    </w:p>
    <w:p>
      <w:pPr>
        <w:pStyle w:val="5"/>
        <w:spacing w:before="0" w:after="0" w:line="440" w:lineRule="exact"/>
        <w:jc w:val="center"/>
        <w:rPr>
          <w:rFonts w:ascii="宋体" w:hAnsi="宋体" w:eastAsia="宋体" w:cs="宋体"/>
          <w:color w:val="auto"/>
          <w:highlight w:val="none"/>
        </w:rPr>
      </w:pPr>
      <w:bookmarkStart w:id="764" w:name="_Toc14470"/>
      <w:bookmarkStart w:id="765" w:name="_Toc13921"/>
      <w:bookmarkStart w:id="766" w:name="_Toc4850"/>
      <w:bookmarkStart w:id="767" w:name="_Toc5589"/>
      <w:r>
        <w:rPr>
          <w:rFonts w:hint="eastAsia" w:ascii="宋体" w:hAnsi="宋体" w:eastAsia="宋体" w:cs="宋体"/>
          <w:color w:val="auto"/>
          <w:highlight w:val="none"/>
        </w:rPr>
        <w:t>九、串通投标的情形</w:t>
      </w:r>
      <w:bookmarkEnd w:id="764"/>
      <w:bookmarkEnd w:id="765"/>
      <w:bookmarkEnd w:id="766"/>
    </w:p>
    <w:p>
      <w:pPr>
        <w:pStyle w:val="20"/>
        <w:wordWrap w:val="0"/>
        <w:spacing w:after="0" w:line="440" w:lineRule="exact"/>
        <w:ind w:left="0" w:leftChars="0" w:firstLine="540" w:firstLineChars="225"/>
        <w:jc w:val="left"/>
        <w:rPr>
          <w:rFonts w:ascii="宋体" w:hAnsi="宋体" w:cs="宋体"/>
          <w:color w:val="auto"/>
          <w:sz w:val="24"/>
          <w:highlight w:val="none"/>
        </w:rPr>
      </w:pPr>
      <w:r>
        <w:rPr>
          <w:rFonts w:hint="eastAsia" w:ascii="宋体" w:hAnsi="宋体" w:cs="宋体"/>
          <w:color w:val="auto"/>
          <w:sz w:val="24"/>
          <w:highlight w:val="none"/>
        </w:rPr>
        <w:t>有下列情形之一的，视为投标人串通投标，其投标无效。</w:t>
      </w:r>
    </w:p>
    <w:p>
      <w:pPr>
        <w:pStyle w:val="20"/>
        <w:wordWrap w:val="0"/>
        <w:spacing w:after="0" w:line="440" w:lineRule="exact"/>
        <w:ind w:left="0" w:leftChars="0" w:firstLine="540" w:firstLineChars="225"/>
        <w:jc w:val="left"/>
        <w:rPr>
          <w:rFonts w:ascii="宋体" w:hAnsi="宋体" w:cs="宋体"/>
          <w:color w:val="auto"/>
          <w:sz w:val="24"/>
          <w:highlight w:val="none"/>
        </w:rPr>
      </w:pPr>
      <w:r>
        <w:rPr>
          <w:rFonts w:hint="eastAsia" w:ascii="宋体" w:hAnsi="宋体" w:cs="宋体"/>
          <w:color w:val="auto"/>
          <w:sz w:val="24"/>
          <w:highlight w:val="none"/>
        </w:rPr>
        <w:t>(一)不同投标人的投标文件由同一单位或者个人编制；</w:t>
      </w:r>
    </w:p>
    <w:p>
      <w:pPr>
        <w:pStyle w:val="20"/>
        <w:wordWrap w:val="0"/>
        <w:spacing w:after="0" w:line="440" w:lineRule="exact"/>
        <w:ind w:left="0" w:leftChars="0" w:firstLine="540" w:firstLineChars="225"/>
        <w:jc w:val="left"/>
        <w:rPr>
          <w:rFonts w:ascii="宋体" w:hAnsi="宋体" w:cs="宋体"/>
          <w:color w:val="auto"/>
          <w:sz w:val="24"/>
          <w:highlight w:val="none"/>
        </w:rPr>
      </w:pPr>
      <w:r>
        <w:rPr>
          <w:rFonts w:hint="eastAsia" w:ascii="宋体" w:hAnsi="宋体" w:cs="宋体"/>
          <w:color w:val="auto"/>
          <w:sz w:val="24"/>
          <w:highlight w:val="none"/>
        </w:rPr>
        <w:t>(二)不同投标人委托同一单位或者个人办理投标事宜；</w:t>
      </w:r>
    </w:p>
    <w:p>
      <w:pPr>
        <w:pStyle w:val="20"/>
        <w:wordWrap w:val="0"/>
        <w:spacing w:after="0" w:line="440" w:lineRule="exact"/>
        <w:ind w:left="0" w:leftChars="0" w:firstLine="540" w:firstLineChars="225"/>
        <w:jc w:val="left"/>
        <w:rPr>
          <w:rFonts w:ascii="宋体" w:hAnsi="宋体" w:cs="宋体"/>
          <w:color w:val="auto"/>
          <w:sz w:val="24"/>
          <w:highlight w:val="none"/>
        </w:rPr>
      </w:pPr>
      <w:r>
        <w:rPr>
          <w:rFonts w:hint="eastAsia" w:ascii="宋体" w:hAnsi="宋体" w:cs="宋体"/>
          <w:color w:val="auto"/>
          <w:sz w:val="24"/>
          <w:highlight w:val="none"/>
        </w:rPr>
        <w:t>(三)不同投标人的投标文件载明的项目管理成员或者联系人员为同一人；</w:t>
      </w:r>
    </w:p>
    <w:p>
      <w:pPr>
        <w:pStyle w:val="20"/>
        <w:wordWrap w:val="0"/>
        <w:spacing w:after="0" w:line="440" w:lineRule="exact"/>
        <w:ind w:left="0" w:leftChars="0" w:firstLine="540" w:firstLineChars="225"/>
        <w:jc w:val="left"/>
        <w:rPr>
          <w:rFonts w:ascii="宋体" w:hAnsi="宋体" w:cs="宋体"/>
          <w:color w:val="auto"/>
          <w:sz w:val="24"/>
          <w:highlight w:val="none"/>
        </w:rPr>
      </w:pPr>
      <w:r>
        <w:rPr>
          <w:rFonts w:hint="eastAsia" w:ascii="宋体" w:hAnsi="宋体" w:cs="宋体"/>
          <w:color w:val="auto"/>
          <w:sz w:val="24"/>
          <w:highlight w:val="none"/>
        </w:rPr>
        <w:t>(四)不同投标人的投标文件异常一致或者投标报价呈规律性差异；</w:t>
      </w:r>
    </w:p>
    <w:p>
      <w:pPr>
        <w:pStyle w:val="20"/>
        <w:wordWrap w:val="0"/>
        <w:spacing w:after="0" w:line="440" w:lineRule="exact"/>
        <w:ind w:left="0" w:leftChars="0" w:firstLine="540" w:firstLineChars="225"/>
        <w:jc w:val="left"/>
        <w:rPr>
          <w:rFonts w:ascii="宋体" w:hAnsi="宋体" w:cs="宋体"/>
          <w:color w:val="auto"/>
          <w:sz w:val="24"/>
          <w:highlight w:val="none"/>
        </w:rPr>
      </w:pPr>
      <w:r>
        <w:rPr>
          <w:rFonts w:hint="eastAsia" w:ascii="宋体" w:hAnsi="宋体" w:cs="宋体"/>
          <w:color w:val="auto"/>
          <w:sz w:val="24"/>
          <w:highlight w:val="none"/>
        </w:rPr>
        <w:t>(五)不同投标人的投标文件相互混装；</w:t>
      </w:r>
    </w:p>
    <w:p>
      <w:pPr>
        <w:pStyle w:val="20"/>
        <w:wordWrap w:val="0"/>
        <w:spacing w:after="0" w:line="440" w:lineRule="exact"/>
        <w:ind w:left="0" w:leftChars="0" w:firstLine="540" w:firstLineChars="225"/>
        <w:jc w:val="left"/>
        <w:rPr>
          <w:rFonts w:ascii="宋体" w:hAnsi="宋体" w:cs="宋体"/>
          <w:color w:val="auto"/>
          <w:sz w:val="24"/>
          <w:highlight w:val="none"/>
        </w:rPr>
      </w:pPr>
      <w:r>
        <w:rPr>
          <w:rFonts w:hint="eastAsia" w:ascii="宋体" w:hAnsi="宋体" w:cs="宋体"/>
          <w:color w:val="auto"/>
          <w:sz w:val="24"/>
          <w:highlight w:val="none"/>
        </w:rPr>
        <w:t>(六)不同投标人的投标保证金从同一单位或者个人的账户转出。</w:t>
      </w:r>
    </w:p>
    <w:p>
      <w:pPr>
        <w:pStyle w:val="5"/>
        <w:spacing w:before="0" w:after="0" w:line="440" w:lineRule="exact"/>
        <w:jc w:val="center"/>
        <w:rPr>
          <w:rFonts w:ascii="宋体" w:hAnsi="宋体" w:eastAsia="宋体" w:cs="宋体"/>
          <w:color w:val="auto"/>
          <w:highlight w:val="none"/>
        </w:rPr>
      </w:pPr>
      <w:bookmarkStart w:id="768" w:name="_Toc27206"/>
      <w:bookmarkStart w:id="769" w:name="_Toc8827"/>
      <w:bookmarkStart w:id="770" w:name="_Toc19058"/>
      <w:r>
        <w:rPr>
          <w:rFonts w:hint="eastAsia" w:ascii="宋体" w:hAnsi="宋体" w:eastAsia="宋体" w:cs="宋体"/>
          <w:color w:val="auto"/>
          <w:highlight w:val="none"/>
        </w:rPr>
        <w:t>十、其他</w:t>
      </w:r>
      <w:bookmarkEnd w:id="768"/>
      <w:bookmarkEnd w:id="769"/>
      <w:bookmarkEnd w:id="770"/>
    </w:p>
    <w:p>
      <w:pPr>
        <w:pStyle w:val="20"/>
        <w:spacing w:after="0" w:line="440" w:lineRule="exact"/>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本招标文件中所引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直接按照变化后的相关法律制度规定执行，本招标文件不再做调整。</w:t>
      </w:r>
    </w:p>
    <w:p>
      <w:pPr>
        <w:pStyle w:val="20"/>
        <w:spacing w:after="0" w:line="360" w:lineRule="auto"/>
        <w:ind w:left="0" w:leftChars="0" w:firstLine="480" w:firstLineChars="200"/>
        <w:jc w:val="center"/>
        <w:outlineLvl w:val="0"/>
        <w:rPr>
          <w:rFonts w:ascii="宋体" w:hAnsi="宋体" w:cs="宋体"/>
          <w:b/>
          <w:color w:val="auto"/>
          <w:sz w:val="36"/>
          <w:highlight w:val="none"/>
        </w:rPr>
      </w:pPr>
      <w:r>
        <w:rPr>
          <w:rFonts w:hint="eastAsia" w:ascii="宋体" w:hAnsi="宋体" w:cs="宋体"/>
          <w:color w:val="auto"/>
          <w:sz w:val="24"/>
          <w:highlight w:val="none"/>
        </w:rPr>
        <w:br w:type="page"/>
      </w:r>
      <w:bookmarkEnd w:id="767"/>
      <w:bookmarkStart w:id="771" w:name="_Toc25961"/>
      <w:bookmarkStart w:id="772" w:name="_Toc12928"/>
      <w:bookmarkStart w:id="773" w:name="_Toc5197"/>
      <w:bookmarkStart w:id="774" w:name="_Toc29575"/>
      <w:bookmarkStart w:id="775" w:name="_Toc4196"/>
      <w:bookmarkStart w:id="776" w:name="_Toc18724"/>
      <w:bookmarkStart w:id="777" w:name="_Toc881"/>
      <w:r>
        <w:rPr>
          <w:rFonts w:hint="eastAsia" w:ascii="宋体" w:hAnsi="宋体" w:cs="宋体"/>
          <w:b/>
          <w:color w:val="auto"/>
          <w:sz w:val="36"/>
          <w:highlight w:val="none"/>
        </w:rPr>
        <w:t>第三章 投标文件格式</w:t>
      </w:r>
      <w:bookmarkEnd w:id="771"/>
      <w:bookmarkEnd w:id="772"/>
      <w:bookmarkEnd w:id="773"/>
      <w:bookmarkEnd w:id="774"/>
      <w:bookmarkEnd w:id="775"/>
    </w:p>
    <w:p>
      <w:pPr>
        <w:widowControl/>
        <w:shd w:val="clear" w:color="auto" w:fill="FFFFFF"/>
        <w:spacing w:line="360" w:lineRule="atLeast"/>
        <w:rPr>
          <w:rFonts w:hAnsi="宋体" w:cs="宋体"/>
          <w:color w:val="auto"/>
          <w:sz w:val="24"/>
          <w:highlight w:val="none"/>
        </w:rPr>
      </w:pPr>
      <w:bookmarkStart w:id="778" w:name="_Toc211218954"/>
      <w:bookmarkStart w:id="779" w:name="_Toc439161746"/>
      <w:bookmarkStart w:id="780" w:name="_Toc182629023"/>
      <w:bookmarkStart w:id="781" w:name="_Toc287367101"/>
      <w:bookmarkStart w:id="782" w:name="_Toc295978802"/>
      <w:bookmarkStart w:id="783" w:name="_Toc294701519"/>
      <w:bookmarkStart w:id="784" w:name="_Toc182759327"/>
      <w:bookmarkStart w:id="785" w:name="_Toc316462354"/>
      <w:bookmarkStart w:id="786" w:name="_Toc294688711"/>
      <w:bookmarkStart w:id="787" w:name="_Toc16460"/>
    </w:p>
    <w:bookmarkEnd w:id="778"/>
    <w:bookmarkEnd w:id="779"/>
    <w:bookmarkEnd w:id="780"/>
    <w:bookmarkEnd w:id="781"/>
    <w:bookmarkEnd w:id="782"/>
    <w:bookmarkEnd w:id="783"/>
    <w:bookmarkEnd w:id="784"/>
    <w:bookmarkEnd w:id="785"/>
    <w:bookmarkEnd w:id="786"/>
    <w:bookmarkEnd w:id="787"/>
    <w:p>
      <w:pPr>
        <w:widowControl/>
        <w:spacing w:line="360" w:lineRule="atLeast"/>
        <w:ind w:firstLine="470" w:firstLineChars="196"/>
        <w:outlineLvl w:val="1"/>
        <w:rPr>
          <w:rFonts w:hAnsi="宋体" w:cs="宋体"/>
          <w:color w:val="auto"/>
          <w:sz w:val="24"/>
          <w:highlight w:val="none"/>
        </w:rPr>
      </w:pPr>
      <w:r>
        <w:rPr>
          <w:rFonts w:hint="eastAsia" w:hAnsi="宋体" w:cs="宋体"/>
          <w:color w:val="auto"/>
          <w:sz w:val="24"/>
          <w:highlight w:val="none"/>
        </w:rPr>
        <w:t>一、本章所制投标文件格式，除格式中明确将该格式作为实质性要求的，一律不具有强制性。</w:t>
      </w:r>
    </w:p>
    <w:p>
      <w:pPr>
        <w:widowControl/>
        <w:spacing w:line="360" w:lineRule="atLeast"/>
        <w:ind w:firstLine="470" w:firstLineChars="196"/>
        <w:outlineLvl w:val="1"/>
        <w:rPr>
          <w:rFonts w:hAnsi="宋体" w:cs="宋体"/>
          <w:color w:val="auto"/>
          <w:sz w:val="24"/>
          <w:highlight w:val="none"/>
        </w:rPr>
      </w:pPr>
      <w:r>
        <w:rPr>
          <w:rFonts w:hint="eastAsia" w:hAnsi="宋体" w:cs="宋体"/>
          <w:color w:val="auto"/>
          <w:sz w:val="24"/>
          <w:highlight w:val="none"/>
        </w:rPr>
        <w:t>二、本章所制投标文件格式有关表格中的备注栏，由投标人根据自身投标情况作解释性说明，不作为必填项。</w:t>
      </w:r>
    </w:p>
    <w:p>
      <w:pPr>
        <w:widowControl/>
        <w:shd w:val="clear" w:color="auto" w:fill="FFFFFF"/>
        <w:spacing w:line="360" w:lineRule="atLeast"/>
        <w:ind w:firstLine="470" w:firstLineChars="196"/>
        <w:jc w:val="left"/>
        <w:rPr>
          <w:rFonts w:hAnsi="宋体" w:cs="宋体"/>
          <w:color w:val="auto"/>
          <w:sz w:val="24"/>
          <w:highlight w:val="none"/>
        </w:rPr>
      </w:pPr>
      <w:r>
        <w:rPr>
          <w:rFonts w:hint="eastAsia" w:hAnsi="宋体" w:cs="宋体"/>
          <w:color w:val="auto"/>
          <w:sz w:val="24"/>
          <w:highlight w:val="none"/>
        </w:rPr>
        <w:t>三、本章所制投标文件格式中需要填写的相关内容事项，可能会与本采购项目无关，在不改变投标文件原义、不影响本项目采购需求的情况下，投标人可以不予填写，但应当注明。</w:t>
      </w:r>
    </w:p>
    <w:p>
      <w:pPr>
        <w:tabs>
          <w:tab w:val="left" w:pos="7665"/>
        </w:tabs>
        <w:spacing w:line="400" w:lineRule="exact"/>
        <w:rPr>
          <w:rFonts w:hAnsi="宋体" w:cs="宋体"/>
          <w:color w:val="auto"/>
          <w:sz w:val="24"/>
          <w:highlight w:val="none"/>
        </w:rPr>
      </w:pPr>
      <w:r>
        <w:rPr>
          <w:rFonts w:hint="eastAsia" w:hAnsi="宋体" w:cs="宋体"/>
          <w:color w:val="auto"/>
          <w:sz w:val="24"/>
          <w:highlight w:val="none"/>
        </w:rPr>
        <w:br w:type="page"/>
      </w:r>
    </w:p>
    <w:p>
      <w:pPr>
        <w:keepNext/>
        <w:keepLines/>
        <w:spacing w:before="240" w:beforeLines="100" w:after="240" w:afterLines="100"/>
        <w:rPr>
          <w:rFonts w:hAnsi="宋体" w:cs="宋体"/>
          <w:b/>
          <w:bCs/>
          <w:color w:val="auto"/>
          <w:kern w:val="2"/>
          <w:sz w:val="32"/>
          <w:szCs w:val="28"/>
          <w:highlight w:val="none"/>
        </w:rPr>
      </w:pPr>
      <w:bookmarkStart w:id="788" w:name="_Toc11581"/>
      <w:bookmarkStart w:id="789" w:name="_Toc6994"/>
    </w:p>
    <w:p>
      <w:pPr>
        <w:tabs>
          <w:tab w:val="left" w:pos="7665"/>
        </w:tabs>
        <w:spacing w:line="400" w:lineRule="exact"/>
        <w:rPr>
          <w:rFonts w:hAnsi="宋体" w:cs="宋体"/>
          <w:color w:val="auto"/>
          <w:sz w:val="24"/>
          <w:highlight w:val="none"/>
        </w:rPr>
      </w:pPr>
      <w:r>
        <w:rPr>
          <w:rFonts w:hint="eastAsia" w:hAnsi="宋体" w:cs="宋体"/>
          <w:color w:val="auto"/>
          <w:sz w:val="24"/>
          <w:highlight w:val="none"/>
        </w:rPr>
        <w:t>封面</w:t>
      </w:r>
      <w:bookmarkEnd w:id="788"/>
      <w:bookmarkEnd w:id="789"/>
    </w:p>
    <w:p>
      <w:pPr>
        <w:spacing w:line="360" w:lineRule="auto"/>
        <w:rPr>
          <w:rFonts w:hAnsi="宋体" w:cs="宋体"/>
          <w:bCs/>
          <w:color w:val="auto"/>
          <w:szCs w:val="21"/>
          <w:highlight w:val="none"/>
        </w:rPr>
      </w:pPr>
    </w:p>
    <w:p>
      <w:pPr>
        <w:spacing w:line="360" w:lineRule="auto"/>
        <w:rPr>
          <w:rFonts w:hAnsi="宋体" w:cs="宋体"/>
          <w:bCs/>
          <w:color w:val="auto"/>
          <w:szCs w:val="21"/>
          <w:highlight w:val="none"/>
        </w:rPr>
      </w:pPr>
    </w:p>
    <w:p>
      <w:pPr>
        <w:spacing w:line="360" w:lineRule="auto"/>
        <w:rPr>
          <w:rFonts w:hAnsi="宋体" w:cs="宋体"/>
          <w:bCs/>
          <w:color w:val="auto"/>
          <w:szCs w:val="21"/>
          <w:highlight w:val="none"/>
        </w:rPr>
      </w:pPr>
    </w:p>
    <w:p>
      <w:pPr>
        <w:spacing w:line="360" w:lineRule="auto"/>
        <w:jc w:val="right"/>
        <w:rPr>
          <w:rFonts w:hAnsi="宋体" w:cs="宋体"/>
          <w:color w:val="auto"/>
          <w:sz w:val="24"/>
          <w:highlight w:val="none"/>
        </w:rPr>
      </w:pPr>
    </w:p>
    <w:p>
      <w:pPr>
        <w:tabs>
          <w:tab w:val="left" w:pos="7665"/>
        </w:tabs>
        <w:spacing w:line="360" w:lineRule="auto"/>
        <w:jc w:val="center"/>
        <w:rPr>
          <w:rFonts w:hAnsi="宋体" w:cs="宋体"/>
          <w:b/>
          <w:color w:val="auto"/>
          <w:sz w:val="48"/>
          <w:szCs w:val="48"/>
          <w:highlight w:val="none"/>
        </w:rPr>
      </w:pPr>
      <w:r>
        <w:rPr>
          <w:rFonts w:hint="eastAsia" w:hAnsi="宋体" w:cs="宋体"/>
          <w:b/>
          <w:color w:val="auto"/>
          <w:sz w:val="48"/>
          <w:szCs w:val="48"/>
          <w:highlight w:val="none"/>
        </w:rPr>
        <w:t>资格性投标文件/其他响应性投标文件</w:t>
      </w:r>
    </w:p>
    <w:p>
      <w:pPr>
        <w:spacing w:line="360" w:lineRule="auto"/>
        <w:jc w:val="center"/>
        <w:rPr>
          <w:rFonts w:hAnsi="宋体" w:cs="宋体"/>
          <w:color w:val="auto"/>
          <w:spacing w:val="78"/>
          <w:sz w:val="120"/>
          <w:szCs w:val="120"/>
          <w:highlight w:val="none"/>
        </w:rPr>
      </w:pPr>
    </w:p>
    <w:p>
      <w:pPr>
        <w:spacing w:line="480" w:lineRule="auto"/>
        <w:ind w:firstLine="2168" w:firstLineChars="675"/>
        <w:jc w:val="left"/>
        <w:rPr>
          <w:rFonts w:hAnsi="宋体" w:cs="宋体"/>
          <w:b/>
          <w:bCs/>
          <w:color w:val="auto"/>
          <w:sz w:val="32"/>
          <w:szCs w:val="32"/>
          <w:highlight w:val="none"/>
          <w:u w:val="single"/>
        </w:rPr>
      </w:pPr>
      <w:r>
        <w:rPr>
          <w:rFonts w:hint="eastAsia" w:hAnsi="宋体" w:cs="宋体"/>
          <w:b/>
          <w:bCs/>
          <w:color w:val="auto"/>
          <w:sz w:val="32"/>
          <w:szCs w:val="32"/>
          <w:highlight w:val="none"/>
        </w:rPr>
        <w:t>项目名称：</w:t>
      </w:r>
    </w:p>
    <w:p>
      <w:pPr>
        <w:spacing w:line="480" w:lineRule="auto"/>
        <w:ind w:firstLine="2168" w:firstLineChars="675"/>
        <w:jc w:val="left"/>
        <w:rPr>
          <w:rFonts w:hAnsi="宋体" w:cs="宋体"/>
          <w:b/>
          <w:color w:val="auto"/>
          <w:sz w:val="32"/>
          <w:szCs w:val="32"/>
          <w:highlight w:val="none"/>
          <w:u w:val="single"/>
        </w:rPr>
      </w:pPr>
      <w:r>
        <w:rPr>
          <w:rFonts w:hint="eastAsia" w:hAnsi="宋体" w:cs="宋体"/>
          <w:b/>
          <w:bCs/>
          <w:color w:val="auto"/>
          <w:sz w:val="32"/>
          <w:szCs w:val="32"/>
          <w:highlight w:val="none"/>
        </w:rPr>
        <w:t>项目编号：</w:t>
      </w:r>
    </w:p>
    <w:p>
      <w:pPr>
        <w:spacing w:line="480" w:lineRule="auto"/>
        <w:ind w:firstLine="2188" w:firstLineChars="681"/>
        <w:jc w:val="left"/>
        <w:rPr>
          <w:rFonts w:hAnsi="宋体" w:cs="宋体"/>
          <w:b/>
          <w:bCs/>
          <w:color w:val="auto"/>
          <w:sz w:val="32"/>
          <w:szCs w:val="32"/>
          <w:highlight w:val="none"/>
          <w:u w:val="single"/>
        </w:rPr>
      </w:pPr>
      <w:r>
        <w:rPr>
          <w:rFonts w:hint="eastAsia" w:hAnsi="宋体" w:cs="宋体"/>
          <w:b/>
          <w:bCs/>
          <w:color w:val="auto"/>
          <w:sz w:val="32"/>
          <w:szCs w:val="32"/>
          <w:highlight w:val="none"/>
        </w:rPr>
        <w:t>投标人名称：</w:t>
      </w:r>
    </w:p>
    <w:p>
      <w:pPr>
        <w:spacing w:line="480" w:lineRule="auto"/>
        <w:ind w:firstLine="2188" w:firstLineChars="681"/>
        <w:rPr>
          <w:rFonts w:hAnsi="宋体" w:cs="宋体"/>
          <w:b/>
          <w:bCs/>
          <w:color w:val="auto"/>
          <w:sz w:val="32"/>
          <w:szCs w:val="32"/>
          <w:highlight w:val="none"/>
        </w:rPr>
      </w:pPr>
      <w:r>
        <w:rPr>
          <w:rFonts w:hint="eastAsia" w:hAnsi="宋体" w:cs="宋体"/>
          <w:b/>
          <w:bCs/>
          <w:color w:val="auto"/>
          <w:sz w:val="32"/>
          <w:szCs w:val="32"/>
          <w:highlight w:val="none"/>
        </w:rPr>
        <w:t>投标日期：  年  月  日</w:t>
      </w:r>
    </w:p>
    <w:p>
      <w:pPr>
        <w:tabs>
          <w:tab w:val="left" w:pos="900"/>
        </w:tabs>
        <w:spacing w:line="360" w:lineRule="auto"/>
        <w:jc w:val="center"/>
        <w:rPr>
          <w:rFonts w:hAnsi="宋体" w:cs="宋体"/>
          <w:b/>
          <w:color w:val="auto"/>
          <w:sz w:val="32"/>
          <w:highlight w:val="none"/>
        </w:rPr>
      </w:pPr>
      <w:bookmarkStart w:id="790" w:name="_Toc5565"/>
      <w:bookmarkStart w:id="791" w:name="_Toc31011"/>
      <w:bookmarkStart w:id="792" w:name="_Toc5306"/>
      <w:bookmarkStart w:id="793" w:name="_Toc11556"/>
      <w:r>
        <w:rPr>
          <w:rFonts w:hint="eastAsia" w:hAnsi="宋体" w:cs="宋体"/>
          <w:b/>
          <w:color w:val="auto"/>
          <w:sz w:val="32"/>
          <w:highlight w:val="none"/>
        </w:rPr>
        <w:br w:type="page"/>
      </w:r>
    </w:p>
    <w:bookmarkEnd w:id="790"/>
    <w:bookmarkEnd w:id="791"/>
    <w:bookmarkEnd w:id="792"/>
    <w:bookmarkEnd w:id="793"/>
    <w:p>
      <w:pPr>
        <w:tabs>
          <w:tab w:val="left" w:pos="900"/>
        </w:tabs>
        <w:spacing w:line="360" w:lineRule="auto"/>
        <w:jc w:val="center"/>
        <w:rPr>
          <w:rFonts w:hAnsi="宋体" w:cs="宋体"/>
          <w:b/>
          <w:color w:val="auto"/>
          <w:sz w:val="32"/>
          <w:highlight w:val="none"/>
        </w:rPr>
      </w:pPr>
      <w:bookmarkStart w:id="794" w:name="_Toc15611"/>
    </w:p>
    <w:p>
      <w:pPr>
        <w:tabs>
          <w:tab w:val="left" w:pos="900"/>
        </w:tabs>
        <w:spacing w:line="360" w:lineRule="auto"/>
        <w:jc w:val="center"/>
        <w:rPr>
          <w:rFonts w:hAnsi="宋体" w:cs="宋体"/>
          <w:b/>
          <w:color w:val="auto"/>
          <w:sz w:val="32"/>
          <w:highlight w:val="none"/>
        </w:rPr>
      </w:pPr>
    </w:p>
    <w:p>
      <w:pPr>
        <w:tabs>
          <w:tab w:val="left" w:pos="900"/>
        </w:tabs>
        <w:spacing w:line="360" w:lineRule="auto"/>
        <w:jc w:val="center"/>
        <w:rPr>
          <w:rFonts w:hAnsi="宋体" w:cs="宋体"/>
          <w:b/>
          <w:color w:val="auto"/>
          <w:sz w:val="32"/>
          <w:highlight w:val="none"/>
        </w:rPr>
      </w:pPr>
    </w:p>
    <w:p>
      <w:pPr>
        <w:tabs>
          <w:tab w:val="left" w:pos="900"/>
        </w:tabs>
        <w:spacing w:line="360" w:lineRule="auto"/>
        <w:jc w:val="center"/>
        <w:rPr>
          <w:rFonts w:hAnsi="宋体" w:cs="宋体"/>
          <w:b/>
          <w:color w:val="auto"/>
          <w:sz w:val="32"/>
          <w:highlight w:val="none"/>
        </w:rPr>
      </w:pPr>
    </w:p>
    <w:p>
      <w:pPr>
        <w:tabs>
          <w:tab w:val="left" w:pos="900"/>
        </w:tabs>
        <w:spacing w:line="360" w:lineRule="auto"/>
        <w:jc w:val="center"/>
        <w:rPr>
          <w:rFonts w:hAnsi="宋体" w:cs="宋体"/>
          <w:b/>
          <w:color w:val="auto"/>
          <w:sz w:val="32"/>
          <w:highlight w:val="none"/>
        </w:rPr>
      </w:pPr>
    </w:p>
    <w:p>
      <w:pPr>
        <w:tabs>
          <w:tab w:val="left" w:pos="900"/>
        </w:tabs>
        <w:spacing w:line="360" w:lineRule="auto"/>
        <w:jc w:val="center"/>
        <w:rPr>
          <w:rFonts w:hAnsi="宋体" w:cs="宋体"/>
          <w:b/>
          <w:color w:val="auto"/>
          <w:sz w:val="32"/>
          <w:highlight w:val="none"/>
        </w:rPr>
      </w:pPr>
    </w:p>
    <w:p>
      <w:pPr>
        <w:tabs>
          <w:tab w:val="left" w:pos="900"/>
        </w:tabs>
        <w:spacing w:line="360" w:lineRule="auto"/>
        <w:jc w:val="center"/>
        <w:rPr>
          <w:rFonts w:hAnsi="宋体" w:cs="宋体"/>
          <w:b/>
          <w:color w:val="auto"/>
          <w:sz w:val="32"/>
          <w:highlight w:val="none"/>
        </w:rPr>
      </w:pPr>
    </w:p>
    <w:p>
      <w:pPr>
        <w:tabs>
          <w:tab w:val="left" w:pos="900"/>
        </w:tabs>
        <w:spacing w:line="360" w:lineRule="auto"/>
        <w:jc w:val="center"/>
        <w:rPr>
          <w:rFonts w:hAnsi="宋体" w:cs="宋体"/>
          <w:b/>
          <w:color w:val="auto"/>
          <w:sz w:val="32"/>
          <w:highlight w:val="none"/>
        </w:rPr>
      </w:pPr>
    </w:p>
    <w:p>
      <w:pPr>
        <w:numPr>
          <w:ilvl w:val="0"/>
          <w:numId w:val="6"/>
        </w:numPr>
        <w:tabs>
          <w:tab w:val="left" w:pos="900"/>
          <w:tab w:val="left" w:pos="3740"/>
        </w:tabs>
        <w:spacing w:line="360" w:lineRule="auto"/>
        <w:jc w:val="center"/>
        <w:outlineLvl w:val="1"/>
        <w:rPr>
          <w:rFonts w:hAnsi="宋体" w:cs="宋体"/>
          <w:b/>
          <w:color w:val="auto"/>
          <w:sz w:val="32"/>
          <w:highlight w:val="none"/>
        </w:rPr>
      </w:pPr>
      <w:bookmarkStart w:id="795" w:name="_Toc11318"/>
      <w:r>
        <w:rPr>
          <w:rFonts w:hint="eastAsia" w:hAnsi="宋体" w:cs="宋体"/>
          <w:b/>
          <w:color w:val="auto"/>
          <w:sz w:val="32"/>
          <w:highlight w:val="none"/>
        </w:rPr>
        <w:t>分 资格性投标文件(格式)</w:t>
      </w:r>
      <w:bookmarkEnd w:id="794"/>
      <w:bookmarkEnd w:id="795"/>
      <w:bookmarkStart w:id="796" w:name="_Toc16168"/>
      <w:bookmarkStart w:id="797" w:name="_Toc23537"/>
    </w:p>
    <w:p>
      <w:pPr>
        <w:wordWrap w:val="0"/>
        <w:spacing w:line="400" w:lineRule="exact"/>
        <w:ind w:left="931" w:leftChars="129" w:hanging="492" w:hangingChars="175"/>
        <w:rPr>
          <w:rFonts w:hAnsi="宋体" w:cs="宋体"/>
          <w:b/>
          <w:bCs/>
          <w:color w:val="auto"/>
          <w:sz w:val="24"/>
          <w:szCs w:val="24"/>
          <w:highlight w:val="none"/>
        </w:rPr>
      </w:pPr>
      <w:r>
        <w:rPr>
          <w:rFonts w:hint="eastAsia" w:hAnsi="宋体" w:cs="宋体"/>
          <w:b/>
          <w:bCs/>
          <w:color w:val="auto"/>
          <w:sz w:val="28"/>
          <w:szCs w:val="28"/>
          <w:highlight w:val="none"/>
        </w:rPr>
        <w:br w:type="page"/>
      </w:r>
      <w:bookmarkEnd w:id="796"/>
      <w:bookmarkEnd w:id="797"/>
      <w:bookmarkStart w:id="798" w:name="_Toc18702"/>
    </w:p>
    <w:p>
      <w:pPr>
        <w:pStyle w:val="5"/>
        <w:numPr>
          <w:ilvl w:val="0"/>
          <w:numId w:val="7"/>
        </w:numPr>
        <w:spacing w:line="400" w:lineRule="exact"/>
        <w:ind w:firstLine="0"/>
        <w:jc w:val="center"/>
        <w:rPr>
          <w:rFonts w:ascii="宋体" w:hAnsi="宋体" w:eastAsia="宋体" w:cs="宋体"/>
          <w:color w:val="auto"/>
          <w:sz w:val="28"/>
          <w:szCs w:val="28"/>
          <w:highlight w:val="none"/>
        </w:rPr>
      </w:pPr>
      <w:bookmarkStart w:id="799" w:name="_Toc9243"/>
      <w:bookmarkStart w:id="800" w:name="_Toc10036"/>
      <w:bookmarkStart w:id="801" w:name="_Toc9688"/>
      <w:r>
        <w:rPr>
          <w:rFonts w:hint="eastAsia" w:ascii="宋体" w:hAnsi="宋体" w:eastAsia="宋体" w:cs="宋体"/>
          <w:color w:val="auto"/>
          <w:sz w:val="28"/>
          <w:szCs w:val="28"/>
          <w:highlight w:val="none"/>
        </w:rPr>
        <w:t>法定代表人证明书</w:t>
      </w:r>
      <w:bookmarkEnd w:id="799"/>
      <w:bookmarkEnd w:id="800"/>
      <w:bookmarkEnd w:id="801"/>
    </w:p>
    <w:p>
      <w:pPr>
        <w:wordWrap w:val="0"/>
        <w:topLinePunct/>
        <w:spacing w:line="440" w:lineRule="exact"/>
        <w:rPr>
          <w:rFonts w:hAnsi="宋体" w:cs="宋体"/>
          <w:color w:val="auto"/>
          <w:sz w:val="24"/>
          <w:szCs w:val="24"/>
          <w:highlight w:val="none"/>
          <w:u w:val="single"/>
        </w:rPr>
      </w:pPr>
      <w:r>
        <w:rPr>
          <w:rFonts w:hint="eastAsia" w:hAnsi="宋体" w:cs="宋体"/>
          <w:color w:val="auto"/>
          <w:sz w:val="24"/>
          <w:szCs w:val="24"/>
          <w:highlight w:val="none"/>
        </w:rPr>
        <w:t>单位名称：</w:t>
      </w:r>
      <w:r>
        <w:rPr>
          <w:rFonts w:hint="eastAsia" w:hAnsi="宋体" w:cs="宋体"/>
          <w:color w:val="auto"/>
          <w:sz w:val="24"/>
          <w:szCs w:val="24"/>
          <w:highlight w:val="none"/>
          <w:u w:val="single"/>
        </w:rPr>
        <w:t xml:space="preserve">                  </w:t>
      </w:r>
    </w:p>
    <w:p>
      <w:pPr>
        <w:wordWrap w:val="0"/>
        <w:topLinePunct/>
        <w:spacing w:line="440" w:lineRule="exact"/>
        <w:rPr>
          <w:rFonts w:hAnsi="宋体" w:cs="宋体"/>
          <w:color w:val="auto"/>
          <w:sz w:val="24"/>
          <w:szCs w:val="24"/>
          <w:highlight w:val="none"/>
          <w:u w:val="single"/>
        </w:rPr>
      </w:pPr>
      <w:r>
        <w:rPr>
          <w:rFonts w:hint="eastAsia" w:hAnsi="宋体" w:cs="宋体"/>
          <w:color w:val="auto"/>
          <w:sz w:val="24"/>
          <w:szCs w:val="24"/>
          <w:highlight w:val="none"/>
        </w:rPr>
        <w:t>地    址：</w:t>
      </w:r>
      <w:r>
        <w:rPr>
          <w:rFonts w:hint="eastAsia" w:hAnsi="宋体" w:cs="宋体"/>
          <w:color w:val="auto"/>
          <w:sz w:val="24"/>
          <w:szCs w:val="24"/>
          <w:highlight w:val="none"/>
          <w:u w:val="single"/>
        </w:rPr>
        <w:t xml:space="preserve">                    </w:t>
      </w:r>
    </w:p>
    <w:p>
      <w:pPr>
        <w:wordWrap w:val="0"/>
        <w:topLinePunct/>
        <w:spacing w:line="440" w:lineRule="exact"/>
        <w:rPr>
          <w:rFonts w:hAnsi="宋体" w:cs="宋体"/>
          <w:color w:val="auto"/>
          <w:sz w:val="24"/>
          <w:szCs w:val="24"/>
          <w:highlight w:val="none"/>
          <w:u w:val="single"/>
        </w:rPr>
      </w:pPr>
      <w:r>
        <w:rPr>
          <w:rFonts w:hint="eastAsia" w:hAnsi="宋体" w:cs="宋体"/>
          <w:color w:val="auto"/>
          <w:sz w:val="24"/>
          <w:szCs w:val="24"/>
          <w:highlight w:val="none"/>
        </w:rPr>
        <w:t>姓    名：</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性别：</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职务：</w:t>
      </w:r>
      <w:r>
        <w:rPr>
          <w:rFonts w:hint="eastAsia" w:hAnsi="宋体" w:cs="宋体"/>
          <w:color w:val="auto"/>
          <w:sz w:val="24"/>
          <w:szCs w:val="24"/>
          <w:highlight w:val="none"/>
          <w:u w:val="single"/>
        </w:rPr>
        <w:t xml:space="preserve">             </w:t>
      </w:r>
    </w:p>
    <w:p>
      <w:pPr>
        <w:wordWrap w:val="0"/>
        <w:topLinePunct/>
        <w:spacing w:line="440" w:lineRule="exact"/>
        <w:ind w:firstLine="420"/>
        <w:rPr>
          <w:rFonts w:hAnsi="宋体" w:cs="宋体"/>
          <w:color w:val="auto"/>
          <w:sz w:val="24"/>
          <w:szCs w:val="24"/>
          <w:highlight w:val="none"/>
        </w:rPr>
      </w:pPr>
      <w:r>
        <w:rPr>
          <w:rFonts w:hint="eastAsia" w:hAnsi="宋体" w:cs="宋体"/>
          <w:color w:val="auto"/>
          <w:sz w:val="24"/>
          <w:szCs w:val="24"/>
          <w:highlight w:val="none"/>
        </w:rPr>
        <w:t>本人系(投标人名称)的法定代表人。就参加你单位组织的“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项目(项目编号：</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)的</w:t>
      </w:r>
      <w:r>
        <w:rPr>
          <w:rFonts w:hint="eastAsia" w:hAnsi="宋体" w:cs="宋体"/>
          <w:color w:val="auto"/>
          <w:sz w:val="24"/>
          <w:highlight w:val="none"/>
        </w:rPr>
        <w:t>投标</w:t>
      </w:r>
      <w:r>
        <w:rPr>
          <w:rFonts w:hint="eastAsia" w:hAnsi="宋体" w:cs="宋体"/>
          <w:color w:val="auto"/>
          <w:sz w:val="24"/>
          <w:szCs w:val="24"/>
          <w:highlight w:val="none"/>
        </w:rPr>
        <w:t>活动、并参与项目的投标、签订合同以及执行合同等一切事宜，我单位均予承认，所产生的法律后果均由我单位承担。</w:t>
      </w:r>
    </w:p>
    <w:p>
      <w:pPr>
        <w:topLinePunct/>
        <w:spacing w:line="440" w:lineRule="exact"/>
        <w:ind w:firstLine="500"/>
        <w:rPr>
          <w:rFonts w:hAnsi="宋体" w:cs="宋体"/>
          <w:color w:val="auto"/>
          <w:sz w:val="24"/>
          <w:szCs w:val="24"/>
          <w:highlight w:val="none"/>
        </w:rPr>
      </w:pPr>
      <w:r>
        <w:rPr>
          <w:rFonts w:hint="eastAsia" w:hAnsi="宋体" w:cs="宋体"/>
          <w:color w:val="auto"/>
          <w:sz w:val="24"/>
          <w:szCs w:val="24"/>
          <w:highlight w:val="none"/>
        </w:rPr>
        <w:t>特此证明。</w:t>
      </w:r>
    </w:p>
    <w:p>
      <w:pPr>
        <w:wordWrap w:val="0"/>
        <w:topLinePunct/>
        <w:spacing w:line="440" w:lineRule="exact"/>
        <w:ind w:firstLine="482" w:firstLineChars="200"/>
        <w:rPr>
          <w:rFonts w:hAnsi="宋体" w:cs="宋体"/>
          <w:b/>
          <w:color w:val="auto"/>
          <w:sz w:val="24"/>
          <w:szCs w:val="24"/>
          <w:highlight w:val="none"/>
        </w:rPr>
      </w:pPr>
    </w:p>
    <w:p>
      <w:pPr>
        <w:wordWrap w:val="0"/>
        <w:topLinePunct/>
        <w:spacing w:line="440" w:lineRule="exact"/>
        <w:ind w:firstLine="482" w:firstLineChars="200"/>
        <w:rPr>
          <w:rFonts w:hAnsi="宋体" w:cs="宋体"/>
          <w:b/>
          <w:color w:val="auto"/>
          <w:sz w:val="24"/>
          <w:szCs w:val="24"/>
          <w:highlight w:val="none"/>
        </w:rPr>
      </w:pPr>
    </w:p>
    <w:p>
      <w:pPr>
        <w:wordWrap w:val="0"/>
        <w:topLinePunct/>
        <w:spacing w:line="440" w:lineRule="exact"/>
        <w:ind w:firstLine="482" w:firstLineChars="200"/>
        <w:rPr>
          <w:rFonts w:hAnsi="宋体" w:cs="宋体"/>
          <w:b/>
          <w:color w:val="auto"/>
          <w:sz w:val="24"/>
          <w:szCs w:val="24"/>
          <w:highlight w:val="none"/>
        </w:rPr>
      </w:pPr>
      <w:r>
        <w:rPr>
          <w:rFonts w:hint="eastAsia" w:hAnsi="宋体" w:cs="宋体"/>
          <w:b/>
          <w:color w:val="auto"/>
          <w:sz w:val="24"/>
          <w:szCs w:val="24"/>
          <w:highlight w:val="none"/>
        </w:rPr>
        <w:t>附：法定代表人身份证复印件正反面</w:t>
      </w:r>
      <w:r>
        <w:rPr>
          <w:rFonts w:hint="eastAsia" w:hAnsi="宋体" w:cs="宋体"/>
          <w:b/>
          <w:bCs/>
          <w:color w:val="auto"/>
          <w:sz w:val="24"/>
          <w:szCs w:val="24"/>
          <w:highlight w:val="none"/>
        </w:rPr>
        <w:t>(供应商的法定代表人为外籍人士的，则提供护照复印件)</w:t>
      </w:r>
    </w:p>
    <w:p>
      <w:pPr>
        <w:wordWrap w:val="0"/>
        <w:topLinePunct/>
        <w:spacing w:line="400" w:lineRule="exact"/>
        <w:ind w:firstLine="482" w:firstLineChars="200"/>
        <w:rPr>
          <w:rFonts w:hAnsi="宋体" w:cs="宋体"/>
          <w:b/>
          <w:color w:val="auto"/>
          <w:sz w:val="24"/>
          <w:szCs w:val="24"/>
          <w:highlight w:val="none"/>
        </w:rPr>
      </w:pPr>
    </w:p>
    <w:p>
      <w:pPr>
        <w:wordWrap w:val="0"/>
        <w:topLinePunct/>
        <w:spacing w:line="600" w:lineRule="atLeast"/>
        <w:ind w:left="-617" w:firstLine="617"/>
        <w:jc w:val="center"/>
        <w:rPr>
          <w:rFonts w:hAnsi="宋体" w:cs="宋体"/>
          <w:b/>
          <w:bCs/>
          <w:color w:val="auto"/>
          <w:sz w:val="24"/>
          <w:szCs w:val="24"/>
          <w:highlight w:val="none"/>
        </w:rPr>
      </w:pPr>
    </w:p>
    <w:p>
      <w:pPr>
        <w:wordWrap w:val="0"/>
        <w:topLinePunct/>
        <w:spacing w:line="360" w:lineRule="auto"/>
        <w:ind w:left="-617" w:firstLine="617"/>
        <w:jc w:val="center"/>
        <w:rPr>
          <w:rFonts w:hAnsi="宋体" w:cs="宋体"/>
          <w:b/>
          <w:bCs/>
          <w:color w:val="auto"/>
          <w:sz w:val="24"/>
          <w:szCs w:val="24"/>
          <w:highlight w:val="none"/>
        </w:rPr>
      </w:pPr>
    </w:p>
    <w:p>
      <w:pPr>
        <w:wordWrap w:val="0"/>
        <w:topLinePunct/>
        <w:spacing w:line="440" w:lineRule="exact"/>
        <w:ind w:firstLine="496" w:firstLineChars="207"/>
        <w:rPr>
          <w:rFonts w:hAnsi="宋体" w:cs="宋体"/>
          <w:color w:val="auto"/>
          <w:sz w:val="24"/>
          <w:szCs w:val="24"/>
          <w:highlight w:val="none"/>
        </w:rPr>
      </w:pPr>
      <w:r>
        <w:rPr>
          <w:rFonts w:hint="eastAsia" w:hAnsi="宋体" w:cs="宋体"/>
          <w:color w:val="auto"/>
          <w:sz w:val="24"/>
          <w:szCs w:val="24"/>
          <w:highlight w:val="none"/>
        </w:rPr>
        <w:t xml:space="preserve">投标人名称： (盖章) </w:t>
      </w:r>
    </w:p>
    <w:p>
      <w:pPr>
        <w:wordWrap w:val="0"/>
        <w:topLinePunct/>
        <w:spacing w:line="440" w:lineRule="exact"/>
        <w:ind w:firstLine="496" w:firstLineChars="207"/>
        <w:rPr>
          <w:rFonts w:hAnsi="宋体" w:cs="宋体"/>
          <w:color w:val="auto"/>
          <w:sz w:val="24"/>
          <w:szCs w:val="24"/>
          <w:highlight w:val="none"/>
        </w:rPr>
      </w:pPr>
      <w:r>
        <w:rPr>
          <w:rFonts w:hint="eastAsia" w:hAnsi="宋体" w:cs="宋体"/>
          <w:color w:val="auto"/>
          <w:sz w:val="24"/>
          <w:szCs w:val="24"/>
          <w:highlight w:val="none"/>
        </w:rPr>
        <w:t>投标日期：</w:t>
      </w:r>
    </w:p>
    <w:p>
      <w:pPr>
        <w:wordWrap w:val="0"/>
        <w:topLinePunct/>
        <w:spacing w:line="600" w:lineRule="atLeast"/>
        <w:ind w:firstLine="826" w:firstLineChars="343"/>
        <w:rPr>
          <w:rFonts w:hAnsi="宋体" w:cs="宋体"/>
          <w:b/>
          <w:bCs/>
          <w:color w:val="auto"/>
          <w:sz w:val="24"/>
          <w:szCs w:val="24"/>
          <w:highlight w:val="none"/>
        </w:rPr>
      </w:pPr>
    </w:p>
    <w:p>
      <w:pPr>
        <w:wordWrap w:val="0"/>
        <w:spacing w:line="400" w:lineRule="exact"/>
        <w:ind w:left="17" w:leftChars="5" w:firstLine="482" w:firstLineChars="200"/>
        <w:rPr>
          <w:rFonts w:hAnsi="宋体" w:cs="宋体"/>
          <w:b/>
          <w:color w:val="auto"/>
          <w:sz w:val="24"/>
          <w:szCs w:val="24"/>
          <w:highlight w:val="none"/>
        </w:rPr>
      </w:pPr>
      <w:r>
        <w:rPr>
          <w:rFonts w:hint="eastAsia" w:hAnsi="宋体" w:cs="宋体"/>
          <w:b/>
          <w:color w:val="auto"/>
          <w:sz w:val="24"/>
          <w:szCs w:val="24"/>
          <w:highlight w:val="none"/>
        </w:rPr>
        <w:t>注：法定代表人亲自参加投标时适用本证明书。</w:t>
      </w:r>
    </w:p>
    <w:p>
      <w:pPr>
        <w:rPr>
          <w:rFonts w:hAnsi="宋体" w:cs="宋体"/>
          <w:b/>
          <w:color w:val="auto"/>
          <w:sz w:val="24"/>
          <w:szCs w:val="24"/>
          <w:highlight w:val="none"/>
        </w:rPr>
      </w:pPr>
      <w:r>
        <w:rPr>
          <w:rFonts w:hint="eastAsia" w:hAnsi="宋体" w:cs="宋体"/>
          <w:b/>
          <w:color w:val="auto"/>
          <w:sz w:val="24"/>
          <w:szCs w:val="24"/>
          <w:highlight w:val="none"/>
        </w:rPr>
        <w:br w:type="page"/>
      </w:r>
    </w:p>
    <w:p>
      <w:pPr>
        <w:numPr>
          <w:ilvl w:val="0"/>
          <w:numId w:val="8"/>
        </w:numPr>
        <w:tabs>
          <w:tab w:val="left" w:pos="900"/>
          <w:tab w:val="left" w:pos="3740"/>
        </w:tabs>
        <w:spacing w:line="360" w:lineRule="auto"/>
        <w:ind w:firstLine="0"/>
        <w:jc w:val="center"/>
        <w:outlineLvl w:val="1"/>
        <w:rPr>
          <w:rFonts w:hAnsi="宋体" w:cs="宋体"/>
          <w:b/>
          <w:bCs/>
          <w:color w:val="auto"/>
          <w:sz w:val="28"/>
          <w:szCs w:val="28"/>
          <w:highlight w:val="none"/>
        </w:rPr>
      </w:pPr>
      <w:bookmarkStart w:id="802" w:name="_Toc27359"/>
      <w:r>
        <w:rPr>
          <w:rFonts w:hint="eastAsia" w:hAnsi="宋体" w:cs="宋体"/>
          <w:b/>
          <w:bCs/>
          <w:color w:val="auto"/>
          <w:sz w:val="28"/>
          <w:szCs w:val="28"/>
          <w:highlight w:val="none"/>
        </w:rPr>
        <w:t>法定代表人授权书</w:t>
      </w:r>
      <w:bookmarkEnd w:id="802"/>
    </w:p>
    <w:p>
      <w:pPr>
        <w:spacing w:line="440" w:lineRule="exact"/>
        <w:rPr>
          <w:rFonts w:hAnsi="宋体" w:cs="宋体"/>
          <w:color w:val="auto"/>
          <w:sz w:val="24"/>
          <w:szCs w:val="24"/>
          <w:highlight w:val="none"/>
        </w:rPr>
      </w:pP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(采购代理机构名称)：</w:t>
      </w:r>
    </w:p>
    <w:p>
      <w:pPr>
        <w:wordWrap w:val="0"/>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本授权声明：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(投标人名称)</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(法定代表人姓名、职务)授权</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(被授权人姓名、职务、身份证号码)为我方参加 “</w:t>
      </w:r>
      <w:r>
        <w:rPr>
          <w:rFonts w:hint="eastAsia" w:hAnsi="宋体" w:cs="宋体"/>
          <w:color w:val="auto"/>
          <w:sz w:val="24"/>
          <w:szCs w:val="24"/>
          <w:highlight w:val="none"/>
          <w:u w:val="single"/>
        </w:rPr>
        <w:t xml:space="preserve">            (项目名称)    </w:t>
      </w:r>
      <w:r>
        <w:rPr>
          <w:rFonts w:hint="eastAsia" w:hAnsi="宋体" w:cs="宋体"/>
          <w:color w:val="auto"/>
          <w:sz w:val="24"/>
          <w:szCs w:val="24"/>
          <w:highlight w:val="none"/>
        </w:rPr>
        <w:t>”投标活动的合法代表，以我方名义全权处理该项目有关投标、签订合同以及执行合同等一切事宜，我单位均予承认，所产生的法律后果均由我单位承担。</w:t>
      </w:r>
    </w:p>
    <w:p>
      <w:pPr>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特此声明。</w:t>
      </w:r>
    </w:p>
    <w:p>
      <w:pPr>
        <w:spacing w:line="440" w:lineRule="exact"/>
        <w:ind w:firstLine="480" w:firstLineChars="200"/>
        <w:rPr>
          <w:rFonts w:hAnsi="宋体" w:cs="宋体"/>
          <w:color w:val="auto"/>
          <w:sz w:val="24"/>
          <w:szCs w:val="24"/>
          <w:highlight w:val="none"/>
        </w:rPr>
      </w:pPr>
    </w:p>
    <w:p>
      <w:pPr>
        <w:spacing w:line="440" w:lineRule="exact"/>
        <w:ind w:firstLine="480" w:firstLineChars="200"/>
        <w:rPr>
          <w:rFonts w:hAnsi="宋体" w:cs="宋体"/>
          <w:color w:val="auto"/>
          <w:sz w:val="24"/>
          <w:szCs w:val="24"/>
          <w:highlight w:val="none"/>
        </w:rPr>
      </w:pPr>
    </w:p>
    <w:p>
      <w:pPr>
        <w:wordWrap w:val="0"/>
        <w:topLinePunct/>
        <w:spacing w:line="440" w:lineRule="exact"/>
        <w:ind w:firstLine="482" w:firstLineChars="200"/>
        <w:rPr>
          <w:rFonts w:hAnsi="宋体" w:cs="宋体"/>
          <w:b/>
          <w:color w:val="auto"/>
          <w:sz w:val="24"/>
          <w:szCs w:val="24"/>
          <w:highlight w:val="none"/>
        </w:rPr>
      </w:pPr>
      <w:r>
        <w:rPr>
          <w:rFonts w:hint="eastAsia" w:hAnsi="宋体" w:cs="宋体"/>
          <w:b/>
          <w:color w:val="auto"/>
          <w:sz w:val="24"/>
          <w:szCs w:val="24"/>
          <w:highlight w:val="none"/>
        </w:rPr>
        <w:t>附：法定代表人和被授权人身份证复印件正反面</w:t>
      </w:r>
      <w:r>
        <w:rPr>
          <w:rFonts w:hint="eastAsia" w:hAnsi="宋体" w:cs="宋体"/>
          <w:b/>
          <w:bCs/>
          <w:color w:val="auto"/>
          <w:sz w:val="24"/>
          <w:szCs w:val="24"/>
          <w:highlight w:val="none"/>
        </w:rPr>
        <w:t>(供应商的法定代表人为外籍人士的，则提供护照复印件)</w:t>
      </w:r>
    </w:p>
    <w:p>
      <w:pPr>
        <w:spacing w:line="440" w:lineRule="exact"/>
        <w:ind w:firstLine="480" w:firstLineChars="200"/>
        <w:rPr>
          <w:rFonts w:hAnsi="宋体" w:cs="宋体"/>
          <w:color w:val="auto"/>
          <w:sz w:val="24"/>
          <w:szCs w:val="24"/>
          <w:highlight w:val="none"/>
        </w:rPr>
      </w:pPr>
    </w:p>
    <w:p>
      <w:pPr>
        <w:spacing w:line="440" w:lineRule="exact"/>
        <w:rPr>
          <w:rFonts w:hAnsi="宋体" w:cs="宋体"/>
          <w:color w:val="auto"/>
          <w:sz w:val="24"/>
          <w:szCs w:val="24"/>
          <w:highlight w:val="none"/>
        </w:rPr>
      </w:pPr>
    </w:p>
    <w:p>
      <w:pPr>
        <w:spacing w:line="440" w:lineRule="exact"/>
        <w:ind w:firstLine="480" w:firstLineChars="200"/>
        <w:rPr>
          <w:rFonts w:hAnsi="宋体" w:cs="宋体"/>
          <w:color w:val="auto"/>
          <w:sz w:val="24"/>
          <w:szCs w:val="24"/>
          <w:highlight w:val="none"/>
        </w:rPr>
      </w:pPr>
    </w:p>
    <w:p>
      <w:pPr>
        <w:spacing w:line="440" w:lineRule="exact"/>
        <w:ind w:firstLine="480" w:firstLineChars="200"/>
        <w:rPr>
          <w:rFonts w:hAnsi="宋体" w:cs="宋体"/>
          <w:color w:val="auto"/>
          <w:sz w:val="24"/>
          <w:szCs w:val="24"/>
          <w:highlight w:val="none"/>
        </w:rPr>
      </w:pPr>
    </w:p>
    <w:p>
      <w:pPr>
        <w:spacing w:line="440" w:lineRule="exact"/>
        <w:ind w:firstLine="480" w:firstLineChars="200"/>
        <w:rPr>
          <w:rFonts w:hAnsi="宋体" w:cs="宋体"/>
          <w:color w:val="auto"/>
          <w:sz w:val="24"/>
          <w:szCs w:val="24"/>
          <w:highlight w:val="none"/>
        </w:rPr>
      </w:pPr>
    </w:p>
    <w:p>
      <w:pPr>
        <w:spacing w:line="440" w:lineRule="exact"/>
        <w:rPr>
          <w:rFonts w:hAnsi="宋体" w:cs="宋体"/>
          <w:color w:val="auto"/>
          <w:sz w:val="24"/>
          <w:szCs w:val="24"/>
          <w:highlight w:val="none"/>
        </w:rPr>
      </w:pPr>
    </w:p>
    <w:p>
      <w:pPr>
        <w:spacing w:line="440" w:lineRule="exact"/>
        <w:ind w:firstLine="480" w:firstLineChars="200"/>
        <w:rPr>
          <w:rFonts w:hAnsi="宋体" w:cs="宋体"/>
          <w:color w:val="auto"/>
          <w:sz w:val="24"/>
          <w:szCs w:val="24"/>
          <w:highlight w:val="none"/>
        </w:rPr>
      </w:pPr>
    </w:p>
    <w:p>
      <w:pPr>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法定代表人：</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(签字或盖章)</w:t>
      </w:r>
    </w:p>
    <w:p>
      <w:pPr>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授权代表：</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(签字或盖章)</w:t>
      </w:r>
    </w:p>
    <w:p>
      <w:pPr>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投标人名称：</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(盖章)</w:t>
      </w:r>
    </w:p>
    <w:p>
      <w:pPr>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投标日期：</w:t>
      </w:r>
      <w:r>
        <w:rPr>
          <w:rFonts w:hint="eastAsia" w:hAnsi="宋体" w:cs="宋体"/>
          <w:color w:val="auto"/>
          <w:sz w:val="24"/>
          <w:szCs w:val="24"/>
          <w:highlight w:val="none"/>
          <w:u w:val="single"/>
        </w:rPr>
        <w:t xml:space="preserve">          </w:t>
      </w:r>
    </w:p>
    <w:p>
      <w:pPr>
        <w:spacing w:line="440" w:lineRule="exact"/>
        <w:jc w:val="center"/>
        <w:rPr>
          <w:rFonts w:hAnsi="宋体" w:cs="宋体"/>
          <w:b/>
          <w:color w:val="auto"/>
          <w:sz w:val="24"/>
          <w:szCs w:val="24"/>
          <w:highlight w:val="none"/>
        </w:rPr>
      </w:pPr>
    </w:p>
    <w:p>
      <w:pPr>
        <w:wordWrap w:val="0"/>
        <w:spacing w:line="440" w:lineRule="exact"/>
        <w:ind w:left="861" w:leftChars="129" w:hanging="422" w:hangingChars="175"/>
        <w:rPr>
          <w:rFonts w:hAnsi="宋体" w:cs="宋体"/>
          <w:b/>
          <w:bCs/>
          <w:color w:val="auto"/>
          <w:sz w:val="24"/>
          <w:szCs w:val="24"/>
          <w:highlight w:val="none"/>
        </w:rPr>
      </w:pPr>
      <w:r>
        <w:rPr>
          <w:rFonts w:hint="eastAsia" w:hAnsi="宋体" w:cs="宋体"/>
          <w:b/>
          <w:color w:val="auto"/>
          <w:sz w:val="24"/>
          <w:szCs w:val="24"/>
          <w:highlight w:val="none"/>
        </w:rPr>
        <w:t>注：法定代表人不亲自参加投标，而授权代表参加投标的适用。</w:t>
      </w:r>
    </w:p>
    <w:p>
      <w:pPr>
        <w:pStyle w:val="7"/>
        <w:rPr>
          <w:rFonts w:hAnsi="宋体" w:eastAsia="宋体" w:cs="宋体"/>
          <w:color w:val="auto"/>
          <w:highlight w:val="none"/>
        </w:rPr>
      </w:pPr>
    </w:p>
    <w:p>
      <w:pPr>
        <w:pStyle w:val="5"/>
        <w:numPr>
          <w:ilvl w:val="0"/>
          <w:numId w:val="7"/>
        </w:numPr>
        <w:spacing w:line="400" w:lineRule="exact"/>
        <w:ind w:firstLine="0"/>
        <w:jc w:val="center"/>
        <w:rPr>
          <w:rFonts w:ascii="宋体" w:hAnsi="宋体" w:eastAsia="宋体" w:cs="宋体"/>
          <w:color w:val="auto"/>
          <w:sz w:val="28"/>
          <w:szCs w:val="28"/>
          <w:highlight w:val="none"/>
        </w:rPr>
      </w:pPr>
      <w:bookmarkStart w:id="803" w:name="_Toc3822"/>
      <w:bookmarkStart w:id="804" w:name="_Toc28397"/>
      <w:r>
        <w:rPr>
          <w:rFonts w:hint="eastAsia" w:ascii="宋体" w:hAnsi="宋体" w:eastAsia="宋体" w:cs="宋体"/>
          <w:color w:val="auto"/>
          <w:sz w:val="28"/>
          <w:szCs w:val="28"/>
          <w:highlight w:val="none"/>
        </w:rPr>
        <w:br w:type="page"/>
      </w:r>
      <w:bookmarkStart w:id="805" w:name="_Toc22073"/>
      <w:r>
        <w:rPr>
          <w:rFonts w:hint="eastAsia" w:ascii="宋体" w:hAnsi="宋体" w:eastAsia="宋体" w:cs="宋体"/>
          <w:color w:val="auto"/>
          <w:sz w:val="28"/>
          <w:szCs w:val="28"/>
          <w:highlight w:val="none"/>
        </w:rPr>
        <w:t>具有独立承担民事责任的能力的证明材料</w:t>
      </w:r>
      <w:bookmarkEnd w:id="805"/>
    </w:p>
    <w:bookmarkEnd w:id="803"/>
    <w:bookmarkEnd w:id="804"/>
    <w:p>
      <w:pPr>
        <w:pStyle w:val="5"/>
        <w:numPr>
          <w:ilvl w:val="0"/>
          <w:numId w:val="7"/>
        </w:numPr>
        <w:spacing w:line="400" w:lineRule="exact"/>
        <w:ind w:firstLine="0"/>
        <w:jc w:val="center"/>
        <w:rPr>
          <w:rFonts w:ascii="宋体" w:hAnsi="宋体" w:eastAsia="宋体" w:cs="宋体"/>
          <w:color w:val="auto"/>
          <w:sz w:val="28"/>
          <w:szCs w:val="28"/>
          <w:highlight w:val="none"/>
        </w:rPr>
      </w:pPr>
      <w:bookmarkStart w:id="806" w:name="_Toc14566"/>
      <w:r>
        <w:rPr>
          <w:rFonts w:hint="eastAsia" w:ascii="宋体" w:hAnsi="宋体" w:eastAsia="宋体" w:cs="宋体"/>
          <w:color w:val="auto"/>
          <w:sz w:val="28"/>
          <w:szCs w:val="28"/>
          <w:highlight w:val="none"/>
        </w:rPr>
        <w:br w:type="page"/>
      </w:r>
      <w:bookmarkStart w:id="807" w:name="_Toc30285"/>
      <w:r>
        <w:rPr>
          <w:rFonts w:hint="eastAsia" w:ascii="宋体" w:hAnsi="宋体" w:eastAsia="宋体" w:cs="宋体"/>
          <w:color w:val="auto"/>
          <w:sz w:val="28"/>
          <w:szCs w:val="28"/>
          <w:highlight w:val="none"/>
        </w:rPr>
        <w:t>具有健全的财务会计制度的证明材料</w:t>
      </w:r>
      <w:bookmarkEnd w:id="807"/>
    </w:p>
    <w:bookmarkEnd w:id="806"/>
    <w:p>
      <w:pPr>
        <w:wordWrap w:val="0"/>
        <w:spacing w:line="400" w:lineRule="exact"/>
        <w:ind w:left="17" w:leftChars="5" w:firstLine="562" w:firstLineChars="200"/>
        <w:rPr>
          <w:rFonts w:hAnsi="宋体" w:cs="宋体"/>
          <w:b/>
          <w:bCs/>
          <w:color w:val="auto"/>
          <w:sz w:val="28"/>
          <w:szCs w:val="28"/>
          <w:highlight w:val="none"/>
        </w:rPr>
      </w:pPr>
      <w:bookmarkStart w:id="808" w:name="_Toc5443"/>
      <w:r>
        <w:rPr>
          <w:rFonts w:hint="eastAsia" w:hAnsi="宋体" w:cs="宋体"/>
          <w:b/>
          <w:bCs/>
          <w:color w:val="auto"/>
          <w:sz w:val="28"/>
          <w:szCs w:val="28"/>
          <w:highlight w:val="none"/>
        </w:rPr>
        <w:br w:type="page"/>
      </w:r>
      <w:bookmarkEnd w:id="808"/>
      <w:bookmarkStart w:id="809" w:name="_Toc5011"/>
      <w:bookmarkStart w:id="810" w:name="_Toc12311"/>
    </w:p>
    <w:p>
      <w:pPr>
        <w:rPr>
          <w:rFonts w:hAnsi="宋体" w:cs="宋体"/>
          <w:b/>
          <w:bCs/>
          <w:color w:val="auto"/>
          <w:sz w:val="28"/>
          <w:szCs w:val="28"/>
          <w:highlight w:val="none"/>
        </w:rPr>
      </w:pPr>
    </w:p>
    <w:p>
      <w:pPr>
        <w:jc w:val="center"/>
        <w:rPr>
          <w:rFonts w:hAnsi="宋体" w:cs="宋体"/>
          <w:b/>
          <w:bCs/>
          <w:color w:val="auto"/>
          <w:sz w:val="28"/>
          <w:szCs w:val="28"/>
          <w:highlight w:val="none"/>
        </w:rPr>
      </w:pPr>
      <w:r>
        <w:rPr>
          <w:rFonts w:hint="eastAsia" w:hAnsi="宋体" w:cs="宋体"/>
          <w:b/>
          <w:bCs/>
          <w:color w:val="auto"/>
          <w:sz w:val="28"/>
          <w:szCs w:val="28"/>
          <w:highlight w:val="none"/>
        </w:rPr>
        <w:t>（四）承诺及声明函</w:t>
      </w:r>
      <w:bookmarkEnd w:id="809"/>
      <w:bookmarkEnd w:id="810"/>
    </w:p>
    <w:p>
      <w:pPr>
        <w:widowControl/>
        <w:spacing w:line="440" w:lineRule="exact"/>
        <w:jc w:val="left"/>
        <w:rPr>
          <w:rFonts w:hAnsi="宋体" w:cs="宋体"/>
          <w:color w:val="auto"/>
          <w:sz w:val="24"/>
          <w:szCs w:val="24"/>
          <w:highlight w:val="none"/>
          <w:lang w:val="zh-CN"/>
        </w:rPr>
      </w:pPr>
      <w:r>
        <w:rPr>
          <w:rFonts w:hint="eastAsia" w:hAnsi="宋体" w:cs="宋体"/>
          <w:color w:val="auto"/>
          <w:sz w:val="24"/>
          <w:highlight w:val="none"/>
          <w:u w:val="single"/>
        </w:rPr>
        <w:t>(采购代理机构名称)</w:t>
      </w:r>
      <w:r>
        <w:rPr>
          <w:rFonts w:hint="eastAsia" w:hAnsi="宋体" w:cs="宋体"/>
          <w:color w:val="auto"/>
          <w:sz w:val="24"/>
          <w:highlight w:val="none"/>
        </w:rPr>
        <w:t>：</w:t>
      </w:r>
      <w:bookmarkStart w:id="811" w:name="_Toc9591"/>
      <w:bookmarkStart w:id="812" w:name="_Toc14299"/>
      <w:r>
        <w:rPr>
          <w:rFonts w:hint="eastAsia" w:hAnsi="宋体" w:cs="宋体"/>
          <w:color w:val="auto"/>
          <w:sz w:val="24"/>
          <w:szCs w:val="24"/>
          <w:highlight w:val="none"/>
          <w:lang w:val="zh-CN"/>
        </w:rPr>
        <w:t>　</w:t>
      </w:r>
    </w:p>
    <w:p>
      <w:pPr>
        <w:wordWrap w:val="0"/>
        <w:adjustRightInd w:val="0"/>
        <w:spacing w:line="400" w:lineRule="exact"/>
        <w:ind w:firstLine="420" w:firstLineChars="175"/>
        <w:jc w:val="left"/>
        <w:rPr>
          <w:rFonts w:hAnsi="宋体" w:cs="宋体"/>
          <w:bCs/>
          <w:color w:val="auto"/>
          <w:sz w:val="24"/>
          <w:szCs w:val="24"/>
          <w:highlight w:val="none"/>
          <w:lang w:val="zh-CN"/>
        </w:rPr>
      </w:pPr>
      <w:r>
        <w:rPr>
          <w:rFonts w:hint="eastAsia" w:hAnsi="宋体" w:cs="宋体"/>
          <w:bCs/>
          <w:color w:val="auto"/>
          <w:sz w:val="24"/>
          <w:szCs w:val="24"/>
          <w:highlight w:val="none"/>
          <w:lang w:val="zh-CN"/>
        </w:rPr>
        <w:t>本公司(公司名称)参加(项目名称)(项目编号：)的投标活动，现我公司承诺</w:t>
      </w:r>
      <w:r>
        <w:rPr>
          <w:rFonts w:hint="eastAsia" w:hAnsi="宋体" w:cs="宋体"/>
          <w:bCs/>
          <w:color w:val="auto"/>
          <w:sz w:val="24"/>
          <w:szCs w:val="24"/>
          <w:highlight w:val="none"/>
        </w:rPr>
        <w:t>及声明如下</w:t>
      </w:r>
      <w:r>
        <w:rPr>
          <w:rFonts w:hint="eastAsia" w:hAnsi="宋体" w:cs="宋体"/>
          <w:bCs/>
          <w:color w:val="auto"/>
          <w:sz w:val="24"/>
          <w:szCs w:val="24"/>
          <w:highlight w:val="none"/>
          <w:lang w:val="zh-CN"/>
        </w:rPr>
        <w:t>：</w:t>
      </w:r>
    </w:p>
    <w:p>
      <w:pPr>
        <w:widowControl/>
        <w:shd w:val="clear" w:color="auto" w:fill="FFFFFF"/>
        <w:spacing w:line="360" w:lineRule="atLeast"/>
        <w:ind w:firstLine="480" w:firstLineChars="200"/>
        <w:jc w:val="left"/>
        <w:rPr>
          <w:rFonts w:hAnsi="宋体" w:cs="宋体"/>
          <w:color w:val="auto"/>
          <w:sz w:val="24"/>
          <w:highlight w:val="none"/>
        </w:rPr>
      </w:pPr>
      <w:r>
        <w:rPr>
          <w:rFonts w:hint="eastAsia" w:hAnsi="宋体" w:cs="宋体"/>
          <w:color w:val="auto"/>
          <w:sz w:val="24"/>
          <w:highlight w:val="none"/>
        </w:rPr>
        <w:t>一、具备《中华人民共和国政府采购法》第二十二条第一款和本项目规定的条件：</w:t>
      </w:r>
    </w:p>
    <w:p>
      <w:pPr>
        <w:widowControl/>
        <w:shd w:val="clear" w:color="auto" w:fill="FFFFFF"/>
        <w:spacing w:line="360" w:lineRule="atLeast"/>
        <w:ind w:firstLine="480" w:firstLineChars="200"/>
        <w:jc w:val="left"/>
        <w:rPr>
          <w:rFonts w:hint="eastAsia" w:hAnsi="宋体" w:eastAsia="宋体" w:cs="宋体"/>
          <w:color w:val="auto"/>
          <w:sz w:val="24"/>
          <w:highlight w:val="none"/>
          <w:lang w:eastAsia="zh-CN"/>
        </w:rPr>
      </w:pPr>
      <w:r>
        <w:rPr>
          <w:rFonts w:hint="eastAsia" w:hAnsi="宋体" w:cs="宋体"/>
          <w:color w:val="auto"/>
          <w:sz w:val="24"/>
          <w:highlight w:val="none"/>
        </w:rPr>
        <w:t xml:space="preserve">(一)具有独立承担民事责任的能力； </w:t>
      </w:r>
    </w:p>
    <w:p>
      <w:pPr>
        <w:widowControl/>
        <w:shd w:val="clear" w:color="auto" w:fill="FFFFFF"/>
        <w:spacing w:line="360" w:lineRule="atLeast"/>
        <w:ind w:firstLine="480" w:firstLineChars="200"/>
        <w:jc w:val="left"/>
        <w:rPr>
          <w:rFonts w:hint="eastAsia" w:hAnsi="宋体" w:eastAsia="宋体" w:cs="宋体"/>
          <w:color w:val="auto"/>
          <w:sz w:val="24"/>
          <w:highlight w:val="none"/>
          <w:lang w:eastAsia="zh-CN"/>
        </w:rPr>
      </w:pPr>
      <w:r>
        <w:rPr>
          <w:rFonts w:hint="eastAsia" w:hAnsi="宋体" w:cs="宋体"/>
          <w:color w:val="auto"/>
          <w:sz w:val="24"/>
          <w:highlight w:val="none"/>
        </w:rPr>
        <w:t xml:space="preserve">　　(二)具有良好的商业信誉和健全的财务会计制度； </w:t>
      </w:r>
    </w:p>
    <w:p>
      <w:pPr>
        <w:widowControl/>
        <w:shd w:val="clear" w:color="auto" w:fill="FFFFFF"/>
        <w:spacing w:line="360" w:lineRule="atLeast"/>
        <w:ind w:firstLine="480" w:firstLineChars="200"/>
        <w:jc w:val="left"/>
        <w:rPr>
          <w:rFonts w:hint="eastAsia" w:hAnsi="宋体" w:eastAsia="宋体" w:cs="宋体"/>
          <w:color w:val="auto"/>
          <w:sz w:val="24"/>
          <w:highlight w:val="none"/>
          <w:lang w:eastAsia="zh-CN"/>
        </w:rPr>
      </w:pPr>
      <w:r>
        <w:rPr>
          <w:rFonts w:hint="eastAsia" w:hAnsi="宋体" w:cs="宋体"/>
          <w:color w:val="auto"/>
          <w:sz w:val="24"/>
          <w:highlight w:val="none"/>
        </w:rPr>
        <w:t xml:space="preserve">　　(三)具有履行合同所必需的设备和专业技术能力； </w:t>
      </w:r>
    </w:p>
    <w:p>
      <w:pPr>
        <w:widowControl/>
        <w:shd w:val="clear" w:color="auto" w:fill="FFFFFF"/>
        <w:spacing w:line="360" w:lineRule="atLeast"/>
        <w:ind w:firstLine="480" w:firstLineChars="200"/>
        <w:jc w:val="left"/>
        <w:rPr>
          <w:rFonts w:hint="eastAsia" w:hAnsi="宋体" w:eastAsia="宋体" w:cs="宋体"/>
          <w:color w:val="auto"/>
          <w:sz w:val="24"/>
          <w:highlight w:val="none"/>
          <w:lang w:eastAsia="zh-CN"/>
        </w:rPr>
      </w:pPr>
      <w:r>
        <w:rPr>
          <w:rFonts w:hint="eastAsia" w:hAnsi="宋体" w:cs="宋体"/>
          <w:color w:val="auto"/>
          <w:sz w:val="24"/>
          <w:highlight w:val="none"/>
        </w:rPr>
        <w:t xml:space="preserve">　　(四)有依法缴纳税收和社会保障资金的良好记录； </w:t>
      </w:r>
    </w:p>
    <w:p>
      <w:pPr>
        <w:widowControl/>
        <w:shd w:val="clear" w:color="auto" w:fill="FFFFFF"/>
        <w:spacing w:line="360" w:lineRule="atLeast"/>
        <w:ind w:firstLine="480" w:firstLineChars="200"/>
        <w:jc w:val="left"/>
        <w:rPr>
          <w:rFonts w:hAnsi="宋体" w:cs="宋体"/>
          <w:color w:val="auto"/>
          <w:sz w:val="24"/>
          <w:highlight w:val="none"/>
        </w:rPr>
      </w:pPr>
      <w:r>
        <w:rPr>
          <w:rFonts w:hint="eastAsia" w:hAnsi="宋体" w:cs="宋体"/>
          <w:color w:val="auto"/>
          <w:sz w:val="24"/>
          <w:highlight w:val="none"/>
        </w:rPr>
        <w:t>　　(五)参加本次政府采购活动前三年内，在经营活动中没有重大违法记录(成立不足三年的从成立之日起计算)；</w:t>
      </w:r>
    </w:p>
    <w:p>
      <w:pPr>
        <w:widowControl/>
        <w:shd w:val="clear" w:color="auto" w:fill="FFFFFF"/>
        <w:spacing w:line="360" w:lineRule="atLeast"/>
        <w:ind w:firstLine="480" w:firstLineChars="200"/>
        <w:jc w:val="left"/>
        <w:rPr>
          <w:rFonts w:hAnsi="宋体" w:cs="宋体"/>
          <w:color w:val="auto"/>
          <w:sz w:val="24"/>
          <w:highlight w:val="none"/>
        </w:rPr>
      </w:pPr>
      <w:r>
        <w:rPr>
          <w:rFonts w:hint="eastAsia" w:hAnsi="宋体" w:cs="宋体"/>
          <w:color w:val="auto"/>
          <w:sz w:val="24"/>
          <w:highlight w:val="none"/>
        </w:rPr>
        <w:t>(六)法律、行政法规规定的其他条件；</w:t>
      </w:r>
    </w:p>
    <w:p>
      <w:pPr>
        <w:widowControl/>
        <w:shd w:val="clear" w:color="auto" w:fill="FFFFFF"/>
        <w:spacing w:line="360" w:lineRule="atLeast"/>
        <w:ind w:firstLine="480" w:firstLineChars="200"/>
        <w:jc w:val="left"/>
        <w:rPr>
          <w:rFonts w:hAnsi="宋体" w:cs="宋体"/>
          <w:color w:val="auto"/>
          <w:sz w:val="24"/>
          <w:highlight w:val="none"/>
        </w:rPr>
      </w:pPr>
      <w:r>
        <w:rPr>
          <w:rFonts w:hint="eastAsia" w:hAnsi="宋体" w:cs="宋体"/>
          <w:color w:val="auto"/>
          <w:sz w:val="24"/>
          <w:highlight w:val="none"/>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widowControl/>
        <w:shd w:val="clear" w:color="auto" w:fill="FFFFFF"/>
        <w:spacing w:line="360" w:lineRule="atLeast"/>
        <w:ind w:firstLine="480" w:firstLineChars="200"/>
        <w:jc w:val="left"/>
        <w:rPr>
          <w:rFonts w:hAnsi="宋体" w:cs="宋体"/>
          <w:color w:val="auto"/>
          <w:sz w:val="24"/>
          <w:highlight w:val="none"/>
        </w:rPr>
      </w:pPr>
      <w:r>
        <w:rPr>
          <w:rFonts w:hint="eastAsia" w:hAnsi="宋体" w:cs="宋体"/>
          <w:color w:val="auto"/>
          <w:sz w:val="24"/>
          <w:highlight w:val="none"/>
        </w:rPr>
        <w:t>三、参加本次招标采购活动，不存在与单位负责人为同一人或者存在直接控股、管理关系的其他供应商参与同一合同项下的政府采购活动的行为。</w:t>
      </w:r>
    </w:p>
    <w:p>
      <w:pPr>
        <w:widowControl/>
        <w:shd w:val="clear" w:color="auto" w:fill="FFFFFF"/>
        <w:spacing w:line="360" w:lineRule="atLeast"/>
        <w:ind w:firstLine="480" w:firstLineChars="200"/>
        <w:jc w:val="left"/>
        <w:rPr>
          <w:rFonts w:hAnsi="宋体" w:cs="宋体"/>
          <w:color w:val="auto"/>
          <w:sz w:val="24"/>
          <w:highlight w:val="none"/>
        </w:rPr>
      </w:pPr>
      <w:r>
        <w:rPr>
          <w:rFonts w:hint="eastAsia" w:hAnsi="宋体" w:cs="宋体"/>
          <w:color w:val="auto"/>
          <w:sz w:val="24"/>
          <w:highlight w:val="none"/>
        </w:rPr>
        <w:t>四、参加本次招标采购活动，不存在和其他供应商在同一合同项下的采购项目中，同时委托同一个自然人、同一家庭的人员、同一单位的人员作为代理人的行为。</w:t>
      </w:r>
    </w:p>
    <w:p>
      <w:pPr>
        <w:widowControl/>
        <w:shd w:val="clear" w:color="auto" w:fill="FFFFFF"/>
        <w:spacing w:line="360" w:lineRule="atLeast"/>
        <w:ind w:firstLine="480" w:firstLineChars="200"/>
        <w:jc w:val="left"/>
        <w:rPr>
          <w:rFonts w:hAnsi="宋体" w:cs="宋体"/>
          <w:color w:val="auto"/>
          <w:sz w:val="24"/>
          <w:highlight w:val="none"/>
        </w:rPr>
      </w:pPr>
      <w:r>
        <w:rPr>
          <w:rFonts w:hint="eastAsia" w:hAnsi="宋体" w:cs="宋体"/>
          <w:color w:val="auto"/>
          <w:sz w:val="24"/>
          <w:highlight w:val="none"/>
        </w:rPr>
        <w:t>五、我单位未对本次采购项目提供过整体设计、规范编制或者项目管理、监理、检测等服务。</w:t>
      </w:r>
    </w:p>
    <w:p>
      <w:pPr>
        <w:widowControl/>
        <w:shd w:val="clear" w:color="auto" w:fill="FFFFFF"/>
        <w:spacing w:line="360" w:lineRule="atLeast"/>
        <w:ind w:firstLine="480" w:firstLineChars="200"/>
        <w:jc w:val="left"/>
        <w:rPr>
          <w:rFonts w:hAnsi="宋体" w:cs="宋体"/>
          <w:color w:val="auto"/>
          <w:sz w:val="24"/>
          <w:highlight w:val="none"/>
        </w:rPr>
      </w:pPr>
      <w:r>
        <w:rPr>
          <w:rFonts w:hint="eastAsia" w:hAnsi="宋体" w:cs="宋体"/>
          <w:color w:val="auto"/>
          <w:sz w:val="24"/>
          <w:highlight w:val="none"/>
        </w:rPr>
        <w:t>六、截至响应文件递交截止日未被列入失信被执行人、重大税收违法案件当事人名单、政府采购严重违法失信行为记录名单。</w:t>
      </w:r>
    </w:p>
    <w:p>
      <w:pPr>
        <w:widowControl/>
        <w:shd w:val="clear" w:color="auto" w:fill="FFFFFF"/>
        <w:spacing w:line="360" w:lineRule="atLeast"/>
        <w:ind w:firstLine="420"/>
        <w:jc w:val="left"/>
        <w:rPr>
          <w:rFonts w:hAnsi="宋体" w:cs="宋体"/>
          <w:color w:val="auto"/>
          <w:sz w:val="24"/>
          <w:highlight w:val="none"/>
        </w:rPr>
      </w:pPr>
      <w:r>
        <w:rPr>
          <w:rFonts w:hint="eastAsia" w:hAnsi="宋体" w:cs="宋体"/>
          <w:color w:val="auto"/>
          <w:sz w:val="24"/>
          <w:highlight w:val="none"/>
        </w:rPr>
        <w:t>七、投标文件中提供的能够给予我公司带来优惠、好处的任何材料资料和技术、服务、商务等响应承诺情况都是真实的、有效的、合法的。</w:t>
      </w:r>
    </w:p>
    <w:p>
      <w:pPr>
        <w:pStyle w:val="24"/>
        <w:ind w:firstLine="480" w:firstLineChars="200"/>
        <w:rPr>
          <w:rFonts w:ascii="宋体" w:hAnsi="宋体" w:cs="宋体"/>
          <w:color w:val="auto"/>
          <w:highlight w:val="none"/>
        </w:rPr>
      </w:pPr>
      <w:r>
        <w:rPr>
          <w:rFonts w:hint="eastAsia" w:ascii="宋体" w:hAnsi="宋体" w:cs="宋体"/>
          <w:color w:val="auto"/>
          <w:sz w:val="24"/>
          <w:highlight w:val="none"/>
        </w:rPr>
        <w:t>八、参加本次招标采购活动，本单位及其现任法定代表人/主要负责人无行贿犯罪记录；</w:t>
      </w:r>
    </w:p>
    <w:p>
      <w:pPr>
        <w:adjustRightInd w:val="0"/>
        <w:spacing w:line="400" w:lineRule="exact"/>
        <w:ind w:firstLine="420" w:firstLineChars="175"/>
        <w:jc w:val="left"/>
        <w:rPr>
          <w:rFonts w:hAnsi="宋体" w:cs="宋体"/>
          <w:bCs/>
          <w:color w:val="auto"/>
          <w:sz w:val="24"/>
          <w:szCs w:val="24"/>
          <w:highlight w:val="none"/>
          <w:lang w:val="zh-CN"/>
        </w:rPr>
      </w:pPr>
      <w:r>
        <w:rPr>
          <w:rFonts w:hint="eastAsia" w:hAnsi="宋体" w:cs="宋体"/>
          <w:color w:val="auto"/>
          <w:sz w:val="24"/>
          <w:highlight w:val="none"/>
        </w:rPr>
        <w:t>本公司对上述承诺的内容事项真实性负责。如经查实上述承诺的内容事项存在虚假，我公司愿意接受以提供虚假材料谋取中标追究法律责任。</w:t>
      </w:r>
    </w:p>
    <w:p>
      <w:pPr>
        <w:adjustRightInd w:val="0"/>
        <w:spacing w:line="400" w:lineRule="exact"/>
        <w:jc w:val="left"/>
        <w:rPr>
          <w:rFonts w:hAnsi="宋体" w:cs="宋体"/>
          <w:bCs/>
          <w:color w:val="auto"/>
          <w:sz w:val="24"/>
          <w:szCs w:val="24"/>
          <w:highlight w:val="none"/>
        </w:rPr>
      </w:pPr>
    </w:p>
    <w:p>
      <w:pPr>
        <w:adjustRightInd w:val="0"/>
        <w:spacing w:line="400" w:lineRule="exact"/>
        <w:ind w:firstLine="420" w:firstLineChars="175"/>
        <w:jc w:val="left"/>
        <w:rPr>
          <w:rFonts w:hAnsi="宋体" w:cs="宋体"/>
          <w:bCs/>
          <w:color w:val="auto"/>
          <w:sz w:val="24"/>
          <w:szCs w:val="24"/>
          <w:highlight w:val="none"/>
        </w:rPr>
      </w:pPr>
      <w:r>
        <w:rPr>
          <w:rFonts w:hint="eastAsia" w:hAnsi="宋体" w:cs="宋体"/>
          <w:bCs/>
          <w:color w:val="auto"/>
          <w:sz w:val="24"/>
          <w:szCs w:val="24"/>
          <w:highlight w:val="none"/>
        </w:rPr>
        <w:t>投标人名称：         (盖章)</w:t>
      </w:r>
    </w:p>
    <w:p>
      <w:pPr>
        <w:widowControl/>
        <w:tabs>
          <w:tab w:val="left" w:pos="900"/>
        </w:tabs>
        <w:spacing w:line="440" w:lineRule="exact"/>
        <w:ind w:firstLine="460" w:firstLineChars="192"/>
        <w:jc w:val="left"/>
        <w:rPr>
          <w:rFonts w:hAnsi="宋体" w:cs="宋体"/>
          <w:color w:val="auto"/>
          <w:sz w:val="28"/>
          <w:szCs w:val="28"/>
          <w:highlight w:val="none"/>
        </w:rPr>
      </w:pPr>
      <w:r>
        <w:rPr>
          <w:rFonts w:hint="eastAsia" w:hAnsi="宋体" w:cs="宋体"/>
          <w:bCs/>
          <w:color w:val="auto"/>
          <w:sz w:val="24"/>
          <w:szCs w:val="24"/>
          <w:highlight w:val="none"/>
        </w:rPr>
        <w:t xml:space="preserve">日  期：  </w:t>
      </w:r>
      <w:r>
        <w:rPr>
          <w:rFonts w:hint="eastAsia" w:hAnsi="宋体" w:cs="宋体"/>
          <w:b/>
          <w:bCs/>
          <w:color w:val="auto"/>
          <w:sz w:val="28"/>
          <w:szCs w:val="28"/>
          <w:highlight w:val="none"/>
        </w:rPr>
        <w:br w:type="page"/>
      </w:r>
      <w:bookmarkEnd w:id="811"/>
      <w:bookmarkEnd w:id="812"/>
    </w:p>
    <w:p>
      <w:pPr>
        <w:widowControl/>
        <w:shd w:val="clear" w:color="auto" w:fill="FFFFFF"/>
        <w:spacing w:line="440" w:lineRule="exact"/>
        <w:jc w:val="center"/>
        <w:rPr>
          <w:rFonts w:hAnsi="宋体" w:cs="宋体"/>
          <w:color w:val="auto"/>
          <w:highlight w:val="none"/>
        </w:rPr>
      </w:pPr>
      <w:bookmarkStart w:id="813" w:name="_Toc18982"/>
      <w:bookmarkStart w:id="814" w:name="_Toc25575"/>
      <w:r>
        <w:rPr>
          <w:rFonts w:hint="eastAsia" w:hAnsi="宋体" w:cs="宋体"/>
          <w:b/>
          <w:bCs/>
          <w:color w:val="auto"/>
          <w:sz w:val="28"/>
          <w:szCs w:val="28"/>
          <w:highlight w:val="none"/>
        </w:rPr>
        <w:t>(五）招标文件要求提供的其他资格证明文件(若有则填写)</w:t>
      </w:r>
      <w:bookmarkEnd w:id="813"/>
      <w:bookmarkEnd w:id="814"/>
    </w:p>
    <w:p>
      <w:pPr>
        <w:tabs>
          <w:tab w:val="left" w:pos="900"/>
        </w:tabs>
        <w:spacing w:line="360" w:lineRule="auto"/>
        <w:jc w:val="center"/>
        <w:rPr>
          <w:rFonts w:hAnsi="宋体" w:cs="宋体"/>
          <w:color w:val="auto"/>
          <w:highlight w:val="none"/>
        </w:rPr>
      </w:pPr>
    </w:p>
    <w:p>
      <w:pPr>
        <w:tabs>
          <w:tab w:val="left" w:pos="900"/>
        </w:tabs>
        <w:spacing w:line="360" w:lineRule="auto"/>
        <w:jc w:val="center"/>
        <w:rPr>
          <w:rFonts w:hAnsi="宋体" w:cs="宋体"/>
          <w:color w:val="auto"/>
          <w:highlight w:val="none"/>
        </w:rPr>
      </w:pPr>
    </w:p>
    <w:p>
      <w:pPr>
        <w:tabs>
          <w:tab w:val="left" w:pos="900"/>
        </w:tabs>
        <w:spacing w:line="360" w:lineRule="auto"/>
        <w:jc w:val="center"/>
        <w:rPr>
          <w:rFonts w:hAnsi="宋体" w:cs="宋体"/>
          <w:color w:val="auto"/>
          <w:highlight w:val="none"/>
        </w:rPr>
      </w:pPr>
    </w:p>
    <w:p>
      <w:pPr>
        <w:tabs>
          <w:tab w:val="left" w:pos="900"/>
        </w:tabs>
        <w:spacing w:line="360" w:lineRule="auto"/>
        <w:jc w:val="center"/>
        <w:rPr>
          <w:rFonts w:hAnsi="宋体" w:cs="宋体"/>
          <w:color w:val="auto"/>
          <w:highlight w:val="none"/>
        </w:rPr>
      </w:pPr>
    </w:p>
    <w:p>
      <w:pPr>
        <w:tabs>
          <w:tab w:val="left" w:pos="900"/>
        </w:tabs>
        <w:spacing w:line="360" w:lineRule="auto"/>
        <w:jc w:val="center"/>
        <w:rPr>
          <w:rFonts w:hAnsi="宋体" w:cs="宋体"/>
          <w:color w:val="auto"/>
          <w:highlight w:val="none"/>
        </w:rPr>
      </w:pPr>
    </w:p>
    <w:p>
      <w:pPr>
        <w:tabs>
          <w:tab w:val="left" w:pos="900"/>
        </w:tabs>
        <w:spacing w:line="360" w:lineRule="auto"/>
        <w:jc w:val="center"/>
        <w:rPr>
          <w:rFonts w:hAnsi="宋体" w:cs="宋体"/>
          <w:color w:val="auto"/>
          <w:highlight w:val="none"/>
        </w:rPr>
      </w:pPr>
    </w:p>
    <w:p>
      <w:pPr>
        <w:pStyle w:val="2"/>
        <w:numPr>
          <w:ilvl w:val="4"/>
          <w:numId w:val="0"/>
        </w:numPr>
        <w:outlineLvl w:val="9"/>
        <w:rPr>
          <w:rFonts w:ascii="宋体" w:hAnsi="宋体" w:eastAsia="宋体" w:cs="宋体"/>
          <w:color w:val="auto"/>
          <w:highlight w:val="none"/>
        </w:rPr>
      </w:pPr>
    </w:p>
    <w:p>
      <w:pPr>
        <w:pStyle w:val="3"/>
        <w:rPr>
          <w:rFonts w:ascii="宋体" w:hAnsi="宋体" w:cs="宋体"/>
          <w:color w:val="auto"/>
          <w:highlight w:val="none"/>
        </w:rPr>
      </w:pPr>
    </w:p>
    <w:p>
      <w:pPr>
        <w:pStyle w:val="3"/>
        <w:rPr>
          <w:rFonts w:ascii="宋体" w:hAnsi="宋体" w:cs="宋体"/>
          <w:color w:val="auto"/>
          <w:highlight w:val="none"/>
        </w:rPr>
      </w:pPr>
    </w:p>
    <w:p>
      <w:pPr>
        <w:pStyle w:val="3"/>
        <w:rPr>
          <w:rFonts w:ascii="宋体" w:hAnsi="宋体" w:cs="宋体"/>
          <w:color w:val="auto"/>
          <w:highlight w:val="none"/>
        </w:rPr>
      </w:pPr>
    </w:p>
    <w:p>
      <w:pPr>
        <w:pStyle w:val="3"/>
        <w:rPr>
          <w:rFonts w:ascii="宋体" w:hAnsi="宋体" w:cs="宋体"/>
          <w:color w:val="auto"/>
          <w:highlight w:val="none"/>
        </w:rPr>
      </w:pPr>
    </w:p>
    <w:p>
      <w:pPr>
        <w:pStyle w:val="3"/>
        <w:rPr>
          <w:rFonts w:ascii="宋体" w:hAnsi="宋体" w:cs="宋体"/>
          <w:color w:val="auto"/>
          <w:highlight w:val="none"/>
        </w:rPr>
      </w:pPr>
    </w:p>
    <w:p>
      <w:pPr>
        <w:pStyle w:val="3"/>
        <w:rPr>
          <w:rFonts w:ascii="宋体" w:hAnsi="宋体" w:cs="宋体"/>
          <w:color w:val="auto"/>
          <w:highlight w:val="none"/>
        </w:rPr>
      </w:pPr>
    </w:p>
    <w:p>
      <w:pPr>
        <w:pStyle w:val="3"/>
        <w:rPr>
          <w:rFonts w:ascii="宋体" w:hAnsi="宋体" w:cs="宋体"/>
          <w:color w:val="auto"/>
          <w:highlight w:val="none"/>
        </w:rPr>
      </w:pPr>
    </w:p>
    <w:p>
      <w:pPr>
        <w:pStyle w:val="3"/>
        <w:rPr>
          <w:rFonts w:ascii="宋体" w:hAnsi="宋体" w:cs="宋体"/>
          <w:color w:val="auto"/>
          <w:highlight w:val="none"/>
        </w:rPr>
      </w:pPr>
    </w:p>
    <w:p>
      <w:pPr>
        <w:pStyle w:val="3"/>
        <w:rPr>
          <w:rFonts w:ascii="宋体" w:hAnsi="宋体" w:cs="宋体"/>
          <w:color w:val="auto"/>
          <w:highlight w:val="none"/>
        </w:rPr>
      </w:pPr>
    </w:p>
    <w:p>
      <w:pPr>
        <w:pStyle w:val="3"/>
        <w:rPr>
          <w:rFonts w:ascii="宋体" w:hAnsi="宋体" w:cs="宋体"/>
          <w:color w:val="auto"/>
          <w:highlight w:val="none"/>
        </w:rPr>
      </w:pPr>
    </w:p>
    <w:p>
      <w:pPr>
        <w:pStyle w:val="3"/>
        <w:rPr>
          <w:rFonts w:ascii="宋体" w:hAnsi="宋体" w:cs="宋体"/>
          <w:color w:val="auto"/>
          <w:highlight w:val="none"/>
        </w:rPr>
      </w:pPr>
    </w:p>
    <w:p>
      <w:pPr>
        <w:pStyle w:val="3"/>
        <w:rPr>
          <w:rFonts w:ascii="宋体" w:hAnsi="宋体" w:cs="宋体"/>
          <w:color w:val="auto"/>
          <w:highlight w:val="none"/>
        </w:rPr>
      </w:pPr>
    </w:p>
    <w:p>
      <w:pPr>
        <w:pStyle w:val="3"/>
        <w:rPr>
          <w:rFonts w:ascii="宋体" w:hAnsi="宋体" w:cs="宋体"/>
          <w:color w:val="auto"/>
          <w:highlight w:val="none"/>
        </w:rPr>
      </w:pPr>
    </w:p>
    <w:p>
      <w:pPr>
        <w:pStyle w:val="3"/>
        <w:rPr>
          <w:rFonts w:ascii="宋体" w:hAnsi="宋体" w:cs="宋体"/>
          <w:color w:val="auto"/>
          <w:highlight w:val="none"/>
        </w:rPr>
      </w:pPr>
    </w:p>
    <w:p>
      <w:pPr>
        <w:pStyle w:val="3"/>
        <w:rPr>
          <w:rFonts w:ascii="宋体" w:hAnsi="宋体" w:cs="宋体"/>
          <w:color w:val="auto"/>
          <w:highlight w:val="none"/>
        </w:rPr>
      </w:pPr>
    </w:p>
    <w:p>
      <w:pPr>
        <w:pStyle w:val="3"/>
        <w:rPr>
          <w:rFonts w:ascii="宋体" w:hAnsi="宋体" w:cs="宋体"/>
          <w:color w:val="auto"/>
          <w:highlight w:val="none"/>
        </w:rPr>
      </w:pPr>
    </w:p>
    <w:p>
      <w:pPr>
        <w:pStyle w:val="3"/>
        <w:rPr>
          <w:rFonts w:ascii="宋体" w:hAnsi="宋体" w:cs="宋体"/>
          <w:color w:val="auto"/>
          <w:highlight w:val="none"/>
        </w:rPr>
      </w:pPr>
    </w:p>
    <w:p>
      <w:pPr>
        <w:pStyle w:val="3"/>
        <w:rPr>
          <w:rFonts w:ascii="宋体" w:hAnsi="宋体" w:cs="宋体"/>
          <w:color w:val="auto"/>
          <w:highlight w:val="none"/>
        </w:rPr>
      </w:pPr>
    </w:p>
    <w:p>
      <w:pPr>
        <w:pStyle w:val="3"/>
        <w:rPr>
          <w:rFonts w:ascii="宋体" w:hAnsi="宋体" w:cs="宋体"/>
          <w:color w:val="auto"/>
          <w:highlight w:val="none"/>
        </w:rPr>
      </w:pPr>
    </w:p>
    <w:p>
      <w:pPr>
        <w:pStyle w:val="3"/>
        <w:rPr>
          <w:rFonts w:ascii="宋体" w:hAnsi="宋体" w:cs="宋体"/>
          <w:color w:val="auto"/>
          <w:highlight w:val="none"/>
        </w:rPr>
      </w:pPr>
    </w:p>
    <w:p>
      <w:pPr>
        <w:pStyle w:val="3"/>
        <w:rPr>
          <w:rFonts w:ascii="宋体" w:hAnsi="宋体" w:cs="宋体"/>
          <w:color w:val="auto"/>
          <w:highlight w:val="none"/>
        </w:rPr>
      </w:pPr>
    </w:p>
    <w:p>
      <w:pPr>
        <w:pStyle w:val="3"/>
        <w:rPr>
          <w:rFonts w:ascii="宋体" w:hAnsi="宋体" w:cs="宋体"/>
          <w:color w:val="auto"/>
          <w:highlight w:val="none"/>
        </w:rPr>
      </w:pPr>
    </w:p>
    <w:p>
      <w:pPr>
        <w:pStyle w:val="3"/>
        <w:rPr>
          <w:rFonts w:ascii="宋体" w:hAnsi="宋体" w:cs="宋体"/>
          <w:color w:val="auto"/>
          <w:highlight w:val="none"/>
        </w:rPr>
      </w:pPr>
    </w:p>
    <w:p>
      <w:pPr>
        <w:pStyle w:val="3"/>
        <w:rPr>
          <w:rFonts w:ascii="宋体" w:hAnsi="宋体" w:cs="宋体"/>
          <w:color w:val="auto"/>
          <w:highlight w:val="none"/>
        </w:rPr>
      </w:pPr>
    </w:p>
    <w:p>
      <w:pPr>
        <w:pStyle w:val="3"/>
        <w:rPr>
          <w:rFonts w:ascii="宋体" w:hAnsi="宋体" w:cs="宋体"/>
          <w:color w:val="auto"/>
          <w:highlight w:val="none"/>
        </w:rPr>
      </w:pPr>
    </w:p>
    <w:p>
      <w:pPr>
        <w:pStyle w:val="3"/>
        <w:rPr>
          <w:rFonts w:ascii="宋体" w:hAnsi="宋体" w:cs="宋体"/>
          <w:color w:val="auto"/>
          <w:highlight w:val="none"/>
        </w:rPr>
      </w:pPr>
    </w:p>
    <w:p>
      <w:pPr>
        <w:pStyle w:val="3"/>
        <w:rPr>
          <w:rFonts w:ascii="宋体" w:hAnsi="宋体" w:cs="宋体"/>
          <w:color w:val="auto"/>
          <w:highlight w:val="none"/>
        </w:rPr>
      </w:pPr>
    </w:p>
    <w:p>
      <w:pPr>
        <w:pStyle w:val="3"/>
        <w:rPr>
          <w:rFonts w:ascii="宋体" w:hAnsi="宋体" w:cs="宋体"/>
          <w:color w:val="auto"/>
          <w:highlight w:val="none"/>
        </w:rPr>
      </w:pPr>
    </w:p>
    <w:p>
      <w:pPr>
        <w:pStyle w:val="3"/>
        <w:rPr>
          <w:rFonts w:ascii="宋体" w:hAnsi="宋体" w:cs="宋体"/>
          <w:color w:val="auto"/>
          <w:highlight w:val="none"/>
        </w:rPr>
      </w:pPr>
    </w:p>
    <w:p>
      <w:pPr>
        <w:pStyle w:val="3"/>
        <w:rPr>
          <w:rFonts w:ascii="宋体" w:hAnsi="宋体" w:cs="宋体"/>
          <w:color w:val="auto"/>
          <w:highlight w:val="none"/>
        </w:rPr>
      </w:pPr>
    </w:p>
    <w:p>
      <w:pPr>
        <w:pStyle w:val="3"/>
        <w:rPr>
          <w:rFonts w:ascii="宋体" w:hAnsi="宋体" w:cs="宋体"/>
          <w:color w:val="auto"/>
          <w:highlight w:val="none"/>
        </w:rPr>
      </w:pPr>
    </w:p>
    <w:p>
      <w:pPr>
        <w:pStyle w:val="3"/>
        <w:rPr>
          <w:rFonts w:ascii="宋体" w:hAnsi="宋体" w:cs="宋体"/>
          <w:color w:val="auto"/>
          <w:highlight w:val="none"/>
        </w:rPr>
      </w:pPr>
    </w:p>
    <w:p>
      <w:pPr>
        <w:pStyle w:val="3"/>
        <w:rPr>
          <w:rFonts w:ascii="宋体" w:hAnsi="宋体" w:cs="宋体"/>
          <w:color w:val="auto"/>
          <w:highlight w:val="none"/>
        </w:rPr>
      </w:pPr>
    </w:p>
    <w:p>
      <w:pPr>
        <w:pStyle w:val="3"/>
        <w:rPr>
          <w:rFonts w:ascii="宋体" w:hAnsi="宋体" w:cs="宋体"/>
          <w:color w:val="auto"/>
          <w:highlight w:val="none"/>
        </w:rPr>
      </w:pPr>
    </w:p>
    <w:p>
      <w:pPr>
        <w:tabs>
          <w:tab w:val="left" w:pos="900"/>
        </w:tabs>
        <w:spacing w:line="360" w:lineRule="auto"/>
        <w:jc w:val="center"/>
        <w:rPr>
          <w:rFonts w:hAnsi="宋体" w:cs="宋体"/>
          <w:color w:val="auto"/>
          <w:highlight w:val="none"/>
        </w:rPr>
      </w:pPr>
    </w:p>
    <w:p>
      <w:pPr>
        <w:tabs>
          <w:tab w:val="left" w:pos="900"/>
        </w:tabs>
        <w:spacing w:line="360" w:lineRule="auto"/>
        <w:jc w:val="center"/>
        <w:rPr>
          <w:rFonts w:hAnsi="宋体" w:cs="宋体"/>
          <w:color w:val="auto"/>
          <w:highlight w:val="none"/>
        </w:rPr>
      </w:pPr>
    </w:p>
    <w:p>
      <w:pPr>
        <w:tabs>
          <w:tab w:val="left" w:pos="900"/>
        </w:tabs>
        <w:spacing w:line="360" w:lineRule="auto"/>
        <w:jc w:val="center"/>
        <w:outlineLvl w:val="1"/>
        <w:rPr>
          <w:rFonts w:hAnsi="宋体" w:cs="宋体"/>
          <w:b/>
          <w:color w:val="auto"/>
          <w:sz w:val="32"/>
          <w:highlight w:val="none"/>
        </w:rPr>
      </w:pPr>
      <w:bookmarkStart w:id="815" w:name="_Toc2428"/>
      <w:r>
        <w:rPr>
          <w:rFonts w:hint="eastAsia" w:hAnsi="宋体" w:cs="宋体"/>
          <w:b/>
          <w:color w:val="auto"/>
          <w:sz w:val="32"/>
          <w:highlight w:val="none"/>
        </w:rPr>
        <w:t>第二部分 其他响应性投标文件(格式)</w:t>
      </w:r>
      <w:bookmarkEnd w:id="815"/>
    </w:p>
    <w:p>
      <w:pPr>
        <w:keepNext/>
        <w:keepLines/>
        <w:spacing w:before="240" w:beforeLines="100" w:after="240" w:afterLines="100"/>
        <w:rPr>
          <w:rFonts w:hAnsi="宋体" w:cs="宋体"/>
          <w:color w:val="auto"/>
          <w:highlight w:val="none"/>
        </w:rPr>
      </w:pPr>
      <w:bookmarkStart w:id="816" w:name="_Toc26038"/>
    </w:p>
    <w:p>
      <w:pPr>
        <w:pStyle w:val="14"/>
        <w:rPr>
          <w:rFonts w:ascii="宋体" w:hAnsi="宋体" w:cs="宋体"/>
          <w:color w:val="auto"/>
          <w:highlight w:val="none"/>
        </w:rPr>
      </w:pPr>
    </w:p>
    <w:p>
      <w:pPr>
        <w:pStyle w:val="14"/>
        <w:rPr>
          <w:rFonts w:ascii="宋体" w:hAnsi="宋体" w:cs="宋体"/>
          <w:color w:val="auto"/>
          <w:highlight w:val="none"/>
        </w:rPr>
      </w:pPr>
    </w:p>
    <w:p>
      <w:pPr>
        <w:pStyle w:val="14"/>
        <w:rPr>
          <w:rFonts w:ascii="宋体" w:hAnsi="宋体" w:cs="宋体"/>
          <w:color w:val="auto"/>
          <w:highlight w:val="none"/>
        </w:rPr>
      </w:pPr>
    </w:p>
    <w:p>
      <w:pPr>
        <w:pStyle w:val="14"/>
        <w:rPr>
          <w:rFonts w:ascii="宋体" w:hAnsi="宋体" w:cs="宋体"/>
          <w:color w:val="auto"/>
          <w:highlight w:val="none"/>
        </w:rPr>
      </w:pPr>
    </w:p>
    <w:p>
      <w:pPr>
        <w:pStyle w:val="14"/>
        <w:rPr>
          <w:rFonts w:ascii="宋体" w:hAnsi="宋体" w:cs="宋体"/>
          <w:color w:val="auto"/>
          <w:highlight w:val="none"/>
        </w:rPr>
      </w:pPr>
    </w:p>
    <w:p>
      <w:pPr>
        <w:pStyle w:val="14"/>
        <w:rPr>
          <w:rFonts w:ascii="宋体" w:hAnsi="宋体" w:cs="宋体"/>
          <w:color w:val="auto"/>
          <w:highlight w:val="none"/>
        </w:rPr>
      </w:pPr>
    </w:p>
    <w:p>
      <w:pPr>
        <w:pStyle w:val="14"/>
        <w:rPr>
          <w:rFonts w:ascii="宋体" w:hAnsi="宋体" w:cs="宋体"/>
          <w:color w:val="auto"/>
          <w:highlight w:val="none"/>
        </w:rPr>
      </w:pPr>
    </w:p>
    <w:p>
      <w:pPr>
        <w:pStyle w:val="14"/>
        <w:rPr>
          <w:rFonts w:ascii="宋体" w:hAnsi="宋体" w:cs="宋体"/>
          <w:color w:val="auto"/>
          <w:highlight w:val="none"/>
        </w:rPr>
      </w:pPr>
    </w:p>
    <w:p>
      <w:pPr>
        <w:pStyle w:val="14"/>
        <w:rPr>
          <w:rFonts w:ascii="宋体" w:hAnsi="宋体" w:cs="宋体"/>
          <w:color w:val="auto"/>
          <w:highlight w:val="none"/>
        </w:rPr>
      </w:pPr>
    </w:p>
    <w:p>
      <w:pPr>
        <w:pStyle w:val="14"/>
        <w:rPr>
          <w:rFonts w:ascii="宋体" w:hAnsi="宋体" w:cs="宋体"/>
          <w:color w:val="auto"/>
          <w:highlight w:val="none"/>
        </w:rPr>
      </w:pPr>
    </w:p>
    <w:p>
      <w:pPr>
        <w:pStyle w:val="14"/>
        <w:rPr>
          <w:rFonts w:ascii="宋体" w:hAnsi="宋体" w:cs="宋体"/>
          <w:color w:val="auto"/>
          <w:highlight w:val="none"/>
        </w:rPr>
      </w:pPr>
    </w:p>
    <w:p>
      <w:pPr>
        <w:rPr>
          <w:rFonts w:hAnsi="宋体" w:cs="宋体"/>
          <w:color w:val="auto"/>
          <w:highlight w:val="none"/>
        </w:rPr>
      </w:pPr>
      <w:r>
        <w:rPr>
          <w:rFonts w:hint="eastAsia" w:hAnsi="宋体" w:cs="宋体"/>
          <w:color w:val="auto"/>
          <w:highlight w:val="none"/>
        </w:rPr>
        <w:br w:type="page"/>
      </w:r>
    </w:p>
    <w:p>
      <w:pPr>
        <w:rPr>
          <w:rFonts w:hAnsi="宋体" w:cs="宋体"/>
          <w:color w:val="auto"/>
          <w:highlight w:val="none"/>
        </w:rPr>
      </w:pPr>
    </w:p>
    <w:p>
      <w:pPr>
        <w:pStyle w:val="14"/>
        <w:rPr>
          <w:rFonts w:ascii="宋体" w:hAnsi="宋体" w:cs="宋体"/>
          <w:color w:val="auto"/>
          <w:highlight w:val="none"/>
        </w:rPr>
      </w:pPr>
    </w:p>
    <w:p>
      <w:pPr>
        <w:pStyle w:val="5"/>
        <w:numPr>
          <w:ilvl w:val="0"/>
          <w:numId w:val="9"/>
        </w:numPr>
        <w:spacing w:before="240" w:beforeLines="100" w:after="240" w:afterLines="100" w:line="240" w:lineRule="auto"/>
        <w:ind w:firstLine="0"/>
        <w:jc w:val="center"/>
        <w:rPr>
          <w:rFonts w:ascii="宋体" w:hAnsi="宋体" w:eastAsia="宋体" w:cs="宋体"/>
          <w:color w:val="auto"/>
          <w:szCs w:val="28"/>
          <w:highlight w:val="none"/>
        </w:rPr>
      </w:pPr>
      <w:bookmarkStart w:id="817" w:name="_Toc388"/>
      <w:r>
        <w:rPr>
          <w:rFonts w:hint="eastAsia" w:ascii="宋体" w:hAnsi="宋体" w:eastAsia="宋体" w:cs="宋体"/>
          <w:color w:val="auto"/>
          <w:szCs w:val="28"/>
          <w:highlight w:val="none"/>
        </w:rPr>
        <w:t xml:space="preserve"> 投标函</w:t>
      </w:r>
      <w:bookmarkEnd w:id="798"/>
      <w:bookmarkEnd w:id="816"/>
      <w:bookmarkEnd w:id="817"/>
    </w:p>
    <w:p>
      <w:pPr>
        <w:spacing w:line="360" w:lineRule="auto"/>
        <w:rPr>
          <w:rFonts w:hAnsi="宋体" w:cs="宋体"/>
          <w:color w:val="auto"/>
          <w:sz w:val="24"/>
          <w:szCs w:val="24"/>
          <w:highlight w:val="none"/>
          <w:lang w:val="zh-CN"/>
        </w:rPr>
      </w:pPr>
      <w:r>
        <w:rPr>
          <w:rFonts w:hint="eastAsia" w:hAnsi="宋体" w:cs="宋体"/>
          <w:color w:val="auto"/>
          <w:sz w:val="24"/>
          <w:szCs w:val="24"/>
          <w:highlight w:val="none"/>
          <w:lang w:val="zh-CN"/>
        </w:rPr>
        <w:t>致：</w:t>
      </w:r>
      <w:r>
        <w:rPr>
          <w:rFonts w:hint="eastAsia" w:hAnsi="宋体" w:cs="宋体"/>
          <w:color w:val="auto"/>
          <w:sz w:val="24"/>
          <w:szCs w:val="24"/>
          <w:highlight w:val="none"/>
          <w:u w:val="single"/>
        </w:rPr>
        <w:t xml:space="preserve">           采购代理机构  </w:t>
      </w:r>
    </w:p>
    <w:p>
      <w:pPr>
        <w:pStyle w:val="20"/>
        <w:wordWrap w:val="0"/>
        <w:spacing w:after="0" w:line="400" w:lineRule="exact"/>
        <w:ind w:left="0" w:leftChars="0"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我方全面研究了 “</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”项目招标文件(项目编号：</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)，决定参加贵单位组织的本项目投标。我方授权</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(姓名、职务)代表我</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(投标单位的名称)全权处理本项目投标的有关事宜。</w:t>
      </w:r>
    </w:p>
    <w:p>
      <w:pPr>
        <w:pStyle w:val="20"/>
        <w:numPr>
          <w:ilvl w:val="0"/>
          <w:numId w:val="10"/>
        </w:numPr>
        <w:wordWrap w:val="0"/>
        <w:spacing w:after="0" w:line="400" w:lineRule="exact"/>
        <w:ind w:left="16" w:leftChars="0" w:firstLine="458" w:firstLineChars="191"/>
        <w:jc w:val="left"/>
        <w:rPr>
          <w:rFonts w:ascii="宋体" w:hAnsi="宋体" w:cs="宋体"/>
          <w:bCs/>
          <w:color w:val="auto"/>
          <w:sz w:val="24"/>
          <w:szCs w:val="24"/>
          <w:highlight w:val="none"/>
        </w:rPr>
      </w:pPr>
      <w:r>
        <w:rPr>
          <w:rFonts w:hint="eastAsia" w:ascii="宋体" w:hAnsi="宋体" w:cs="宋体"/>
          <w:bCs/>
          <w:color w:val="auto"/>
          <w:sz w:val="24"/>
          <w:szCs w:val="24"/>
          <w:highlight w:val="none"/>
        </w:rPr>
        <w:t>我方自愿按照招标文件规定的各项要求向采购人提供所需货物/服务。</w:t>
      </w:r>
    </w:p>
    <w:p>
      <w:pPr>
        <w:pStyle w:val="20"/>
        <w:wordWrap w:val="0"/>
        <w:spacing w:after="0" w:line="400" w:lineRule="exact"/>
        <w:ind w:left="0" w:leftChars="0"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2、一旦我方中标，我方将严格履行合同规定的责任和义务，</w:t>
      </w:r>
      <w:r>
        <w:rPr>
          <w:rFonts w:hint="eastAsia" w:ascii="宋体" w:hAnsi="宋体" w:cs="宋体"/>
          <w:bCs/>
          <w:color w:val="auto"/>
          <w:sz w:val="24"/>
          <w:highlight w:val="none"/>
        </w:rPr>
        <w:t>按采购人要求时间完成项目规定的所有服务内容</w:t>
      </w:r>
      <w:r>
        <w:rPr>
          <w:rFonts w:hint="eastAsia" w:ascii="宋体" w:hAnsi="宋体" w:cs="宋体"/>
          <w:bCs/>
          <w:color w:val="auto"/>
          <w:sz w:val="24"/>
          <w:szCs w:val="24"/>
          <w:highlight w:val="none"/>
        </w:rPr>
        <w:t xml:space="preserve">。   </w:t>
      </w:r>
    </w:p>
    <w:p>
      <w:pPr>
        <w:pStyle w:val="20"/>
        <w:spacing w:after="0" w:line="400" w:lineRule="exact"/>
        <w:ind w:left="0" w:leftChars="0"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3、我方承诺：投标有效期为提交投标文件的截止之日起90天。</w:t>
      </w:r>
    </w:p>
    <w:p>
      <w:pPr>
        <w:pStyle w:val="20"/>
        <w:spacing w:after="0" w:line="400" w:lineRule="exact"/>
        <w:ind w:left="0" w:leftChars="0"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4、我方承诺在投标文件响应以外，包括采购过程中和合同履约、项目验收等过程中完全接受和满足本项目招标文件明确规定了为实质性内容，但在符合性审查事项表格中未列明的实质性要求事项（如采购预算、最高限价、无偿或低于成本价不正当竞争预防措施、进口产品（如涉及）、合格的投标人、投标费用、充分、公平竞争保障措施、投标文件的语言、计量单位、投标货币、知识产权、投标有效期、合同分包、合同转包、履约保证金等实质性要求等）。</w:t>
      </w:r>
    </w:p>
    <w:p>
      <w:pPr>
        <w:pStyle w:val="20"/>
        <w:spacing w:after="0" w:line="400" w:lineRule="exact"/>
        <w:ind w:left="0" w:leftChars="0"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5、我方愿意提供贵公司可能另外要求的，与投标有关的文件资料，并保证我方已提供和将要提供的文件资料是真实、准确的。</w:t>
      </w:r>
    </w:p>
    <w:p>
      <w:pPr>
        <w:pStyle w:val="20"/>
        <w:spacing w:after="0" w:line="400" w:lineRule="exact"/>
        <w:ind w:left="0" w:leftChars="0"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6、我方完全理解采购人不一定将合同授予最低报价的投标人的行为。</w:t>
      </w:r>
    </w:p>
    <w:p>
      <w:pPr>
        <w:pStyle w:val="20"/>
        <w:spacing w:after="0" w:line="400" w:lineRule="exact"/>
        <w:ind w:left="0" w:leftChars="0" w:firstLine="480" w:firstLineChars="200"/>
        <w:jc w:val="left"/>
        <w:rPr>
          <w:rFonts w:ascii="宋体" w:hAnsi="宋体" w:cs="宋体"/>
          <w:bCs/>
          <w:color w:val="auto"/>
          <w:sz w:val="24"/>
          <w:szCs w:val="24"/>
          <w:highlight w:val="none"/>
        </w:rPr>
      </w:pPr>
    </w:p>
    <w:p>
      <w:pPr>
        <w:pStyle w:val="20"/>
        <w:spacing w:after="0" w:line="400" w:lineRule="exact"/>
        <w:ind w:left="0" w:leftChars="0"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投标人名称：(盖章)</w:t>
      </w:r>
    </w:p>
    <w:p>
      <w:pPr>
        <w:pStyle w:val="20"/>
        <w:spacing w:after="0" w:line="400" w:lineRule="exact"/>
        <w:ind w:left="0" w:leftChars="0" w:firstLine="480" w:firstLineChars="200"/>
        <w:jc w:val="left"/>
        <w:rPr>
          <w:rFonts w:ascii="宋体" w:hAnsi="宋体" w:cs="宋体"/>
          <w:bCs/>
          <w:color w:val="auto"/>
          <w:sz w:val="24"/>
          <w:szCs w:val="24"/>
          <w:highlight w:val="none"/>
          <w:u w:val="single"/>
        </w:rPr>
      </w:pPr>
      <w:r>
        <w:rPr>
          <w:rFonts w:hint="eastAsia" w:ascii="宋体" w:hAnsi="宋体" w:cs="宋体"/>
          <w:bCs/>
          <w:color w:val="auto"/>
          <w:sz w:val="24"/>
          <w:szCs w:val="24"/>
          <w:highlight w:val="none"/>
        </w:rPr>
        <w:t>通讯地址：</w:t>
      </w:r>
    </w:p>
    <w:p>
      <w:pPr>
        <w:pStyle w:val="20"/>
        <w:spacing w:after="0" w:line="400" w:lineRule="exact"/>
        <w:ind w:left="0" w:leftChars="0"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邮政编码：</w:t>
      </w:r>
    </w:p>
    <w:p>
      <w:pPr>
        <w:pStyle w:val="20"/>
        <w:spacing w:after="0" w:line="400" w:lineRule="exact"/>
        <w:ind w:left="0" w:leftChars="0"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联系电话：</w:t>
      </w:r>
    </w:p>
    <w:p>
      <w:pPr>
        <w:pStyle w:val="20"/>
        <w:spacing w:after="0" w:line="400" w:lineRule="exact"/>
        <w:ind w:left="0" w:leftChars="0"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传    真：</w:t>
      </w:r>
    </w:p>
    <w:p>
      <w:pPr>
        <w:pStyle w:val="20"/>
        <w:spacing w:after="0" w:line="400" w:lineRule="exact"/>
        <w:ind w:left="0" w:leftChars="0"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日    期：</w:t>
      </w:r>
    </w:p>
    <w:p>
      <w:pPr>
        <w:pStyle w:val="5"/>
        <w:jc w:val="center"/>
        <w:rPr>
          <w:rFonts w:ascii="宋体" w:hAnsi="宋体" w:eastAsia="宋体" w:cs="宋体"/>
          <w:color w:val="auto"/>
          <w:highlight w:val="none"/>
        </w:rPr>
      </w:pPr>
      <w:bookmarkStart w:id="818" w:name="_Toc1650"/>
      <w:r>
        <w:rPr>
          <w:rFonts w:hint="eastAsia" w:ascii="宋体" w:hAnsi="宋体" w:eastAsia="宋体" w:cs="宋体"/>
          <w:color w:val="auto"/>
          <w:highlight w:val="none"/>
        </w:rPr>
        <w:br w:type="page"/>
      </w:r>
      <w:bookmarkEnd w:id="818"/>
      <w:r>
        <w:rPr>
          <w:rFonts w:hint="eastAsia" w:ascii="宋体" w:hAnsi="宋体" w:eastAsia="宋体" w:cs="宋体"/>
          <w:color w:val="auto"/>
          <w:highlight w:val="none"/>
        </w:rPr>
        <w:t>（二）报价一览表</w:t>
      </w:r>
    </w:p>
    <w:tbl>
      <w:tblPr>
        <w:tblStyle w:val="37"/>
        <w:tblW w:w="9039" w:type="dxa"/>
        <w:jc w:val="center"/>
        <w:tblLayout w:type="fixed"/>
        <w:tblCellMar>
          <w:top w:w="0" w:type="dxa"/>
          <w:left w:w="108" w:type="dxa"/>
          <w:bottom w:w="0" w:type="dxa"/>
          <w:right w:w="108" w:type="dxa"/>
        </w:tblCellMar>
      </w:tblPr>
      <w:tblGrid>
        <w:gridCol w:w="1951"/>
        <w:gridCol w:w="7088"/>
      </w:tblGrid>
      <w:tr>
        <w:tblPrEx>
          <w:tblCellMar>
            <w:top w:w="0" w:type="dxa"/>
            <w:left w:w="108" w:type="dxa"/>
            <w:bottom w:w="0" w:type="dxa"/>
            <w:right w:w="108" w:type="dxa"/>
          </w:tblCellMar>
        </w:tblPrEx>
        <w:trPr>
          <w:trHeight w:val="886"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color w:val="auto"/>
                <w:sz w:val="24"/>
                <w:highlight w:val="none"/>
              </w:rPr>
            </w:pPr>
            <w:bookmarkStart w:id="819" w:name="_Toc26795"/>
            <w:bookmarkStart w:id="820" w:name="_Toc7728"/>
            <w:bookmarkStart w:id="821" w:name="_Toc23742"/>
            <w:r>
              <w:rPr>
                <w:rFonts w:hint="eastAsia" w:hAnsi="宋体" w:cs="宋体"/>
                <w:color w:val="auto"/>
                <w:sz w:val="24"/>
                <w:highlight w:val="none"/>
              </w:rPr>
              <w:t>项目名称</w:t>
            </w:r>
          </w:p>
        </w:tc>
        <w:tc>
          <w:tcPr>
            <w:tcW w:w="7088" w:type="dxa"/>
            <w:tcBorders>
              <w:top w:val="single" w:color="auto" w:sz="4" w:space="0"/>
              <w:left w:val="nil"/>
              <w:bottom w:val="single" w:color="auto" w:sz="4" w:space="0"/>
              <w:right w:val="single" w:color="auto" w:sz="4" w:space="0"/>
            </w:tcBorders>
            <w:vAlign w:val="center"/>
          </w:tcPr>
          <w:p>
            <w:pPr>
              <w:ind w:right="51" w:rightChars="15" w:firstLine="480" w:firstLineChars="200"/>
              <w:rPr>
                <w:rFonts w:hAnsi="宋体" w:cs="宋体"/>
                <w:color w:val="auto"/>
                <w:sz w:val="24"/>
                <w:highlight w:val="none"/>
              </w:rPr>
            </w:pPr>
          </w:p>
        </w:tc>
      </w:tr>
      <w:tr>
        <w:tblPrEx>
          <w:tblCellMar>
            <w:top w:w="0" w:type="dxa"/>
            <w:left w:w="108" w:type="dxa"/>
            <w:bottom w:w="0" w:type="dxa"/>
            <w:right w:w="108" w:type="dxa"/>
          </w:tblCellMar>
        </w:tblPrEx>
        <w:trPr>
          <w:trHeight w:val="886"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color w:val="auto"/>
                <w:sz w:val="24"/>
                <w:highlight w:val="none"/>
              </w:rPr>
            </w:pPr>
            <w:r>
              <w:rPr>
                <w:rFonts w:hint="eastAsia" w:hAnsi="宋体" w:cs="宋体"/>
                <w:color w:val="auto"/>
                <w:sz w:val="24"/>
                <w:highlight w:val="none"/>
              </w:rPr>
              <w:t>项目编号</w:t>
            </w:r>
          </w:p>
        </w:tc>
        <w:tc>
          <w:tcPr>
            <w:tcW w:w="7088" w:type="dxa"/>
            <w:tcBorders>
              <w:top w:val="single" w:color="auto" w:sz="4" w:space="0"/>
              <w:left w:val="nil"/>
              <w:bottom w:val="single" w:color="auto" w:sz="4" w:space="0"/>
              <w:right w:val="single" w:color="auto" w:sz="4" w:space="0"/>
            </w:tcBorders>
            <w:vAlign w:val="center"/>
          </w:tcPr>
          <w:p>
            <w:pPr>
              <w:ind w:right="51" w:rightChars="15" w:firstLine="480" w:firstLineChars="200"/>
              <w:rPr>
                <w:rFonts w:hAnsi="宋体" w:cs="宋体"/>
                <w:color w:val="auto"/>
                <w:sz w:val="24"/>
                <w:highlight w:val="none"/>
              </w:rPr>
            </w:pPr>
          </w:p>
        </w:tc>
      </w:tr>
      <w:tr>
        <w:tblPrEx>
          <w:tblCellMar>
            <w:top w:w="0" w:type="dxa"/>
            <w:left w:w="108" w:type="dxa"/>
            <w:bottom w:w="0" w:type="dxa"/>
            <w:right w:w="108" w:type="dxa"/>
          </w:tblCellMar>
        </w:tblPrEx>
        <w:trPr>
          <w:trHeight w:val="908"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color w:val="auto"/>
                <w:sz w:val="24"/>
                <w:highlight w:val="none"/>
              </w:rPr>
            </w:pPr>
            <w:r>
              <w:rPr>
                <w:rFonts w:hint="eastAsia" w:hAnsi="宋体" w:cs="宋体"/>
                <w:color w:val="auto"/>
                <w:sz w:val="24"/>
                <w:highlight w:val="none"/>
              </w:rPr>
              <w:t>交货期</w:t>
            </w:r>
          </w:p>
        </w:tc>
        <w:tc>
          <w:tcPr>
            <w:tcW w:w="7088" w:type="dxa"/>
            <w:tcBorders>
              <w:top w:val="single" w:color="auto" w:sz="4" w:space="0"/>
              <w:left w:val="nil"/>
              <w:bottom w:val="single" w:color="auto" w:sz="4" w:space="0"/>
              <w:right w:val="single" w:color="auto" w:sz="4" w:space="0"/>
            </w:tcBorders>
            <w:vAlign w:val="center"/>
          </w:tcPr>
          <w:p>
            <w:pPr>
              <w:widowControl/>
              <w:rPr>
                <w:rFonts w:hAnsi="宋体" w:cs="宋体"/>
                <w:color w:val="auto"/>
                <w:sz w:val="24"/>
                <w:highlight w:val="none"/>
              </w:rPr>
            </w:pPr>
          </w:p>
        </w:tc>
      </w:tr>
      <w:tr>
        <w:tblPrEx>
          <w:tblCellMar>
            <w:top w:w="0" w:type="dxa"/>
            <w:left w:w="108" w:type="dxa"/>
            <w:bottom w:w="0" w:type="dxa"/>
            <w:right w:w="108" w:type="dxa"/>
          </w:tblCellMar>
        </w:tblPrEx>
        <w:trPr>
          <w:trHeight w:val="1423"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color w:val="auto"/>
                <w:sz w:val="24"/>
                <w:highlight w:val="none"/>
              </w:rPr>
            </w:pPr>
            <w:r>
              <w:rPr>
                <w:rFonts w:hint="eastAsia" w:hAnsi="宋体" w:cs="宋体"/>
                <w:color w:val="auto"/>
                <w:sz w:val="24"/>
                <w:highlight w:val="none"/>
              </w:rPr>
              <w:t>投标报价</w:t>
            </w:r>
          </w:p>
        </w:tc>
        <w:tc>
          <w:tcPr>
            <w:tcW w:w="7088" w:type="dxa"/>
            <w:tcBorders>
              <w:top w:val="single" w:color="auto" w:sz="4" w:space="0"/>
              <w:left w:val="nil"/>
              <w:bottom w:val="single" w:color="auto" w:sz="4" w:space="0"/>
              <w:right w:val="single" w:color="auto" w:sz="4" w:space="0"/>
            </w:tcBorders>
            <w:vAlign w:val="center"/>
          </w:tcPr>
          <w:p>
            <w:pPr>
              <w:widowControl/>
              <w:rPr>
                <w:rFonts w:hAnsi="宋体" w:cs="宋体"/>
                <w:bCs/>
                <w:color w:val="auto"/>
                <w:sz w:val="24"/>
                <w:highlight w:val="none"/>
              </w:rPr>
            </w:pPr>
            <w:r>
              <w:rPr>
                <w:rFonts w:hint="eastAsia" w:hAnsi="宋体" w:cs="宋体"/>
                <w:color w:val="auto"/>
                <w:sz w:val="24"/>
                <w:highlight w:val="none"/>
              </w:rPr>
              <w:t>人民币：</w:t>
            </w:r>
            <w:r>
              <w:rPr>
                <w:rFonts w:hint="eastAsia" w:hAnsi="宋体" w:cs="宋体"/>
                <w:color w:val="auto"/>
                <w:sz w:val="24"/>
                <w:highlight w:val="none"/>
                <w:u w:val="single"/>
              </w:rPr>
              <w:t xml:space="preserve">             </w:t>
            </w:r>
            <w:r>
              <w:rPr>
                <w:rFonts w:hint="eastAsia" w:hAnsi="宋体" w:cs="宋体"/>
                <w:bCs/>
                <w:color w:val="auto"/>
                <w:sz w:val="24"/>
                <w:highlight w:val="none"/>
              </w:rPr>
              <w:t>元</w:t>
            </w:r>
            <w:r>
              <w:rPr>
                <w:rFonts w:hint="eastAsia" w:hAnsi="宋体" w:cs="宋体"/>
                <w:color w:val="auto"/>
                <w:sz w:val="24"/>
                <w:highlight w:val="none"/>
              </w:rPr>
              <w:t>（大写：</w:t>
            </w:r>
            <w:r>
              <w:rPr>
                <w:rFonts w:hint="eastAsia" w:hAnsi="宋体" w:cs="宋体"/>
                <w:color w:val="auto"/>
                <w:sz w:val="24"/>
                <w:highlight w:val="none"/>
                <w:u w:val="single"/>
              </w:rPr>
              <w:t xml:space="preserve">               </w:t>
            </w:r>
            <w:r>
              <w:rPr>
                <w:rFonts w:hint="eastAsia" w:hAnsi="宋体" w:cs="宋体"/>
                <w:color w:val="auto"/>
                <w:sz w:val="24"/>
                <w:highlight w:val="none"/>
              </w:rPr>
              <w:t>）</w:t>
            </w:r>
          </w:p>
        </w:tc>
      </w:tr>
    </w:tbl>
    <w:p>
      <w:pPr>
        <w:spacing w:line="360" w:lineRule="auto"/>
        <w:ind w:left="840" w:hanging="840" w:hangingChars="350"/>
        <w:jc w:val="left"/>
        <w:rPr>
          <w:rFonts w:hAnsi="宋体" w:cs="宋体"/>
          <w:color w:val="auto"/>
          <w:sz w:val="24"/>
          <w:highlight w:val="none"/>
        </w:rPr>
      </w:pPr>
      <w:r>
        <w:rPr>
          <w:rFonts w:hint="eastAsia" w:hAnsi="宋体" w:cs="宋体"/>
          <w:color w:val="auto"/>
          <w:sz w:val="24"/>
          <w:highlight w:val="none"/>
        </w:rPr>
        <w:t>注：1.“报价一览表”为多页的，每页均需盖投标人印章。</w:t>
      </w:r>
    </w:p>
    <w:p>
      <w:pPr>
        <w:spacing w:line="360" w:lineRule="auto"/>
        <w:ind w:left="840" w:hanging="840" w:hangingChars="350"/>
        <w:jc w:val="left"/>
        <w:rPr>
          <w:rFonts w:hAnsi="宋体" w:cs="宋体"/>
          <w:color w:val="auto"/>
          <w:sz w:val="24"/>
          <w:highlight w:val="none"/>
        </w:rPr>
      </w:pPr>
      <w:r>
        <w:rPr>
          <w:rFonts w:hint="eastAsia" w:hAnsi="宋体" w:cs="宋体"/>
          <w:color w:val="auto"/>
          <w:sz w:val="24"/>
          <w:highlight w:val="none"/>
        </w:rPr>
        <w:t>2.“报价一览表”以包为单位填写。</w:t>
      </w:r>
    </w:p>
    <w:p>
      <w:pPr>
        <w:spacing w:line="360" w:lineRule="auto"/>
        <w:jc w:val="left"/>
        <w:rPr>
          <w:rFonts w:hAnsi="宋体" w:cs="宋体"/>
          <w:color w:val="auto"/>
          <w:sz w:val="24"/>
          <w:highlight w:val="none"/>
        </w:rPr>
      </w:pPr>
      <w:r>
        <w:rPr>
          <w:rFonts w:hint="eastAsia" w:hAnsi="宋体" w:cs="宋体"/>
          <w:color w:val="auto"/>
          <w:sz w:val="24"/>
          <w:highlight w:val="none"/>
        </w:rPr>
        <w:t>3.以上表格如不能完全表达清楚投标人认为必要的费用明细，投标人可在符合表格内容要求之上自行补充。</w:t>
      </w:r>
    </w:p>
    <w:p>
      <w:pPr>
        <w:adjustRightInd w:val="0"/>
        <w:spacing w:line="360" w:lineRule="auto"/>
        <w:ind w:firstLine="480" w:firstLineChars="200"/>
        <w:jc w:val="left"/>
        <w:rPr>
          <w:rFonts w:hAnsi="宋体" w:cs="宋体"/>
          <w:color w:val="auto"/>
          <w:sz w:val="24"/>
          <w:highlight w:val="none"/>
        </w:rPr>
      </w:pPr>
      <w:r>
        <w:rPr>
          <w:rFonts w:hint="eastAsia" w:hAnsi="宋体" w:cs="宋体"/>
          <w:color w:val="auto"/>
          <w:sz w:val="24"/>
          <w:highlight w:val="none"/>
        </w:rPr>
        <w:t>投标人名称：        （盖章）</w:t>
      </w:r>
    </w:p>
    <w:p>
      <w:pPr>
        <w:widowControl/>
        <w:spacing w:line="360" w:lineRule="atLeast"/>
        <w:ind w:firstLine="470" w:firstLineChars="196"/>
        <w:jc w:val="left"/>
        <w:outlineLvl w:val="1"/>
        <w:rPr>
          <w:rFonts w:hAnsi="宋体" w:cs="宋体"/>
          <w:color w:val="auto"/>
          <w:sz w:val="24"/>
          <w:highlight w:val="none"/>
        </w:rPr>
      </w:pPr>
      <w:r>
        <w:rPr>
          <w:rFonts w:hint="eastAsia" w:hAnsi="宋体" w:cs="宋体"/>
          <w:color w:val="auto"/>
          <w:sz w:val="24"/>
          <w:highlight w:val="none"/>
        </w:rPr>
        <w:t>日    期：      年   月   日</w:t>
      </w:r>
    </w:p>
    <w:bookmarkEnd w:id="819"/>
    <w:bookmarkEnd w:id="820"/>
    <w:bookmarkEnd w:id="821"/>
    <w:p>
      <w:pPr>
        <w:rPr>
          <w:rFonts w:hAnsi="宋体" w:cs="宋体"/>
          <w:b/>
          <w:bCs/>
          <w:color w:val="auto"/>
          <w:highlight w:val="none"/>
        </w:rPr>
      </w:pPr>
      <w:bookmarkStart w:id="822" w:name="_Toc439161752"/>
      <w:bookmarkStart w:id="823" w:name="_Toc302997926"/>
      <w:r>
        <w:rPr>
          <w:rFonts w:hint="eastAsia" w:hAnsi="宋体" w:cs="宋体"/>
          <w:b/>
          <w:bCs/>
          <w:color w:val="auto"/>
          <w:highlight w:val="none"/>
        </w:rPr>
        <w:br w:type="page"/>
      </w:r>
    </w:p>
    <w:p>
      <w:pPr>
        <w:pStyle w:val="5"/>
        <w:jc w:val="center"/>
        <w:rPr>
          <w:rFonts w:ascii="宋体" w:hAnsi="宋体" w:eastAsia="宋体" w:cs="宋体"/>
          <w:color w:val="auto"/>
          <w:highlight w:val="none"/>
        </w:rPr>
      </w:pPr>
      <w:r>
        <w:rPr>
          <w:rFonts w:hint="eastAsia" w:ascii="宋体" w:hAnsi="宋体" w:eastAsia="宋体" w:cs="宋体"/>
          <w:color w:val="auto"/>
          <w:highlight w:val="none"/>
        </w:rPr>
        <w:t>（三）分项报价明细表</w:t>
      </w:r>
    </w:p>
    <w:p>
      <w:pPr>
        <w:rPr>
          <w:rFonts w:hAnsi="宋体" w:cs="宋体"/>
          <w:b/>
          <w:bCs/>
          <w:color w:val="auto"/>
          <w:sz w:val="24"/>
          <w:highlight w:val="none"/>
        </w:rPr>
      </w:pPr>
      <w:r>
        <w:rPr>
          <w:rFonts w:hint="eastAsia" w:hAnsi="宋体" w:cs="宋体"/>
          <w:b/>
          <w:bCs/>
          <w:color w:val="auto"/>
          <w:sz w:val="24"/>
          <w:highlight w:val="none"/>
        </w:rPr>
        <w:t>项目名称：</w:t>
      </w:r>
    </w:p>
    <w:p>
      <w:pPr>
        <w:pStyle w:val="7"/>
        <w:rPr>
          <w:rFonts w:hAnsi="宋体" w:eastAsia="宋体" w:cs="宋体"/>
          <w:b/>
          <w:color w:val="auto"/>
          <w:highlight w:val="none"/>
        </w:rPr>
      </w:pPr>
      <w:r>
        <w:rPr>
          <w:rFonts w:hint="eastAsia" w:hAnsi="宋体" w:eastAsia="宋体" w:cs="宋体"/>
          <w:b/>
          <w:color w:val="auto"/>
          <w:highlight w:val="none"/>
        </w:rPr>
        <w:t>项目编号：</w:t>
      </w:r>
    </w:p>
    <w:tbl>
      <w:tblPr>
        <w:tblStyle w:val="38"/>
        <w:tblW w:w="0" w:type="auto"/>
        <w:tblInd w:w="-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1415"/>
        <w:gridCol w:w="1105"/>
        <w:gridCol w:w="1515"/>
        <w:gridCol w:w="1185"/>
        <w:gridCol w:w="753"/>
        <w:gridCol w:w="736"/>
        <w:gridCol w:w="1132"/>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pPr>
              <w:spacing w:line="360" w:lineRule="auto"/>
              <w:jc w:val="center"/>
              <w:rPr>
                <w:rFonts w:hAnsi="宋体" w:cs="宋体"/>
                <w:b/>
                <w:bCs/>
                <w:color w:val="auto"/>
                <w:sz w:val="21"/>
                <w:szCs w:val="21"/>
                <w:highlight w:val="none"/>
              </w:rPr>
            </w:pPr>
            <w:r>
              <w:rPr>
                <w:rFonts w:hint="eastAsia" w:hAnsi="宋体" w:cs="宋体"/>
                <w:b/>
                <w:bCs/>
                <w:color w:val="auto"/>
                <w:sz w:val="21"/>
                <w:szCs w:val="21"/>
                <w:highlight w:val="none"/>
                <w:lang w:val="zh-CN"/>
              </w:rPr>
              <w:t>序号</w:t>
            </w:r>
          </w:p>
        </w:tc>
        <w:tc>
          <w:tcPr>
            <w:tcW w:w="1415" w:type="dxa"/>
            <w:vAlign w:val="center"/>
          </w:tcPr>
          <w:p>
            <w:pPr>
              <w:spacing w:line="360" w:lineRule="auto"/>
              <w:jc w:val="center"/>
              <w:rPr>
                <w:rFonts w:hAnsi="宋体" w:cs="宋体"/>
                <w:b/>
                <w:bCs/>
                <w:color w:val="auto"/>
                <w:sz w:val="21"/>
                <w:szCs w:val="21"/>
                <w:highlight w:val="none"/>
              </w:rPr>
            </w:pPr>
            <w:r>
              <w:rPr>
                <w:rFonts w:hint="eastAsia" w:hAnsi="宋体" w:cs="宋体"/>
                <w:b/>
                <w:bCs/>
                <w:color w:val="auto"/>
                <w:sz w:val="21"/>
                <w:szCs w:val="21"/>
                <w:highlight w:val="none"/>
                <w:lang w:val="zh-CN"/>
              </w:rPr>
              <w:t>货物名称</w:t>
            </w:r>
          </w:p>
        </w:tc>
        <w:tc>
          <w:tcPr>
            <w:tcW w:w="1105" w:type="dxa"/>
            <w:vAlign w:val="center"/>
          </w:tcPr>
          <w:p>
            <w:pPr>
              <w:spacing w:line="360" w:lineRule="auto"/>
              <w:jc w:val="center"/>
              <w:rPr>
                <w:rFonts w:hAnsi="宋体" w:cs="宋体"/>
                <w:b/>
                <w:bCs/>
                <w:color w:val="auto"/>
                <w:sz w:val="21"/>
                <w:szCs w:val="21"/>
                <w:highlight w:val="none"/>
              </w:rPr>
            </w:pPr>
            <w:r>
              <w:rPr>
                <w:rFonts w:hint="eastAsia" w:hAnsi="宋体" w:cs="宋体"/>
                <w:b/>
                <w:bCs/>
                <w:color w:val="auto"/>
                <w:sz w:val="21"/>
                <w:szCs w:val="21"/>
                <w:highlight w:val="none"/>
                <w:lang w:val="zh-CN"/>
              </w:rPr>
              <w:t>品牌</w:t>
            </w:r>
          </w:p>
        </w:tc>
        <w:tc>
          <w:tcPr>
            <w:tcW w:w="1515" w:type="dxa"/>
            <w:vAlign w:val="center"/>
          </w:tcPr>
          <w:p>
            <w:pPr>
              <w:spacing w:line="360" w:lineRule="auto"/>
              <w:jc w:val="center"/>
              <w:rPr>
                <w:rFonts w:hAnsi="宋体" w:cs="宋体"/>
                <w:b/>
                <w:bCs/>
                <w:color w:val="auto"/>
                <w:sz w:val="21"/>
                <w:szCs w:val="21"/>
                <w:highlight w:val="none"/>
              </w:rPr>
            </w:pPr>
            <w:r>
              <w:rPr>
                <w:rFonts w:hint="eastAsia" w:hAnsi="宋体" w:cs="宋体"/>
                <w:b/>
                <w:bCs/>
                <w:color w:val="auto"/>
                <w:sz w:val="21"/>
                <w:szCs w:val="21"/>
                <w:highlight w:val="none"/>
                <w:lang w:val="zh-CN"/>
              </w:rPr>
              <w:t>制造厂及产地</w:t>
            </w:r>
          </w:p>
        </w:tc>
        <w:tc>
          <w:tcPr>
            <w:tcW w:w="1185" w:type="dxa"/>
            <w:vAlign w:val="center"/>
          </w:tcPr>
          <w:p>
            <w:pPr>
              <w:spacing w:line="360" w:lineRule="auto"/>
              <w:jc w:val="center"/>
              <w:rPr>
                <w:rFonts w:hAnsi="宋体" w:cs="宋体"/>
                <w:b/>
                <w:bCs/>
                <w:color w:val="auto"/>
                <w:sz w:val="21"/>
                <w:szCs w:val="21"/>
                <w:highlight w:val="none"/>
              </w:rPr>
            </w:pPr>
            <w:r>
              <w:rPr>
                <w:rFonts w:hint="eastAsia" w:hAnsi="宋体" w:cs="宋体"/>
                <w:b/>
                <w:bCs/>
                <w:color w:val="auto"/>
                <w:sz w:val="21"/>
                <w:szCs w:val="21"/>
                <w:highlight w:val="none"/>
                <w:lang w:val="zh-CN"/>
              </w:rPr>
              <w:t>规格型号</w:t>
            </w:r>
          </w:p>
        </w:tc>
        <w:tc>
          <w:tcPr>
            <w:tcW w:w="753" w:type="dxa"/>
            <w:vAlign w:val="center"/>
          </w:tcPr>
          <w:p>
            <w:pPr>
              <w:spacing w:line="360" w:lineRule="auto"/>
              <w:jc w:val="center"/>
              <w:rPr>
                <w:rFonts w:hAnsi="宋体" w:cs="宋体"/>
                <w:b/>
                <w:bCs/>
                <w:color w:val="auto"/>
                <w:sz w:val="21"/>
                <w:szCs w:val="21"/>
                <w:highlight w:val="none"/>
                <w:lang w:val="zh-CN"/>
              </w:rPr>
            </w:pPr>
            <w:r>
              <w:rPr>
                <w:rFonts w:hint="eastAsia" w:hAnsi="宋体" w:cs="宋体"/>
                <w:b/>
                <w:bCs/>
                <w:color w:val="auto"/>
                <w:sz w:val="21"/>
                <w:szCs w:val="21"/>
                <w:highlight w:val="none"/>
                <w:lang w:val="zh-CN"/>
              </w:rPr>
              <w:t>数量</w:t>
            </w:r>
          </w:p>
        </w:tc>
        <w:tc>
          <w:tcPr>
            <w:tcW w:w="736" w:type="dxa"/>
            <w:vAlign w:val="center"/>
          </w:tcPr>
          <w:p>
            <w:pPr>
              <w:spacing w:line="360" w:lineRule="auto"/>
              <w:jc w:val="center"/>
              <w:rPr>
                <w:rFonts w:hAnsi="宋体" w:cs="宋体"/>
                <w:b/>
                <w:bCs/>
                <w:color w:val="auto"/>
                <w:sz w:val="21"/>
                <w:szCs w:val="21"/>
                <w:highlight w:val="none"/>
              </w:rPr>
            </w:pPr>
            <w:r>
              <w:rPr>
                <w:rFonts w:hint="eastAsia" w:hAnsi="宋体" w:cs="宋体"/>
                <w:b/>
                <w:bCs/>
                <w:color w:val="auto"/>
                <w:sz w:val="21"/>
                <w:szCs w:val="21"/>
                <w:highlight w:val="none"/>
              </w:rPr>
              <w:t>单位</w:t>
            </w:r>
          </w:p>
        </w:tc>
        <w:tc>
          <w:tcPr>
            <w:tcW w:w="1132" w:type="dxa"/>
            <w:vAlign w:val="center"/>
          </w:tcPr>
          <w:p>
            <w:pPr>
              <w:spacing w:line="360" w:lineRule="auto"/>
              <w:jc w:val="center"/>
              <w:rPr>
                <w:rFonts w:hAnsi="宋体" w:cs="宋体"/>
                <w:b/>
                <w:bCs/>
                <w:color w:val="auto"/>
                <w:sz w:val="21"/>
                <w:szCs w:val="21"/>
                <w:highlight w:val="none"/>
                <w:lang w:val="zh-CN"/>
              </w:rPr>
            </w:pPr>
            <w:r>
              <w:rPr>
                <w:rFonts w:hint="eastAsia" w:hAnsi="宋体" w:cs="宋体"/>
                <w:b/>
                <w:bCs/>
                <w:color w:val="auto"/>
                <w:sz w:val="21"/>
                <w:szCs w:val="21"/>
                <w:highlight w:val="none"/>
                <w:lang w:val="zh-CN"/>
              </w:rPr>
              <w:t>单价/ 元</w:t>
            </w:r>
          </w:p>
          <w:p>
            <w:pPr>
              <w:spacing w:line="360" w:lineRule="auto"/>
              <w:jc w:val="center"/>
              <w:rPr>
                <w:rFonts w:hAnsi="宋体" w:cs="宋体"/>
                <w:b/>
                <w:bCs/>
                <w:color w:val="auto"/>
                <w:sz w:val="21"/>
                <w:szCs w:val="21"/>
                <w:highlight w:val="none"/>
              </w:rPr>
            </w:pPr>
            <w:r>
              <w:rPr>
                <w:rFonts w:hint="eastAsia" w:hAnsi="宋体" w:cs="宋体"/>
                <w:b/>
                <w:bCs/>
                <w:color w:val="auto"/>
                <w:sz w:val="21"/>
                <w:szCs w:val="21"/>
                <w:highlight w:val="none"/>
                <w:lang w:val="zh-CN"/>
              </w:rPr>
              <w:t>（含税）</w:t>
            </w:r>
          </w:p>
        </w:tc>
        <w:tc>
          <w:tcPr>
            <w:tcW w:w="778" w:type="dxa"/>
            <w:vAlign w:val="center"/>
          </w:tcPr>
          <w:p>
            <w:pPr>
              <w:spacing w:line="360" w:lineRule="auto"/>
              <w:jc w:val="center"/>
              <w:rPr>
                <w:rFonts w:hAnsi="宋体" w:cs="宋体"/>
                <w:b/>
                <w:bCs/>
                <w:color w:val="auto"/>
                <w:sz w:val="21"/>
                <w:szCs w:val="21"/>
                <w:highlight w:val="none"/>
              </w:rPr>
            </w:pPr>
            <w:r>
              <w:rPr>
                <w:rFonts w:hint="eastAsia" w:hAnsi="宋体" w:cs="宋体"/>
                <w:b/>
                <w:bCs/>
                <w:color w:val="auto"/>
                <w:sz w:val="21"/>
                <w:szCs w:val="21"/>
                <w:highlight w:val="none"/>
                <w:lang w:val="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pPr>
              <w:spacing w:line="360" w:lineRule="auto"/>
              <w:jc w:val="left"/>
              <w:rPr>
                <w:rFonts w:hAnsi="宋体" w:cs="宋体"/>
                <w:color w:val="auto"/>
                <w:sz w:val="18"/>
                <w:szCs w:val="18"/>
                <w:highlight w:val="none"/>
              </w:rPr>
            </w:pPr>
          </w:p>
        </w:tc>
        <w:tc>
          <w:tcPr>
            <w:tcW w:w="1415" w:type="dxa"/>
          </w:tcPr>
          <w:p>
            <w:pPr>
              <w:spacing w:line="360" w:lineRule="auto"/>
              <w:jc w:val="left"/>
              <w:rPr>
                <w:rFonts w:hAnsi="宋体" w:cs="宋体"/>
                <w:color w:val="auto"/>
                <w:sz w:val="18"/>
                <w:szCs w:val="18"/>
                <w:highlight w:val="none"/>
              </w:rPr>
            </w:pPr>
          </w:p>
        </w:tc>
        <w:tc>
          <w:tcPr>
            <w:tcW w:w="1105" w:type="dxa"/>
          </w:tcPr>
          <w:p>
            <w:pPr>
              <w:spacing w:line="360" w:lineRule="auto"/>
              <w:jc w:val="left"/>
              <w:rPr>
                <w:rFonts w:hAnsi="宋体" w:cs="宋体"/>
                <w:color w:val="auto"/>
                <w:sz w:val="18"/>
                <w:szCs w:val="18"/>
                <w:highlight w:val="none"/>
              </w:rPr>
            </w:pPr>
          </w:p>
        </w:tc>
        <w:tc>
          <w:tcPr>
            <w:tcW w:w="1515" w:type="dxa"/>
          </w:tcPr>
          <w:p>
            <w:pPr>
              <w:spacing w:line="360" w:lineRule="auto"/>
              <w:jc w:val="left"/>
              <w:rPr>
                <w:rFonts w:hAnsi="宋体" w:cs="宋体"/>
                <w:color w:val="auto"/>
                <w:sz w:val="18"/>
                <w:szCs w:val="18"/>
                <w:highlight w:val="none"/>
              </w:rPr>
            </w:pPr>
          </w:p>
        </w:tc>
        <w:tc>
          <w:tcPr>
            <w:tcW w:w="1185" w:type="dxa"/>
          </w:tcPr>
          <w:p>
            <w:pPr>
              <w:spacing w:line="360" w:lineRule="auto"/>
              <w:jc w:val="left"/>
              <w:rPr>
                <w:rFonts w:hAnsi="宋体" w:cs="宋体"/>
                <w:color w:val="auto"/>
                <w:sz w:val="18"/>
                <w:szCs w:val="18"/>
                <w:highlight w:val="none"/>
              </w:rPr>
            </w:pPr>
          </w:p>
        </w:tc>
        <w:tc>
          <w:tcPr>
            <w:tcW w:w="753" w:type="dxa"/>
          </w:tcPr>
          <w:p>
            <w:pPr>
              <w:spacing w:line="360" w:lineRule="auto"/>
              <w:jc w:val="left"/>
              <w:rPr>
                <w:rFonts w:hAnsi="宋体" w:cs="宋体"/>
                <w:color w:val="auto"/>
                <w:sz w:val="18"/>
                <w:szCs w:val="18"/>
                <w:highlight w:val="none"/>
              </w:rPr>
            </w:pPr>
          </w:p>
        </w:tc>
        <w:tc>
          <w:tcPr>
            <w:tcW w:w="736" w:type="dxa"/>
          </w:tcPr>
          <w:p>
            <w:pPr>
              <w:spacing w:line="360" w:lineRule="auto"/>
              <w:jc w:val="left"/>
              <w:rPr>
                <w:rFonts w:hAnsi="宋体" w:cs="宋体"/>
                <w:color w:val="auto"/>
                <w:sz w:val="18"/>
                <w:szCs w:val="18"/>
                <w:highlight w:val="none"/>
              </w:rPr>
            </w:pPr>
          </w:p>
        </w:tc>
        <w:tc>
          <w:tcPr>
            <w:tcW w:w="1132" w:type="dxa"/>
          </w:tcPr>
          <w:p>
            <w:pPr>
              <w:spacing w:line="360" w:lineRule="auto"/>
              <w:jc w:val="left"/>
              <w:rPr>
                <w:rFonts w:hAnsi="宋体" w:cs="宋体"/>
                <w:color w:val="auto"/>
                <w:sz w:val="18"/>
                <w:szCs w:val="18"/>
                <w:highlight w:val="none"/>
              </w:rPr>
            </w:pPr>
          </w:p>
        </w:tc>
        <w:tc>
          <w:tcPr>
            <w:tcW w:w="778" w:type="dxa"/>
          </w:tcPr>
          <w:p>
            <w:pPr>
              <w:spacing w:line="360" w:lineRule="auto"/>
              <w:jc w:val="left"/>
              <w:rPr>
                <w:rFonts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pPr>
              <w:spacing w:line="360" w:lineRule="auto"/>
              <w:jc w:val="left"/>
              <w:rPr>
                <w:rFonts w:hAnsi="宋体" w:cs="宋体"/>
                <w:color w:val="auto"/>
                <w:sz w:val="18"/>
                <w:szCs w:val="18"/>
                <w:highlight w:val="none"/>
              </w:rPr>
            </w:pPr>
          </w:p>
        </w:tc>
        <w:tc>
          <w:tcPr>
            <w:tcW w:w="1415" w:type="dxa"/>
          </w:tcPr>
          <w:p>
            <w:pPr>
              <w:spacing w:line="360" w:lineRule="auto"/>
              <w:jc w:val="left"/>
              <w:rPr>
                <w:rFonts w:hAnsi="宋体" w:cs="宋体"/>
                <w:color w:val="auto"/>
                <w:sz w:val="18"/>
                <w:szCs w:val="18"/>
                <w:highlight w:val="none"/>
              </w:rPr>
            </w:pPr>
          </w:p>
        </w:tc>
        <w:tc>
          <w:tcPr>
            <w:tcW w:w="1105" w:type="dxa"/>
          </w:tcPr>
          <w:p>
            <w:pPr>
              <w:spacing w:line="360" w:lineRule="auto"/>
              <w:jc w:val="left"/>
              <w:rPr>
                <w:rFonts w:hAnsi="宋体" w:cs="宋体"/>
                <w:color w:val="auto"/>
                <w:sz w:val="18"/>
                <w:szCs w:val="18"/>
                <w:highlight w:val="none"/>
              </w:rPr>
            </w:pPr>
          </w:p>
        </w:tc>
        <w:tc>
          <w:tcPr>
            <w:tcW w:w="1515" w:type="dxa"/>
          </w:tcPr>
          <w:p>
            <w:pPr>
              <w:spacing w:line="360" w:lineRule="auto"/>
              <w:jc w:val="left"/>
              <w:rPr>
                <w:rFonts w:hAnsi="宋体" w:cs="宋体"/>
                <w:color w:val="auto"/>
                <w:sz w:val="18"/>
                <w:szCs w:val="18"/>
                <w:highlight w:val="none"/>
              </w:rPr>
            </w:pPr>
          </w:p>
        </w:tc>
        <w:tc>
          <w:tcPr>
            <w:tcW w:w="1185" w:type="dxa"/>
          </w:tcPr>
          <w:p>
            <w:pPr>
              <w:spacing w:line="360" w:lineRule="auto"/>
              <w:jc w:val="left"/>
              <w:rPr>
                <w:rFonts w:hAnsi="宋体" w:cs="宋体"/>
                <w:color w:val="auto"/>
                <w:sz w:val="18"/>
                <w:szCs w:val="18"/>
                <w:highlight w:val="none"/>
              </w:rPr>
            </w:pPr>
          </w:p>
        </w:tc>
        <w:tc>
          <w:tcPr>
            <w:tcW w:w="753" w:type="dxa"/>
          </w:tcPr>
          <w:p>
            <w:pPr>
              <w:spacing w:line="360" w:lineRule="auto"/>
              <w:jc w:val="left"/>
              <w:rPr>
                <w:rFonts w:hAnsi="宋体" w:cs="宋体"/>
                <w:color w:val="auto"/>
                <w:sz w:val="18"/>
                <w:szCs w:val="18"/>
                <w:highlight w:val="none"/>
              </w:rPr>
            </w:pPr>
          </w:p>
        </w:tc>
        <w:tc>
          <w:tcPr>
            <w:tcW w:w="736" w:type="dxa"/>
          </w:tcPr>
          <w:p>
            <w:pPr>
              <w:spacing w:line="360" w:lineRule="auto"/>
              <w:jc w:val="left"/>
              <w:rPr>
                <w:rFonts w:hAnsi="宋体" w:cs="宋体"/>
                <w:color w:val="auto"/>
                <w:sz w:val="18"/>
                <w:szCs w:val="18"/>
                <w:highlight w:val="none"/>
              </w:rPr>
            </w:pPr>
          </w:p>
        </w:tc>
        <w:tc>
          <w:tcPr>
            <w:tcW w:w="1132" w:type="dxa"/>
          </w:tcPr>
          <w:p>
            <w:pPr>
              <w:spacing w:line="360" w:lineRule="auto"/>
              <w:jc w:val="left"/>
              <w:rPr>
                <w:rFonts w:hAnsi="宋体" w:cs="宋体"/>
                <w:color w:val="auto"/>
                <w:sz w:val="18"/>
                <w:szCs w:val="18"/>
                <w:highlight w:val="none"/>
              </w:rPr>
            </w:pPr>
          </w:p>
        </w:tc>
        <w:tc>
          <w:tcPr>
            <w:tcW w:w="778" w:type="dxa"/>
          </w:tcPr>
          <w:p>
            <w:pPr>
              <w:spacing w:line="360" w:lineRule="auto"/>
              <w:jc w:val="left"/>
              <w:rPr>
                <w:rFonts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pPr>
              <w:spacing w:line="360" w:lineRule="auto"/>
              <w:jc w:val="left"/>
              <w:rPr>
                <w:rFonts w:hAnsi="宋体" w:cs="宋体"/>
                <w:color w:val="auto"/>
                <w:sz w:val="18"/>
                <w:szCs w:val="18"/>
                <w:highlight w:val="none"/>
              </w:rPr>
            </w:pPr>
          </w:p>
        </w:tc>
        <w:tc>
          <w:tcPr>
            <w:tcW w:w="1415" w:type="dxa"/>
          </w:tcPr>
          <w:p>
            <w:pPr>
              <w:spacing w:line="360" w:lineRule="auto"/>
              <w:jc w:val="left"/>
              <w:rPr>
                <w:rFonts w:hAnsi="宋体" w:cs="宋体"/>
                <w:color w:val="auto"/>
                <w:sz w:val="18"/>
                <w:szCs w:val="18"/>
                <w:highlight w:val="none"/>
              </w:rPr>
            </w:pPr>
          </w:p>
        </w:tc>
        <w:tc>
          <w:tcPr>
            <w:tcW w:w="1105" w:type="dxa"/>
          </w:tcPr>
          <w:p>
            <w:pPr>
              <w:spacing w:line="360" w:lineRule="auto"/>
              <w:jc w:val="left"/>
              <w:rPr>
                <w:rFonts w:hAnsi="宋体" w:cs="宋体"/>
                <w:color w:val="auto"/>
                <w:sz w:val="18"/>
                <w:szCs w:val="18"/>
                <w:highlight w:val="none"/>
              </w:rPr>
            </w:pPr>
          </w:p>
        </w:tc>
        <w:tc>
          <w:tcPr>
            <w:tcW w:w="1515" w:type="dxa"/>
          </w:tcPr>
          <w:p>
            <w:pPr>
              <w:spacing w:line="360" w:lineRule="auto"/>
              <w:jc w:val="left"/>
              <w:rPr>
                <w:rFonts w:hAnsi="宋体" w:cs="宋体"/>
                <w:color w:val="auto"/>
                <w:sz w:val="18"/>
                <w:szCs w:val="18"/>
                <w:highlight w:val="none"/>
              </w:rPr>
            </w:pPr>
          </w:p>
        </w:tc>
        <w:tc>
          <w:tcPr>
            <w:tcW w:w="1185" w:type="dxa"/>
          </w:tcPr>
          <w:p>
            <w:pPr>
              <w:spacing w:line="360" w:lineRule="auto"/>
              <w:jc w:val="left"/>
              <w:rPr>
                <w:rFonts w:hAnsi="宋体" w:cs="宋体"/>
                <w:color w:val="auto"/>
                <w:sz w:val="18"/>
                <w:szCs w:val="18"/>
                <w:highlight w:val="none"/>
              </w:rPr>
            </w:pPr>
          </w:p>
        </w:tc>
        <w:tc>
          <w:tcPr>
            <w:tcW w:w="753" w:type="dxa"/>
          </w:tcPr>
          <w:p>
            <w:pPr>
              <w:spacing w:line="360" w:lineRule="auto"/>
              <w:jc w:val="left"/>
              <w:rPr>
                <w:rFonts w:hAnsi="宋体" w:cs="宋体"/>
                <w:color w:val="auto"/>
                <w:sz w:val="18"/>
                <w:szCs w:val="18"/>
                <w:highlight w:val="none"/>
              </w:rPr>
            </w:pPr>
          </w:p>
        </w:tc>
        <w:tc>
          <w:tcPr>
            <w:tcW w:w="736" w:type="dxa"/>
          </w:tcPr>
          <w:p>
            <w:pPr>
              <w:spacing w:line="360" w:lineRule="auto"/>
              <w:jc w:val="left"/>
              <w:rPr>
                <w:rFonts w:hAnsi="宋体" w:cs="宋体"/>
                <w:color w:val="auto"/>
                <w:sz w:val="18"/>
                <w:szCs w:val="18"/>
                <w:highlight w:val="none"/>
              </w:rPr>
            </w:pPr>
          </w:p>
        </w:tc>
        <w:tc>
          <w:tcPr>
            <w:tcW w:w="1132" w:type="dxa"/>
          </w:tcPr>
          <w:p>
            <w:pPr>
              <w:spacing w:line="360" w:lineRule="auto"/>
              <w:jc w:val="left"/>
              <w:rPr>
                <w:rFonts w:hAnsi="宋体" w:cs="宋体"/>
                <w:color w:val="auto"/>
                <w:sz w:val="18"/>
                <w:szCs w:val="18"/>
                <w:highlight w:val="none"/>
              </w:rPr>
            </w:pPr>
          </w:p>
        </w:tc>
        <w:tc>
          <w:tcPr>
            <w:tcW w:w="778" w:type="dxa"/>
          </w:tcPr>
          <w:p>
            <w:pPr>
              <w:spacing w:line="360" w:lineRule="auto"/>
              <w:jc w:val="left"/>
              <w:rPr>
                <w:rFonts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pPr>
              <w:spacing w:line="360" w:lineRule="auto"/>
              <w:jc w:val="left"/>
              <w:rPr>
                <w:rFonts w:hAnsi="宋体" w:cs="宋体"/>
                <w:color w:val="auto"/>
                <w:sz w:val="18"/>
                <w:szCs w:val="18"/>
                <w:highlight w:val="none"/>
              </w:rPr>
            </w:pPr>
          </w:p>
        </w:tc>
        <w:tc>
          <w:tcPr>
            <w:tcW w:w="1415" w:type="dxa"/>
          </w:tcPr>
          <w:p>
            <w:pPr>
              <w:spacing w:line="360" w:lineRule="auto"/>
              <w:jc w:val="left"/>
              <w:rPr>
                <w:rFonts w:hAnsi="宋体" w:cs="宋体"/>
                <w:color w:val="auto"/>
                <w:sz w:val="18"/>
                <w:szCs w:val="18"/>
                <w:highlight w:val="none"/>
              </w:rPr>
            </w:pPr>
          </w:p>
        </w:tc>
        <w:tc>
          <w:tcPr>
            <w:tcW w:w="1105" w:type="dxa"/>
          </w:tcPr>
          <w:p>
            <w:pPr>
              <w:spacing w:line="360" w:lineRule="auto"/>
              <w:jc w:val="left"/>
              <w:rPr>
                <w:rFonts w:hAnsi="宋体" w:cs="宋体"/>
                <w:color w:val="auto"/>
                <w:sz w:val="18"/>
                <w:szCs w:val="18"/>
                <w:highlight w:val="none"/>
              </w:rPr>
            </w:pPr>
          </w:p>
        </w:tc>
        <w:tc>
          <w:tcPr>
            <w:tcW w:w="1515" w:type="dxa"/>
          </w:tcPr>
          <w:p>
            <w:pPr>
              <w:spacing w:line="360" w:lineRule="auto"/>
              <w:jc w:val="left"/>
              <w:rPr>
                <w:rFonts w:hAnsi="宋体" w:cs="宋体"/>
                <w:color w:val="auto"/>
                <w:sz w:val="18"/>
                <w:szCs w:val="18"/>
                <w:highlight w:val="none"/>
              </w:rPr>
            </w:pPr>
          </w:p>
        </w:tc>
        <w:tc>
          <w:tcPr>
            <w:tcW w:w="1185" w:type="dxa"/>
          </w:tcPr>
          <w:p>
            <w:pPr>
              <w:spacing w:line="360" w:lineRule="auto"/>
              <w:jc w:val="left"/>
              <w:rPr>
                <w:rFonts w:hAnsi="宋体" w:cs="宋体"/>
                <w:color w:val="auto"/>
                <w:sz w:val="18"/>
                <w:szCs w:val="18"/>
                <w:highlight w:val="none"/>
              </w:rPr>
            </w:pPr>
          </w:p>
        </w:tc>
        <w:tc>
          <w:tcPr>
            <w:tcW w:w="753" w:type="dxa"/>
          </w:tcPr>
          <w:p>
            <w:pPr>
              <w:spacing w:line="360" w:lineRule="auto"/>
              <w:jc w:val="left"/>
              <w:rPr>
                <w:rFonts w:hAnsi="宋体" w:cs="宋体"/>
                <w:color w:val="auto"/>
                <w:sz w:val="18"/>
                <w:szCs w:val="18"/>
                <w:highlight w:val="none"/>
              </w:rPr>
            </w:pPr>
          </w:p>
        </w:tc>
        <w:tc>
          <w:tcPr>
            <w:tcW w:w="736" w:type="dxa"/>
          </w:tcPr>
          <w:p>
            <w:pPr>
              <w:spacing w:line="360" w:lineRule="auto"/>
              <w:jc w:val="left"/>
              <w:rPr>
                <w:rFonts w:hAnsi="宋体" w:cs="宋体"/>
                <w:color w:val="auto"/>
                <w:sz w:val="18"/>
                <w:szCs w:val="18"/>
                <w:highlight w:val="none"/>
              </w:rPr>
            </w:pPr>
          </w:p>
        </w:tc>
        <w:tc>
          <w:tcPr>
            <w:tcW w:w="1132" w:type="dxa"/>
          </w:tcPr>
          <w:p>
            <w:pPr>
              <w:spacing w:line="360" w:lineRule="auto"/>
              <w:jc w:val="left"/>
              <w:rPr>
                <w:rFonts w:hAnsi="宋体" w:cs="宋体"/>
                <w:color w:val="auto"/>
                <w:sz w:val="18"/>
                <w:szCs w:val="18"/>
                <w:highlight w:val="none"/>
              </w:rPr>
            </w:pPr>
          </w:p>
        </w:tc>
        <w:tc>
          <w:tcPr>
            <w:tcW w:w="778" w:type="dxa"/>
          </w:tcPr>
          <w:p>
            <w:pPr>
              <w:spacing w:line="360" w:lineRule="auto"/>
              <w:jc w:val="left"/>
              <w:rPr>
                <w:rFonts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pPr>
              <w:spacing w:line="360" w:lineRule="auto"/>
              <w:jc w:val="left"/>
              <w:rPr>
                <w:rFonts w:hAnsi="宋体" w:cs="宋体"/>
                <w:color w:val="auto"/>
                <w:sz w:val="18"/>
                <w:szCs w:val="18"/>
                <w:highlight w:val="none"/>
              </w:rPr>
            </w:pPr>
          </w:p>
        </w:tc>
        <w:tc>
          <w:tcPr>
            <w:tcW w:w="1415" w:type="dxa"/>
          </w:tcPr>
          <w:p>
            <w:pPr>
              <w:spacing w:line="360" w:lineRule="auto"/>
              <w:jc w:val="left"/>
              <w:rPr>
                <w:rFonts w:hAnsi="宋体" w:cs="宋体"/>
                <w:color w:val="auto"/>
                <w:sz w:val="18"/>
                <w:szCs w:val="18"/>
                <w:highlight w:val="none"/>
              </w:rPr>
            </w:pPr>
          </w:p>
        </w:tc>
        <w:tc>
          <w:tcPr>
            <w:tcW w:w="1105" w:type="dxa"/>
          </w:tcPr>
          <w:p>
            <w:pPr>
              <w:spacing w:line="360" w:lineRule="auto"/>
              <w:jc w:val="left"/>
              <w:rPr>
                <w:rFonts w:hAnsi="宋体" w:cs="宋体"/>
                <w:color w:val="auto"/>
                <w:sz w:val="18"/>
                <w:szCs w:val="18"/>
                <w:highlight w:val="none"/>
              </w:rPr>
            </w:pPr>
          </w:p>
        </w:tc>
        <w:tc>
          <w:tcPr>
            <w:tcW w:w="1515" w:type="dxa"/>
          </w:tcPr>
          <w:p>
            <w:pPr>
              <w:spacing w:line="360" w:lineRule="auto"/>
              <w:jc w:val="left"/>
              <w:rPr>
                <w:rFonts w:hAnsi="宋体" w:cs="宋体"/>
                <w:color w:val="auto"/>
                <w:sz w:val="18"/>
                <w:szCs w:val="18"/>
                <w:highlight w:val="none"/>
              </w:rPr>
            </w:pPr>
          </w:p>
        </w:tc>
        <w:tc>
          <w:tcPr>
            <w:tcW w:w="1185" w:type="dxa"/>
          </w:tcPr>
          <w:p>
            <w:pPr>
              <w:spacing w:line="360" w:lineRule="auto"/>
              <w:jc w:val="left"/>
              <w:rPr>
                <w:rFonts w:hAnsi="宋体" w:cs="宋体"/>
                <w:color w:val="auto"/>
                <w:sz w:val="18"/>
                <w:szCs w:val="18"/>
                <w:highlight w:val="none"/>
              </w:rPr>
            </w:pPr>
          </w:p>
        </w:tc>
        <w:tc>
          <w:tcPr>
            <w:tcW w:w="753" w:type="dxa"/>
          </w:tcPr>
          <w:p>
            <w:pPr>
              <w:spacing w:line="360" w:lineRule="auto"/>
              <w:jc w:val="left"/>
              <w:rPr>
                <w:rFonts w:hAnsi="宋体" w:cs="宋体"/>
                <w:color w:val="auto"/>
                <w:sz w:val="18"/>
                <w:szCs w:val="18"/>
                <w:highlight w:val="none"/>
              </w:rPr>
            </w:pPr>
          </w:p>
        </w:tc>
        <w:tc>
          <w:tcPr>
            <w:tcW w:w="736" w:type="dxa"/>
          </w:tcPr>
          <w:p>
            <w:pPr>
              <w:spacing w:line="360" w:lineRule="auto"/>
              <w:jc w:val="left"/>
              <w:rPr>
                <w:rFonts w:hAnsi="宋体" w:cs="宋体"/>
                <w:color w:val="auto"/>
                <w:sz w:val="18"/>
                <w:szCs w:val="18"/>
                <w:highlight w:val="none"/>
              </w:rPr>
            </w:pPr>
          </w:p>
        </w:tc>
        <w:tc>
          <w:tcPr>
            <w:tcW w:w="1132" w:type="dxa"/>
          </w:tcPr>
          <w:p>
            <w:pPr>
              <w:spacing w:line="360" w:lineRule="auto"/>
              <w:jc w:val="left"/>
              <w:rPr>
                <w:rFonts w:hAnsi="宋体" w:cs="宋体"/>
                <w:color w:val="auto"/>
                <w:sz w:val="18"/>
                <w:szCs w:val="18"/>
                <w:highlight w:val="none"/>
              </w:rPr>
            </w:pPr>
          </w:p>
        </w:tc>
        <w:tc>
          <w:tcPr>
            <w:tcW w:w="778" w:type="dxa"/>
          </w:tcPr>
          <w:p>
            <w:pPr>
              <w:spacing w:line="360" w:lineRule="auto"/>
              <w:jc w:val="left"/>
              <w:rPr>
                <w:rFonts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pPr>
              <w:spacing w:line="360" w:lineRule="auto"/>
              <w:jc w:val="left"/>
              <w:rPr>
                <w:rFonts w:hAnsi="宋体" w:cs="宋体"/>
                <w:color w:val="auto"/>
                <w:sz w:val="18"/>
                <w:szCs w:val="18"/>
                <w:highlight w:val="none"/>
              </w:rPr>
            </w:pPr>
          </w:p>
        </w:tc>
        <w:tc>
          <w:tcPr>
            <w:tcW w:w="1415" w:type="dxa"/>
          </w:tcPr>
          <w:p>
            <w:pPr>
              <w:spacing w:line="360" w:lineRule="auto"/>
              <w:jc w:val="left"/>
              <w:rPr>
                <w:rFonts w:hAnsi="宋体" w:cs="宋体"/>
                <w:color w:val="auto"/>
                <w:sz w:val="18"/>
                <w:szCs w:val="18"/>
                <w:highlight w:val="none"/>
              </w:rPr>
            </w:pPr>
          </w:p>
        </w:tc>
        <w:tc>
          <w:tcPr>
            <w:tcW w:w="1105" w:type="dxa"/>
          </w:tcPr>
          <w:p>
            <w:pPr>
              <w:spacing w:line="360" w:lineRule="auto"/>
              <w:jc w:val="left"/>
              <w:rPr>
                <w:rFonts w:hAnsi="宋体" w:cs="宋体"/>
                <w:color w:val="auto"/>
                <w:sz w:val="18"/>
                <w:szCs w:val="18"/>
                <w:highlight w:val="none"/>
              </w:rPr>
            </w:pPr>
          </w:p>
        </w:tc>
        <w:tc>
          <w:tcPr>
            <w:tcW w:w="1515" w:type="dxa"/>
          </w:tcPr>
          <w:p>
            <w:pPr>
              <w:spacing w:line="360" w:lineRule="auto"/>
              <w:jc w:val="left"/>
              <w:rPr>
                <w:rFonts w:hAnsi="宋体" w:cs="宋体"/>
                <w:color w:val="auto"/>
                <w:sz w:val="18"/>
                <w:szCs w:val="18"/>
                <w:highlight w:val="none"/>
              </w:rPr>
            </w:pPr>
          </w:p>
        </w:tc>
        <w:tc>
          <w:tcPr>
            <w:tcW w:w="1185" w:type="dxa"/>
          </w:tcPr>
          <w:p>
            <w:pPr>
              <w:spacing w:line="360" w:lineRule="auto"/>
              <w:jc w:val="left"/>
              <w:rPr>
                <w:rFonts w:hAnsi="宋体" w:cs="宋体"/>
                <w:color w:val="auto"/>
                <w:sz w:val="18"/>
                <w:szCs w:val="18"/>
                <w:highlight w:val="none"/>
              </w:rPr>
            </w:pPr>
          </w:p>
        </w:tc>
        <w:tc>
          <w:tcPr>
            <w:tcW w:w="753" w:type="dxa"/>
          </w:tcPr>
          <w:p>
            <w:pPr>
              <w:spacing w:line="360" w:lineRule="auto"/>
              <w:jc w:val="left"/>
              <w:rPr>
                <w:rFonts w:hAnsi="宋体" w:cs="宋体"/>
                <w:color w:val="auto"/>
                <w:sz w:val="18"/>
                <w:szCs w:val="18"/>
                <w:highlight w:val="none"/>
              </w:rPr>
            </w:pPr>
          </w:p>
        </w:tc>
        <w:tc>
          <w:tcPr>
            <w:tcW w:w="736" w:type="dxa"/>
          </w:tcPr>
          <w:p>
            <w:pPr>
              <w:spacing w:line="360" w:lineRule="auto"/>
              <w:jc w:val="left"/>
              <w:rPr>
                <w:rFonts w:hAnsi="宋体" w:cs="宋体"/>
                <w:color w:val="auto"/>
                <w:sz w:val="18"/>
                <w:szCs w:val="18"/>
                <w:highlight w:val="none"/>
              </w:rPr>
            </w:pPr>
          </w:p>
        </w:tc>
        <w:tc>
          <w:tcPr>
            <w:tcW w:w="1132" w:type="dxa"/>
          </w:tcPr>
          <w:p>
            <w:pPr>
              <w:spacing w:line="360" w:lineRule="auto"/>
              <w:jc w:val="left"/>
              <w:rPr>
                <w:rFonts w:hAnsi="宋体" w:cs="宋体"/>
                <w:color w:val="auto"/>
                <w:sz w:val="18"/>
                <w:szCs w:val="18"/>
                <w:highlight w:val="none"/>
              </w:rPr>
            </w:pPr>
          </w:p>
        </w:tc>
        <w:tc>
          <w:tcPr>
            <w:tcW w:w="778" w:type="dxa"/>
          </w:tcPr>
          <w:p>
            <w:pPr>
              <w:spacing w:line="360" w:lineRule="auto"/>
              <w:jc w:val="left"/>
              <w:rPr>
                <w:rFonts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pPr>
              <w:spacing w:line="360" w:lineRule="auto"/>
              <w:jc w:val="left"/>
              <w:rPr>
                <w:rFonts w:hAnsi="宋体" w:cs="宋体"/>
                <w:color w:val="auto"/>
                <w:sz w:val="18"/>
                <w:szCs w:val="18"/>
                <w:highlight w:val="none"/>
              </w:rPr>
            </w:pPr>
          </w:p>
        </w:tc>
        <w:tc>
          <w:tcPr>
            <w:tcW w:w="1415" w:type="dxa"/>
          </w:tcPr>
          <w:p>
            <w:pPr>
              <w:spacing w:line="360" w:lineRule="auto"/>
              <w:jc w:val="left"/>
              <w:rPr>
                <w:rFonts w:hAnsi="宋体" w:cs="宋体"/>
                <w:color w:val="auto"/>
                <w:sz w:val="18"/>
                <w:szCs w:val="18"/>
                <w:highlight w:val="none"/>
              </w:rPr>
            </w:pPr>
          </w:p>
        </w:tc>
        <w:tc>
          <w:tcPr>
            <w:tcW w:w="1105" w:type="dxa"/>
          </w:tcPr>
          <w:p>
            <w:pPr>
              <w:spacing w:line="360" w:lineRule="auto"/>
              <w:jc w:val="left"/>
              <w:rPr>
                <w:rFonts w:hAnsi="宋体" w:cs="宋体"/>
                <w:color w:val="auto"/>
                <w:sz w:val="18"/>
                <w:szCs w:val="18"/>
                <w:highlight w:val="none"/>
              </w:rPr>
            </w:pPr>
          </w:p>
        </w:tc>
        <w:tc>
          <w:tcPr>
            <w:tcW w:w="1515" w:type="dxa"/>
          </w:tcPr>
          <w:p>
            <w:pPr>
              <w:spacing w:line="360" w:lineRule="auto"/>
              <w:jc w:val="left"/>
              <w:rPr>
                <w:rFonts w:hAnsi="宋体" w:cs="宋体"/>
                <w:color w:val="auto"/>
                <w:sz w:val="18"/>
                <w:szCs w:val="18"/>
                <w:highlight w:val="none"/>
              </w:rPr>
            </w:pPr>
          </w:p>
        </w:tc>
        <w:tc>
          <w:tcPr>
            <w:tcW w:w="1185" w:type="dxa"/>
          </w:tcPr>
          <w:p>
            <w:pPr>
              <w:spacing w:line="360" w:lineRule="auto"/>
              <w:jc w:val="left"/>
              <w:rPr>
                <w:rFonts w:hAnsi="宋体" w:cs="宋体"/>
                <w:color w:val="auto"/>
                <w:sz w:val="18"/>
                <w:szCs w:val="18"/>
                <w:highlight w:val="none"/>
              </w:rPr>
            </w:pPr>
          </w:p>
        </w:tc>
        <w:tc>
          <w:tcPr>
            <w:tcW w:w="753" w:type="dxa"/>
          </w:tcPr>
          <w:p>
            <w:pPr>
              <w:spacing w:line="360" w:lineRule="auto"/>
              <w:jc w:val="left"/>
              <w:rPr>
                <w:rFonts w:hAnsi="宋体" w:cs="宋体"/>
                <w:color w:val="auto"/>
                <w:sz w:val="18"/>
                <w:szCs w:val="18"/>
                <w:highlight w:val="none"/>
              </w:rPr>
            </w:pPr>
          </w:p>
        </w:tc>
        <w:tc>
          <w:tcPr>
            <w:tcW w:w="736" w:type="dxa"/>
          </w:tcPr>
          <w:p>
            <w:pPr>
              <w:spacing w:line="360" w:lineRule="auto"/>
              <w:jc w:val="left"/>
              <w:rPr>
                <w:rFonts w:hAnsi="宋体" w:cs="宋体"/>
                <w:color w:val="auto"/>
                <w:sz w:val="18"/>
                <w:szCs w:val="18"/>
                <w:highlight w:val="none"/>
              </w:rPr>
            </w:pPr>
          </w:p>
        </w:tc>
        <w:tc>
          <w:tcPr>
            <w:tcW w:w="1132" w:type="dxa"/>
          </w:tcPr>
          <w:p>
            <w:pPr>
              <w:spacing w:line="360" w:lineRule="auto"/>
              <w:jc w:val="left"/>
              <w:rPr>
                <w:rFonts w:hAnsi="宋体" w:cs="宋体"/>
                <w:color w:val="auto"/>
                <w:sz w:val="18"/>
                <w:szCs w:val="18"/>
                <w:highlight w:val="none"/>
              </w:rPr>
            </w:pPr>
          </w:p>
        </w:tc>
        <w:tc>
          <w:tcPr>
            <w:tcW w:w="778" w:type="dxa"/>
          </w:tcPr>
          <w:p>
            <w:pPr>
              <w:spacing w:line="360" w:lineRule="auto"/>
              <w:jc w:val="left"/>
              <w:rPr>
                <w:rFonts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pPr>
              <w:spacing w:line="360" w:lineRule="auto"/>
              <w:jc w:val="left"/>
              <w:rPr>
                <w:rFonts w:hAnsi="宋体" w:cs="宋体"/>
                <w:color w:val="auto"/>
                <w:sz w:val="18"/>
                <w:szCs w:val="18"/>
                <w:highlight w:val="none"/>
              </w:rPr>
            </w:pPr>
          </w:p>
        </w:tc>
        <w:tc>
          <w:tcPr>
            <w:tcW w:w="1415" w:type="dxa"/>
          </w:tcPr>
          <w:p>
            <w:pPr>
              <w:spacing w:line="360" w:lineRule="auto"/>
              <w:jc w:val="left"/>
              <w:rPr>
                <w:rFonts w:hAnsi="宋体" w:cs="宋体"/>
                <w:color w:val="auto"/>
                <w:sz w:val="18"/>
                <w:szCs w:val="18"/>
                <w:highlight w:val="none"/>
              </w:rPr>
            </w:pPr>
          </w:p>
        </w:tc>
        <w:tc>
          <w:tcPr>
            <w:tcW w:w="1105" w:type="dxa"/>
          </w:tcPr>
          <w:p>
            <w:pPr>
              <w:spacing w:line="360" w:lineRule="auto"/>
              <w:jc w:val="left"/>
              <w:rPr>
                <w:rFonts w:hAnsi="宋体" w:cs="宋体"/>
                <w:color w:val="auto"/>
                <w:sz w:val="18"/>
                <w:szCs w:val="18"/>
                <w:highlight w:val="none"/>
              </w:rPr>
            </w:pPr>
          </w:p>
        </w:tc>
        <w:tc>
          <w:tcPr>
            <w:tcW w:w="1515" w:type="dxa"/>
          </w:tcPr>
          <w:p>
            <w:pPr>
              <w:spacing w:line="360" w:lineRule="auto"/>
              <w:jc w:val="left"/>
              <w:rPr>
                <w:rFonts w:hAnsi="宋体" w:cs="宋体"/>
                <w:color w:val="auto"/>
                <w:sz w:val="18"/>
                <w:szCs w:val="18"/>
                <w:highlight w:val="none"/>
              </w:rPr>
            </w:pPr>
          </w:p>
        </w:tc>
        <w:tc>
          <w:tcPr>
            <w:tcW w:w="1185" w:type="dxa"/>
          </w:tcPr>
          <w:p>
            <w:pPr>
              <w:spacing w:line="360" w:lineRule="auto"/>
              <w:jc w:val="left"/>
              <w:rPr>
                <w:rFonts w:hAnsi="宋体" w:cs="宋体"/>
                <w:color w:val="auto"/>
                <w:sz w:val="18"/>
                <w:szCs w:val="18"/>
                <w:highlight w:val="none"/>
              </w:rPr>
            </w:pPr>
          </w:p>
        </w:tc>
        <w:tc>
          <w:tcPr>
            <w:tcW w:w="753" w:type="dxa"/>
          </w:tcPr>
          <w:p>
            <w:pPr>
              <w:spacing w:line="360" w:lineRule="auto"/>
              <w:jc w:val="left"/>
              <w:rPr>
                <w:rFonts w:hAnsi="宋体" w:cs="宋体"/>
                <w:color w:val="auto"/>
                <w:sz w:val="18"/>
                <w:szCs w:val="18"/>
                <w:highlight w:val="none"/>
              </w:rPr>
            </w:pPr>
          </w:p>
        </w:tc>
        <w:tc>
          <w:tcPr>
            <w:tcW w:w="736" w:type="dxa"/>
          </w:tcPr>
          <w:p>
            <w:pPr>
              <w:spacing w:line="360" w:lineRule="auto"/>
              <w:jc w:val="left"/>
              <w:rPr>
                <w:rFonts w:hAnsi="宋体" w:cs="宋体"/>
                <w:color w:val="auto"/>
                <w:sz w:val="18"/>
                <w:szCs w:val="18"/>
                <w:highlight w:val="none"/>
              </w:rPr>
            </w:pPr>
          </w:p>
        </w:tc>
        <w:tc>
          <w:tcPr>
            <w:tcW w:w="1132" w:type="dxa"/>
          </w:tcPr>
          <w:p>
            <w:pPr>
              <w:spacing w:line="360" w:lineRule="auto"/>
              <w:jc w:val="left"/>
              <w:rPr>
                <w:rFonts w:hAnsi="宋体" w:cs="宋体"/>
                <w:color w:val="auto"/>
                <w:sz w:val="18"/>
                <w:szCs w:val="18"/>
                <w:highlight w:val="none"/>
              </w:rPr>
            </w:pPr>
          </w:p>
        </w:tc>
        <w:tc>
          <w:tcPr>
            <w:tcW w:w="778" w:type="dxa"/>
          </w:tcPr>
          <w:p>
            <w:pPr>
              <w:spacing w:line="360" w:lineRule="auto"/>
              <w:jc w:val="left"/>
              <w:rPr>
                <w:rFonts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pPr>
              <w:spacing w:line="360" w:lineRule="auto"/>
              <w:jc w:val="left"/>
              <w:rPr>
                <w:rFonts w:hAnsi="宋体" w:cs="宋体"/>
                <w:color w:val="auto"/>
                <w:sz w:val="18"/>
                <w:szCs w:val="18"/>
                <w:highlight w:val="none"/>
              </w:rPr>
            </w:pPr>
          </w:p>
        </w:tc>
        <w:tc>
          <w:tcPr>
            <w:tcW w:w="1415" w:type="dxa"/>
          </w:tcPr>
          <w:p>
            <w:pPr>
              <w:spacing w:line="360" w:lineRule="auto"/>
              <w:jc w:val="left"/>
              <w:rPr>
                <w:rFonts w:hAnsi="宋体" w:cs="宋体"/>
                <w:color w:val="auto"/>
                <w:sz w:val="18"/>
                <w:szCs w:val="18"/>
                <w:highlight w:val="none"/>
              </w:rPr>
            </w:pPr>
          </w:p>
        </w:tc>
        <w:tc>
          <w:tcPr>
            <w:tcW w:w="1105" w:type="dxa"/>
          </w:tcPr>
          <w:p>
            <w:pPr>
              <w:spacing w:line="360" w:lineRule="auto"/>
              <w:jc w:val="left"/>
              <w:rPr>
                <w:rFonts w:hAnsi="宋体" w:cs="宋体"/>
                <w:color w:val="auto"/>
                <w:sz w:val="18"/>
                <w:szCs w:val="18"/>
                <w:highlight w:val="none"/>
              </w:rPr>
            </w:pPr>
          </w:p>
        </w:tc>
        <w:tc>
          <w:tcPr>
            <w:tcW w:w="1515" w:type="dxa"/>
          </w:tcPr>
          <w:p>
            <w:pPr>
              <w:spacing w:line="360" w:lineRule="auto"/>
              <w:jc w:val="left"/>
              <w:rPr>
                <w:rFonts w:hAnsi="宋体" w:cs="宋体"/>
                <w:color w:val="auto"/>
                <w:sz w:val="18"/>
                <w:szCs w:val="18"/>
                <w:highlight w:val="none"/>
              </w:rPr>
            </w:pPr>
          </w:p>
        </w:tc>
        <w:tc>
          <w:tcPr>
            <w:tcW w:w="1185" w:type="dxa"/>
          </w:tcPr>
          <w:p>
            <w:pPr>
              <w:spacing w:line="360" w:lineRule="auto"/>
              <w:jc w:val="left"/>
              <w:rPr>
                <w:rFonts w:hAnsi="宋体" w:cs="宋体"/>
                <w:color w:val="auto"/>
                <w:sz w:val="18"/>
                <w:szCs w:val="18"/>
                <w:highlight w:val="none"/>
              </w:rPr>
            </w:pPr>
          </w:p>
        </w:tc>
        <w:tc>
          <w:tcPr>
            <w:tcW w:w="753" w:type="dxa"/>
          </w:tcPr>
          <w:p>
            <w:pPr>
              <w:spacing w:line="360" w:lineRule="auto"/>
              <w:jc w:val="left"/>
              <w:rPr>
                <w:rFonts w:hAnsi="宋体" w:cs="宋体"/>
                <w:color w:val="auto"/>
                <w:sz w:val="18"/>
                <w:szCs w:val="18"/>
                <w:highlight w:val="none"/>
              </w:rPr>
            </w:pPr>
          </w:p>
        </w:tc>
        <w:tc>
          <w:tcPr>
            <w:tcW w:w="736" w:type="dxa"/>
          </w:tcPr>
          <w:p>
            <w:pPr>
              <w:spacing w:line="360" w:lineRule="auto"/>
              <w:jc w:val="left"/>
              <w:rPr>
                <w:rFonts w:hAnsi="宋体" w:cs="宋体"/>
                <w:color w:val="auto"/>
                <w:sz w:val="18"/>
                <w:szCs w:val="18"/>
                <w:highlight w:val="none"/>
              </w:rPr>
            </w:pPr>
          </w:p>
        </w:tc>
        <w:tc>
          <w:tcPr>
            <w:tcW w:w="1132" w:type="dxa"/>
          </w:tcPr>
          <w:p>
            <w:pPr>
              <w:spacing w:line="360" w:lineRule="auto"/>
              <w:jc w:val="left"/>
              <w:rPr>
                <w:rFonts w:hAnsi="宋体" w:cs="宋体"/>
                <w:color w:val="auto"/>
                <w:sz w:val="18"/>
                <w:szCs w:val="18"/>
                <w:highlight w:val="none"/>
              </w:rPr>
            </w:pPr>
          </w:p>
        </w:tc>
        <w:tc>
          <w:tcPr>
            <w:tcW w:w="778" w:type="dxa"/>
          </w:tcPr>
          <w:p>
            <w:pPr>
              <w:spacing w:line="360" w:lineRule="auto"/>
              <w:jc w:val="left"/>
              <w:rPr>
                <w:rFonts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pPr>
              <w:spacing w:line="360" w:lineRule="auto"/>
              <w:jc w:val="left"/>
              <w:rPr>
                <w:rFonts w:hAnsi="宋体" w:cs="宋体"/>
                <w:color w:val="auto"/>
                <w:sz w:val="18"/>
                <w:szCs w:val="18"/>
                <w:highlight w:val="none"/>
              </w:rPr>
            </w:pPr>
          </w:p>
        </w:tc>
        <w:tc>
          <w:tcPr>
            <w:tcW w:w="1415" w:type="dxa"/>
          </w:tcPr>
          <w:p>
            <w:pPr>
              <w:spacing w:line="360" w:lineRule="auto"/>
              <w:jc w:val="left"/>
              <w:rPr>
                <w:rFonts w:hAnsi="宋体" w:cs="宋体"/>
                <w:color w:val="auto"/>
                <w:sz w:val="18"/>
                <w:szCs w:val="18"/>
                <w:highlight w:val="none"/>
              </w:rPr>
            </w:pPr>
          </w:p>
        </w:tc>
        <w:tc>
          <w:tcPr>
            <w:tcW w:w="1105" w:type="dxa"/>
          </w:tcPr>
          <w:p>
            <w:pPr>
              <w:spacing w:line="360" w:lineRule="auto"/>
              <w:jc w:val="left"/>
              <w:rPr>
                <w:rFonts w:hAnsi="宋体" w:cs="宋体"/>
                <w:color w:val="auto"/>
                <w:sz w:val="18"/>
                <w:szCs w:val="18"/>
                <w:highlight w:val="none"/>
              </w:rPr>
            </w:pPr>
          </w:p>
        </w:tc>
        <w:tc>
          <w:tcPr>
            <w:tcW w:w="1515" w:type="dxa"/>
          </w:tcPr>
          <w:p>
            <w:pPr>
              <w:spacing w:line="360" w:lineRule="auto"/>
              <w:jc w:val="left"/>
              <w:rPr>
                <w:rFonts w:hAnsi="宋体" w:cs="宋体"/>
                <w:color w:val="auto"/>
                <w:sz w:val="18"/>
                <w:szCs w:val="18"/>
                <w:highlight w:val="none"/>
              </w:rPr>
            </w:pPr>
          </w:p>
        </w:tc>
        <w:tc>
          <w:tcPr>
            <w:tcW w:w="1185" w:type="dxa"/>
          </w:tcPr>
          <w:p>
            <w:pPr>
              <w:spacing w:line="360" w:lineRule="auto"/>
              <w:jc w:val="left"/>
              <w:rPr>
                <w:rFonts w:hAnsi="宋体" w:cs="宋体"/>
                <w:color w:val="auto"/>
                <w:sz w:val="18"/>
                <w:szCs w:val="18"/>
                <w:highlight w:val="none"/>
              </w:rPr>
            </w:pPr>
          </w:p>
        </w:tc>
        <w:tc>
          <w:tcPr>
            <w:tcW w:w="753" w:type="dxa"/>
          </w:tcPr>
          <w:p>
            <w:pPr>
              <w:spacing w:line="360" w:lineRule="auto"/>
              <w:jc w:val="left"/>
              <w:rPr>
                <w:rFonts w:hAnsi="宋体" w:cs="宋体"/>
                <w:color w:val="auto"/>
                <w:sz w:val="18"/>
                <w:szCs w:val="18"/>
                <w:highlight w:val="none"/>
              </w:rPr>
            </w:pPr>
          </w:p>
        </w:tc>
        <w:tc>
          <w:tcPr>
            <w:tcW w:w="736" w:type="dxa"/>
          </w:tcPr>
          <w:p>
            <w:pPr>
              <w:spacing w:line="360" w:lineRule="auto"/>
              <w:jc w:val="left"/>
              <w:rPr>
                <w:rFonts w:hAnsi="宋体" w:cs="宋体"/>
                <w:color w:val="auto"/>
                <w:sz w:val="18"/>
                <w:szCs w:val="18"/>
                <w:highlight w:val="none"/>
              </w:rPr>
            </w:pPr>
          </w:p>
        </w:tc>
        <w:tc>
          <w:tcPr>
            <w:tcW w:w="1132" w:type="dxa"/>
          </w:tcPr>
          <w:p>
            <w:pPr>
              <w:spacing w:line="360" w:lineRule="auto"/>
              <w:jc w:val="left"/>
              <w:rPr>
                <w:rFonts w:hAnsi="宋体" w:cs="宋体"/>
                <w:color w:val="auto"/>
                <w:sz w:val="18"/>
                <w:szCs w:val="18"/>
                <w:highlight w:val="none"/>
              </w:rPr>
            </w:pPr>
          </w:p>
        </w:tc>
        <w:tc>
          <w:tcPr>
            <w:tcW w:w="778" w:type="dxa"/>
          </w:tcPr>
          <w:p>
            <w:pPr>
              <w:spacing w:line="360" w:lineRule="auto"/>
              <w:jc w:val="left"/>
              <w:rPr>
                <w:rFonts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pPr>
              <w:spacing w:line="360" w:lineRule="auto"/>
              <w:jc w:val="left"/>
              <w:rPr>
                <w:rFonts w:hAnsi="宋体" w:cs="宋体"/>
                <w:color w:val="auto"/>
                <w:sz w:val="18"/>
                <w:szCs w:val="18"/>
                <w:highlight w:val="none"/>
              </w:rPr>
            </w:pPr>
          </w:p>
        </w:tc>
        <w:tc>
          <w:tcPr>
            <w:tcW w:w="1415" w:type="dxa"/>
          </w:tcPr>
          <w:p>
            <w:pPr>
              <w:spacing w:line="360" w:lineRule="auto"/>
              <w:jc w:val="left"/>
              <w:rPr>
                <w:rFonts w:hAnsi="宋体" w:cs="宋体"/>
                <w:color w:val="auto"/>
                <w:sz w:val="18"/>
                <w:szCs w:val="18"/>
                <w:highlight w:val="none"/>
              </w:rPr>
            </w:pPr>
          </w:p>
        </w:tc>
        <w:tc>
          <w:tcPr>
            <w:tcW w:w="1105" w:type="dxa"/>
          </w:tcPr>
          <w:p>
            <w:pPr>
              <w:spacing w:line="360" w:lineRule="auto"/>
              <w:jc w:val="left"/>
              <w:rPr>
                <w:rFonts w:hAnsi="宋体" w:cs="宋体"/>
                <w:color w:val="auto"/>
                <w:sz w:val="18"/>
                <w:szCs w:val="18"/>
                <w:highlight w:val="none"/>
              </w:rPr>
            </w:pPr>
          </w:p>
        </w:tc>
        <w:tc>
          <w:tcPr>
            <w:tcW w:w="1515" w:type="dxa"/>
          </w:tcPr>
          <w:p>
            <w:pPr>
              <w:spacing w:line="360" w:lineRule="auto"/>
              <w:jc w:val="left"/>
              <w:rPr>
                <w:rFonts w:hAnsi="宋体" w:cs="宋体"/>
                <w:color w:val="auto"/>
                <w:sz w:val="18"/>
                <w:szCs w:val="18"/>
                <w:highlight w:val="none"/>
              </w:rPr>
            </w:pPr>
          </w:p>
        </w:tc>
        <w:tc>
          <w:tcPr>
            <w:tcW w:w="1185" w:type="dxa"/>
          </w:tcPr>
          <w:p>
            <w:pPr>
              <w:spacing w:line="360" w:lineRule="auto"/>
              <w:jc w:val="left"/>
              <w:rPr>
                <w:rFonts w:hAnsi="宋体" w:cs="宋体"/>
                <w:color w:val="auto"/>
                <w:sz w:val="18"/>
                <w:szCs w:val="18"/>
                <w:highlight w:val="none"/>
              </w:rPr>
            </w:pPr>
          </w:p>
        </w:tc>
        <w:tc>
          <w:tcPr>
            <w:tcW w:w="753" w:type="dxa"/>
          </w:tcPr>
          <w:p>
            <w:pPr>
              <w:spacing w:line="360" w:lineRule="auto"/>
              <w:jc w:val="left"/>
              <w:rPr>
                <w:rFonts w:hAnsi="宋体" w:cs="宋体"/>
                <w:color w:val="auto"/>
                <w:sz w:val="18"/>
                <w:szCs w:val="18"/>
                <w:highlight w:val="none"/>
              </w:rPr>
            </w:pPr>
          </w:p>
        </w:tc>
        <w:tc>
          <w:tcPr>
            <w:tcW w:w="736" w:type="dxa"/>
          </w:tcPr>
          <w:p>
            <w:pPr>
              <w:spacing w:line="360" w:lineRule="auto"/>
              <w:jc w:val="left"/>
              <w:rPr>
                <w:rFonts w:hAnsi="宋体" w:cs="宋体"/>
                <w:color w:val="auto"/>
                <w:sz w:val="18"/>
                <w:szCs w:val="18"/>
                <w:highlight w:val="none"/>
              </w:rPr>
            </w:pPr>
          </w:p>
        </w:tc>
        <w:tc>
          <w:tcPr>
            <w:tcW w:w="1132" w:type="dxa"/>
          </w:tcPr>
          <w:p>
            <w:pPr>
              <w:spacing w:line="360" w:lineRule="auto"/>
              <w:jc w:val="left"/>
              <w:rPr>
                <w:rFonts w:hAnsi="宋体" w:cs="宋体"/>
                <w:color w:val="auto"/>
                <w:sz w:val="18"/>
                <w:szCs w:val="18"/>
                <w:highlight w:val="none"/>
              </w:rPr>
            </w:pPr>
          </w:p>
        </w:tc>
        <w:tc>
          <w:tcPr>
            <w:tcW w:w="778" w:type="dxa"/>
          </w:tcPr>
          <w:p>
            <w:pPr>
              <w:spacing w:line="360" w:lineRule="auto"/>
              <w:jc w:val="left"/>
              <w:rPr>
                <w:rFonts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pPr>
              <w:spacing w:line="360" w:lineRule="auto"/>
              <w:jc w:val="left"/>
              <w:rPr>
                <w:rFonts w:hAnsi="宋体" w:cs="宋体"/>
                <w:color w:val="auto"/>
                <w:sz w:val="18"/>
                <w:szCs w:val="18"/>
                <w:highlight w:val="none"/>
              </w:rPr>
            </w:pPr>
          </w:p>
        </w:tc>
        <w:tc>
          <w:tcPr>
            <w:tcW w:w="1415" w:type="dxa"/>
          </w:tcPr>
          <w:p>
            <w:pPr>
              <w:spacing w:line="360" w:lineRule="auto"/>
              <w:jc w:val="left"/>
              <w:rPr>
                <w:rFonts w:hAnsi="宋体" w:cs="宋体"/>
                <w:color w:val="auto"/>
                <w:sz w:val="18"/>
                <w:szCs w:val="18"/>
                <w:highlight w:val="none"/>
              </w:rPr>
            </w:pPr>
          </w:p>
        </w:tc>
        <w:tc>
          <w:tcPr>
            <w:tcW w:w="1105" w:type="dxa"/>
          </w:tcPr>
          <w:p>
            <w:pPr>
              <w:spacing w:line="360" w:lineRule="auto"/>
              <w:jc w:val="left"/>
              <w:rPr>
                <w:rFonts w:hAnsi="宋体" w:cs="宋体"/>
                <w:color w:val="auto"/>
                <w:sz w:val="18"/>
                <w:szCs w:val="18"/>
                <w:highlight w:val="none"/>
              </w:rPr>
            </w:pPr>
          </w:p>
        </w:tc>
        <w:tc>
          <w:tcPr>
            <w:tcW w:w="1515" w:type="dxa"/>
          </w:tcPr>
          <w:p>
            <w:pPr>
              <w:spacing w:line="360" w:lineRule="auto"/>
              <w:jc w:val="left"/>
              <w:rPr>
                <w:rFonts w:hAnsi="宋体" w:cs="宋体"/>
                <w:color w:val="auto"/>
                <w:sz w:val="18"/>
                <w:szCs w:val="18"/>
                <w:highlight w:val="none"/>
              </w:rPr>
            </w:pPr>
          </w:p>
        </w:tc>
        <w:tc>
          <w:tcPr>
            <w:tcW w:w="1185" w:type="dxa"/>
          </w:tcPr>
          <w:p>
            <w:pPr>
              <w:spacing w:line="360" w:lineRule="auto"/>
              <w:jc w:val="left"/>
              <w:rPr>
                <w:rFonts w:hAnsi="宋体" w:cs="宋体"/>
                <w:color w:val="auto"/>
                <w:sz w:val="18"/>
                <w:szCs w:val="18"/>
                <w:highlight w:val="none"/>
              </w:rPr>
            </w:pPr>
          </w:p>
        </w:tc>
        <w:tc>
          <w:tcPr>
            <w:tcW w:w="753" w:type="dxa"/>
          </w:tcPr>
          <w:p>
            <w:pPr>
              <w:spacing w:line="360" w:lineRule="auto"/>
              <w:jc w:val="left"/>
              <w:rPr>
                <w:rFonts w:hAnsi="宋体" w:cs="宋体"/>
                <w:color w:val="auto"/>
                <w:sz w:val="18"/>
                <w:szCs w:val="18"/>
                <w:highlight w:val="none"/>
              </w:rPr>
            </w:pPr>
          </w:p>
        </w:tc>
        <w:tc>
          <w:tcPr>
            <w:tcW w:w="736" w:type="dxa"/>
          </w:tcPr>
          <w:p>
            <w:pPr>
              <w:spacing w:line="360" w:lineRule="auto"/>
              <w:jc w:val="left"/>
              <w:rPr>
                <w:rFonts w:hAnsi="宋体" w:cs="宋体"/>
                <w:color w:val="auto"/>
                <w:sz w:val="18"/>
                <w:szCs w:val="18"/>
                <w:highlight w:val="none"/>
              </w:rPr>
            </w:pPr>
          </w:p>
        </w:tc>
        <w:tc>
          <w:tcPr>
            <w:tcW w:w="1132" w:type="dxa"/>
          </w:tcPr>
          <w:p>
            <w:pPr>
              <w:spacing w:line="360" w:lineRule="auto"/>
              <w:jc w:val="left"/>
              <w:rPr>
                <w:rFonts w:hAnsi="宋体" w:cs="宋体"/>
                <w:color w:val="auto"/>
                <w:sz w:val="18"/>
                <w:szCs w:val="18"/>
                <w:highlight w:val="none"/>
              </w:rPr>
            </w:pPr>
          </w:p>
        </w:tc>
        <w:tc>
          <w:tcPr>
            <w:tcW w:w="778" w:type="dxa"/>
          </w:tcPr>
          <w:p>
            <w:pPr>
              <w:spacing w:line="360" w:lineRule="auto"/>
              <w:jc w:val="left"/>
              <w:rPr>
                <w:rFonts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314" w:type="dxa"/>
            <w:gridSpan w:val="9"/>
          </w:tcPr>
          <w:p>
            <w:pPr>
              <w:spacing w:line="360" w:lineRule="auto"/>
              <w:jc w:val="left"/>
              <w:rPr>
                <w:rFonts w:hAnsi="宋体" w:cs="宋体"/>
                <w:color w:val="auto"/>
                <w:sz w:val="18"/>
                <w:szCs w:val="18"/>
                <w:highlight w:val="none"/>
              </w:rPr>
            </w:pPr>
            <w:r>
              <w:rPr>
                <w:rFonts w:hint="eastAsia" w:hAnsi="宋体" w:cs="宋体"/>
                <w:color w:val="auto"/>
                <w:sz w:val="18"/>
                <w:szCs w:val="18"/>
                <w:highlight w:val="none"/>
                <w:lang w:val="zh-CN"/>
              </w:rPr>
              <w:t>合计人民币（大写）：</w:t>
            </w:r>
          </w:p>
        </w:tc>
      </w:tr>
    </w:tbl>
    <w:p>
      <w:pPr>
        <w:adjustRightInd w:val="0"/>
        <w:spacing w:line="360" w:lineRule="auto"/>
        <w:ind w:firstLine="420" w:firstLineChars="200"/>
        <w:jc w:val="left"/>
        <w:rPr>
          <w:rFonts w:hAnsi="宋体" w:cs="宋体"/>
          <w:color w:val="auto"/>
          <w:sz w:val="21"/>
          <w:szCs w:val="21"/>
          <w:highlight w:val="none"/>
        </w:rPr>
      </w:pPr>
      <w:r>
        <w:rPr>
          <w:rFonts w:hint="eastAsia" w:hAnsi="宋体" w:cs="宋体"/>
          <w:color w:val="auto"/>
          <w:sz w:val="21"/>
          <w:szCs w:val="21"/>
          <w:highlight w:val="none"/>
        </w:rPr>
        <w:t>注：1、</w:t>
      </w:r>
      <w:r>
        <w:rPr>
          <w:rFonts w:hint="eastAsia" w:hAnsi="宋体" w:cs="宋体"/>
          <w:color w:val="auto"/>
          <w:sz w:val="21"/>
          <w:szCs w:val="21"/>
          <w:highlight w:val="none"/>
          <w:lang w:val="zh-CN"/>
        </w:rPr>
        <w:t>本价款包括产品、配置、配件、包装和运输等交货前所产生的一切费用及相关税费</w:t>
      </w:r>
      <w:r>
        <w:rPr>
          <w:rFonts w:hint="eastAsia" w:hAnsi="宋体" w:cs="宋体"/>
          <w:color w:val="auto"/>
          <w:sz w:val="21"/>
          <w:szCs w:val="21"/>
          <w:highlight w:val="none"/>
        </w:rPr>
        <w:t>。</w:t>
      </w:r>
    </w:p>
    <w:p>
      <w:pPr>
        <w:adjustRightInd w:val="0"/>
        <w:spacing w:line="360" w:lineRule="auto"/>
        <w:ind w:firstLine="420" w:firstLineChars="200"/>
        <w:jc w:val="left"/>
        <w:rPr>
          <w:rFonts w:hAnsi="宋体" w:cs="宋体"/>
          <w:color w:val="auto"/>
          <w:sz w:val="21"/>
          <w:szCs w:val="21"/>
          <w:highlight w:val="none"/>
        </w:rPr>
      </w:pPr>
      <w:r>
        <w:rPr>
          <w:rFonts w:hint="eastAsia" w:hAnsi="宋体" w:cs="宋体"/>
          <w:color w:val="auto"/>
          <w:sz w:val="21"/>
          <w:szCs w:val="21"/>
          <w:highlight w:val="none"/>
        </w:rPr>
        <w:t xml:space="preserve">    2、“分项报价明细表”各分项报价合计应当与“开标一览表”报价合计相等。</w:t>
      </w:r>
    </w:p>
    <w:p>
      <w:pPr>
        <w:adjustRightInd w:val="0"/>
        <w:spacing w:line="360" w:lineRule="auto"/>
        <w:ind w:firstLine="480" w:firstLineChars="200"/>
        <w:jc w:val="left"/>
        <w:rPr>
          <w:rFonts w:hAnsi="宋体" w:cs="宋体"/>
          <w:color w:val="auto"/>
          <w:sz w:val="24"/>
          <w:highlight w:val="none"/>
        </w:rPr>
      </w:pPr>
    </w:p>
    <w:p>
      <w:pPr>
        <w:adjustRightInd w:val="0"/>
        <w:spacing w:line="360" w:lineRule="auto"/>
        <w:ind w:firstLine="480" w:firstLineChars="200"/>
        <w:jc w:val="left"/>
        <w:rPr>
          <w:rFonts w:hAnsi="宋体" w:cs="宋体"/>
          <w:color w:val="auto"/>
          <w:sz w:val="24"/>
          <w:highlight w:val="none"/>
        </w:rPr>
      </w:pPr>
      <w:r>
        <w:rPr>
          <w:rFonts w:hint="eastAsia" w:hAnsi="宋体" w:cs="宋体"/>
          <w:color w:val="auto"/>
          <w:sz w:val="24"/>
          <w:highlight w:val="none"/>
        </w:rPr>
        <w:t>投标人名称：        （盖章）</w:t>
      </w:r>
    </w:p>
    <w:p>
      <w:pPr>
        <w:widowControl/>
        <w:spacing w:line="360" w:lineRule="atLeast"/>
        <w:ind w:firstLine="470" w:firstLineChars="196"/>
        <w:jc w:val="left"/>
        <w:outlineLvl w:val="1"/>
        <w:rPr>
          <w:rFonts w:hAnsi="宋体" w:cs="宋体"/>
          <w:color w:val="auto"/>
          <w:sz w:val="24"/>
          <w:highlight w:val="none"/>
        </w:rPr>
      </w:pPr>
      <w:r>
        <w:rPr>
          <w:rFonts w:hint="eastAsia" w:hAnsi="宋体" w:cs="宋体"/>
          <w:color w:val="auto"/>
          <w:sz w:val="24"/>
          <w:highlight w:val="none"/>
        </w:rPr>
        <w:t>日    期：      年   月   日</w:t>
      </w:r>
    </w:p>
    <w:p>
      <w:pPr>
        <w:spacing w:line="360" w:lineRule="auto"/>
        <w:ind w:left="840" w:hanging="840" w:hangingChars="350"/>
        <w:jc w:val="center"/>
        <w:rPr>
          <w:rFonts w:hAnsi="宋体" w:cs="宋体"/>
          <w:b/>
          <w:bCs/>
          <w:color w:val="auto"/>
          <w:szCs w:val="28"/>
          <w:highlight w:val="none"/>
        </w:rPr>
      </w:pPr>
      <w:r>
        <w:rPr>
          <w:rFonts w:hint="eastAsia" w:hAnsi="宋体" w:cs="宋体"/>
          <w:color w:val="auto"/>
          <w:sz w:val="24"/>
          <w:highlight w:val="none"/>
        </w:rPr>
        <w:br w:type="page"/>
      </w:r>
      <w:bookmarkStart w:id="824" w:name="_Toc6982"/>
      <w:bookmarkStart w:id="825" w:name="_Toc3690"/>
      <w:bookmarkStart w:id="826" w:name="_Toc5912"/>
      <w:bookmarkStart w:id="827" w:name="_Toc20845"/>
      <w:r>
        <w:rPr>
          <w:rFonts w:hint="eastAsia" w:hAnsi="宋体" w:cs="宋体"/>
          <w:b/>
          <w:bCs/>
          <w:color w:val="auto"/>
          <w:sz w:val="28"/>
          <w:szCs w:val="28"/>
          <w:highlight w:val="none"/>
        </w:rPr>
        <w:t>（四）</w:t>
      </w:r>
      <w:r>
        <w:rPr>
          <w:rFonts w:hint="eastAsia" w:hAnsi="宋体" w:cs="宋体"/>
          <w:b/>
          <w:bCs/>
          <w:color w:val="auto"/>
          <w:sz w:val="30"/>
          <w:szCs w:val="30"/>
          <w:highlight w:val="none"/>
        </w:rPr>
        <w:t>投</w:t>
      </w:r>
      <w:r>
        <w:rPr>
          <w:rFonts w:hint="eastAsia" w:hAnsi="宋体" w:cs="宋体"/>
          <w:b/>
          <w:bCs/>
          <w:color w:val="auto"/>
          <w:szCs w:val="28"/>
          <w:highlight w:val="none"/>
        </w:rPr>
        <w:t>标人基本情况表</w:t>
      </w:r>
      <w:bookmarkEnd w:id="822"/>
      <w:bookmarkEnd w:id="823"/>
      <w:bookmarkEnd w:id="824"/>
      <w:bookmarkEnd w:id="825"/>
      <w:bookmarkEnd w:id="826"/>
      <w:bookmarkEnd w:id="827"/>
    </w:p>
    <w:tbl>
      <w:tblPr>
        <w:tblStyle w:val="37"/>
        <w:tblW w:w="9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125"/>
        <w:gridCol w:w="1432"/>
        <w:gridCol w:w="1455"/>
        <w:gridCol w:w="1228"/>
        <w:gridCol w:w="334"/>
        <w:gridCol w:w="433"/>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autoSpaceDE w:val="0"/>
              <w:autoSpaceDN w:val="0"/>
              <w:adjustRightInd w:val="0"/>
              <w:spacing w:line="400" w:lineRule="exact"/>
              <w:jc w:val="center"/>
              <w:rPr>
                <w:rFonts w:hAnsi="宋体" w:cs="宋体"/>
                <w:color w:val="auto"/>
                <w:sz w:val="21"/>
                <w:szCs w:val="21"/>
                <w:highlight w:val="none"/>
              </w:rPr>
            </w:pPr>
            <w:r>
              <w:rPr>
                <w:rFonts w:hint="eastAsia" w:hAnsi="宋体" w:cs="宋体"/>
                <w:color w:val="auto"/>
                <w:sz w:val="21"/>
                <w:szCs w:val="21"/>
                <w:highlight w:val="none"/>
              </w:rPr>
              <w:t>投标人名称</w:t>
            </w:r>
          </w:p>
        </w:tc>
        <w:tc>
          <w:tcPr>
            <w:tcW w:w="7524" w:type="dxa"/>
            <w:gridSpan w:val="7"/>
            <w:vAlign w:val="center"/>
          </w:tcPr>
          <w:p>
            <w:pPr>
              <w:autoSpaceDE w:val="0"/>
              <w:autoSpaceDN w:val="0"/>
              <w:adjustRightInd w:val="0"/>
              <w:spacing w:line="400" w:lineRule="exact"/>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autoSpaceDE w:val="0"/>
              <w:autoSpaceDN w:val="0"/>
              <w:adjustRightInd w:val="0"/>
              <w:spacing w:line="400" w:lineRule="exact"/>
              <w:jc w:val="center"/>
              <w:rPr>
                <w:rFonts w:hAnsi="宋体" w:cs="宋体"/>
                <w:color w:val="auto"/>
                <w:sz w:val="21"/>
                <w:szCs w:val="21"/>
                <w:highlight w:val="none"/>
              </w:rPr>
            </w:pPr>
            <w:r>
              <w:rPr>
                <w:rFonts w:hint="eastAsia" w:hAnsi="宋体" w:cs="宋体"/>
                <w:color w:val="auto"/>
                <w:sz w:val="21"/>
                <w:szCs w:val="21"/>
                <w:highlight w:val="none"/>
              </w:rPr>
              <w:t>注册地址</w:t>
            </w:r>
          </w:p>
        </w:tc>
        <w:tc>
          <w:tcPr>
            <w:tcW w:w="4012" w:type="dxa"/>
            <w:gridSpan w:val="3"/>
            <w:vAlign w:val="center"/>
          </w:tcPr>
          <w:p>
            <w:pPr>
              <w:autoSpaceDE w:val="0"/>
              <w:autoSpaceDN w:val="0"/>
              <w:adjustRightInd w:val="0"/>
              <w:spacing w:line="400" w:lineRule="exact"/>
              <w:jc w:val="center"/>
              <w:rPr>
                <w:rFonts w:hAnsi="宋体" w:cs="宋体"/>
                <w:color w:val="auto"/>
                <w:sz w:val="21"/>
                <w:szCs w:val="21"/>
                <w:highlight w:val="none"/>
              </w:rPr>
            </w:pPr>
          </w:p>
        </w:tc>
        <w:tc>
          <w:tcPr>
            <w:tcW w:w="1228" w:type="dxa"/>
            <w:vAlign w:val="center"/>
          </w:tcPr>
          <w:p>
            <w:pPr>
              <w:autoSpaceDE w:val="0"/>
              <w:autoSpaceDN w:val="0"/>
              <w:adjustRightInd w:val="0"/>
              <w:spacing w:line="400" w:lineRule="exact"/>
              <w:jc w:val="center"/>
              <w:rPr>
                <w:rFonts w:hAnsi="宋体" w:cs="宋体"/>
                <w:color w:val="auto"/>
                <w:sz w:val="21"/>
                <w:szCs w:val="21"/>
                <w:highlight w:val="none"/>
              </w:rPr>
            </w:pPr>
            <w:r>
              <w:rPr>
                <w:rFonts w:hint="eastAsia" w:hAnsi="宋体" w:cs="宋体"/>
                <w:color w:val="auto"/>
                <w:sz w:val="21"/>
                <w:szCs w:val="21"/>
                <w:highlight w:val="none"/>
              </w:rPr>
              <w:t>邮政编码</w:t>
            </w:r>
          </w:p>
        </w:tc>
        <w:tc>
          <w:tcPr>
            <w:tcW w:w="2284" w:type="dxa"/>
            <w:gridSpan w:val="3"/>
            <w:vAlign w:val="center"/>
          </w:tcPr>
          <w:p>
            <w:pPr>
              <w:autoSpaceDE w:val="0"/>
              <w:autoSpaceDN w:val="0"/>
              <w:adjustRightInd w:val="0"/>
              <w:spacing w:line="400" w:lineRule="exact"/>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Merge w:val="restart"/>
            <w:vAlign w:val="center"/>
          </w:tcPr>
          <w:p>
            <w:pPr>
              <w:autoSpaceDE w:val="0"/>
              <w:autoSpaceDN w:val="0"/>
              <w:adjustRightInd w:val="0"/>
              <w:spacing w:line="400" w:lineRule="exact"/>
              <w:jc w:val="center"/>
              <w:rPr>
                <w:rFonts w:hAnsi="宋体" w:cs="宋体"/>
                <w:color w:val="auto"/>
                <w:sz w:val="21"/>
                <w:szCs w:val="21"/>
                <w:highlight w:val="none"/>
              </w:rPr>
            </w:pPr>
            <w:r>
              <w:rPr>
                <w:rFonts w:hint="eastAsia" w:hAnsi="宋体" w:cs="宋体"/>
                <w:color w:val="auto"/>
                <w:sz w:val="21"/>
                <w:szCs w:val="21"/>
                <w:highlight w:val="none"/>
              </w:rPr>
              <w:t>联系方式</w:t>
            </w:r>
          </w:p>
        </w:tc>
        <w:tc>
          <w:tcPr>
            <w:tcW w:w="1125" w:type="dxa"/>
            <w:vAlign w:val="center"/>
          </w:tcPr>
          <w:p>
            <w:pPr>
              <w:autoSpaceDE w:val="0"/>
              <w:autoSpaceDN w:val="0"/>
              <w:adjustRightInd w:val="0"/>
              <w:spacing w:line="400" w:lineRule="exact"/>
              <w:jc w:val="center"/>
              <w:rPr>
                <w:rFonts w:hAnsi="宋体" w:cs="宋体"/>
                <w:color w:val="auto"/>
                <w:sz w:val="21"/>
                <w:szCs w:val="21"/>
                <w:highlight w:val="none"/>
              </w:rPr>
            </w:pPr>
            <w:r>
              <w:rPr>
                <w:rFonts w:hint="eastAsia" w:hAnsi="宋体" w:cs="宋体"/>
                <w:color w:val="auto"/>
                <w:sz w:val="21"/>
                <w:szCs w:val="21"/>
                <w:highlight w:val="none"/>
              </w:rPr>
              <w:t>联系人</w:t>
            </w:r>
          </w:p>
        </w:tc>
        <w:tc>
          <w:tcPr>
            <w:tcW w:w="2887" w:type="dxa"/>
            <w:gridSpan w:val="2"/>
            <w:vAlign w:val="center"/>
          </w:tcPr>
          <w:p>
            <w:pPr>
              <w:autoSpaceDE w:val="0"/>
              <w:autoSpaceDN w:val="0"/>
              <w:adjustRightInd w:val="0"/>
              <w:spacing w:line="400" w:lineRule="exact"/>
              <w:jc w:val="center"/>
              <w:rPr>
                <w:rFonts w:hAnsi="宋体" w:cs="宋体"/>
                <w:color w:val="auto"/>
                <w:sz w:val="21"/>
                <w:szCs w:val="21"/>
                <w:highlight w:val="none"/>
              </w:rPr>
            </w:pPr>
          </w:p>
        </w:tc>
        <w:tc>
          <w:tcPr>
            <w:tcW w:w="1228" w:type="dxa"/>
            <w:vAlign w:val="center"/>
          </w:tcPr>
          <w:p>
            <w:pPr>
              <w:autoSpaceDE w:val="0"/>
              <w:autoSpaceDN w:val="0"/>
              <w:adjustRightInd w:val="0"/>
              <w:spacing w:line="400" w:lineRule="exact"/>
              <w:jc w:val="center"/>
              <w:rPr>
                <w:rFonts w:hAnsi="宋体" w:cs="宋体"/>
                <w:color w:val="auto"/>
                <w:sz w:val="21"/>
                <w:szCs w:val="21"/>
                <w:highlight w:val="none"/>
              </w:rPr>
            </w:pPr>
            <w:r>
              <w:rPr>
                <w:rFonts w:hint="eastAsia" w:hAnsi="宋体" w:cs="宋体"/>
                <w:color w:val="auto"/>
                <w:sz w:val="21"/>
                <w:szCs w:val="21"/>
                <w:highlight w:val="none"/>
              </w:rPr>
              <w:t>电话</w:t>
            </w:r>
          </w:p>
        </w:tc>
        <w:tc>
          <w:tcPr>
            <w:tcW w:w="2284" w:type="dxa"/>
            <w:gridSpan w:val="3"/>
            <w:vAlign w:val="center"/>
          </w:tcPr>
          <w:p>
            <w:pPr>
              <w:autoSpaceDE w:val="0"/>
              <w:autoSpaceDN w:val="0"/>
              <w:adjustRightInd w:val="0"/>
              <w:spacing w:line="400" w:lineRule="exact"/>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770" w:type="dxa"/>
            <w:vMerge w:val="continue"/>
            <w:vAlign w:val="center"/>
          </w:tcPr>
          <w:p>
            <w:pPr>
              <w:autoSpaceDE w:val="0"/>
              <w:autoSpaceDN w:val="0"/>
              <w:adjustRightInd w:val="0"/>
              <w:spacing w:line="400" w:lineRule="exact"/>
              <w:jc w:val="center"/>
              <w:rPr>
                <w:rFonts w:hAnsi="宋体" w:cs="宋体"/>
                <w:color w:val="auto"/>
                <w:sz w:val="21"/>
                <w:szCs w:val="21"/>
                <w:highlight w:val="none"/>
              </w:rPr>
            </w:pPr>
          </w:p>
        </w:tc>
        <w:tc>
          <w:tcPr>
            <w:tcW w:w="1125" w:type="dxa"/>
            <w:vAlign w:val="center"/>
          </w:tcPr>
          <w:p>
            <w:pPr>
              <w:autoSpaceDE w:val="0"/>
              <w:autoSpaceDN w:val="0"/>
              <w:adjustRightInd w:val="0"/>
              <w:spacing w:line="400" w:lineRule="exact"/>
              <w:jc w:val="center"/>
              <w:rPr>
                <w:rFonts w:hAnsi="宋体" w:cs="宋体"/>
                <w:color w:val="auto"/>
                <w:sz w:val="21"/>
                <w:szCs w:val="21"/>
                <w:highlight w:val="none"/>
              </w:rPr>
            </w:pPr>
            <w:r>
              <w:rPr>
                <w:rFonts w:hint="eastAsia" w:hAnsi="宋体" w:cs="宋体"/>
                <w:color w:val="auto"/>
                <w:sz w:val="21"/>
                <w:szCs w:val="21"/>
                <w:highlight w:val="none"/>
              </w:rPr>
              <w:t>传真</w:t>
            </w:r>
          </w:p>
        </w:tc>
        <w:tc>
          <w:tcPr>
            <w:tcW w:w="2887" w:type="dxa"/>
            <w:gridSpan w:val="2"/>
            <w:vAlign w:val="center"/>
          </w:tcPr>
          <w:p>
            <w:pPr>
              <w:autoSpaceDE w:val="0"/>
              <w:autoSpaceDN w:val="0"/>
              <w:adjustRightInd w:val="0"/>
              <w:spacing w:line="400" w:lineRule="exact"/>
              <w:jc w:val="center"/>
              <w:rPr>
                <w:rFonts w:hAnsi="宋体" w:cs="宋体"/>
                <w:color w:val="auto"/>
                <w:sz w:val="21"/>
                <w:szCs w:val="21"/>
                <w:highlight w:val="none"/>
              </w:rPr>
            </w:pPr>
          </w:p>
        </w:tc>
        <w:tc>
          <w:tcPr>
            <w:tcW w:w="1228" w:type="dxa"/>
            <w:vAlign w:val="center"/>
          </w:tcPr>
          <w:p>
            <w:pPr>
              <w:autoSpaceDE w:val="0"/>
              <w:autoSpaceDN w:val="0"/>
              <w:adjustRightInd w:val="0"/>
              <w:spacing w:line="400" w:lineRule="exact"/>
              <w:jc w:val="center"/>
              <w:rPr>
                <w:rFonts w:hAnsi="宋体" w:cs="宋体"/>
                <w:color w:val="auto"/>
                <w:sz w:val="21"/>
                <w:szCs w:val="21"/>
                <w:highlight w:val="none"/>
              </w:rPr>
            </w:pPr>
            <w:r>
              <w:rPr>
                <w:rFonts w:hint="eastAsia" w:hAnsi="宋体" w:cs="宋体"/>
                <w:color w:val="auto"/>
                <w:sz w:val="21"/>
                <w:szCs w:val="21"/>
                <w:highlight w:val="none"/>
              </w:rPr>
              <w:t>网址</w:t>
            </w:r>
          </w:p>
        </w:tc>
        <w:tc>
          <w:tcPr>
            <w:tcW w:w="2284" w:type="dxa"/>
            <w:gridSpan w:val="3"/>
            <w:vAlign w:val="center"/>
          </w:tcPr>
          <w:p>
            <w:pPr>
              <w:autoSpaceDE w:val="0"/>
              <w:autoSpaceDN w:val="0"/>
              <w:adjustRightInd w:val="0"/>
              <w:spacing w:line="400" w:lineRule="exact"/>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autoSpaceDE w:val="0"/>
              <w:autoSpaceDN w:val="0"/>
              <w:adjustRightInd w:val="0"/>
              <w:spacing w:line="400" w:lineRule="exact"/>
              <w:jc w:val="center"/>
              <w:rPr>
                <w:rFonts w:hAnsi="宋体" w:cs="宋体"/>
                <w:color w:val="auto"/>
                <w:sz w:val="21"/>
                <w:szCs w:val="21"/>
                <w:highlight w:val="none"/>
              </w:rPr>
            </w:pPr>
            <w:r>
              <w:rPr>
                <w:rFonts w:hint="eastAsia" w:hAnsi="宋体" w:cs="宋体"/>
                <w:color w:val="auto"/>
                <w:sz w:val="21"/>
                <w:szCs w:val="21"/>
                <w:highlight w:val="none"/>
              </w:rPr>
              <w:t>组织结构</w:t>
            </w:r>
          </w:p>
        </w:tc>
        <w:tc>
          <w:tcPr>
            <w:tcW w:w="7524" w:type="dxa"/>
            <w:gridSpan w:val="7"/>
            <w:vAlign w:val="center"/>
          </w:tcPr>
          <w:p>
            <w:pPr>
              <w:autoSpaceDE w:val="0"/>
              <w:autoSpaceDN w:val="0"/>
              <w:adjustRightInd w:val="0"/>
              <w:spacing w:line="400" w:lineRule="exact"/>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70" w:type="dxa"/>
            <w:vAlign w:val="center"/>
          </w:tcPr>
          <w:p>
            <w:pPr>
              <w:autoSpaceDE w:val="0"/>
              <w:autoSpaceDN w:val="0"/>
              <w:adjustRightInd w:val="0"/>
              <w:spacing w:line="400" w:lineRule="exact"/>
              <w:jc w:val="center"/>
              <w:rPr>
                <w:rFonts w:hAnsi="宋体" w:cs="宋体"/>
                <w:color w:val="auto"/>
                <w:sz w:val="21"/>
                <w:szCs w:val="21"/>
                <w:highlight w:val="none"/>
              </w:rPr>
            </w:pPr>
            <w:r>
              <w:rPr>
                <w:rFonts w:hint="eastAsia" w:hAnsi="宋体" w:cs="宋体"/>
                <w:color w:val="auto"/>
                <w:sz w:val="21"/>
                <w:szCs w:val="21"/>
                <w:highlight w:val="none"/>
              </w:rPr>
              <w:t>法定代表人</w:t>
            </w:r>
          </w:p>
        </w:tc>
        <w:tc>
          <w:tcPr>
            <w:tcW w:w="1125" w:type="dxa"/>
            <w:vAlign w:val="center"/>
          </w:tcPr>
          <w:p>
            <w:pPr>
              <w:autoSpaceDE w:val="0"/>
              <w:autoSpaceDN w:val="0"/>
              <w:adjustRightInd w:val="0"/>
              <w:spacing w:line="400" w:lineRule="exact"/>
              <w:jc w:val="center"/>
              <w:rPr>
                <w:rFonts w:hAnsi="宋体" w:cs="宋体"/>
                <w:color w:val="auto"/>
                <w:sz w:val="21"/>
                <w:szCs w:val="21"/>
                <w:highlight w:val="none"/>
              </w:rPr>
            </w:pPr>
            <w:r>
              <w:rPr>
                <w:rFonts w:hint="eastAsia" w:hAnsi="宋体" w:cs="宋体"/>
                <w:color w:val="auto"/>
                <w:sz w:val="21"/>
                <w:szCs w:val="21"/>
                <w:highlight w:val="none"/>
              </w:rPr>
              <w:t>姓名</w:t>
            </w:r>
          </w:p>
        </w:tc>
        <w:tc>
          <w:tcPr>
            <w:tcW w:w="1432" w:type="dxa"/>
            <w:vAlign w:val="center"/>
          </w:tcPr>
          <w:p>
            <w:pPr>
              <w:autoSpaceDE w:val="0"/>
              <w:autoSpaceDN w:val="0"/>
              <w:adjustRightInd w:val="0"/>
              <w:spacing w:line="400" w:lineRule="exact"/>
              <w:jc w:val="center"/>
              <w:rPr>
                <w:rFonts w:hAnsi="宋体" w:cs="宋体"/>
                <w:color w:val="auto"/>
                <w:sz w:val="21"/>
                <w:szCs w:val="21"/>
                <w:highlight w:val="none"/>
              </w:rPr>
            </w:pPr>
          </w:p>
        </w:tc>
        <w:tc>
          <w:tcPr>
            <w:tcW w:w="1455" w:type="dxa"/>
            <w:vAlign w:val="center"/>
          </w:tcPr>
          <w:p>
            <w:pPr>
              <w:autoSpaceDE w:val="0"/>
              <w:autoSpaceDN w:val="0"/>
              <w:adjustRightInd w:val="0"/>
              <w:spacing w:line="400" w:lineRule="exact"/>
              <w:jc w:val="center"/>
              <w:rPr>
                <w:rFonts w:hAnsi="宋体" w:cs="宋体"/>
                <w:color w:val="auto"/>
                <w:sz w:val="21"/>
                <w:szCs w:val="21"/>
                <w:highlight w:val="none"/>
              </w:rPr>
            </w:pPr>
            <w:r>
              <w:rPr>
                <w:rFonts w:hint="eastAsia" w:hAnsi="宋体" w:cs="宋体"/>
                <w:color w:val="auto"/>
                <w:sz w:val="21"/>
                <w:szCs w:val="21"/>
                <w:highlight w:val="none"/>
              </w:rPr>
              <w:t>技术职称</w:t>
            </w:r>
          </w:p>
        </w:tc>
        <w:tc>
          <w:tcPr>
            <w:tcW w:w="1228" w:type="dxa"/>
            <w:vAlign w:val="center"/>
          </w:tcPr>
          <w:p>
            <w:pPr>
              <w:autoSpaceDE w:val="0"/>
              <w:autoSpaceDN w:val="0"/>
              <w:adjustRightInd w:val="0"/>
              <w:spacing w:line="400" w:lineRule="exact"/>
              <w:jc w:val="center"/>
              <w:rPr>
                <w:rFonts w:hAnsi="宋体" w:cs="宋体"/>
                <w:color w:val="auto"/>
                <w:sz w:val="21"/>
                <w:szCs w:val="21"/>
                <w:highlight w:val="none"/>
              </w:rPr>
            </w:pPr>
          </w:p>
        </w:tc>
        <w:tc>
          <w:tcPr>
            <w:tcW w:w="767" w:type="dxa"/>
            <w:gridSpan w:val="2"/>
            <w:vAlign w:val="center"/>
          </w:tcPr>
          <w:p>
            <w:pPr>
              <w:autoSpaceDE w:val="0"/>
              <w:autoSpaceDN w:val="0"/>
              <w:adjustRightInd w:val="0"/>
              <w:spacing w:line="400" w:lineRule="exact"/>
              <w:jc w:val="center"/>
              <w:rPr>
                <w:rFonts w:hAnsi="宋体" w:cs="宋体"/>
                <w:color w:val="auto"/>
                <w:sz w:val="21"/>
                <w:szCs w:val="21"/>
                <w:highlight w:val="none"/>
              </w:rPr>
            </w:pPr>
            <w:r>
              <w:rPr>
                <w:rFonts w:hint="eastAsia" w:hAnsi="宋体" w:cs="宋体"/>
                <w:color w:val="auto"/>
                <w:sz w:val="21"/>
                <w:szCs w:val="21"/>
                <w:highlight w:val="none"/>
              </w:rPr>
              <w:t>电话</w:t>
            </w:r>
          </w:p>
        </w:tc>
        <w:tc>
          <w:tcPr>
            <w:tcW w:w="1517" w:type="dxa"/>
            <w:vAlign w:val="center"/>
          </w:tcPr>
          <w:p>
            <w:pPr>
              <w:autoSpaceDE w:val="0"/>
              <w:autoSpaceDN w:val="0"/>
              <w:adjustRightInd w:val="0"/>
              <w:spacing w:line="400" w:lineRule="exact"/>
              <w:jc w:val="center"/>
              <w:rPr>
                <w:rFonts w:hAnsi="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770" w:type="dxa"/>
            <w:vAlign w:val="center"/>
          </w:tcPr>
          <w:p>
            <w:pPr>
              <w:autoSpaceDE w:val="0"/>
              <w:autoSpaceDN w:val="0"/>
              <w:adjustRightInd w:val="0"/>
              <w:spacing w:line="400" w:lineRule="exact"/>
              <w:jc w:val="center"/>
              <w:rPr>
                <w:rFonts w:hAnsi="宋体" w:cs="宋体"/>
                <w:color w:val="auto"/>
                <w:sz w:val="21"/>
                <w:szCs w:val="21"/>
                <w:highlight w:val="none"/>
              </w:rPr>
            </w:pPr>
            <w:r>
              <w:rPr>
                <w:rFonts w:hint="eastAsia" w:hAnsi="宋体" w:cs="宋体"/>
                <w:color w:val="auto"/>
                <w:sz w:val="21"/>
                <w:szCs w:val="21"/>
                <w:highlight w:val="none"/>
              </w:rPr>
              <w:t>技术负责人</w:t>
            </w:r>
          </w:p>
        </w:tc>
        <w:tc>
          <w:tcPr>
            <w:tcW w:w="1125" w:type="dxa"/>
            <w:vAlign w:val="center"/>
          </w:tcPr>
          <w:p>
            <w:pPr>
              <w:autoSpaceDE w:val="0"/>
              <w:autoSpaceDN w:val="0"/>
              <w:adjustRightInd w:val="0"/>
              <w:spacing w:line="400" w:lineRule="exact"/>
              <w:jc w:val="center"/>
              <w:rPr>
                <w:rFonts w:hAnsi="宋体" w:cs="宋体"/>
                <w:color w:val="auto"/>
                <w:sz w:val="21"/>
                <w:szCs w:val="21"/>
                <w:highlight w:val="none"/>
              </w:rPr>
            </w:pPr>
            <w:r>
              <w:rPr>
                <w:rFonts w:hint="eastAsia" w:hAnsi="宋体" w:cs="宋体"/>
                <w:color w:val="auto"/>
                <w:sz w:val="21"/>
                <w:szCs w:val="21"/>
                <w:highlight w:val="none"/>
              </w:rPr>
              <w:t>姓名</w:t>
            </w:r>
          </w:p>
        </w:tc>
        <w:tc>
          <w:tcPr>
            <w:tcW w:w="1432" w:type="dxa"/>
            <w:vAlign w:val="center"/>
          </w:tcPr>
          <w:p>
            <w:pPr>
              <w:autoSpaceDE w:val="0"/>
              <w:autoSpaceDN w:val="0"/>
              <w:adjustRightInd w:val="0"/>
              <w:spacing w:line="400" w:lineRule="exact"/>
              <w:jc w:val="center"/>
              <w:rPr>
                <w:rFonts w:hAnsi="宋体" w:cs="宋体"/>
                <w:color w:val="auto"/>
                <w:sz w:val="21"/>
                <w:szCs w:val="21"/>
                <w:highlight w:val="none"/>
              </w:rPr>
            </w:pPr>
          </w:p>
        </w:tc>
        <w:tc>
          <w:tcPr>
            <w:tcW w:w="1455" w:type="dxa"/>
            <w:vAlign w:val="center"/>
          </w:tcPr>
          <w:p>
            <w:pPr>
              <w:autoSpaceDE w:val="0"/>
              <w:autoSpaceDN w:val="0"/>
              <w:adjustRightInd w:val="0"/>
              <w:spacing w:line="400" w:lineRule="exact"/>
              <w:jc w:val="center"/>
              <w:rPr>
                <w:rFonts w:hAnsi="宋体" w:cs="宋体"/>
                <w:color w:val="auto"/>
                <w:sz w:val="21"/>
                <w:szCs w:val="21"/>
                <w:highlight w:val="none"/>
              </w:rPr>
            </w:pPr>
            <w:r>
              <w:rPr>
                <w:rFonts w:hint="eastAsia" w:hAnsi="宋体" w:cs="宋体"/>
                <w:color w:val="auto"/>
                <w:sz w:val="21"/>
                <w:szCs w:val="21"/>
                <w:highlight w:val="none"/>
              </w:rPr>
              <w:t>技术职称</w:t>
            </w:r>
          </w:p>
        </w:tc>
        <w:tc>
          <w:tcPr>
            <w:tcW w:w="1228" w:type="dxa"/>
            <w:vAlign w:val="center"/>
          </w:tcPr>
          <w:p>
            <w:pPr>
              <w:autoSpaceDE w:val="0"/>
              <w:autoSpaceDN w:val="0"/>
              <w:adjustRightInd w:val="0"/>
              <w:spacing w:line="400" w:lineRule="exact"/>
              <w:jc w:val="center"/>
              <w:rPr>
                <w:rFonts w:hAnsi="宋体" w:cs="宋体"/>
                <w:color w:val="auto"/>
                <w:sz w:val="21"/>
                <w:szCs w:val="21"/>
                <w:highlight w:val="none"/>
              </w:rPr>
            </w:pPr>
          </w:p>
        </w:tc>
        <w:tc>
          <w:tcPr>
            <w:tcW w:w="767" w:type="dxa"/>
            <w:gridSpan w:val="2"/>
            <w:vAlign w:val="center"/>
          </w:tcPr>
          <w:p>
            <w:pPr>
              <w:autoSpaceDE w:val="0"/>
              <w:autoSpaceDN w:val="0"/>
              <w:adjustRightInd w:val="0"/>
              <w:spacing w:line="400" w:lineRule="exact"/>
              <w:jc w:val="center"/>
              <w:rPr>
                <w:rFonts w:hAnsi="宋体" w:cs="宋体"/>
                <w:color w:val="auto"/>
                <w:sz w:val="21"/>
                <w:szCs w:val="21"/>
                <w:highlight w:val="none"/>
              </w:rPr>
            </w:pPr>
            <w:r>
              <w:rPr>
                <w:rFonts w:hint="eastAsia" w:hAnsi="宋体" w:cs="宋体"/>
                <w:color w:val="auto"/>
                <w:sz w:val="21"/>
                <w:szCs w:val="21"/>
                <w:highlight w:val="none"/>
              </w:rPr>
              <w:t>电话</w:t>
            </w:r>
          </w:p>
        </w:tc>
        <w:tc>
          <w:tcPr>
            <w:tcW w:w="1517" w:type="dxa"/>
            <w:vAlign w:val="center"/>
          </w:tcPr>
          <w:p>
            <w:pPr>
              <w:autoSpaceDE w:val="0"/>
              <w:autoSpaceDN w:val="0"/>
              <w:adjustRightInd w:val="0"/>
              <w:spacing w:line="400" w:lineRule="exact"/>
              <w:jc w:val="center"/>
              <w:rPr>
                <w:rFonts w:hAnsi="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autoSpaceDE w:val="0"/>
              <w:autoSpaceDN w:val="0"/>
              <w:adjustRightInd w:val="0"/>
              <w:spacing w:line="400" w:lineRule="exact"/>
              <w:jc w:val="center"/>
              <w:rPr>
                <w:rFonts w:hAnsi="宋体" w:cs="宋体"/>
                <w:color w:val="auto"/>
                <w:sz w:val="21"/>
                <w:szCs w:val="21"/>
                <w:highlight w:val="none"/>
              </w:rPr>
            </w:pPr>
            <w:r>
              <w:rPr>
                <w:rFonts w:hint="eastAsia" w:hAnsi="宋体" w:cs="宋体"/>
                <w:color w:val="auto"/>
                <w:sz w:val="21"/>
                <w:szCs w:val="21"/>
                <w:highlight w:val="none"/>
              </w:rPr>
              <w:t>成立时间</w:t>
            </w:r>
          </w:p>
        </w:tc>
        <w:tc>
          <w:tcPr>
            <w:tcW w:w="2557" w:type="dxa"/>
            <w:gridSpan w:val="2"/>
            <w:vAlign w:val="center"/>
          </w:tcPr>
          <w:p>
            <w:pPr>
              <w:autoSpaceDE w:val="0"/>
              <w:autoSpaceDN w:val="0"/>
              <w:adjustRightInd w:val="0"/>
              <w:spacing w:line="400" w:lineRule="exact"/>
              <w:jc w:val="center"/>
              <w:rPr>
                <w:rFonts w:hAnsi="宋体" w:cs="宋体"/>
                <w:color w:val="auto"/>
                <w:sz w:val="21"/>
                <w:szCs w:val="21"/>
                <w:highlight w:val="none"/>
              </w:rPr>
            </w:pPr>
          </w:p>
        </w:tc>
        <w:tc>
          <w:tcPr>
            <w:tcW w:w="4967" w:type="dxa"/>
            <w:gridSpan w:val="5"/>
            <w:vAlign w:val="center"/>
          </w:tcPr>
          <w:p>
            <w:pPr>
              <w:autoSpaceDE w:val="0"/>
              <w:autoSpaceDN w:val="0"/>
              <w:adjustRightInd w:val="0"/>
              <w:spacing w:line="400" w:lineRule="exact"/>
              <w:ind w:firstLine="1470" w:firstLineChars="700"/>
              <w:rPr>
                <w:rFonts w:hAnsi="宋体" w:cs="宋体"/>
                <w:color w:val="auto"/>
                <w:sz w:val="21"/>
                <w:szCs w:val="21"/>
                <w:highlight w:val="none"/>
              </w:rPr>
            </w:pPr>
            <w:r>
              <w:rPr>
                <w:rFonts w:hint="eastAsia" w:hAnsi="宋体" w:cs="宋体"/>
                <w:color w:val="auto"/>
                <w:sz w:val="21"/>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autoSpaceDE w:val="0"/>
              <w:autoSpaceDN w:val="0"/>
              <w:adjustRightInd w:val="0"/>
              <w:spacing w:line="400" w:lineRule="exact"/>
              <w:jc w:val="center"/>
              <w:rPr>
                <w:rFonts w:hAnsi="宋体" w:cs="宋体"/>
                <w:color w:val="auto"/>
                <w:sz w:val="21"/>
                <w:szCs w:val="21"/>
                <w:highlight w:val="none"/>
              </w:rPr>
            </w:pPr>
            <w:r>
              <w:rPr>
                <w:rFonts w:hint="eastAsia" w:hAnsi="宋体" w:cs="宋体"/>
                <w:color w:val="auto"/>
                <w:sz w:val="21"/>
                <w:szCs w:val="21"/>
                <w:highlight w:val="none"/>
              </w:rPr>
              <w:t>企业资质等级</w:t>
            </w:r>
          </w:p>
        </w:tc>
        <w:tc>
          <w:tcPr>
            <w:tcW w:w="2557" w:type="dxa"/>
            <w:gridSpan w:val="2"/>
            <w:vAlign w:val="center"/>
          </w:tcPr>
          <w:p>
            <w:pPr>
              <w:autoSpaceDE w:val="0"/>
              <w:autoSpaceDN w:val="0"/>
              <w:adjustRightInd w:val="0"/>
              <w:spacing w:line="400" w:lineRule="exact"/>
              <w:jc w:val="center"/>
              <w:rPr>
                <w:rFonts w:hAnsi="宋体" w:cs="宋体"/>
                <w:color w:val="auto"/>
                <w:sz w:val="21"/>
                <w:szCs w:val="21"/>
                <w:highlight w:val="none"/>
              </w:rPr>
            </w:pPr>
          </w:p>
        </w:tc>
        <w:tc>
          <w:tcPr>
            <w:tcW w:w="1455" w:type="dxa"/>
            <w:vMerge w:val="restart"/>
            <w:vAlign w:val="center"/>
          </w:tcPr>
          <w:p>
            <w:pPr>
              <w:autoSpaceDE w:val="0"/>
              <w:autoSpaceDN w:val="0"/>
              <w:adjustRightInd w:val="0"/>
              <w:spacing w:line="400" w:lineRule="exact"/>
              <w:jc w:val="center"/>
              <w:rPr>
                <w:rFonts w:hAnsi="宋体" w:cs="宋体"/>
                <w:color w:val="auto"/>
                <w:sz w:val="21"/>
                <w:szCs w:val="21"/>
                <w:highlight w:val="none"/>
              </w:rPr>
            </w:pPr>
            <w:r>
              <w:rPr>
                <w:rFonts w:hint="eastAsia" w:hAnsi="宋体" w:cs="宋体"/>
                <w:color w:val="auto"/>
                <w:sz w:val="21"/>
                <w:szCs w:val="21"/>
                <w:highlight w:val="none"/>
              </w:rPr>
              <w:t>其中</w:t>
            </w:r>
          </w:p>
        </w:tc>
        <w:tc>
          <w:tcPr>
            <w:tcW w:w="1562" w:type="dxa"/>
            <w:gridSpan w:val="2"/>
            <w:vAlign w:val="center"/>
          </w:tcPr>
          <w:p>
            <w:pPr>
              <w:autoSpaceDE w:val="0"/>
              <w:autoSpaceDN w:val="0"/>
              <w:adjustRightInd w:val="0"/>
              <w:spacing w:line="400" w:lineRule="exact"/>
              <w:jc w:val="center"/>
              <w:rPr>
                <w:rFonts w:hAnsi="宋体" w:cs="宋体"/>
                <w:color w:val="auto"/>
                <w:sz w:val="21"/>
                <w:szCs w:val="21"/>
                <w:highlight w:val="none"/>
              </w:rPr>
            </w:pPr>
            <w:r>
              <w:rPr>
                <w:rFonts w:hint="eastAsia" w:hAnsi="宋体" w:cs="宋体"/>
                <w:color w:val="auto"/>
                <w:sz w:val="21"/>
                <w:szCs w:val="21"/>
                <w:highlight w:val="none"/>
              </w:rPr>
              <w:t>项目经理</w:t>
            </w:r>
          </w:p>
        </w:tc>
        <w:tc>
          <w:tcPr>
            <w:tcW w:w="1950" w:type="dxa"/>
            <w:gridSpan w:val="2"/>
            <w:vAlign w:val="center"/>
          </w:tcPr>
          <w:p>
            <w:pPr>
              <w:autoSpaceDE w:val="0"/>
              <w:autoSpaceDN w:val="0"/>
              <w:adjustRightInd w:val="0"/>
              <w:spacing w:line="400" w:lineRule="exact"/>
              <w:jc w:val="center"/>
              <w:rPr>
                <w:rFonts w:hAnsi="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autoSpaceDE w:val="0"/>
              <w:autoSpaceDN w:val="0"/>
              <w:adjustRightInd w:val="0"/>
              <w:spacing w:line="400" w:lineRule="exact"/>
              <w:jc w:val="center"/>
              <w:rPr>
                <w:rFonts w:hAnsi="宋体" w:cs="宋体"/>
                <w:color w:val="auto"/>
                <w:sz w:val="21"/>
                <w:szCs w:val="21"/>
                <w:highlight w:val="none"/>
              </w:rPr>
            </w:pPr>
            <w:r>
              <w:rPr>
                <w:rFonts w:hint="eastAsia" w:hAnsi="宋体" w:cs="宋体"/>
                <w:color w:val="auto"/>
                <w:sz w:val="21"/>
                <w:szCs w:val="21"/>
                <w:highlight w:val="none"/>
              </w:rPr>
              <w:t>营业执照号/统一社会信用代码</w:t>
            </w:r>
          </w:p>
        </w:tc>
        <w:tc>
          <w:tcPr>
            <w:tcW w:w="2557" w:type="dxa"/>
            <w:gridSpan w:val="2"/>
            <w:vAlign w:val="center"/>
          </w:tcPr>
          <w:p>
            <w:pPr>
              <w:autoSpaceDE w:val="0"/>
              <w:autoSpaceDN w:val="0"/>
              <w:adjustRightInd w:val="0"/>
              <w:spacing w:line="400" w:lineRule="exact"/>
              <w:jc w:val="center"/>
              <w:rPr>
                <w:rFonts w:hAnsi="宋体" w:cs="宋体"/>
                <w:color w:val="auto"/>
                <w:sz w:val="21"/>
                <w:szCs w:val="21"/>
                <w:highlight w:val="none"/>
              </w:rPr>
            </w:pPr>
          </w:p>
        </w:tc>
        <w:tc>
          <w:tcPr>
            <w:tcW w:w="1455" w:type="dxa"/>
            <w:vMerge w:val="continue"/>
            <w:vAlign w:val="center"/>
          </w:tcPr>
          <w:p>
            <w:pPr>
              <w:autoSpaceDE w:val="0"/>
              <w:autoSpaceDN w:val="0"/>
              <w:adjustRightInd w:val="0"/>
              <w:spacing w:line="400" w:lineRule="exact"/>
              <w:jc w:val="center"/>
              <w:rPr>
                <w:rFonts w:hAnsi="宋体" w:cs="宋体"/>
                <w:color w:val="auto"/>
                <w:sz w:val="21"/>
                <w:szCs w:val="21"/>
                <w:highlight w:val="none"/>
              </w:rPr>
            </w:pPr>
          </w:p>
        </w:tc>
        <w:tc>
          <w:tcPr>
            <w:tcW w:w="1562" w:type="dxa"/>
            <w:gridSpan w:val="2"/>
            <w:vAlign w:val="center"/>
          </w:tcPr>
          <w:p>
            <w:pPr>
              <w:autoSpaceDE w:val="0"/>
              <w:autoSpaceDN w:val="0"/>
              <w:adjustRightInd w:val="0"/>
              <w:spacing w:line="400" w:lineRule="exact"/>
              <w:jc w:val="center"/>
              <w:rPr>
                <w:rFonts w:hAnsi="宋体" w:cs="宋体"/>
                <w:color w:val="auto"/>
                <w:sz w:val="21"/>
                <w:szCs w:val="21"/>
                <w:highlight w:val="none"/>
              </w:rPr>
            </w:pPr>
            <w:r>
              <w:rPr>
                <w:rFonts w:hint="eastAsia" w:hAnsi="宋体" w:cs="宋体"/>
                <w:color w:val="auto"/>
                <w:sz w:val="21"/>
                <w:szCs w:val="21"/>
                <w:highlight w:val="none"/>
              </w:rPr>
              <w:t>高级职称人员</w:t>
            </w:r>
          </w:p>
        </w:tc>
        <w:tc>
          <w:tcPr>
            <w:tcW w:w="1950" w:type="dxa"/>
            <w:gridSpan w:val="2"/>
            <w:vAlign w:val="center"/>
          </w:tcPr>
          <w:p>
            <w:pPr>
              <w:autoSpaceDE w:val="0"/>
              <w:autoSpaceDN w:val="0"/>
              <w:adjustRightInd w:val="0"/>
              <w:spacing w:line="400" w:lineRule="exact"/>
              <w:jc w:val="center"/>
              <w:rPr>
                <w:rFonts w:hAnsi="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autoSpaceDE w:val="0"/>
              <w:autoSpaceDN w:val="0"/>
              <w:adjustRightInd w:val="0"/>
              <w:spacing w:line="400" w:lineRule="exact"/>
              <w:jc w:val="center"/>
              <w:rPr>
                <w:rFonts w:hAnsi="宋体" w:cs="宋体"/>
                <w:color w:val="auto"/>
                <w:sz w:val="21"/>
                <w:szCs w:val="21"/>
                <w:highlight w:val="none"/>
              </w:rPr>
            </w:pPr>
            <w:r>
              <w:rPr>
                <w:rFonts w:hint="eastAsia" w:hAnsi="宋体" w:cs="宋体"/>
                <w:color w:val="auto"/>
                <w:sz w:val="21"/>
                <w:szCs w:val="21"/>
                <w:highlight w:val="none"/>
              </w:rPr>
              <w:t>注册资金</w:t>
            </w:r>
          </w:p>
        </w:tc>
        <w:tc>
          <w:tcPr>
            <w:tcW w:w="2557" w:type="dxa"/>
            <w:gridSpan w:val="2"/>
            <w:vAlign w:val="center"/>
          </w:tcPr>
          <w:p>
            <w:pPr>
              <w:autoSpaceDE w:val="0"/>
              <w:autoSpaceDN w:val="0"/>
              <w:adjustRightInd w:val="0"/>
              <w:spacing w:line="400" w:lineRule="exact"/>
              <w:jc w:val="center"/>
              <w:rPr>
                <w:rFonts w:hAnsi="宋体" w:cs="宋体"/>
                <w:color w:val="auto"/>
                <w:sz w:val="21"/>
                <w:szCs w:val="21"/>
                <w:highlight w:val="none"/>
              </w:rPr>
            </w:pPr>
          </w:p>
        </w:tc>
        <w:tc>
          <w:tcPr>
            <w:tcW w:w="1455" w:type="dxa"/>
            <w:vMerge w:val="continue"/>
            <w:vAlign w:val="center"/>
          </w:tcPr>
          <w:p>
            <w:pPr>
              <w:autoSpaceDE w:val="0"/>
              <w:autoSpaceDN w:val="0"/>
              <w:adjustRightInd w:val="0"/>
              <w:spacing w:line="400" w:lineRule="exact"/>
              <w:jc w:val="center"/>
              <w:rPr>
                <w:rFonts w:hAnsi="宋体" w:cs="宋体"/>
                <w:color w:val="auto"/>
                <w:sz w:val="21"/>
                <w:szCs w:val="21"/>
                <w:highlight w:val="none"/>
              </w:rPr>
            </w:pPr>
          </w:p>
        </w:tc>
        <w:tc>
          <w:tcPr>
            <w:tcW w:w="1562" w:type="dxa"/>
            <w:gridSpan w:val="2"/>
            <w:vAlign w:val="center"/>
          </w:tcPr>
          <w:p>
            <w:pPr>
              <w:autoSpaceDE w:val="0"/>
              <w:autoSpaceDN w:val="0"/>
              <w:adjustRightInd w:val="0"/>
              <w:spacing w:line="400" w:lineRule="exact"/>
              <w:jc w:val="center"/>
              <w:rPr>
                <w:rFonts w:hAnsi="宋体" w:cs="宋体"/>
                <w:color w:val="auto"/>
                <w:sz w:val="21"/>
                <w:szCs w:val="21"/>
                <w:highlight w:val="none"/>
              </w:rPr>
            </w:pPr>
            <w:r>
              <w:rPr>
                <w:rFonts w:hint="eastAsia" w:hAnsi="宋体" w:cs="宋体"/>
                <w:color w:val="auto"/>
                <w:sz w:val="21"/>
                <w:szCs w:val="21"/>
                <w:highlight w:val="none"/>
              </w:rPr>
              <w:t>中级职称人员</w:t>
            </w:r>
          </w:p>
        </w:tc>
        <w:tc>
          <w:tcPr>
            <w:tcW w:w="1950" w:type="dxa"/>
            <w:gridSpan w:val="2"/>
            <w:vAlign w:val="center"/>
          </w:tcPr>
          <w:p>
            <w:pPr>
              <w:autoSpaceDE w:val="0"/>
              <w:autoSpaceDN w:val="0"/>
              <w:adjustRightInd w:val="0"/>
              <w:spacing w:line="400" w:lineRule="exact"/>
              <w:jc w:val="center"/>
              <w:rPr>
                <w:rFonts w:hAnsi="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autoSpaceDE w:val="0"/>
              <w:autoSpaceDN w:val="0"/>
              <w:adjustRightInd w:val="0"/>
              <w:spacing w:line="400" w:lineRule="exact"/>
              <w:jc w:val="center"/>
              <w:rPr>
                <w:rFonts w:hAnsi="宋体" w:cs="宋体"/>
                <w:color w:val="auto"/>
                <w:sz w:val="21"/>
                <w:szCs w:val="21"/>
                <w:highlight w:val="none"/>
              </w:rPr>
            </w:pPr>
            <w:r>
              <w:rPr>
                <w:rFonts w:hint="eastAsia" w:hAnsi="宋体" w:cs="宋体"/>
                <w:color w:val="auto"/>
                <w:sz w:val="21"/>
                <w:szCs w:val="21"/>
                <w:highlight w:val="none"/>
              </w:rPr>
              <w:t>开户银行</w:t>
            </w:r>
          </w:p>
        </w:tc>
        <w:tc>
          <w:tcPr>
            <w:tcW w:w="2557" w:type="dxa"/>
            <w:gridSpan w:val="2"/>
            <w:vAlign w:val="center"/>
          </w:tcPr>
          <w:p>
            <w:pPr>
              <w:autoSpaceDE w:val="0"/>
              <w:autoSpaceDN w:val="0"/>
              <w:adjustRightInd w:val="0"/>
              <w:spacing w:line="400" w:lineRule="exact"/>
              <w:jc w:val="center"/>
              <w:rPr>
                <w:rFonts w:hAnsi="宋体" w:cs="宋体"/>
                <w:color w:val="auto"/>
                <w:sz w:val="21"/>
                <w:szCs w:val="21"/>
                <w:highlight w:val="none"/>
              </w:rPr>
            </w:pPr>
          </w:p>
        </w:tc>
        <w:tc>
          <w:tcPr>
            <w:tcW w:w="1455" w:type="dxa"/>
            <w:vMerge w:val="continue"/>
            <w:vAlign w:val="center"/>
          </w:tcPr>
          <w:p>
            <w:pPr>
              <w:autoSpaceDE w:val="0"/>
              <w:autoSpaceDN w:val="0"/>
              <w:adjustRightInd w:val="0"/>
              <w:spacing w:line="400" w:lineRule="exact"/>
              <w:jc w:val="center"/>
              <w:rPr>
                <w:rFonts w:hAnsi="宋体" w:cs="宋体"/>
                <w:color w:val="auto"/>
                <w:sz w:val="21"/>
                <w:szCs w:val="21"/>
                <w:highlight w:val="none"/>
              </w:rPr>
            </w:pPr>
          </w:p>
        </w:tc>
        <w:tc>
          <w:tcPr>
            <w:tcW w:w="1562" w:type="dxa"/>
            <w:gridSpan w:val="2"/>
            <w:vAlign w:val="center"/>
          </w:tcPr>
          <w:p>
            <w:pPr>
              <w:autoSpaceDE w:val="0"/>
              <w:autoSpaceDN w:val="0"/>
              <w:adjustRightInd w:val="0"/>
              <w:spacing w:line="400" w:lineRule="exact"/>
              <w:jc w:val="center"/>
              <w:rPr>
                <w:rFonts w:hAnsi="宋体" w:cs="宋体"/>
                <w:color w:val="auto"/>
                <w:sz w:val="21"/>
                <w:szCs w:val="21"/>
                <w:highlight w:val="none"/>
              </w:rPr>
            </w:pPr>
            <w:r>
              <w:rPr>
                <w:rFonts w:hint="eastAsia" w:hAnsi="宋体" w:cs="宋体"/>
                <w:color w:val="auto"/>
                <w:sz w:val="21"/>
                <w:szCs w:val="21"/>
                <w:highlight w:val="none"/>
              </w:rPr>
              <w:t>初级职称人员</w:t>
            </w:r>
          </w:p>
        </w:tc>
        <w:tc>
          <w:tcPr>
            <w:tcW w:w="1950" w:type="dxa"/>
            <w:gridSpan w:val="2"/>
            <w:vAlign w:val="center"/>
          </w:tcPr>
          <w:p>
            <w:pPr>
              <w:autoSpaceDE w:val="0"/>
              <w:autoSpaceDN w:val="0"/>
              <w:adjustRightInd w:val="0"/>
              <w:spacing w:line="400" w:lineRule="exact"/>
              <w:jc w:val="center"/>
              <w:rPr>
                <w:rFonts w:hAnsi="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autoSpaceDE w:val="0"/>
              <w:autoSpaceDN w:val="0"/>
              <w:adjustRightInd w:val="0"/>
              <w:spacing w:line="400" w:lineRule="exact"/>
              <w:jc w:val="center"/>
              <w:rPr>
                <w:rFonts w:hAnsi="宋体" w:cs="宋体"/>
                <w:color w:val="auto"/>
                <w:sz w:val="21"/>
                <w:szCs w:val="21"/>
                <w:highlight w:val="none"/>
              </w:rPr>
            </w:pPr>
            <w:r>
              <w:rPr>
                <w:rFonts w:hint="eastAsia" w:hAnsi="宋体" w:cs="宋体"/>
                <w:color w:val="auto"/>
                <w:sz w:val="21"/>
                <w:szCs w:val="21"/>
                <w:highlight w:val="none"/>
              </w:rPr>
              <w:t>账号</w:t>
            </w:r>
          </w:p>
        </w:tc>
        <w:tc>
          <w:tcPr>
            <w:tcW w:w="2557" w:type="dxa"/>
            <w:gridSpan w:val="2"/>
            <w:vAlign w:val="center"/>
          </w:tcPr>
          <w:p>
            <w:pPr>
              <w:autoSpaceDE w:val="0"/>
              <w:autoSpaceDN w:val="0"/>
              <w:adjustRightInd w:val="0"/>
              <w:spacing w:line="400" w:lineRule="exact"/>
              <w:jc w:val="center"/>
              <w:rPr>
                <w:rFonts w:hAnsi="宋体" w:cs="宋体"/>
                <w:color w:val="auto"/>
                <w:sz w:val="21"/>
                <w:szCs w:val="21"/>
                <w:highlight w:val="none"/>
              </w:rPr>
            </w:pPr>
          </w:p>
        </w:tc>
        <w:tc>
          <w:tcPr>
            <w:tcW w:w="1455" w:type="dxa"/>
            <w:vMerge w:val="continue"/>
            <w:vAlign w:val="center"/>
          </w:tcPr>
          <w:p>
            <w:pPr>
              <w:autoSpaceDE w:val="0"/>
              <w:autoSpaceDN w:val="0"/>
              <w:adjustRightInd w:val="0"/>
              <w:spacing w:line="400" w:lineRule="exact"/>
              <w:jc w:val="center"/>
              <w:rPr>
                <w:rFonts w:hAnsi="宋体" w:cs="宋体"/>
                <w:color w:val="auto"/>
                <w:sz w:val="21"/>
                <w:szCs w:val="21"/>
                <w:highlight w:val="none"/>
              </w:rPr>
            </w:pPr>
          </w:p>
        </w:tc>
        <w:tc>
          <w:tcPr>
            <w:tcW w:w="1562" w:type="dxa"/>
            <w:gridSpan w:val="2"/>
            <w:vAlign w:val="center"/>
          </w:tcPr>
          <w:p>
            <w:pPr>
              <w:autoSpaceDE w:val="0"/>
              <w:autoSpaceDN w:val="0"/>
              <w:adjustRightInd w:val="0"/>
              <w:spacing w:line="400" w:lineRule="exact"/>
              <w:jc w:val="center"/>
              <w:rPr>
                <w:rFonts w:hAnsi="宋体" w:cs="宋体"/>
                <w:color w:val="auto"/>
                <w:sz w:val="21"/>
                <w:szCs w:val="21"/>
                <w:highlight w:val="none"/>
              </w:rPr>
            </w:pPr>
            <w:r>
              <w:rPr>
                <w:rFonts w:hint="eastAsia" w:hAnsi="宋体" w:cs="宋体"/>
                <w:color w:val="auto"/>
                <w:sz w:val="21"/>
                <w:szCs w:val="21"/>
                <w:highlight w:val="none"/>
              </w:rPr>
              <w:t>技工</w:t>
            </w:r>
          </w:p>
        </w:tc>
        <w:tc>
          <w:tcPr>
            <w:tcW w:w="1950" w:type="dxa"/>
            <w:gridSpan w:val="2"/>
            <w:vAlign w:val="center"/>
          </w:tcPr>
          <w:p>
            <w:pPr>
              <w:autoSpaceDE w:val="0"/>
              <w:autoSpaceDN w:val="0"/>
              <w:adjustRightInd w:val="0"/>
              <w:spacing w:line="400" w:lineRule="exact"/>
              <w:jc w:val="center"/>
              <w:rPr>
                <w:rFonts w:hAnsi="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7" w:hRule="atLeast"/>
        </w:trPr>
        <w:tc>
          <w:tcPr>
            <w:tcW w:w="1770" w:type="dxa"/>
            <w:vAlign w:val="center"/>
          </w:tcPr>
          <w:p>
            <w:pPr>
              <w:autoSpaceDE w:val="0"/>
              <w:autoSpaceDN w:val="0"/>
              <w:adjustRightInd w:val="0"/>
              <w:spacing w:line="400" w:lineRule="exact"/>
              <w:jc w:val="center"/>
              <w:rPr>
                <w:rFonts w:hAnsi="宋体" w:cs="宋体"/>
                <w:color w:val="auto"/>
                <w:sz w:val="21"/>
                <w:szCs w:val="21"/>
                <w:highlight w:val="none"/>
              </w:rPr>
            </w:pPr>
            <w:r>
              <w:rPr>
                <w:rFonts w:hint="eastAsia" w:hAnsi="宋体" w:cs="宋体"/>
                <w:color w:val="auto"/>
                <w:sz w:val="21"/>
                <w:szCs w:val="21"/>
                <w:highlight w:val="none"/>
              </w:rPr>
              <w:t>经营范围</w:t>
            </w:r>
          </w:p>
        </w:tc>
        <w:tc>
          <w:tcPr>
            <w:tcW w:w="7524" w:type="dxa"/>
            <w:gridSpan w:val="7"/>
            <w:vAlign w:val="center"/>
          </w:tcPr>
          <w:p>
            <w:pPr>
              <w:autoSpaceDE w:val="0"/>
              <w:autoSpaceDN w:val="0"/>
              <w:adjustRightInd w:val="0"/>
              <w:spacing w:line="400" w:lineRule="exact"/>
              <w:rPr>
                <w:rFonts w:hAnsi="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770" w:type="dxa"/>
            <w:vAlign w:val="center"/>
          </w:tcPr>
          <w:p>
            <w:pPr>
              <w:autoSpaceDE w:val="0"/>
              <w:autoSpaceDN w:val="0"/>
              <w:adjustRightInd w:val="0"/>
              <w:spacing w:line="400" w:lineRule="exact"/>
              <w:jc w:val="center"/>
              <w:rPr>
                <w:rFonts w:hAnsi="宋体" w:cs="宋体"/>
                <w:color w:val="auto"/>
                <w:sz w:val="21"/>
                <w:szCs w:val="21"/>
                <w:highlight w:val="none"/>
              </w:rPr>
            </w:pPr>
            <w:r>
              <w:rPr>
                <w:rFonts w:hint="eastAsia" w:hAnsi="宋体" w:cs="宋体"/>
                <w:color w:val="auto"/>
                <w:sz w:val="21"/>
                <w:szCs w:val="21"/>
                <w:highlight w:val="none"/>
              </w:rPr>
              <w:t>备注</w:t>
            </w:r>
          </w:p>
        </w:tc>
        <w:tc>
          <w:tcPr>
            <w:tcW w:w="7524" w:type="dxa"/>
            <w:gridSpan w:val="7"/>
          </w:tcPr>
          <w:p>
            <w:pPr>
              <w:autoSpaceDE w:val="0"/>
              <w:autoSpaceDN w:val="0"/>
              <w:adjustRightInd w:val="0"/>
              <w:spacing w:line="400" w:lineRule="exact"/>
              <w:jc w:val="left"/>
              <w:rPr>
                <w:rFonts w:hAnsi="宋体" w:cs="宋体"/>
                <w:color w:val="auto"/>
                <w:sz w:val="21"/>
                <w:szCs w:val="21"/>
                <w:highlight w:val="none"/>
              </w:rPr>
            </w:pPr>
          </w:p>
        </w:tc>
      </w:tr>
    </w:tbl>
    <w:p>
      <w:pPr>
        <w:adjustRightInd w:val="0"/>
        <w:spacing w:line="400" w:lineRule="exact"/>
        <w:ind w:firstLine="482" w:firstLineChars="200"/>
        <w:jc w:val="left"/>
        <w:rPr>
          <w:rFonts w:hAnsi="宋体" w:cs="宋体"/>
          <w:b/>
          <w:color w:val="auto"/>
          <w:kern w:val="2"/>
          <w:sz w:val="24"/>
          <w:szCs w:val="24"/>
          <w:highlight w:val="none"/>
        </w:rPr>
      </w:pPr>
      <w:r>
        <w:rPr>
          <w:rFonts w:hint="eastAsia" w:hAnsi="宋体" w:cs="宋体"/>
          <w:b/>
          <w:color w:val="auto"/>
          <w:sz w:val="24"/>
          <w:szCs w:val="24"/>
          <w:highlight w:val="none"/>
        </w:rPr>
        <w:t>注：</w:t>
      </w:r>
      <w:r>
        <w:rPr>
          <w:rFonts w:hint="eastAsia" w:hAnsi="宋体" w:cs="宋体"/>
          <w:b/>
          <w:color w:val="auto"/>
          <w:kern w:val="2"/>
          <w:sz w:val="24"/>
          <w:szCs w:val="24"/>
          <w:highlight w:val="none"/>
        </w:rPr>
        <w:t>投标人根据自身实际情况填写，对不涉及的内容可填写“/”，不影响投标资质及效力。</w:t>
      </w:r>
    </w:p>
    <w:p>
      <w:pPr>
        <w:pStyle w:val="10"/>
        <w:ind w:firstLine="487" w:firstLineChars="202"/>
        <w:rPr>
          <w:rFonts w:ascii="宋体" w:hAnsi="宋体" w:cs="宋体"/>
          <w:b/>
          <w:color w:val="auto"/>
          <w:sz w:val="24"/>
          <w:szCs w:val="24"/>
          <w:highlight w:val="none"/>
        </w:rPr>
      </w:pPr>
    </w:p>
    <w:p>
      <w:pPr>
        <w:pStyle w:val="10"/>
        <w:ind w:firstLine="487" w:firstLineChars="202"/>
        <w:rPr>
          <w:rFonts w:ascii="宋体" w:hAnsi="宋体" w:cs="宋体"/>
          <w:b/>
          <w:color w:val="auto"/>
          <w:sz w:val="24"/>
          <w:szCs w:val="24"/>
          <w:highlight w:val="none"/>
        </w:rPr>
      </w:pPr>
    </w:p>
    <w:p>
      <w:pPr>
        <w:pStyle w:val="10"/>
        <w:ind w:firstLine="487" w:firstLineChars="202"/>
        <w:rPr>
          <w:rFonts w:ascii="宋体" w:hAnsi="宋体" w:cs="宋体"/>
          <w:b/>
          <w:color w:val="auto"/>
          <w:sz w:val="24"/>
          <w:szCs w:val="24"/>
          <w:highlight w:val="none"/>
        </w:rPr>
      </w:pPr>
    </w:p>
    <w:p>
      <w:pPr>
        <w:pStyle w:val="10"/>
        <w:ind w:firstLine="487" w:firstLineChars="202"/>
        <w:rPr>
          <w:rFonts w:ascii="宋体" w:hAnsi="宋体" w:cs="宋体"/>
          <w:b/>
          <w:color w:val="auto"/>
          <w:sz w:val="24"/>
          <w:szCs w:val="24"/>
          <w:highlight w:val="none"/>
        </w:rPr>
      </w:pPr>
    </w:p>
    <w:p>
      <w:pPr>
        <w:pStyle w:val="10"/>
        <w:ind w:firstLine="487" w:firstLineChars="202"/>
        <w:rPr>
          <w:rFonts w:ascii="宋体" w:hAnsi="宋体" w:cs="宋体"/>
          <w:b/>
          <w:color w:val="auto"/>
          <w:sz w:val="24"/>
          <w:szCs w:val="24"/>
          <w:highlight w:val="none"/>
        </w:rPr>
      </w:pPr>
    </w:p>
    <w:p>
      <w:pPr>
        <w:pStyle w:val="10"/>
        <w:ind w:firstLine="487" w:firstLineChars="202"/>
        <w:rPr>
          <w:rFonts w:ascii="宋体" w:hAnsi="宋体" w:cs="宋体"/>
          <w:b/>
          <w:color w:val="auto"/>
          <w:sz w:val="24"/>
          <w:szCs w:val="24"/>
          <w:highlight w:val="none"/>
        </w:rPr>
      </w:pPr>
    </w:p>
    <w:p>
      <w:pPr>
        <w:pStyle w:val="10"/>
        <w:ind w:firstLine="487" w:firstLineChars="202"/>
        <w:rPr>
          <w:rFonts w:ascii="宋体" w:hAnsi="宋体" w:cs="宋体"/>
          <w:b/>
          <w:color w:val="auto"/>
          <w:sz w:val="24"/>
          <w:szCs w:val="24"/>
          <w:highlight w:val="none"/>
        </w:rPr>
      </w:pPr>
    </w:p>
    <w:p>
      <w:pPr>
        <w:pStyle w:val="10"/>
        <w:ind w:firstLine="487" w:firstLineChars="202"/>
        <w:rPr>
          <w:rFonts w:ascii="宋体" w:hAnsi="宋体" w:cs="宋体"/>
          <w:b/>
          <w:color w:val="auto"/>
          <w:sz w:val="24"/>
          <w:szCs w:val="24"/>
          <w:highlight w:val="none"/>
        </w:rPr>
      </w:pPr>
    </w:p>
    <w:p>
      <w:pPr>
        <w:pStyle w:val="5"/>
        <w:spacing w:before="240" w:beforeLines="100" w:after="240" w:afterLines="100" w:line="240" w:lineRule="auto"/>
        <w:jc w:val="center"/>
        <w:rPr>
          <w:rFonts w:ascii="宋体" w:hAnsi="宋体" w:eastAsia="宋体" w:cs="宋体"/>
          <w:color w:val="auto"/>
          <w:szCs w:val="28"/>
          <w:highlight w:val="none"/>
        </w:rPr>
      </w:pPr>
      <w:bookmarkStart w:id="828" w:name="_Toc327196310"/>
      <w:bookmarkStart w:id="829" w:name="_Toc307564875"/>
      <w:bookmarkStart w:id="830" w:name="_Toc319440166"/>
      <w:bookmarkStart w:id="831" w:name="_Toc21006"/>
      <w:bookmarkStart w:id="832" w:name="_Toc217446087"/>
      <w:bookmarkStart w:id="833" w:name="_Toc372"/>
      <w:bookmarkStart w:id="834" w:name="_Toc307501130"/>
      <w:bookmarkStart w:id="835" w:name="_Toc25577"/>
      <w:bookmarkStart w:id="836" w:name="_Toc7835"/>
      <w:bookmarkStart w:id="837" w:name="_Toc319440168"/>
      <w:bookmarkStart w:id="838" w:name="_Toc26124"/>
      <w:bookmarkStart w:id="839" w:name="_Toc24507"/>
      <w:bookmarkStart w:id="840" w:name="_Toc327196312"/>
      <w:r>
        <w:rPr>
          <w:rFonts w:hint="eastAsia" w:ascii="宋体" w:hAnsi="宋体" w:eastAsia="宋体" w:cs="宋体"/>
          <w:color w:val="auto"/>
          <w:szCs w:val="28"/>
          <w:highlight w:val="none"/>
        </w:rPr>
        <w:t>（五）商务应答表</w:t>
      </w:r>
      <w:bookmarkEnd w:id="828"/>
      <w:bookmarkEnd w:id="829"/>
      <w:bookmarkEnd w:id="830"/>
      <w:bookmarkEnd w:id="831"/>
      <w:bookmarkEnd w:id="832"/>
      <w:bookmarkEnd w:id="833"/>
      <w:bookmarkEnd w:id="834"/>
      <w:bookmarkEnd w:id="835"/>
      <w:bookmarkEnd w:id="836"/>
    </w:p>
    <w:p>
      <w:pPr>
        <w:wordWrap w:val="0"/>
        <w:spacing w:line="400" w:lineRule="exact"/>
        <w:rPr>
          <w:rFonts w:hAnsi="宋体" w:cs="宋体"/>
          <w:b/>
          <w:bCs/>
          <w:color w:val="auto"/>
          <w:sz w:val="24"/>
          <w:szCs w:val="24"/>
          <w:highlight w:val="none"/>
        </w:rPr>
      </w:pPr>
      <w:r>
        <w:rPr>
          <w:rFonts w:hint="eastAsia" w:hAnsi="宋体" w:cs="宋体"/>
          <w:b/>
          <w:bCs/>
          <w:color w:val="auto"/>
          <w:sz w:val="24"/>
          <w:szCs w:val="24"/>
          <w:highlight w:val="none"/>
        </w:rPr>
        <w:t>项目名称：</w:t>
      </w:r>
    </w:p>
    <w:p>
      <w:pPr>
        <w:pStyle w:val="23"/>
        <w:pBdr>
          <w:bottom w:val="none" w:color="auto" w:sz="0" w:space="0"/>
        </w:pBdr>
        <w:tabs>
          <w:tab w:val="clear" w:pos="4153"/>
          <w:tab w:val="clear" w:pos="8306"/>
        </w:tabs>
        <w:wordWrap w:val="0"/>
        <w:snapToGrid/>
        <w:spacing w:line="400" w:lineRule="exact"/>
        <w:jc w:val="both"/>
        <w:rPr>
          <w:rFonts w:ascii="宋体" w:hAnsi="宋体" w:cs="宋体"/>
          <w:b/>
          <w:bCs/>
          <w:color w:val="auto"/>
          <w:sz w:val="24"/>
          <w:szCs w:val="24"/>
          <w:highlight w:val="none"/>
        </w:rPr>
      </w:pPr>
      <w:r>
        <w:rPr>
          <w:rFonts w:hint="eastAsia" w:ascii="宋体" w:hAnsi="宋体" w:cs="宋体"/>
          <w:b/>
          <w:bCs/>
          <w:color w:val="auto"/>
          <w:sz w:val="24"/>
          <w:szCs w:val="24"/>
          <w:highlight w:val="none"/>
        </w:rPr>
        <w:t>项目编号：</w:t>
      </w:r>
    </w:p>
    <w:tbl>
      <w:tblPr>
        <w:tblStyle w:val="37"/>
        <w:tblW w:w="90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256"/>
        <w:gridCol w:w="3550"/>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21" w:type="dxa"/>
            <w:vAlign w:val="center"/>
          </w:tcPr>
          <w:p>
            <w:pPr>
              <w:spacing w:line="400" w:lineRule="exact"/>
              <w:rPr>
                <w:rFonts w:hAnsi="宋体" w:cs="宋体"/>
                <w:color w:val="auto"/>
                <w:sz w:val="21"/>
                <w:szCs w:val="21"/>
                <w:highlight w:val="none"/>
              </w:rPr>
            </w:pPr>
            <w:r>
              <w:rPr>
                <w:rFonts w:hint="eastAsia" w:hAnsi="宋体" w:cs="宋体"/>
                <w:color w:val="auto"/>
                <w:sz w:val="21"/>
                <w:szCs w:val="21"/>
                <w:highlight w:val="none"/>
              </w:rPr>
              <w:t>序号</w:t>
            </w:r>
          </w:p>
        </w:tc>
        <w:tc>
          <w:tcPr>
            <w:tcW w:w="3256" w:type="dxa"/>
            <w:vAlign w:val="center"/>
          </w:tcPr>
          <w:p>
            <w:pPr>
              <w:spacing w:line="400" w:lineRule="exact"/>
              <w:jc w:val="center"/>
              <w:rPr>
                <w:rFonts w:hAnsi="宋体" w:cs="宋体"/>
                <w:color w:val="auto"/>
                <w:sz w:val="21"/>
                <w:szCs w:val="21"/>
                <w:highlight w:val="none"/>
              </w:rPr>
            </w:pPr>
            <w:r>
              <w:rPr>
                <w:rFonts w:hint="eastAsia" w:hAnsi="宋体" w:cs="宋体"/>
                <w:color w:val="auto"/>
                <w:sz w:val="21"/>
                <w:szCs w:val="21"/>
                <w:highlight w:val="none"/>
              </w:rPr>
              <w:t>招标要求</w:t>
            </w:r>
          </w:p>
        </w:tc>
        <w:tc>
          <w:tcPr>
            <w:tcW w:w="3550" w:type="dxa"/>
            <w:vAlign w:val="center"/>
          </w:tcPr>
          <w:p>
            <w:pPr>
              <w:spacing w:line="400" w:lineRule="exact"/>
              <w:jc w:val="center"/>
              <w:rPr>
                <w:rFonts w:hAnsi="宋体" w:cs="宋体"/>
                <w:color w:val="auto"/>
                <w:sz w:val="21"/>
                <w:szCs w:val="21"/>
                <w:highlight w:val="none"/>
              </w:rPr>
            </w:pPr>
            <w:r>
              <w:rPr>
                <w:rFonts w:hint="eastAsia" w:hAnsi="宋体" w:cs="宋体"/>
                <w:color w:val="auto"/>
                <w:sz w:val="21"/>
                <w:szCs w:val="21"/>
                <w:highlight w:val="none"/>
              </w:rPr>
              <w:t>投标应答</w:t>
            </w:r>
          </w:p>
        </w:tc>
        <w:tc>
          <w:tcPr>
            <w:tcW w:w="1567" w:type="dxa"/>
            <w:vAlign w:val="center"/>
          </w:tcPr>
          <w:p>
            <w:pPr>
              <w:spacing w:line="400" w:lineRule="exact"/>
              <w:jc w:val="center"/>
              <w:rPr>
                <w:rFonts w:hAnsi="宋体" w:cs="宋体"/>
                <w:color w:val="auto"/>
                <w:sz w:val="21"/>
                <w:szCs w:val="21"/>
                <w:highlight w:val="none"/>
              </w:rPr>
            </w:pPr>
            <w:r>
              <w:rPr>
                <w:rFonts w:hint="eastAsia" w:hAnsi="宋体" w:cs="宋体"/>
                <w:color w:val="auto"/>
                <w:sz w:val="21"/>
                <w:szCs w:val="21"/>
                <w:highlight w:val="none"/>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spacing w:line="400" w:lineRule="exact"/>
              <w:jc w:val="center"/>
              <w:rPr>
                <w:rFonts w:hAnsi="宋体" w:cs="宋体"/>
                <w:color w:val="auto"/>
                <w:sz w:val="21"/>
                <w:szCs w:val="21"/>
                <w:highlight w:val="none"/>
              </w:rPr>
            </w:pPr>
          </w:p>
        </w:tc>
        <w:tc>
          <w:tcPr>
            <w:tcW w:w="3256" w:type="dxa"/>
          </w:tcPr>
          <w:p>
            <w:pPr>
              <w:spacing w:line="400" w:lineRule="exact"/>
              <w:jc w:val="center"/>
              <w:rPr>
                <w:rFonts w:hAnsi="宋体" w:cs="宋体"/>
                <w:color w:val="auto"/>
                <w:sz w:val="21"/>
                <w:szCs w:val="21"/>
                <w:highlight w:val="none"/>
              </w:rPr>
            </w:pPr>
          </w:p>
        </w:tc>
        <w:tc>
          <w:tcPr>
            <w:tcW w:w="3550" w:type="dxa"/>
          </w:tcPr>
          <w:p>
            <w:pPr>
              <w:spacing w:line="400" w:lineRule="exact"/>
              <w:ind w:left="277" w:hanging="277" w:hangingChars="132"/>
              <w:jc w:val="center"/>
              <w:rPr>
                <w:rFonts w:hAnsi="宋体" w:cs="宋体"/>
                <w:color w:val="auto"/>
                <w:sz w:val="21"/>
                <w:szCs w:val="21"/>
                <w:highlight w:val="none"/>
              </w:rPr>
            </w:pPr>
          </w:p>
        </w:tc>
        <w:tc>
          <w:tcPr>
            <w:tcW w:w="1567" w:type="dxa"/>
          </w:tcPr>
          <w:p>
            <w:pPr>
              <w:spacing w:line="400" w:lineRule="exact"/>
              <w:ind w:left="277" w:hanging="277" w:hangingChars="132"/>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spacing w:line="400" w:lineRule="exact"/>
              <w:jc w:val="center"/>
              <w:rPr>
                <w:rFonts w:hAnsi="宋体" w:cs="宋体"/>
                <w:color w:val="auto"/>
                <w:sz w:val="21"/>
                <w:szCs w:val="21"/>
                <w:highlight w:val="none"/>
              </w:rPr>
            </w:pPr>
          </w:p>
        </w:tc>
        <w:tc>
          <w:tcPr>
            <w:tcW w:w="3256" w:type="dxa"/>
          </w:tcPr>
          <w:p>
            <w:pPr>
              <w:spacing w:line="400" w:lineRule="exact"/>
              <w:jc w:val="center"/>
              <w:rPr>
                <w:rFonts w:hAnsi="宋体" w:cs="宋体"/>
                <w:color w:val="auto"/>
                <w:sz w:val="21"/>
                <w:szCs w:val="21"/>
                <w:highlight w:val="none"/>
              </w:rPr>
            </w:pPr>
          </w:p>
        </w:tc>
        <w:tc>
          <w:tcPr>
            <w:tcW w:w="3550" w:type="dxa"/>
          </w:tcPr>
          <w:p>
            <w:pPr>
              <w:spacing w:line="400" w:lineRule="exact"/>
              <w:jc w:val="center"/>
              <w:rPr>
                <w:rFonts w:hAnsi="宋体" w:cs="宋体"/>
                <w:color w:val="auto"/>
                <w:sz w:val="21"/>
                <w:szCs w:val="21"/>
                <w:highlight w:val="none"/>
              </w:rPr>
            </w:pPr>
          </w:p>
        </w:tc>
        <w:tc>
          <w:tcPr>
            <w:tcW w:w="1567" w:type="dxa"/>
          </w:tcPr>
          <w:p>
            <w:pPr>
              <w:spacing w:line="400" w:lineRule="exact"/>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spacing w:line="400" w:lineRule="exact"/>
              <w:jc w:val="center"/>
              <w:rPr>
                <w:rFonts w:hAnsi="宋体" w:cs="宋体"/>
                <w:color w:val="auto"/>
                <w:sz w:val="21"/>
                <w:szCs w:val="21"/>
                <w:highlight w:val="none"/>
              </w:rPr>
            </w:pPr>
          </w:p>
        </w:tc>
        <w:tc>
          <w:tcPr>
            <w:tcW w:w="3256" w:type="dxa"/>
          </w:tcPr>
          <w:p>
            <w:pPr>
              <w:spacing w:line="400" w:lineRule="exact"/>
              <w:jc w:val="center"/>
              <w:rPr>
                <w:rFonts w:hAnsi="宋体" w:cs="宋体"/>
                <w:color w:val="auto"/>
                <w:sz w:val="21"/>
                <w:szCs w:val="21"/>
                <w:highlight w:val="none"/>
              </w:rPr>
            </w:pPr>
          </w:p>
        </w:tc>
        <w:tc>
          <w:tcPr>
            <w:tcW w:w="3550" w:type="dxa"/>
          </w:tcPr>
          <w:p>
            <w:pPr>
              <w:spacing w:line="400" w:lineRule="exact"/>
              <w:jc w:val="center"/>
              <w:rPr>
                <w:rFonts w:hAnsi="宋体" w:cs="宋体"/>
                <w:color w:val="auto"/>
                <w:sz w:val="21"/>
                <w:szCs w:val="21"/>
                <w:highlight w:val="none"/>
              </w:rPr>
            </w:pPr>
          </w:p>
        </w:tc>
        <w:tc>
          <w:tcPr>
            <w:tcW w:w="1567" w:type="dxa"/>
          </w:tcPr>
          <w:p>
            <w:pPr>
              <w:spacing w:line="400" w:lineRule="exact"/>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spacing w:line="400" w:lineRule="exact"/>
              <w:jc w:val="center"/>
              <w:rPr>
                <w:rFonts w:hAnsi="宋体" w:cs="宋体"/>
                <w:color w:val="auto"/>
                <w:sz w:val="21"/>
                <w:szCs w:val="21"/>
                <w:highlight w:val="none"/>
              </w:rPr>
            </w:pPr>
          </w:p>
        </w:tc>
        <w:tc>
          <w:tcPr>
            <w:tcW w:w="3256" w:type="dxa"/>
          </w:tcPr>
          <w:p>
            <w:pPr>
              <w:spacing w:line="400" w:lineRule="exact"/>
              <w:jc w:val="center"/>
              <w:rPr>
                <w:rFonts w:hAnsi="宋体" w:cs="宋体"/>
                <w:color w:val="auto"/>
                <w:sz w:val="21"/>
                <w:szCs w:val="21"/>
                <w:highlight w:val="none"/>
              </w:rPr>
            </w:pPr>
          </w:p>
        </w:tc>
        <w:tc>
          <w:tcPr>
            <w:tcW w:w="3550" w:type="dxa"/>
          </w:tcPr>
          <w:p>
            <w:pPr>
              <w:spacing w:line="400" w:lineRule="exact"/>
              <w:jc w:val="center"/>
              <w:rPr>
                <w:rFonts w:hAnsi="宋体" w:cs="宋体"/>
                <w:color w:val="auto"/>
                <w:sz w:val="21"/>
                <w:szCs w:val="21"/>
                <w:highlight w:val="none"/>
              </w:rPr>
            </w:pPr>
          </w:p>
        </w:tc>
        <w:tc>
          <w:tcPr>
            <w:tcW w:w="1567" w:type="dxa"/>
          </w:tcPr>
          <w:p>
            <w:pPr>
              <w:spacing w:line="400" w:lineRule="exact"/>
              <w:jc w:val="center"/>
              <w:rPr>
                <w:rFonts w:hAnsi="宋体" w:cs="宋体"/>
                <w:color w:val="auto"/>
                <w:sz w:val="21"/>
                <w:szCs w:val="21"/>
                <w:highlight w:val="none"/>
              </w:rPr>
            </w:pPr>
          </w:p>
        </w:tc>
      </w:tr>
    </w:tbl>
    <w:p>
      <w:pPr>
        <w:spacing w:line="400" w:lineRule="exact"/>
        <w:ind w:firstLine="501" w:firstLineChars="208"/>
        <w:rPr>
          <w:rFonts w:hAnsi="宋体" w:cs="宋体"/>
          <w:b/>
          <w:bCs/>
          <w:color w:val="auto"/>
          <w:sz w:val="24"/>
          <w:szCs w:val="24"/>
          <w:highlight w:val="none"/>
        </w:rPr>
      </w:pPr>
    </w:p>
    <w:p>
      <w:pPr>
        <w:spacing w:line="400" w:lineRule="exact"/>
        <w:ind w:firstLine="501" w:firstLineChars="208"/>
        <w:rPr>
          <w:rFonts w:hAnsi="宋体" w:cs="宋体"/>
          <w:b/>
          <w:bCs/>
          <w:color w:val="auto"/>
          <w:sz w:val="24"/>
          <w:szCs w:val="24"/>
          <w:highlight w:val="none"/>
        </w:rPr>
      </w:pPr>
      <w:r>
        <w:rPr>
          <w:rFonts w:hint="eastAsia" w:hAnsi="宋体" w:cs="宋体"/>
          <w:b/>
          <w:bCs/>
          <w:color w:val="auto"/>
          <w:sz w:val="24"/>
          <w:szCs w:val="24"/>
          <w:highlight w:val="none"/>
        </w:rPr>
        <w:t>注：投标人必须据实逐项填写，对应响应，不得虚假应答，否则将取消其投标或中标资格。</w:t>
      </w:r>
    </w:p>
    <w:p>
      <w:pPr>
        <w:spacing w:line="400" w:lineRule="exact"/>
        <w:rPr>
          <w:rFonts w:hAnsi="宋体" w:cs="宋体"/>
          <w:color w:val="auto"/>
          <w:sz w:val="24"/>
          <w:szCs w:val="24"/>
          <w:highlight w:val="none"/>
        </w:rPr>
      </w:pPr>
    </w:p>
    <w:p>
      <w:pPr>
        <w:spacing w:line="400" w:lineRule="exact"/>
        <w:rPr>
          <w:rFonts w:hAnsi="宋体" w:cs="宋体"/>
          <w:color w:val="auto"/>
          <w:sz w:val="24"/>
          <w:szCs w:val="24"/>
          <w:highlight w:val="none"/>
        </w:rPr>
      </w:pPr>
    </w:p>
    <w:p>
      <w:pPr>
        <w:adjustRightInd w:val="0"/>
        <w:spacing w:line="400" w:lineRule="exact"/>
        <w:ind w:firstLine="398" w:firstLineChars="166"/>
        <w:jc w:val="left"/>
        <w:rPr>
          <w:rFonts w:hAnsi="宋体" w:cs="宋体"/>
          <w:bCs/>
          <w:color w:val="auto"/>
          <w:sz w:val="24"/>
          <w:szCs w:val="24"/>
          <w:highlight w:val="none"/>
        </w:rPr>
      </w:pPr>
      <w:r>
        <w:rPr>
          <w:rFonts w:hint="eastAsia" w:hAnsi="宋体" w:cs="宋体"/>
          <w:bCs/>
          <w:color w:val="auto"/>
          <w:sz w:val="24"/>
          <w:szCs w:val="24"/>
          <w:highlight w:val="none"/>
        </w:rPr>
        <w:t>投标人名称：(盖章)</w:t>
      </w:r>
    </w:p>
    <w:p>
      <w:pPr>
        <w:adjustRightInd w:val="0"/>
        <w:spacing w:line="400" w:lineRule="exact"/>
        <w:ind w:firstLine="420" w:firstLineChars="175"/>
        <w:jc w:val="left"/>
        <w:rPr>
          <w:rFonts w:hAnsi="宋体" w:cs="宋体"/>
          <w:bCs/>
          <w:color w:val="auto"/>
          <w:sz w:val="24"/>
          <w:szCs w:val="24"/>
          <w:highlight w:val="none"/>
        </w:rPr>
      </w:pPr>
      <w:r>
        <w:rPr>
          <w:rFonts w:hint="eastAsia" w:hAnsi="宋体" w:cs="宋体"/>
          <w:bCs/>
          <w:color w:val="auto"/>
          <w:sz w:val="24"/>
          <w:szCs w:val="24"/>
          <w:highlight w:val="none"/>
        </w:rPr>
        <w:t>日期:</w:t>
      </w:r>
    </w:p>
    <w:p>
      <w:pPr>
        <w:keepNext/>
        <w:keepLines/>
        <w:spacing w:before="240" w:beforeLines="100" w:after="240" w:afterLines="100"/>
        <w:rPr>
          <w:rFonts w:hAnsi="宋体" w:cs="宋体"/>
          <w:color w:val="auto"/>
          <w:szCs w:val="28"/>
          <w:highlight w:val="none"/>
        </w:rPr>
      </w:pPr>
      <w:r>
        <w:rPr>
          <w:rFonts w:hint="eastAsia" w:hAnsi="宋体" w:cs="宋体"/>
          <w:color w:val="auto"/>
          <w:szCs w:val="28"/>
          <w:highlight w:val="none"/>
        </w:rPr>
        <w:br w:type="page"/>
      </w:r>
    </w:p>
    <w:bookmarkEnd w:id="837"/>
    <w:bookmarkEnd w:id="838"/>
    <w:bookmarkEnd w:id="839"/>
    <w:bookmarkEnd w:id="840"/>
    <w:p>
      <w:pPr>
        <w:pStyle w:val="5"/>
        <w:spacing w:before="240" w:beforeLines="100" w:after="240" w:afterLines="100" w:line="240" w:lineRule="auto"/>
        <w:jc w:val="center"/>
        <w:rPr>
          <w:rFonts w:ascii="宋体" w:hAnsi="宋体" w:eastAsia="宋体" w:cs="宋体"/>
          <w:color w:val="auto"/>
          <w:szCs w:val="28"/>
          <w:highlight w:val="none"/>
        </w:rPr>
      </w:pPr>
      <w:bookmarkStart w:id="841" w:name="_Toc14508"/>
      <w:bookmarkStart w:id="842" w:name="_Toc3995"/>
      <w:bookmarkStart w:id="843" w:name="_Toc23376"/>
      <w:r>
        <w:rPr>
          <w:rFonts w:hint="eastAsia" w:ascii="宋体" w:hAnsi="宋体" w:eastAsia="宋体" w:cs="宋体"/>
          <w:color w:val="auto"/>
          <w:szCs w:val="28"/>
          <w:highlight w:val="none"/>
        </w:rPr>
        <w:t>（六）</w:t>
      </w:r>
      <w:bookmarkEnd w:id="841"/>
      <w:bookmarkEnd w:id="842"/>
      <w:bookmarkEnd w:id="843"/>
      <w:r>
        <w:rPr>
          <w:rFonts w:hint="eastAsia" w:ascii="宋体" w:hAnsi="宋体" w:eastAsia="宋体" w:cs="宋体"/>
          <w:color w:val="auto"/>
          <w:szCs w:val="28"/>
          <w:highlight w:val="none"/>
        </w:rPr>
        <w:t>技术、</w:t>
      </w:r>
      <w:r>
        <w:rPr>
          <w:rFonts w:hint="eastAsia" w:ascii="宋体" w:hAnsi="宋体" w:eastAsia="宋体" w:cs="宋体"/>
          <w:color w:val="auto"/>
          <w:highlight w:val="none"/>
        </w:rPr>
        <w:t>服务应答表</w:t>
      </w:r>
    </w:p>
    <w:p>
      <w:pPr>
        <w:wordWrap w:val="0"/>
        <w:spacing w:line="400" w:lineRule="exact"/>
        <w:rPr>
          <w:rFonts w:hAnsi="宋体" w:cs="宋体"/>
          <w:b/>
          <w:bCs/>
          <w:color w:val="auto"/>
          <w:sz w:val="24"/>
          <w:szCs w:val="24"/>
          <w:highlight w:val="none"/>
        </w:rPr>
      </w:pPr>
      <w:r>
        <w:rPr>
          <w:rFonts w:hint="eastAsia" w:hAnsi="宋体" w:cs="宋体"/>
          <w:b/>
          <w:bCs/>
          <w:color w:val="auto"/>
          <w:sz w:val="24"/>
          <w:szCs w:val="24"/>
          <w:highlight w:val="none"/>
        </w:rPr>
        <w:t>项目名称：</w:t>
      </w:r>
    </w:p>
    <w:p>
      <w:pPr>
        <w:pStyle w:val="23"/>
        <w:pBdr>
          <w:bottom w:val="none" w:color="auto" w:sz="0" w:space="0"/>
        </w:pBdr>
        <w:tabs>
          <w:tab w:val="clear" w:pos="4153"/>
          <w:tab w:val="clear" w:pos="8306"/>
        </w:tabs>
        <w:wordWrap w:val="0"/>
        <w:snapToGrid/>
        <w:spacing w:line="400" w:lineRule="exact"/>
        <w:jc w:val="both"/>
        <w:rPr>
          <w:rFonts w:ascii="宋体" w:hAnsi="宋体" w:cs="宋体"/>
          <w:b/>
          <w:bCs/>
          <w:color w:val="auto"/>
          <w:sz w:val="24"/>
          <w:szCs w:val="24"/>
          <w:highlight w:val="none"/>
        </w:rPr>
      </w:pPr>
      <w:r>
        <w:rPr>
          <w:rFonts w:hint="eastAsia" w:ascii="宋体" w:hAnsi="宋体" w:cs="宋体"/>
          <w:b/>
          <w:bCs/>
          <w:color w:val="auto"/>
          <w:sz w:val="24"/>
          <w:szCs w:val="24"/>
          <w:highlight w:val="none"/>
        </w:rPr>
        <w:t>项目编号：</w:t>
      </w:r>
    </w:p>
    <w:tbl>
      <w:tblPr>
        <w:tblStyle w:val="37"/>
        <w:tblW w:w="9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880"/>
        <w:gridCol w:w="3673"/>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21" w:type="dxa"/>
            <w:vAlign w:val="center"/>
          </w:tcPr>
          <w:p>
            <w:pPr>
              <w:spacing w:line="400" w:lineRule="exact"/>
              <w:rPr>
                <w:rFonts w:hAnsi="宋体" w:cs="宋体"/>
                <w:color w:val="auto"/>
                <w:sz w:val="21"/>
                <w:szCs w:val="21"/>
                <w:highlight w:val="none"/>
              </w:rPr>
            </w:pPr>
            <w:r>
              <w:rPr>
                <w:rFonts w:hint="eastAsia" w:hAnsi="宋体" w:cs="宋体"/>
                <w:color w:val="auto"/>
                <w:sz w:val="21"/>
                <w:szCs w:val="21"/>
                <w:highlight w:val="none"/>
              </w:rPr>
              <w:t>序号</w:t>
            </w:r>
          </w:p>
        </w:tc>
        <w:tc>
          <w:tcPr>
            <w:tcW w:w="3880" w:type="dxa"/>
            <w:vAlign w:val="center"/>
          </w:tcPr>
          <w:p>
            <w:pPr>
              <w:spacing w:line="400" w:lineRule="exact"/>
              <w:jc w:val="center"/>
              <w:rPr>
                <w:rFonts w:hAnsi="宋体" w:cs="宋体"/>
                <w:color w:val="auto"/>
                <w:sz w:val="21"/>
                <w:szCs w:val="21"/>
                <w:highlight w:val="none"/>
              </w:rPr>
            </w:pPr>
            <w:r>
              <w:rPr>
                <w:rFonts w:hint="eastAsia" w:hAnsi="宋体" w:cs="宋体"/>
                <w:color w:val="auto"/>
                <w:sz w:val="21"/>
                <w:szCs w:val="21"/>
                <w:highlight w:val="none"/>
              </w:rPr>
              <w:t>招标要求</w:t>
            </w:r>
          </w:p>
        </w:tc>
        <w:tc>
          <w:tcPr>
            <w:tcW w:w="3673" w:type="dxa"/>
            <w:vAlign w:val="center"/>
          </w:tcPr>
          <w:p>
            <w:pPr>
              <w:spacing w:line="400" w:lineRule="exact"/>
              <w:jc w:val="center"/>
              <w:rPr>
                <w:rFonts w:hAnsi="宋体" w:cs="宋体"/>
                <w:color w:val="auto"/>
                <w:sz w:val="21"/>
                <w:szCs w:val="21"/>
                <w:highlight w:val="none"/>
              </w:rPr>
            </w:pPr>
            <w:r>
              <w:rPr>
                <w:rFonts w:hint="eastAsia" w:hAnsi="宋体" w:cs="宋体"/>
                <w:color w:val="auto"/>
                <w:sz w:val="21"/>
                <w:szCs w:val="21"/>
                <w:highlight w:val="none"/>
              </w:rPr>
              <w:t>投标应答</w:t>
            </w:r>
          </w:p>
        </w:tc>
        <w:tc>
          <w:tcPr>
            <w:tcW w:w="1631" w:type="dxa"/>
            <w:vAlign w:val="center"/>
          </w:tcPr>
          <w:p>
            <w:pPr>
              <w:spacing w:line="400" w:lineRule="exact"/>
              <w:jc w:val="center"/>
              <w:rPr>
                <w:rFonts w:hAnsi="宋体" w:cs="宋体"/>
                <w:color w:val="auto"/>
                <w:sz w:val="21"/>
                <w:szCs w:val="21"/>
                <w:highlight w:val="none"/>
              </w:rPr>
            </w:pPr>
            <w:r>
              <w:rPr>
                <w:rFonts w:hint="eastAsia" w:hAnsi="宋体" w:cs="宋体"/>
                <w:color w:val="auto"/>
                <w:sz w:val="21"/>
                <w:szCs w:val="21"/>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21" w:type="dxa"/>
          </w:tcPr>
          <w:p>
            <w:pPr>
              <w:spacing w:line="400" w:lineRule="exact"/>
              <w:jc w:val="center"/>
              <w:rPr>
                <w:rFonts w:hAnsi="宋体" w:cs="宋体"/>
                <w:color w:val="auto"/>
                <w:sz w:val="21"/>
                <w:szCs w:val="21"/>
                <w:highlight w:val="none"/>
              </w:rPr>
            </w:pPr>
          </w:p>
        </w:tc>
        <w:tc>
          <w:tcPr>
            <w:tcW w:w="3880" w:type="dxa"/>
          </w:tcPr>
          <w:p>
            <w:pPr>
              <w:spacing w:line="400" w:lineRule="exact"/>
              <w:jc w:val="center"/>
              <w:rPr>
                <w:rFonts w:hAnsi="宋体" w:cs="宋体"/>
                <w:color w:val="auto"/>
                <w:sz w:val="21"/>
                <w:szCs w:val="21"/>
                <w:highlight w:val="none"/>
              </w:rPr>
            </w:pPr>
          </w:p>
        </w:tc>
        <w:tc>
          <w:tcPr>
            <w:tcW w:w="3673" w:type="dxa"/>
          </w:tcPr>
          <w:p>
            <w:pPr>
              <w:spacing w:line="400" w:lineRule="exact"/>
              <w:ind w:left="277" w:hanging="277" w:hangingChars="132"/>
              <w:jc w:val="center"/>
              <w:rPr>
                <w:rFonts w:hAnsi="宋体" w:cs="宋体"/>
                <w:color w:val="auto"/>
                <w:sz w:val="21"/>
                <w:szCs w:val="21"/>
                <w:highlight w:val="none"/>
              </w:rPr>
            </w:pPr>
          </w:p>
        </w:tc>
        <w:tc>
          <w:tcPr>
            <w:tcW w:w="1631" w:type="dxa"/>
          </w:tcPr>
          <w:p>
            <w:pPr>
              <w:spacing w:line="400" w:lineRule="exact"/>
              <w:ind w:left="277" w:hanging="277" w:hangingChars="132"/>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21" w:type="dxa"/>
          </w:tcPr>
          <w:p>
            <w:pPr>
              <w:spacing w:line="400" w:lineRule="exact"/>
              <w:jc w:val="center"/>
              <w:rPr>
                <w:rFonts w:hAnsi="宋体" w:cs="宋体"/>
                <w:color w:val="auto"/>
                <w:sz w:val="21"/>
                <w:szCs w:val="21"/>
                <w:highlight w:val="none"/>
              </w:rPr>
            </w:pPr>
          </w:p>
        </w:tc>
        <w:tc>
          <w:tcPr>
            <w:tcW w:w="3880" w:type="dxa"/>
          </w:tcPr>
          <w:p>
            <w:pPr>
              <w:spacing w:line="400" w:lineRule="exact"/>
              <w:jc w:val="center"/>
              <w:rPr>
                <w:rFonts w:hAnsi="宋体" w:cs="宋体"/>
                <w:color w:val="auto"/>
                <w:sz w:val="21"/>
                <w:szCs w:val="21"/>
                <w:highlight w:val="none"/>
              </w:rPr>
            </w:pPr>
          </w:p>
        </w:tc>
        <w:tc>
          <w:tcPr>
            <w:tcW w:w="3673" w:type="dxa"/>
          </w:tcPr>
          <w:p>
            <w:pPr>
              <w:spacing w:line="400" w:lineRule="exact"/>
              <w:jc w:val="center"/>
              <w:rPr>
                <w:rFonts w:hAnsi="宋体" w:cs="宋体"/>
                <w:color w:val="auto"/>
                <w:sz w:val="21"/>
                <w:szCs w:val="21"/>
                <w:highlight w:val="none"/>
              </w:rPr>
            </w:pPr>
          </w:p>
        </w:tc>
        <w:tc>
          <w:tcPr>
            <w:tcW w:w="1631" w:type="dxa"/>
          </w:tcPr>
          <w:p>
            <w:pPr>
              <w:spacing w:line="400" w:lineRule="exact"/>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21" w:type="dxa"/>
          </w:tcPr>
          <w:p>
            <w:pPr>
              <w:spacing w:line="400" w:lineRule="exact"/>
              <w:jc w:val="center"/>
              <w:rPr>
                <w:rFonts w:hAnsi="宋体" w:cs="宋体"/>
                <w:color w:val="auto"/>
                <w:sz w:val="21"/>
                <w:szCs w:val="21"/>
                <w:highlight w:val="none"/>
              </w:rPr>
            </w:pPr>
          </w:p>
        </w:tc>
        <w:tc>
          <w:tcPr>
            <w:tcW w:w="3880" w:type="dxa"/>
          </w:tcPr>
          <w:p>
            <w:pPr>
              <w:spacing w:line="400" w:lineRule="exact"/>
              <w:jc w:val="center"/>
              <w:rPr>
                <w:rFonts w:hAnsi="宋体" w:cs="宋体"/>
                <w:color w:val="auto"/>
                <w:sz w:val="21"/>
                <w:szCs w:val="21"/>
                <w:highlight w:val="none"/>
              </w:rPr>
            </w:pPr>
          </w:p>
        </w:tc>
        <w:tc>
          <w:tcPr>
            <w:tcW w:w="3673" w:type="dxa"/>
          </w:tcPr>
          <w:p>
            <w:pPr>
              <w:spacing w:line="400" w:lineRule="exact"/>
              <w:jc w:val="center"/>
              <w:rPr>
                <w:rFonts w:hAnsi="宋体" w:cs="宋体"/>
                <w:color w:val="auto"/>
                <w:sz w:val="21"/>
                <w:szCs w:val="21"/>
                <w:highlight w:val="none"/>
              </w:rPr>
            </w:pPr>
          </w:p>
        </w:tc>
        <w:tc>
          <w:tcPr>
            <w:tcW w:w="1631" w:type="dxa"/>
          </w:tcPr>
          <w:p>
            <w:pPr>
              <w:spacing w:line="400" w:lineRule="exact"/>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21" w:type="dxa"/>
          </w:tcPr>
          <w:p>
            <w:pPr>
              <w:spacing w:line="400" w:lineRule="exact"/>
              <w:jc w:val="center"/>
              <w:rPr>
                <w:rFonts w:hAnsi="宋体" w:cs="宋体"/>
                <w:color w:val="auto"/>
                <w:sz w:val="21"/>
                <w:szCs w:val="21"/>
                <w:highlight w:val="none"/>
              </w:rPr>
            </w:pPr>
          </w:p>
        </w:tc>
        <w:tc>
          <w:tcPr>
            <w:tcW w:w="3880" w:type="dxa"/>
          </w:tcPr>
          <w:p>
            <w:pPr>
              <w:spacing w:line="400" w:lineRule="exact"/>
              <w:jc w:val="center"/>
              <w:rPr>
                <w:rFonts w:hAnsi="宋体" w:cs="宋体"/>
                <w:color w:val="auto"/>
                <w:sz w:val="21"/>
                <w:szCs w:val="21"/>
                <w:highlight w:val="none"/>
              </w:rPr>
            </w:pPr>
          </w:p>
        </w:tc>
        <w:tc>
          <w:tcPr>
            <w:tcW w:w="3673" w:type="dxa"/>
          </w:tcPr>
          <w:p>
            <w:pPr>
              <w:spacing w:line="400" w:lineRule="exact"/>
              <w:jc w:val="center"/>
              <w:rPr>
                <w:rFonts w:hAnsi="宋体" w:cs="宋体"/>
                <w:color w:val="auto"/>
                <w:sz w:val="21"/>
                <w:szCs w:val="21"/>
                <w:highlight w:val="none"/>
              </w:rPr>
            </w:pPr>
          </w:p>
        </w:tc>
        <w:tc>
          <w:tcPr>
            <w:tcW w:w="1631" w:type="dxa"/>
          </w:tcPr>
          <w:p>
            <w:pPr>
              <w:spacing w:line="400" w:lineRule="exact"/>
              <w:jc w:val="center"/>
              <w:rPr>
                <w:rFonts w:hAnsi="宋体" w:cs="宋体"/>
                <w:color w:val="auto"/>
                <w:sz w:val="21"/>
                <w:szCs w:val="21"/>
                <w:highlight w:val="none"/>
              </w:rPr>
            </w:pPr>
          </w:p>
        </w:tc>
      </w:tr>
    </w:tbl>
    <w:p>
      <w:pPr>
        <w:widowControl/>
        <w:shd w:val="clear" w:color="auto" w:fill="FFFFFF"/>
        <w:spacing w:line="360" w:lineRule="atLeast"/>
        <w:ind w:firstLine="420"/>
        <w:jc w:val="left"/>
        <w:rPr>
          <w:rFonts w:hAnsi="宋体" w:cs="宋体"/>
          <w:b/>
          <w:bCs/>
          <w:color w:val="auto"/>
          <w:sz w:val="24"/>
          <w:highlight w:val="none"/>
        </w:rPr>
      </w:pPr>
    </w:p>
    <w:p>
      <w:pPr>
        <w:widowControl/>
        <w:shd w:val="clear" w:color="auto" w:fill="FFFFFF"/>
        <w:spacing w:line="360" w:lineRule="atLeast"/>
        <w:ind w:firstLine="472" w:firstLineChars="196"/>
        <w:jc w:val="left"/>
        <w:rPr>
          <w:rFonts w:hAnsi="宋体" w:cs="宋体"/>
          <w:b/>
          <w:bCs/>
          <w:color w:val="auto"/>
          <w:sz w:val="24"/>
          <w:highlight w:val="none"/>
        </w:rPr>
      </w:pPr>
      <w:r>
        <w:rPr>
          <w:rFonts w:hint="eastAsia" w:hAnsi="宋体" w:cs="宋体"/>
          <w:b/>
          <w:bCs/>
          <w:color w:val="auto"/>
          <w:sz w:val="24"/>
          <w:highlight w:val="none"/>
        </w:rPr>
        <w:t>注：投标人必须据实逐项填写，对应响应，不得虚假应答，否则将取消其投标或中标资格。</w:t>
      </w:r>
    </w:p>
    <w:p>
      <w:pPr>
        <w:widowControl/>
        <w:shd w:val="clear" w:color="auto" w:fill="FFFFFF"/>
        <w:spacing w:line="360" w:lineRule="atLeast"/>
        <w:ind w:firstLine="470" w:firstLineChars="196"/>
        <w:jc w:val="left"/>
        <w:rPr>
          <w:rFonts w:hAnsi="宋体" w:cs="宋体"/>
          <w:color w:val="auto"/>
          <w:sz w:val="24"/>
          <w:highlight w:val="none"/>
        </w:rPr>
      </w:pPr>
    </w:p>
    <w:p>
      <w:pPr>
        <w:widowControl/>
        <w:shd w:val="clear" w:color="auto" w:fill="FFFFFF"/>
        <w:spacing w:line="360" w:lineRule="atLeast"/>
        <w:ind w:firstLine="470" w:firstLineChars="196"/>
        <w:jc w:val="left"/>
        <w:rPr>
          <w:rFonts w:hAnsi="宋体" w:cs="宋体"/>
          <w:color w:val="auto"/>
          <w:sz w:val="24"/>
          <w:highlight w:val="none"/>
        </w:rPr>
      </w:pPr>
    </w:p>
    <w:p>
      <w:pPr>
        <w:widowControl/>
        <w:shd w:val="clear" w:color="auto" w:fill="FFFFFF"/>
        <w:spacing w:line="360" w:lineRule="atLeast"/>
        <w:ind w:firstLine="470" w:firstLineChars="196"/>
        <w:jc w:val="left"/>
        <w:rPr>
          <w:rFonts w:hAnsi="宋体" w:cs="宋体"/>
          <w:color w:val="auto"/>
          <w:sz w:val="24"/>
          <w:highlight w:val="none"/>
        </w:rPr>
      </w:pPr>
    </w:p>
    <w:p>
      <w:pPr>
        <w:adjustRightInd w:val="0"/>
        <w:spacing w:line="40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投标人名称：(盖章)</w:t>
      </w:r>
    </w:p>
    <w:p>
      <w:pPr>
        <w:spacing w:line="400" w:lineRule="exact"/>
        <w:ind w:firstLine="480" w:firstLineChars="200"/>
        <w:rPr>
          <w:rFonts w:hAnsi="宋体" w:cs="宋体"/>
          <w:color w:val="auto"/>
          <w:sz w:val="24"/>
          <w:highlight w:val="none"/>
        </w:rPr>
      </w:pPr>
      <w:r>
        <w:rPr>
          <w:rFonts w:hint="eastAsia" w:hAnsi="宋体" w:cs="宋体"/>
          <w:bCs/>
          <w:color w:val="auto"/>
          <w:sz w:val="24"/>
          <w:szCs w:val="24"/>
          <w:highlight w:val="none"/>
        </w:rPr>
        <w:t>日期:</w:t>
      </w:r>
    </w:p>
    <w:p>
      <w:pPr>
        <w:pStyle w:val="2"/>
        <w:numPr>
          <w:ilvl w:val="4"/>
          <w:numId w:val="0"/>
        </w:numPr>
        <w:outlineLvl w:val="9"/>
        <w:rPr>
          <w:rFonts w:ascii="宋体" w:hAnsi="宋体" w:eastAsia="宋体" w:cs="宋体"/>
          <w:color w:val="auto"/>
          <w:highlight w:val="none"/>
        </w:rPr>
      </w:pPr>
    </w:p>
    <w:p>
      <w:pPr>
        <w:pStyle w:val="3"/>
        <w:rPr>
          <w:rFonts w:ascii="宋体" w:hAnsi="宋体" w:cs="宋体"/>
          <w:color w:val="auto"/>
          <w:highlight w:val="none"/>
        </w:rPr>
      </w:pPr>
    </w:p>
    <w:p>
      <w:pPr>
        <w:pStyle w:val="3"/>
        <w:rPr>
          <w:rFonts w:ascii="宋体" w:hAnsi="宋体" w:cs="宋体"/>
          <w:color w:val="auto"/>
          <w:highlight w:val="none"/>
        </w:rPr>
      </w:pPr>
    </w:p>
    <w:p>
      <w:pPr>
        <w:pStyle w:val="3"/>
        <w:rPr>
          <w:rFonts w:ascii="宋体" w:hAnsi="宋体" w:cs="宋体"/>
          <w:color w:val="auto"/>
          <w:highlight w:val="none"/>
        </w:rPr>
      </w:pPr>
    </w:p>
    <w:p>
      <w:pPr>
        <w:pStyle w:val="3"/>
        <w:rPr>
          <w:rFonts w:ascii="宋体" w:hAnsi="宋体" w:cs="宋体"/>
          <w:color w:val="auto"/>
          <w:highlight w:val="none"/>
        </w:rPr>
      </w:pPr>
    </w:p>
    <w:p>
      <w:pPr>
        <w:pStyle w:val="3"/>
        <w:rPr>
          <w:rFonts w:ascii="宋体" w:hAnsi="宋体" w:cs="宋体"/>
          <w:color w:val="auto"/>
          <w:highlight w:val="none"/>
        </w:rPr>
      </w:pPr>
    </w:p>
    <w:p>
      <w:pPr>
        <w:rPr>
          <w:rFonts w:hAnsi="宋体" w:cs="宋体"/>
          <w:color w:val="auto"/>
          <w:szCs w:val="28"/>
          <w:highlight w:val="none"/>
        </w:rPr>
      </w:pPr>
      <w:bookmarkStart w:id="844" w:name="_Toc15935"/>
      <w:r>
        <w:rPr>
          <w:rFonts w:hint="eastAsia" w:hAnsi="宋体" w:cs="宋体"/>
          <w:color w:val="auto"/>
          <w:szCs w:val="28"/>
          <w:highlight w:val="none"/>
        </w:rPr>
        <w:br w:type="page"/>
      </w:r>
    </w:p>
    <w:p>
      <w:pPr>
        <w:pStyle w:val="5"/>
        <w:spacing w:before="240" w:beforeLines="100" w:after="240" w:afterLines="100" w:line="240" w:lineRule="auto"/>
        <w:jc w:val="center"/>
        <w:rPr>
          <w:rFonts w:ascii="宋体" w:hAnsi="宋体" w:eastAsia="宋体" w:cs="宋体"/>
          <w:color w:val="auto"/>
          <w:szCs w:val="28"/>
          <w:highlight w:val="none"/>
        </w:rPr>
      </w:pPr>
      <w:r>
        <w:rPr>
          <w:rFonts w:hint="eastAsia" w:ascii="宋体" w:hAnsi="宋体" w:eastAsia="宋体" w:cs="宋体"/>
          <w:color w:val="auto"/>
          <w:szCs w:val="28"/>
          <w:highlight w:val="none"/>
        </w:rPr>
        <w:t>（七）</w:t>
      </w:r>
      <w:bookmarkEnd w:id="844"/>
      <w:bookmarkStart w:id="845" w:name="_Toc32145"/>
      <w:r>
        <w:rPr>
          <w:rFonts w:hint="eastAsia" w:ascii="宋体" w:hAnsi="宋体" w:eastAsia="宋体" w:cs="宋体"/>
          <w:color w:val="auto"/>
          <w:szCs w:val="28"/>
          <w:highlight w:val="none"/>
        </w:rPr>
        <w:t>类似项目业绩一览表</w:t>
      </w:r>
      <w:bookmarkEnd w:id="845"/>
    </w:p>
    <w:p>
      <w:pPr>
        <w:spacing w:line="400" w:lineRule="exact"/>
        <w:ind w:firstLine="46" w:firstLineChars="19"/>
        <w:rPr>
          <w:rFonts w:hAnsi="宋体" w:cs="宋体"/>
          <w:b/>
          <w:bCs/>
          <w:color w:val="auto"/>
          <w:sz w:val="24"/>
          <w:szCs w:val="24"/>
          <w:highlight w:val="none"/>
        </w:rPr>
      </w:pPr>
      <w:r>
        <w:rPr>
          <w:rFonts w:hint="eastAsia" w:hAnsi="宋体" w:cs="宋体"/>
          <w:b/>
          <w:bCs/>
          <w:color w:val="auto"/>
          <w:sz w:val="24"/>
          <w:szCs w:val="24"/>
          <w:highlight w:val="none"/>
        </w:rPr>
        <w:t>项目名称：</w:t>
      </w:r>
    </w:p>
    <w:p>
      <w:pPr>
        <w:spacing w:line="400" w:lineRule="exact"/>
        <w:ind w:firstLine="46" w:firstLineChars="19"/>
        <w:rPr>
          <w:rFonts w:hAnsi="宋体" w:cs="宋体"/>
          <w:b/>
          <w:bCs/>
          <w:color w:val="auto"/>
          <w:sz w:val="24"/>
          <w:szCs w:val="24"/>
          <w:highlight w:val="none"/>
          <w:u w:val="single"/>
        </w:rPr>
      </w:pPr>
      <w:r>
        <w:rPr>
          <w:rFonts w:hint="eastAsia" w:hAnsi="宋体" w:cs="宋体"/>
          <w:b/>
          <w:bCs/>
          <w:color w:val="auto"/>
          <w:sz w:val="24"/>
          <w:szCs w:val="24"/>
          <w:highlight w:val="none"/>
        </w:rPr>
        <w:t>项目编号：</w:t>
      </w:r>
    </w:p>
    <w:p>
      <w:pPr>
        <w:spacing w:line="400" w:lineRule="exact"/>
        <w:ind w:firstLine="46" w:firstLineChars="19"/>
        <w:rPr>
          <w:rFonts w:hAnsi="宋体" w:cs="宋体"/>
          <w:b/>
          <w:bCs/>
          <w:color w:val="auto"/>
          <w:sz w:val="24"/>
          <w:szCs w:val="24"/>
          <w:highlight w:val="none"/>
        </w:rPr>
      </w:pPr>
    </w:p>
    <w:tbl>
      <w:tblPr>
        <w:tblStyle w:val="37"/>
        <w:tblW w:w="8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695"/>
        <w:gridCol w:w="2556"/>
        <w:gridCol w:w="1194"/>
        <w:gridCol w:w="1260"/>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019" w:type="dxa"/>
            <w:vAlign w:val="center"/>
          </w:tcPr>
          <w:p>
            <w:pPr>
              <w:spacing w:line="400" w:lineRule="exact"/>
              <w:jc w:val="center"/>
              <w:rPr>
                <w:rFonts w:hAnsi="宋体" w:cs="宋体"/>
                <w:color w:val="auto"/>
                <w:sz w:val="21"/>
                <w:szCs w:val="21"/>
                <w:highlight w:val="none"/>
              </w:rPr>
            </w:pPr>
            <w:r>
              <w:rPr>
                <w:rFonts w:hint="eastAsia" w:hAnsi="宋体" w:cs="宋体"/>
                <w:color w:val="auto"/>
                <w:sz w:val="21"/>
                <w:szCs w:val="21"/>
                <w:highlight w:val="none"/>
              </w:rPr>
              <w:t>年份</w:t>
            </w:r>
          </w:p>
        </w:tc>
        <w:tc>
          <w:tcPr>
            <w:tcW w:w="1695" w:type="dxa"/>
            <w:vAlign w:val="center"/>
          </w:tcPr>
          <w:p>
            <w:pPr>
              <w:spacing w:line="400" w:lineRule="exact"/>
              <w:jc w:val="center"/>
              <w:rPr>
                <w:rFonts w:hAnsi="宋体" w:cs="宋体"/>
                <w:color w:val="auto"/>
                <w:sz w:val="21"/>
                <w:szCs w:val="21"/>
                <w:highlight w:val="none"/>
              </w:rPr>
            </w:pPr>
            <w:r>
              <w:rPr>
                <w:rFonts w:hint="eastAsia" w:hAnsi="宋体" w:cs="宋体"/>
                <w:color w:val="auto"/>
                <w:sz w:val="21"/>
                <w:szCs w:val="21"/>
                <w:highlight w:val="none"/>
              </w:rPr>
              <w:t>用户名称</w:t>
            </w:r>
          </w:p>
        </w:tc>
        <w:tc>
          <w:tcPr>
            <w:tcW w:w="2556" w:type="dxa"/>
            <w:vAlign w:val="center"/>
          </w:tcPr>
          <w:p>
            <w:pPr>
              <w:spacing w:line="400" w:lineRule="exact"/>
              <w:jc w:val="center"/>
              <w:rPr>
                <w:rFonts w:hAnsi="宋体" w:cs="宋体"/>
                <w:color w:val="auto"/>
                <w:sz w:val="21"/>
                <w:szCs w:val="21"/>
                <w:highlight w:val="none"/>
              </w:rPr>
            </w:pPr>
            <w:r>
              <w:rPr>
                <w:rFonts w:hint="eastAsia" w:hAnsi="宋体" w:cs="宋体"/>
                <w:color w:val="auto"/>
                <w:sz w:val="21"/>
                <w:szCs w:val="21"/>
                <w:highlight w:val="none"/>
              </w:rPr>
              <w:t>项目名称</w:t>
            </w:r>
          </w:p>
        </w:tc>
        <w:tc>
          <w:tcPr>
            <w:tcW w:w="1194" w:type="dxa"/>
            <w:vAlign w:val="center"/>
          </w:tcPr>
          <w:p>
            <w:pPr>
              <w:spacing w:line="400" w:lineRule="exact"/>
              <w:jc w:val="center"/>
              <w:rPr>
                <w:rFonts w:hAnsi="宋体" w:cs="宋体"/>
                <w:color w:val="auto"/>
                <w:sz w:val="21"/>
                <w:szCs w:val="21"/>
                <w:highlight w:val="none"/>
              </w:rPr>
            </w:pPr>
            <w:r>
              <w:rPr>
                <w:rFonts w:hint="eastAsia" w:hAnsi="宋体" w:cs="宋体"/>
                <w:color w:val="auto"/>
                <w:sz w:val="21"/>
                <w:szCs w:val="21"/>
                <w:highlight w:val="none"/>
              </w:rPr>
              <w:t>完成时间</w:t>
            </w:r>
          </w:p>
        </w:tc>
        <w:tc>
          <w:tcPr>
            <w:tcW w:w="1260" w:type="dxa"/>
            <w:vAlign w:val="center"/>
          </w:tcPr>
          <w:p>
            <w:pPr>
              <w:spacing w:line="400" w:lineRule="exact"/>
              <w:jc w:val="center"/>
              <w:rPr>
                <w:rFonts w:hAnsi="宋体" w:cs="宋体"/>
                <w:color w:val="auto"/>
                <w:sz w:val="21"/>
                <w:szCs w:val="21"/>
                <w:highlight w:val="none"/>
              </w:rPr>
            </w:pPr>
            <w:r>
              <w:rPr>
                <w:rFonts w:hint="eastAsia" w:hAnsi="宋体" w:cs="宋体"/>
                <w:color w:val="auto"/>
                <w:sz w:val="21"/>
                <w:szCs w:val="21"/>
                <w:highlight w:val="none"/>
              </w:rPr>
              <w:t>合同金额</w:t>
            </w:r>
          </w:p>
        </w:tc>
        <w:tc>
          <w:tcPr>
            <w:tcW w:w="945" w:type="dxa"/>
            <w:vAlign w:val="center"/>
          </w:tcPr>
          <w:p>
            <w:pPr>
              <w:spacing w:line="400" w:lineRule="exact"/>
              <w:jc w:val="center"/>
              <w:rPr>
                <w:rFonts w:hAnsi="宋体" w:cs="宋体"/>
                <w:color w:val="auto"/>
                <w:sz w:val="21"/>
                <w:szCs w:val="21"/>
                <w:highlight w:val="none"/>
              </w:rPr>
            </w:pPr>
            <w:r>
              <w:rPr>
                <w:rFonts w:hint="eastAsia" w:hAnsi="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019" w:type="dxa"/>
            <w:vAlign w:val="center"/>
          </w:tcPr>
          <w:p>
            <w:pPr>
              <w:spacing w:line="400" w:lineRule="exact"/>
              <w:jc w:val="center"/>
              <w:rPr>
                <w:rFonts w:hAnsi="宋体" w:cs="宋体"/>
                <w:color w:val="auto"/>
                <w:sz w:val="21"/>
                <w:szCs w:val="21"/>
                <w:highlight w:val="none"/>
              </w:rPr>
            </w:pPr>
          </w:p>
        </w:tc>
        <w:tc>
          <w:tcPr>
            <w:tcW w:w="1695" w:type="dxa"/>
            <w:vAlign w:val="center"/>
          </w:tcPr>
          <w:p>
            <w:pPr>
              <w:spacing w:line="400" w:lineRule="exact"/>
              <w:jc w:val="center"/>
              <w:rPr>
                <w:rFonts w:hAnsi="宋体" w:cs="宋体"/>
                <w:color w:val="auto"/>
                <w:sz w:val="21"/>
                <w:szCs w:val="21"/>
                <w:highlight w:val="none"/>
              </w:rPr>
            </w:pPr>
          </w:p>
        </w:tc>
        <w:tc>
          <w:tcPr>
            <w:tcW w:w="2556" w:type="dxa"/>
            <w:vAlign w:val="center"/>
          </w:tcPr>
          <w:p>
            <w:pPr>
              <w:spacing w:line="400" w:lineRule="exact"/>
              <w:jc w:val="center"/>
              <w:rPr>
                <w:rFonts w:hAnsi="宋体" w:cs="宋体"/>
                <w:color w:val="auto"/>
                <w:sz w:val="21"/>
                <w:szCs w:val="21"/>
                <w:highlight w:val="none"/>
              </w:rPr>
            </w:pPr>
          </w:p>
        </w:tc>
        <w:tc>
          <w:tcPr>
            <w:tcW w:w="1194" w:type="dxa"/>
            <w:vAlign w:val="center"/>
          </w:tcPr>
          <w:p>
            <w:pPr>
              <w:spacing w:line="400" w:lineRule="exact"/>
              <w:jc w:val="center"/>
              <w:rPr>
                <w:rFonts w:hAnsi="宋体" w:cs="宋体"/>
                <w:color w:val="auto"/>
                <w:sz w:val="21"/>
                <w:szCs w:val="21"/>
                <w:highlight w:val="none"/>
              </w:rPr>
            </w:pPr>
          </w:p>
        </w:tc>
        <w:tc>
          <w:tcPr>
            <w:tcW w:w="1260" w:type="dxa"/>
            <w:vAlign w:val="center"/>
          </w:tcPr>
          <w:p>
            <w:pPr>
              <w:spacing w:line="400" w:lineRule="exact"/>
              <w:jc w:val="center"/>
              <w:rPr>
                <w:rFonts w:hAnsi="宋体" w:cs="宋体"/>
                <w:color w:val="auto"/>
                <w:sz w:val="21"/>
                <w:szCs w:val="21"/>
                <w:highlight w:val="none"/>
              </w:rPr>
            </w:pPr>
          </w:p>
        </w:tc>
        <w:tc>
          <w:tcPr>
            <w:tcW w:w="945" w:type="dxa"/>
            <w:vAlign w:val="center"/>
          </w:tcPr>
          <w:p>
            <w:pPr>
              <w:spacing w:line="400" w:lineRule="exact"/>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019" w:type="dxa"/>
            <w:vAlign w:val="center"/>
          </w:tcPr>
          <w:p>
            <w:pPr>
              <w:spacing w:line="400" w:lineRule="exact"/>
              <w:jc w:val="center"/>
              <w:rPr>
                <w:rFonts w:hAnsi="宋体" w:cs="宋体"/>
                <w:color w:val="auto"/>
                <w:sz w:val="21"/>
                <w:szCs w:val="21"/>
                <w:highlight w:val="none"/>
              </w:rPr>
            </w:pPr>
          </w:p>
        </w:tc>
        <w:tc>
          <w:tcPr>
            <w:tcW w:w="1695" w:type="dxa"/>
            <w:vAlign w:val="center"/>
          </w:tcPr>
          <w:p>
            <w:pPr>
              <w:spacing w:line="400" w:lineRule="exact"/>
              <w:jc w:val="center"/>
              <w:rPr>
                <w:rFonts w:hAnsi="宋体" w:cs="宋体"/>
                <w:color w:val="auto"/>
                <w:sz w:val="21"/>
                <w:szCs w:val="21"/>
                <w:highlight w:val="none"/>
              </w:rPr>
            </w:pPr>
          </w:p>
        </w:tc>
        <w:tc>
          <w:tcPr>
            <w:tcW w:w="2556" w:type="dxa"/>
            <w:vAlign w:val="center"/>
          </w:tcPr>
          <w:p>
            <w:pPr>
              <w:spacing w:line="400" w:lineRule="exact"/>
              <w:jc w:val="center"/>
              <w:rPr>
                <w:rFonts w:hAnsi="宋体" w:cs="宋体"/>
                <w:color w:val="auto"/>
                <w:sz w:val="21"/>
                <w:szCs w:val="21"/>
                <w:highlight w:val="none"/>
              </w:rPr>
            </w:pPr>
          </w:p>
        </w:tc>
        <w:tc>
          <w:tcPr>
            <w:tcW w:w="1194" w:type="dxa"/>
            <w:vAlign w:val="center"/>
          </w:tcPr>
          <w:p>
            <w:pPr>
              <w:spacing w:line="400" w:lineRule="exact"/>
              <w:jc w:val="center"/>
              <w:rPr>
                <w:rFonts w:hAnsi="宋体" w:cs="宋体"/>
                <w:color w:val="auto"/>
                <w:sz w:val="21"/>
                <w:szCs w:val="21"/>
                <w:highlight w:val="none"/>
              </w:rPr>
            </w:pPr>
          </w:p>
        </w:tc>
        <w:tc>
          <w:tcPr>
            <w:tcW w:w="1260" w:type="dxa"/>
            <w:vAlign w:val="center"/>
          </w:tcPr>
          <w:p>
            <w:pPr>
              <w:spacing w:line="400" w:lineRule="exact"/>
              <w:jc w:val="center"/>
              <w:rPr>
                <w:rFonts w:hAnsi="宋体" w:cs="宋体"/>
                <w:color w:val="auto"/>
                <w:sz w:val="21"/>
                <w:szCs w:val="21"/>
                <w:highlight w:val="none"/>
              </w:rPr>
            </w:pPr>
          </w:p>
        </w:tc>
        <w:tc>
          <w:tcPr>
            <w:tcW w:w="945" w:type="dxa"/>
            <w:vAlign w:val="center"/>
          </w:tcPr>
          <w:p>
            <w:pPr>
              <w:spacing w:line="400" w:lineRule="exact"/>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019" w:type="dxa"/>
            <w:vAlign w:val="center"/>
          </w:tcPr>
          <w:p>
            <w:pPr>
              <w:spacing w:line="400" w:lineRule="exact"/>
              <w:jc w:val="center"/>
              <w:rPr>
                <w:rFonts w:hAnsi="宋体" w:cs="宋体"/>
                <w:color w:val="auto"/>
                <w:sz w:val="21"/>
                <w:szCs w:val="21"/>
                <w:highlight w:val="none"/>
              </w:rPr>
            </w:pPr>
          </w:p>
        </w:tc>
        <w:tc>
          <w:tcPr>
            <w:tcW w:w="1695" w:type="dxa"/>
            <w:vAlign w:val="center"/>
          </w:tcPr>
          <w:p>
            <w:pPr>
              <w:spacing w:line="400" w:lineRule="exact"/>
              <w:jc w:val="center"/>
              <w:rPr>
                <w:rFonts w:hAnsi="宋体" w:cs="宋体"/>
                <w:color w:val="auto"/>
                <w:sz w:val="21"/>
                <w:szCs w:val="21"/>
                <w:highlight w:val="none"/>
              </w:rPr>
            </w:pPr>
          </w:p>
        </w:tc>
        <w:tc>
          <w:tcPr>
            <w:tcW w:w="2556" w:type="dxa"/>
            <w:vAlign w:val="center"/>
          </w:tcPr>
          <w:p>
            <w:pPr>
              <w:spacing w:line="400" w:lineRule="exact"/>
              <w:jc w:val="center"/>
              <w:rPr>
                <w:rFonts w:hAnsi="宋体" w:cs="宋体"/>
                <w:color w:val="auto"/>
                <w:sz w:val="21"/>
                <w:szCs w:val="21"/>
                <w:highlight w:val="none"/>
              </w:rPr>
            </w:pPr>
          </w:p>
        </w:tc>
        <w:tc>
          <w:tcPr>
            <w:tcW w:w="1194" w:type="dxa"/>
            <w:vAlign w:val="center"/>
          </w:tcPr>
          <w:p>
            <w:pPr>
              <w:spacing w:line="400" w:lineRule="exact"/>
              <w:jc w:val="center"/>
              <w:rPr>
                <w:rFonts w:hAnsi="宋体" w:cs="宋体"/>
                <w:color w:val="auto"/>
                <w:sz w:val="21"/>
                <w:szCs w:val="21"/>
                <w:highlight w:val="none"/>
              </w:rPr>
            </w:pPr>
          </w:p>
        </w:tc>
        <w:tc>
          <w:tcPr>
            <w:tcW w:w="1260" w:type="dxa"/>
            <w:vAlign w:val="center"/>
          </w:tcPr>
          <w:p>
            <w:pPr>
              <w:spacing w:line="400" w:lineRule="exact"/>
              <w:jc w:val="center"/>
              <w:rPr>
                <w:rFonts w:hAnsi="宋体" w:cs="宋体"/>
                <w:color w:val="auto"/>
                <w:sz w:val="21"/>
                <w:szCs w:val="21"/>
                <w:highlight w:val="none"/>
              </w:rPr>
            </w:pPr>
          </w:p>
        </w:tc>
        <w:tc>
          <w:tcPr>
            <w:tcW w:w="945" w:type="dxa"/>
            <w:vAlign w:val="center"/>
          </w:tcPr>
          <w:p>
            <w:pPr>
              <w:spacing w:line="400" w:lineRule="exact"/>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019" w:type="dxa"/>
            <w:vAlign w:val="center"/>
          </w:tcPr>
          <w:p>
            <w:pPr>
              <w:spacing w:line="400" w:lineRule="exact"/>
              <w:jc w:val="center"/>
              <w:rPr>
                <w:rFonts w:hAnsi="宋体" w:cs="宋体"/>
                <w:color w:val="auto"/>
                <w:sz w:val="21"/>
                <w:szCs w:val="21"/>
                <w:highlight w:val="none"/>
              </w:rPr>
            </w:pPr>
          </w:p>
        </w:tc>
        <w:tc>
          <w:tcPr>
            <w:tcW w:w="1695" w:type="dxa"/>
            <w:vAlign w:val="center"/>
          </w:tcPr>
          <w:p>
            <w:pPr>
              <w:spacing w:line="400" w:lineRule="exact"/>
              <w:jc w:val="center"/>
              <w:rPr>
                <w:rFonts w:hAnsi="宋体" w:cs="宋体"/>
                <w:color w:val="auto"/>
                <w:sz w:val="21"/>
                <w:szCs w:val="21"/>
                <w:highlight w:val="none"/>
              </w:rPr>
            </w:pPr>
          </w:p>
        </w:tc>
        <w:tc>
          <w:tcPr>
            <w:tcW w:w="2556" w:type="dxa"/>
            <w:vAlign w:val="center"/>
          </w:tcPr>
          <w:p>
            <w:pPr>
              <w:spacing w:line="400" w:lineRule="exact"/>
              <w:jc w:val="center"/>
              <w:rPr>
                <w:rFonts w:hAnsi="宋体" w:cs="宋体"/>
                <w:color w:val="auto"/>
                <w:sz w:val="21"/>
                <w:szCs w:val="21"/>
                <w:highlight w:val="none"/>
              </w:rPr>
            </w:pPr>
          </w:p>
        </w:tc>
        <w:tc>
          <w:tcPr>
            <w:tcW w:w="1194" w:type="dxa"/>
            <w:vAlign w:val="center"/>
          </w:tcPr>
          <w:p>
            <w:pPr>
              <w:spacing w:line="400" w:lineRule="exact"/>
              <w:jc w:val="center"/>
              <w:rPr>
                <w:rFonts w:hAnsi="宋体" w:cs="宋体"/>
                <w:color w:val="auto"/>
                <w:sz w:val="21"/>
                <w:szCs w:val="21"/>
                <w:highlight w:val="none"/>
              </w:rPr>
            </w:pPr>
          </w:p>
        </w:tc>
        <w:tc>
          <w:tcPr>
            <w:tcW w:w="1260" w:type="dxa"/>
            <w:vAlign w:val="center"/>
          </w:tcPr>
          <w:p>
            <w:pPr>
              <w:spacing w:line="400" w:lineRule="exact"/>
              <w:jc w:val="center"/>
              <w:rPr>
                <w:rFonts w:hAnsi="宋体" w:cs="宋体"/>
                <w:color w:val="auto"/>
                <w:sz w:val="21"/>
                <w:szCs w:val="21"/>
                <w:highlight w:val="none"/>
              </w:rPr>
            </w:pPr>
          </w:p>
        </w:tc>
        <w:tc>
          <w:tcPr>
            <w:tcW w:w="945" w:type="dxa"/>
            <w:vAlign w:val="center"/>
          </w:tcPr>
          <w:p>
            <w:pPr>
              <w:spacing w:line="400" w:lineRule="exact"/>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019" w:type="dxa"/>
            <w:vAlign w:val="center"/>
          </w:tcPr>
          <w:p>
            <w:pPr>
              <w:spacing w:line="400" w:lineRule="exact"/>
              <w:jc w:val="center"/>
              <w:rPr>
                <w:rFonts w:hAnsi="宋体" w:cs="宋体"/>
                <w:color w:val="auto"/>
                <w:sz w:val="21"/>
                <w:szCs w:val="21"/>
                <w:highlight w:val="none"/>
              </w:rPr>
            </w:pPr>
          </w:p>
        </w:tc>
        <w:tc>
          <w:tcPr>
            <w:tcW w:w="1695" w:type="dxa"/>
            <w:vAlign w:val="center"/>
          </w:tcPr>
          <w:p>
            <w:pPr>
              <w:spacing w:line="400" w:lineRule="exact"/>
              <w:jc w:val="center"/>
              <w:rPr>
                <w:rFonts w:hAnsi="宋体" w:cs="宋体"/>
                <w:color w:val="auto"/>
                <w:sz w:val="21"/>
                <w:szCs w:val="21"/>
                <w:highlight w:val="none"/>
              </w:rPr>
            </w:pPr>
          </w:p>
        </w:tc>
        <w:tc>
          <w:tcPr>
            <w:tcW w:w="2556" w:type="dxa"/>
            <w:vAlign w:val="center"/>
          </w:tcPr>
          <w:p>
            <w:pPr>
              <w:spacing w:line="400" w:lineRule="exact"/>
              <w:jc w:val="center"/>
              <w:rPr>
                <w:rFonts w:hAnsi="宋体" w:cs="宋体"/>
                <w:color w:val="auto"/>
                <w:sz w:val="21"/>
                <w:szCs w:val="21"/>
                <w:highlight w:val="none"/>
              </w:rPr>
            </w:pPr>
          </w:p>
        </w:tc>
        <w:tc>
          <w:tcPr>
            <w:tcW w:w="1194" w:type="dxa"/>
            <w:vAlign w:val="center"/>
          </w:tcPr>
          <w:p>
            <w:pPr>
              <w:spacing w:line="400" w:lineRule="exact"/>
              <w:jc w:val="center"/>
              <w:rPr>
                <w:rFonts w:hAnsi="宋体" w:cs="宋体"/>
                <w:color w:val="auto"/>
                <w:sz w:val="21"/>
                <w:szCs w:val="21"/>
                <w:highlight w:val="none"/>
              </w:rPr>
            </w:pPr>
          </w:p>
        </w:tc>
        <w:tc>
          <w:tcPr>
            <w:tcW w:w="1260" w:type="dxa"/>
            <w:vAlign w:val="center"/>
          </w:tcPr>
          <w:p>
            <w:pPr>
              <w:spacing w:line="400" w:lineRule="exact"/>
              <w:jc w:val="center"/>
              <w:rPr>
                <w:rFonts w:hAnsi="宋体" w:cs="宋体"/>
                <w:color w:val="auto"/>
                <w:sz w:val="21"/>
                <w:szCs w:val="21"/>
                <w:highlight w:val="none"/>
              </w:rPr>
            </w:pPr>
          </w:p>
        </w:tc>
        <w:tc>
          <w:tcPr>
            <w:tcW w:w="945" w:type="dxa"/>
            <w:vAlign w:val="center"/>
          </w:tcPr>
          <w:p>
            <w:pPr>
              <w:spacing w:line="400" w:lineRule="exact"/>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019" w:type="dxa"/>
            <w:vAlign w:val="center"/>
          </w:tcPr>
          <w:p>
            <w:pPr>
              <w:spacing w:line="400" w:lineRule="exact"/>
              <w:jc w:val="center"/>
              <w:rPr>
                <w:rFonts w:hAnsi="宋体" w:cs="宋体"/>
                <w:color w:val="auto"/>
                <w:sz w:val="21"/>
                <w:szCs w:val="21"/>
                <w:highlight w:val="none"/>
              </w:rPr>
            </w:pPr>
          </w:p>
        </w:tc>
        <w:tc>
          <w:tcPr>
            <w:tcW w:w="1695" w:type="dxa"/>
            <w:vAlign w:val="center"/>
          </w:tcPr>
          <w:p>
            <w:pPr>
              <w:spacing w:line="400" w:lineRule="exact"/>
              <w:jc w:val="center"/>
              <w:rPr>
                <w:rFonts w:hAnsi="宋体" w:cs="宋体"/>
                <w:color w:val="auto"/>
                <w:sz w:val="21"/>
                <w:szCs w:val="21"/>
                <w:highlight w:val="none"/>
              </w:rPr>
            </w:pPr>
          </w:p>
        </w:tc>
        <w:tc>
          <w:tcPr>
            <w:tcW w:w="2556" w:type="dxa"/>
            <w:vAlign w:val="center"/>
          </w:tcPr>
          <w:p>
            <w:pPr>
              <w:spacing w:line="400" w:lineRule="exact"/>
              <w:jc w:val="center"/>
              <w:rPr>
                <w:rFonts w:hAnsi="宋体" w:cs="宋体"/>
                <w:color w:val="auto"/>
                <w:sz w:val="21"/>
                <w:szCs w:val="21"/>
                <w:highlight w:val="none"/>
              </w:rPr>
            </w:pPr>
          </w:p>
        </w:tc>
        <w:tc>
          <w:tcPr>
            <w:tcW w:w="1194" w:type="dxa"/>
            <w:vAlign w:val="center"/>
          </w:tcPr>
          <w:p>
            <w:pPr>
              <w:spacing w:line="400" w:lineRule="exact"/>
              <w:jc w:val="center"/>
              <w:rPr>
                <w:rFonts w:hAnsi="宋体" w:cs="宋体"/>
                <w:color w:val="auto"/>
                <w:sz w:val="21"/>
                <w:szCs w:val="21"/>
                <w:highlight w:val="none"/>
              </w:rPr>
            </w:pPr>
          </w:p>
        </w:tc>
        <w:tc>
          <w:tcPr>
            <w:tcW w:w="1260" w:type="dxa"/>
            <w:vAlign w:val="center"/>
          </w:tcPr>
          <w:p>
            <w:pPr>
              <w:spacing w:line="400" w:lineRule="exact"/>
              <w:jc w:val="center"/>
              <w:rPr>
                <w:rFonts w:hAnsi="宋体" w:cs="宋体"/>
                <w:color w:val="auto"/>
                <w:sz w:val="21"/>
                <w:szCs w:val="21"/>
                <w:highlight w:val="none"/>
              </w:rPr>
            </w:pPr>
          </w:p>
        </w:tc>
        <w:tc>
          <w:tcPr>
            <w:tcW w:w="945" w:type="dxa"/>
            <w:vAlign w:val="center"/>
          </w:tcPr>
          <w:p>
            <w:pPr>
              <w:spacing w:line="400" w:lineRule="exact"/>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019" w:type="dxa"/>
            <w:vAlign w:val="center"/>
          </w:tcPr>
          <w:p>
            <w:pPr>
              <w:spacing w:line="400" w:lineRule="exact"/>
              <w:jc w:val="center"/>
              <w:rPr>
                <w:rFonts w:hAnsi="宋体" w:cs="宋体"/>
                <w:color w:val="auto"/>
                <w:sz w:val="21"/>
                <w:szCs w:val="21"/>
                <w:highlight w:val="none"/>
              </w:rPr>
            </w:pPr>
          </w:p>
        </w:tc>
        <w:tc>
          <w:tcPr>
            <w:tcW w:w="1695" w:type="dxa"/>
            <w:vAlign w:val="center"/>
          </w:tcPr>
          <w:p>
            <w:pPr>
              <w:spacing w:line="400" w:lineRule="exact"/>
              <w:jc w:val="center"/>
              <w:rPr>
                <w:rFonts w:hAnsi="宋体" w:cs="宋体"/>
                <w:color w:val="auto"/>
                <w:sz w:val="21"/>
                <w:szCs w:val="21"/>
                <w:highlight w:val="none"/>
              </w:rPr>
            </w:pPr>
          </w:p>
        </w:tc>
        <w:tc>
          <w:tcPr>
            <w:tcW w:w="2556" w:type="dxa"/>
            <w:vAlign w:val="center"/>
          </w:tcPr>
          <w:p>
            <w:pPr>
              <w:spacing w:line="400" w:lineRule="exact"/>
              <w:jc w:val="center"/>
              <w:rPr>
                <w:rFonts w:hAnsi="宋体" w:cs="宋体"/>
                <w:color w:val="auto"/>
                <w:sz w:val="21"/>
                <w:szCs w:val="21"/>
                <w:highlight w:val="none"/>
              </w:rPr>
            </w:pPr>
          </w:p>
        </w:tc>
        <w:tc>
          <w:tcPr>
            <w:tcW w:w="1194" w:type="dxa"/>
            <w:vAlign w:val="center"/>
          </w:tcPr>
          <w:p>
            <w:pPr>
              <w:spacing w:line="400" w:lineRule="exact"/>
              <w:jc w:val="center"/>
              <w:rPr>
                <w:rFonts w:hAnsi="宋体" w:cs="宋体"/>
                <w:color w:val="auto"/>
                <w:sz w:val="21"/>
                <w:szCs w:val="21"/>
                <w:highlight w:val="none"/>
              </w:rPr>
            </w:pPr>
          </w:p>
        </w:tc>
        <w:tc>
          <w:tcPr>
            <w:tcW w:w="1260" w:type="dxa"/>
            <w:vAlign w:val="center"/>
          </w:tcPr>
          <w:p>
            <w:pPr>
              <w:spacing w:line="400" w:lineRule="exact"/>
              <w:jc w:val="center"/>
              <w:rPr>
                <w:rFonts w:hAnsi="宋体" w:cs="宋体"/>
                <w:color w:val="auto"/>
                <w:sz w:val="21"/>
                <w:szCs w:val="21"/>
                <w:highlight w:val="none"/>
              </w:rPr>
            </w:pPr>
          </w:p>
        </w:tc>
        <w:tc>
          <w:tcPr>
            <w:tcW w:w="945" w:type="dxa"/>
            <w:vAlign w:val="center"/>
          </w:tcPr>
          <w:p>
            <w:pPr>
              <w:spacing w:line="400" w:lineRule="exact"/>
              <w:jc w:val="center"/>
              <w:rPr>
                <w:rFonts w:hAnsi="宋体" w:cs="宋体"/>
                <w:color w:val="auto"/>
                <w:sz w:val="21"/>
                <w:szCs w:val="21"/>
                <w:highlight w:val="none"/>
              </w:rPr>
            </w:pPr>
          </w:p>
        </w:tc>
      </w:tr>
    </w:tbl>
    <w:p>
      <w:pPr>
        <w:adjustRightInd w:val="0"/>
        <w:spacing w:line="400" w:lineRule="exact"/>
        <w:ind w:firstLine="482" w:firstLineChars="200"/>
        <w:jc w:val="left"/>
        <w:rPr>
          <w:rFonts w:hAnsi="宋体" w:cs="宋体"/>
          <w:b/>
          <w:color w:val="auto"/>
          <w:kern w:val="2"/>
          <w:sz w:val="24"/>
          <w:szCs w:val="24"/>
          <w:highlight w:val="none"/>
        </w:rPr>
      </w:pPr>
      <w:r>
        <w:rPr>
          <w:rFonts w:hint="eastAsia" w:hAnsi="宋体" w:cs="宋体"/>
          <w:b/>
          <w:color w:val="auto"/>
          <w:sz w:val="24"/>
          <w:szCs w:val="24"/>
          <w:highlight w:val="none"/>
        </w:rPr>
        <w:t>注：以上业绩需提供招标文件要求的有关书面证明材料</w:t>
      </w:r>
      <w:r>
        <w:rPr>
          <w:rFonts w:hint="eastAsia" w:hAnsi="宋体" w:cs="宋体"/>
          <w:b/>
          <w:color w:val="auto"/>
          <w:kern w:val="2"/>
          <w:sz w:val="24"/>
          <w:szCs w:val="24"/>
          <w:highlight w:val="none"/>
        </w:rPr>
        <w:t>。</w:t>
      </w:r>
    </w:p>
    <w:p>
      <w:pPr>
        <w:spacing w:line="400" w:lineRule="exact"/>
        <w:rPr>
          <w:rFonts w:hAnsi="宋体" w:cs="宋体"/>
          <w:bCs/>
          <w:color w:val="auto"/>
          <w:sz w:val="24"/>
          <w:szCs w:val="24"/>
          <w:highlight w:val="none"/>
        </w:rPr>
      </w:pPr>
    </w:p>
    <w:p>
      <w:pPr>
        <w:spacing w:line="400" w:lineRule="exact"/>
        <w:jc w:val="center"/>
        <w:rPr>
          <w:rFonts w:hAnsi="宋体" w:cs="宋体"/>
          <w:bCs/>
          <w:color w:val="auto"/>
          <w:sz w:val="24"/>
          <w:szCs w:val="24"/>
          <w:highlight w:val="none"/>
        </w:rPr>
      </w:pPr>
    </w:p>
    <w:p>
      <w:pPr>
        <w:adjustRightInd w:val="0"/>
        <w:spacing w:line="40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投标人名称：(盖章)</w:t>
      </w:r>
    </w:p>
    <w:p>
      <w:pPr>
        <w:spacing w:line="400" w:lineRule="exact"/>
        <w:ind w:firstLine="480" w:firstLineChars="200"/>
        <w:rPr>
          <w:rFonts w:hAnsi="宋体" w:cs="宋体"/>
          <w:color w:val="auto"/>
          <w:sz w:val="24"/>
          <w:highlight w:val="none"/>
        </w:rPr>
      </w:pPr>
      <w:r>
        <w:rPr>
          <w:rFonts w:hint="eastAsia" w:hAnsi="宋体" w:cs="宋体"/>
          <w:bCs/>
          <w:color w:val="auto"/>
          <w:sz w:val="24"/>
          <w:szCs w:val="24"/>
          <w:highlight w:val="none"/>
        </w:rPr>
        <w:t>日期:</w:t>
      </w:r>
    </w:p>
    <w:p>
      <w:pPr>
        <w:adjustRightInd w:val="0"/>
        <w:spacing w:line="400" w:lineRule="exact"/>
        <w:ind w:firstLine="480" w:firstLineChars="200"/>
        <w:jc w:val="left"/>
        <w:rPr>
          <w:rFonts w:hAnsi="宋体" w:cs="宋体"/>
          <w:color w:val="auto"/>
          <w:sz w:val="24"/>
          <w:szCs w:val="24"/>
          <w:highlight w:val="none"/>
        </w:rPr>
      </w:pPr>
    </w:p>
    <w:p>
      <w:pPr>
        <w:keepNext/>
        <w:keepLines/>
        <w:spacing w:before="240" w:beforeLines="100" w:after="240" w:afterLines="100"/>
        <w:rPr>
          <w:rFonts w:hAnsi="宋体" w:cs="宋体"/>
          <w:color w:val="auto"/>
          <w:szCs w:val="28"/>
          <w:highlight w:val="none"/>
        </w:rPr>
      </w:pPr>
    </w:p>
    <w:p>
      <w:pPr>
        <w:rPr>
          <w:rFonts w:hAnsi="宋体" w:cs="宋体"/>
          <w:color w:val="auto"/>
          <w:szCs w:val="28"/>
          <w:highlight w:val="none"/>
        </w:rPr>
      </w:pPr>
      <w:bookmarkStart w:id="846" w:name="_Toc22133"/>
      <w:bookmarkStart w:id="847" w:name="_Toc3745"/>
      <w:bookmarkStart w:id="848" w:name="_Toc17015"/>
      <w:bookmarkStart w:id="849" w:name="_Toc19240"/>
      <w:r>
        <w:rPr>
          <w:rFonts w:hint="eastAsia" w:hAnsi="宋体" w:cs="宋体"/>
          <w:color w:val="auto"/>
          <w:szCs w:val="28"/>
          <w:highlight w:val="none"/>
        </w:rPr>
        <w:br w:type="page"/>
      </w:r>
    </w:p>
    <w:p>
      <w:pPr>
        <w:pStyle w:val="5"/>
        <w:spacing w:before="240" w:beforeLines="100" w:after="240" w:afterLines="100" w:line="240" w:lineRule="auto"/>
        <w:jc w:val="center"/>
        <w:rPr>
          <w:rFonts w:ascii="宋体" w:hAnsi="宋体" w:eastAsia="宋体" w:cs="宋体"/>
          <w:color w:val="auto"/>
          <w:highlight w:val="none"/>
        </w:rPr>
      </w:pPr>
      <w:r>
        <w:rPr>
          <w:rFonts w:hint="eastAsia" w:ascii="宋体" w:hAnsi="宋体" w:eastAsia="宋体" w:cs="宋体"/>
          <w:color w:val="auto"/>
          <w:szCs w:val="28"/>
          <w:highlight w:val="none"/>
        </w:rPr>
        <w:t>（八）拟任本项目人员配置情况</w:t>
      </w:r>
      <w:bookmarkEnd w:id="846"/>
      <w:bookmarkEnd w:id="847"/>
      <w:bookmarkEnd w:id="848"/>
    </w:p>
    <w:p>
      <w:pPr>
        <w:spacing w:line="400" w:lineRule="exact"/>
        <w:ind w:firstLine="46" w:firstLineChars="19"/>
        <w:rPr>
          <w:rFonts w:hAnsi="宋体" w:cs="宋体"/>
          <w:b/>
          <w:bCs/>
          <w:color w:val="auto"/>
          <w:sz w:val="24"/>
          <w:szCs w:val="24"/>
          <w:highlight w:val="none"/>
        </w:rPr>
      </w:pPr>
      <w:r>
        <w:rPr>
          <w:rFonts w:hint="eastAsia" w:hAnsi="宋体" w:cs="宋体"/>
          <w:b/>
          <w:bCs/>
          <w:color w:val="auto"/>
          <w:sz w:val="24"/>
          <w:szCs w:val="24"/>
          <w:highlight w:val="none"/>
        </w:rPr>
        <w:t>项目名称：</w:t>
      </w:r>
    </w:p>
    <w:p>
      <w:pPr>
        <w:spacing w:line="400" w:lineRule="exact"/>
        <w:ind w:firstLine="46" w:firstLineChars="19"/>
        <w:rPr>
          <w:rFonts w:hAnsi="宋体" w:cs="宋体"/>
          <w:b/>
          <w:bCs/>
          <w:color w:val="auto"/>
          <w:sz w:val="24"/>
          <w:szCs w:val="24"/>
          <w:highlight w:val="none"/>
        </w:rPr>
      </w:pPr>
      <w:r>
        <w:rPr>
          <w:rFonts w:hint="eastAsia" w:hAnsi="宋体" w:cs="宋体"/>
          <w:b/>
          <w:bCs/>
          <w:color w:val="auto"/>
          <w:sz w:val="24"/>
          <w:szCs w:val="24"/>
          <w:highlight w:val="none"/>
        </w:rPr>
        <w:t>项目编号：</w:t>
      </w:r>
    </w:p>
    <w:tbl>
      <w:tblPr>
        <w:tblStyle w:val="37"/>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923"/>
        <w:gridCol w:w="921"/>
        <w:gridCol w:w="923"/>
        <w:gridCol w:w="922"/>
        <w:gridCol w:w="1436"/>
        <w:gridCol w:w="1022"/>
        <w:gridCol w:w="1232"/>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348" w:type="dxa"/>
            <w:vMerge w:val="restart"/>
            <w:vAlign w:val="center"/>
          </w:tcPr>
          <w:p>
            <w:pPr>
              <w:spacing w:line="400" w:lineRule="exact"/>
              <w:jc w:val="center"/>
              <w:rPr>
                <w:rFonts w:hAnsi="宋体" w:cs="宋体"/>
                <w:color w:val="auto"/>
                <w:sz w:val="21"/>
                <w:szCs w:val="21"/>
                <w:highlight w:val="none"/>
              </w:rPr>
            </w:pPr>
            <w:r>
              <w:rPr>
                <w:rFonts w:hint="eastAsia" w:hAnsi="宋体" w:cs="宋体"/>
                <w:color w:val="auto"/>
                <w:sz w:val="21"/>
                <w:szCs w:val="21"/>
                <w:highlight w:val="none"/>
              </w:rPr>
              <w:t>类别</w:t>
            </w:r>
          </w:p>
        </w:tc>
        <w:tc>
          <w:tcPr>
            <w:tcW w:w="923" w:type="dxa"/>
            <w:vMerge w:val="restart"/>
            <w:vAlign w:val="center"/>
          </w:tcPr>
          <w:p>
            <w:pPr>
              <w:spacing w:line="400" w:lineRule="exact"/>
              <w:jc w:val="center"/>
              <w:rPr>
                <w:rFonts w:hAnsi="宋体" w:cs="宋体"/>
                <w:color w:val="auto"/>
                <w:sz w:val="21"/>
                <w:szCs w:val="21"/>
                <w:highlight w:val="none"/>
              </w:rPr>
            </w:pPr>
            <w:r>
              <w:rPr>
                <w:rFonts w:hint="eastAsia" w:hAnsi="宋体" w:cs="宋体"/>
                <w:color w:val="auto"/>
                <w:sz w:val="21"/>
                <w:szCs w:val="21"/>
                <w:highlight w:val="none"/>
              </w:rPr>
              <w:t>职务</w:t>
            </w:r>
          </w:p>
        </w:tc>
        <w:tc>
          <w:tcPr>
            <w:tcW w:w="921" w:type="dxa"/>
            <w:vMerge w:val="restart"/>
            <w:vAlign w:val="center"/>
          </w:tcPr>
          <w:p>
            <w:pPr>
              <w:spacing w:line="400" w:lineRule="exact"/>
              <w:jc w:val="center"/>
              <w:rPr>
                <w:rFonts w:hAnsi="宋体" w:cs="宋体"/>
                <w:color w:val="auto"/>
                <w:sz w:val="21"/>
                <w:szCs w:val="21"/>
                <w:highlight w:val="none"/>
              </w:rPr>
            </w:pPr>
            <w:r>
              <w:rPr>
                <w:rFonts w:hint="eastAsia" w:hAnsi="宋体" w:cs="宋体"/>
                <w:color w:val="auto"/>
                <w:sz w:val="21"/>
                <w:szCs w:val="21"/>
                <w:highlight w:val="none"/>
              </w:rPr>
              <w:t>姓名</w:t>
            </w:r>
          </w:p>
        </w:tc>
        <w:tc>
          <w:tcPr>
            <w:tcW w:w="923" w:type="dxa"/>
            <w:vMerge w:val="restart"/>
            <w:vAlign w:val="center"/>
          </w:tcPr>
          <w:p>
            <w:pPr>
              <w:spacing w:line="400" w:lineRule="exact"/>
              <w:jc w:val="center"/>
              <w:rPr>
                <w:rFonts w:hAnsi="宋体" w:cs="宋体"/>
                <w:color w:val="auto"/>
                <w:sz w:val="21"/>
                <w:szCs w:val="21"/>
                <w:highlight w:val="none"/>
              </w:rPr>
            </w:pPr>
            <w:r>
              <w:rPr>
                <w:rFonts w:hint="eastAsia" w:hAnsi="宋体" w:cs="宋体"/>
                <w:color w:val="auto"/>
                <w:sz w:val="21"/>
                <w:szCs w:val="21"/>
                <w:highlight w:val="none"/>
              </w:rPr>
              <w:t>职称</w:t>
            </w:r>
          </w:p>
        </w:tc>
        <w:tc>
          <w:tcPr>
            <w:tcW w:w="922" w:type="dxa"/>
            <w:vMerge w:val="restart"/>
            <w:vAlign w:val="center"/>
          </w:tcPr>
          <w:p>
            <w:pPr>
              <w:spacing w:line="400" w:lineRule="exact"/>
              <w:jc w:val="center"/>
              <w:rPr>
                <w:rFonts w:hAnsi="宋体" w:cs="宋体"/>
                <w:color w:val="auto"/>
                <w:sz w:val="21"/>
                <w:szCs w:val="21"/>
                <w:highlight w:val="none"/>
              </w:rPr>
            </w:pPr>
            <w:r>
              <w:rPr>
                <w:rFonts w:hint="eastAsia" w:hAnsi="宋体" w:cs="宋体"/>
                <w:color w:val="auto"/>
                <w:sz w:val="21"/>
                <w:szCs w:val="21"/>
                <w:highlight w:val="none"/>
              </w:rPr>
              <w:t>常住地</w:t>
            </w:r>
          </w:p>
        </w:tc>
        <w:tc>
          <w:tcPr>
            <w:tcW w:w="4919" w:type="dxa"/>
            <w:gridSpan w:val="4"/>
            <w:vAlign w:val="center"/>
          </w:tcPr>
          <w:p>
            <w:pPr>
              <w:spacing w:line="400" w:lineRule="exact"/>
              <w:jc w:val="center"/>
              <w:rPr>
                <w:rFonts w:hAnsi="宋体" w:cs="宋体"/>
                <w:color w:val="auto"/>
                <w:sz w:val="21"/>
                <w:szCs w:val="21"/>
                <w:highlight w:val="none"/>
              </w:rPr>
            </w:pPr>
            <w:r>
              <w:rPr>
                <w:rFonts w:hint="eastAsia" w:hAnsi="宋体" w:cs="宋体"/>
                <w:color w:val="auto"/>
                <w:sz w:val="21"/>
                <w:szCs w:val="21"/>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348" w:type="dxa"/>
            <w:vMerge w:val="continue"/>
            <w:vAlign w:val="center"/>
          </w:tcPr>
          <w:p>
            <w:pPr>
              <w:spacing w:line="400" w:lineRule="exact"/>
              <w:jc w:val="center"/>
              <w:rPr>
                <w:rFonts w:hAnsi="宋体" w:cs="宋体"/>
                <w:color w:val="auto"/>
                <w:sz w:val="21"/>
                <w:szCs w:val="21"/>
                <w:highlight w:val="none"/>
              </w:rPr>
            </w:pPr>
          </w:p>
        </w:tc>
        <w:tc>
          <w:tcPr>
            <w:tcW w:w="923" w:type="dxa"/>
            <w:vMerge w:val="continue"/>
            <w:vAlign w:val="center"/>
          </w:tcPr>
          <w:p>
            <w:pPr>
              <w:spacing w:line="400" w:lineRule="exact"/>
              <w:jc w:val="center"/>
              <w:rPr>
                <w:rFonts w:hAnsi="宋体" w:cs="宋体"/>
                <w:color w:val="auto"/>
                <w:sz w:val="21"/>
                <w:szCs w:val="21"/>
                <w:highlight w:val="none"/>
              </w:rPr>
            </w:pPr>
          </w:p>
        </w:tc>
        <w:tc>
          <w:tcPr>
            <w:tcW w:w="921" w:type="dxa"/>
            <w:vMerge w:val="continue"/>
            <w:vAlign w:val="center"/>
          </w:tcPr>
          <w:p>
            <w:pPr>
              <w:spacing w:line="400" w:lineRule="exact"/>
              <w:jc w:val="center"/>
              <w:rPr>
                <w:rFonts w:hAnsi="宋体" w:cs="宋体"/>
                <w:color w:val="auto"/>
                <w:sz w:val="21"/>
                <w:szCs w:val="21"/>
                <w:highlight w:val="none"/>
              </w:rPr>
            </w:pPr>
          </w:p>
        </w:tc>
        <w:tc>
          <w:tcPr>
            <w:tcW w:w="923" w:type="dxa"/>
            <w:vMerge w:val="continue"/>
            <w:vAlign w:val="center"/>
          </w:tcPr>
          <w:p>
            <w:pPr>
              <w:spacing w:line="400" w:lineRule="exact"/>
              <w:jc w:val="center"/>
              <w:rPr>
                <w:rFonts w:hAnsi="宋体" w:cs="宋体"/>
                <w:color w:val="auto"/>
                <w:sz w:val="21"/>
                <w:szCs w:val="21"/>
                <w:highlight w:val="none"/>
              </w:rPr>
            </w:pPr>
          </w:p>
        </w:tc>
        <w:tc>
          <w:tcPr>
            <w:tcW w:w="922" w:type="dxa"/>
            <w:vMerge w:val="continue"/>
            <w:vAlign w:val="center"/>
          </w:tcPr>
          <w:p>
            <w:pPr>
              <w:spacing w:line="400" w:lineRule="exact"/>
              <w:jc w:val="center"/>
              <w:rPr>
                <w:rFonts w:hAnsi="宋体" w:cs="宋体"/>
                <w:color w:val="auto"/>
                <w:sz w:val="21"/>
                <w:szCs w:val="21"/>
                <w:highlight w:val="none"/>
              </w:rPr>
            </w:pPr>
          </w:p>
        </w:tc>
        <w:tc>
          <w:tcPr>
            <w:tcW w:w="1436" w:type="dxa"/>
            <w:vAlign w:val="center"/>
          </w:tcPr>
          <w:p>
            <w:pPr>
              <w:spacing w:line="400" w:lineRule="exact"/>
              <w:jc w:val="center"/>
              <w:rPr>
                <w:rFonts w:hAnsi="宋体" w:cs="宋体"/>
                <w:color w:val="auto"/>
                <w:sz w:val="21"/>
                <w:szCs w:val="21"/>
                <w:highlight w:val="none"/>
              </w:rPr>
            </w:pPr>
            <w:r>
              <w:rPr>
                <w:rFonts w:hint="eastAsia" w:hAnsi="宋体" w:cs="宋体"/>
                <w:color w:val="auto"/>
                <w:sz w:val="21"/>
                <w:szCs w:val="21"/>
                <w:highlight w:val="none"/>
              </w:rPr>
              <w:t>证书名称</w:t>
            </w:r>
          </w:p>
        </w:tc>
        <w:tc>
          <w:tcPr>
            <w:tcW w:w="1022" w:type="dxa"/>
            <w:vAlign w:val="center"/>
          </w:tcPr>
          <w:p>
            <w:pPr>
              <w:spacing w:line="400" w:lineRule="exact"/>
              <w:jc w:val="center"/>
              <w:rPr>
                <w:rFonts w:hAnsi="宋体" w:cs="宋体"/>
                <w:color w:val="auto"/>
                <w:sz w:val="21"/>
                <w:szCs w:val="21"/>
                <w:highlight w:val="none"/>
              </w:rPr>
            </w:pPr>
            <w:r>
              <w:rPr>
                <w:rFonts w:hint="eastAsia" w:hAnsi="宋体" w:cs="宋体"/>
                <w:color w:val="auto"/>
                <w:sz w:val="21"/>
                <w:szCs w:val="21"/>
                <w:highlight w:val="none"/>
              </w:rPr>
              <w:t>级别</w:t>
            </w:r>
          </w:p>
        </w:tc>
        <w:tc>
          <w:tcPr>
            <w:tcW w:w="1232" w:type="dxa"/>
            <w:vAlign w:val="center"/>
          </w:tcPr>
          <w:p>
            <w:pPr>
              <w:spacing w:line="400" w:lineRule="exact"/>
              <w:jc w:val="center"/>
              <w:rPr>
                <w:rFonts w:hAnsi="宋体" w:cs="宋体"/>
                <w:color w:val="auto"/>
                <w:sz w:val="21"/>
                <w:szCs w:val="21"/>
                <w:highlight w:val="none"/>
              </w:rPr>
            </w:pPr>
            <w:r>
              <w:rPr>
                <w:rFonts w:hint="eastAsia" w:hAnsi="宋体" w:cs="宋体"/>
                <w:color w:val="auto"/>
                <w:sz w:val="21"/>
                <w:szCs w:val="21"/>
                <w:highlight w:val="none"/>
              </w:rPr>
              <w:t>证号</w:t>
            </w:r>
          </w:p>
        </w:tc>
        <w:tc>
          <w:tcPr>
            <w:tcW w:w="1229" w:type="dxa"/>
            <w:vAlign w:val="center"/>
          </w:tcPr>
          <w:p>
            <w:pPr>
              <w:spacing w:line="400" w:lineRule="exact"/>
              <w:jc w:val="center"/>
              <w:rPr>
                <w:rFonts w:hAnsi="宋体" w:cs="宋体"/>
                <w:color w:val="auto"/>
                <w:sz w:val="21"/>
                <w:szCs w:val="21"/>
                <w:highlight w:val="none"/>
              </w:rPr>
            </w:pPr>
            <w:r>
              <w:rPr>
                <w:rFonts w:hint="eastAsia" w:hAnsi="宋体" w:cs="宋体"/>
                <w:color w:val="auto"/>
                <w:sz w:val="21"/>
                <w:szCs w:val="21"/>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348" w:type="dxa"/>
            <w:vMerge w:val="restart"/>
          </w:tcPr>
          <w:p>
            <w:pPr>
              <w:spacing w:line="400" w:lineRule="exact"/>
              <w:jc w:val="center"/>
              <w:rPr>
                <w:rFonts w:hAnsi="宋体" w:cs="宋体"/>
                <w:color w:val="auto"/>
                <w:sz w:val="21"/>
                <w:szCs w:val="21"/>
                <w:highlight w:val="none"/>
              </w:rPr>
            </w:pPr>
            <w:r>
              <w:rPr>
                <w:rFonts w:hint="eastAsia" w:hAnsi="宋体" w:cs="宋体"/>
                <w:color w:val="auto"/>
                <w:sz w:val="21"/>
                <w:szCs w:val="21"/>
                <w:highlight w:val="none"/>
              </w:rPr>
              <w:t>管</w:t>
            </w:r>
          </w:p>
          <w:p>
            <w:pPr>
              <w:spacing w:line="400" w:lineRule="exact"/>
              <w:jc w:val="center"/>
              <w:rPr>
                <w:rFonts w:hAnsi="宋体" w:cs="宋体"/>
                <w:color w:val="auto"/>
                <w:sz w:val="21"/>
                <w:szCs w:val="21"/>
                <w:highlight w:val="none"/>
              </w:rPr>
            </w:pPr>
            <w:r>
              <w:rPr>
                <w:rFonts w:hint="eastAsia" w:hAnsi="宋体" w:cs="宋体"/>
                <w:color w:val="auto"/>
                <w:sz w:val="21"/>
                <w:szCs w:val="21"/>
                <w:highlight w:val="none"/>
              </w:rPr>
              <w:t>理</w:t>
            </w:r>
          </w:p>
          <w:p>
            <w:pPr>
              <w:spacing w:line="400" w:lineRule="exact"/>
              <w:jc w:val="center"/>
              <w:rPr>
                <w:rFonts w:hAnsi="宋体" w:cs="宋体"/>
                <w:color w:val="auto"/>
                <w:sz w:val="21"/>
                <w:szCs w:val="21"/>
                <w:highlight w:val="none"/>
              </w:rPr>
            </w:pPr>
            <w:r>
              <w:rPr>
                <w:rFonts w:hint="eastAsia" w:hAnsi="宋体" w:cs="宋体"/>
                <w:color w:val="auto"/>
                <w:sz w:val="21"/>
                <w:szCs w:val="21"/>
                <w:highlight w:val="none"/>
              </w:rPr>
              <w:t>人</w:t>
            </w:r>
          </w:p>
          <w:p>
            <w:pPr>
              <w:spacing w:line="400" w:lineRule="exact"/>
              <w:jc w:val="center"/>
              <w:rPr>
                <w:rFonts w:hAnsi="宋体" w:cs="宋体"/>
                <w:color w:val="auto"/>
                <w:sz w:val="21"/>
                <w:szCs w:val="21"/>
                <w:highlight w:val="none"/>
              </w:rPr>
            </w:pPr>
            <w:r>
              <w:rPr>
                <w:rFonts w:hint="eastAsia" w:hAnsi="宋体" w:cs="宋体"/>
                <w:color w:val="auto"/>
                <w:sz w:val="21"/>
                <w:szCs w:val="21"/>
                <w:highlight w:val="none"/>
              </w:rPr>
              <w:t>员</w:t>
            </w:r>
          </w:p>
        </w:tc>
        <w:tc>
          <w:tcPr>
            <w:tcW w:w="923" w:type="dxa"/>
          </w:tcPr>
          <w:p>
            <w:pPr>
              <w:spacing w:line="400" w:lineRule="exact"/>
              <w:jc w:val="center"/>
              <w:rPr>
                <w:rFonts w:hAnsi="宋体" w:cs="宋体"/>
                <w:color w:val="auto"/>
                <w:sz w:val="21"/>
                <w:szCs w:val="21"/>
                <w:highlight w:val="none"/>
              </w:rPr>
            </w:pPr>
          </w:p>
        </w:tc>
        <w:tc>
          <w:tcPr>
            <w:tcW w:w="921" w:type="dxa"/>
          </w:tcPr>
          <w:p>
            <w:pPr>
              <w:spacing w:line="400" w:lineRule="exact"/>
              <w:jc w:val="center"/>
              <w:rPr>
                <w:rFonts w:hAnsi="宋体" w:cs="宋体"/>
                <w:color w:val="auto"/>
                <w:sz w:val="21"/>
                <w:szCs w:val="21"/>
                <w:highlight w:val="none"/>
              </w:rPr>
            </w:pPr>
          </w:p>
        </w:tc>
        <w:tc>
          <w:tcPr>
            <w:tcW w:w="923" w:type="dxa"/>
          </w:tcPr>
          <w:p>
            <w:pPr>
              <w:spacing w:line="400" w:lineRule="exact"/>
              <w:jc w:val="center"/>
              <w:rPr>
                <w:rFonts w:hAnsi="宋体" w:cs="宋体"/>
                <w:color w:val="auto"/>
                <w:sz w:val="21"/>
                <w:szCs w:val="21"/>
                <w:highlight w:val="none"/>
              </w:rPr>
            </w:pPr>
          </w:p>
        </w:tc>
        <w:tc>
          <w:tcPr>
            <w:tcW w:w="922" w:type="dxa"/>
          </w:tcPr>
          <w:p>
            <w:pPr>
              <w:spacing w:line="400" w:lineRule="exact"/>
              <w:jc w:val="center"/>
              <w:rPr>
                <w:rFonts w:hAnsi="宋体" w:cs="宋体"/>
                <w:color w:val="auto"/>
                <w:sz w:val="21"/>
                <w:szCs w:val="21"/>
                <w:highlight w:val="none"/>
              </w:rPr>
            </w:pPr>
          </w:p>
        </w:tc>
        <w:tc>
          <w:tcPr>
            <w:tcW w:w="1436" w:type="dxa"/>
          </w:tcPr>
          <w:p>
            <w:pPr>
              <w:spacing w:line="400" w:lineRule="exact"/>
              <w:jc w:val="center"/>
              <w:rPr>
                <w:rFonts w:hAnsi="宋体" w:cs="宋体"/>
                <w:color w:val="auto"/>
                <w:sz w:val="21"/>
                <w:szCs w:val="21"/>
                <w:highlight w:val="none"/>
              </w:rPr>
            </w:pPr>
          </w:p>
        </w:tc>
        <w:tc>
          <w:tcPr>
            <w:tcW w:w="1022" w:type="dxa"/>
          </w:tcPr>
          <w:p>
            <w:pPr>
              <w:spacing w:line="400" w:lineRule="exact"/>
              <w:jc w:val="center"/>
              <w:rPr>
                <w:rFonts w:hAnsi="宋体" w:cs="宋体"/>
                <w:color w:val="auto"/>
                <w:sz w:val="21"/>
                <w:szCs w:val="21"/>
                <w:highlight w:val="none"/>
              </w:rPr>
            </w:pPr>
          </w:p>
        </w:tc>
        <w:tc>
          <w:tcPr>
            <w:tcW w:w="1232" w:type="dxa"/>
          </w:tcPr>
          <w:p>
            <w:pPr>
              <w:spacing w:line="400" w:lineRule="exact"/>
              <w:jc w:val="center"/>
              <w:rPr>
                <w:rFonts w:hAnsi="宋体" w:cs="宋体"/>
                <w:color w:val="auto"/>
                <w:sz w:val="21"/>
                <w:szCs w:val="21"/>
                <w:highlight w:val="none"/>
              </w:rPr>
            </w:pPr>
          </w:p>
        </w:tc>
        <w:tc>
          <w:tcPr>
            <w:tcW w:w="1229" w:type="dxa"/>
          </w:tcPr>
          <w:p>
            <w:pPr>
              <w:spacing w:line="400" w:lineRule="exact"/>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1348" w:type="dxa"/>
            <w:vMerge w:val="continue"/>
          </w:tcPr>
          <w:p>
            <w:pPr>
              <w:spacing w:line="400" w:lineRule="exact"/>
              <w:jc w:val="center"/>
              <w:rPr>
                <w:rFonts w:hAnsi="宋体" w:cs="宋体"/>
                <w:color w:val="auto"/>
                <w:sz w:val="21"/>
                <w:szCs w:val="21"/>
                <w:highlight w:val="none"/>
              </w:rPr>
            </w:pPr>
          </w:p>
        </w:tc>
        <w:tc>
          <w:tcPr>
            <w:tcW w:w="923" w:type="dxa"/>
          </w:tcPr>
          <w:p>
            <w:pPr>
              <w:spacing w:line="400" w:lineRule="exact"/>
              <w:jc w:val="center"/>
              <w:rPr>
                <w:rFonts w:hAnsi="宋体" w:cs="宋体"/>
                <w:color w:val="auto"/>
                <w:sz w:val="21"/>
                <w:szCs w:val="21"/>
                <w:highlight w:val="none"/>
              </w:rPr>
            </w:pPr>
          </w:p>
        </w:tc>
        <w:tc>
          <w:tcPr>
            <w:tcW w:w="921" w:type="dxa"/>
          </w:tcPr>
          <w:p>
            <w:pPr>
              <w:spacing w:line="400" w:lineRule="exact"/>
              <w:jc w:val="center"/>
              <w:rPr>
                <w:rFonts w:hAnsi="宋体" w:cs="宋体"/>
                <w:color w:val="auto"/>
                <w:sz w:val="21"/>
                <w:szCs w:val="21"/>
                <w:highlight w:val="none"/>
              </w:rPr>
            </w:pPr>
          </w:p>
        </w:tc>
        <w:tc>
          <w:tcPr>
            <w:tcW w:w="923" w:type="dxa"/>
          </w:tcPr>
          <w:p>
            <w:pPr>
              <w:spacing w:line="400" w:lineRule="exact"/>
              <w:jc w:val="center"/>
              <w:rPr>
                <w:rFonts w:hAnsi="宋体" w:cs="宋体"/>
                <w:color w:val="auto"/>
                <w:sz w:val="21"/>
                <w:szCs w:val="21"/>
                <w:highlight w:val="none"/>
              </w:rPr>
            </w:pPr>
          </w:p>
        </w:tc>
        <w:tc>
          <w:tcPr>
            <w:tcW w:w="922" w:type="dxa"/>
          </w:tcPr>
          <w:p>
            <w:pPr>
              <w:spacing w:line="400" w:lineRule="exact"/>
              <w:jc w:val="center"/>
              <w:rPr>
                <w:rFonts w:hAnsi="宋体" w:cs="宋体"/>
                <w:color w:val="auto"/>
                <w:sz w:val="21"/>
                <w:szCs w:val="21"/>
                <w:highlight w:val="none"/>
              </w:rPr>
            </w:pPr>
          </w:p>
        </w:tc>
        <w:tc>
          <w:tcPr>
            <w:tcW w:w="1436" w:type="dxa"/>
          </w:tcPr>
          <w:p>
            <w:pPr>
              <w:spacing w:line="400" w:lineRule="exact"/>
              <w:jc w:val="center"/>
              <w:rPr>
                <w:rFonts w:hAnsi="宋体" w:cs="宋体"/>
                <w:color w:val="auto"/>
                <w:sz w:val="21"/>
                <w:szCs w:val="21"/>
                <w:highlight w:val="none"/>
              </w:rPr>
            </w:pPr>
          </w:p>
        </w:tc>
        <w:tc>
          <w:tcPr>
            <w:tcW w:w="1022" w:type="dxa"/>
          </w:tcPr>
          <w:p>
            <w:pPr>
              <w:spacing w:line="400" w:lineRule="exact"/>
              <w:jc w:val="center"/>
              <w:rPr>
                <w:rFonts w:hAnsi="宋体" w:cs="宋体"/>
                <w:color w:val="auto"/>
                <w:sz w:val="21"/>
                <w:szCs w:val="21"/>
                <w:highlight w:val="none"/>
              </w:rPr>
            </w:pPr>
          </w:p>
        </w:tc>
        <w:tc>
          <w:tcPr>
            <w:tcW w:w="1232" w:type="dxa"/>
          </w:tcPr>
          <w:p>
            <w:pPr>
              <w:spacing w:line="400" w:lineRule="exact"/>
              <w:jc w:val="center"/>
              <w:rPr>
                <w:rFonts w:hAnsi="宋体" w:cs="宋体"/>
                <w:color w:val="auto"/>
                <w:sz w:val="21"/>
                <w:szCs w:val="21"/>
                <w:highlight w:val="none"/>
              </w:rPr>
            </w:pPr>
          </w:p>
        </w:tc>
        <w:tc>
          <w:tcPr>
            <w:tcW w:w="1229" w:type="dxa"/>
          </w:tcPr>
          <w:p>
            <w:pPr>
              <w:spacing w:line="400" w:lineRule="exact"/>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348" w:type="dxa"/>
            <w:vMerge w:val="continue"/>
          </w:tcPr>
          <w:p>
            <w:pPr>
              <w:spacing w:line="400" w:lineRule="exact"/>
              <w:jc w:val="center"/>
              <w:rPr>
                <w:rFonts w:hAnsi="宋体" w:cs="宋体"/>
                <w:color w:val="auto"/>
                <w:sz w:val="21"/>
                <w:szCs w:val="21"/>
                <w:highlight w:val="none"/>
              </w:rPr>
            </w:pPr>
          </w:p>
        </w:tc>
        <w:tc>
          <w:tcPr>
            <w:tcW w:w="923" w:type="dxa"/>
          </w:tcPr>
          <w:p>
            <w:pPr>
              <w:spacing w:line="400" w:lineRule="exact"/>
              <w:jc w:val="center"/>
              <w:rPr>
                <w:rFonts w:hAnsi="宋体" w:cs="宋体"/>
                <w:color w:val="auto"/>
                <w:sz w:val="21"/>
                <w:szCs w:val="21"/>
                <w:highlight w:val="none"/>
              </w:rPr>
            </w:pPr>
          </w:p>
        </w:tc>
        <w:tc>
          <w:tcPr>
            <w:tcW w:w="921" w:type="dxa"/>
          </w:tcPr>
          <w:p>
            <w:pPr>
              <w:spacing w:line="400" w:lineRule="exact"/>
              <w:jc w:val="center"/>
              <w:rPr>
                <w:rFonts w:hAnsi="宋体" w:cs="宋体"/>
                <w:color w:val="auto"/>
                <w:sz w:val="21"/>
                <w:szCs w:val="21"/>
                <w:highlight w:val="none"/>
              </w:rPr>
            </w:pPr>
          </w:p>
        </w:tc>
        <w:tc>
          <w:tcPr>
            <w:tcW w:w="923" w:type="dxa"/>
          </w:tcPr>
          <w:p>
            <w:pPr>
              <w:spacing w:line="400" w:lineRule="exact"/>
              <w:jc w:val="center"/>
              <w:rPr>
                <w:rFonts w:hAnsi="宋体" w:cs="宋体"/>
                <w:color w:val="auto"/>
                <w:sz w:val="21"/>
                <w:szCs w:val="21"/>
                <w:highlight w:val="none"/>
              </w:rPr>
            </w:pPr>
          </w:p>
        </w:tc>
        <w:tc>
          <w:tcPr>
            <w:tcW w:w="922" w:type="dxa"/>
          </w:tcPr>
          <w:p>
            <w:pPr>
              <w:spacing w:line="400" w:lineRule="exact"/>
              <w:jc w:val="center"/>
              <w:rPr>
                <w:rFonts w:hAnsi="宋体" w:cs="宋体"/>
                <w:color w:val="auto"/>
                <w:sz w:val="21"/>
                <w:szCs w:val="21"/>
                <w:highlight w:val="none"/>
              </w:rPr>
            </w:pPr>
          </w:p>
        </w:tc>
        <w:tc>
          <w:tcPr>
            <w:tcW w:w="1436" w:type="dxa"/>
          </w:tcPr>
          <w:p>
            <w:pPr>
              <w:spacing w:line="400" w:lineRule="exact"/>
              <w:jc w:val="center"/>
              <w:rPr>
                <w:rFonts w:hAnsi="宋体" w:cs="宋体"/>
                <w:color w:val="auto"/>
                <w:sz w:val="21"/>
                <w:szCs w:val="21"/>
                <w:highlight w:val="none"/>
              </w:rPr>
            </w:pPr>
          </w:p>
        </w:tc>
        <w:tc>
          <w:tcPr>
            <w:tcW w:w="1022" w:type="dxa"/>
          </w:tcPr>
          <w:p>
            <w:pPr>
              <w:spacing w:line="400" w:lineRule="exact"/>
              <w:jc w:val="center"/>
              <w:rPr>
                <w:rFonts w:hAnsi="宋体" w:cs="宋体"/>
                <w:color w:val="auto"/>
                <w:sz w:val="21"/>
                <w:szCs w:val="21"/>
                <w:highlight w:val="none"/>
              </w:rPr>
            </w:pPr>
          </w:p>
        </w:tc>
        <w:tc>
          <w:tcPr>
            <w:tcW w:w="1232" w:type="dxa"/>
          </w:tcPr>
          <w:p>
            <w:pPr>
              <w:spacing w:line="400" w:lineRule="exact"/>
              <w:jc w:val="center"/>
              <w:rPr>
                <w:rFonts w:hAnsi="宋体" w:cs="宋体"/>
                <w:color w:val="auto"/>
                <w:sz w:val="21"/>
                <w:szCs w:val="21"/>
                <w:highlight w:val="none"/>
              </w:rPr>
            </w:pPr>
          </w:p>
        </w:tc>
        <w:tc>
          <w:tcPr>
            <w:tcW w:w="1229" w:type="dxa"/>
          </w:tcPr>
          <w:p>
            <w:pPr>
              <w:spacing w:line="400" w:lineRule="exact"/>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1348" w:type="dxa"/>
            <w:vMerge w:val="restart"/>
          </w:tcPr>
          <w:p>
            <w:pPr>
              <w:spacing w:line="400" w:lineRule="exact"/>
              <w:jc w:val="center"/>
              <w:rPr>
                <w:rFonts w:hAnsi="宋体" w:cs="宋体"/>
                <w:color w:val="auto"/>
                <w:sz w:val="21"/>
                <w:szCs w:val="21"/>
                <w:highlight w:val="none"/>
              </w:rPr>
            </w:pPr>
            <w:r>
              <w:rPr>
                <w:rFonts w:hint="eastAsia" w:hAnsi="宋体" w:cs="宋体"/>
                <w:color w:val="auto"/>
                <w:sz w:val="21"/>
                <w:szCs w:val="21"/>
                <w:highlight w:val="none"/>
              </w:rPr>
              <w:t>技</w:t>
            </w:r>
          </w:p>
          <w:p>
            <w:pPr>
              <w:spacing w:line="400" w:lineRule="exact"/>
              <w:jc w:val="center"/>
              <w:rPr>
                <w:rFonts w:hAnsi="宋体" w:cs="宋体"/>
                <w:color w:val="auto"/>
                <w:sz w:val="21"/>
                <w:szCs w:val="21"/>
                <w:highlight w:val="none"/>
              </w:rPr>
            </w:pPr>
            <w:r>
              <w:rPr>
                <w:rFonts w:hint="eastAsia" w:hAnsi="宋体" w:cs="宋体"/>
                <w:color w:val="auto"/>
                <w:sz w:val="21"/>
                <w:szCs w:val="21"/>
                <w:highlight w:val="none"/>
              </w:rPr>
              <w:t>术</w:t>
            </w:r>
          </w:p>
          <w:p>
            <w:pPr>
              <w:spacing w:line="400" w:lineRule="exact"/>
              <w:jc w:val="center"/>
              <w:rPr>
                <w:rFonts w:hAnsi="宋体" w:cs="宋体"/>
                <w:color w:val="auto"/>
                <w:sz w:val="21"/>
                <w:szCs w:val="21"/>
                <w:highlight w:val="none"/>
              </w:rPr>
            </w:pPr>
            <w:r>
              <w:rPr>
                <w:rFonts w:hint="eastAsia" w:hAnsi="宋体" w:cs="宋体"/>
                <w:color w:val="auto"/>
                <w:sz w:val="21"/>
                <w:szCs w:val="21"/>
                <w:highlight w:val="none"/>
              </w:rPr>
              <w:t>人</w:t>
            </w:r>
          </w:p>
          <w:p>
            <w:pPr>
              <w:spacing w:line="400" w:lineRule="exact"/>
              <w:jc w:val="center"/>
              <w:rPr>
                <w:rFonts w:hAnsi="宋体" w:cs="宋体"/>
                <w:color w:val="auto"/>
                <w:sz w:val="21"/>
                <w:szCs w:val="21"/>
                <w:highlight w:val="none"/>
              </w:rPr>
            </w:pPr>
            <w:r>
              <w:rPr>
                <w:rFonts w:hint="eastAsia" w:hAnsi="宋体" w:cs="宋体"/>
                <w:color w:val="auto"/>
                <w:sz w:val="21"/>
                <w:szCs w:val="21"/>
                <w:highlight w:val="none"/>
              </w:rPr>
              <w:t>员</w:t>
            </w:r>
          </w:p>
        </w:tc>
        <w:tc>
          <w:tcPr>
            <w:tcW w:w="923" w:type="dxa"/>
          </w:tcPr>
          <w:p>
            <w:pPr>
              <w:spacing w:line="400" w:lineRule="exact"/>
              <w:jc w:val="center"/>
              <w:rPr>
                <w:rFonts w:hAnsi="宋体" w:cs="宋体"/>
                <w:color w:val="auto"/>
                <w:sz w:val="21"/>
                <w:szCs w:val="21"/>
                <w:highlight w:val="none"/>
              </w:rPr>
            </w:pPr>
          </w:p>
        </w:tc>
        <w:tc>
          <w:tcPr>
            <w:tcW w:w="921" w:type="dxa"/>
          </w:tcPr>
          <w:p>
            <w:pPr>
              <w:spacing w:line="400" w:lineRule="exact"/>
              <w:jc w:val="center"/>
              <w:rPr>
                <w:rFonts w:hAnsi="宋体" w:cs="宋体"/>
                <w:color w:val="auto"/>
                <w:sz w:val="21"/>
                <w:szCs w:val="21"/>
                <w:highlight w:val="none"/>
              </w:rPr>
            </w:pPr>
          </w:p>
        </w:tc>
        <w:tc>
          <w:tcPr>
            <w:tcW w:w="923" w:type="dxa"/>
          </w:tcPr>
          <w:p>
            <w:pPr>
              <w:spacing w:line="400" w:lineRule="exact"/>
              <w:jc w:val="center"/>
              <w:rPr>
                <w:rFonts w:hAnsi="宋体" w:cs="宋体"/>
                <w:color w:val="auto"/>
                <w:sz w:val="21"/>
                <w:szCs w:val="21"/>
                <w:highlight w:val="none"/>
              </w:rPr>
            </w:pPr>
          </w:p>
        </w:tc>
        <w:tc>
          <w:tcPr>
            <w:tcW w:w="922" w:type="dxa"/>
          </w:tcPr>
          <w:p>
            <w:pPr>
              <w:spacing w:line="400" w:lineRule="exact"/>
              <w:jc w:val="center"/>
              <w:rPr>
                <w:rFonts w:hAnsi="宋体" w:cs="宋体"/>
                <w:color w:val="auto"/>
                <w:sz w:val="21"/>
                <w:szCs w:val="21"/>
                <w:highlight w:val="none"/>
              </w:rPr>
            </w:pPr>
          </w:p>
        </w:tc>
        <w:tc>
          <w:tcPr>
            <w:tcW w:w="1436" w:type="dxa"/>
          </w:tcPr>
          <w:p>
            <w:pPr>
              <w:spacing w:line="400" w:lineRule="exact"/>
              <w:jc w:val="center"/>
              <w:rPr>
                <w:rFonts w:hAnsi="宋体" w:cs="宋体"/>
                <w:color w:val="auto"/>
                <w:sz w:val="21"/>
                <w:szCs w:val="21"/>
                <w:highlight w:val="none"/>
              </w:rPr>
            </w:pPr>
          </w:p>
        </w:tc>
        <w:tc>
          <w:tcPr>
            <w:tcW w:w="1022" w:type="dxa"/>
          </w:tcPr>
          <w:p>
            <w:pPr>
              <w:spacing w:line="400" w:lineRule="exact"/>
              <w:jc w:val="center"/>
              <w:rPr>
                <w:rFonts w:hAnsi="宋体" w:cs="宋体"/>
                <w:color w:val="auto"/>
                <w:sz w:val="21"/>
                <w:szCs w:val="21"/>
                <w:highlight w:val="none"/>
              </w:rPr>
            </w:pPr>
          </w:p>
        </w:tc>
        <w:tc>
          <w:tcPr>
            <w:tcW w:w="1232" w:type="dxa"/>
          </w:tcPr>
          <w:p>
            <w:pPr>
              <w:spacing w:line="400" w:lineRule="exact"/>
              <w:jc w:val="center"/>
              <w:rPr>
                <w:rFonts w:hAnsi="宋体" w:cs="宋体"/>
                <w:color w:val="auto"/>
                <w:sz w:val="21"/>
                <w:szCs w:val="21"/>
                <w:highlight w:val="none"/>
              </w:rPr>
            </w:pPr>
          </w:p>
        </w:tc>
        <w:tc>
          <w:tcPr>
            <w:tcW w:w="1229" w:type="dxa"/>
          </w:tcPr>
          <w:p>
            <w:pPr>
              <w:spacing w:line="400" w:lineRule="exact"/>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1348" w:type="dxa"/>
            <w:vMerge w:val="continue"/>
          </w:tcPr>
          <w:p>
            <w:pPr>
              <w:spacing w:line="400" w:lineRule="exact"/>
              <w:jc w:val="center"/>
              <w:rPr>
                <w:rFonts w:hAnsi="宋体" w:cs="宋体"/>
                <w:color w:val="auto"/>
                <w:sz w:val="21"/>
                <w:szCs w:val="21"/>
                <w:highlight w:val="none"/>
              </w:rPr>
            </w:pPr>
          </w:p>
        </w:tc>
        <w:tc>
          <w:tcPr>
            <w:tcW w:w="923" w:type="dxa"/>
          </w:tcPr>
          <w:p>
            <w:pPr>
              <w:spacing w:line="400" w:lineRule="exact"/>
              <w:jc w:val="center"/>
              <w:rPr>
                <w:rFonts w:hAnsi="宋体" w:cs="宋体"/>
                <w:color w:val="auto"/>
                <w:sz w:val="21"/>
                <w:szCs w:val="21"/>
                <w:highlight w:val="none"/>
              </w:rPr>
            </w:pPr>
          </w:p>
        </w:tc>
        <w:tc>
          <w:tcPr>
            <w:tcW w:w="921" w:type="dxa"/>
          </w:tcPr>
          <w:p>
            <w:pPr>
              <w:spacing w:line="400" w:lineRule="exact"/>
              <w:jc w:val="center"/>
              <w:rPr>
                <w:rFonts w:hAnsi="宋体" w:cs="宋体"/>
                <w:color w:val="auto"/>
                <w:sz w:val="21"/>
                <w:szCs w:val="21"/>
                <w:highlight w:val="none"/>
              </w:rPr>
            </w:pPr>
          </w:p>
        </w:tc>
        <w:tc>
          <w:tcPr>
            <w:tcW w:w="923" w:type="dxa"/>
          </w:tcPr>
          <w:p>
            <w:pPr>
              <w:spacing w:line="400" w:lineRule="exact"/>
              <w:jc w:val="center"/>
              <w:rPr>
                <w:rFonts w:hAnsi="宋体" w:cs="宋体"/>
                <w:color w:val="auto"/>
                <w:sz w:val="21"/>
                <w:szCs w:val="21"/>
                <w:highlight w:val="none"/>
              </w:rPr>
            </w:pPr>
          </w:p>
        </w:tc>
        <w:tc>
          <w:tcPr>
            <w:tcW w:w="922" w:type="dxa"/>
          </w:tcPr>
          <w:p>
            <w:pPr>
              <w:spacing w:line="400" w:lineRule="exact"/>
              <w:jc w:val="center"/>
              <w:rPr>
                <w:rFonts w:hAnsi="宋体" w:cs="宋体"/>
                <w:color w:val="auto"/>
                <w:sz w:val="21"/>
                <w:szCs w:val="21"/>
                <w:highlight w:val="none"/>
              </w:rPr>
            </w:pPr>
          </w:p>
        </w:tc>
        <w:tc>
          <w:tcPr>
            <w:tcW w:w="1436" w:type="dxa"/>
          </w:tcPr>
          <w:p>
            <w:pPr>
              <w:spacing w:line="400" w:lineRule="exact"/>
              <w:jc w:val="center"/>
              <w:rPr>
                <w:rFonts w:hAnsi="宋体" w:cs="宋体"/>
                <w:color w:val="auto"/>
                <w:sz w:val="21"/>
                <w:szCs w:val="21"/>
                <w:highlight w:val="none"/>
              </w:rPr>
            </w:pPr>
          </w:p>
        </w:tc>
        <w:tc>
          <w:tcPr>
            <w:tcW w:w="1022" w:type="dxa"/>
          </w:tcPr>
          <w:p>
            <w:pPr>
              <w:spacing w:line="400" w:lineRule="exact"/>
              <w:jc w:val="center"/>
              <w:rPr>
                <w:rFonts w:hAnsi="宋体" w:cs="宋体"/>
                <w:color w:val="auto"/>
                <w:sz w:val="21"/>
                <w:szCs w:val="21"/>
                <w:highlight w:val="none"/>
              </w:rPr>
            </w:pPr>
          </w:p>
        </w:tc>
        <w:tc>
          <w:tcPr>
            <w:tcW w:w="1232" w:type="dxa"/>
          </w:tcPr>
          <w:p>
            <w:pPr>
              <w:spacing w:line="400" w:lineRule="exact"/>
              <w:jc w:val="center"/>
              <w:rPr>
                <w:rFonts w:hAnsi="宋体" w:cs="宋体"/>
                <w:color w:val="auto"/>
                <w:sz w:val="21"/>
                <w:szCs w:val="21"/>
                <w:highlight w:val="none"/>
              </w:rPr>
            </w:pPr>
          </w:p>
        </w:tc>
        <w:tc>
          <w:tcPr>
            <w:tcW w:w="1229" w:type="dxa"/>
          </w:tcPr>
          <w:p>
            <w:pPr>
              <w:spacing w:line="400" w:lineRule="exact"/>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348" w:type="dxa"/>
            <w:vMerge w:val="continue"/>
          </w:tcPr>
          <w:p>
            <w:pPr>
              <w:spacing w:line="400" w:lineRule="exact"/>
              <w:jc w:val="center"/>
              <w:rPr>
                <w:rFonts w:hAnsi="宋体" w:cs="宋体"/>
                <w:color w:val="auto"/>
                <w:sz w:val="21"/>
                <w:szCs w:val="21"/>
                <w:highlight w:val="none"/>
              </w:rPr>
            </w:pPr>
          </w:p>
        </w:tc>
        <w:tc>
          <w:tcPr>
            <w:tcW w:w="923" w:type="dxa"/>
          </w:tcPr>
          <w:p>
            <w:pPr>
              <w:spacing w:line="400" w:lineRule="exact"/>
              <w:jc w:val="center"/>
              <w:rPr>
                <w:rFonts w:hAnsi="宋体" w:cs="宋体"/>
                <w:color w:val="auto"/>
                <w:sz w:val="21"/>
                <w:szCs w:val="21"/>
                <w:highlight w:val="none"/>
              </w:rPr>
            </w:pPr>
          </w:p>
        </w:tc>
        <w:tc>
          <w:tcPr>
            <w:tcW w:w="921" w:type="dxa"/>
          </w:tcPr>
          <w:p>
            <w:pPr>
              <w:spacing w:line="400" w:lineRule="exact"/>
              <w:jc w:val="center"/>
              <w:rPr>
                <w:rFonts w:hAnsi="宋体" w:cs="宋体"/>
                <w:color w:val="auto"/>
                <w:sz w:val="21"/>
                <w:szCs w:val="21"/>
                <w:highlight w:val="none"/>
              </w:rPr>
            </w:pPr>
          </w:p>
        </w:tc>
        <w:tc>
          <w:tcPr>
            <w:tcW w:w="923" w:type="dxa"/>
          </w:tcPr>
          <w:p>
            <w:pPr>
              <w:spacing w:line="400" w:lineRule="exact"/>
              <w:jc w:val="center"/>
              <w:rPr>
                <w:rFonts w:hAnsi="宋体" w:cs="宋体"/>
                <w:color w:val="auto"/>
                <w:sz w:val="21"/>
                <w:szCs w:val="21"/>
                <w:highlight w:val="none"/>
              </w:rPr>
            </w:pPr>
          </w:p>
        </w:tc>
        <w:tc>
          <w:tcPr>
            <w:tcW w:w="922" w:type="dxa"/>
          </w:tcPr>
          <w:p>
            <w:pPr>
              <w:spacing w:line="400" w:lineRule="exact"/>
              <w:jc w:val="center"/>
              <w:rPr>
                <w:rFonts w:hAnsi="宋体" w:cs="宋体"/>
                <w:color w:val="auto"/>
                <w:sz w:val="21"/>
                <w:szCs w:val="21"/>
                <w:highlight w:val="none"/>
              </w:rPr>
            </w:pPr>
          </w:p>
        </w:tc>
        <w:tc>
          <w:tcPr>
            <w:tcW w:w="1436" w:type="dxa"/>
          </w:tcPr>
          <w:p>
            <w:pPr>
              <w:spacing w:line="400" w:lineRule="exact"/>
              <w:jc w:val="center"/>
              <w:rPr>
                <w:rFonts w:hAnsi="宋体" w:cs="宋体"/>
                <w:color w:val="auto"/>
                <w:sz w:val="21"/>
                <w:szCs w:val="21"/>
                <w:highlight w:val="none"/>
              </w:rPr>
            </w:pPr>
          </w:p>
        </w:tc>
        <w:tc>
          <w:tcPr>
            <w:tcW w:w="1022" w:type="dxa"/>
          </w:tcPr>
          <w:p>
            <w:pPr>
              <w:spacing w:line="400" w:lineRule="exact"/>
              <w:jc w:val="center"/>
              <w:rPr>
                <w:rFonts w:hAnsi="宋体" w:cs="宋体"/>
                <w:color w:val="auto"/>
                <w:sz w:val="21"/>
                <w:szCs w:val="21"/>
                <w:highlight w:val="none"/>
              </w:rPr>
            </w:pPr>
          </w:p>
        </w:tc>
        <w:tc>
          <w:tcPr>
            <w:tcW w:w="1232" w:type="dxa"/>
          </w:tcPr>
          <w:p>
            <w:pPr>
              <w:spacing w:line="400" w:lineRule="exact"/>
              <w:jc w:val="center"/>
              <w:rPr>
                <w:rFonts w:hAnsi="宋体" w:cs="宋体"/>
                <w:color w:val="auto"/>
                <w:sz w:val="21"/>
                <w:szCs w:val="21"/>
                <w:highlight w:val="none"/>
              </w:rPr>
            </w:pPr>
          </w:p>
        </w:tc>
        <w:tc>
          <w:tcPr>
            <w:tcW w:w="1229" w:type="dxa"/>
          </w:tcPr>
          <w:p>
            <w:pPr>
              <w:spacing w:line="400" w:lineRule="exact"/>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348" w:type="dxa"/>
            <w:vMerge w:val="restart"/>
            <w:vAlign w:val="center"/>
          </w:tcPr>
          <w:p>
            <w:pPr>
              <w:spacing w:line="400" w:lineRule="exact"/>
              <w:jc w:val="center"/>
              <w:rPr>
                <w:rFonts w:hAnsi="宋体" w:cs="宋体"/>
                <w:color w:val="auto"/>
                <w:sz w:val="21"/>
                <w:szCs w:val="21"/>
                <w:highlight w:val="none"/>
              </w:rPr>
            </w:pPr>
            <w:r>
              <w:rPr>
                <w:rFonts w:hint="eastAsia" w:hAnsi="宋体" w:cs="宋体"/>
                <w:color w:val="auto"/>
                <w:sz w:val="21"/>
                <w:szCs w:val="21"/>
                <w:highlight w:val="none"/>
              </w:rPr>
              <w:t>售后</w:t>
            </w:r>
          </w:p>
          <w:p>
            <w:pPr>
              <w:spacing w:line="400" w:lineRule="exact"/>
              <w:jc w:val="center"/>
              <w:rPr>
                <w:rFonts w:hAnsi="宋体" w:cs="宋体"/>
                <w:color w:val="auto"/>
                <w:sz w:val="21"/>
                <w:szCs w:val="21"/>
                <w:highlight w:val="none"/>
              </w:rPr>
            </w:pPr>
            <w:r>
              <w:rPr>
                <w:rFonts w:hint="eastAsia" w:hAnsi="宋体" w:cs="宋体"/>
                <w:color w:val="auto"/>
                <w:sz w:val="21"/>
                <w:szCs w:val="21"/>
                <w:highlight w:val="none"/>
              </w:rPr>
              <w:t>服务</w:t>
            </w:r>
          </w:p>
          <w:p>
            <w:pPr>
              <w:spacing w:line="400" w:lineRule="exact"/>
              <w:jc w:val="center"/>
              <w:rPr>
                <w:rFonts w:hAnsi="宋体" w:cs="宋体"/>
                <w:color w:val="auto"/>
                <w:sz w:val="21"/>
                <w:szCs w:val="21"/>
                <w:highlight w:val="none"/>
              </w:rPr>
            </w:pPr>
            <w:r>
              <w:rPr>
                <w:rFonts w:hint="eastAsia" w:hAnsi="宋体" w:cs="宋体"/>
                <w:color w:val="auto"/>
                <w:sz w:val="21"/>
                <w:szCs w:val="21"/>
                <w:highlight w:val="none"/>
              </w:rPr>
              <w:t>人员</w:t>
            </w:r>
          </w:p>
        </w:tc>
        <w:tc>
          <w:tcPr>
            <w:tcW w:w="923" w:type="dxa"/>
          </w:tcPr>
          <w:p>
            <w:pPr>
              <w:spacing w:line="400" w:lineRule="exact"/>
              <w:jc w:val="center"/>
              <w:rPr>
                <w:rFonts w:hAnsi="宋体" w:cs="宋体"/>
                <w:color w:val="auto"/>
                <w:sz w:val="21"/>
                <w:szCs w:val="21"/>
                <w:highlight w:val="none"/>
              </w:rPr>
            </w:pPr>
          </w:p>
        </w:tc>
        <w:tc>
          <w:tcPr>
            <w:tcW w:w="921" w:type="dxa"/>
          </w:tcPr>
          <w:p>
            <w:pPr>
              <w:spacing w:line="400" w:lineRule="exact"/>
              <w:jc w:val="center"/>
              <w:rPr>
                <w:rFonts w:hAnsi="宋体" w:cs="宋体"/>
                <w:color w:val="auto"/>
                <w:sz w:val="21"/>
                <w:szCs w:val="21"/>
                <w:highlight w:val="none"/>
              </w:rPr>
            </w:pPr>
          </w:p>
        </w:tc>
        <w:tc>
          <w:tcPr>
            <w:tcW w:w="923" w:type="dxa"/>
          </w:tcPr>
          <w:p>
            <w:pPr>
              <w:spacing w:line="400" w:lineRule="exact"/>
              <w:jc w:val="center"/>
              <w:rPr>
                <w:rFonts w:hAnsi="宋体" w:cs="宋体"/>
                <w:color w:val="auto"/>
                <w:sz w:val="21"/>
                <w:szCs w:val="21"/>
                <w:highlight w:val="none"/>
              </w:rPr>
            </w:pPr>
          </w:p>
        </w:tc>
        <w:tc>
          <w:tcPr>
            <w:tcW w:w="922" w:type="dxa"/>
          </w:tcPr>
          <w:p>
            <w:pPr>
              <w:spacing w:line="400" w:lineRule="exact"/>
              <w:jc w:val="center"/>
              <w:rPr>
                <w:rFonts w:hAnsi="宋体" w:cs="宋体"/>
                <w:color w:val="auto"/>
                <w:sz w:val="21"/>
                <w:szCs w:val="21"/>
                <w:highlight w:val="none"/>
              </w:rPr>
            </w:pPr>
          </w:p>
        </w:tc>
        <w:tc>
          <w:tcPr>
            <w:tcW w:w="1436" w:type="dxa"/>
          </w:tcPr>
          <w:p>
            <w:pPr>
              <w:spacing w:line="400" w:lineRule="exact"/>
              <w:jc w:val="center"/>
              <w:rPr>
                <w:rFonts w:hAnsi="宋体" w:cs="宋体"/>
                <w:color w:val="auto"/>
                <w:sz w:val="21"/>
                <w:szCs w:val="21"/>
                <w:highlight w:val="none"/>
              </w:rPr>
            </w:pPr>
          </w:p>
        </w:tc>
        <w:tc>
          <w:tcPr>
            <w:tcW w:w="1022" w:type="dxa"/>
          </w:tcPr>
          <w:p>
            <w:pPr>
              <w:spacing w:line="400" w:lineRule="exact"/>
              <w:jc w:val="center"/>
              <w:rPr>
                <w:rFonts w:hAnsi="宋体" w:cs="宋体"/>
                <w:color w:val="auto"/>
                <w:sz w:val="21"/>
                <w:szCs w:val="21"/>
                <w:highlight w:val="none"/>
              </w:rPr>
            </w:pPr>
          </w:p>
        </w:tc>
        <w:tc>
          <w:tcPr>
            <w:tcW w:w="1232" w:type="dxa"/>
          </w:tcPr>
          <w:p>
            <w:pPr>
              <w:spacing w:line="400" w:lineRule="exact"/>
              <w:jc w:val="center"/>
              <w:rPr>
                <w:rFonts w:hAnsi="宋体" w:cs="宋体"/>
                <w:color w:val="auto"/>
                <w:sz w:val="21"/>
                <w:szCs w:val="21"/>
                <w:highlight w:val="none"/>
              </w:rPr>
            </w:pPr>
          </w:p>
        </w:tc>
        <w:tc>
          <w:tcPr>
            <w:tcW w:w="1229" w:type="dxa"/>
          </w:tcPr>
          <w:p>
            <w:pPr>
              <w:spacing w:line="400" w:lineRule="exact"/>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348" w:type="dxa"/>
            <w:vMerge w:val="continue"/>
          </w:tcPr>
          <w:p>
            <w:pPr>
              <w:spacing w:line="400" w:lineRule="exact"/>
              <w:jc w:val="center"/>
              <w:rPr>
                <w:rFonts w:hAnsi="宋体" w:cs="宋体"/>
                <w:color w:val="auto"/>
                <w:sz w:val="21"/>
                <w:szCs w:val="21"/>
                <w:highlight w:val="none"/>
              </w:rPr>
            </w:pPr>
          </w:p>
        </w:tc>
        <w:tc>
          <w:tcPr>
            <w:tcW w:w="923" w:type="dxa"/>
          </w:tcPr>
          <w:p>
            <w:pPr>
              <w:spacing w:line="400" w:lineRule="exact"/>
              <w:jc w:val="center"/>
              <w:rPr>
                <w:rFonts w:hAnsi="宋体" w:cs="宋体"/>
                <w:color w:val="auto"/>
                <w:sz w:val="21"/>
                <w:szCs w:val="21"/>
                <w:highlight w:val="none"/>
              </w:rPr>
            </w:pPr>
          </w:p>
        </w:tc>
        <w:tc>
          <w:tcPr>
            <w:tcW w:w="921" w:type="dxa"/>
          </w:tcPr>
          <w:p>
            <w:pPr>
              <w:spacing w:line="400" w:lineRule="exact"/>
              <w:jc w:val="center"/>
              <w:rPr>
                <w:rFonts w:hAnsi="宋体" w:cs="宋体"/>
                <w:bCs/>
                <w:color w:val="auto"/>
                <w:sz w:val="21"/>
                <w:szCs w:val="21"/>
                <w:highlight w:val="none"/>
              </w:rPr>
            </w:pPr>
          </w:p>
        </w:tc>
        <w:tc>
          <w:tcPr>
            <w:tcW w:w="923" w:type="dxa"/>
          </w:tcPr>
          <w:p>
            <w:pPr>
              <w:spacing w:line="400" w:lineRule="exact"/>
              <w:jc w:val="center"/>
              <w:rPr>
                <w:rFonts w:hAnsi="宋体" w:cs="宋体"/>
                <w:bCs/>
                <w:color w:val="auto"/>
                <w:sz w:val="21"/>
                <w:szCs w:val="21"/>
                <w:highlight w:val="none"/>
              </w:rPr>
            </w:pPr>
          </w:p>
        </w:tc>
        <w:tc>
          <w:tcPr>
            <w:tcW w:w="922" w:type="dxa"/>
          </w:tcPr>
          <w:p>
            <w:pPr>
              <w:spacing w:line="400" w:lineRule="exact"/>
              <w:jc w:val="center"/>
              <w:rPr>
                <w:rFonts w:hAnsi="宋体" w:cs="宋体"/>
                <w:bCs/>
                <w:color w:val="auto"/>
                <w:sz w:val="21"/>
                <w:szCs w:val="21"/>
                <w:highlight w:val="none"/>
              </w:rPr>
            </w:pPr>
          </w:p>
        </w:tc>
        <w:tc>
          <w:tcPr>
            <w:tcW w:w="1436" w:type="dxa"/>
          </w:tcPr>
          <w:p>
            <w:pPr>
              <w:spacing w:line="400" w:lineRule="exact"/>
              <w:jc w:val="center"/>
              <w:rPr>
                <w:rFonts w:hAnsi="宋体" w:cs="宋体"/>
                <w:bCs/>
                <w:color w:val="auto"/>
                <w:sz w:val="21"/>
                <w:szCs w:val="21"/>
                <w:highlight w:val="none"/>
              </w:rPr>
            </w:pPr>
          </w:p>
        </w:tc>
        <w:tc>
          <w:tcPr>
            <w:tcW w:w="1022" w:type="dxa"/>
          </w:tcPr>
          <w:p>
            <w:pPr>
              <w:spacing w:line="400" w:lineRule="exact"/>
              <w:jc w:val="center"/>
              <w:rPr>
                <w:rFonts w:hAnsi="宋体" w:cs="宋体"/>
                <w:bCs/>
                <w:color w:val="auto"/>
                <w:sz w:val="21"/>
                <w:szCs w:val="21"/>
                <w:highlight w:val="none"/>
              </w:rPr>
            </w:pPr>
          </w:p>
        </w:tc>
        <w:tc>
          <w:tcPr>
            <w:tcW w:w="1232" w:type="dxa"/>
          </w:tcPr>
          <w:p>
            <w:pPr>
              <w:spacing w:line="400" w:lineRule="exact"/>
              <w:jc w:val="center"/>
              <w:rPr>
                <w:rFonts w:hAnsi="宋体" w:cs="宋体"/>
                <w:bCs/>
                <w:color w:val="auto"/>
                <w:sz w:val="21"/>
                <w:szCs w:val="21"/>
                <w:highlight w:val="none"/>
              </w:rPr>
            </w:pPr>
          </w:p>
        </w:tc>
        <w:tc>
          <w:tcPr>
            <w:tcW w:w="1229" w:type="dxa"/>
          </w:tcPr>
          <w:p>
            <w:pPr>
              <w:spacing w:line="400" w:lineRule="exact"/>
              <w:jc w:val="center"/>
              <w:rPr>
                <w:rFonts w:hAnsi="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1348" w:type="dxa"/>
            <w:vMerge w:val="continue"/>
          </w:tcPr>
          <w:p>
            <w:pPr>
              <w:spacing w:line="400" w:lineRule="exact"/>
              <w:jc w:val="center"/>
              <w:rPr>
                <w:rFonts w:hAnsi="宋体" w:cs="宋体"/>
                <w:color w:val="auto"/>
                <w:sz w:val="21"/>
                <w:szCs w:val="21"/>
                <w:highlight w:val="none"/>
              </w:rPr>
            </w:pPr>
          </w:p>
        </w:tc>
        <w:tc>
          <w:tcPr>
            <w:tcW w:w="923" w:type="dxa"/>
          </w:tcPr>
          <w:p>
            <w:pPr>
              <w:spacing w:line="400" w:lineRule="exact"/>
              <w:jc w:val="center"/>
              <w:rPr>
                <w:rFonts w:hAnsi="宋体" w:cs="宋体"/>
                <w:color w:val="auto"/>
                <w:sz w:val="21"/>
                <w:szCs w:val="21"/>
                <w:highlight w:val="none"/>
              </w:rPr>
            </w:pPr>
          </w:p>
        </w:tc>
        <w:tc>
          <w:tcPr>
            <w:tcW w:w="921" w:type="dxa"/>
          </w:tcPr>
          <w:p>
            <w:pPr>
              <w:spacing w:line="400" w:lineRule="exact"/>
              <w:jc w:val="center"/>
              <w:rPr>
                <w:rFonts w:hAnsi="宋体" w:cs="宋体"/>
                <w:bCs/>
                <w:color w:val="auto"/>
                <w:sz w:val="21"/>
                <w:szCs w:val="21"/>
                <w:highlight w:val="none"/>
              </w:rPr>
            </w:pPr>
          </w:p>
        </w:tc>
        <w:tc>
          <w:tcPr>
            <w:tcW w:w="923" w:type="dxa"/>
          </w:tcPr>
          <w:p>
            <w:pPr>
              <w:spacing w:line="400" w:lineRule="exact"/>
              <w:jc w:val="center"/>
              <w:rPr>
                <w:rFonts w:hAnsi="宋体" w:cs="宋体"/>
                <w:bCs/>
                <w:color w:val="auto"/>
                <w:sz w:val="21"/>
                <w:szCs w:val="21"/>
                <w:highlight w:val="none"/>
              </w:rPr>
            </w:pPr>
          </w:p>
        </w:tc>
        <w:tc>
          <w:tcPr>
            <w:tcW w:w="922" w:type="dxa"/>
          </w:tcPr>
          <w:p>
            <w:pPr>
              <w:spacing w:line="400" w:lineRule="exact"/>
              <w:jc w:val="center"/>
              <w:rPr>
                <w:rFonts w:hAnsi="宋体" w:cs="宋体"/>
                <w:bCs/>
                <w:color w:val="auto"/>
                <w:sz w:val="21"/>
                <w:szCs w:val="21"/>
                <w:highlight w:val="none"/>
              </w:rPr>
            </w:pPr>
          </w:p>
        </w:tc>
        <w:tc>
          <w:tcPr>
            <w:tcW w:w="1436" w:type="dxa"/>
          </w:tcPr>
          <w:p>
            <w:pPr>
              <w:spacing w:line="400" w:lineRule="exact"/>
              <w:jc w:val="center"/>
              <w:rPr>
                <w:rFonts w:hAnsi="宋体" w:cs="宋体"/>
                <w:bCs/>
                <w:color w:val="auto"/>
                <w:sz w:val="21"/>
                <w:szCs w:val="21"/>
                <w:highlight w:val="none"/>
              </w:rPr>
            </w:pPr>
          </w:p>
        </w:tc>
        <w:tc>
          <w:tcPr>
            <w:tcW w:w="1022" w:type="dxa"/>
          </w:tcPr>
          <w:p>
            <w:pPr>
              <w:spacing w:line="400" w:lineRule="exact"/>
              <w:jc w:val="center"/>
              <w:rPr>
                <w:rFonts w:hAnsi="宋体" w:cs="宋体"/>
                <w:bCs/>
                <w:color w:val="auto"/>
                <w:sz w:val="21"/>
                <w:szCs w:val="21"/>
                <w:highlight w:val="none"/>
              </w:rPr>
            </w:pPr>
          </w:p>
        </w:tc>
        <w:tc>
          <w:tcPr>
            <w:tcW w:w="1232" w:type="dxa"/>
          </w:tcPr>
          <w:p>
            <w:pPr>
              <w:spacing w:line="400" w:lineRule="exact"/>
              <w:jc w:val="center"/>
              <w:rPr>
                <w:rFonts w:hAnsi="宋体" w:cs="宋体"/>
                <w:bCs/>
                <w:color w:val="auto"/>
                <w:sz w:val="21"/>
                <w:szCs w:val="21"/>
                <w:highlight w:val="none"/>
              </w:rPr>
            </w:pPr>
          </w:p>
        </w:tc>
        <w:tc>
          <w:tcPr>
            <w:tcW w:w="1229" w:type="dxa"/>
          </w:tcPr>
          <w:p>
            <w:pPr>
              <w:spacing w:line="400" w:lineRule="exact"/>
              <w:jc w:val="center"/>
              <w:rPr>
                <w:rFonts w:hAnsi="宋体" w:cs="宋体"/>
                <w:bCs/>
                <w:color w:val="auto"/>
                <w:sz w:val="21"/>
                <w:szCs w:val="21"/>
                <w:highlight w:val="none"/>
              </w:rPr>
            </w:pPr>
          </w:p>
        </w:tc>
      </w:tr>
    </w:tbl>
    <w:p>
      <w:pPr>
        <w:adjustRightInd w:val="0"/>
        <w:spacing w:line="400" w:lineRule="exact"/>
        <w:ind w:firstLine="482" w:firstLineChars="200"/>
        <w:jc w:val="left"/>
        <w:rPr>
          <w:rFonts w:hAnsi="宋体" w:cs="宋体"/>
          <w:b/>
          <w:color w:val="auto"/>
          <w:kern w:val="2"/>
          <w:sz w:val="24"/>
          <w:szCs w:val="24"/>
          <w:highlight w:val="none"/>
        </w:rPr>
      </w:pPr>
      <w:r>
        <w:rPr>
          <w:rFonts w:hint="eastAsia" w:hAnsi="宋体" w:cs="宋体"/>
          <w:b/>
          <w:color w:val="auto"/>
          <w:sz w:val="24"/>
          <w:szCs w:val="24"/>
          <w:highlight w:val="none"/>
        </w:rPr>
        <w:t>注：</w:t>
      </w:r>
      <w:r>
        <w:rPr>
          <w:rFonts w:hint="eastAsia" w:hAnsi="宋体" w:cs="宋体"/>
          <w:b/>
          <w:color w:val="auto"/>
          <w:kern w:val="2"/>
          <w:sz w:val="24"/>
          <w:szCs w:val="24"/>
          <w:highlight w:val="none"/>
        </w:rPr>
        <w:t>投标人根据自身实际情况填写，对不涉及的内容可填写“/”。</w:t>
      </w:r>
    </w:p>
    <w:p>
      <w:pPr>
        <w:spacing w:line="400" w:lineRule="exact"/>
        <w:rPr>
          <w:rFonts w:hAnsi="宋体" w:cs="宋体"/>
          <w:bCs/>
          <w:color w:val="auto"/>
          <w:sz w:val="24"/>
          <w:szCs w:val="24"/>
          <w:highlight w:val="none"/>
        </w:rPr>
      </w:pPr>
    </w:p>
    <w:p>
      <w:pPr>
        <w:spacing w:line="400" w:lineRule="exact"/>
        <w:jc w:val="center"/>
        <w:rPr>
          <w:rFonts w:hAnsi="宋体" w:cs="宋体"/>
          <w:bCs/>
          <w:color w:val="auto"/>
          <w:sz w:val="24"/>
          <w:szCs w:val="24"/>
          <w:highlight w:val="none"/>
        </w:rPr>
      </w:pPr>
    </w:p>
    <w:p>
      <w:pPr>
        <w:adjustRightInd w:val="0"/>
        <w:spacing w:line="40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投标人名称：(盖章)</w:t>
      </w:r>
    </w:p>
    <w:p>
      <w:pPr>
        <w:spacing w:line="400" w:lineRule="exact"/>
        <w:ind w:firstLine="480" w:firstLineChars="200"/>
        <w:rPr>
          <w:rFonts w:hAnsi="宋体" w:cs="宋体"/>
          <w:color w:val="auto"/>
          <w:sz w:val="24"/>
          <w:highlight w:val="none"/>
        </w:rPr>
      </w:pPr>
      <w:r>
        <w:rPr>
          <w:rFonts w:hint="eastAsia" w:hAnsi="宋体" w:cs="宋体"/>
          <w:bCs/>
          <w:color w:val="auto"/>
          <w:sz w:val="24"/>
          <w:szCs w:val="24"/>
          <w:highlight w:val="none"/>
        </w:rPr>
        <w:t>日期:</w:t>
      </w:r>
    </w:p>
    <w:p>
      <w:pPr>
        <w:keepNext/>
        <w:keepLines/>
        <w:spacing w:before="240" w:beforeLines="100" w:after="240" w:afterLines="100"/>
        <w:rPr>
          <w:rFonts w:hAnsi="宋体" w:cs="宋体"/>
          <w:color w:val="auto"/>
          <w:szCs w:val="28"/>
          <w:highlight w:val="none"/>
        </w:rPr>
      </w:pPr>
      <w:r>
        <w:rPr>
          <w:rFonts w:hint="eastAsia" w:hAnsi="宋体" w:cs="宋体"/>
          <w:color w:val="auto"/>
          <w:szCs w:val="28"/>
          <w:highlight w:val="none"/>
        </w:rPr>
        <w:br w:type="page"/>
      </w:r>
      <w:bookmarkEnd w:id="849"/>
    </w:p>
    <w:p>
      <w:pPr>
        <w:pStyle w:val="5"/>
        <w:spacing w:before="240" w:beforeLines="100" w:after="240" w:afterLines="100" w:line="240" w:lineRule="auto"/>
        <w:jc w:val="center"/>
        <w:rPr>
          <w:rFonts w:ascii="宋体" w:hAnsi="宋体" w:eastAsia="宋体" w:cs="宋体"/>
          <w:color w:val="auto"/>
          <w:szCs w:val="28"/>
          <w:highlight w:val="none"/>
        </w:rPr>
      </w:pPr>
      <w:bookmarkStart w:id="850" w:name="_Toc2450"/>
      <w:bookmarkStart w:id="851" w:name="_Toc22215"/>
      <w:bookmarkStart w:id="852" w:name="_Toc122"/>
      <w:r>
        <w:rPr>
          <w:rFonts w:hint="eastAsia" w:ascii="宋体" w:hAnsi="宋体" w:eastAsia="宋体" w:cs="宋体"/>
          <w:color w:val="auto"/>
          <w:szCs w:val="28"/>
          <w:highlight w:val="none"/>
        </w:rPr>
        <w:t>（九）中小企业声明函(如涉及</w:t>
      </w:r>
      <w:bookmarkEnd w:id="850"/>
      <w:r>
        <w:rPr>
          <w:rFonts w:hint="eastAsia" w:ascii="宋体" w:hAnsi="宋体" w:eastAsia="宋体" w:cs="宋体"/>
          <w:color w:val="auto"/>
          <w:szCs w:val="28"/>
          <w:highlight w:val="none"/>
        </w:rPr>
        <w:t>)</w:t>
      </w:r>
      <w:bookmarkEnd w:id="851"/>
      <w:bookmarkEnd w:id="852"/>
    </w:p>
    <w:p>
      <w:pPr>
        <w:pStyle w:val="88"/>
        <w:keepNext w:val="0"/>
        <w:keepLines w:val="0"/>
        <w:spacing w:before="0" w:after="0" w:line="360" w:lineRule="auto"/>
        <w:ind w:firstLine="482"/>
        <w:outlineLvl w:val="9"/>
        <w:rPr>
          <w:rFonts w:hAnsi="宋体" w:eastAsia="宋体" w:cs="宋体"/>
          <w:color w:val="auto"/>
          <w:spacing w:val="6"/>
          <w:szCs w:val="24"/>
          <w:highlight w:val="none"/>
        </w:rPr>
      </w:pPr>
      <w:bookmarkStart w:id="853" w:name="_Toc8055"/>
      <w:bookmarkStart w:id="854" w:name="_Toc417911732"/>
      <w:bookmarkStart w:id="855" w:name="_Toc387658050"/>
      <w:bookmarkStart w:id="856" w:name="_Toc419811733"/>
      <w:bookmarkStart w:id="857" w:name="_Toc387147344"/>
      <w:bookmarkStart w:id="858" w:name="_Toc413748654"/>
      <w:r>
        <w:rPr>
          <w:rFonts w:hint="eastAsia" w:hAnsi="宋体" w:eastAsia="宋体" w:cs="宋体"/>
          <w:color w:val="auto"/>
          <w:spacing w:val="6"/>
          <w:szCs w:val="24"/>
          <w:highlight w:val="none"/>
        </w:rPr>
        <w:t>本公司郑重声明，根据《政府采购促进中小企业发展管理办法》（财库﹝2020﹞46 号）的规定，本公司参加</w:t>
      </w:r>
      <w:r>
        <w:rPr>
          <w:rFonts w:hint="eastAsia" w:hAnsi="宋体" w:eastAsia="宋体" w:cs="宋体"/>
          <w:color w:val="auto"/>
          <w:spacing w:val="6"/>
          <w:szCs w:val="24"/>
          <w:highlight w:val="none"/>
          <w:u w:val="single"/>
        </w:rPr>
        <w:t xml:space="preserve">              </w:t>
      </w:r>
      <w:r>
        <w:rPr>
          <w:rFonts w:hint="eastAsia" w:hAnsi="宋体" w:eastAsia="宋体" w:cs="宋体"/>
          <w:color w:val="auto"/>
          <w:spacing w:val="6"/>
          <w:szCs w:val="24"/>
          <w:highlight w:val="none"/>
        </w:rPr>
        <w:t>（单位名称）的</w:t>
      </w:r>
      <w:r>
        <w:rPr>
          <w:rFonts w:hint="eastAsia" w:hAnsi="宋体" w:eastAsia="宋体" w:cs="宋体"/>
          <w:color w:val="auto"/>
          <w:spacing w:val="6"/>
          <w:szCs w:val="24"/>
          <w:highlight w:val="none"/>
          <w:u w:val="single"/>
        </w:rPr>
        <w:t xml:space="preserve">                    </w:t>
      </w:r>
      <w:r>
        <w:rPr>
          <w:rFonts w:hint="eastAsia" w:hAnsi="宋体" w:eastAsia="宋体" w:cs="宋体"/>
          <w:color w:val="auto"/>
          <w:spacing w:val="6"/>
          <w:szCs w:val="24"/>
          <w:highlight w:val="none"/>
        </w:rPr>
        <w:t xml:space="preserve">（项目名称）采购活动，提供的货物全部由符合政策要求的中小企业制造。相关企业的具体情况如下： </w:t>
      </w:r>
    </w:p>
    <w:p>
      <w:pPr>
        <w:pStyle w:val="88"/>
        <w:keepNext w:val="0"/>
        <w:keepLines w:val="0"/>
        <w:numPr>
          <w:ilvl w:val="0"/>
          <w:numId w:val="11"/>
        </w:numPr>
        <w:spacing w:before="0" w:after="0" w:line="360" w:lineRule="auto"/>
        <w:ind w:firstLine="482"/>
        <w:outlineLvl w:val="9"/>
        <w:rPr>
          <w:rFonts w:hAnsi="宋体" w:eastAsia="宋体" w:cs="宋体"/>
          <w:color w:val="auto"/>
          <w:spacing w:val="6"/>
          <w:szCs w:val="24"/>
          <w:highlight w:val="none"/>
        </w:rPr>
      </w:pPr>
      <w:r>
        <w:rPr>
          <w:rFonts w:hint="eastAsia" w:hAnsi="宋体" w:eastAsia="宋体" w:cs="宋体"/>
          <w:color w:val="auto"/>
          <w:spacing w:val="6"/>
          <w:szCs w:val="24"/>
          <w:highlight w:val="none"/>
          <w:u w:val="single"/>
        </w:rPr>
        <w:t xml:space="preserve">        </w:t>
      </w:r>
      <w:r>
        <w:rPr>
          <w:rFonts w:hint="eastAsia" w:hAnsi="宋体" w:eastAsia="宋体" w:cs="宋体"/>
          <w:color w:val="auto"/>
          <w:spacing w:val="6"/>
          <w:szCs w:val="24"/>
          <w:highlight w:val="none"/>
        </w:rPr>
        <w:t xml:space="preserve">（标的名称） ，属于 </w:t>
      </w:r>
      <w:r>
        <w:rPr>
          <w:rFonts w:hint="eastAsia" w:hAnsi="宋体" w:eastAsia="宋体" w:cs="宋体"/>
          <w:color w:val="auto"/>
          <w:spacing w:val="6"/>
          <w:szCs w:val="24"/>
          <w:highlight w:val="none"/>
          <w:u w:val="single"/>
        </w:rPr>
        <w:t xml:space="preserve">   （采购文件中明确的所属行业） </w:t>
      </w:r>
      <w:r>
        <w:rPr>
          <w:rFonts w:hint="eastAsia" w:hAnsi="宋体" w:eastAsia="宋体" w:cs="宋体"/>
          <w:color w:val="auto"/>
          <w:spacing w:val="6"/>
          <w:szCs w:val="24"/>
          <w:highlight w:val="none"/>
        </w:rPr>
        <w:t>行业；制造商为</w:t>
      </w:r>
      <w:r>
        <w:rPr>
          <w:rFonts w:hint="eastAsia" w:hAnsi="宋体" w:eastAsia="宋体" w:cs="宋体"/>
          <w:color w:val="auto"/>
          <w:spacing w:val="6"/>
          <w:szCs w:val="24"/>
          <w:highlight w:val="none"/>
          <w:u w:val="single"/>
        </w:rPr>
        <w:t xml:space="preserve">                   </w:t>
      </w:r>
      <w:r>
        <w:rPr>
          <w:rFonts w:hint="eastAsia" w:hAnsi="宋体" w:eastAsia="宋体" w:cs="宋体"/>
          <w:color w:val="auto"/>
          <w:spacing w:val="6"/>
          <w:szCs w:val="24"/>
          <w:highlight w:val="none"/>
        </w:rPr>
        <w:t>（企业名称），从业人员</w:t>
      </w:r>
      <w:r>
        <w:rPr>
          <w:rFonts w:hint="eastAsia" w:hAnsi="宋体" w:eastAsia="宋体" w:cs="宋体"/>
          <w:color w:val="auto"/>
          <w:spacing w:val="6"/>
          <w:szCs w:val="24"/>
          <w:highlight w:val="none"/>
          <w:u w:val="single"/>
        </w:rPr>
        <w:t xml:space="preserve">       </w:t>
      </w:r>
      <w:r>
        <w:rPr>
          <w:rFonts w:hint="eastAsia" w:hAnsi="宋体" w:eastAsia="宋体" w:cs="宋体"/>
          <w:color w:val="auto"/>
          <w:spacing w:val="6"/>
          <w:szCs w:val="24"/>
          <w:highlight w:val="none"/>
        </w:rPr>
        <w:t>人，营业收入为</w:t>
      </w:r>
      <w:r>
        <w:rPr>
          <w:rFonts w:hint="eastAsia" w:hAnsi="宋体" w:eastAsia="宋体" w:cs="宋体"/>
          <w:color w:val="auto"/>
          <w:spacing w:val="6"/>
          <w:szCs w:val="24"/>
          <w:highlight w:val="none"/>
          <w:u w:val="single"/>
        </w:rPr>
        <w:t xml:space="preserve">          </w:t>
      </w:r>
      <w:r>
        <w:rPr>
          <w:rFonts w:hint="eastAsia" w:hAnsi="宋体" w:eastAsia="宋体" w:cs="宋体"/>
          <w:color w:val="auto"/>
          <w:spacing w:val="6"/>
          <w:szCs w:val="24"/>
          <w:highlight w:val="none"/>
        </w:rPr>
        <w:t xml:space="preserve">万元，资产总额为 </w:t>
      </w:r>
      <w:r>
        <w:rPr>
          <w:rFonts w:hint="eastAsia" w:hAnsi="宋体" w:eastAsia="宋体" w:cs="宋体"/>
          <w:color w:val="auto"/>
          <w:spacing w:val="6"/>
          <w:szCs w:val="24"/>
          <w:highlight w:val="none"/>
          <w:u w:val="single"/>
        </w:rPr>
        <w:t xml:space="preserve">         </w:t>
      </w:r>
      <w:r>
        <w:rPr>
          <w:rFonts w:hint="eastAsia" w:hAnsi="宋体" w:eastAsia="宋体" w:cs="宋体"/>
          <w:color w:val="auto"/>
          <w:spacing w:val="6"/>
          <w:szCs w:val="24"/>
          <w:highlight w:val="none"/>
        </w:rPr>
        <w:t>万元，属于</w:t>
      </w:r>
      <w:r>
        <w:rPr>
          <w:rFonts w:hint="eastAsia" w:hAnsi="宋体" w:eastAsia="宋体" w:cs="宋体"/>
          <w:color w:val="auto"/>
          <w:spacing w:val="6"/>
          <w:szCs w:val="24"/>
          <w:highlight w:val="none"/>
          <w:u w:val="single"/>
        </w:rPr>
        <w:t xml:space="preserve">     </w:t>
      </w:r>
      <w:r>
        <w:rPr>
          <w:rFonts w:hint="eastAsia" w:hAnsi="宋体" w:eastAsia="宋体" w:cs="宋体"/>
          <w:color w:val="auto"/>
          <w:spacing w:val="6"/>
          <w:szCs w:val="24"/>
          <w:highlight w:val="none"/>
        </w:rPr>
        <w:t>（中型企业、小型企业、微型企业）；</w:t>
      </w:r>
    </w:p>
    <w:p>
      <w:pPr>
        <w:pStyle w:val="88"/>
        <w:keepNext w:val="0"/>
        <w:keepLines w:val="0"/>
        <w:numPr>
          <w:ilvl w:val="0"/>
          <w:numId w:val="11"/>
        </w:numPr>
        <w:spacing w:before="0" w:after="0" w:line="360" w:lineRule="auto"/>
        <w:ind w:firstLine="482"/>
        <w:outlineLvl w:val="9"/>
        <w:rPr>
          <w:rFonts w:hAnsi="宋体" w:eastAsia="宋体" w:cs="宋体"/>
          <w:color w:val="auto"/>
          <w:spacing w:val="6"/>
          <w:szCs w:val="24"/>
          <w:highlight w:val="none"/>
        </w:rPr>
      </w:pPr>
      <w:r>
        <w:rPr>
          <w:rFonts w:hint="eastAsia" w:hAnsi="宋体" w:eastAsia="宋体" w:cs="宋体"/>
          <w:color w:val="auto"/>
          <w:spacing w:val="6"/>
          <w:szCs w:val="24"/>
          <w:highlight w:val="none"/>
          <w:u w:val="single"/>
        </w:rPr>
        <w:t xml:space="preserve">        </w:t>
      </w:r>
      <w:r>
        <w:rPr>
          <w:rFonts w:hint="eastAsia" w:hAnsi="宋体" w:eastAsia="宋体" w:cs="宋体"/>
          <w:color w:val="auto"/>
          <w:spacing w:val="6"/>
          <w:szCs w:val="24"/>
          <w:highlight w:val="none"/>
        </w:rPr>
        <w:t xml:space="preserve">（标的名称） ，属于 </w:t>
      </w:r>
      <w:r>
        <w:rPr>
          <w:rFonts w:hint="eastAsia" w:hAnsi="宋体" w:eastAsia="宋体" w:cs="宋体"/>
          <w:color w:val="auto"/>
          <w:spacing w:val="6"/>
          <w:szCs w:val="24"/>
          <w:highlight w:val="none"/>
          <w:u w:val="single"/>
        </w:rPr>
        <w:t xml:space="preserve">   （采购文件中明确的所属行业） </w:t>
      </w:r>
      <w:r>
        <w:rPr>
          <w:rFonts w:hint="eastAsia" w:hAnsi="宋体" w:eastAsia="宋体" w:cs="宋体"/>
          <w:color w:val="auto"/>
          <w:spacing w:val="6"/>
          <w:szCs w:val="24"/>
          <w:highlight w:val="none"/>
        </w:rPr>
        <w:t>行业；制造商为</w:t>
      </w:r>
      <w:r>
        <w:rPr>
          <w:rFonts w:hint="eastAsia" w:hAnsi="宋体" w:eastAsia="宋体" w:cs="宋体"/>
          <w:color w:val="auto"/>
          <w:spacing w:val="6"/>
          <w:szCs w:val="24"/>
          <w:highlight w:val="none"/>
          <w:u w:val="single"/>
        </w:rPr>
        <w:t xml:space="preserve">                   </w:t>
      </w:r>
      <w:r>
        <w:rPr>
          <w:rFonts w:hint="eastAsia" w:hAnsi="宋体" w:eastAsia="宋体" w:cs="宋体"/>
          <w:color w:val="auto"/>
          <w:spacing w:val="6"/>
          <w:szCs w:val="24"/>
          <w:highlight w:val="none"/>
        </w:rPr>
        <w:t>（企业名称），从业人员</w:t>
      </w:r>
      <w:r>
        <w:rPr>
          <w:rFonts w:hint="eastAsia" w:hAnsi="宋体" w:eastAsia="宋体" w:cs="宋体"/>
          <w:color w:val="auto"/>
          <w:spacing w:val="6"/>
          <w:szCs w:val="24"/>
          <w:highlight w:val="none"/>
          <w:u w:val="single"/>
        </w:rPr>
        <w:t xml:space="preserve">       </w:t>
      </w:r>
      <w:r>
        <w:rPr>
          <w:rFonts w:hint="eastAsia" w:hAnsi="宋体" w:eastAsia="宋体" w:cs="宋体"/>
          <w:color w:val="auto"/>
          <w:spacing w:val="6"/>
          <w:szCs w:val="24"/>
          <w:highlight w:val="none"/>
        </w:rPr>
        <w:t>人，营业收入为</w:t>
      </w:r>
      <w:r>
        <w:rPr>
          <w:rFonts w:hint="eastAsia" w:hAnsi="宋体" w:eastAsia="宋体" w:cs="宋体"/>
          <w:color w:val="auto"/>
          <w:spacing w:val="6"/>
          <w:szCs w:val="24"/>
          <w:highlight w:val="none"/>
          <w:u w:val="single"/>
        </w:rPr>
        <w:t xml:space="preserve">          </w:t>
      </w:r>
      <w:r>
        <w:rPr>
          <w:rFonts w:hint="eastAsia" w:hAnsi="宋体" w:eastAsia="宋体" w:cs="宋体"/>
          <w:color w:val="auto"/>
          <w:spacing w:val="6"/>
          <w:szCs w:val="24"/>
          <w:highlight w:val="none"/>
        </w:rPr>
        <w:t xml:space="preserve">万元，资产总额为 </w:t>
      </w:r>
      <w:r>
        <w:rPr>
          <w:rFonts w:hint="eastAsia" w:hAnsi="宋体" w:eastAsia="宋体" w:cs="宋体"/>
          <w:color w:val="auto"/>
          <w:spacing w:val="6"/>
          <w:szCs w:val="24"/>
          <w:highlight w:val="none"/>
          <w:u w:val="single"/>
        </w:rPr>
        <w:t xml:space="preserve">         </w:t>
      </w:r>
      <w:r>
        <w:rPr>
          <w:rFonts w:hint="eastAsia" w:hAnsi="宋体" w:eastAsia="宋体" w:cs="宋体"/>
          <w:color w:val="auto"/>
          <w:spacing w:val="6"/>
          <w:szCs w:val="24"/>
          <w:highlight w:val="none"/>
        </w:rPr>
        <w:t>万元，属于</w:t>
      </w:r>
      <w:r>
        <w:rPr>
          <w:rFonts w:hint="eastAsia" w:hAnsi="宋体" w:eastAsia="宋体" w:cs="宋体"/>
          <w:color w:val="auto"/>
          <w:spacing w:val="6"/>
          <w:szCs w:val="24"/>
          <w:highlight w:val="none"/>
          <w:u w:val="single"/>
        </w:rPr>
        <w:t xml:space="preserve">     </w:t>
      </w:r>
      <w:r>
        <w:rPr>
          <w:rFonts w:hint="eastAsia" w:hAnsi="宋体" w:eastAsia="宋体" w:cs="宋体"/>
          <w:color w:val="auto"/>
          <w:spacing w:val="6"/>
          <w:szCs w:val="24"/>
          <w:highlight w:val="none"/>
        </w:rPr>
        <w:t>（中型企业、小型企业、微型企业）；</w:t>
      </w:r>
    </w:p>
    <w:p>
      <w:pPr>
        <w:pStyle w:val="88"/>
        <w:keepNext w:val="0"/>
        <w:keepLines w:val="0"/>
        <w:spacing w:before="0" w:after="0" w:line="360" w:lineRule="auto"/>
        <w:outlineLvl w:val="9"/>
        <w:rPr>
          <w:rFonts w:hAnsi="宋体" w:eastAsia="宋体" w:cs="宋体"/>
          <w:color w:val="auto"/>
          <w:spacing w:val="6"/>
          <w:szCs w:val="24"/>
          <w:highlight w:val="none"/>
        </w:rPr>
      </w:pPr>
      <w:r>
        <w:rPr>
          <w:rFonts w:hint="eastAsia" w:hAnsi="宋体" w:eastAsia="宋体" w:cs="宋体"/>
          <w:color w:val="auto"/>
          <w:spacing w:val="6"/>
          <w:szCs w:val="24"/>
          <w:highlight w:val="none"/>
        </w:rPr>
        <w:t xml:space="preserve">    ……</w:t>
      </w:r>
    </w:p>
    <w:p>
      <w:pPr>
        <w:pStyle w:val="88"/>
        <w:keepNext w:val="0"/>
        <w:keepLines w:val="0"/>
        <w:spacing w:before="0" w:after="0" w:line="360" w:lineRule="auto"/>
        <w:ind w:firstLine="482"/>
        <w:outlineLvl w:val="9"/>
        <w:rPr>
          <w:rFonts w:hAnsi="宋体" w:eastAsia="宋体" w:cs="宋体"/>
          <w:color w:val="auto"/>
          <w:spacing w:val="6"/>
          <w:szCs w:val="24"/>
          <w:highlight w:val="none"/>
        </w:rPr>
      </w:pPr>
      <w:r>
        <w:rPr>
          <w:rFonts w:hint="eastAsia" w:hAnsi="宋体" w:eastAsia="宋体" w:cs="宋体"/>
          <w:color w:val="auto"/>
          <w:spacing w:val="6"/>
          <w:szCs w:val="24"/>
          <w:highlight w:val="none"/>
        </w:rPr>
        <w:t xml:space="preserve">以上企业，不属于大企业的分支机构，不存在控股股东为大企业的情形，也不存在与大企业的负责人为同一人的情形。 </w:t>
      </w:r>
    </w:p>
    <w:p>
      <w:pPr>
        <w:pStyle w:val="88"/>
        <w:keepNext w:val="0"/>
        <w:keepLines w:val="0"/>
        <w:spacing w:before="0" w:after="0" w:line="360" w:lineRule="auto"/>
        <w:ind w:firstLine="482"/>
        <w:outlineLvl w:val="9"/>
        <w:rPr>
          <w:rFonts w:hAnsi="宋体" w:eastAsia="宋体" w:cs="宋体"/>
          <w:color w:val="auto"/>
          <w:spacing w:val="6"/>
          <w:szCs w:val="24"/>
          <w:highlight w:val="none"/>
        </w:rPr>
      </w:pPr>
      <w:r>
        <w:rPr>
          <w:rFonts w:hint="eastAsia" w:hAnsi="宋体" w:eastAsia="宋体" w:cs="宋体"/>
          <w:color w:val="auto"/>
          <w:spacing w:val="6"/>
          <w:szCs w:val="24"/>
          <w:highlight w:val="none"/>
        </w:rPr>
        <w:t xml:space="preserve">本企业对上述声明内容的真实性负责。如有虚假，将依法承担相应责任。 </w:t>
      </w:r>
    </w:p>
    <w:p>
      <w:pPr>
        <w:pStyle w:val="88"/>
        <w:keepNext w:val="0"/>
        <w:keepLines w:val="0"/>
        <w:spacing w:before="0" w:after="0" w:line="240" w:lineRule="auto"/>
        <w:jc w:val="both"/>
        <w:outlineLvl w:val="9"/>
        <w:rPr>
          <w:rFonts w:hAnsi="宋体" w:eastAsia="宋体" w:cs="宋体"/>
          <w:color w:val="auto"/>
          <w:spacing w:val="6"/>
          <w:szCs w:val="24"/>
          <w:highlight w:val="none"/>
        </w:rPr>
      </w:pPr>
    </w:p>
    <w:p>
      <w:pPr>
        <w:pStyle w:val="88"/>
        <w:keepNext w:val="0"/>
        <w:keepLines w:val="0"/>
        <w:spacing w:before="0" w:after="0" w:line="240" w:lineRule="auto"/>
        <w:ind w:firstLine="480"/>
        <w:outlineLvl w:val="9"/>
        <w:rPr>
          <w:rFonts w:hAnsi="宋体" w:eastAsia="宋体" w:cs="宋体"/>
          <w:color w:val="auto"/>
          <w:spacing w:val="6"/>
          <w:szCs w:val="24"/>
          <w:highlight w:val="none"/>
        </w:rPr>
      </w:pPr>
      <w:r>
        <w:rPr>
          <w:rFonts w:hint="eastAsia" w:hAnsi="宋体" w:eastAsia="宋体" w:cs="宋体"/>
          <w:color w:val="auto"/>
          <w:spacing w:val="6"/>
          <w:szCs w:val="24"/>
          <w:highlight w:val="none"/>
        </w:rPr>
        <w:t xml:space="preserve">企业名称（盖章）： </w:t>
      </w:r>
    </w:p>
    <w:p>
      <w:pPr>
        <w:pStyle w:val="88"/>
        <w:keepNext w:val="0"/>
        <w:keepLines w:val="0"/>
        <w:spacing w:before="0" w:after="0" w:line="240" w:lineRule="auto"/>
        <w:ind w:firstLine="480"/>
        <w:outlineLvl w:val="9"/>
        <w:rPr>
          <w:rFonts w:hAnsi="宋体" w:eastAsia="宋体" w:cs="宋体"/>
          <w:color w:val="auto"/>
          <w:spacing w:val="6"/>
          <w:szCs w:val="24"/>
          <w:highlight w:val="none"/>
        </w:rPr>
      </w:pPr>
      <w:r>
        <w:rPr>
          <w:rFonts w:hint="eastAsia" w:hAnsi="宋体" w:eastAsia="宋体" w:cs="宋体"/>
          <w:color w:val="auto"/>
          <w:spacing w:val="6"/>
          <w:szCs w:val="24"/>
          <w:highlight w:val="none"/>
        </w:rPr>
        <w:t xml:space="preserve">日 期： </w:t>
      </w:r>
    </w:p>
    <w:p>
      <w:pPr>
        <w:pStyle w:val="88"/>
        <w:keepNext w:val="0"/>
        <w:keepLines w:val="0"/>
        <w:spacing w:before="0" w:after="0" w:line="240" w:lineRule="auto"/>
        <w:outlineLvl w:val="9"/>
        <w:rPr>
          <w:rFonts w:hAnsi="宋体" w:eastAsia="宋体" w:cs="宋体"/>
          <w:color w:val="auto"/>
          <w:spacing w:val="6"/>
          <w:szCs w:val="24"/>
          <w:highlight w:val="none"/>
        </w:rPr>
      </w:pPr>
    </w:p>
    <w:p>
      <w:pPr>
        <w:pStyle w:val="88"/>
        <w:keepNext w:val="0"/>
        <w:keepLines w:val="0"/>
        <w:spacing w:before="0" w:after="0" w:line="240" w:lineRule="auto"/>
        <w:ind w:firstLine="480"/>
        <w:outlineLvl w:val="9"/>
        <w:rPr>
          <w:rFonts w:hAnsi="宋体" w:eastAsia="宋体" w:cs="宋体"/>
          <w:color w:val="auto"/>
          <w:spacing w:val="6"/>
          <w:szCs w:val="24"/>
          <w:highlight w:val="none"/>
        </w:rPr>
      </w:pPr>
      <w:r>
        <w:rPr>
          <w:rFonts w:hint="eastAsia" w:hAnsi="宋体" w:eastAsia="宋体" w:cs="宋体"/>
          <w:color w:val="auto"/>
          <w:spacing w:val="6"/>
          <w:szCs w:val="24"/>
          <w:highlight w:val="none"/>
        </w:rPr>
        <w:t>注：</w:t>
      </w:r>
      <w:r>
        <w:rPr>
          <w:rFonts w:hint="eastAsia" w:hAnsi="宋体" w:eastAsia="宋体" w:cs="宋体"/>
          <w:b/>
          <w:color w:val="auto"/>
          <w:spacing w:val="6"/>
          <w:szCs w:val="24"/>
          <w:highlight w:val="none"/>
        </w:rPr>
        <w:t>1、本项目标的物所属行业全部填写“工业”。</w:t>
      </w:r>
    </w:p>
    <w:p>
      <w:pPr>
        <w:pStyle w:val="88"/>
        <w:keepNext w:val="0"/>
        <w:keepLines w:val="0"/>
        <w:spacing w:before="0" w:after="0" w:line="240" w:lineRule="auto"/>
        <w:ind w:firstLine="480"/>
        <w:outlineLvl w:val="9"/>
        <w:rPr>
          <w:rFonts w:hAnsi="宋体" w:eastAsia="宋体" w:cs="宋体"/>
          <w:color w:val="auto"/>
          <w:spacing w:val="6"/>
          <w:szCs w:val="24"/>
          <w:highlight w:val="none"/>
        </w:rPr>
      </w:pPr>
      <w:r>
        <w:rPr>
          <w:rFonts w:hint="eastAsia" w:hAnsi="宋体" w:eastAsia="宋体" w:cs="宋体"/>
          <w:color w:val="auto"/>
          <w:spacing w:val="6"/>
          <w:szCs w:val="24"/>
          <w:highlight w:val="none"/>
        </w:rPr>
        <w:t>2、从业人员、营业收入、资产总额填报上一年度数据，无上一年度数据的新成立企业可不填报。</w:t>
      </w:r>
    </w:p>
    <w:p>
      <w:pPr>
        <w:pStyle w:val="88"/>
        <w:keepNext w:val="0"/>
        <w:keepLines w:val="0"/>
        <w:spacing w:before="0" w:after="0" w:line="240" w:lineRule="auto"/>
        <w:ind w:firstLine="480"/>
        <w:outlineLvl w:val="9"/>
        <w:rPr>
          <w:rFonts w:hAnsi="宋体" w:eastAsia="宋体" w:cs="宋体"/>
          <w:color w:val="auto"/>
          <w:spacing w:val="6"/>
          <w:szCs w:val="24"/>
          <w:highlight w:val="none"/>
        </w:rPr>
      </w:pPr>
      <w:r>
        <w:rPr>
          <w:rFonts w:hint="eastAsia" w:hAnsi="宋体" w:eastAsia="宋体" w:cs="宋体"/>
          <w:color w:val="auto"/>
          <w:spacing w:val="6"/>
          <w:szCs w:val="24"/>
          <w:highlight w:val="none"/>
        </w:rPr>
        <w:t>3、供应商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p>
    <w:p>
      <w:pPr>
        <w:spacing w:line="360" w:lineRule="auto"/>
        <w:jc w:val="left"/>
        <w:outlineLvl w:val="2"/>
        <w:rPr>
          <w:rFonts w:hAnsi="宋体" w:cs="宋体"/>
          <w:color w:val="auto"/>
          <w:spacing w:val="6"/>
          <w:sz w:val="24"/>
          <w:szCs w:val="24"/>
          <w:highlight w:val="none"/>
        </w:rPr>
      </w:pPr>
      <w:r>
        <w:rPr>
          <w:rFonts w:hint="eastAsia" w:hAnsi="宋体" w:cs="宋体"/>
          <w:color w:val="auto"/>
          <w:spacing w:val="6"/>
          <w:sz w:val="24"/>
          <w:szCs w:val="24"/>
          <w:highlight w:val="none"/>
        </w:rPr>
        <w:t>4、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pPr>
        <w:spacing w:line="360" w:lineRule="auto"/>
        <w:ind w:firstLine="1098" w:firstLineChars="323"/>
        <w:jc w:val="left"/>
        <w:rPr>
          <w:rFonts w:hAnsi="宋体" w:cs="宋体"/>
          <w:color w:val="auto"/>
          <w:szCs w:val="28"/>
          <w:highlight w:val="none"/>
        </w:rPr>
      </w:pPr>
      <w:r>
        <w:rPr>
          <w:rFonts w:hint="eastAsia" w:hAnsi="宋体" w:cs="宋体"/>
          <w:color w:val="auto"/>
          <w:szCs w:val="28"/>
          <w:highlight w:val="none"/>
        </w:rPr>
        <w:br w:type="page"/>
      </w:r>
    </w:p>
    <w:p>
      <w:pPr>
        <w:pStyle w:val="5"/>
        <w:spacing w:before="240" w:beforeLines="100" w:after="240" w:afterLines="100" w:line="240" w:lineRule="auto"/>
        <w:jc w:val="center"/>
        <w:rPr>
          <w:rFonts w:ascii="宋体" w:hAnsi="宋体" w:eastAsia="宋体" w:cs="宋体"/>
          <w:color w:val="auto"/>
          <w:szCs w:val="28"/>
          <w:highlight w:val="none"/>
        </w:rPr>
      </w:pPr>
      <w:bookmarkStart w:id="859" w:name="_Toc11278"/>
      <w:bookmarkStart w:id="860" w:name="_Toc27232"/>
      <w:bookmarkStart w:id="861" w:name="_Toc26771"/>
      <w:r>
        <w:rPr>
          <w:rFonts w:hint="eastAsia" w:ascii="宋体" w:hAnsi="宋体" w:eastAsia="宋体" w:cs="宋体"/>
          <w:color w:val="auto"/>
          <w:szCs w:val="28"/>
          <w:highlight w:val="none"/>
        </w:rPr>
        <w:t>（十）监狱企业相关证明材料</w:t>
      </w:r>
      <w:bookmarkEnd w:id="853"/>
      <w:r>
        <w:rPr>
          <w:rFonts w:hint="eastAsia" w:ascii="宋体" w:hAnsi="宋体" w:eastAsia="宋体" w:cs="宋体"/>
          <w:color w:val="auto"/>
          <w:szCs w:val="28"/>
          <w:highlight w:val="none"/>
        </w:rPr>
        <w:t>(如涉及</w:t>
      </w:r>
      <w:bookmarkEnd w:id="859"/>
      <w:r>
        <w:rPr>
          <w:rFonts w:hint="eastAsia" w:ascii="宋体" w:hAnsi="宋体" w:eastAsia="宋体" w:cs="宋体"/>
          <w:color w:val="auto"/>
          <w:szCs w:val="28"/>
          <w:highlight w:val="none"/>
        </w:rPr>
        <w:t>)</w:t>
      </w:r>
      <w:bookmarkEnd w:id="860"/>
      <w:bookmarkEnd w:id="861"/>
    </w:p>
    <w:p>
      <w:pPr>
        <w:spacing w:line="400" w:lineRule="exact"/>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说明：</w:t>
      </w:r>
    </w:p>
    <w:p>
      <w:pPr>
        <w:spacing w:line="400" w:lineRule="exact"/>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①监狱企业参加政府采购活动时，应当提供由省级以上监狱管理局、戒毒管理局(含新疆生产建设兵团)出具的属于监狱企业的证明文件。</w:t>
      </w:r>
    </w:p>
    <w:p>
      <w:pPr>
        <w:spacing w:line="400" w:lineRule="exact"/>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②如未提供监狱企业相关证明材料的，则其评审中的监狱企业不能享受招标文件规定的价格扣除，但不影响供应投标文件的有效性。</w:t>
      </w:r>
    </w:p>
    <w:p>
      <w:pPr>
        <w:spacing w:line="360" w:lineRule="auto"/>
        <w:ind w:firstLine="482" w:firstLineChars="200"/>
        <w:jc w:val="left"/>
        <w:rPr>
          <w:rFonts w:hAnsi="宋体" w:cs="宋体"/>
          <w:b/>
          <w:bCs/>
          <w:color w:val="auto"/>
          <w:sz w:val="24"/>
          <w:szCs w:val="24"/>
          <w:highlight w:val="none"/>
        </w:rPr>
      </w:pPr>
      <w:r>
        <w:rPr>
          <w:rFonts w:hint="eastAsia" w:hAnsi="宋体" w:cs="宋体"/>
          <w:b/>
          <w:bCs/>
          <w:color w:val="auto"/>
          <w:sz w:val="24"/>
          <w:szCs w:val="24"/>
          <w:highlight w:val="none"/>
        </w:rPr>
        <w:t>③非监狱企业无需提供证明材料。</w:t>
      </w:r>
    </w:p>
    <w:p>
      <w:pPr>
        <w:keepNext/>
        <w:keepLines/>
        <w:spacing w:before="240" w:beforeLines="100" w:after="240" w:afterLines="100"/>
        <w:rPr>
          <w:rFonts w:hAnsi="宋体" w:cs="宋体"/>
          <w:color w:val="auto"/>
          <w:szCs w:val="28"/>
          <w:highlight w:val="none"/>
        </w:rPr>
      </w:pPr>
    </w:p>
    <w:p>
      <w:pPr>
        <w:keepNext/>
        <w:keepLines/>
        <w:spacing w:before="240" w:beforeLines="100" w:after="240" w:afterLines="100"/>
        <w:rPr>
          <w:rFonts w:hAnsi="宋体" w:cs="宋体"/>
          <w:color w:val="auto"/>
          <w:szCs w:val="28"/>
          <w:highlight w:val="none"/>
        </w:rPr>
      </w:pPr>
    </w:p>
    <w:p>
      <w:pPr>
        <w:keepNext/>
        <w:keepLines/>
        <w:spacing w:before="240" w:beforeLines="100" w:after="240" w:afterLines="100"/>
        <w:rPr>
          <w:rFonts w:hAnsi="宋体" w:cs="宋体"/>
          <w:color w:val="auto"/>
          <w:szCs w:val="28"/>
          <w:highlight w:val="none"/>
        </w:rPr>
      </w:pPr>
      <w:r>
        <w:rPr>
          <w:rFonts w:hint="eastAsia" w:hAnsi="宋体" w:cs="宋体"/>
          <w:color w:val="auto"/>
          <w:szCs w:val="28"/>
          <w:highlight w:val="none"/>
        </w:rPr>
        <w:br w:type="page"/>
      </w:r>
    </w:p>
    <w:p>
      <w:pPr>
        <w:pStyle w:val="5"/>
        <w:spacing w:before="240" w:beforeLines="100" w:after="240" w:afterLines="100" w:line="240" w:lineRule="auto"/>
        <w:jc w:val="center"/>
        <w:rPr>
          <w:rFonts w:ascii="宋体" w:hAnsi="宋体" w:eastAsia="宋体" w:cs="宋体"/>
          <w:color w:val="auto"/>
          <w:szCs w:val="28"/>
          <w:highlight w:val="none"/>
        </w:rPr>
      </w:pPr>
      <w:bookmarkStart w:id="862" w:name="_Toc7140"/>
      <w:bookmarkStart w:id="863" w:name="_Toc27384"/>
      <w:bookmarkStart w:id="864" w:name="_Toc25492"/>
      <w:r>
        <w:rPr>
          <w:rFonts w:hint="eastAsia" w:ascii="宋体" w:hAnsi="宋体" w:eastAsia="宋体" w:cs="宋体"/>
          <w:color w:val="auto"/>
          <w:szCs w:val="28"/>
          <w:highlight w:val="none"/>
        </w:rPr>
        <w:t>（十一）残疾人福利性单位声明函(如涉及</w:t>
      </w:r>
      <w:bookmarkEnd w:id="862"/>
      <w:r>
        <w:rPr>
          <w:rFonts w:hint="eastAsia" w:ascii="宋体" w:hAnsi="宋体" w:eastAsia="宋体" w:cs="宋体"/>
          <w:color w:val="auto"/>
          <w:szCs w:val="28"/>
          <w:highlight w:val="none"/>
        </w:rPr>
        <w:t>)</w:t>
      </w:r>
      <w:bookmarkEnd w:id="863"/>
      <w:bookmarkEnd w:id="864"/>
    </w:p>
    <w:p>
      <w:pPr>
        <w:spacing w:line="588" w:lineRule="exact"/>
        <w:ind w:firstLine="504" w:firstLineChars="200"/>
        <w:rPr>
          <w:rFonts w:hAnsi="宋体" w:cs="宋体"/>
          <w:color w:val="auto"/>
          <w:spacing w:val="6"/>
          <w:sz w:val="24"/>
          <w:szCs w:val="24"/>
          <w:highlight w:val="none"/>
        </w:rPr>
      </w:pPr>
      <w:r>
        <w:rPr>
          <w:rFonts w:hint="eastAsia" w:hAnsi="宋体" w:cs="宋体"/>
          <w:color w:val="auto"/>
          <w:spacing w:val="6"/>
          <w:sz w:val="24"/>
          <w:szCs w:val="24"/>
          <w:highlight w:val="none"/>
        </w:rPr>
        <w:t>本单位郑重声明，根据《财政部 民政部 中国残疾人联合会关于促进残疾人就业政府采购政策的通知》(财库</w:t>
      </w:r>
      <w:r>
        <w:rPr>
          <w:rFonts w:hint="eastAsia" w:hAnsi="宋体" w:cs="宋体"/>
          <w:color w:val="auto"/>
          <w:sz w:val="24"/>
          <w:szCs w:val="24"/>
          <w:highlight w:val="none"/>
        </w:rPr>
        <w:t>〔2017〕141</w:t>
      </w:r>
      <w:r>
        <w:rPr>
          <w:rFonts w:hint="eastAsia" w:hAnsi="宋体" w:cs="宋体"/>
          <w:color w:val="auto"/>
          <w:spacing w:val="6"/>
          <w:sz w:val="24"/>
          <w:szCs w:val="24"/>
          <w:highlight w:val="none"/>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Ansi="宋体" w:cs="宋体"/>
          <w:color w:val="auto"/>
          <w:spacing w:val="6"/>
          <w:sz w:val="24"/>
          <w:szCs w:val="24"/>
          <w:highlight w:val="none"/>
        </w:rPr>
      </w:pPr>
      <w:r>
        <w:rPr>
          <w:rFonts w:hint="eastAsia" w:hAnsi="宋体" w:cs="宋体"/>
          <w:color w:val="auto"/>
          <w:spacing w:val="6"/>
          <w:sz w:val="24"/>
          <w:szCs w:val="24"/>
          <w:highlight w:val="none"/>
        </w:rPr>
        <w:t>本单位对上述声明的真实性负责。如有虚假，将依法承担相应责任。</w:t>
      </w:r>
    </w:p>
    <w:p>
      <w:pPr>
        <w:spacing w:line="588" w:lineRule="exact"/>
        <w:ind w:firstLine="504" w:firstLineChars="200"/>
        <w:rPr>
          <w:rFonts w:hAnsi="宋体" w:cs="宋体"/>
          <w:color w:val="auto"/>
          <w:spacing w:val="6"/>
          <w:sz w:val="24"/>
          <w:szCs w:val="24"/>
          <w:highlight w:val="none"/>
        </w:rPr>
      </w:pPr>
    </w:p>
    <w:p>
      <w:pPr>
        <w:spacing w:line="588" w:lineRule="exact"/>
        <w:ind w:firstLine="504" w:firstLineChars="200"/>
        <w:rPr>
          <w:rFonts w:hAnsi="宋体" w:cs="宋体"/>
          <w:color w:val="auto"/>
          <w:spacing w:val="6"/>
          <w:sz w:val="24"/>
          <w:szCs w:val="24"/>
          <w:highlight w:val="none"/>
        </w:rPr>
      </w:pPr>
    </w:p>
    <w:p>
      <w:pPr>
        <w:tabs>
          <w:tab w:val="left" w:pos="4860"/>
        </w:tabs>
        <w:spacing w:line="588" w:lineRule="exact"/>
        <w:ind w:right="1560" w:firstLine="504" w:firstLineChars="200"/>
        <w:jc w:val="center"/>
        <w:rPr>
          <w:rFonts w:hAnsi="宋体" w:cs="宋体"/>
          <w:color w:val="auto"/>
          <w:spacing w:val="6"/>
          <w:sz w:val="24"/>
          <w:szCs w:val="24"/>
          <w:highlight w:val="none"/>
        </w:rPr>
      </w:pPr>
      <w:r>
        <w:rPr>
          <w:rFonts w:hint="eastAsia" w:hAnsi="宋体" w:cs="宋体"/>
          <w:color w:val="auto"/>
          <w:spacing w:val="6"/>
          <w:sz w:val="24"/>
          <w:szCs w:val="24"/>
          <w:highlight w:val="none"/>
        </w:rPr>
        <w:t xml:space="preserve">               单位名称：(盖章)</w:t>
      </w:r>
    </w:p>
    <w:p>
      <w:pPr>
        <w:tabs>
          <w:tab w:val="left" w:pos="4860"/>
        </w:tabs>
        <w:spacing w:line="588" w:lineRule="exact"/>
        <w:ind w:right="1560" w:firstLine="504" w:firstLineChars="200"/>
        <w:jc w:val="center"/>
        <w:rPr>
          <w:rFonts w:hAnsi="宋体" w:cs="宋体"/>
          <w:color w:val="auto"/>
          <w:highlight w:val="none"/>
        </w:rPr>
      </w:pPr>
      <w:r>
        <w:rPr>
          <w:rFonts w:hint="eastAsia" w:hAnsi="宋体" w:cs="宋体"/>
          <w:color w:val="auto"/>
          <w:spacing w:val="6"/>
          <w:sz w:val="24"/>
          <w:szCs w:val="24"/>
          <w:highlight w:val="none"/>
        </w:rPr>
        <w:t xml:space="preserve">       日  期：</w:t>
      </w:r>
    </w:p>
    <w:bookmarkEnd w:id="854"/>
    <w:bookmarkEnd w:id="855"/>
    <w:bookmarkEnd w:id="856"/>
    <w:bookmarkEnd w:id="857"/>
    <w:bookmarkEnd w:id="858"/>
    <w:p>
      <w:pPr>
        <w:spacing w:line="400" w:lineRule="exact"/>
        <w:jc w:val="left"/>
        <w:rPr>
          <w:rFonts w:hAnsi="宋体" w:cs="宋体"/>
          <w:color w:val="auto"/>
          <w:sz w:val="24"/>
          <w:szCs w:val="24"/>
          <w:highlight w:val="none"/>
        </w:rPr>
      </w:pPr>
    </w:p>
    <w:p>
      <w:pPr>
        <w:adjustRightInd w:val="0"/>
        <w:spacing w:line="360" w:lineRule="auto"/>
        <w:jc w:val="center"/>
        <w:rPr>
          <w:rFonts w:hAnsi="宋体" w:cs="宋体"/>
          <w:b/>
          <w:bCs/>
          <w:color w:val="auto"/>
          <w:kern w:val="2"/>
          <w:sz w:val="32"/>
          <w:szCs w:val="28"/>
          <w:highlight w:val="none"/>
        </w:rPr>
      </w:pPr>
      <w:r>
        <w:rPr>
          <w:rFonts w:hint="eastAsia" w:hAnsi="宋体" w:cs="宋体"/>
          <w:b/>
          <w:bCs/>
          <w:color w:val="auto"/>
          <w:kern w:val="2"/>
          <w:sz w:val="32"/>
          <w:szCs w:val="28"/>
          <w:highlight w:val="none"/>
        </w:rPr>
        <w:br w:type="page"/>
      </w:r>
    </w:p>
    <w:p>
      <w:pPr>
        <w:pStyle w:val="5"/>
        <w:spacing w:before="240" w:beforeLines="100" w:after="240" w:afterLines="100" w:line="240" w:lineRule="auto"/>
        <w:jc w:val="center"/>
        <w:rPr>
          <w:rFonts w:ascii="宋体" w:hAnsi="宋体" w:eastAsia="宋体" w:cs="宋体"/>
          <w:color w:val="auto"/>
          <w:szCs w:val="28"/>
          <w:highlight w:val="none"/>
        </w:rPr>
      </w:pPr>
      <w:bookmarkStart w:id="865" w:name="_Toc18157"/>
      <w:r>
        <w:rPr>
          <w:rFonts w:hint="eastAsia" w:ascii="宋体" w:hAnsi="宋体" w:eastAsia="宋体" w:cs="宋体"/>
          <w:color w:val="auto"/>
          <w:szCs w:val="28"/>
          <w:highlight w:val="none"/>
        </w:rPr>
        <w:t>（十二）项目实施方案</w:t>
      </w:r>
      <w:bookmarkEnd w:id="865"/>
    </w:p>
    <w:p>
      <w:pPr>
        <w:spacing w:line="400" w:lineRule="exact"/>
        <w:ind w:firstLine="482" w:firstLineChars="200"/>
        <w:rPr>
          <w:rFonts w:hAnsi="宋体" w:cs="宋体"/>
          <w:color w:val="auto"/>
          <w:sz w:val="24"/>
          <w:highlight w:val="none"/>
        </w:rPr>
      </w:pPr>
      <w:r>
        <w:rPr>
          <w:rFonts w:hint="eastAsia" w:hAnsi="宋体" w:cs="宋体"/>
          <w:b/>
          <w:bCs/>
          <w:color w:val="auto"/>
          <w:sz w:val="24"/>
          <w:szCs w:val="24"/>
          <w:highlight w:val="none"/>
        </w:rPr>
        <w:t>注：格式自拟。</w:t>
      </w:r>
    </w:p>
    <w:p>
      <w:pPr>
        <w:pStyle w:val="5"/>
        <w:spacing w:before="240" w:beforeLines="100" w:after="240" w:afterLines="100" w:line="240" w:lineRule="auto"/>
        <w:rPr>
          <w:rFonts w:ascii="宋体" w:hAnsi="宋体" w:eastAsia="宋体" w:cs="宋体"/>
          <w:color w:val="auto"/>
          <w:szCs w:val="28"/>
          <w:highlight w:val="none"/>
        </w:rPr>
      </w:pPr>
      <w:r>
        <w:rPr>
          <w:rFonts w:hint="eastAsia" w:ascii="宋体" w:hAnsi="宋体" w:eastAsia="宋体" w:cs="宋体"/>
          <w:color w:val="auto"/>
          <w:szCs w:val="28"/>
          <w:highlight w:val="none"/>
        </w:rPr>
        <w:br w:type="page"/>
      </w:r>
      <w:bookmarkStart w:id="866" w:name="_Toc26174"/>
    </w:p>
    <w:p>
      <w:pPr>
        <w:pStyle w:val="5"/>
        <w:spacing w:before="240" w:beforeLines="100" w:after="240" w:afterLines="100" w:line="240" w:lineRule="auto"/>
        <w:jc w:val="center"/>
        <w:rPr>
          <w:rFonts w:ascii="宋体" w:hAnsi="宋体" w:eastAsia="宋体" w:cs="宋体"/>
          <w:color w:val="auto"/>
          <w:szCs w:val="28"/>
          <w:highlight w:val="none"/>
        </w:rPr>
      </w:pPr>
      <w:r>
        <w:rPr>
          <w:rFonts w:hint="eastAsia" w:ascii="宋体" w:hAnsi="宋体" w:eastAsia="宋体" w:cs="宋体"/>
          <w:color w:val="auto"/>
          <w:szCs w:val="28"/>
          <w:highlight w:val="none"/>
        </w:rPr>
        <w:t>（十三）招标代理服务费承诺函</w:t>
      </w:r>
      <w:bookmarkEnd w:id="866"/>
    </w:p>
    <w:p>
      <w:pPr>
        <w:spacing w:line="360" w:lineRule="auto"/>
        <w:rPr>
          <w:rFonts w:hAnsi="宋体" w:cs="宋体"/>
          <w:color w:val="auto"/>
          <w:sz w:val="24"/>
          <w:highlight w:val="none"/>
        </w:rPr>
      </w:pPr>
      <w:r>
        <w:rPr>
          <w:rFonts w:hint="eastAsia" w:hAnsi="宋体" w:cs="宋体"/>
          <w:color w:val="auto"/>
          <w:sz w:val="24"/>
          <w:highlight w:val="none"/>
        </w:rPr>
        <w:t>四川岳华工程咨询有限公司：</w:t>
      </w:r>
    </w:p>
    <w:p>
      <w:pPr>
        <w:wordWrap w:val="0"/>
        <w:spacing w:line="360" w:lineRule="auto"/>
        <w:ind w:firstLine="489" w:firstLineChars="204"/>
        <w:rPr>
          <w:rFonts w:hAnsi="宋体" w:cs="宋体"/>
          <w:color w:val="auto"/>
          <w:sz w:val="24"/>
          <w:highlight w:val="none"/>
        </w:rPr>
      </w:pPr>
      <w:r>
        <w:rPr>
          <w:rFonts w:hint="eastAsia" w:hAnsi="宋体" w:cs="宋体"/>
          <w:color w:val="auto"/>
          <w:sz w:val="24"/>
          <w:highlight w:val="none"/>
        </w:rPr>
        <w:t>我公司在贵公司代理的</w:t>
      </w:r>
      <w:r>
        <w:rPr>
          <w:rFonts w:hint="eastAsia" w:hAnsi="宋体" w:cs="宋体"/>
          <w:color w:val="auto"/>
          <w:sz w:val="24"/>
          <w:highlight w:val="none"/>
          <w:u w:val="single"/>
        </w:rPr>
        <w:t xml:space="preserve">             </w:t>
      </w:r>
      <w:r>
        <w:rPr>
          <w:rFonts w:hint="eastAsia" w:hAnsi="宋体" w:cs="宋体"/>
          <w:color w:val="auto"/>
          <w:sz w:val="24"/>
          <w:highlight w:val="none"/>
        </w:rPr>
        <w:t>项目(项目编号：</w:t>
      </w:r>
      <w:r>
        <w:rPr>
          <w:rFonts w:hint="eastAsia" w:hAnsi="宋体" w:cs="宋体"/>
          <w:color w:val="auto"/>
          <w:sz w:val="24"/>
          <w:highlight w:val="none"/>
          <w:u w:val="single"/>
        </w:rPr>
        <w:t xml:space="preserve">           </w:t>
      </w:r>
      <w:r>
        <w:rPr>
          <w:rFonts w:hint="eastAsia" w:hAnsi="宋体" w:cs="宋体"/>
          <w:color w:val="auto"/>
          <w:sz w:val="24"/>
          <w:highlight w:val="none"/>
        </w:rPr>
        <w:t>) 公开招标中若获中标，我们保证在收到中标通知后2个工作日内按</w:t>
      </w:r>
      <w:r>
        <w:rPr>
          <w:rFonts w:hint="eastAsia" w:hAnsi="宋体" w:cs="宋体"/>
          <w:color w:val="auto"/>
          <w:sz w:val="24"/>
          <w:highlight w:val="none"/>
          <w:lang w:val="zh-CN"/>
        </w:rPr>
        <w:t>招标文件</w:t>
      </w:r>
      <w:r>
        <w:rPr>
          <w:rFonts w:hint="eastAsia" w:hAnsi="宋体" w:cs="宋体"/>
          <w:color w:val="auto"/>
          <w:sz w:val="24"/>
          <w:highlight w:val="none"/>
        </w:rPr>
        <w:t>的规定，以支票、银行汇票、电汇、现金或经贵公司认可的一种方式，向贵公司即</w:t>
      </w:r>
      <w:r>
        <w:rPr>
          <w:rFonts w:hint="eastAsia" w:hAnsi="宋体" w:cs="宋体"/>
          <w:color w:val="auto"/>
          <w:sz w:val="24"/>
          <w:highlight w:val="none"/>
          <w:lang w:val="zh-CN"/>
        </w:rPr>
        <w:t>四川岳华工程咨询有限公司</w:t>
      </w:r>
      <w:r>
        <w:rPr>
          <w:rFonts w:hint="eastAsia" w:hAnsi="宋体" w:cs="宋体"/>
          <w:color w:val="auto"/>
          <w:sz w:val="24"/>
          <w:highlight w:val="none"/>
        </w:rPr>
        <w:t>指定的银行帐号，按照</w:t>
      </w:r>
      <w:r>
        <w:rPr>
          <w:rFonts w:hint="eastAsia" w:hAnsi="宋体" w:cs="宋体"/>
          <w:color w:val="auto"/>
          <w:sz w:val="24"/>
          <w:highlight w:val="none"/>
          <w:lang w:val="zh-CN"/>
        </w:rPr>
        <w:t>招标文件中</w:t>
      </w:r>
      <w:r>
        <w:rPr>
          <w:rFonts w:hint="eastAsia" w:hAnsi="宋体" w:cs="宋体"/>
          <w:color w:val="auto"/>
          <w:sz w:val="24"/>
          <w:highlight w:val="none"/>
        </w:rPr>
        <w:t>招标代理服务费收取标准一次性支付招标代理服务费。</w:t>
      </w:r>
    </w:p>
    <w:p>
      <w:pPr>
        <w:spacing w:line="360" w:lineRule="auto"/>
        <w:ind w:firstLine="435"/>
        <w:rPr>
          <w:rFonts w:hAnsi="宋体" w:cs="宋体"/>
          <w:color w:val="auto"/>
          <w:sz w:val="24"/>
          <w:highlight w:val="none"/>
        </w:rPr>
      </w:pPr>
    </w:p>
    <w:p>
      <w:pPr>
        <w:spacing w:line="360" w:lineRule="auto"/>
        <w:ind w:firstLine="480" w:firstLineChars="200"/>
        <w:rPr>
          <w:rFonts w:hAnsi="宋体" w:cs="宋体"/>
          <w:color w:val="auto"/>
          <w:sz w:val="24"/>
          <w:highlight w:val="none"/>
        </w:rPr>
      </w:pPr>
      <w:r>
        <w:rPr>
          <w:rFonts w:hint="eastAsia" w:hAnsi="宋体" w:cs="宋体"/>
          <w:color w:val="auto"/>
          <w:sz w:val="24"/>
          <w:highlight w:val="none"/>
        </w:rPr>
        <w:t>特此承诺。</w:t>
      </w:r>
    </w:p>
    <w:p>
      <w:pPr>
        <w:spacing w:line="360" w:lineRule="auto"/>
        <w:ind w:firstLine="435"/>
        <w:rPr>
          <w:rFonts w:hAnsi="宋体" w:cs="宋体"/>
          <w:color w:val="auto"/>
          <w:sz w:val="24"/>
          <w:highlight w:val="none"/>
        </w:rPr>
      </w:pPr>
    </w:p>
    <w:p>
      <w:pPr>
        <w:spacing w:line="360" w:lineRule="auto"/>
        <w:ind w:firstLine="435"/>
        <w:rPr>
          <w:rFonts w:hAnsi="宋体" w:cs="宋体"/>
          <w:color w:val="auto"/>
          <w:sz w:val="24"/>
          <w:highlight w:val="none"/>
        </w:rPr>
      </w:pPr>
    </w:p>
    <w:p>
      <w:pPr>
        <w:spacing w:line="360" w:lineRule="auto"/>
        <w:ind w:firstLine="360" w:firstLineChars="150"/>
        <w:rPr>
          <w:rFonts w:hAnsi="宋体" w:cs="宋体"/>
          <w:color w:val="auto"/>
          <w:sz w:val="24"/>
          <w:highlight w:val="none"/>
        </w:rPr>
      </w:pPr>
      <w:r>
        <w:rPr>
          <w:rFonts w:hint="eastAsia" w:hAnsi="宋体" w:cs="宋体"/>
          <w:color w:val="auto"/>
          <w:sz w:val="24"/>
          <w:highlight w:val="none"/>
        </w:rPr>
        <w:t>承诺方法定名称(承诺方盖章)：</w:t>
      </w:r>
    </w:p>
    <w:p>
      <w:pPr>
        <w:spacing w:line="360" w:lineRule="auto"/>
        <w:ind w:firstLine="360" w:firstLineChars="150"/>
        <w:rPr>
          <w:rFonts w:hAnsi="宋体" w:cs="宋体"/>
          <w:color w:val="auto"/>
          <w:sz w:val="24"/>
          <w:highlight w:val="none"/>
        </w:rPr>
      </w:pPr>
      <w:r>
        <w:rPr>
          <w:rFonts w:hint="eastAsia" w:hAnsi="宋体" w:cs="宋体"/>
          <w:color w:val="auto"/>
          <w:sz w:val="24"/>
          <w:highlight w:val="none"/>
        </w:rPr>
        <w:t>承诺日期：</w:t>
      </w:r>
    </w:p>
    <w:p>
      <w:pPr>
        <w:adjustRightInd w:val="0"/>
        <w:spacing w:line="360" w:lineRule="auto"/>
        <w:rPr>
          <w:rFonts w:hAnsi="宋体" w:cs="宋体"/>
          <w:b/>
          <w:color w:val="auto"/>
          <w:szCs w:val="34"/>
          <w:highlight w:val="none"/>
        </w:rPr>
      </w:pPr>
    </w:p>
    <w:p>
      <w:pPr>
        <w:adjustRightInd w:val="0"/>
        <w:spacing w:line="360" w:lineRule="auto"/>
        <w:rPr>
          <w:rFonts w:hAnsi="宋体" w:cs="宋体"/>
          <w:b/>
          <w:color w:val="auto"/>
          <w:szCs w:val="34"/>
          <w:highlight w:val="none"/>
        </w:rPr>
      </w:pPr>
    </w:p>
    <w:p>
      <w:pPr>
        <w:adjustRightInd w:val="0"/>
        <w:spacing w:line="360" w:lineRule="auto"/>
        <w:rPr>
          <w:rFonts w:hAnsi="宋体" w:cs="宋体"/>
          <w:b/>
          <w:color w:val="auto"/>
          <w:szCs w:val="34"/>
          <w:highlight w:val="none"/>
        </w:rPr>
      </w:pPr>
    </w:p>
    <w:p>
      <w:pPr>
        <w:adjustRightInd w:val="0"/>
        <w:spacing w:line="360" w:lineRule="auto"/>
        <w:rPr>
          <w:rFonts w:hAnsi="宋体" w:cs="宋体"/>
          <w:b/>
          <w:color w:val="auto"/>
          <w:szCs w:val="34"/>
          <w:highlight w:val="none"/>
        </w:rPr>
      </w:pPr>
    </w:p>
    <w:p>
      <w:pPr>
        <w:adjustRightInd w:val="0"/>
        <w:spacing w:line="360" w:lineRule="auto"/>
        <w:rPr>
          <w:rFonts w:hAnsi="宋体" w:cs="宋体"/>
          <w:b/>
          <w:color w:val="auto"/>
          <w:szCs w:val="34"/>
          <w:highlight w:val="none"/>
        </w:rPr>
      </w:pPr>
    </w:p>
    <w:p>
      <w:pPr>
        <w:adjustRightInd w:val="0"/>
        <w:spacing w:line="360" w:lineRule="auto"/>
        <w:rPr>
          <w:rFonts w:hAnsi="宋体" w:cs="宋体"/>
          <w:b/>
          <w:color w:val="auto"/>
          <w:szCs w:val="34"/>
          <w:highlight w:val="none"/>
        </w:rPr>
      </w:pPr>
    </w:p>
    <w:p>
      <w:pPr>
        <w:rPr>
          <w:rFonts w:hAnsi="宋体" w:cs="宋体"/>
          <w:b/>
          <w:bCs/>
          <w:color w:val="auto"/>
          <w:kern w:val="2"/>
          <w:sz w:val="32"/>
          <w:szCs w:val="28"/>
          <w:highlight w:val="none"/>
        </w:rPr>
      </w:pPr>
      <w:r>
        <w:rPr>
          <w:rFonts w:hint="eastAsia" w:hAnsi="宋体" w:cs="宋体"/>
          <w:b/>
          <w:bCs/>
          <w:color w:val="auto"/>
          <w:kern w:val="2"/>
          <w:sz w:val="32"/>
          <w:szCs w:val="28"/>
          <w:highlight w:val="none"/>
        </w:rPr>
        <w:br w:type="page"/>
      </w:r>
    </w:p>
    <w:p>
      <w:pPr>
        <w:adjustRightInd w:val="0"/>
        <w:spacing w:line="360" w:lineRule="auto"/>
        <w:jc w:val="center"/>
        <w:outlineLvl w:val="0"/>
        <w:rPr>
          <w:rFonts w:hAnsi="宋体" w:cs="宋体"/>
          <w:b/>
          <w:color w:val="auto"/>
          <w:sz w:val="36"/>
          <w:szCs w:val="36"/>
          <w:highlight w:val="none"/>
        </w:rPr>
      </w:pPr>
      <w:bookmarkStart w:id="867" w:name="_Toc11798"/>
      <w:bookmarkStart w:id="868" w:name="_Toc17786"/>
      <w:bookmarkStart w:id="869" w:name="_Toc24126"/>
      <w:bookmarkStart w:id="870" w:name="_Toc28177"/>
      <w:r>
        <w:rPr>
          <w:rFonts w:hint="eastAsia" w:hAnsi="宋体" w:cs="宋体"/>
          <w:b/>
          <w:color w:val="auto"/>
          <w:sz w:val="36"/>
          <w:szCs w:val="36"/>
          <w:highlight w:val="none"/>
        </w:rPr>
        <w:t>第四章 投标人</w:t>
      </w:r>
      <w:r>
        <w:rPr>
          <w:rFonts w:hint="eastAsia" w:hAnsi="宋体" w:cs="宋体"/>
          <w:b/>
          <w:color w:val="auto"/>
          <w:sz w:val="36"/>
          <w:szCs w:val="36"/>
          <w:highlight w:val="none"/>
          <w:lang w:val="zh-CN"/>
        </w:rPr>
        <w:t>和投标产品</w:t>
      </w:r>
      <w:r>
        <w:rPr>
          <w:rFonts w:hint="eastAsia" w:hAnsi="宋体" w:cs="宋体"/>
          <w:b/>
          <w:color w:val="auto"/>
          <w:sz w:val="36"/>
          <w:szCs w:val="36"/>
          <w:highlight w:val="none"/>
        </w:rPr>
        <w:t>的资格、资质性</w:t>
      </w:r>
      <w:bookmarkStart w:id="871" w:name="_Toc21759"/>
      <w:bookmarkStart w:id="872" w:name="_Toc17884"/>
      <w:bookmarkStart w:id="873" w:name="_Toc327196317"/>
      <w:bookmarkStart w:id="874" w:name="_Toc319439931"/>
      <w:bookmarkStart w:id="875" w:name="_Toc307501136"/>
      <w:bookmarkStart w:id="876" w:name="_Toc307564882"/>
      <w:r>
        <w:rPr>
          <w:rFonts w:hint="eastAsia" w:hAnsi="宋体" w:cs="宋体"/>
          <w:b/>
          <w:color w:val="auto"/>
          <w:sz w:val="36"/>
          <w:szCs w:val="36"/>
          <w:highlight w:val="none"/>
        </w:rPr>
        <w:t>及其他类似效力要求</w:t>
      </w:r>
      <w:bookmarkEnd w:id="776"/>
      <w:bookmarkEnd w:id="777"/>
      <w:bookmarkEnd w:id="867"/>
      <w:bookmarkEnd w:id="868"/>
      <w:bookmarkEnd w:id="869"/>
      <w:bookmarkEnd w:id="870"/>
      <w:bookmarkEnd w:id="871"/>
      <w:bookmarkEnd w:id="872"/>
      <w:bookmarkEnd w:id="873"/>
      <w:bookmarkEnd w:id="874"/>
      <w:bookmarkEnd w:id="875"/>
      <w:bookmarkEnd w:id="876"/>
    </w:p>
    <w:p>
      <w:pPr>
        <w:pStyle w:val="14"/>
        <w:spacing w:line="360" w:lineRule="auto"/>
        <w:rPr>
          <w:rFonts w:ascii="宋体" w:hAnsi="宋体" w:cs="宋体"/>
          <w:color w:val="auto"/>
          <w:highlight w:val="none"/>
          <w:lang w:val="zh-CN"/>
        </w:rPr>
      </w:pPr>
      <w:bookmarkStart w:id="877" w:name="_Toc14656"/>
      <w:bookmarkStart w:id="878" w:name="_Toc18335"/>
      <w:r>
        <w:rPr>
          <w:rFonts w:hint="eastAsia" w:ascii="宋体" w:hAnsi="宋体" w:cs="宋体"/>
          <w:color w:val="auto"/>
          <w:highlight w:val="none"/>
          <w:lang w:val="zh-CN"/>
        </w:rPr>
        <w:t>一、投标人的资格、资质性要求</w:t>
      </w:r>
    </w:p>
    <w:p>
      <w:pPr>
        <w:pStyle w:val="14"/>
        <w:spacing w:line="360" w:lineRule="auto"/>
        <w:ind w:firstLine="679" w:firstLineChars="283"/>
        <w:rPr>
          <w:rFonts w:ascii="宋体" w:hAnsi="宋体" w:cs="宋体"/>
          <w:color w:val="auto"/>
          <w:highlight w:val="none"/>
          <w:lang w:val="zh-CN"/>
        </w:rPr>
      </w:pPr>
      <w:r>
        <w:rPr>
          <w:rFonts w:hint="eastAsia" w:ascii="宋体" w:hAnsi="宋体" w:cs="宋体"/>
          <w:color w:val="auto"/>
          <w:highlight w:val="none"/>
          <w:lang w:val="zh-CN"/>
        </w:rPr>
        <w:t>（一）中华人民共和国政府采购法》第二十二条第一款第（一）至（五）规定的条件：</w:t>
      </w:r>
    </w:p>
    <w:p>
      <w:pPr>
        <w:pStyle w:val="14"/>
        <w:spacing w:line="360" w:lineRule="auto"/>
        <w:ind w:firstLine="679" w:firstLineChars="283"/>
        <w:rPr>
          <w:rFonts w:ascii="宋体" w:hAnsi="宋体" w:cs="宋体"/>
          <w:color w:val="auto"/>
          <w:highlight w:val="none"/>
          <w:lang w:val="zh-CN"/>
        </w:rPr>
      </w:pPr>
      <w:r>
        <w:rPr>
          <w:rFonts w:hint="eastAsia" w:ascii="宋体" w:hAnsi="宋体" w:cs="宋体"/>
          <w:color w:val="auto"/>
          <w:highlight w:val="none"/>
          <w:lang w:val="zh-CN"/>
        </w:rPr>
        <w:t>1、具有独立承担民事责任的能力；</w:t>
      </w:r>
    </w:p>
    <w:p>
      <w:pPr>
        <w:pStyle w:val="14"/>
        <w:spacing w:line="360" w:lineRule="auto"/>
        <w:ind w:firstLine="679" w:firstLineChars="283"/>
        <w:rPr>
          <w:rFonts w:ascii="宋体" w:hAnsi="宋体" w:cs="宋体"/>
          <w:color w:val="auto"/>
          <w:highlight w:val="none"/>
          <w:lang w:val="zh-CN"/>
        </w:rPr>
      </w:pPr>
      <w:r>
        <w:rPr>
          <w:rFonts w:hint="eastAsia" w:ascii="宋体" w:hAnsi="宋体" w:cs="宋体"/>
          <w:color w:val="auto"/>
          <w:highlight w:val="none"/>
          <w:lang w:val="zh-CN"/>
        </w:rPr>
        <w:t>2、具有良好的商业信誉和健全的财务会计制度；</w:t>
      </w:r>
    </w:p>
    <w:p>
      <w:pPr>
        <w:pStyle w:val="14"/>
        <w:spacing w:line="360" w:lineRule="auto"/>
        <w:ind w:firstLine="679" w:firstLineChars="283"/>
        <w:rPr>
          <w:rFonts w:ascii="宋体" w:hAnsi="宋体" w:cs="宋体"/>
          <w:color w:val="auto"/>
          <w:highlight w:val="none"/>
          <w:lang w:val="zh-CN"/>
        </w:rPr>
      </w:pPr>
      <w:r>
        <w:rPr>
          <w:rFonts w:hint="eastAsia" w:ascii="宋体" w:hAnsi="宋体" w:cs="宋体"/>
          <w:color w:val="auto"/>
          <w:highlight w:val="none"/>
          <w:lang w:val="zh-CN"/>
        </w:rPr>
        <w:t>3、具有履行合同所必需的设备和专业技术能力；</w:t>
      </w:r>
    </w:p>
    <w:p>
      <w:pPr>
        <w:pStyle w:val="14"/>
        <w:spacing w:line="360" w:lineRule="auto"/>
        <w:ind w:firstLine="679" w:firstLineChars="283"/>
        <w:rPr>
          <w:rFonts w:ascii="宋体" w:hAnsi="宋体" w:cs="宋体"/>
          <w:color w:val="auto"/>
          <w:highlight w:val="none"/>
          <w:lang w:val="zh-CN"/>
        </w:rPr>
      </w:pPr>
      <w:r>
        <w:rPr>
          <w:rFonts w:hint="eastAsia" w:ascii="宋体" w:hAnsi="宋体" w:cs="宋体"/>
          <w:color w:val="auto"/>
          <w:highlight w:val="none"/>
          <w:lang w:val="zh-CN"/>
        </w:rPr>
        <w:t>4、具有依法缴纳税收和社会保障资金的良好记录；</w:t>
      </w:r>
    </w:p>
    <w:p>
      <w:pPr>
        <w:pStyle w:val="14"/>
        <w:spacing w:line="360" w:lineRule="auto"/>
        <w:ind w:firstLine="679" w:firstLineChars="283"/>
        <w:rPr>
          <w:rFonts w:ascii="宋体" w:hAnsi="宋体" w:cs="宋体"/>
          <w:color w:val="auto"/>
          <w:highlight w:val="none"/>
          <w:lang w:val="zh-CN"/>
        </w:rPr>
      </w:pPr>
      <w:r>
        <w:rPr>
          <w:rFonts w:hint="eastAsia" w:ascii="宋体" w:hAnsi="宋体" w:cs="宋体"/>
          <w:color w:val="auto"/>
          <w:highlight w:val="none"/>
          <w:lang w:val="zh-CN"/>
        </w:rPr>
        <w:t>5、参加本次政府采购活动前三年内，在经营活动中没有重大违法记录。</w:t>
      </w:r>
    </w:p>
    <w:p>
      <w:pPr>
        <w:pStyle w:val="14"/>
        <w:spacing w:line="360" w:lineRule="auto"/>
        <w:ind w:firstLine="679" w:firstLineChars="283"/>
        <w:rPr>
          <w:rFonts w:ascii="宋体" w:hAnsi="宋体" w:cs="宋体"/>
          <w:color w:val="auto"/>
          <w:highlight w:val="none"/>
          <w:lang w:val="zh-CN"/>
        </w:rPr>
      </w:pPr>
      <w:r>
        <w:rPr>
          <w:rFonts w:hint="eastAsia" w:ascii="宋体" w:hAnsi="宋体" w:cs="宋体"/>
          <w:color w:val="auto"/>
          <w:highlight w:val="none"/>
          <w:lang w:val="zh-CN"/>
        </w:rPr>
        <w:t>（二）法律、行政法规规定的其他条件：</w:t>
      </w:r>
    </w:p>
    <w:p>
      <w:pPr>
        <w:pStyle w:val="14"/>
        <w:spacing w:line="360" w:lineRule="auto"/>
        <w:ind w:firstLine="679" w:firstLineChars="283"/>
        <w:rPr>
          <w:rFonts w:ascii="宋体" w:hAnsi="宋体" w:cs="宋体"/>
          <w:color w:val="auto"/>
          <w:highlight w:val="none"/>
          <w:lang w:val="zh-CN"/>
        </w:rPr>
      </w:pPr>
      <w:r>
        <w:rPr>
          <w:rFonts w:hint="eastAsia" w:ascii="宋体" w:hAnsi="宋体" w:cs="宋体"/>
          <w:color w:val="auto"/>
          <w:highlight w:val="none"/>
          <w:lang w:val="zh-CN"/>
        </w:rPr>
        <w:t>1、投标人单位及其现任法定代表人/主要负责人不得具有行贿犯罪记录。</w:t>
      </w:r>
    </w:p>
    <w:p>
      <w:pPr>
        <w:pStyle w:val="14"/>
        <w:spacing w:line="360" w:lineRule="auto"/>
        <w:ind w:firstLine="679" w:firstLineChars="283"/>
        <w:rPr>
          <w:rFonts w:ascii="宋体" w:hAnsi="宋体" w:cs="宋体"/>
          <w:color w:val="auto"/>
          <w:highlight w:val="none"/>
          <w:lang w:val="zh-CN"/>
        </w:rPr>
      </w:pPr>
      <w:r>
        <w:rPr>
          <w:rFonts w:hint="eastAsia" w:ascii="宋体" w:hAnsi="宋体" w:cs="宋体"/>
          <w:color w:val="auto"/>
          <w:highlight w:val="none"/>
          <w:lang w:val="zh-CN"/>
        </w:rPr>
        <w:t>2、单位负责人为同一人或者存在控股、管理关系的不同投标人，不得参加同一合同项下的政府采购活动。</w:t>
      </w:r>
    </w:p>
    <w:p>
      <w:pPr>
        <w:pStyle w:val="14"/>
        <w:spacing w:line="360" w:lineRule="auto"/>
        <w:ind w:firstLine="679" w:firstLineChars="283"/>
        <w:rPr>
          <w:rFonts w:ascii="宋体" w:hAnsi="宋体" w:cs="宋体"/>
          <w:color w:val="auto"/>
          <w:highlight w:val="none"/>
          <w:lang w:val="zh-CN"/>
        </w:rPr>
      </w:pPr>
      <w:r>
        <w:rPr>
          <w:rFonts w:hint="eastAsia" w:ascii="宋体" w:hAnsi="宋体" w:cs="宋体"/>
          <w:color w:val="auto"/>
          <w:highlight w:val="none"/>
          <w:lang w:val="zh-CN"/>
        </w:rPr>
        <w:t>3、投标人未对本次采购项目提供过整体设计、规范编制或者项目管理、监理、检测等服务。</w:t>
      </w:r>
    </w:p>
    <w:p>
      <w:pPr>
        <w:pStyle w:val="14"/>
        <w:spacing w:line="360" w:lineRule="auto"/>
        <w:ind w:firstLine="679" w:firstLineChars="283"/>
        <w:rPr>
          <w:rFonts w:ascii="宋体" w:hAnsi="宋体" w:cs="宋体"/>
          <w:color w:val="auto"/>
          <w:highlight w:val="none"/>
          <w:lang w:val="zh-CN"/>
        </w:rPr>
      </w:pPr>
      <w:r>
        <w:rPr>
          <w:rFonts w:hint="eastAsia" w:ascii="宋体" w:hAnsi="宋体" w:cs="宋体"/>
          <w:color w:val="auto"/>
          <w:highlight w:val="none"/>
          <w:lang w:val="zh-CN"/>
        </w:rPr>
        <w:t>（三）采购人根据采购项目提出的特殊要求：</w:t>
      </w:r>
    </w:p>
    <w:p>
      <w:pPr>
        <w:pStyle w:val="14"/>
        <w:spacing w:line="360" w:lineRule="auto"/>
        <w:ind w:firstLine="679" w:firstLineChars="283"/>
        <w:rPr>
          <w:rFonts w:ascii="宋体" w:hAnsi="宋体" w:cs="宋体"/>
          <w:color w:val="auto"/>
          <w:highlight w:val="none"/>
          <w:lang w:val="zh-CN"/>
        </w:rPr>
      </w:pPr>
      <w:r>
        <w:rPr>
          <w:rFonts w:hint="eastAsia" w:ascii="宋体" w:hAnsi="宋体" w:cs="宋体"/>
          <w:color w:val="auto"/>
          <w:highlight w:val="none"/>
          <w:lang w:val="zh-CN"/>
        </w:rPr>
        <w:t>供应商具备建设行政主管部门颁发的消防设施工程专业承包二级及以上资质，且具有有效的安全生产许可证。</w:t>
      </w:r>
    </w:p>
    <w:p>
      <w:pPr>
        <w:pStyle w:val="14"/>
        <w:spacing w:line="360" w:lineRule="auto"/>
        <w:ind w:firstLine="679" w:firstLineChars="283"/>
        <w:rPr>
          <w:rFonts w:ascii="宋体" w:hAnsi="宋体" w:cs="宋体"/>
          <w:color w:val="auto"/>
          <w:highlight w:val="none"/>
          <w:lang w:val="zh-CN"/>
        </w:rPr>
      </w:pPr>
      <w:r>
        <w:rPr>
          <w:rFonts w:hint="eastAsia" w:ascii="宋体" w:hAnsi="宋体" w:cs="宋体"/>
          <w:color w:val="auto"/>
          <w:highlight w:val="none"/>
          <w:lang w:val="zh-CN"/>
        </w:rPr>
        <w:t>（四）本项目不接受联合体投标。</w:t>
      </w:r>
    </w:p>
    <w:p>
      <w:pPr>
        <w:pStyle w:val="14"/>
        <w:spacing w:line="360" w:lineRule="auto"/>
        <w:rPr>
          <w:rFonts w:ascii="宋体" w:hAnsi="宋体" w:cs="宋体"/>
          <w:color w:val="auto"/>
          <w:highlight w:val="none"/>
          <w:lang w:val="zh-CN"/>
        </w:rPr>
      </w:pPr>
      <w:r>
        <w:rPr>
          <w:rFonts w:hint="eastAsia" w:ascii="宋体" w:hAnsi="宋体" w:cs="宋体"/>
          <w:color w:val="auto"/>
          <w:highlight w:val="none"/>
          <w:lang w:val="zh-CN"/>
        </w:rPr>
        <w:t>二、投标产品的资格、资质性要求：</w:t>
      </w:r>
    </w:p>
    <w:p>
      <w:pPr>
        <w:pStyle w:val="14"/>
        <w:spacing w:line="360" w:lineRule="auto"/>
        <w:ind w:firstLine="679" w:firstLineChars="283"/>
        <w:rPr>
          <w:rFonts w:ascii="宋体" w:hAnsi="宋体" w:cs="宋体"/>
          <w:color w:val="auto"/>
          <w:highlight w:val="none"/>
          <w:lang w:val="zh-CN"/>
        </w:rPr>
      </w:pPr>
      <w:r>
        <w:rPr>
          <w:rFonts w:hint="eastAsia" w:ascii="宋体" w:hAnsi="宋体" w:cs="宋体"/>
          <w:color w:val="auto"/>
          <w:highlight w:val="none"/>
          <w:lang w:val="zh-CN"/>
        </w:rPr>
        <w:t>无。</w:t>
      </w:r>
    </w:p>
    <w:p>
      <w:pPr>
        <w:pStyle w:val="14"/>
        <w:spacing w:line="360" w:lineRule="auto"/>
        <w:rPr>
          <w:rFonts w:ascii="宋体" w:hAnsi="宋体" w:cs="宋体"/>
          <w:color w:val="auto"/>
          <w:highlight w:val="none"/>
          <w:lang w:val="zh-CN"/>
        </w:rPr>
      </w:pPr>
      <w:r>
        <w:rPr>
          <w:rFonts w:hint="eastAsia" w:ascii="宋体" w:hAnsi="宋体" w:cs="宋体"/>
          <w:color w:val="auto"/>
          <w:highlight w:val="none"/>
          <w:lang w:val="zh-CN"/>
        </w:rPr>
        <w:t>三、其他类似效力要求：</w:t>
      </w:r>
    </w:p>
    <w:p>
      <w:pPr>
        <w:pStyle w:val="14"/>
        <w:spacing w:line="360" w:lineRule="auto"/>
        <w:ind w:firstLine="679" w:firstLineChars="283"/>
        <w:rPr>
          <w:rFonts w:ascii="宋体" w:hAnsi="宋体" w:cs="宋体"/>
          <w:color w:val="auto"/>
          <w:highlight w:val="none"/>
          <w:lang w:val="zh-CN"/>
        </w:rPr>
      </w:pPr>
      <w:r>
        <w:rPr>
          <w:rFonts w:hint="eastAsia" w:ascii="宋体" w:hAnsi="宋体" w:cs="宋体"/>
          <w:color w:val="auto"/>
          <w:highlight w:val="none"/>
          <w:lang w:val="zh-CN"/>
        </w:rPr>
        <w:t>授权参加本次投标活动的投标人代表。</w:t>
      </w:r>
    </w:p>
    <w:p>
      <w:pPr>
        <w:rPr>
          <w:rFonts w:hAnsi="宋体" w:cs="宋体"/>
          <w:color w:val="auto"/>
          <w:highlight w:val="none"/>
          <w:lang w:val="zh-CN"/>
        </w:rPr>
      </w:pPr>
    </w:p>
    <w:p>
      <w:pPr>
        <w:pStyle w:val="62"/>
        <w:ind w:firstLine="472" w:firstLineChars="196"/>
        <w:jc w:val="left"/>
        <w:rPr>
          <w:rFonts w:ascii="宋体" w:hAnsi="宋体" w:cs="宋体"/>
          <w:b/>
          <w:color w:val="auto"/>
          <w:sz w:val="24"/>
          <w:szCs w:val="22"/>
          <w:highlight w:val="none"/>
        </w:rPr>
      </w:pPr>
      <w:r>
        <w:rPr>
          <w:rFonts w:hint="eastAsia" w:ascii="宋体" w:hAnsi="宋体" w:cs="宋体"/>
          <w:b/>
          <w:color w:val="auto"/>
          <w:sz w:val="24"/>
          <w:highlight w:val="none"/>
        </w:rPr>
        <w:t>注</w:t>
      </w:r>
      <w:r>
        <w:rPr>
          <w:rFonts w:hint="eastAsia" w:ascii="宋体" w:hAnsi="宋体" w:cs="宋体"/>
          <w:b/>
          <w:color w:val="auto"/>
          <w:sz w:val="24"/>
          <w:szCs w:val="22"/>
          <w:highlight w:val="none"/>
        </w:rPr>
        <w:t xml:space="preserve">：1、本项目确定供应商重大违法记录中较大数额罚款的金额标准为：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 </w:t>
      </w:r>
    </w:p>
    <w:p>
      <w:pPr>
        <w:pStyle w:val="62"/>
        <w:ind w:firstLine="472" w:firstLineChars="196"/>
        <w:jc w:val="left"/>
        <w:rPr>
          <w:rFonts w:ascii="宋体" w:hAnsi="宋体" w:cs="宋体"/>
          <w:b/>
          <w:color w:val="auto"/>
          <w:sz w:val="24"/>
          <w:highlight w:val="none"/>
        </w:rPr>
      </w:pPr>
      <w:r>
        <w:rPr>
          <w:rFonts w:hint="eastAsia" w:ascii="宋体" w:hAnsi="宋体" w:cs="宋体"/>
          <w:b/>
          <w:color w:val="auto"/>
          <w:sz w:val="24"/>
          <w:szCs w:val="22"/>
          <w:highlight w:val="none"/>
        </w:rPr>
        <w:t>2、供应商在参加政府采购活动前，被纳入法院、工商行政管理部门、税务部门、银行认定的失信名单且在有效期内，本项目不认定其具有良好的商业信誉。</w:t>
      </w:r>
    </w:p>
    <w:p>
      <w:pPr>
        <w:pStyle w:val="14"/>
        <w:rPr>
          <w:rFonts w:ascii="宋体" w:hAnsi="宋体" w:cs="宋体"/>
          <w:color w:val="auto"/>
          <w:highlight w:val="none"/>
          <w:lang w:val="zh-CN"/>
        </w:rPr>
      </w:pPr>
    </w:p>
    <w:p>
      <w:pPr>
        <w:wordWrap w:val="0"/>
        <w:topLinePunct/>
        <w:spacing w:after="50" w:line="440" w:lineRule="exact"/>
        <w:rPr>
          <w:rFonts w:hAnsi="宋体" w:cs="宋体"/>
          <w:color w:val="auto"/>
          <w:sz w:val="24"/>
          <w:szCs w:val="20"/>
          <w:highlight w:val="none"/>
          <w:lang w:val="zh-CN"/>
        </w:rPr>
      </w:pPr>
    </w:p>
    <w:bookmarkEnd w:id="877"/>
    <w:bookmarkEnd w:id="878"/>
    <w:p>
      <w:pPr>
        <w:ind w:left="-874" w:leftChars="-257"/>
        <w:rPr>
          <w:rFonts w:hAnsi="宋体" w:cs="宋体"/>
          <w:color w:val="auto"/>
          <w:highlight w:val="none"/>
        </w:rPr>
      </w:pPr>
    </w:p>
    <w:p>
      <w:pPr>
        <w:pStyle w:val="4"/>
        <w:spacing w:before="260" w:after="260" w:line="360" w:lineRule="auto"/>
        <w:jc w:val="center"/>
        <w:rPr>
          <w:rFonts w:ascii="宋体" w:hAnsi="宋体" w:cs="宋体"/>
          <w:bCs w:val="0"/>
          <w:color w:val="auto"/>
          <w:sz w:val="36"/>
          <w:highlight w:val="none"/>
        </w:rPr>
      </w:pPr>
      <w:bookmarkStart w:id="879" w:name="_Toc24888"/>
      <w:r>
        <w:rPr>
          <w:rFonts w:hint="eastAsia" w:ascii="宋体" w:hAnsi="宋体" w:cs="宋体"/>
          <w:bCs w:val="0"/>
          <w:color w:val="auto"/>
          <w:sz w:val="36"/>
          <w:highlight w:val="none"/>
        </w:rPr>
        <w:br w:type="page"/>
      </w:r>
      <w:bookmarkStart w:id="880" w:name="_Toc32032"/>
      <w:bookmarkStart w:id="881" w:name="_Toc22956"/>
      <w:bookmarkStart w:id="882" w:name="_Toc29476"/>
      <w:bookmarkStart w:id="883" w:name="_Toc30333"/>
      <w:bookmarkStart w:id="884" w:name="_Toc7008"/>
      <w:r>
        <w:rPr>
          <w:rFonts w:hint="eastAsia" w:ascii="宋体" w:hAnsi="宋体" w:cs="宋体"/>
          <w:bCs w:val="0"/>
          <w:color w:val="auto"/>
          <w:sz w:val="36"/>
          <w:szCs w:val="36"/>
          <w:highlight w:val="none"/>
        </w:rPr>
        <w:t xml:space="preserve">第五章 </w:t>
      </w:r>
      <w:bookmarkEnd w:id="879"/>
      <w:bookmarkEnd w:id="880"/>
      <w:bookmarkEnd w:id="881"/>
      <w:r>
        <w:rPr>
          <w:rFonts w:hint="eastAsia" w:ascii="宋体" w:hAnsi="宋体" w:cs="宋体"/>
          <w:bCs w:val="0"/>
          <w:color w:val="auto"/>
          <w:sz w:val="36"/>
          <w:szCs w:val="36"/>
          <w:highlight w:val="none"/>
        </w:rPr>
        <w:t>资格性审查</w:t>
      </w:r>
      <w:bookmarkEnd w:id="882"/>
      <w:bookmarkEnd w:id="883"/>
      <w:bookmarkEnd w:id="884"/>
    </w:p>
    <w:p>
      <w:pPr>
        <w:wordWrap w:val="0"/>
        <w:topLinePunct/>
        <w:spacing w:after="50" w:line="360" w:lineRule="auto"/>
        <w:ind w:firstLine="480" w:firstLineChars="200"/>
        <w:rPr>
          <w:rFonts w:hAnsi="宋体" w:cs="宋体"/>
          <w:bCs/>
          <w:color w:val="auto"/>
          <w:sz w:val="24"/>
          <w:szCs w:val="24"/>
          <w:highlight w:val="none"/>
        </w:rPr>
      </w:pPr>
      <w:bookmarkStart w:id="885" w:name="_Toc327196332"/>
      <w:bookmarkStart w:id="886" w:name="_Toc32482"/>
      <w:r>
        <w:rPr>
          <w:rFonts w:hint="eastAsia" w:hAnsi="宋体" w:cs="宋体"/>
          <w:bCs/>
          <w:color w:val="auto"/>
          <w:sz w:val="24"/>
          <w:szCs w:val="24"/>
          <w:highlight w:val="none"/>
        </w:rPr>
        <w:t>一、投标人的资格、资质性要求相关证明材料：</w:t>
      </w:r>
    </w:p>
    <w:p>
      <w:pPr>
        <w:wordWrap w:val="0"/>
        <w:topLinePunct/>
        <w:spacing w:after="50" w:line="360" w:lineRule="auto"/>
        <w:ind w:firstLine="480" w:firstLineChars="200"/>
        <w:rPr>
          <w:rFonts w:hAnsi="宋体" w:cs="宋体"/>
          <w:bCs/>
          <w:color w:val="auto"/>
          <w:sz w:val="24"/>
          <w:szCs w:val="24"/>
          <w:highlight w:val="none"/>
          <w:lang w:val="zh-CN"/>
        </w:rPr>
      </w:pPr>
      <w:r>
        <w:rPr>
          <w:rFonts w:hint="eastAsia" w:hAnsi="宋体" w:cs="宋体"/>
          <w:bCs/>
          <w:color w:val="auto"/>
          <w:sz w:val="24"/>
          <w:szCs w:val="24"/>
          <w:highlight w:val="none"/>
          <w:lang w:val="zh-CN"/>
        </w:rPr>
        <w:t>（一）具有独立承担民事责任能力的证明材料复印件：</w:t>
      </w:r>
    </w:p>
    <w:p>
      <w:pPr>
        <w:wordWrap w:val="0"/>
        <w:topLinePunct/>
        <w:spacing w:after="50" w:line="360" w:lineRule="auto"/>
        <w:ind w:firstLine="480" w:firstLineChars="200"/>
        <w:rPr>
          <w:rFonts w:hAnsi="宋体" w:cs="宋体"/>
          <w:bCs/>
          <w:color w:val="auto"/>
          <w:sz w:val="24"/>
          <w:szCs w:val="24"/>
          <w:highlight w:val="none"/>
          <w:lang w:val="zh-CN"/>
        </w:rPr>
      </w:pPr>
      <w:r>
        <w:rPr>
          <w:rFonts w:hint="eastAsia" w:hAnsi="宋体" w:cs="宋体"/>
          <w:bCs/>
          <w:color w:val="auto"/>
          <w:sz w:val="24"/>
          <w:szCs w:val="24"/>
          <w:highlight w:val="none"/>
        </w:rPr>
        <w:t>1、</w:t>
      </w:r>
      <w:r>
        <w:rPr>
          <w:rFonts w:hint="eastAsia" w:hAnsi="宋体" w:cs="宋体"/>
          <w:bCs/>
          <w:color w:val="auto"/>
          <w:sz w:val="24"/>
          <w:szCs w:val="24"/>
          <w:highlight w:val="none"/>
          <w:lang w:val="zh-CN"/>
        </w:rPr>
        <w:t>企业法人：提供“统一社会信用代码营业执照”；</w:t>
      </w:r>
    </w:p>
    <w:p>
      <w:pPr>
        <w:wordWrap w:val="0"/>
        <w:topLinePunct/>
        <w:spacing w:after="50" w:line="360" w:lineRule="auto"/>
        <w:ind w:firstLine="480" w:firstLineChars="200"/>
        <w:rPr>
          <w:rFonts w:hAnsi="宋体" w:cs="宋体"/>
          <w:bCs/>
          <w:color w:val="auto"/>
          <w:sz w:val="24"/>
          <w:szCs w:val="24"/>
          <w:highlight w:val="none"/>
          <w:lang w:val="zh-CN"/>
        </w:rPr>
      </w:pPr>
      <w:r>
        <w:rPr>
          <w:rFonts w:hint="eastAsia" w:hAnsi="宋体" w:cs="宋体"/>
          <w:bCs/>
          <w:color w:val="auto"/>
          <w:sz w:val="24"/>
          <w:szCs w:val="24"/>
          <w:highlight w:val="none"/>
        </w:rPr>
        <w:t>2、</w:t>
      </w:r>
      <w:r>
        <w:rPr>
          <w:rFonts w:hint="eastAsia" w:hAnsi="宋体" w:cs="宋体"/>
          <w:bCs/>
          <w:color w:val="auto"/>
          <w:sz w:val="24"/>
          <w:szCs w:val="24"/>
          <w:highlight w:val="none"/>
          <w:lang w:val="zh-CN"/>
        </w:rPr>
        <w:t>事业法人：提供“统一社会信用代码法人登记证书”；</w:t>
      </w:r>
    </w:p>
    <w:p>
      <w:pPr>
        <w:wordWrap w:val="0"/>
        <w:topLinePunct/>
        <w:spacing w:after="50" w:line="360" w:lineRule="auto"/>
        <w:ind w:firstLine="480" w:firstLineChars="200"/>
        <w:rPr>
          <w:rFonts w:hAnsi="宋体" w:cs="宋体"/>
          <w:bCs/>
          <w:color w:val="auto"/>
          <w:sz w:val="24"/>
          <w:szCs w:val="24"/>
          <w:highlight w:val="none"/>
          <w:lang w:val="zh-CN"/>
        </w:rPr>
      </w:pPr>
      <w:r>
        <w:rPr>
          <w:rFonts w:hint="eastAsia" w:hAnsi="宋体" w:cs="宋体"/>
          <w:bCs/>
          <w:color w:val="auto"/>
          <w:sz w:val="24"/>
          <w:szCs w:val="24"/>
          <w:highlight w:val="none"/>
        </w:rPr>
        <w:t>3、</w:t>
      </w:r>
      <w:r>
        <w:rPr>
          <w:rFonts w:hint="eastAsia" w:hAnsi="宋体" w:cs="宋体"/>
          <w:bCs/>
          <w:color w:val="auto"/>
          <w:sz w:val="24"/>
          <w:szCs w:val="24"/>
          <w:highlight w:val="none"/>
          <w:lang w:val="zh-CN"/>
        </w:rPr>
        <w:t>其他组织：提供“对应主管部门颁发的准许执业证明文件”或“统一社会信用代码的社会团体法人登记证书”或“统一社会信用代码的民办非企业单位登记证书”或“统一社会信用代码的基金会法人登记证书”；</w:t>
      </w:r>
    </w:p>
    <w:p>
      <w:pPr>
        <w:wordWrap w:val="0"/>
        <w:topLinePunct/>
        <w:spacing w:after="50"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4、个体工商户</w:t>
      </w:r>
      <w:r>
        <w:rPr>
          <w:rFonts w:hint="eastAsia" w:hAnsi="宋体" w:cs="宋体"/>
          <w:bCs/>
          <w:color w:val="auto"/>
          <w:sz w:val="24"/>
          <w:szCs w:val="24"/>
          <w:highlight w:val="none"/>
          <w:lang w:val="zh-CN"/>
        </w:rPr>
        <w:t>：提供“统一社会信用代码营业执照”；</w:t>
      </w:r>
    </w:p>
    <w:p>
      <w:pPr>
        <w:wordWrap w:val="0"/>
        <w:topLinePunct/>
        <w:spacing w:after="50" w:line="360" w:lineRule="auto"/>
        <w:ind w:firstLine="480" w:firstLineChars="200"/>
        <w:rPr>
          <w:rFonts w:hAnsi="宋体" w:cs="宋体"/>
          <w:bCs/>
          <w:color w:val="auto"/>
          <w:sz w:val="24"/>
          <w:szCs w:val="24"/>
          <w:highlight w:val="none"/>
          <w:lang w:val="zh-CN"/>
        </w:rPr>
      </w:pPr>
      <w:r>
        <w:rPr>
          <w:rFonts w:hint="eastAsia" w:hAnsi="宋体" w:cs="宋体"/>
          <w:bCs/>
          <w:color w:val="auto"/>
          <w:sz w:val="24"/>
          <w:szCs w:val="24"/>
          <w:highlight w:val="none"/>
        </w:rPr>
        <w:t>5、</w:t>
      </w:r>
      <w:r>
        <w:rPr>
          <w:rFonts w:hint="eastAsia" w:hAnsi="宋体" w:cs="宋体"/>
          <w:bCs/>
          <w:color w:val="auto"/>
          <w:sz w:val="24"/>
          <w:szCs w:val="24"/>
          <w:highlight w:val="none"/>
          <w:lang w:val="zh-CN"/>
        </w:rPr>
        <w:t>自然人：提供“身份证明材料”。</w:t>
      </w:r>
    </w:p>
    <w:p>
      <w:pPr>
        <w:wordWrap w:val="0"/>
        <w:topLinePunct/>
        <w:spacing w:after="50" w:line="360" w:lineRule="auto"/>
        <w:ind w:firstLine="480" w:firstLineChars="200"/>
        <w:rPr>
          <w:rFonts w:hAnsi="宋体" w:cs="宋体"/>
          <w:bCs/>
          <w:color w:val="auto"/>
          <w:sz w:val="24"/>
          <w:szCs w:val="24"/>
          <w:highlight w:val="none"/>
          <w:lang w:val="zh-CN"/>
        </w:rPr>
      </w:pPr>
      <w:r>
        <w:rPr>
          <w:rFonts w:hint="eastAsia" w:hAnsi="宋体" w:cs="宋体"/>
          <w:bCs/>
          <w:color w:val="auto"/>
          <w:sz w:val="24"/>
          <w:szCs w:val="24"/>
          <w:highlight w:val="none"/>
          <w:lang w:val="zh-CN"/>
        </w:rPr>
        <w:t>（二）具有良好的商业信誉的承诺函原件。</w:t>
      </w:r>
    </w:p>
    <w:p>
      <w:pPr>
        <w:wordWrap w:val="0"/>
        <w:topLinePunct/>
        <w:spacing w:after="50" w:line="360" w:lineRule="auto"/>
        <w:ind w:firstLine="480" w:firstLineChars="200"/>
        <w:rPr>
          <w:rFonts w:hAnsi="宋体" w:cs="宋体"/>
          <w:bCs/>
          <w:color w:val="auto"/>
          <w:sz w:val="24"/>
          <w:szCs w:val="24"/>
          <w:highlight w:val="none"/>
          <w:lang w:val="zh-CN"/>
        </w:rPr>
      </w:pPr>
      <w:r>
        <w:rPr>
          <w:rFonts w:hint="eastAsia" w:hAnsi="宋体" w:cs="宋体"/>
          <w:bCs/>
          <w:color w:val="auto"/>
          <w:sz w:val="24"/>
          <w:szCs w:val="24"/>
          <w:highlight w:val="none"/>
          <w:lang w:val="zh-CN"/>
        </w:rPr>
        <w:t>（三）</w:t>
      </w:r>
      <w:r>
        <w:rPr>
          <w:rFonts w:hint="eastAsia" w:hAnsi="宋体" w:cs="宋体"/>
          <w:bCs/>
          <w:color w:val="auto"/>
          <w:sz w:val="24"/>
          <w:szCs w:val="24"/>
          <w:highlight w:val="none"/>
        </w:rPr>
        <w:t>具备健全的财务会计制度证明材料复印件：</w:t>
      </w:r>
    </w:p>
    <w:p>
      <w:pPr>
        <w:wordWrap w:val="0"/>
        <w:topLinePunct/>
        <w:spacing w:after="50" w:line="360" w:lineRule="auto"/>
        <w:ind w:firstLine="480" w:firstLineChars="200"/>
        <w:rPr>
          <w:rFonts w:hAnsi="宋体" w:cs="宋体"/>
          <w:bCs/>
          <w:color w:val="auto"/>
          <w:sz w:val="24"/>
          <w:szCs w:val="24"/>
          <w:highlight w:val="none"/>
          <w:lang w:val="zh-CN"/>
        </w:rPr>
      </w:pPr>
      <w:r>
        <w:rPr>
          <w:rFonts w:hint="eastAsia" w:hAnsi="宋体" w:cs="宋体"/>
          <w:bCs/>
          <w:color w:val="auto"/>
          <w:sz w:val="24"/>
          <w:szCs w:val="24"/>
          <w:highlight w:val="none"/>
        </w:rPr>
        <w:t>成立满一年的</w:t>
      </w:r>
      <w:r>
        <w:rPr>
          <w:rFonts w:hint="eastAsia" w:hAnsi="宋体" w:cs="宋体"/>
          <w:bCs/>
          <w:color w:val="auto"/>
          <w:sz w:val="24"/>
          <w:szCs w:val="24"/>
          <w:highlight w:val="none"/>
          <w:lang w:val="zh-CN"/>
        </w:rPr>
        <w:t>企业法人（</w:t>
      </w:r>
      <w:r>
        <w:rPr>
          <w:rFonts w:hint="eastAsia" w:hAnsi="宋体" w:cs="宋体"/>
          <w:bCs/>
          <w:color w:val="auto"/>
          <w:sz w:val="24"/>
          <w:szCs w:val="24"/>
          <w:highlight w:val="none"/>
        </w:rPr>
        <w:t>以下三项内容任选一项即可</w:t>
      </w:r>
      <w:r>
        <w:rPr>
          <w:rFonts w:hint="eastAsia" w:hAnsi="宋体" w:cs="宋体"/>
          <w:bCs/>
          <w:color w:val="auto"/>
          <w:sz w:val="24"/>
          <w:szCs w:val="24"/>
          <w:highlight w:val="none"/>
          <w:lang w:val="zh-CN"/>
        </w:rPr>
        <w:t>）：</w:t>
      </w:r>
    </w:p>
    <w:p>
      <w:pPr>
        <w:wordWrap w:val="0"/>
        <w:topLinePunct/>
        <w:spacing w:after="50" w:line="360" w:lineRule="auto"/>
        <w:ind w:firstLine="480" w:firstLineChars="200"/>
        <w:rPr>
          <w:rFonts w:hAnsi="宋体" w:cs="宋体"/>
          <w:bCs/>
          <w:color w:val="auto"/>
          <w:sz w:val="24"/>
          <w:szCs w:val="24"/>
          <w:highlight w:val="none"/>
          <w:lang w:val="zh-CN"/>
        </w:rPr>
      </w:pPr>
      <w:r>
        <w:rPr>
          <w:rFonts w:hint="eastAsia" w:hAnsi="宋体" w:cs="宋体"/>
          <w:bCs/>
          <w:color w:val="auto"/>
          <w:sz w:val="24"/>
          <w:szCs w:val="24"/>
          <w:highlight w:val="none"/>
          <w:lang w:val="zh-CN"/>
        </w:rPr>
        <w:t>①可提供</w:t>
      </w:r>
      <w:r>
        <w:rPr>
          <w:rFonts w:hint="eastAsia" w:hAnsi="宋体" w:cs="宋体"/>
          <w:bCs/>
          <w:color w:val="auto"/>
          <w:sz w:val="24"/>
          <w:szCs w:val="24"/>
          <w:highlight w:val="none"/>
        </w:rPr>
        <w:t>2019年度或2020年度</w:t>
      </w:r>
      <w:r>
        <w:rPr>
          <w:rFonts w:hint="eastAsia" w:hAnsi="宋体" w:cs="宋体"/>
          <w:bCs/>
          <w:color w:val="auto"/>
          <w:sz w:val="24"/>
          <w:szCs w:val="24"/>
          <w:highlight w:val="none"/>
          <w:lang w:val="zh-CN"/>
        </w:rPr>
        <w:t>会计师事务所</w:t>
      </w:r>
      <w:r>
        <w:rPr>
          <w:rFonts w:hint="eastAsia" w:hAnsi="宋体" w:cs="宋体"/>
          <w:bCs/>
          <w:color w:val="auto"/>
          <w:sz w:val="24"/>
          <w:szCs w:val="24"/>
          <w:highlight w:val="none"/>
        </w:rPr>
        <w:t>出具的</w:t>
      </w:r>
      <w:r>
        <w:rPr>
          <w:rFonts w:hint="eastAsia" w:hAnsi="宋体" w:cs="宋体"/>
          <w:bCs/>
          <w:color w:val="auto"/>
          <w:sz w:val="24"/>
          <w:szCs w:val="24"/>
          <w:highlight w:val="none"/>
          <w:lang w:val="zh-CN"/>
        </w:rPr>
        <w:t>审计报告复印件。</w:t>
      </w:r>
    </w:p>
    <w:p>
      <w:pPr>
        <w:wordWrap w:val="0"/>
        <w:topLinePunct/>
        <w:spacing w:after="50"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注：会计师事务所出具的审计报告应</w:t>
      </w:r>
      <w:r>
        <w:rPr>
          <w:rFonts w:hint="eastAsia" w:hAnsi="宋体" w:cs="宋体"/>
          <w:bCs/>
          <w:color w:val="auto"/>
          <w:sz w:val="24"/>
          <w:szCs w:val="24"/>
          <w:highlight w:val="none"/>
          <w:lang w:val="zh-CN"/>
        </w:rPr>
        <w:t>包含审计报告、所涉及的财务报表、报表附注、</w:t>
      </w:r>
      <w:r>
        <w:rPr>
          <w:rFonts w:hint="eastAsia" w:hAnsi="宋体" w:cs="宋体"/>
          <w:bCs/>
          <w:color w:val="auto"/>
          <w:sz w:val="24"/>
          <w:szCs w:val="24"/>
          <w:highlight w:val="none"/>
        </w:rPr>
        <w:t>会计师事务所营业执照、会计师事务所执业证书、</w:t>
      </w:r>
      <w:r>
        <w:rPr>
          <w:rFonts w:hint="eastAsia" w:hAnsi="宋体" w:cs="宋体"/>
          <w:bCs/>
          <w:color w:val="auto"/>
          <w:sz w:val="24"/>
          <w:szCs w:val="24"/>
          <w:highlight w:val="none"/>
          <w:lang w:val="zh-CN"/>
        </w:rPr>
        <w:t>签署审计报告的注册会计师</w:t>
      </w:r>
      <w:r>
        <w:rPr>
          <w:rFonts w:hint="eastAsia" w:hAnsi="宋体" w:cs="宋体"/>
          <w:bCs/>
          <w:color w:val="auto"/>
          <w:sz w:val="24"/>
          <w:szCs w:val="24"/>
          <w:highlight w:val="none"/>
        </w:rPr>
        <w:t>执业</w:t>
      </w:r>
      <w:r>
        <w:rPr>
          <w:rFonts w:hint="eastAsia" w:hAnsi="宋体" w:cs="宋体"/>
          <w:bCs/>
          <w:color w:val="auto"/>
          <w:sz w:val="24"/>
          <w:szCs w:val="24"/>
          <w:highlight w:val="none"/>
          <w:lang w:val="zh-CN"/>
        </w:rPr>
        <w:t>证明</w:t>
      </w:r>
      <w:r>
        <w:rPr>
          <w:rFonts w:hint="eastAsia" w:hAnsi="宋体" w:cs="宋体"/>
          <w:bCs/>
          <w:color w:val="auto"/>
          <w:sz w:val="24"/>
          <w:szCs w:val="24"/>
          <w:highlight w:val="none"/>
        </w:rPr>
        <w:t>。</w:t>
      </w:r>
    </w:p>
    <w:p>
      <w:pPr>
        <w:wordWrap w:val="0"/>
        <w:topLinePunct/>
        <w:spacing w:after="50"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若是由</w:t>
      </w:r>
      <w:r>
        <w:rPr>
          <w:rFonts w:hint="eastAsia" w:hAnsi="宋体" w:cs="宋体"/>
          <w:bCs/>
          <w:color w:val="auto"/>
          <w:sz w:val="24"/>
          <w:szCs w:val="24"/>
          <w:highlight w:val="none"/>
          <w:lang w:val="zh-CN"/>
        </w:rPr>
        <w:fldChar w:fldCharType="begin"/>
      </w:r>
      <w:r>
        <w:rPr>
          <w:rFonts w:hint="eastAsia" w:hAnsi="宋体" w:cs="宋体"/>
          <w:bCs/>
          <w:color w:val="auto"/>
          <w:sz w:val="24"/>
          <w:szCs w:val="24"/>
          <w:highlight w:val="none"/>
          <w:lang w:val="zh-CN"/>
        </w:rPr>
        <w:instrText xml:space="preserve"> HYPERLINK "https://www.baidu.com/s?wd=%E6%9C%89%E9%99%90%E8%B4%A3%E4%BB%BB&amp;tn=SE_PcZhidaonwhc_ngpagmjz&amp;rsv_dl=gh_pc_zhidao" \t "https://zhidao.baidu.com/question/_blank" </w:instrText>
      </w:r>
      <w:r>
        <w:rPr>
          <w:rFonts w:hint="eastAsia" w:hAnsi="宋体" w:cs="宋体"/>
          <w:bCs/>
          <w:color w:val="auto"/>
          <w:sz w:val="24"/>
          <w:szCs w:val="24"/>
          <w:highlight w:val="none"/>
          <w:lang w:val="zh-CN"/>
        </w:rPr>
        <w:fldChar w:fldCharType="separate"/>
      </w:r>
      <w:r>
        <w:rPr>
          <w:rFonts w:hint="eastAsia" w:hAnsi="宋体" w:cs="宋体"/>
          <w:bCs/>
          <w:color w:val="auto"/>
          <w:sz w:val="24"/>
          <w:szCs w:val="24"/>
          <w:highlight w:val="none"/>
          <w:lang w:val="zh-CN"/>
        </w:rPr>
        <w:t>有限责任</w:t>
      </w:r>
      <w:r>
        <w:rPr>
          <w:rFonts w:hint="eastAsia" w:hAnsi="宋体" w:cs="宋体"/>
          <w:bCs/>
          <w:color w:val="auto"/>
          <w:sz w:val="24"/>
          <w:szCs w:val="24"/>
          <w:highlight w:val="none"/>
          <w:lang w:val="zh-CN"/>
        </w:rPr>
        <w:fldChar w:fldCharType="end"/>
      </w:r>
      <w:r>
        <w:rPr>
          <w:rFonts w:hint="eastAsia" w:hAnsi="宋体" w:cs="宋体"/>
          <w:bCs/>
          <w:color w:val="auto"/>
          <w:sz w:val="24"/>
          <w:szCs w:val="24"/>
          <w:highlight w:val="none"/>
          <w:lang w:val="zh-CN"/>
        </w:rPr>
        <w:t>会计师事务所出具的审计报告，</w:t>
      </w:r>
      <w:r>
        <w:rPr>
          <w:rFonts w:hint="eastAsia" w:hAnsi="宋体" w:cs="宋体"/>
          <w:bCs/>
          <w:color w:val="auto"/>
          <w:sz w:val="24"/>
          <w:szCs w:val="24"/>
          <w:highlight w:val="none"/>
        </w:rPr>
        <w:t>主任会计师未签署审计报告的，</w:t>
      </w:r>
      <w:r>
        <w:rPr>
          <w:rFonts w:hint="eastAsia" w:hAnsi="宋体" w:cs="宋体"/>
          <w:bCs/>
          <w:color w:val="auto"/>
          <w:sz w:val="24"/>
          <w:szCs w:val="24"/>
          <w:highlight w:val="none"/>
          <w:lang w:val="zh-CN"/>
        </w:rPr>
        <w:t>应当</w:t>
      </w:r>
      <w:r>
        <w:rPr>
          <w:rFonts w:hint="eastAsia" w:hAnsi="宋体" w:cs="宋体"/>
          <w:bCs/>
          <w:color w:val="auto"/>
          <w:sz w:val="24"/>
          <w:szCs w:val="24"/>
          <w:highlight w:val="none"/>
        </w:rPr>
        <w:t>提供</w:t>
      </w:r>
      <w:r>
        <w:rPr>
          <w:rFonts w:hint="eastAsia" w:hAnsi="宋体" w:cs="宋体"/>
          <w:bCs/>
          <w:color w:val="auto"/>
          <w:sz w:val="24"/>
          <w:szCs w:val="24"/>
          <w:highlight w:val="none"/>
          <w:lang w:val="zh-CN"/>
        </w:rPr>
        <w:t>会计师事务所授权会计师</w:t>
      </w:r>
      <w:r>
        <w:rPr>
          <w:rFonts w:hint="eastAsia" w:hAnsi="宋体" w:cs="宋体"/>
          <w:bCs/>
          <w:color w:val="auto"/>
          <w:sz w:val="24"/>
          <w:szCs w:val="24"/>
          <w:highlight w:val="none"/>
        </w:rPr>
        <w:t>签署审计报告的授权书复印件。</w:t>
      </w:r>
    </w:p>
    <w:p>
      <w:pPr>
        <w:wordWrap w:val="0"/>
        <w:topLinePunct/>
        <w:spacing w:after="50" w:line="360" w:lineRule="auto"/>
        <w:ind w:firstLine="480" w:firstLineChars="200"/>
        <w:rPr>
          <w:rFonts w:hAnsi="宋体" w:cs="宋体"/>
          <w:bCs/>
          <w:color w:val="auto"/>
          <w:sz w:val="24"/>
          <w:szCs w:val="24"/>
          <w:highlight w:val="none"/>
          <w:lang w:val="zh-CN"/>
        </w:rPr>
      </w:pPr>
      <w:r>
        <w:rPr>
          <w:rFonts w:hint="eastAsia" w:hAnsi="宋体" w:cs="宋体"/>
          <w:bCs/>
          <w:color w:val="auto"/>
          <w:sz w:val="24"/>
          <w:szCs w:val="24"/>
          <w:highlight w:val="none"/>
          <w:lang w:val="zh-CN"/>
        </w:rPr>
        <w:t>②也可提供自行编制的</w:t>
      </w:r>
      <w:r>
        <w:rPr>
          <w:rFonts w:hint="eastAsia" w:hAnsi="宋体" w:cs="宋体"/>
          <w:bCs/>
          <w:color w:val="auto"/>
          <w:sz w:val="24"/>
          <w:szCs w:val="24"/>
          <w:highlight w:val="none"/>
        </w:rPr>
        <w:t>2019年度或2020年度</w:t>
      </w:r>
      <w:r>
        <w:rPr>
          <w:rFonts w:hint="eastAsia" w:hAnsi="宋体" w:cs="宋体"/>
          <w:bCs/>
          <w:color w:val="auto"/>
          <w:sz w:val="24"/>
          <w:szCs w:val="24"/>
          <w:highlight w:val="none"/>
          <w:lang w:val="zh-CN"/>
        </w:rPr>
        <w:t>财务状况复印件。</w:t>
      </w:r>
    </w:p>
    <w:p>
      <w:pPr>
        <w:wordWrap w:val="0"/>
        <w:topLinePunct/>
        <w:spacing w:after="50"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注：财务报告应</w:t>
      </w:r>
      <w:r>
        <w:rPr>
          <w:rFonts w:hint="eastAsia" w:hAnsi="宋体" w:cs="宋体"/>
          <w:bCs/>
          <w:color w:val="auto"/>
          <w:sz w:val="24"/>
          <w:szCs w:val="24"/>
          <w:highlight w:val="none"/>
          <w:lang w:val="zh-CN"/>
        </w:rPr>
        <w:t>包含资产负债表、</w:t>
      </w:r>
      <w:r>
        <w:rPr>
          <w:rFonts w:hint="eastAsia" w:hAnsi="宋体" w:cs="宋体"/>
          <w:bCs/>
          <w:color w:val="auto"/>
          <w:sz w:val="24"/>
          <w:szCs w:val="24"/>
          <w:highlight w:val="none"/>
        </w:rPr>
        <w:t>利润表（或称损益表）、现金流量表。以上三表均需具有单位负责人、主管会计工作负责人、财务（会计）机构负责人的签字或签章。</w:t>
      </w:r>
    </w:p>
    <w:p>
      <w:pPr>
        <w:wordWrap w:val="0"/>
        <w:topLinePunct/>
        <w:spacing w:after="50" w:line="360" w:lineRule="auto"/>
        <w:ind w:firstLine="480" w:firstLineChars="200"/>
        <w:rPr>
          <w:rFonts w:hAnsi="宋体" w:cs="宋体"/>
          <w:bCs/>
          <w:color w:val="auto"/>
          <w:sz w:val="24"/>
          <w:szCs w:val="24"/>
          <w:highlight w:val="none"/>
          <w:lang w:val="zh-CN"/>
        </w:rPr>
      </w:pPr>
      <w:r>
        <w:rPr>
          <w:rFonts w:hint="eastAsia" w:hAnsi="宋体" w:cs="宋体"/>
          <w:bCs/>
          <w:color w:val="auto"/>
          <w:sz w:val="24"/>
          <w:szCs w:val="24"/>
          <w:highlight w:val="none"/>
          <w:lang w:val="zh-CN"/>
        </w:rPr>
        <w:t>③也可提供开户银行出具的资信证明复印件。</w:t>
      </w:r>
    </w:p>
    <w:p>
      <w:pPr>
        <w:wordWrap w:val="0"/>
        <w:topLinePunct/>
        <w:spacing w:after="50"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注：资信证明出具时间需在投标截止时间前3个月内。</w:t>
      </w:r>
    </w:p>
    <w:p>
      <w:pPr>
        <w:wordWrap w:val="0"/>
        <w:topLinePunct/>
        <w:spacing w:after="50" w:line="360" w:lineRule="auto"/>
        <w:ind w:firstLine="480" w:firstLineChars="200"/>
        <w:rPr>
          <w:rFonts w:hAnsi="宋体" w:cs="宋体"/>
          <w:bCs/>
          <w:color w:val="auto"/>
          <w:sz w:val="24"/>
          <w:szCs w:val="24"/>
          <w:highlight w:val="none"/>
          <w:lang w:val="zh-CN"/>
        </w:rPr>
      </w:pPr>
      <w:r>
        <w:rPr>
          <w:rFonts w:hint="eastAsia" w:hAnsi="宋体" w:cs="宋体"/>
          <w:bCs/>
          <w:color w:val="auto"/>
          <w:sz w:val="24"/>
          <w:szCs w:val="24"/>
          <w:highlight w:val="none"/>
          <w:lang w:val="zh-CN"/>
        </w:rPr>
        <w:t>成立时间至递交响应文件截止时间为止不足一年的</w:t>
      </w:r>
      <w:r>
        <w:rPr>
          <w:rFonts w:hint="eastAsia" w:hAnsi="宋体" w:cs="宋体"/>
          <w:bCs/>
          <w:color w:val="auto"/>
          <w:sz w:val="24"/>
          <w:szCs w:val="24"/>
          <w:highlight w:val="none"/>
        </w:rPr>
        <w:t xml:space="preserve">企业法人： </w:t>
      </w:r>
      <w:r>
        <w:rPr>
          <w:rFonts w:hint="eastAsia" w:hAnsi="宋体" w:cs="宋体"/>
          <w:bCs/>
          <w:color w:val="auto"/>
          <w:sz w:val="24"/>
          <w:szCs w:val="24"/>
          <w:highlight w:val="none"/>
          <w:lang w:val="zh-CN"/>
        </w:rPr>
        <w:t>提供在工商备案的公司章程复印件。</w:t>
      </w:r>
    </w:p>
    <w:p>
      <w:pPr>
        <w:wordWrap w:val="0"/>
        <w:topLinePunct/>
        <w:spacing w:after="50"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lang w:val="zh-CN"/>
        </w:rPr>
        <w:t>事业单位或其他组织</w:t>
      </w:r>
      <w:r>
        <w:rPr>
          <w:rFonts w:hint="eastAsia" w:hAnsi="宋体" w:cs="宋体"/>
          <w:bCs/>
          <w:color w:val="auto"/>
          <w:sz w:val="24"/>
          <w:szCs w:val="24"/>
          <w:highlight w:val="none"/>
        </w:rPr>
        <w:t>或个体工商户或自然人：</w:t>
      </w:r>
      <w:r>
        <w:rPr>
          <w:rFonts w:hint="eastAsia" w:hAnsi="宋体" w:cs="宋体"/>
          <w:bCs/>
          <w:color w:val="auto"/>
          <w:sz w:val="24"/>
          <w:szCs w:val="24"/>
          <w:highlight w:val="none"/>
          <w:lang w:val="zh-CN"/>
        </w:rPr>
        <w:t>提供其具有健全的财务会计制度的承诺函原件。</w:t>
      </w:r>
    </w:p>
    <w:p>
      <w:pPr>
        <w:wordWrap w:val="0"/>
        <w:topLinePunct/>
        <w:spacing w:after="50"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lang w:val="zh-CN"/>
        </w:rPr>
        <w:t>（四）</w:t>
      </w:r>
      <w:r>
        <w:rPr>
          <w:rFonts w:hint="eastAsia" w:hAnsi="宋体" w:cs="宋体"/>
          <w:bCs/>
          <w:color w:val="auto"/>
          <w:sz w:val="24"/>
          <w:szCs w:val="24"/>
          <w:highlight w:val="none"/>
        </w:rPr>
        <w:t>依法缴纳税收的承诺函原件。</w:t>
      </w:r>
    </w:p>
    <w:p>
      <w:pPr>
        <w:wordWrap w:val="0"/>
        <w:topLinePunct/>
        <w:spacing w:after="50" w:line="360" w:lineRule="auto"/>
        <w:ind w:firstLine="480" w:firstLineChars="200"/>
        <w:rPr>
          <w:rFonts w:hAnsi="宋体" w:cs="宋体"/>
          <w:bCs/>
          <w:color w:val="auto"/>
          <w:sz w:val="24"/>
          <w:szCs w:val="24"/>
          <w:highlight w:val="none"/>
          <w:lang w:val="zh-CN"/>
        </w:rPr>
      </w:pPr>
      <w:r>
        <w:rPr>
          <w:rFonts w:hint="eastAsia" w:hAnsi="宋体" w:cs="宋体"/>
          <w:bCs/>
          <w:color w:val="auto"/>
          <w:sz w:val="24"/>
          <w:szCs w:val="24"/>
          <w:highlight w:val="none"/>
          <w:lang w:val="zh-CN"/>
        </w:rPr>
        <w:t>（五）依法缴纳社保的承诺函原件。</w:t>
      </w:r>
    </w:p>
    <w:p>
      <w:pPr>
        <w:wordWrap w:val="0"/>
        <w:topLinePunct/>
        <w:spacing w:after="50" w:line="360" w:lineRule="auto"/>
        <w:ind w:firstLine="480" w:firstLineChars="200"/>
        <w:rPr>
          <w:rFonts w:hAnsi="宋体" w:cs="宋体"/>
          <w:bCs/>
          <w:color w:val="auto"/>
          <w:sz w:val="24"/>
          <w:szCs w:val="24"/>
          <w:highlight w:val="none"/>
          <w:lang w:val="zh-CN"/>
        </w:rPr>
      </w:pPr>
      <w:r>
        <w:rPr>
          <w:rFonts w:hint="eastAsia" w:hAnsi="宋体" w:cs="宋体"/>
          <w:bCs/>
          <w:color w:val="auto"/>
          <w:sz w:val="24"/>
          <w:szCs w:val="24"/>
          <w:highlight w:val="none"/>
          <w:lang w:val="zh-CN"/>
        </w:rPr>
        <w:t>（六）具备履行合同所必需的设备和专业技术能力的承诺函原件。</w:t>
      </w:r>
    </w:p>
    <w:p>
      <w:pPr>
        <w:wordWrap w:val="0"/>
        <w:topLinePunct/>
        <w:spacing w:after="50"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lang w:val="zh-CN"/>
        </w:rPr>
        <w:t>（七）参加政府采购活动前3年内在经营活动中没有重大违法记录的承诺函原件</w:t>
      </w:r>
      <w:r>
        <w:rPr>
          <w:rFonts w:hint="eastAsia" w:hAnsi="宋体" w:cs="宋体"/>
          <w:bCs/>
          <w:color w:val="auto"/>
          <w:sz w:val="24"/>
          <w:szCs w:val="24"/>
          <w:highlight w:val="none"/>
        </w:rPr>
        <w:t>。</w:t>
      </w:r>
    </w:p>
    <w:p>
      <w:pPr>
        <w:wordWrap w:val="0"/>
        <w:topLinePunct/>
        <w:spacing w:after="50"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（八）采购人根据采购项目提出的特殊要求：</w:t>
      </w:r>
    </w:p>
    <w:p>
      <w:pPr>
        <w:wordWrap w:val="0"/>
        <w:topLinePunct/>
        <w:spacing w:after="50"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供应商具备建设行政主管部门颁发的消防设施工程专业承包二级及以上资质，且具有有效的安全生产许可证。（提供证书复印件）</w:t>
      </w:r>
    </w:p>
    <w:p>
      <w:pPr>
        <w:wordWrap w:val="0"/>
        <w:topLinePunct/>
        <w:spacing w:after="50" w:line="360" w:lineRule="auto"/>
        <w:ind w:firstLine="480" w:firstLineChars="200"/>
        <w:rPr>
          <w:rFonts w:hAnsi="宋体" w:cs="宋体"/>
          <w:bCs/>
          <w:color w:val="auto"/>
          <w:sz w:val="24"/>
          <w:szCs w:val="24"/>
          <w:highlight w:val="none"/>
          <w:lang w:val="zh-CN"/>
        </w:rPr>
      </w:pPr>
      <w:r>
        <w:rPr>
          <w:rFonts w:hint="eastAsia" w:hAnsi="宋体" w:cs="宋体"/>
          <w:bCs/>
          <w:color w:val="auto"/>
          <w:sz w:val="24"/>
          <w:szCs w:val="24"/>
          <w:highlight w:val="none"/>
        </w:rPr>
        <w:t>（九）</w:t>
      </w:r>
      <w:r>
        <w:rPr>
          <w:rFonts w:hint="eastAsia" w:hAnsi="宋体" w:cs="宋体"/>
          <w:bCs/>
          <w:color w:val="auto"/>
          <w:sz w:val="24"/>
          <w:szCs w:val="24"/>
          <w:highlight w:val="none"/>
          <w:lang w:val="zh-CN"/>
        </w:rPr>
        <w:t>具备法律、行政法规规定的其他条件的</w:t>
      </w:r>
      <w:r>
        <w:rPr>
          <w:rFonts w:hint="eastAsia" w:hAnsi="宋体" w:cs="宋体"/>
          <w:bCs/>
          <w:color w:val="auto"/>
          <w:sz w:val="24"/>
          <w:szCs w:val="24"/>
          <w:highlight w:val="none"/>
        </w:rPr>
        <w:t>相关</w:t>
      </w:r>
      <w:r>
        <w:rPr>
          <w:rFonts w:hint="eastAsia" w:hAnsi="宋体" w:cs="宋体"/>
          <w:bCs/>
          <w:color w:val="auto"/>
          <w:sz w:val="24"/>
          <w:szCs w:val="24"/>
          <w:highlight w:val="none"/>
          <w:lang w:val="zh-CN"/>
        </w:rPr>
        <w:t>材料：</w:t>
      </w:r>
    </w:p>
    <w:p>
      <w:pPr>
        <w:wordWrap w:val="0"/>
        <w:topLinePunct/>
        <w:spacing w:after="50"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1、投标人单位及其现任法定代表人/主要负责人不具有行贿犯罪记录的承诺函原件。</w:t>
      </w:r>
    </w:p>
    <w:p>
      <w:pPr>
        <w:wordWrap w:val="0"/>
        <w:topLinePunct/>
        <w:spacing w:after="50"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2、单位负责人为同一人或者存在控股、管理关系的不同投标人，不会参加同一合同项下的政府采购活动的承诺函原件。</w:t>
      </w:r>
    </w:p>
    <w:p>
      <w:pPr>
        <w:wordWrap w:val="0"/>
        <w:topLinePunct/>
        <w:spacing w:after="50"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3、未对本次采购项目提供过整体设计、规范编制或者项目管理、监理、检测等服务的承诺函原件。</w:t>
      </w:r>
    </w:p>
    <w:p>
      <w:pPr>
        <w:wordWrap w:val="0"/>
        <w:topLinePunct/>
        <w:spacing w:after="50"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4、符合其它法律、</w:t>
      </w:r>
      <w:r>
        <w:rPr>
          <w:rFonts w:hint="eastAsia" w:hAnsi="宋体" w:cs="宋体"/>
          <w:bCs/>
          <w:color w:val="auto"/>
          <w:sz w:val="24"/>
          <w:szCs w:val="24"/>
          <w:highlight w:val="none"/>
          <w:lang w:val="zh-CN"/>
        </w:rPr>
        <w:t>行政法规规定的</w:t>
      </w:r>
      <w:r>
        <w:rPr>
          <w:rFonts w:hint="eastAsia" w:hAnsi="宋体" w:cs="宋体"/>
          <w:bCs/>
          <w:color w:val="auto"/>
          <w:sz w:val="24"/>
          <w:szCs w:val="24"/>
          <w:highlight w:val="none"/>
        </w:rPr>
        <w:t>承诺函原件。</w:t>
      </w:r>
    </w:p>
    <w:p>
      <w:pPr>
        <w:wordWrap w:val="0"/>
        <w:topLinePunct/>
        <w:spacing w:after="50"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二、其他类似效力要求相关证明材料：</w:t>
      </w:r>
    </w:p>
    <w:p>
      <w:pPr>
        <w:wordWrap w:val="0"/>
        <w:topLinePunct/>
        <w:spacing w:after="50"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法定代表人证明书及身份证明。</w:t>
      </w:r>
    </w:p>
    <w:p>
      <w:pPr>
        <w:wordWrap w:val="0"/>
        <w:topLinePunct/>
        <w:spacing w:after="50"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法人代表授权书及法人代表和授权代表身份证明（非法人代表参加投标适用）</w:t>
      </w:r>
    </w:p>
    <w:p>
      <w:pPr>
        <w:wordWrap w:val="0"/>
        <w:topLinePunct/>
        <w:spacing w:after="50"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注：</w:t>
      </w:r>
    </w:p>
    <w:p>
      <w:pPr>
        <w:numPr>
          <w:ilvl w:val="0"/>
          <w:numId w:val="12"/>
        </w:numPr>
        <w:wordWrap w:val="0"/>
        <w:topLinePunct/>
        <w:spacing w:after="50"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相关证明材料为复印件的，复印件必须加盖相关投标人公章。</w:t>
      </w:r>
    </w:p>
    <w:p>
      <w:pPr>
        <w:wordWrap w:val="0"/>
        <w:topLinePunct/>
        <w:spacing w:after="50"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2. 上述内容中涉及承诺函的，投标人可以单独提供，也可以在相关资格承诺函中一并进行承诺。</w:t>
      </w:r>
    </w:p>
    <w:p>
      <w:pPr>
        <w:wordWrap w:val="0"/>
        <w:topLinePunct/>
        <w:spacing w:after="50"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3. 本章要求提供的相关证明材料应当与第四章的规定要求对应，除投标人自愿以外，不能要求投标人提供额外的证明材料。如果要求提供额外的证明材料，投标人有权不予提供，且不影响投标文件的有效性和完整性。</w:t>
      </w:r>
    </w:p>
    <w:p>
      <w:pPr>
        <w:wordWrap w:val="0"/>
        <w:topLinePunct/>
        <w:spacing w:after="50"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4. 投标人若未将用于资格审查的证明材料装订入投标文件（资格性部分）的，视为未提供相应资格证明材料，资格审查将不予通过。</w:t>
      </w:r>
      <w:bookmarkEnd w:id="885"/>
    </w:p>
    <w:p>
      <w:pPr>
        <w:wordWrap w:val="0"/>
        <w:topLinePunct/>
        <w:spacing w:after="50"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5. 根据《政府采购货物和服务招标投标管理办法》(财政部令第87号)第四十四条对投标人的资格进行审查。</w:t>
      </w:r>
    </w:p>
    <w:p>
      <w:pPr>
        <w:wordWrap w:val="0"/>
        <w:topLinePunct/>
        <w:spacing w:after="50"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6. 本项目由采购人或者采购代理机构依法对投标人的资格进行审查，并出具书面的资格性审查结果。</w:t>
      </w:r>
    </w:p>
    <w:p>
      <w:pPr>
        <w:wordWrap w:val="0"/>
        <w:topLinePunct/>
        <w:spacing w:after="50"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7. 合格投标人不足3家的，不得评标。</w:t>
      </w:r>
    </w:p>
    <w:p>
      <w:pPr>
        <w:pStyle w:val="4"/>
        <w:numPr>
          <w:ilvl w:val="0"/>
          <w:numId w:val="13"/>
        </w:numPr>
        <w:spacing w:before="260" w:after="260" w:line="360" w:lineRule="auto"/>
        <w:jc w:val="center"/>
        <w:rPr>
          <w:rFonts w:ascii="宋体" w:hAnsi="宋体" w:cs="宋体"/>
          <w:bCs w:val="0"/>
          <w:color w:val="auto"/>
          <w:kern w:val="0"/>
          <w:sz w:val="36"/>
          <w:szCs w:val="22"/>
          <w:highlight w:val="none"/>
        </w:rPr>
      </w:pPr>
      <w:r>
        <w:rPr>
          <w:rFonts w:hint="eastAsia" w:ascii="宋体" w:hAnsi="宋体" w:cs="宋体"/>
          <w:bCs w:val="0"/>
          <w:color w:val="auto"/>
          <w:sz w:val="36"/>
          <w:highlight w:val="none"/>
        </w:rPr>
        <w:br w:type="page"/>
      </w:r>
      <w:bookmarkStart w:id="887" w:name="_Toc24960"/>
      <w:bookmarkStart w:id="888" w:name="_Toc25998"/>
      <w:bookmarkStart w:id="889" w:name="_Toc12698"/>
      <w:bookmarkStart w:id="890" w:name="_Toc23373"/>
      <w:bookmarkStart w:id="891" w:name="OLE_LINK4"/>
      <w:bookmarkStart w:id="892" w:name="_Toc19791"/>
      <w:r>
        <w:rPr>
          <w:rFonts w:hint="eastAsia" w:ascii="宋体" w:hAnsi="宋体" w:cs="宋体"/>
          <w:bCs w:val="0"/>
          <w:color w:val="auto"/>
          <w:kern w:val="0"/>
          <w:sz w:val="36"/>
          <w:szCs w:val="22"/>
          <w:highlight w:val="none"/>
        </w:rPr>
        <w:t>招标项目技术、服务及其他要求</w:t>
      </w:r>
      <w:bookmarkEnd w:id="886"/>
      <w:bookmarkEnd w:id="887"/>
      <w:bookmarkEnd w:id="888"/>
      <w:bookmarkEnd w:id="889"/>
      <w:bookmarkEnd w:id="890"/>
      <w:bookmarkEnd w:id="891"/>
      <w:bookmarkEnd w:id="892"/>
      <w:bookmarkStart w:id="893" w:name="_Toc27469"/>
      <w:bookmarkStart w:id="894" w:name="_Toc308188201"/>
      <w:bookmarkStart w:id="895" w:name="_Toc319439948"/>
      <w:bookmarkStart w:id="896" w:name="_Toc1541"/>
      <w:bookmarkStart w:id="897" w:name="_Toc12025"/>
      <w:bookmarkStart w:id="898" w:name="_Toc23360"/>
      <w:bookmarkStart w:id="899" w:name="_Toc32159"/>
      <w:bookmarkStart w:id="900" w:name="_Toc308084648"/>
      <w:bookmarkStart w:id="901" w:name="_Toc327196343"/>
      <w:bookmarkStart w:id="902" w:name="_Toc319440192"/>
      <w:bookmarkStart w:id="903" w:name="_Toc307501157"/>
      <w:bookmarkStart w:id="904" w:name="_Toc307564899"/>
      <w:bookmarkStart w:id="905" w:name="_Toc309897566"/>
      <w:bookmarkStart w:id="906" w:name="_Toc1839"/>
      <w:bookmarkStart w:id="907" w:name="_Toc29864"/>
      <w:bookmarkStart w:id="908" w:name="_Toc217446060"/>
      <w:bookmarkStart w:id="909" w:name="_Toc217446099"/>
    </w:p>
    <w:p>
      <w:pPr>
        <w:pStyle w:val="5"/>
        <w:widowControl/>
        <w:spacing w:before="0" w:after="0" w:line="360" w:lineRule="auto"/>
        <w:jc w:val="left"/>
        <w:rPr>
          <w:rFonts w:ascii="宋体" w:hAnsi="宋体" w:eastAsia="宋体" w:cs="宋体"/>
          <w:color w:val="auto"/>
          <w:sz w:val="24"/>
          <w:szCs w:val="24"/>
          <w:highlight w:val="none"/>
        </w:rPr>
      </w:pPr>
      <w:bookmarkStart w:id="910" w:name="4.2.2_工艺流程图"/>
      <w:bookmarkEnd w:id="910"/>
      <w:bookmarkStart w:id="911" w:name="_Toc28932"/>
      <w:bookmarkStart w:id="912" w:name="_Toc24977"/>
      <w:bookmarkStart w:id="913" w:name="_Toc1684"/>
      <w:r>
        <w:rPr>
          <w:rFonts w:hint="eastAsia" w:ascii="宋体" w:hAnsi="宋体" w:eastAsia="宋体" w:cs="宋体"/>
          <w:color w:val="auto"/>
          <w:sz w:val="24"/>
          <w:szCs w:val="24"/>
          <w:highlight w:val="none"/>
        </w:rPr>
        <w:t>一、项目概况</w:t>
      </w:r>
    </w:p>
    <w:p>
      <w:pPr>
        <w:spacing w:after="198" w:line="360" w:lineRule="auto"/>
        <w:ind w:firstLine="420" w:firstLineChars="200"/>
        <w:jc w:val="left"/>
        <w:rPr>
          <w:rFonts w:hAnsi="宋体" w:cs="宋体"/>
          <w:color w:val="auto"/>
          <w:sz w:val="21"/>
          <w:szCs w:val="21"/>
          <w:highlight w:val="none"/>
        </w:rPr>
      </w:pPr>
      <w:r>
        <w:rPr>
          <w:rFonts w:hint="eastAsia" w:hAnsi="宋体" w:cs="宋体"/>
          <w:color w:val="auto"/>
          <w:sz w:val="21"/>
          <w:szCs w:val="21"/>
          <w:highlight w:val="none"/>
        </w:rPr>
        <w:t>幼儿园消防设施更换及维修项目。</w:t>
      </w:r>
    </w:p>
    <w:p>
      <w:pPr>
        <w:pStyle w:val="5"/>
        <w:widowControl/>
        <w:spacing w:before="0" w:after="0"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二、采购清单及技术参数要求</w:t>
      </w:r>
    </w:p>
    <w:tbl>
      <w:tblPr>
        <w:tblStyle w:val="37"/>
        <w:tblW w:w="9570" w:type="dxa"/>
        <w:tblInd w:w="-230" w:type="dxa"/>
        <w:tblLayout w:type="fixed"/>
        <w:tblCellMar>
          <w:top w:w="0" w:type="dxa"/>
          <w:left w:w="108" w:type="dxa"/>
          <w:bottom w:w="0" w:type="dxa"/>
          <w:right w:w="108" w:type="dxa"/>
        </w:tblCellMar>
      </w:tblPr>
      <w:tblGrid>
        <w:gridCol w:w="809"/>
        <w:gridCol w:w="1444"/>
        <w:gridCol w:w="5907"/>
        <w:gridCol w:w="675"/>
        <w:gridCol w:w="735"/>
      </w:tblGrid>
      <w:tr>
        <w:tblPrEx>
          <w:tblCellMar>
            <w:top w:w="0" w:type="dxa"/>
            <w:left w:w="108" w:type="dxa"/>
            <w:bottom w:w="0" w:type="dxa"/>
            <w:right w:w="108" w:type="dxa"/>
          </w:tblCellMar>
        </w:tblPrEx>
        <w:trPr>
          <w:trHeight w:val="46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b/>
                <w:bCs/>
                <w:color w:val="auto"/>
                <w:sz w:val="20"/>
                <w:szCs w:val="20"/>
              </w:rPr>
            </w:pPr>
            <w:r>
              <w:rPr>
                <w:rFonts w:hint="eastAsia" w:hAnsi="宋体" w:cs="宋体"/>
                <w:b/>
                <w:bCs/>
                <w:color w:val="auto"/>
                <w:sz w:val="20"/>
                <w:szCs w:val="20"/>
                <w:lang w:bidi="ar"/>
              </w:rPr>
              <w:t>序号</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b/>
                <w:bCs/>
                <w:color w:val="auto"/>
                <w:sz w:val="20"/>
                <w:szCs w:val="20"/>
              </w:rPr>
            </w:pPr>
            <w:r>
              <w:rPr>
                <w:rFonts w:hint="eastAsia" w:hAnsi="宋体" w:cs="宋体"/>
                <w:b/>
                <w:bCs/>
                <w:color w:val="auto"/>
                <w:sz w:val="20"/>
                <w:szCs w:val="20"/>
                <w:lang w:bidi="ar"/>
              </w:rPr>
              <w:t>货物名称</w:t>
            </w:r>
          </w:p>
        </w:tc>
        <w:tc>
          <w:tcPr>
            <w:tcW w:w="5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b/>
                <w:bCs/>
                <w:color w:val="auto"/>
                <w:sz w:val="20"/>
                <w:szCs w:val="20"/>
              </w:rPr>
            </w:pPr>
            <w:r>
              <w:rPr>
                <w:rFonts w:hint="eastAsia" w:hAnsi="宋体" w:cs="宋体"/>
                <w:b/>
                <w:bCs/>
                <w:color w:val="auto"/>
                <w:sz w:val="20"/>
                <w:szCs w:val="20"/>
                <w:lang w:bidi="ar"/>
              </w:rPr>
              <w:t>技术参数要求</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b/>
                <w:bCs/>
                <w:color w:val="auto"/>
                <w:sz w:val="20"/>
                <w:szCs w:val="20"/>
              </w:rPr>
            </w:pPr>
            <w:r>
              <w:rPr>
                <w:rFonts w:hint="eastAsia" w:hAnsi="宋体" w:cs="宋体"/>
                <w:b/>
                <w:bCs/>
                <w:color w:val="auto"/>
                <w:sz w:val="20"/>
                <w:szCs w:val="20"/>
                <w:lang w:bidi="ar"/>
              </w:rPr>
              <w:t>单位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b/>
                <w:bCs/>
                <w:color w:val="auto"/>
                <w:sz w:val="20"/>
                <w:szCs w:val="20"/>
              </w:rPr>
            </w:pPr>
            <w:r>
              <w:rPr>
                <w:rFonts w:hint="eastAsia" w:hAnsi="宋体" w:cs="宋体"/>
                <w:b/>
                <w:bCs/>
                <w:color w:val="auto"/>
                <w:sz w:val="20"/>
                <w:szCs w:val="20"/>
                <w:lang w:bidi="ar"/>
              </w:rPr>
              <w:t xml:space="preserve">数量 </w:t>
            </w:r>
          </w:p>
        </w:tc>
      </w:tr>
      <w:tr>
        <w:tblPrEx>
          <w:tblCellMar>
            <w:top w:w="0" w:type="dxa"/>
            <w:left w:w="108" w:type="dxa"/>
            <w:bottom w:w="0" w:type="dxa"/>
            <w:right w:w="108" w:type="dxa"/>
          </w:tblCellMar>
        </w:tblPrEx>
        <w:trPr>
          <w:trHeight w:val="216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1</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防火门监控器门磁开关</w:t>
            </w:r>
          </w:p>
        </w:tc>
        <w:tc>
          <w:tcPr>
            <w:tcW w:w="5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1.门磁开关输入反馈信号：开关量信号；　　                                        2.功耗≤0.1W；                                                                                      3.工作环境温度0~+40℃，相对湿度≤96%RH；</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4.短路块设置（S1）：</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　　 插S：双门磁输入，两个门磁同时吸合关门，有一个断开则开门。</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　　 插L：单门磁输入，使用门磁1左侧。</w:t>
            </w:r>
          </w:p>
          <w:p>
            <w:pPr>
              <w:widowControl/>
              <w:jc w:val="left"/>
              <w:textAlignment w:val="center"/>
              <w:rPr>
                <w:rFonts w:hAnsi="宋体" w:cs="宋体"/>
                <w:color w:val="auto"/>
                <w:sz w:val="20"/>
                <w:szCs w:val="20"/>
              </w:rPr>
            </w:pPr>
            <w:r>
              <w:rPr>
                <w:rFonts w:hint="eastAsia" w:hAnsi="宋体" w:cs="宋体"/>
                <w:color w:val="auto"/>
                <w:sz w:val="20"/>
                <w:szCs w:val="20"/>
                <w:lang w:bidi="ar"/>
              </w:rPr>
              <w:t>　　 插R：单门磁输入，使用门磁2右侧。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1</w:t>
            </w:r>
          </w:p>
        </w:tc>
      </w:tr>
      <w:tr>
        <w:tblPrEx>
          <w:tblCellMar>
            <w:top w:w="0" w:type="dxa"/>
            <w:left w:w="108" w:type="dxa"/>
            <w:bottom w:w="0" w:type="dxa"/>
            <w:right w:w="108" w:type="dxa"/>
          </w:tblCellMar>
        </w:tblPrEx>
        <w:trPr>
          <w:trHeight w:val="1157"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2</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电气火灾监控器主机</w:t>
            </w:r>
          </w:p>
        </w:tc>
        <w:tc>
          <w:tcPr>
            <w:tcW w:w="59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rPr>
            </w:pPr>
            <w:r>
              <w:rPr>
                <w:rFonts w:hint="eastAsia" w:hAnsi="宋体" w:cs="宋体"/>
                <w:color w:val="auto"/>
                <w:sz w:val="20"/>
                <w:szCs w:val="20"/>
                <w:lang w:bidi="ar"/>
              </w:rPr>
              <w:t>▲1、</w:t>
            </w:r>
            <w:r>
              <w:rPr>
                <w:color w:val="auto"/>
                <w:sz w:val="20"/>
                <w:szCs w:val="20"/>
              </w:rPr>
              <w:t>外壳材质：金属；</w:t>
            </w:r>
          </w:p>
          <w:p>
            <w:pPr>
              <w:rPr>
                <w:color w:val="auto"/>
                <w:sz w:val="20"/>
                <w:szCs w:val="20"/>
              </w:rPr>
            </w:pPr>
            <w:r>
              <w:rPr>
                <w:rFonts w:hint="eastAsia" w:hAnsi="宋体" w:cs="宋体"/>
                <w:color w:val="auto"/>
                <w:sz w:val="20"/>
                <w:szCs w:val="20"/>
                <w:lang w:bidi="ar"/>
              </w:rPr>
              <w:t>▲2、</w:t>
            </w:r>
            <w:r>
              <w:rPr>
                <w:color w:val="auto"/>
                <w:sz w:val="20"/>
                <w:szCs w:val="20"/>
              </w:rPr>
              <w:t>显示器件类别：液晶屏；</w:t>
            </w:r>
          </w:p>
          <w:p>
            <w:pPr>
              <w:rPr>
                <w:color w:val="auto"/>
                <w:sz w:val="20"/>
                <w:szCs w:val="20"/>
              </w:rPr>
            </w:pPr>
            <w:r>
              <w:rPr>
                <w:rFonts w:hint="eastAsia" w:hAnsi="宋体" w:cs="宋体"/>
                <w:color w:val="auto"/>
                <w:sz w:val="20"/>
                <w:szCs w:val="20"/>
                <w:lang w:bidi="ar"/>
              </w:rPr>
              <w:t>▲3、</w:t>
            </w:r>
            <w:r>
              <w:rPr>
                <w:color w:val="auto"/>
                <w:sz w:val="20"/>
                <w:szCs w:val="20"/>
              </w:rPr>
              <w:t>控制输出接点数量：1组；</w:t>
            </w:r>
          </w:p>
          <w:p>
            <w:pPr>
              <w:rPr>
                <w:rFonts w:hAnsi="宋体" w:cs="宋体"/>
                <w:color w:val="auto"/>
                <w:sz w:val="20"/>
                <w:szCs w:val="20"/>
              </w:rPr>
            </w:pPr>
            <w:r>
              <w:rPr>
                <w:rFonts w:hint="eastAsia" w:hAnsi="宋体" w:cs="宋体"/>
                <w:color w:val="auto"/>
                <w:sz w:val="20"/>
                <w:szCs w:val="20"/>
                <w:lang w:bidi="ar"/>
              </w:rPr>
              <w:t>▲4、</w:t>
            </w:r>
            <w:r>
              <w:rPr>
                <w:color w:val="auto"/>
                <w:sz w:val="20"/>
                <w:szCs w:val="20"/>
              </w:rPr>
              <w:t>最长通信距离为1000m,采用截面积为1. 0m㎡的铜质导线；</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Ansi="宋体" w:cs="宋体"/>
                <w:color w:val="auto"/>
                <w:sz w:val="20"/>
                <w:szCs w:val="20"/>
                <w:lang w:bidi="ar"/>
              </w:rPr>
              <w:t>3</w:t>
            </w:r>
          </w:p>
        </w:tc>
      </w:tr>
      <w:tr>
        <w:tblPrEx>
          <w:tblCellMar>
            <w:top w:w="0" w:type="dxa"/>
            <w:left w:w="108" w:type="dxa"/>
            <w:bottom w:w="0" w:type="dxa"/>
            <w:right w:w="108" w:type="dxa"/>
          </w:tblCellMar>
        </w:tblPrEx>
        <w:trPr>
          <w:trHeight w:val="6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3</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应急照明灯</w:t>
            </w:r>
          </w:p>
        </w:tc>
        <w:tc>
          <w:tcPr>
            <w:tcW w:w="59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rPr>
            </w:pPr>
            <w:r>
              <w:rPr>
                <w:rFonts w:hint="eastAsia" w:hAnsi="宋体" w:cs="宋体"/>
                <w:color w:val="auto"/>
                <w:sz w:val="20"/>
                <w:szCs w:val="20"/>
                <w:lang w:bidi="ar"/>
              </w:rPr>
              <w:t>▲1、</w:t>
            </w:r>
            <w:r>
              <w:rPr>
                <w:color w:val="auto"/>
                <w:sz w:val="20"/>
                <w:szCs w:val="20"/>
              </w:rPr>
              <w:t xml:space="preserve">外壳防护等级：IP30             </w:t>
            </w:r>
          </w:p>
          <w:p>
            <w:pPr>
              <w:rPr>
                <w:color w:val="auto"/>
                <w:sz w:val="20"/>
                <w:szCs w:val="20"/>
              </w:rPr>
            </w:pPr>
            <w:r>
              <w:rPr>
                <w:rFonts w:hint="eastAsia" w:hAnsi="宋体" w:cs="宋体"/>
                <w:color w:val="auto"/>
                <w:sz w:val="20"/>
                <w:szCs w:val="20"/>
                <w:lang w:bidi="ar"/>
              </w:rPr>
              <w:t>▲2、</w:t>
            </w:r>
            <w:r>
              <w:rPr>
                <w:color w:val="auto"/>
                <w:sz w:val="20"/>
                <w:szCs w:val="20"/>
              </w:rPr>
              <w:t xml:space="preserve">额定电源电压：AC220V      </w:t>
            </w:r>
          </w:p>
          <w:p>
            <w:pPr>
              <w:rPr>
                <w:color w:val="auto"/>
                <w:sz w:val="20"/>
                <w:szCs w:val="20"/>
              </w:rPr>
            </w:pPr>
            <w:r>
              <w:rPr>
                <w:rFonts w:hint="eastAsia" w:hAnsi="宋体" w:cs="宋体"/>
                <w:color w:val="auto"/>
                <w:sz w:val="20"/>
                <w:szCs w:val="20"/>
                <w:lang w:bidi="ar"/>
              </w:rPr>
              <w:t>▲3、</w:t>
            </w:r>
            <w:r>
              <w:rPr>
                <w:color w:val="auto"/>
                <w:sz w:val="20"/>
                <w:szCs w:val="20"/>
              </w:rPr>
              <w:t xml:space="preserve">额定工作频率：50Hz         </w:t>
            </w:r>
          </w:p>
          <w:p>
            <w:pPr>
              <w:rPr>
                <w:color w:val="auto"/>
                <w:sz w:val="20"/>
                <w:szCs w:val="20"/>
              </w:rPr>
            </w:pPr>
            <w:r>
              <w:rPr>
                <w:rFonts w:hint="eastAsia" w:hAnsi="宋体" w:cs="宋体"/>
                <w:color w:val="auto"/>
                <w:sz w:val="20"/>
                <w:szCs w:val="20"/>
                <w:lang w:bidi="ar"/>
              </w:rPr>
              <w:t>▲4、</w:t>
            </w:r>
            <w:r>
              <w:rPr>
                <w:color w:val="auto"/>
                <w:sz w:val="20"/>
                <w:szCs w:val="20"/>
              </w:rPr>
              <w:t xml:space="preserve">标称应急工作时间：90min </w:t>
            </w:r>
          </w:p>
          <w:p>
            <w:pPr>
              <w:rPr>
                <w:color w:val="auto"/>
                <w:sz w:val="20"/>
                <w:szCs w:val="20"/>
              </w:rPr>
            </w:pPr>
            <w:r>
              <w:rPr>
                <w:rFonts w:hint="eastAsia" w:hAnsi="宋体" w:cs="宋体"/>
                <w:color w:val="auto"/>
                <w:sz w:val="20"/>
                <w:szCs w:val="20"/>
                <w:lang w:bidi="ar"/>
              </w:rPr>
              <w:t>▲5、</w:t>
            </w:r>
            <w:r>
              <w:rPr>
                <w:color w:val="auto"/>
                <w:sz w:val="20"/>
                <w:szCs w:val="20"/>
              </w:rPr>
              <w:t xml:space="preserve">光源名称和参数：LED,DC3. 0V                                               </w:t>
            </w:r>
          </w:p>
          <w:p>
            <w:pPr>
              <w:rPr>
                <w:rFonts w:hAnsi="宋体" w:cs="宋体"/>
                <w:color w:val="auto"/>
                <w:sz w:val="20"/>
                <w:szCs w:val="20"/>
              </w:rPr>
            </w:pPr>
            <w:r>
              <w:rPr>
                <w:rFonts w:hint="eastAsia" w:hAnsi="宋体" w:cs="宋体"/>
                <w:color w:val="auto"/>
                <w:sz w:val="20"/>
                <w:szCs w:val="20"/>
                <w:lang w:bidi="ar"/>
              </w:rPr>
              <w:t>▲6、</w:t>
            </w:r>
            <w:r>
              <w:rPr>
                <w:color w:val="auto"/>
                <w:sz w:val="20"/>
                <w:szCs w:val="20"/>
              </w:rPr>
              <w:t>主电功耗：18W</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300</w:t>
            </w:r>
          </w:p>
        </w:tc>
      </w:tr>
      <w:tr>
        <w:tblPrEx>
          <w:tblCellMar>
            <w:top w:w="0" w:type="dxa"/>
            <w:left w:w="108" w:type="dxa"/>
            <w:bottom w:w="0" w:type="dxa"/>
            <w:right w:w="108" w:type="dxa"/>
          </w:tblCellMar>
        </w:tblPrEx>
        <w:trPr>
          <w:trHeight w:val="192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4</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疏散指示标志灯</w:t>
            </w:r>
          </w:p>
        </w:tc>
        <w:tc>
          <w:tcPr>
            <w:tcW w:w="5907" w:type="dxa"/>
            <w:tcBorders>
              <w:top w:val="nil"/>
              <w:left w:val="nil"/>
              <w:bottom w:val="nil"/>
              <w:right w:val="nil"/>
            </w:tcBorders>
            <w:shd w:val="clear" w:color="auto" w:fill="auto"/>
            <w:vAlign w:val="center"/>
          </w:tcPr>
          <w:p>
            <w:pPr>
              <w:widowControl/>
              <w:ind w:firstLine="200" w:firstLineChars="100"/>
              <w:jc w:val="left"/>
              <w:textAlignment w:val="center"/>
              <w:rPr>
                <w:rFonts w:hAnsi="宋体" w:cs="宋体"/>
                <w:color w:val="auto"/>
                <w:sz w:val="20"/>
                <w:szCs w:val="20"/>
                <w:lang w:bidi="ar"/>
              </w:rPr>
            </w:pPr>
            <w:r>
              <w:rPr>
                <w:rFonts w:hAnsi="宋体" w:cs="宋体"/>
                <w:color w:val="auto"/>
                <w:sz w:val="20"/>
                <w:szCs w:val="20"/>
                <w:lang w:bidi="ar"/>
              </w:rPr>
              <w:t>1</w:t>
            </w:r>
            <w:r>
              <w:rPr>
                <w:rFonts w:hint="eastAsia" w:hAnsi="宋体" w:cs="宋体"/>
                <w:color w:val="auto"/>
                <w:sz w:val="20"/>
                <w:szCs w:val="20"/>
                <w:lang w:bidi="ar"/>
              </w:rPr>
              <w:t>.疏散方向：单向/双向/安全出口</w:t>
            </w:r>
          </w:p>
          <w:p>
            <w:pPr>
              <w:rPr>
                <w:color w:val="auto"/>
                <w:sz w:val="20"/>
                <w:szCs w:val="20"/>
              </w:rPr>
            </w:pPr>
            <w:r>
              <w:rPr>
                <w:rFonts w:hint="eastAsia" w:hAnsi="宋体" w:cs="宋体"/>
                <w:color w:val="auto"/>
                <w:sz w:val="20"/>
                <w:szCs w:val="20"/>
                <w:lang w:bidi="ar"/>
              </w:rPr>
              <w:t>▲2.</w:t>
            </w:r>
            <w:r>
              <w:rPr>
                <w:color w:val="auto"/>
                <w:sz w:val="20"/>
                <w:szCs w:val="20"/>
              </w:rPr>
              <w:t>外壳防护等级:IP30</w:t>
            </w:r>
          </w:p>
          <w:p>
            <w:pPr>
              <w:rPr>
                <w:color w:val="auto"/>
                <w:sz w:val="20"/>
                <w:szCs w:val="20"/>
              </w:rPr>
            </w:pPr>
            <w:r>
              <w:rPr>
                <w:rFonts w:hint="eastAsia" w:hAnsi="宋体" w:cs="宋体"/>
                <w:color w:val="auto"/>
                <w:sz w:val="20"/>
                <w:szCs w:val="20"/>
                <w:lang w:bidi="ar"/>
              </w:rPr>
              <w:t>▲3.</w:t>
            </w:r>
            <w:r>
              <w:rPr>
                <w:color w:val="auto"/>
                <w:sz w:val="20"/>
                <w:szCs w:val="20"/>
              </w:rPr>
              <w:t>额定电源电压:AC220V</w:t>
            </w:r>
          </w:p>
          <w:p>
            <w:pPr>
              <w:rPr>
                <w:color w:val="auto"/>
                <w:sz w:val="20"/>
                <w:szCs w:val="20"/>
              </w:rPr>
            </w:pPr>
            <w:r>
              <w:rPr>
                <w:rFonts w:hint="eastAsia" w:hAnsi="宋体" w:cs="宋体"/>
                <w:color w:val="auto"/>
                <w:sz w:val="20"/>
                <w:szCs w:val="20"/>
                <w:lang w:bidi="ar"/>
              </w:rPr>
              <w:t>▲4</w:t>
            </w:r>
            <w:r>
              <w:rPr>
                <w:rFonts w:hAnsi="宋体" w:cs="宋体"/>
                <w:color w:val="auto"/>
                <w:sz w:val="20"/>
                <w:szCs w:val="20"/>
                <w:lang w:bidi="ar"/>
              </w:rPr>
              <w:t>.</w:t>
            </w:r>
            <w:r>
              <w:rPr>
                <w:color w:val="auto"/>
                <w:sz w:val="20"/>
                <w:szCs w:val="20"/>
              </w:rPr>
              <w:t>额定工作频率:50Hz</w:t>
            </w:r>
          </w:p>
          <w:p>
            <w:pPr>
              <w:rPr>
                <w:color w:val="auto"/>
                <w:sz w:val="20"/>
                <w:szCs w:val="20"/>
              </w:rPr>
            </w:pPr>
            <w:r>
              <w:rPr>
                <w:rFonts w:hint="eastAsia" w:hAnsi="宋体" w:cs="宋体"/>
                <w:color w:val="auto"/>
                <w:sz w:val="20"/>
                <w:szCs w:val="20"/>
                <w:lang w:bidi="ar"/>
              </w:rPr>
              <w:t>▲5、</w:t>
            </w:r>
            <w:r>
              <w:rPr>
                <w:color w:val="auto"/>
                <w:sz w:val="20"/>
                <w:szCs w:val="20"/>
              </w:rPr>
              <w:t>标称应急工作时间:90min</w:t>
            </w:r>
          </w:p>
          <w:p>
            <w:pPr>
              <w:rPr>
                <w:color w:val="auto"/>
                <w:sz w:val="20"/>
                <w:szCs w:val="20"/>
              </w:rPr>
            </w:pPr>
            <w:r>
              <w:rPr>
                <w:rFonts w:hint="eastAsia" w:hAnsi="宋体" w:cs="宋体"/>
                <w:color w:val="auto"/>
                <w:sz w:val="20"/>
                <w:szCs w:val="20"/>
                <w:lang w:bidi="ar"/>
              </w:rPr>
              <w:t>▲6、</w:t>
            </w:r>
            <w:r>
              <w:rPr>
                <w:color w:val="auto"/>
                <w:sz w:val="20"/>
                <w:szCs w:val="20"/>
              </w:rPr>
              <w:t>光源名称和参数:LED，DC3.0V</w:t>
            </w:r>
          </w:p>
          <w:p>
            <w:pPr>
              <w:rPr>
                <w:color w:val="auto"/>
                <w:sz w:val="20"/>
                <w:szCs w:val="20"/>
              </w:rPr>
            </w:pPr>
            <w:r>
              <w:rPr>
                <w:rFonts w:hint="eastAsia" w:hAnsi="宋体" w:cs="宋体"/>
                <w:color w:val="auto"/>
                <w:sz w:val="20"/>
                <w:szCs w:val="20"/>
                <w:lang w:bidi="ar"/>
              </w:rPr>
              <w:t>▲7、</w:t>
            </w:r>
            <w:r>
              <w:rPr>
                <w:color w:val="auto"/>
                <w:sz w:val="20"/>
                <w:szCs w:val="20"/>
              </w:rPr>
              <w:t>主电功耗:3W</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450</w:t>
            </w:r>
          </w:p>
        </w:tc>
      </w:tr>
      <w:tr>
        <w:tblPrEx>
          <w:tblCellMar>
            <w:top w:w="0" w:type="dxa"/>
            <w:left w:w="108" w:type="dxa"/>
            <w:bottom w:w="0" w:type="dxa"/>
            <w:right w:w="108" w:type="dxa"/>
          </w:tblCellMar>
        </w:tblPrEx>
        <w:trPr>
          <w:trHeight w:val="146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5</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报警阀</w:t>
            </w:r>
          </w:p>
        </w:tc>
        <w:tc>
          <w:tcPr>
            <w:tcW w:w="5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0"/>
                <w:szCs w:val="20"/>
              </w:rPr>
            </w:pPr>
            <w:r>
              <w:rPr>
                <w:rFonts w:hint="eastAsia" w:hAnsi="宋体" w:cs="宋体"/>
                <w:color w:val="auto"/>
                <w:sz w:val="20"/>
                <w:szCs w:val="20"/>
                <w:lang w:bidi="ar"/>
              </w:rPr>
              <w:t>1.额定工作压力 1.6MPa                                                                               2.连接方式：法兰连接                                                                                       3.报警延迟时间：5s~90s                                                                                       4.延迟器自动排空时间: ≤5min</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组</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4</w:t>
            </w:r>
          </w:p>
        </w:tc>
      </w:tr>
      <w:tr>
        <w:tblPrEx>
          <w:tblCellMar>
            <w:top w:w="0" w:type="dxa"/>
            <w:left w:w="108" w:type="dxa"/>
            <w:bottom w:w="0" w:type="dxa"/>
            <w:right w:w="108" w:type="dxa"/>
          </w:tblCellMar>
        </w:tblPrEx>
        <w:trPr>
          <w:trHeight w:val="1124"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6</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可燃气体探测主机</w:t>
            </w:r>
          </w:p>
        </w:tc>
        <w:tc>
          <w:tcPr>
            <w:tcW w:w="59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rPr>
            </w:pPr>
            <w:r>
              <w:rPr>
                <w:rFonts w:hint="eastAsia"/>
                <w:color w:val="auto"/>
                <w:sz w:val="20"/>
                <w:szCs w:val="20"/>
              </w:rPr>
              <w:t>▲1、</w:t>
            </w:r>
            <w:r>
              <w:rPr>
                <w:color w:val="auto"/>
                <w:sz w:val="20"/>
                <w:szCs w:val="20"/>
              </w:rPr>
              <w:t>外壳材质:金属;</w:t>
            </w:r>
          </w:p>
          <w:p>
            <w:pPr>
              <w:rPr>
                <w:color w:val="auto"/>
                <w:sz w:val="20"/>
                <w:szCs w:val="20"/>
              </w:rPr>
            </w:pPr>
            <w:r>
              <w:rPr>
                <w:rFonts w:hint="eastAsia"/>
                <w:color w:val="auto"/>
                <w:sz w:val="20"/>
                <w:szCs w:val="20"/>
              </w:rPr>
              <w:t>▲2、</w:t>
            </w:r>
            <w:r>
              <w:rPr>
                <w:color w:val="auto"/>
                <w:sz w:val="20"/>
                <w:szCs w:val="20"/>
              </w:rPr>
              <w:t xml:space="preserve">采用总线通讯方式; </w:t>
            </w:r>
          </w:p>
          <w:p>
            <w:pPr>
              <w:rPr>
                <w:color w:val="auto"/>
                <w:sz w:val="20"/>
                <w:szCs w:val="20"/>
              </w:rPr>
            </w:pPr>
            <w:r>
              <w:rPr>
                <w:rFonts w:hint="eastAsia"/>
                <w:color w:val="auto"/>
                <w:sz w:val="20"/>
                <w:szCs w:val="20"/>
              </w:rPr>
              <w:t>▲3、</w:t>
            </w:r>
            <w:r>
              <w:rPr>
                <w:color w:val="auto"/>
                <w:sz w:val="20"/>
                <w:szCs w:val="20"/>
              </w:rPr>
              <w:t xml:space="preserve">具有报警历史事件记录功能; </w:t>
            </w:r>
          </w:p>
          <w:p>
            <w:pPr>
              <w:rPr>
                <w:rFonts w:hAnsi="宋体" w:cs="宋体"/>
                <w:color w:val="auto"/>
                <w:sz w:val="20"/>
                <w:szCs w:val="20"/>
              </w:rPr>
            </w:pPr>
            <w:r>
              <w:rPr>
                <w:rFonts w:hint="eastAsia"/>
                <w:color w:val="auto"/>
                <w:sz w:val="20"/>
                <w:szCs w:val="20"/>
              </w:rPr>
              <w:t>▲4、</w:t>
            </w:r>
            <w:r>
              <w:rPr>
                <w:color w:val="auto"/>
                <w:sz w:val="20"/>
                <w:szCs w:val="20"/>
              </w:rPr>
              <w:t>输出接点数量:</w:t>
            </w:r>
            <w:r>
              <w:rPr>
                <w:rFonts w:hint="eastAsia"/>
                <w:color w:val="auto"/>
                <w:sz w:val="20"/>
                <w:szCs w:val="20"/>
              </w:rPr>
              <w:t>≥</w:t>
            </w:r>
            <w:r>
              <w:rPr>
                <w:color w:val="auto"/>
                <w:sz w:val="20"/>
                <w:szCs w:val="20"/>
              </w:rPr>
              <w:t>2组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Ansi="宋体" w:cs="宋体"/>
                <w:color w:val="auto"/>
                <w:sz w:val="20"/>
                <w:szCs w:val="20"/>
                <w:lang w:bidi="ar"/>
              </w:rPr>
              <w:t>3</w:t>
            </w:r>
          </w:p>
        </w:tc>
      </w:tr>
      <w:tr>
        <w:tblPrEx>
          <w:tblCellMar>
            <w:top w:w="0" w:type="dxa"/>
            <w:left w:w="108" w:type="dxa"/>
            <w:bottom w:w="0" w:type="dxa"/>
            <w:right w:w="108" w:type="dxa"/>
          </w:tblCellMar>
        </w:tblPrEx>
        <w:trPr>
          <w:trHeight w:val="1977"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7</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点型光电感烟火灾探测器</w:t>
            </w:r>
          </w:p>
        </w:tc>
        <w:tc>
          <w:tcPr>
            <w:tcW w:w="5907" w:type="dxa"/>
            <w:tcBorders>
              <w:top w:val="nil"/>
              <w:left w:val="nil"/>
              <w:bottom w:val="nil"/>
              <w:right w:val="nil"/>
            </w:tcBorders>
            <w:shd w:val="clear" w:color="auto" w:fill="auto"/>
            <w:vAlign w:val="center"/>
          </w:tcPr>
          <w:p>
            <w:pPr>
              <w:rPr>
                <w:color w:val="auto"/>
                <w:sz w:val="20"/>
                <w:szCs w:val="20"/>
              </w:rPr>
            </w:pPr>
            <w:r>
              <w:rPr>
                <w:rFonts w:hint="eastAsia" w:hAnsi="宋体" w:cs="宋体"/>
                <w:color w:val="auto"/>
                <w:sz w:val="20"/>
                <w:szCs w:val="20"/>
                <w:lang w:bidi="ar"/>
              </w:rPr>
              <w:t>▲1、</w:t>
            </w:r>
            <w:r>
              <w:rPr>
                <w:rFonts w:hint="eastAsia"/>
                <w:color w:val="auto"/>
                <w:sz w:val="20"/>
                <w:szCs w:val="20"/>
              </w:rPr>
              <w:t>工作电压：1</w:t>
            </w:r>
            <w:r>
              <w:rPr>
                <w:color w:val="auto"/>
                <w:sz w:val="20"/>
                <w:szCs w:val="20"/>
              </w:rPr>
              <w:t>8-24V</w:t>
            </w:r>
          </w:p>
          <w:p>
            <w:pPr>
              <w:rPr>
                <w:color w:val="auto"/>
                <w:sz w:val="20"/>
                <w:szCs w:val="20"/>
              </w:rPr>
            </w:pPr>
            <w:r>
              <w:rPr>
                <w:rFonts w:hint="eastAsia" w:hAnsi="宋体" w:cs="宋体"/>
                <w:color w:val="auto"/>
                <w:sz w:val="20"/>
                <w:szCs w:val="20"/>
                <w:lang w:bidi="ar"/>
              </w:rPr>
              <w:t>▲2、</w:t>
            </w:r>
            <w:r>
              <w:rPr>
                <w:rFonts w:hint="eastAsia"/>
                <w:color w:val="auto"/>
                <w:sz w:val="20"/>
                <w:szCs w:val="20"/>
              </w:rPr>
              <w:t>外壳材质为塑料</w:t>
            </w:r>
            <w:r>
              <w:rPr>
                <w:color w:val="auto"/>
                <w:sz w:val="20"/>
                <w:szCs w:val="20"/>
              </w:rPr>
              <w:t>;</w:t>
            </w:r>
          </w:p>
          <w:p>
            <w:pPr>
              <w:rPr>
                <w:color w:val="auto"/>
                <w:sz w:val="20"/>
                <w:szCs w:val="20"/>
              </w:rPr>
            </w:pPr>
            <w:r>
              <w:rPr>
                <w:rFonts w:hint="eastAsia" w:hAnsi="宋体" w:cs="宋体"/>
                <w:color w:val="auto"/>
                <w:sz w:val="20"/>
                <w:szCs w:val="20"/>
                <w:lang w:bidi="ar"/>
              </w:rPr>
              <w:t>▲3、</w:t>
            </w:r>
            <w:r>
              <w:rPr>
                <w:color w:val="auto"/>
                <w:sz w:val="20"/>
                <w:szCs w:val="20"/>
              </w:rPr>
              <w:t>编码方式:电子编码;</w:t>
            </w:r>
          </w:p>
          <w:p>
            <w:pPr>
              <w:rPr>
                <w:color w:val="auto"/>
                <w:sz w:val="20"/>
                <w:szCs w:val="20"/>
              </w:rPr>
            </w:pPr>
            <w:r>
              <w:rPr>
                <w:rFonts w:hint="eastAsia" w:hAnsi="宋体" w:cs="宋体"/>
                <w:color w:val="auto"/>
                <w:sz w:val="20"/>
                <w:szCs w:val="20"/>
                <w:lang w:bidi="ar"/>
              </w:rPr>
              <w:t>▲4、</w:t>
            </w:r>
            <w:r>
              <w:rPr>
                <w:color w:val="auto"/>
                <w:sz w:val="20"/>
                <w:szCs w:val="20"/>
              </w:rPr>
              <w:t>由探头和底座组成:</w:t>
            </w:r>
          </w:p>
          <w:p>
            <w:pPr>
              <w:rPr>
                <w:color w:val="auto"/>
                <w:sz w:val="20"/>
                <w:szCs w:val="20"/>
              </w:rPr>
            </w:pPr>
            <w:r>
              <w:rPr>
                <w:rFonts w:hint="eastAsia" w:hAnsi="宋体" w:cs="宋体"/>
                <w:color w:val="auto"/>
                <w:sz w:val="20"/>
                <w:szCs w:val="20"/>
                <w:lang w:bidi="ar"/>
              </w:rPr>
              <w:t>▲5、</w:t>
            </w:r>
            <w:r>
              <w:rPr>
                <w:color w:val="auto"/>
                <w:sz w:val="20"/>
                <w:szCs w:val="20"/>
              </w:rPr>
              <w:t>具有一个火灾报警确认灯，正常监视状态时红色闪亮，报警状态时红色常亮:</w:t>
            </w:r>
          </w:p>
          <w:p>
            <w:pPr>
              <w:widowControl/>
              <w:jc w:val="left"/>
              <w:textAlignment w:val="center"/>
              <w:rPr>
                <w:rFonts w:hAnsi="宋体" w:cs="宋体"/>
                <w:color w:val="auto"/>
                <w:sz w:val="20"/>
                <w:szCs w:val="20"/>
              </w:rPr>
            </w:pPr>
            <w:r>
              <w:rPr>
                <w:rFonts w:hint="eastAsia" w:hAnsi="宋体" w:cs="宋体"/>
                <w:color w:val="auto"/>
                <w:sz w:val="20"/>
                <w:szCs w:val="20"/>
                <w:lang w:bidi="ar"/>
              </w:rPr>
              <w:t>▲</w:t>
            </w:r>
            <w:r>
              <w:rPr>
                <w:rFonts w:hAnsi="宋体" w:cs="宋体"/>
                <w:color w:val="auto"/>
                <w:sz w:val="20"/>
                <w:szCs w:val="20"/>
                <w:lang w:bidi="ar"/>
              </w:rPr>
              <w:t>6</w:t>
            </w:r>
            <w:r>
              <w:rPr>
                <w:rFonts w:hint="eastAsia" w:hAnsi="宋体" w:cs="宋体"/>
                <w:color w:val="auto"/>
                <w:sz w:val="20"/>
                <w:szCs w:val="20"/>
                <w:lang w:bidi="ar"/>
              </w:rPr>
              <w:t>、</w:t>
            </w:r>
            <w:r>
              <w:rPr>
                <w:rStyle w:val="93"/>
                <w:rFonts w:hint="default"/>
                <w:color w:val="auto"/>
                <w:lang w:bidi="ar"/>
              </w:rPr>
              <w:t>线制：二总线，无极性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56</w:t>
            </w:r>
          </w:p>
        </w:tc>
      </w:tr>
      <w:tr>
        <w:tblPrEx>
          <w:tblCellMar>
            <w:top w:w="0" w:type="dxa"/>
            <w:left w:w="108" w:type="dxa"/>
            <w:bottom w:w="0" w:type="dxa"/>
            <w:right w:w="108" w:type="dxa"/>
          </w:tblCellMar>
        </w:tblPrEx>
        <w:trPr>
          <w:trHeight w:val="169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8</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火灾声光警报器</w:t>
            </w:r>
          </w:p>
        </w:tc>
        <w:tc>
          <w:tcPr>
            <w:tcW w:w="59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rPr>
            </w:pPr>
            <w:r>
              <w:rPr>
                <w:rFonts w:hint="eastAsia" w:hAnsi="宋体" w:cs="宋体"/>
                <w:color w:val="auto"/>
                <w:sz w:val="20"/>
                <w:szCs w:val="20"/>
                <w:lang w:bidi="ar"/>
              </w:rPr>
              <w:t>▲1、</w:t>
            </w:r>
            <w:r>
              <w:rPr>
                <w:color w:val="auto"/>
                <w:sz w:val="20"/>
                <w:szCs w:val="20"/>
              </w:rPr>
              <w:t>额定工作电压:DC24V</w:t>
            </w:r>
          </w:p>
          <w:p>
            <w:pPr>
              <w:rPr>
                <w:color w:val="auto"/>
                <w:sz w:val="20"/>
                <w:szCs w:val="20"/>
              </w:rPr>
            </w:pPr>
            <w:r>
              <w:rPr>
                <w:rFonts w:hint="eastAsia" w:hAnsi="宋体" w:cs="宋体"/>
                <w:color w:val="auto"/>
                <w:sz w:val="20"/>
                <w:szCs w:val="20"/>
                <w:lang w:bidi="ar"/>
              </w:rPr>
              <w:t>▲2、</w:t>
            </w:r>
            <w:r>
              <w:rPr>
                <w:color w:val="auto"/>
                <w:sz w:val="20"/>
                <w:szCs w:val="20"/>
              </w:rPr>
              <w:t>声压级:75dB~110dB</w:t>
            </w:r>
          </w:p>
          <w:p>
            <w:pPr>
              <w:rPr>
                <w:color w:val="auto"/>
                <w:sz w:val="20"/>
                <w:szCs w:val="20"/>
              </w:rPr>
            </w:pPr>
            <w:r>
              <w:rPr>
                <w:rFonts w:hint="eastAsia" w:hAnsi="宋体" w:cs="宋体"/>
                <w:color w:val="auto"/>
                <w:sz w:val="20"/>
                <w:szCs w:val="20"/>
                <w:lang w:bidi="ar"/>
              </w:rPr>
              <w:t>▲3、</w:t>
            </w:r>
            <w:r>
              <w:rPr>
                <w:color w:val="auto"/>
                <w:sz w:val="20"/>
                <w:szCs w:val="20"/>
              </w:rPr>
              <w:t>变调周期:3s~5s</w:t>
            </w:r>
          </w:p>
          <w:p>
            <w:pPr>
              <w:rPr>
                <w:color w:val="auto"/>
                <w:sz w:val="20"/>
                <w:szCs w:val="20"/>
              </w:rPr>
            </w:pPr>
            <w:r>
              <w:rPr>
                <w:rFonts w:hint="eastAsia" w:hAnsi="宋体" w:cs="宋体"/>
                <w:color w:val="auto"/>
                <w:sz w:val="20"/>
                <w:szCs w:val="20"/>
                <w:lang w:bidi="ar"/>
              </w:rPr>
              <w:t>▲4、</w:t>
            </w:r>
            <w:r>
              <w:rPr>
                <w:color w:val="auto"/>
                <w:sz w:val="20"/>
                <w:szCs w:val="20"/>
              </w:rPr>
              <w:t>闪光频率:12Hz~1.8Hz</w:t>
            </w:r>
          </w:p>
          <w:p>
            <w:pPr>
              <w:rPr>
                <w:color w:val="auto"/>
                <w:sz w:val="20"/>
                <w:szCs w:val="20"/>
              </w:rPr>
            </w:pPr>
            <w:r>
              <w:rPr>
                <w:rFonts w:hint="eastAsia" w:hAnsi="宋体" w:cs="宋体"/>
                <w:color w:val="auto"/>
                <w:sz w:val="20"/>
                <w:szCs w:val="20"/>
                <w:lang w:bidi="ar"/>
              </w:rPr>
              <w:t>▲5、</w:t>
            </w:r>
            <w:r>
              <w:rPr>
                <w:color w:val="auto"/>
                <w:sz w:val="20"/>
                <w:szCs w:val="20"/>
              </w:rPr>
              <w:t>外壳材质:塑料</w:t>
            </w:r>
          </w:p>
          <w:p>
            <w:pPr>
              <w:rPr>
                <w:rFonts w:hAnsi="宋体" w:cs="宋体"/>
                <w:color w:val="auto"/>
                <w:sz w:val="20"/>
                <w:szCs w:val="20"/>
              </w:rPr>
            </w:pPr>
            <w:r>
              <w:rPr>
                <w:rFonts w:hint="eastAsia" w:hAnsi="宋体" w:cs="宋体"/>
                <w:color w:val="auto"/>
                <w:sz w:val="20"/>
                <w:szCs w:val="20"/>
                <w:lang w:bidi="ar"/>
              </w:rPr>
              <w:t>▲6、</w:t>
            </w:r>
            <w:r>
              <w:rPr>
                <w:color w:val="auto"/>
                <w:sz w:val="20"/>
                <w:szCs w:val="20"/>
              </w:rPr>
              <w:t>编码方式:电子编码;</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24</w:t>
            </w:r>
          </w:p>
        </w:tc>
      </w:tr>
      <w:tr>
        <w:tblPrEx>
          <w:tblCellMar>
            <w:top w:w="0" w:type="dxa"/>
            <w:left w:w="108" w:type="dxa"/>
            <w:bottom w:w="0" w:type="dxa"/>
            <w:right w:w="108" w:type="dxa"/>
          </w:tblCellMar>
        </w:tblPrEx>
        <w:trPr>
          <w:trHeight w:val="158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9</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输入模块</w:t>
            </w:r>
          </w:p>
        </w:tc>
        <w:tc>
          <w:tcPr>
            <w:tcW w:w="59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rPr>
            </w:pPr>
            <w:r>
              <w:rPr>
                <w:rFonts w:hint="eastAsia" w:hAnsi="宋体" w:cs="宋体"/>
                <w:color w:val="auto"/>
                <w:sz w:val="20"/>
                <w:szCs w:val="20"/>
                <w:lang w:bidi="ar"/>
              </w:rPr>
              <w:t>▲1、</w:t>
            </w:r>
            <w:r>
              <w:rPr>
                <w:rFonts w:hint="eastAsia"/>
                <w:color w:val="auto"/>
                <w:sz w:val="20"/>
                <w:szCs w:val="20"/>
              </w:rPr>
              <w:t>外壳材质为塑料</w:t>
            </w:r>
            <w:r>
              <w:rPr>
                <w:color w:val="auto"/>
                <w:sz w:val="20"/>
                <w:szCs w:val="20"/>
              </w:rPr>
              <w:t>;</w:t>
            </w:r>
          </w:p>
          <w:p>
            <w:pPr>
              <w:rPr>
                <w:color w:val="auto"/>
                <w:sz w:val="20"/>
                <w:szCs w:val="20"/>
              </w:rPr>
            </w:pPr>
            <w:r>
              <w:rPr>
                <w:rFonts w:hint="eastAsia" w:hAnsi="宋体" w:cs="宋体"/>
                <w:color w:val="auto"/>
                <w:sz w:val="20"/>
                <w:szCs w:val="20"/>
                <w:lang w:bidi="ar"/>
              </w:rPr>
              <w:t>▲2、</w:t>
            </w:r>
            <w:r>
              <w:rPr>
                <w:rFonts w:hint="eastAsia"/>
                <w:color w:val="auto"/>
                <w:sz w:val="20"/>
                <w:szCs w:val="20"/>
              </w:rPr>
              <w:t>具有一个输入指示灯，正常监视状态时红色闪亮输入动作时红色常亮</w:t>
            </w:r>
            <w:r>
              <w:rPr>
                <w:color w:val="auto"/>
                <w:sz w:val="20"/>
                <w:szCs w:val="20"/>
              </w:rPr>
              <w:t>;具有一个故障指示灯，故障状态时黄色闪亮;</w:t>
            </w:r>
          </w:p>
          <w:p>
            <w:pPr>
              <w:rPr>
                <w:color w:val="auto"/>
                <w:sz w:val="20"/>
                <w:szCs w:val="20"/>
              </w:rPr>
            </w:pPr>
            <w:r>
              <w:rPr>
                <w:rFonts w:hint="eastAsia" w:hAnsi="宋体" w:cs="宋体"/>
                <w:color w:val="auto"/>
                <w:sz w:val="20"/>
                <w:szCs w:val="20"/>
                <w:lang w:bidi="ar"/>
              </w:rPr>
              <w:t>▲3、</w:t>
            </w:r>
            <w:r>
              <w:rPr>
                <w:color w:val="auto"/>
                <w:sz w:val="20"/>
                <w:szCs w:val="20"/>
              </w:rPr>
              <w:t>通过总线与消防联动控制器通信;</w:t>
            </w:r>
          </w:p>
          <w:p>
            <w:pPr>
              <w:rPr>
                <w:color w:val="auto"/>
                <w:sz w:val="20"/>
                <w:szCs w:val="20"/>
              </w:rPr>
            </w:pPr>
            <w:r>
              <w:rPr>
                <w:rFonts w:hint="eastAsia" w:hAnsi="宋体" w:cs="宋体"/>
                <w:color w:val="auto"/>
                <w:sz w:val="20"/>
                <w:szCs w:val="20"/>
                <w:lang w:bidi="ar"/>
              </w:rPr>
              <w:t>▲4、</w:t>
            </w:r>
            <w:r>
              <w:rPr>
                <w:color w:val="auto"/>
                <w:sz w:val="20"/>
                <w:szCs w:val="20"/>
              </w:rPr>
              <w:t>编码方式:电子编码;</w:t>
            </w:r>
          </w:p>
          <w:p>
            <w:pPr>
              <w:rPr>
                <w:rFonts w:hAnsi="宋体" w:cs="宋体"/>
                <w:color w:val="auto"/>
                <w:sz w:val="20"/>
                <w:szCs w:val="20"/>
              </w:rPr>
            </w:pPr>
            <w:r>
              <w:rPr>
                <w:rFonts w:hint="eastAsia" w:hAnsi="宋体" w:cs="宋体"/>
                <w:color w:val="auto"/>
                <w:sz w:val="20"/>
                <w:szCs w:val="20"/>
                <w:lang w:bidi="ar"/>
              </w:rPr>
              <w:t>▲5、</w:t>
            </w:r>
            <w:r>
              <w:rPr>
                <w:rFonts w:hint="eastAsia"/>
                <w:color w:val="auto"/>
                <w:sz w:val="20"/>
                <w:szCs w:val="20"/>
              </w:rPr>
              <w:t>供电方式</w:t>
            </w:r>
            <w:r>
              <w:rPr>
                <w:color w:val="auto"/>
                <w:sz w:val="20"/>
                <w:szCs w:val="20"/>
              </w:rPr>
              <w:t>:由消防联动控制器的总线供电;</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125</w:t>
            </w:r>
          </w:p>
        </w:tc>
      </w:tr>
      <w:tr>
        <w:tblPrEx>
          <w:tblCellMar>
            <w:top w:w="0" w:type="dxa"/>
            <w:left w:w="108" w:type="dxa"/>
            <w:bottom w:w="0" w:type="dxa"/>
            <w:right w:w="108" w:type="dxa"/>
          </w:tblCellMar>
        </w:tblPrEx>
        <w:trPr>
          <w:trHeight w:val="252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10</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组合式电气火灾监控探测器</w:t>
            </w:r>
          </w:p>
        </w:tc>
        <w:tc>
          <w:tcPr>
            <w:tcW w:w="5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1.剩余电流设定值</w:t>
            </w:r>
            <w:r>
              <w:rPr>
                <w:rStyle w:val="95"/>
                <w:rFonts w:ascii="宋体" w:hAnsi="宋体" w:cs="宋体"/>
                <w:color w:val="auto"/>
                <w:sz w:val="24"/>
                <w:szCs w:val="24"/>
                <w:lang w:bidi="ar"/>
              </w:rPr>
              <w:t xml:space="preserve"> </w:t>
            </w:r>
            <w:r>
              <w:rPr>
                <w:rFonts w:hint="eastAsia" w:hAnsi="宋体" w:cs="宋体"/>
                <w:color w:val="auto"/>
                <w:sz w:val="20"/>
                <w:szCs w:val="20"/>
                <w:lang w:bidi="ar"/>
              </w:rPr>
              <w:t>300mA～1000mA</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2.温度设定值</w:t>
            </w:r>
            <w:r>
              <w:rPr>
                <w:rStyle w:val="95"/>
                <w:rFonts w:ascii="宋体" w:hAnsi="宋体" w:cs="宋体"/>
                <w:color w:val="auto"/>
                <w:sz w:val="24"/>
                <w:szCs w:val="24"/>
                <w:lang w:bidi="ar"/>
              </w:rPr>
              <w:t xml:space="preserve"> </w:t>
            </w:r>
            <w:r>
              <w:rPr>
                <w:rFonts w:hint="eastAsia" w:hAnsi="宋体" w:cs="宋体"/>
                <w:color w:val="auto"/>
                <w:sz w:val="20"/>
                <w:szCs w:val="20"/>
                <w:lang w:bidi="ar"/>
              </w:rPr>
              <w:t>45℃～140℃</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3.通讯方式</w:t>
            </w:r>
            <w:r>
              <w:rPr>
                <w:rStyle w:val="95"/>
                <w:rFonts w:ascii="宋体" w:hAnsi="宋体" w:cs="宋体"/>
                <w:color w:val="auto"/>
                <w:sz w:val="24"/>
                <w:szCs w:val="24"/>
                <w:lang w:bidi="ar"/>
              </w:rPr>
              <w:t xml:space="preserve"> </w:t>
            </w:r>
            <w:r>
              <w:rPr>
                <w:rFonts w:hint="eastAsia" w:hAnsi="宋体" w:cs="宋体"/>
                <w:color w:val="auto"/>
                <w:sz w:val="20"/>
                <w:szCs w:val="20"/>
                <w:lang w:bidi="ar"/>
              </w:rPr>
              <w:t>CAN总线</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4.通讯介质</w:t>
            </w:r>
            <w:r>
              <w:rPr>
                <w:rStyle w:val="95"/>
                <w:rFonts w:ascii="宋体" w:hAnsi="宋体" w:cs="宋体"/>
                <w:color w:val="auto"/>
                <w:sz w:val="24"/>
                <w:szCs w:val="24"/>
                <w:lang w:bidi="ar"/>
              </w:rPr>
              <w:t xml:space="preserve"> </w:t>
            </w:r>
            <w:r>
              <w:rPr>
                <w:rFonts w:hint="eastAsia" w:hAnsi="宋体" w:cs="宋体"/>
                <w:color w:val="auto"/>
                <w:sz w:val="20"/>
                <w:szCs w:val="20"/>
                <w:lang w:bidi="ar"/>
              </w:rPr>
              <w:t>NH-RVS2X1.5mm²</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5.通讯距离</w:t>
            </w:r>
            <w:r>
              <w:rPr>
                <w:rStyle w:val="95"/>
                <w:rFonts w:ascii="宋体" w:hAnsi="宋体" w:cs="宋体"/>
                <w:color w:val="auto"/>
                <w:sz w:val="24"/>
                <w:szCs w:val="24"/>
                <w:lang w:bidi="ar"/>
              </w:rPr>
              <w:t xml:space="preserve"> </w:t>
            </w:r>
            <w:r>
              <w:rPr>
                <w:rFonts w:hint="eastAsia" w:hAnsi="宋体" w:cs="宋体"/>
                <w:color w:val="auto"/>
                <w:sz w:val="20"/>
                <w:szCs w:val="20"/>
                <w:lang w:bidi="ar"/>
              </w:rPr>
              <w:t>≤2000M6.工作电压</w:t>
            </w:r>
            <w:r>
              <w:rPr>
                <w:rStyle w:val="95"/>
                <w:rFonts w:ascii="宋体" w:hAnsi="宋体" w:cs="宋体"/>
                <w:color w:val="auto"/>
                <w:sz w:val="24"/>
                <w:szCs w:val="24"/>
                <w:lang w:bidi="ar"/>
              </w:rPr>
              <w:t xml:space="preserve"> </w:t>
            </w:r>
            <w:r>
              <w:rPr>
                <w:rFonts w:hint="eastAsia" w:hAnsi="宋体" w:cs="宋体"/>
                <w:color w:val="auto"/>
                <w:sz w:val="20"/>
                <w:szCs w:val="20"/>
                <w:lang w:bidi="ar"/>
              </w:rPr>
              <w:t>AC 220V±15%，50Hz</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6.环境温度</w:t>
            </w:r>
            <w:r>
              <w:rPr>
                <w:rStyle w:val="95"/>
                <w:rFonts w:ascii="宋体" w:hAnsi="宋体" w:cs="宋体"/>
                <w:color w:val="auto"/>
                <w:sz w:val="24"/>
                <w:szCs w:val="24"/>
                <w:lang w:bidi="ar"/>
              </w:rPr>
              <w:t xml:space="preserve"> </w:t>
            </w:r>
            <w:r>
              <w:rPr>
                <w:rFonts w:hint="eastAsia" w:hAnsi="宋体" w:cs="宋体"/>
                <w:color w:val="auto"/>
                <w:sz w:val="20"/>
                <w:szCs w:val="20"/>
                <w:lang w:bidi="ar"/>
              </w:rPr>
              <w:t>-10℃~55℃</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7.相对湿度</w:t>
            </w:r>
            <w:r>
              <w:rPr>
                <w:rStyle w:val="95"/>
                <w:rFonts w:ascii="宋体" w:hAnsi="宋体" w:cs="宋体"/>
                <w:color w:val="auto"/>
                <w:sz w:val="24"/>
                <w:szCs w:val="24"/>
                <w:lang w:bidi="ar"/>
              </w:rPr>
              <w:t xml:space="preserve"> </w:t>
            </w:r>
            <w:r>
              <w:rPr>
                <w:rFonts w:hint="eastAsia" w:hAnsi="宋体" w:cs="宋体"/>
                <w:color w:val="auto"/>
                <w:sz w:val="20"/>
                <w:szCs w:val="20"/>
                <w:lang w:bidi="ar"/>
              </w:rPr>
              <w:t>≤95%</w:t>
            </w:r>
          </w:p>
          <w:p>
            <w:pPr>
              <w:widowControl/>
              <w:jc w:val="left"/>
              <w:textAlignment w:val="center"/>
              <w:rPr>
                <w:rFonts w:hAnsi="宋体" w:cs="宋体"/>
                <w:color w:val="auto"/>
                <w:sz w:val="20"/>
                <w:szCs w:val="20"/>
              </w:rPr>
            </w:pPr>
            <w:r>
              <w:rPr>
                <w:rFonts w:hint="eastAsia" w:hAnsi="宋体" w:cs="宋体"/>
                <w:color w:val="auto"/>
                <w:sz w:val="20"/>
                <w:szCs w:val="20"/>
                <w:lang w:bidi="ar"/>
              </w:rPr>
              <w:t>8.外壳材质</w:t>
            </w:r>
            <w:r>
              <w:rPr>
                <w:rStyle w:val="95"/>
                <w:rFonts w:ascii="宋体" w:hAnsi="宋体" w:cs="宋体"/>
                <w:color w:val="auto"/>
                <w:sz w:val="24"/>
                <w:szCs w:val="24"/>
                <w:lang w:bidi="ar"/>
              </w:rPr>
              <w:t xml:space="preserve"> </w:t>
            </w:r>
            <w:r>
              <w:rPr>
                <w:rFonts w:hint="eastAsia" w:hAnsi="宋体" w:cs="宋体"/>
                <w:color w:val="auto"/>
                <w:sz w:val="20"/>
                <w:szCs w:val="20"/>
                <w:lang w:bidi="ar"/>
              </w:rPr>
              <w:t>阻燃ABS材质</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18</w:t>
            </w:r>
          </w:p>
        </w:tc>
      </w:tr>
      <w:tr>
        <w:tblPrEx>
          <w:tblCellMar>
            <w:top w:w="0" w:type="dxa"/>
            <w:left w:w="108" w:type="dxa"/>
            <w:bottom w:w="0" w:type="dxa"/>
            <w:right w:w="108" w:type="dxa"/>
          </w:tblCellMar>
        </w:tblPrEx>
        <w:trPr>
          <w:trHeight w:val="127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11</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点型感温探测器</w:t>
            </w:r>
          </w:p>
        </w:tc>
        <w:tc>
          <w:tcPr>
            <w:tcW w:w="59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rPr>
            </w:pPr>
            <w:r>
              <w:rPr>
                <w:rFonts w:hint="eastAsia" w:hAnsi="宋体" w:cs="宋体"/>
                <w:color w:val="auto"/>
                <w:sz w:val="20"/>
                <w:szCs w:val="20"/>
                <w:lang w:bidi="ar"/>
              </w:rPr>
              <w:t>▲1、</w:t>
            </w:r>
            <w:r>
              <w:rPr>
                <w:rFonts w:hint="eastAsia"/>
                <w:color w:val="auto"/>
                <w:sz w:val="20"/>
                <w:szCs w:val="20"/>
              </w:rPr>
              <w:t>外壳材质为塑料</w:t>
            </w:r>
            <w:r>
              <w:rPr>
                <w:color w:val="auto"/>
                <w:sz w:val="20"/>
                <w:szCs w:val="20"/>
              </w:rPr>
              <w:t>;</w:t>
            </w:r>
          </w:p>
          <w:p>
            <w:pPr>
              <w:rPr>
                <w:color w:val="auto"/>
                <w:sz w:val="20"/>
                <w:szCs w:val="20"/>
              </w:rPr>
            </w:pPr>
            <w:r>
              <w:rPr>
                <w:rFonts w:hint="eastAsia" w:hAnsi="宋体" w:cs="宋体"/>
                <w:color w:val="auto"/>
                <w:sz w:val="20"/>
                <w:szCs w:val="20"/>
                <w:lang w:bidi="ar"/>
              </w:rPr>
              <w:t>▲2、</w:t>
            </w:r>
            <w:r>
              <w:rPr>
                <w:rFonts w:hint="eastAsia"/>
                <w:color w:val="auto"/>
                <w:sz w:val="20"/>
                <w:szCs w:val="20"/>
              </w:rPr>
              <w:t>编码方式</w:t>
            </w:r>
            <w:r>
              <w:rPr>
                <w:color w:val="auto"/>
                <w:sz w:val="20"/>
                <w:szCs w:val="20"/>
              </w:rPr>
              <w:t>:电子编码;由探头和底座组成;</w:t>
            </w:r>
          </w:p>
          <w:p>
            <w:pPr>
              <w:rPr>
                <w:rFonts w:hAnsi="宋体" w:cs="宋体"/>
                <w:color w:val="auto"/>
                <w:sz w:val="20"/>
                <w:szCs w:val="20"/>
              </w:rPr>
            </w:pPr>
            <w:r>
              <w:rPr>
                <w:rFonts w:hint="eastAsia" w:hAnsi="宋体" w:cs="宋体"/>
                <w:color w:val="auto"/>
                <w:sz w:val="20"/>
                <w:szCs w:val="20"/>
                <w:lang w:bidi="ar"/>
              </w:rPr>
              <w:t>▲3、</w:t>
            </w:r>
            <w:r>
              <w:rPr>
                <w:rFonts w:hint="eastAsia"/>
                <w:color w:val="auto"/>
                <w:sz w:val="20"/>
                <w:szCs w:val="20"/>
              </w:rPr>
              <w:t>具有一个火灾报警确认灯，正常监视状态时红色闪亮，报警状态时红色常亮</w:t>
            </w:r>
            <w:r>
              <w:rPr>
                <w:color w:val="auto"/>
                <w:sz w:val="20"/>
                <w:szCs w:val="20"/>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2</w:t>
            </w:r>
          </w:p>
        </w:tc>
      </w:tr>
      <w:tr>
        <w:tblPrEx>
          <w:tblCellMar>
            <w:top w:w="0" w:type="dxa"/>
            <w:left w:w="108" w:type="dxa"/>
            <w:bottom w:w="0" w:type="dxa"/>
            <w:right w:w="108" w:type="dxa"/>
          </w:tblCellMar>
        </w:tblPrEx>
        <w:trPr>
          <w:trHeight w:val="381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12</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气体探测器</w:t>
            </w:r>
          </w:p>
        </w:tc>
        <w:tc>
          <w:tcPr>
            <w:tcW w:w="5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1.传感器类型</w:t>
            </w:r>
            <w:r>
              <w:rPr>
                <w:rStyle w:val="95"/>
                <w:rFonts w:ascii="宋体" w:hAnsi="宋体" w:cs="宋体"/>
                <w:color w:val="auto"/>
                <w:sz w:val="24"/>
                <w:szCs w:val="24"/>
                <w:lang w:bidi="ar"/>
              </w:rPr>
              <w:t xml:space="preserve"> </w:t>
            </w:r>
            <w:r>
              <w:rPr>
                <w:rFonts w:hint="eastAsia" w:hAnsi="宋体" w:cs="宋体"/>
                <w:color w:val="auto"/>
                <w:sz w:val="20"/>
                <w:szCs w:val="20"/>
                <w:lang w:bidi="ar"/>
              </w:rPr>
              <w:t>催化燃烧</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2.检测气体</w:t>
            </w:r>
            <w:r>
              <w:rPr>
                <w:rStyle w:val="95"/>
                <w:rFonts w:ascii="宋体" w:hAnsi="宋体" w:cs="宋体"/>
                <w:color w:val="auto"/>
                <w:sz w:val="24"/>
                <w:szCs w:val="24"/>
                <w:lang w:bidi="ar"/>
              </w:rPr>
              <w:t xml:space="preserve"> </w:t>
            </w:r>
            <w:r>
              <w:rPr>
                <w:rFonts w:hint="eastAsia" w:hAnsi="宋体" w:cs="宋体"/>
                <w:color w:val="auto"/>
                <w:sz w:val="20"/>
                <w:szCs w:val="20"/>
                <w:lang w:bidi="ar"/>
              </w:rPr>
              <w:t>二甲苯、苯、酮等ⅡC 级T3、T6组可燃气体或可燃性液体的挥发物</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3.检测范围</w:t>
            </w:r>
            <w:r>
              <w:rPr>
                <w:rStyle w:val="95"/>
                <w:rFonts w:ascii="宋体" w:hAnsi="宋体" w:cs="宋体"/>
                <w:color w:val="auto"/>
                <w:sz w:val="24"/>
                <w:szCs w:val="24"/>
                <w:lang w:bidi="ar"/>
              </w:rPr>
              <w:t xml:space="preserve"> </w:t>
            </w:r>
            <w:r>
              <w:rPr>
                <w:rFonts w:hint="eastAsia" w:hAnsi="宋体" w:cs="宋体"/>
                <w:color w:val="auto"/>
                <w:sz w:val="20"/>
                <w:szCs w:val="20"/>
                <w:lang w:bidi="ar"/>
              </w:rPr>
              <w:t>0-100%LEL</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4.最大功耗</w:t>
            </w:r>
            <w:r>
              <w:rPr>
                <w:rStyle w:val="95"/>
                <w:rFonts w:ascii="宋体" w:hAnsi="宋体" w:cs="宋体"/>
                <w:color w:val="auto"/>
                <w:sz w:val="24"/>
                <w:szCs w:val="24"/>
                <w:lang w:bidi="ar"/>
              </w:rPr>
              <w:t xml:space="preserve"> </w:t>
            </w:r>
            <w:r>
              <w:rPr>
                <w:rFonts w:hint="eastAsia" w:hAnsi="宋体" w:cs="宋体"/>
                <w:color w:val="auto"/>
                <w:sz w:val="20"/>
                <w:szCs w:val="20"/>
                <w:lang w:bidi="ar"/>
              </w:rPr>
              <w:t>100mA</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5.输出信号</w:t>
            </w:r>
            <w:r>
              <w:rPr>
                <w:rStyle w:val="95"/>
                <w:rFonts w:ascii="宋体" w:hAnsi="宋体" w:cs="宋体"/>
                <w:color w:val="auto"/>
                <w:sz w:val="24"/>
                <w:szCs w:val="24"/>
                <w:lang w:bidi="ar"/>
              </w:rPr>
              <w:t xml:space="preserve"> </w:t>
            </w:r>
            <w:r>
              <w:rPr>
                <w:rFonts w:hint="eastAsia" w:hAnsi="宋体" w:cs="宋体"/>
                <w:color w:val="auto"/>
                <w:sz w:val="20"/>
                <w:szCs w:val="20"/>
                <w:lang w:bidi="ar"/>
              </w:rPr>
              <w:t>4-20mA或者RS485标准信号输出</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6.连接电缆</w:t>
            </w:r>
            <w:r>
              <w:rPr>
                <w:rStyle w:val="95"/>
                <w:rFonts w:ascii="宋体" w:hAnsi="宋体" w:cs="宋体"/>
                <w:color w:val="auto"/>
                <w:sz w:val="24"/>
                <w:szCs w:val="24"/>
                <w:lang w:bidi="ar"/>
              </w:rPr>
              <w:t xml:space="preserve"> </w:t>
            </w:r>
            <w:r>
              <w:rPr>
                <w:rFonts w:hint="eastAsia" w:hAnsi="宋体" w:cs="宋体"/>
                <w:color w:val="auto"/>
                <w:sz w:val="20"/>
                <w:szCs w:val="20"/>
                <w:lang w:bidi="ar"/>
              </w:rPr>
              <w:t>三芯高温电缆</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7.工作温度</w:t>
            </w:r>
            <w:r>
              <w:rPr>
                <w:rStyle w:val="95"/>
                <w:rFonts w:ascii="宋体" w:hAnsi="宋体" w:cs="宋体"/>
                <w:color w:val="auto"/>
                <w:sz w:val="24"/>
                <w:szCs w:val="24"/>
                <w:lang w:bidi="ar"/>
              </w:rPr>
              <w:t xml:space="preserve"> </w:t>
            </w:r>
            <w:r>
              <w:rPr>
                <w:rFonts w:hint="eastAsia" w:hAnsi="宋体" w:cs="宋体"/>
                <w:color w:val="auto"/>
                <w:sz w:val="20"/>
                <w:szCs w:val="20"/>
                <w:lang w:bidi="ar"/>
              </w:rPr>
              <w:t>-40℃～+200℃</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8.环境湿度</w:t>
            </w:r>
            <w:r>
              <w:rPr>
                <w:rStyle w:val="95"/>
                <w:rFonts w:ascii="宋体" w:hAnsi="宋体" w:cs="宋体"/>
                <w:color w:val="auto"/>
                <w:sz w:val="24"/>
                <w:szCs w:val="24"/>
                <w:lang w:bidi="ar"/>
              </w:rPr>
              <w:t xml:space="preserve"> </w:t>
            </w:r>
            <w:r>
              <w:rPr>
                <w:rFonts w:hint="eastAsia" w:hAnsi="宋体" w:cs="宋体"/>
                <w:color w:val="auto"/>
                <w:sz w:val="20"/>
                <w:szCs w:val="20"/>
                <w:lang w:bidi="ar"/>
              </w:rPr>
              <w:t>10%-95%RH(非冷凝)</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9.检测精度</w:t>
            </w:r>
            <w:r>
              <w:rPr>
                <w:rStyle w:val="95"/>
                <w:rFonts w:ascii="宋体" w:hAnsi="宋体" w:cs="宋体"/>
                <w:color w:val="auto"/>
                <w:sz w:val="24"/>
                <w:szCs w:val="24"/>
                <w:lang w:bidi="ar"/>
              </w:rPr>
              <w:t xml:space="preserve"> </w:t>
            </w:r>
            <w:r>
              <w:rPr>
                <w:rFonts w:hint="eastAsia" w:hAnsi="宋体" w:cs="宋体"/>
                <w:color w:val="auto"/>
                <w:sz w:val="20"/>
                <w:szCs w:val="20"/>
                <w:lang w:bidi="ar"/>
              </w:rPr>
              <w:t>±5%(可做到3%)</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10.零漂移</w:t>
            </w:r>
            <w:r>
              <w:rPr>
                <w:rStyle w:val="95"/>
                <w:rFonts w:ascii="宋体" w:hAnsi="宋体" w:cs="宋体"/>
                <w:color w:val="auto"/>
                <w:sz w:val="24"/>
                <w:szCs w:val="24"/>
                <w:lang w:bidi="ar"/>
              </w:rPr>
              <w:t xml:space="preserve"> </w:t>
            </w:r>
            <w:r>
              <w:rPr>
                <w:rFonts w:hint="eastAsia" w:hAnsi="宋体" w:cs="宋体"/>
                <w:color w:val="auto"/>
                <w:sz w:val="20"/>
                <w:szCs w:val="20"/>
                <w:lang w:bidi="ar"/>
              </w:rPr>
              <w:t>＜0.5%F.S.</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11.反应时间</w:t>
            </w:r>
            <w:r>
              <w:rPr>
                <w:rStyle w:val="95"/>
                <w:rFonts w:ascii="宋体" w:hAnsi="宋体" w:cs="宋体"/>
                <w:color w:val="auto"/>
                <w:sz w:val="24"/>
                <w:szCs w:val="24"/>
                <w:lang w:bidi="ar"/>
              </w:rPr>
              <w:t xml:space="preserve"> </w:t>
            </w:r>
            <w:r>
              <w:rPr>
                <w:rFonts w:hint="eastAsia" w:hAnsi="宋体" w:cs="宋体"/>
                <w:color w:val="auto"/>
                <w:sz w:val="20"/>
                <w:szCs w:val="20"/>
                <w:lang w:bidi="ar"/>
              </w:rPr>
              <w:t>&lt;30s</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12.防爆等级</w:t>
            </w:r>
            <w:r>
              <w:rPr>
                <w:rStyle w:val="95"/>
                <w:rFonts w:ascii="宋体" w:hAnsi="宋体" w:cs="宋体"/>
                <w:color w:val="auto"/>
                <w:sz w:val="24"/>
                <w:szCs w:val="24"/>
                <w:lang w:bidi="ar"/>
              </w:rPr>
              <w:t xml:space="preserve"> </w:t>
            </w:r>
            <w:r>
              <w:rPr>
                <w:rFonts w:hint="eastAsia" w:hAnsi="宋体" w:cs="宋体"/>
                <w:color w:val="auto"/>
                <w:sz w:val="20"/>
                <w:szCs w:val="20"/>
                <w:lang w:bidi="ar"/>
              </w:rPr>
              <w:t>Exd IICT6</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13.防护等级</w:t>
            </w:r>
            <w:r>
              <w:rPr>
                <w:rStyle w:val="95"/>
                <w:rFonts w:ascii="宋体" w:hAnsi="宋体" w:cs="宋体"/>
                <w:color w:val="auto"/>
                <w:sz w:val="24"/>
                <w:szCs w:val="24"/>
                <w:lang w:bidi="ar"/>
              </w:rPr>
              <w:t xml:space="preserve"> </w:t>
            </w:r>
            <w:r>
              <w:rPr>
                <w:rFonts w:hint="eastAsia" w:hAnsi="宋体" w:cs="宋体"/>
                <w:color w:val="auto"/>
                <w:sz w:val="20"/>
                <w:szCs w:val="20"/>
                <w:lang w:bidi="ar"/>
              </w:rPr>
              <w:t>IP66</w:t>
            </w:r>
          </w:p>
          <w:p>
            <w:pPr>
              <w:widowControl/>
              <w:jc w:val="left"/>
              <w:textAlignment w:val="center"/>
              <w:rPr>
                <w:rFonts w:hAnsi="宋体" w:cs="宋体"/>
                <w:color w:val="auto"/>
                <w:sz w:val="20"/>
                <w:szCs w:val="20"/>
              </w:rPr>
            </w:pPr>
            <w:r>
              <w:rPr>
                <w:rFonts w:hint="eastAsia" w:hAnsi="宋体" w:cs="宋体"/>
                <w:color w:val="auto"/>
                <w:sz w:val="20"/>
                <w:szCs w:val="20"/>
                <w:lang w:bidi="ar"/>
              </w:rPr>
              <w:t>14.工作电源</w:t>
            </w:r>
            <w:r>
              <w:rPr>
                <w:rStyle w:val="95"/>
                <w:rFonts w:ascii="宋体" w:hAnsi="宋体" w:cs="宋体"/>
                <w:color w:val="auto"/>
                <w:sz w:val="24"/>
                <w:szCs w:val="24"/>
                <w:lang w:bidi="ar"/>
              </w:rPr>
              <w:t xml:space="preserve"> </w:t>
            </w:r>
            <w:r>
              <w:rPr>
                <w:rFonts w:hint="eastAsia" w:hAnsi="宋体" w:cs="宋体"/>
                <w:color w:val="auto"/>
                <w:sz w:val="20"/>
                <w:szCs w:val="20"/>
                <w:lang w:bidi="ar"/>
              </w:rPr>
              <w:t>DC12-24V</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3</w:t>
            </w:r>
          </w:p>
        </w:tc>
      </w:tr>
      <w:tr>
        <w:tblPrEx>
          <w:tblCellMar>
            <w:top w:w="0" w:type="dxa"/>
            <w:left w:w="108" w:type="dxa"/>
            <w:bottom w:w="0" w:type="dxa"/>
            <w:right w:w="108" w:type="dxa"/>
          </w:tblCellMar>
        </w:tblPrEx>
        <w:trPr>
          <w:trHeight w:val="176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13</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消火栓按钮</w:t>
            </w:r>
          </w:p>
        </w:tc>
        <w:tc>
          <w:tcPr>
            <w:tcW w:w="59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rPr>
            </w:pPr>
            <w:r>
              <w:rPr>
                <w:rFonts w:hint="eastAsia" w:hAnsi="宋体" w:cs="宋体"/>
                <w:color w:val="auto"/>
                <w:sz w:val="20"/>
                <w:szCs w:val="20"/>
                <w:lang w:bidi="ar"/>
              </w:rPr>
              <w:t>▲1、</w:t>
            </w:r>
            <w:r>
              <w:rPr>
                <w:rFonts w:hint="eastAsia"/>
                <w:color w:val="auto"/>
                <w:sz w:val="20"/>
                <w:szCs w:val="20"/>
              </w:rPr>
              <w:t>主要技术参数</w:t>
            </w:r>
            <w:r>
              <w:rPr>
                <w:color w:val="auto"/>
                <w:sz w:val="20"/>
                <w:szCs w:val="20"/>
              </w:rPr>
              <w:t xml:space="preserve">:工作电压:DC16V~DC26V </w:t>
            </w:r>
          </w:p>
          <w:p>
            <w:pPr>
              <w:rPr>
                <w:color w:val="auto"/>
                <w:sz w:val="20"/>
                <w:szCs w:val="20"/>
              </w:rPr>
            </w:pPr>
            <w:r>
              <w:rPr>
                <w:rFonts w:hint="eastAsia" w:hAnsi="宋体" w:cs="宋体"/>
                <w:color w:val="auto"/>
                <w:sz w:val="20"/>
                <w:szCs w:val="20"/>
                <w:lang w:bidi="ar"/>
              </w:rPr>
              <w:t>▲2、</w:t>
            </w:r>
            <w:r>
              <w:rPr>
                <w:rFonts w:hint="eastAsia"/>
                <w:color w:val="auto"/>
                <w:sz w:val="20"/>
                <w:szCs w:val="20"/>
              </w:rPr>
              <w:t>编码方式</w:t>
            </w:r>
            <w:r>
              <w:rPr>
                <w:color w:val="auto"/>
                <w:sz w:val="20"/>
                <w:szCs w:val="20"/>
              </w:rPr>
              <w:t>:电子编码;</w:t>
            </w:r>
          </w:p>
          <w:p>
            <w:pPr>
              <w:rPr>
                <w:color w:val="auto"/>
                <w:sz w:val="20"/>
                <w:szCs w:val="20"/>
              </w:rPr>
            </w:pPr>
            <w:r>
              <w:rPr>
                <w:rFonts w:hint="eastAsia" w:hAnsi="宋体" w:cs="宋体"/>
                <w:color w:val="auto"/>
                <w:sz w:val="20"/>
                <w:szCs w:val="20"/>
                <w:lang w:bidi="ar"/>
              </w:rPr>
              <w:t>▲3、</w:t>
            </w:r>
            <w:r>
              <w:rPr>
                <w:rFonts w:hint="eastAsia"/>
                <w:color w:val="auto"/>
                <w:sz w:val="20"/>
                <w:szCs w:val="20"/>
              </w:rPr>
              <w:t>具有一个启动确认灯，正常监视状态时红色闪亮，启动状态时红色常亮</w:t>
            </w:r>
            <w:r>
              <w:rPr>
                <w:color w:val="auto"/>
                <w:sz w:val="20"/>
                <w:szCs w:val="20"/>
              </w:rPr>
              <w:t>;</w:t>
            </w:r>
          </w:p>
          <w:p>
            <w:pPr>
              <w:rPr>
                <w:color w:val="auto"/>
                <w:sz w:val="20"/>
                <w:szCs w:val="20"/>
              </w:rPr>
            </w:pPr>
            <w:r>
              <w:rPr>
                <w:rFonts w:hint="eastAsia" w:hAnsi="宋体" w:cs="宋体"/>
                <w:color w:val="auto"/>
                <w:sz w:val="20"/>
                <w:szCs w:val="20"/>
                <w:lang w:bidi="ar"/>
              </w:rPr>
              <w:t>▲4、</w:t>
            </w:r>
            <w:r>
              <w:rPr>
                <w:color w:val="auto"/>
                <w:sz w:val="20"/>
                <w:szCs w:val="20"/>
              </w:rPr>
              <w:t>具有一个回答确认灯，正常监视状态时不点亮，回答状态时绿色常亮;</w:t>
            </w:r>
          </w:p>
          <w:p>
            <w:pPr>
              <w:widowControl/>
              <w:jc w:val="left"/>
              <w:textAlignment w:val="center"/>
              <w:rPr>
                <w:rFonts w:hAnsi="宋体" w:cs="宋体"/>
                <w:color w:val="auto"/>
                <w:sz w:val="20"/>
                <w:szCs w:val="2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9</w:t>
            </w:r>
          </w:p>
        </w:tc>
      </w:tr>
      <w:tr>
        <w:tblPrEx>
          <w:tblCellMar>
            <w:top w:w="0" w:type="dxa"/>
            <w:left w:w="108" w:type="dxa"/>
            <w:bottom w:w="0" w:type="dxa"/>
            <w:right w:w="108" w:type="dxa"/>
          </w:tblCellMar>
        </w:tblPrEx>
        <w:trPr>
          <w:trHeight w:val="1263"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14</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手动火灾报警按钮</w:t>
            </w:r>
          </w:p>
        </w:tc>
        <w:tc>
          <w:tcPr>
            <w:tcW w:w="59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rPr>
            </w:pPr>
            <w:r>
              <w:rPr>
                <w:rFonts w:hint="eastAsia" w:hAnsi="宋体" w:cs="宋体"/>
                <w:color w:val="auto"/>
                <w:sz w:val="20"/>
                <w:szCs w:val="20"/>
                <w:lang w:bidi="ar"/>
              </w:rPr>
              <w:t>▲1、</w:t>
            </w:r>
            <w:r>
              <w:rPr>
                <w:rFonts w:hint="eastAsia"/>
                <w:color w:val="auto"/>
                <w:sz w:val="20"/>
                <w:szCs w:val="20"/>
              </w:rPr>
              <w:t>主要技术参数</w:t>
            </w:r>
            <w:r>
              <w:rPr>
                <w:color w:val="auto"/>
                <w:sz w:val="20"/>
                <w:szCs w:val="20"/>
              </w:rPr>
              <w:t xml:space="preserve">:工作电压:DC16V~DC26V </w:t>
            </w:r>
          </w:p>
          <w:p>
            <w:pPr>
              <w:rPr>
                <w:color w:val="auto"/>
                <w:sz w:val="20"/>
                <w:szCs w:val="20"/>
              </w:rPr>
            </w:pPr>
            <w:r>
              <w:rPr>
                <w:rFonts w:hint="eastAsia" w:hAnsi="宋体" w:cs="宋体"/>
                <w:color w:val="auto"/>
                <w:sz w:val="20"/>
                <w:szCs w:val="20"/>
                <w:lang w:bidi="ar"/>
              </w:rPr>
              <w:t>▲2、</w:t>
            </w:r>
            <w:r>
              <w:rPr>
                <w:rFonts w:hint="eastAsia"/>
                <w:color w:val="auto"/>
                <w:sz w:val="20"/>
                <w:szCs w:val="20"/>
              </w:rPr>
              <w:t>编码方式</w:t>
            </w:r>
            <w:r>
              <w:rPr>
                <w:color w:val="auto"/>
                <w:sz w:val="20"/>
                <w:szCs w:val="20"/>
              </w:rPr>
              <w:t>:电子编码;</w:t>
            </w:r>
          </w:p>
          <w:p>
            <w:pPr>
              <w:rPr>
                <w:color w:val="auto"/>
                <w:sz w:val="20"/>
                <w:szCs w:val="20"/>
              </w:rPr>
            </w:pPr>
            <w:r>
              <w:rPr>
                <w:rFonts w:hint="eastAsia" w:hAnsi="宋体" w:cs="宋体"/>
                <w:color w:val="auto"/>
                <w:sz w:val="20"/>
                <w:szCs w:val="20"/>
                <w:lang w:bidi="ar"/>
              </w:rPr>
              <w:t>▲3、</w:t>
            </w:r>
            <w:r>
              <w:rPr>
                <w:rFonts w:hint="eastAsia"/>
                <w:color w:val="auto"/>
                <w:sz w:val="20"/>
                <w:szCs w:val="20"/>
              </w:rPr>
              <w:t>具有一个启动确认灯，正常监视状态时红色闪亮，启动状态时红色常亮</w:t>
            </w:r>
            <w:r>
              <w:rPr>
                <w:color w:val="auto"/>
                <w:sz w:val="20"/>
                <w:szCs w:val="20"/>
              </w:rPr>
              <w:t>;</w:t>
            </w:r>
          </w:p>
          <w:p>
            <w:pPr>
              <w:rPr>
                <w:color w:val="auto"/>
                <w:sz w:val="20"/>
                <w:szCs w:val="20"/>
              </w:rPr>
            </w:pPr>
            <w:r>
              <w:rPr>
                <w:rFonts w:hint="eastAsia" w:hAnsi="宋体" w:cs="宋体"/>
                <w:color w:val="auto"/>
                <w:sz w:val="20"/>
                <w:szCs w:val="20"/>
                <w:lang w:bidi="ar"/>
              </w:rPr>
              <w:t>▲4、</w:t>
            </w:r>
            <w:r>
              <w:rPr>
                <w:color w:val="auto"/>
                <w:sz w:val="20"/>
                <w:szCs w:val="20"/>
              </w:rPr>
              <w:t>具有一个回答确认灯，正常监视状态时不点亮，回答状态时绿色常亮;</w:t>
            </w:r>
          </w:p>
          <w:p>
            <w:pPr>
              <w:widowControl/>
              <w:jc w:val="left"/>
              <w:textAlignment w:val="center"/>
              <w:rPr>
                <w:rFonts w:hAnsi="宋体" w:cs="宋体"/>
                <w:color w:val="auto"/>
                <w:sz w:val="20"/>
                <w:szCs w:val="2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11</w:t>
            </w:r>
          </w:p>
        </w:tc>
      </w:tr>
      <w:tr>
        <w:tblPrEx>
          <w:tblCellMar>
            <w:top w:w="0" w:type="dxa"/>
            <w:left w:w="108" w:type="dxa"/>
            <w:bottom w:w="0" w:type="dxa"/>
            <w:right w:w="108" w:type="dxa"/>
          </w:tblCellMar>
        </w:tblPrEx>
        <w:trPr>
          <w:trHeight w:val="193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15</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输出模块</w:t>
            </w:r>
          </w:p>
        </w:tc>
        <w:tc>
          <w:tcPr>
            <w:tcW w:w="59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rPr>
            </w:pPr>
            <w:r>
              <w:rPr>
                <w:rFonts w:hint="eastAsia" w:hAnsi="宋体" w:cs="宋体"/>
                <w:color w:val="auto"/>
                <w:sz w:val="20"/>
                <w:szCs w:val="20"/>
                <w:lang w:bidi="ar"/>
              </w:rPr>
              <w:t>▲1、</w:t>
            </w:r>
            <w:r>
              <w:rPr>
                <w:rFonts w:hint="eastAsia"/>
                <w:color w:val="auto"/>
                <w:sz w:val="20"/>
                <w:szCs w:val="20"/>
              </w:rPr>
              <w:t>外壳材质为塑料</w:t>
            </w:r>
            <w:r>
              <w:rPr>
                <w:color w:val="auto"/>
                <w:sz w:val="20"/>
                <w:szCs w:val="20"/>
              </w:rPr>
              <w:t>;</w:t>
            </w:r>
          </w:p>
          <w:p>
            <w:pPr>
              <w:rPr>
                <w:color w:val="auto"/>
                <w:sz w:val="20"/>
                <w:szCs w:val="20"/>
              </w:rPr>
            </w:pPr>
            <w:r>
              <w:rPr>
                <w:rFonts w:hint="eastAsia" w:hAnsi="宋体" w:cs="宋体"/>
                <w:color w:val="auto"/>
                <w:sz w:val="20"/>
                <w:szCs w:val="20"/>
                <w:lang w:bidi="ar"/>
              </w:rPr>
              <w:t>▲2、</w:t>
            </w:r>
            <w:r>
              <w:rPr>
                <w:rFonts w:hint="eastAsia"/>
                <w:color w:val="auto"/>
                <w:sz w:val="20"/>
                <w:szCs w:val="20"/>
              </w:rPr>
              <w:t>具有一个输入指示灯，正常监视状态时红色闪亮输入动作时红色常亮</w:t>
            </w:r>
            <w:r>
              <w:rPr>
                <w:color w:val="auto"/>
                <w:sz w:val="20"/>
                <w:szCs w:val="20"/>
              </w:rPr>
              <w:t>;具有一个故障指示灯，故障状态时黄色闪亮;</w:t>
            </w:r>
          </w:p>
          <w:p>
            <w:pPr>
              <w:rPr>
                <w:color w:val="auto"/>
                <w:sz w:val="20"/>
                <w:szCs w:val="20"/>
              </w:rPr>
            </w:pPr>
            <w:r>
              <w:rPr>
                <w:rFonts w:hint="eastAsia" w:hAnsi="宋体" w:cs="宋体"/>
                <w:color w:val="auto"/>
                <w:sz w:val="20"/>
                <w:szCs w:val="20"/>
                <w:lang w:bidi="ar"/>
              </w:rPr>
              <w:t>▲3、</w:t>
            </w:r>
            <w:r>
              <w:rPr>
                <w:color w:val="auto"/>
                <w:sz w:val="20"/>
                <w:szCs w:val="20"/>
              </w:rPr>
              <w:t>通过总线与消防联动控制器通信;</w:t>
            </w:r>
          </w:p>
          <w:p>
            <w:pPr>
              <w:rPr>
                <w:color w:val="auto"/>
                <w:sz w:val="20"/>
                <w:szCs w:val="20"/>
              </w:rPr>
            </w:pPr>
            <w:r>
              <w:rPr>
                <w:rFonts w:hint="eastAsia" w:hAnsi="宋体" w:cs="宋体"/>
                <w:color w:val="auto"/>
                <w:sz w:val="20"/>
                <w:szCs w:val="20"/>
                <w:lang w:bidi="ar"/>
              </w:rPr>
              <w:t>▲4、</w:t>
            </w:r>
            <w:r>
              <w:rPr>
                <w:color w:val="auto"/>
                <w:sz w:val="20"/>
                <w:szCs w:val="20"/>
              </w:rPr>
              <w:t>编码方式:电子编码;</w:t>
            </w:r>
          </w:p>
          <w:p>
            <w:pPr>
              <w:widowControl/>
              <w:jc w:val="left"/>
              <w:textAlignment w:val="center"/>
              <w:rPr>
                <w:rFonts w:hAnsi="宋体" w:cs="宋体"/>
                <w:color w:val="auto"/>
                <w:sz w:val="20"/>
                <w:szCs w:val="20"/>
              </w:rPr>
            </w:pPr>
            <w:r>
              <w:rPr>
                <w:rFonts w:hint="eastAsia" w:hAnsi="宋体" w:cs="宋体"/>
                <w:color w:val="auto"/>
                <w:sz w:val="20"/>
                <w:szCs w:val="20"/>
                <w:lang w:bidi="ar"/>
              </w:rPr>
              <w:t>▲5、</w:t>
            </w:r>
            <w:r>
              <w:rPr>
                <w:rFonts w:hint="eastAsia"/>
                <w:color w:val="auto"/>
                <w:sz w:val="20"/>
                <w:szCs w:val="20"/>
              </w:rPr>
              <w:t>供电方式</w:t>
            </w:r>
            <w:r>
              <w:rPr>
                <w:color w:val="auto"/>
                <w:sz w:val="20"/>
                <w:szCs w:val="20"/>
              </w:rPr>
              <w:t>:由消防联动控制器的总线供电;</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个（台）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3</w:t>
            </w:r>
          </w:p>
        </w:tc>
      </w:tr>
      <w:tr>
        <w:tblPrEx>
          <w:tblCellMar>
            <w:top w:w="0" w:type="dxa"/>
            <w:left w:w="108" w:type="dxa"/>
            <w:bottom w:w="0" w:type="dxa"/>
            <w:right w:w="108" w:type="dxa"/>
          </w:tblCellMar>
        </w:tblPrEx>
        <w:trPr>
          <w:trHeight w:val="188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16</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输入输出模块</w:t>
            </w:r>
          </w:p>
        </w:tc>
        <w:tc>
          <w:tcPr>
            <w:tcW w:w="59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rPr>
            </w:pPr>
            <w:r>
              <w:rPr>
                <w:rFonts w:hint="eastAsia" w:hAnsi="宋体" w:cs="宋体"/>
                <w:color w:val="auto"/>
                <w:sz w:val="20"/>
                <w:szCs w:val="20"/>
                <w:lang w:bidi="ar"/>
              </w:rPr>
              <w:t>▲1、</w:t>
            </w:r>
            <w:r>
              <w:rPr>
                <w:rFonts w:hint="eastAsia"/>
                <w:color w:val="auto"/>
                <w:sz w:val="20"/>
                <w:szCs w:val="20"/>
              </w:rPr>
              <w:t>外壳材质为塑料</w:t>
            </w:r>
            <w:r>
              <w:rPr>
                <w:color w:val="auto"/>
                <w:sz w:val="20"/>
                <w:szCs w:val="20"/>
              </w:rPr>
              <w:t>;</w:t>
            </w:r>
          </w:p>
          <w:p>
            <w:pPr>
              <w:rPr>
                <w:color w:val="auto"/>
                <w:sz w:val="20"/>
                <w:szCs w:val="20"/>
              </w:rPr>
            </w:pPr>
            <w:r>
              <w:rPr>
                <w:rFonts w:hint="eastAsia" w:hAnsi="宋体" w:cs="宋体"/>
                <w:color w:val="auto"/>
                <w:sz w:val="20"/>
                <w:szCs w:val="20"/>
                <w:lang w:bidi="ar"/>
              </w:rPr>
              <w:t>▲2、</w:t>
            </w:r>
            <w:r>
              <w:rPr>
                <w:rFonts w:hint="eastAsia"/>
                <w:color w:val="auto"/>
                <w:sz w:val="20"/>
                <w:szCs w:val="20"/>
              </w:rPr>
              <w:t>具有一个输入指示灯，正常监视状态时红色闪亮输入动作时红色常亮</w:t>
            </w:r>
            <w:r>
              <w:rPr>
                <w:color w:val="auto"/>
                <w:sz w:val="20"/>
                <w:szCs w:val="20"/>
              </w:rPr>
              <w:t>;具有一个故障指示灯，故障状态时黄色闪亮;</w:t>
            </w:r>
          </w:p>
          <w:p>
            <w:pPr>
              <w:rPr>
                <w:color w:val="auto"/>
                <w:sz w:val="20"/>
                <w:szCs w:val="20"/>
              </w:rPr>
            </w:pPr>
            <w:r>
              <w:rPr>
                <w:rFonts w:hint="eastAsia" w:hAnsi="宋体" w:cs="宋体"/>
                <w:color w:val="auto"/>
                <w:sz w:val="20"/>
                <w:szCs w:val="20"/>
                <w:lang w:bidi="ar"/>
              </w:rPr>
              <w:t>▲3、</w:t>
            </w:r>
            <w:r>
              <w:rPr>
                <w:color w:val="auto"/>
                <w:sz w:val="20"/>
                <w:szCs w:val="20"/>
              </w:rPr>
              <w:t>通过总线与消防联动控制器通信;</w:t>
            </w:r>
          </w:p>
          <w:p>
            <w:pPr>
              <w:rPr>
                <w:color w:val="auto"/>
                <w:sz w:val="20"/>
                <w:szCs w:val="20"/>
              </w:rPr>
            </w:pPr>
            <w:r>
              <w:rPr>
                <w:rFonts w:hint="eastAsia" w:hAnsi="宋体" w:cs="宋体"/>
                <w:color w:val="auto"/>
                <w:sz w:val="20"/>
                <w:szCs w:val="20"/>
                <w:lang w:bidi="ar"/>
              </w:rPr>
              <w:t>▲4、</w:t>
            </w:r>
            <w:r>
              <w:rPr>
                <w:color w:val="auto"/>
                <w:sz w:val="20"/>
                <w:szCs w:val="20"/>
              </w:rPr>
              <w:t>编码方式:电子编码;</w:t>
            </w:r>
          </w:p>
          <w:p>
            <w:pPr>
              <w:widowControl/>
              <w:jc w:val="left"/>
              <w:textAlignment w:val="center"/>
              <w:rPr>
                <w:rFonts w:hAnsi="宋体" w:cs="宋体"/>
                <w:color w:val="auto"/>
                <w:sz w:val="20"/>
                <w:szCs w:val="20"/>
              </w:rPr>
            </w:pPr>
            <w:r>
              <w:rPr>
                <w:rFonts w:hint="eastAsia" w:hAnsi="宋体" w:cs="宋体"/>
                <w:color w:val="auto"/>
                <w:sz w:val="20"/>
                <w:szCs w:val="20"/>
                <w:lang w:bidi="ar"/>
              </w:rPr>
              <w:t>▲5、</w:t>
            </w:r>
            <w:r>
              <w:rPr>
                <w:rFonts w:hint="eastAsia"/>
                <w:color w:val="auto"/>
                <w:sz w:val="20"/>
                <w:szCs w:val="20"/>
              </w:rPr>
              <w:t>供电方式</w:t>
            </w:r>
            <w:r>
              <w:rPr>
                <w:color w:val="auto"/>
                <w:sz w:val="20"/>
                <w:szCs w:val="20"/>
              </w:rPr>
              <w:t>:由消防联动控制器的总线供电;</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个（台）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63</w:t>
            </w:r>
          </w:p>
        </w:tc>
      </w:tr>
      <w:tr>
        <w:tblPrEx>
          <w:tblCellMar>
            <w:top w:w="0" w:type="dxa"/>
            <w:left w:w="108" w:type="dxa"/>
            <w:bottom w:w="0" w:type="dxa"/>
            <w:right w:w="108" w:type="dxa"/>
          </w:tblCellMar>
        </w:tblPrEx>
        <w:trPr>
          <w:trHeight w:val="168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17</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lang w:bidi="ar"/>
              </w:rPr>
            </w:pPr>
            <w:r>
              <w:rPr>
                <w:rFonts w:hint="eastAsia" w:hAnsi="宋体" w:cs="宋体"/>
                <w:color w:val="auto"/>
                <w:sz w:val="20"/>
                <w:szCs w:val="20"/>
                <w:lang w:bidi="ar"/>
              </w:rPr>
              <w:t>防火门监控模块</w:t>
            </w:r>
          </w:p>
        </w:tc>
        <w:tc>
          <w:tcPr>
            <w:tcW w:w="590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9"/>
              <w:ind w:firstLine="0"/>
              <w:rPr>
                <w:rFonts w:hint="eastAsia" w:eastAsia="宋体" w:cs="宋体"/>
                <w:color w:val="auto"/>
                <w:sz w:val="20"/>
                <w:szCs w:val="20"/>
                <w:lang w:val="en-US" w:eastAsia="zh-CN" w:bidi="ar"/>
              </w:rPr>
            </w:pPr>
            <w:r>
              <w:rPr>
                <w:rFonts w:hint="eastAsia" w:cs="宋体"/>
                <w:color w:val="auto"/>
                <w:sz w:val="20"/>
                <w:szCs w:val="20"/>
                <w:lang w:val="en-US" w:bidi="ar"/>
              </w:rPr>
              <w:t>1</w:t>
            </w:r>
            <w:r>
              <w:rPr>
                <w:rFonts w:cs="宋体"/>
                <w:color w:val="auto"/>
                <w:sz w:val="20"/>
                <w:szCs w:val="20"/>
                <w:lang w:val="en-US" w:bidi="ar"/>
              </w:rPr>
              <w:t>.</w:t>
            </w:r>
            <w:r>
              <w:rPr>
                <w:rFonts w:hint="eastAsia" w:cs="宋体"/>
                <w:color w:val="auto"/>
                <w:sz w:val="20"/>
                <w:szCs w:val="20"/>
                <w:lang w:val="en-US" w:bidi="ar"/>
              </w:rPr>
              <w:t>功耗：&lt; 50uA</w:t>
            </w:r>
          </w:p>
          <w:p>
            <w:pPr>
              <w:pStyle w:val="69"/>
              <w:ind w:firstLine="0"/>
              <w:rPr>
                <w:rFonts w:hint="eastAsia" w:eastAsia="宋体" w:cs="宋体"/>
                <w:color w:val="auto"/>
                <w:sz w:val="20"/>
                <w:szCs w:val="20"/>
                <w:lang w:val="en-US" w:eastAsia="zh-CN" w:bidi="ar"/>
              </w:rPr>
            </w:pPr>
            <w:r>
              <w:rPr>
                <w:rFonts w:hint="eastAsia" w:cs="宋体"/>
                <w:color w:val="auto"/>
                <w:sz w:val="20"/>
                <w:szCs w:val="20"/>
                <w:lang w:val="en-US" w:bidi="ar"/>
              </w:rPr>
              <w:t>2.通讯方式：二总线</w:t>
            </w:r>
          </w:p>
          <w:p>
            <w:pPr>
              <w:pStyle w:val="69"/>
              <w:ind w:firstLine="0"/>
              <w:rPr>
                <w:rFonts w:hint="eastAsia" w:eastAsia="宋体" w:cs="宋体"/>
                <w:color w:val="auto"/>
                <w:sz w:val="20"/>
                <w:szCs w:val="20"/>
                <w:lang w:val="en-US" w:eastAsia="zh-CN" w:bidi="ar"/>
              </w:rPr>
            </w:pPr>
            <w:r>
              <w:rPr>
                <w:rFonts w:hint="eastAsia" w:cs="宋体"/>
                <w:color w:val="auto"/>
                <w:sz w:val="20"/>
                <w:szCs w:val="20"/>
                <w:lang w:val="en-US" w:bidi="ar"/>
              </w:rPr>
              <w:t>3.电源线：NH-RVS - 2*2.5mm2-SC20,CC</w:t>
            </w:r>
          </w:p>
          <w:p>
            <w:pPr>
              <w:pStyle w:val="69"/>
              <w:ind w:firstLine="0"/>
              <w:rPr>
                <w:rFonts w:hint="eastAsia" w:eastAsia="宋体" w:cs="宋体"/>
                <w:color w:val="auto"/>
                <w:sz w:val="20"/>
                <w:szCs w:val="20"/>
                <w:lang w:val="en-US" w:eastAsia="zh-CN" w:bidi="ar"/>
              </w:rPr>
            </w:pPr>
            <w:r>
              <w:rPr>
                <w:rFonts w:hint="eastAsia" w:cs="宋体"/>
                <w:color w:val="auto"/>
                <w:sz w:val="20"/>
                <w:szCs w:val="20"/>
                <w:lang w:val="en-US" w:bidi="ar"/>
              </w:rPr>
              <w:t>4.通信线：NH-RVS - 2*1.·5 mm2-SC20,CC</w:t>
            </w:r>
          </w:p>
          <w:p>
            <w:pPr>
              <w:pStyle w:val="69"/>
              <w:ind w:firstLine="0"/>
              <w:rPr>
                <w:rFonts w:cs="宋体"/>
                <w:color w:val="auto"/>
                <w:sz w:val="20"/>
                <w:szCs w:val="20"/>
                <w:lang w:val="en-US" w:bidi="ar"/>
              </w:rPr>
            </w:pPr>
            <w:r>
              <w:rPr>
                <w:rFonts w:hint="eastAsia" w:cs="宋体"/>
                <w:color w:val="auto"/>
                <w:sz w:val="20"/>
                <w:szCs w:val="20"/>
                <w:lang w:val="en-US" w:bidi="ar"/>
              </w:rPr>
              <w:t>5.安装方式：监控模块，安装于门上方( 含子母门)，86壳安装</w:t>
            </w:r>
          </w:p>
          <w:p>
            <w:pPr>
              <w:pStyle w:val="69"/>
              <w:ind w:firstLine="0"/>
              <w:rPr>
                <w:rFonts w:cs="宋体"/>
                <w:color w:val="auto"/>
                <w:sz w:val="20"/>
                <w:szCs w:val="20"/>
                <w:lang w:val="en-US" w:bidi="ar"/>
              </w:rPr>
            </w:pPr>
            <w:r>
              <w:rPr>
                <w:rFonts w:hint="eastAsia" w:cs="宋体"/>
                <w:color w:val="auto"/>
                <w:sz w:val="20"/>
                <w:szCs w:val="20"/>
                <w:lang w:val="en-US" w:bidi="ar"/>
              </w:rPr>
              <w:t>6</w:t>
            </w:r>
            <w:r>
              <w:rPr>
                <w:rFonts w:cs="宋体"/>
                <w:color w:val="auto"/>
                <w:sz w:val="20"/>
                <w:szCs w:val="20"/>
                <w:lang w:val="en-US" w:bidi="ar"/>
              </w:rPr>
              <w:t>.</w:t>
            </w:r>
            <w:r>
              <w:rPr>
                <w:rFonts w:hint="eastAsia" w:cs="宋体"/>
                <w:color w:val="auto"/>
                <w:sz w:val="20"/>
                <w:szCs w:val="20"/>
                <w:lang w:val="en-US" w:bidi="ar"/>
              </w:rPr>
              <w:t xml:space="preserve"> 工作电源：DC 24V</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个（台）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5</w:t>
            </w:r>
          </w:p>
        </w:tc>
      </w:tr>
      <w:tr>
        <w:tblPrEx>
          <w:tblCellMar>
            <w:top w:w="0" w:type="dxa"/>
            <w:left w:w="108" w:type="dxa"/>
            <w:bottom w:w="0" w:type="dxa"/>
            <w:right w:w="108" w:type="dxa"/>
          </w:tblCellMar>
        </w:tblPrEx>
        <w:trPr>
          <w:trHeight w:val="185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18</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消防电源切换模块</w:t>
            </w:r>
          </w:p>
        </w:tc>
        <w:tc>
          <w:tcPr>
            <w:tcW w:w="5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1.供电方式：由火灾报警控制器（联动型）的直流24V供电；                                                     2.外壳材质为塑料；　　</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3.具有一个输入动作指示灯，正常监视状态时不点亮，输入动作时红色常亮；具有一个输出动作指示灯，正常监视状态时红色闪亮，输出动作时红色常亮；　　</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4.通过总线与火灾报警控制器（联动型）通信；　　</w:t>
            </w:r>
          </w:p>
          <w:p>
            <w:pPr>
              <w:widowControl/>
              <w:jc w:val="left"/>
              <w:textAlignment w:val="center"/>
              <w:rPr>
                <w:rFonts w:hAnsi="宋体" w:cs="宋体"/>
                <w:color w:val="auto"/>
                <w:sz w:val="20"/>
                <w:szCs w:val="20"/>
              </w:rPr>
            </w:pPr>
            <w:r>
              <w:rPr>
                <w:rFonts w:hint="eastAsia" w:hAnsi="宋体" w:cs="宋体"/>
                <w:color w:val="auto"/>
                <w:sz w:val="20"/>
                <w:szCs w:val="20"/>
                <w:lang w:bidi="ar"/>
              </w:rPr>
              <w:t>5.编码方式：电子编码</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个（台）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2</w:t>
            </w:r>
          </w:p>
        </w:tc>
      </w:tr>
      <w:tr>
        <w:tblPrEx>
          <w:tblCellMar>
            <w:top w:w="0" w:type="dxa"/>
            <w:left w:w="108" w:type="dxa"/>
            <w:bottom w:w="0" w:type="dxa"/>
            <w:right w:w="108" w:type="dxa"/>
          </w:tblCellMar>
        </w:tblPrEx>
        <w:trPr>
          <w:trHeight w:val="127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19</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防火门门磁模块</w:t>
            </w:r>
          </w:p>
        </w:tc>
        <w:tc>
          <w:tcPr>
            <w:tcW w:w="5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1.通讯方式：两总线</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2.静态电流</w:t>
            </w:r>
            <w:r>
              <w:rPr>
                <w:rStyle w:val="95"/>
                <w:rFonts w:ascii="宋体" w:hAnsi="宋体" w:cs="宋体"/>
                <w:color w:val="auto"/>
                <w:sz w:val="24"/>
                <w:szCs w:val="24"/>
                <w:lang w:bidi="ar"/>
              </w:rPr>
              <w:t xml:space="preserve"> </w:t>
            </w:r>
            <w:r>
              <w:rPr>
                <w:rFonts w:hint="eastAsia" w:hAnsi="宋体" w:cs="宋体"/>
                <w:color w:val="auto"/>
                <w:sz w:val="20"/>
                <w:szCs w:val="20"/>
                <w:lang w:bidi="ar"/>
              </w:rPr>
              <w:t>＜5mA</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3.编码范围</w:t>
            </w:r>
            <w:r>
              <w:rPr>
                <w:rStyle w:val="95"/>
                <w:rFonts w:ascii="宋体" w:hAnsi="宋体" w:cs="宋体"/>
                <w:color w:val="auto"/>
                <w:sz w:val="24"/>
                <w:szCs w:val="24"/>
                <w:lang w:bidi="ar"/>
              </w:rPr>
              <w:t xml:space="preserve"> </w:t>
            </w:r>
            <w:r>
              <w:rPr>
                <w:rFonts w:hint="eastAsia" w:hAnsi="宋体" w:cs="宋体"/>
                <w:color w:val="auto"/>
                <w:sz w:val="20"/>
                <w:szCs w:val="20"/>
                <w:lang w:bidi="ar"/>
              </w:rPr>
              <w:t>1~200</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4.工作温度</w:t>
            </w:r>
            <w:r>
              <w:rPr>
                <w:rStyle w:val="95"/>
                <w:rFonts w:ascii="宋体" w:hAnsi="宋体" w:cs="宋体"/>
                <w:color w:val="auto"/>
                <w:sz w:val="24"/>
                <w:szCs w:val="24"/>
                <w:lang w:bidi="ar"/>
              </w:rPr>
              <w:t xml:space="preserve"> </w:t>
            </w:r>
            <w:r>
              <w:rPr>
                <w:rFonts w:hint="eastAsia" w:hAnsi="宋体" w:cs="宋体"/>
                <w:color w:val="auto"/>
                <w:sz w:val="20"/>
                <w:szCs w:val="20"/>
                <w:lang w:bidi="ar"/>
              </w:rPr>
              <w:t>0℃~55℃</w:t>
            </w:r>
          </w:p>
          <w:p>
            <w:pPr>
              <w:widowControl/>
              <w:jc w:val="left"/>
              <w:textAlignment w:val="center"/>
              <w:rPr>
                <w:rFonts w:hAnsi="宋体" w:cs="宋体"/>
                <w:color w:val="auto"/>
                <w:sz w:val="20"/>
                <w:szCs w:val="20"/>
              </w:rPr>
            </w:pPr>
            <w:r>
              <w:rPr>
                <w:rFonts w:hint="eastAsia" w:hAnsi="宋体" w:cs="宋体"/>
                <w:color w:val="auto"/>
                <w:sz w:val="20"/>
                <w:szCs w:val="20"/>
                <w:lang w:bidi="ar"/>
              </w:rPr>
              <w:t>5.相对湿度</w:t>
            </w:r>
            <w:r>
              <w:rPr>
                <w:rStyle w:val="95"/>
                <w:rFonts w:ascii="宋体" w:hAnsi="宋体" w:cs="宋体"/>
                <w:color w:val="auto"/>
                <w:sz w:val="24"/>
                <w:szCs w:val="24"/>
                <w:lang w:bidi="ar"/>
              </w:rPr>
              <w:t xml:space="preserve"> </w:t>
            </w:r>
            <w:r>
              <w:rPr>
                <w:rFonts w:hint="eastAsia" w:hAnsi="宋体" w:cs="宋体"/>
                <w:color w:val="auto"/>
                <w:sz w:val="20"/>
                <w:szCs w:val="20"/>
                <w:lang w:bidi="ar"/>
              </w:rPr>
              <w:t>≤92%（40℃）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个（台）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2</w:t>
            </w:r>
          </w:p>
        </w:tc>
      </w:tr>
      <w:tr>
        <w:tblPrEx>
          <w:tblCellMar>
            <w:top w:w="0" w:type="dxa"/>
            <w:left w:w="108" w:type="dxa"/>
            <w:bottom w:w="0" w:type="dxa"/>
            <w:right w:w="108" w:type="dxa"/>
          </w:tblCellMar>
        </w:tblPrEx>
        <w:trPr>
          <w:trHeight w:val="153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20</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广播功率放大器</w:t>
            </w:r>
          </w:p>
        </w:tc>
        <w:tc>
          <w:tcPr>
            <w:tcW w:w="5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1.工作电压</w:t>
            </w:r>
            <w:r>
              <w:rPr>
                <w:rStyle w:val="95"/>
                <w:rFonts w:ascii="宋体" w:hAnsi="宋体" w:cs="宋体"/>
                <w:color w:val="auto"/>
                <w:sz w:val="24"/>
                <w:szCs w:val="24"/>
                <w:lang w:bidi="ar"/>
              </w:rPr>
              <w:t xml:space="preserve"> </w:t>
            </w:r>
            <w:r>
              <w:rPr>
                <w:rFonts w:hint="eastAsia" w:hAnsi="宋体" w:cs="宋体"/>
                <w:color w:val="auto"/>
                <w:sz w:val="20"/>
                <w:szCs w:val="20"/>
                <w:lang w:bidi="ar"/>
              </w:rPr>
              <w:t>AC220V</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2.定压输出</w:t>
            </w:r>
            <w:r>
              <w:rPr>
                <w:rStyle w:val="95"/>
                <w:rFonts w:ascii="宋体" w:hAnsi="宋体" w:cs="宋体"/>
                <w:color w:val="auto"/>
                <w:sz w:val="24"/>
                <w:szCs w:val="24"/>
                <w:lang w:bidi="ar"/>
              </w:rPr>
              <w:t xml:space="preserve"> </w:t>
            </w:r>
            <w:r>
              <w:rPr>
                <w:rFonts w:hint="eastAsia" w:hAnsi="宋体" w:cs="宋体"/>
                <w:color w:val="auto"/>
                <w:sz w:val="20"/>
                <w:szCs w:val="20"/>
                <w:lang w:bidi="ar"/>
              </w:rPr>
              <w:t>120V</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3.噪声电平</w:t>
            </w:r>
            <w:r>
              <w:rPr>
                <w:rStyle w:val="95"/>
                <w:rFonts w:ascii="宋体" w:hAnsi="宋体" w:cs="宋体"/>
                <w:color w:val="auto"/>
                <w:sz w:val="24"/>
                <w:szCs w:val="24"/>
                <w:lang w:bidi="ar"/>
              </w:rPr>
              <w:t xml:space="preserve"> </w:t>
            </w:r>
            <w:r>
              <w:rPr>
                <w:rFonts w:hint="eastAsia" w:hAnsi="宋体" w:cs="宋体"/>
                <w:color w:val="auto"/>
                <w:sz w:val="20"/>
                <w:szCs w:val="20"/>
                <w:lang w:bidi="ar"/>
              </w:rPr>
              <w:t>＜37mV</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4.启动瞬态电流</w:t>
            </w:r>
            <w:r>
              <w:rPr>
                <w:rStyle w:val="95"/>
                <w:rFonts w:ascii="宋体" w:hAnsi="宋体" w:cs="宋体"/>
                <w:color w:val="auto"/>
                <w:sz w:val="24"/>
                <w:szCs w:val="24"/>
                <w:lang w:bidi="ar"/>
              </w:rPr>
              <w:t xml:space="preserve"> </w:t>
            </w:r>
            <w:r>
              <w:rPr>
                <w:rFonts w:hint="eastAsia" w:hAnsi="宋体" w:cs="宋体"/>
                <w:color w:val="auto"/>
                <w:sz w:val="20"/>
                <w:szCs w:val="20"/>
                <w:lang w:bidi="ar"/>
              </w:rPr>
              <w:t>≤5A</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5.谐波失真</w:t>
            </w:r>
            <w:r>
              <w:rPr>
                <w:rStyle w:val="95"/>
                <w:rFonts w:ascii="宋体" w:hAnsi="宋体" w:cs="宋体"/>
                <w:color w:val="auto"/>
                <w:sz w:val="24"/>
                <w:szCs w:val="24"/>
                <w:lang w:bidi="ar"/>
              </w:rPr>
              <w:t xml:space="preserve"> </w:t>
            </w:r>
            <w:r>
              <w:rPr>
                <w:rFonts w:hint="eastAsia" w:hAnsi="宋体" w:cs="宋体"/>
                <w:color w:val="auto"/>
                <w:sz w:val="20"/>
                <w:szCs w:val="20"/>
                <w:lang w:bidi="ar"/>
              </w:rPr>
              <w:t>≤5％</w:t>
            </w:r>
          </w:p>
          <w:p>
            <w:pPr>
              <w:widowControl/>
              <w:jc w:val="left"/>
              <w:textAlignment w:val="center"/>
              <w:rPr>
                <w:rFonts w:hAnsi="宋体" w:cs="宋体"/>
                <w:color w:val="auto"/>
                <w:sz w:val="20"/>
                <w:szCs w:val="20"/>
              </w:rPr>
            </w:pPr>
            <w:r>
              <w:rPr>
                <w:rFonts w:hint="eastAsia" w:hAnsi="宋体" w:cs="宋体"/>
                <w:color w:val="auto"/>
                <w:sz w:val="20"/>
                <w:szCs w:val="20"/>
                <w:lang w:bidi="ar"/>
              </w:rPr>
              <w:t>6.外壳材质</w:t>
            </w:r>
            <w:r>
              <w:rPr>
                <w:rStyle w:val="95"/>
                <w:rFonts w:ascii="宋体" w:hAnsi="宋体" w:cs="宋体"/>
                <w:color w:val="auto"/>
                <w:sz w:val="24"/>
                <w:szCs w:val="24"/>
                <w:lang w:bidi="ar"/>
              </w:rPr>
              <w:t xml:space="preserve"> </w:t>
            </w:r>
            <w:r>
              <w:rPr>
                <w:rFonts w:hint="eastAsia" w:hAnsi="宋体" w:cs="宋体"/>
                <w:color w:val="auto"/>
                <w:sz w:val="20"/>
                <w:szCs w:val="20"/>
                <w:lang w:bidi="ar"/>
              </w:rPr>
              <w:t>冷轧钢板</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1</w:t>
            </w:r>
          </w:p>
        </w:tc>
      </w:tr>
      <w:tr>
        <w:tblPrEx>
          <w:tblCellMar>
            <w:top w:w="0" w:type="dxa"/>
            <w:left w:w="108" w:type="dxa"/>
            <w:bottom w:w="0" w:type="dxa"/>
            <w:right w:w="108" w:type="dxa"/>
          </w:tblCellMar>
        </w:tblPrEx>
        <w:trPr>
          <w:trHeight w:val="6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21</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消防设备电源备用电池</w:t>
            </w:r>
          </w:p>
        </w:tc>
        <w:tc>
          <w:tcPr>
            <w:tcW w:w="5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1.电压：12V</w:t>
            </w:r>
          </w:p>
          <w:p>
            <w:pPr>
              <w:widowControl/>
              <w:jc w:val="left"/>
              <w:textAlignment w:val="center"/>
              <w:rPr>
                <w:rFonts w:hAnsi="宋体" w:cs="宋体"/>
                <w:color w:val="auto"/>
                <w:sz w:val="20"/>
                <w:szCs w:val="20"/>
              </w:rPr>
            </w:pPr>
            <w:r>
              <w:rPr>
                <w:rFonts w:hint="eastAsia" w:hAnsi="宋体" w:cs="宋体"/>
                <w:color w:val="auto"/>
                <w:sz w:val="20"/>
                <w:szCs w:val="20"/>
                <w:lang w:bidi="ar"/>
              </w:rPr>
              <w:t>2.容量: 7.5AH</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1</w:t>
            </w:r>
          </w:p>
        </w:tc>
      </w:tr>
      <w:tr>
        <w:tblPrEx>
          <w:tblCellMar>
            <w:top w:w="0" w:type="dxa"/>
            <w:left w:w="108" w:type="dxa"/>
            <w:bottom w:w="0" w:type="dxa"/>
            <w:right w:w="108" w:type="dxa"/>
          </w:tblCellMar>
        </w:tblPrEx>
        <w:trPr>
          <w:trHeight w:val="6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22</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火灾报警控制器主机备用电源</w:t>
            </w:r>
          </w:p>
        </w:tc>
        <w:tc>
          <w:tcPr>
            <w:tcW w:w="5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1.电压：12V</w:t>
            </w:r>
          </w:p>
          <w:p>
            <w:pPr>
              <w:widowControl/>
              <w:jc w:val="left"/>
              <w:textAlignment w:val="center"/>
              <w:rPr>
                <w:rFonts w:hAnsi="宋体" w:cs="宋体"/>
                <w:color w:val="auto"/>
                <w:sz w:val="20"/>
                <w:szCs w:val="20"/>
              </w:rPr>
            </w:pPr>
            <w:r>
              <w:rPr>
                <w:rFonts w:hint="eastAsia" w:hAnsi="宋体" w:cs="宋体"/>
                <w:color w:val="auto"/>
                <w:sz w:val="20"/>
                <w:szCs w:val="20"/>
                <w:lang w:bidi="ar"/>
              </w:rPr>
              <w:t>2.容量: 24AH</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18</w:t>
            </w:r>
          </w:p>
        </w:tc>
      </w:tr>
      <w:tr>
        <w:tblPrEx>
          <w:tblCellMar>
            <w:top w:w="0" w:type="dxa"/>
            <w:left w:w="108" w:type="dxa"/>
            <w:bottom w:w="0" w:type="dxa"/>
            <w:right w:w="108" w:type="dxa"/>
          </w:tblCellMar>
        </w:tblPrEx>
        <w:trPr>
          <w:trHeight w:val="6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23</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可燃气体探测控制器主机备用电源</w:t>
            </w:r>
          </w:p>
        </w:tc>
        <w:tc>
          <w:tcPr>
            <w:tcW w:w="5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1.电压：12V</w:t>
            </w:r>
          </w:p>
          <w:p>
            <w:pPr>
              <w:widowControl/>
              <w:jc w:val="left"/>
              <w:textAlignment w:val="center"/>
              <w:rPr>
                <w:rFonts w:hAnsi="宋体" w:cs="宋体"/>
                <w:color w:val="auto"/>
                <w:sz w:val="20"/>
                <w:szCs w:val="20"/>
              </w:rPr>
            </w:pPr>
            <w:r>
              <w:rPr>
                <w:rFonts w:hint="eastAsia" w:hAnsi="宋体" w:cs="宋体"/>
                <w:color w:val="auto"/>
                <w:sz w:val="20"/>
                <w:szCs w:val="20"/>
                <w:lang w:bidi="ar"/>
              </w:rPr>
              <w:t>2.容量: 7.5AH</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16</w:t>
            </w:r>
          </w:p>
        </w:tc>
      </w:tr>
      <w:tr>
        <w:tblPrEx>
          <w:tblCellMar>
            <w:top w:w="0" w:type="dxa"/>
            <w:left w:w="108" w:type="dxa"/>
            <w:bottom w:w="0" w:type="dxa"/>
            <w:right w:w="108" w:type="dxa"/>
          </w:tblCellMar>
        </w:tblPrEx>
        <w:trPr>
          <w:trHeight w:val="6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24</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防火门监控器主机备用电源</w:t>
            </w:r>
          </w:p>
        </w:tc>
        <w:tc>
          <w:tcPr>
            <w:tcW w:w="5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1.电压：12V</w:t>
            </w:r>
          </w:p>
          <w:p>
            <w:pPr>
              <w:widowControl/>
              <w:jc w:val="left"/>
              <w:textAlignment w:val="center"/>
              <w:rPr>
                <w:rFonts w:hAnsi="宋体" w:cs="宋体"/>
                <w:color w:val="auto"/>
                <w:sz w:val="20"/>
                <w:szCs w:val="20"/>
              </w:rPr>
            </w:pPr>
            <w:r>
              <w:rPr>
                <w:rFonts w:hint="eastAsia" w:hAnsi="宋体" w:cs="宋体"/>
                <w:color w:val="auto"/>
                <w:sz w:val="20"/>
                <w:szCs w:val="20"/>
                <w:lang w:bidi="ar"/>
              </w:rPr>
              <w:t>2.容量: 7.5AH</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10</w:t>
            </w:r>
          </w:p>
        </w:tc>
      </w:tr>
      <w:tr>
        <w:tblPrEx>
          <w:tblCellMar>
            <w:top w:w="0" w:type="dxa"/>
            <w:left w:w="108" w:type="dxa"/>
            <w:bottom w:w="0" w:type="dxa"/>
            <w:right w:w="108" w:type="dxa"/>
          </w:tblCellMar>
        </w:tblPrEx>
        <w:trPr>
          <w:trHeight w:val="432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25</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消防设备监控电源主机</w:t>
            </w:r>
          </w:p>
        </w:tc>
        <w:tc>
          <w:tcPr>
            <w:tcW w:w="5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1.</w:t>
            </w:r>
            <w:r>
              <w:rPr>
                <w:rStyle w:val="95"/>
                <w:rFonts w:ascii="宋体" w:hAnsi="宋体" w:cs="宋体"/>
                <w:color w:val="auto"/>
                <w:sz w:val="24"/>
                <w:szCs w:val="24"/>
                <w:lang w:bidi="ar"/>
              </w:rPr>
              <w:t xml:space="preserve"> </w:t>
            </w:r>
            <w:r>
              <w:rPr>
                <w:rFonts w:hint="eastAsia" w:hAnsi="宋体" w:cs="宋体"/>
                <w:color w:val="auto"/>
                <w:sz w:val="20"/>
                <w:szCs w:val="20"/>
                <w:lang w:bidi="ar"/>
              </w:rPr>
              <w:t xml:space="preserve">主电电压 </w:t>
            </w:r>
            <w:r>
              <w:rPr>
                <w:rStyle w:val="95"/>
                <w:rFonts w:ascii="宋体" w:hAnsi="宋体" w:cs="宋体"/>
                <w:color w:val="auto"/>
                <w:sz w:val="24"/>
                <w:szCs w:val="24"/>
                <w:lang w:bidi="ar"/>
              </w:rPr>
              <w:t xml:space="preserve"> </w:t>
            </w:r>
            <w:r>
              <w:rPr>
                <w:rFonts w:hint="eastAsia" w:hAnsi="宋体" w:cs="宋体"/>
                <w:color w:val="auto"/>
                <w:sz w:val="20"/>
                <w:szCs w:val="20"/>
                <w:lang w:bidi="ar"/>
              </w:rPr>
              <w:t xml:space="preserve">AC220V 50Hz </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2.</w:t>
            </w:r>
            <w:r>
              <w:rPr>
                <w:rStyle w:val="95"/>
                <w:rFonts w:ascii="宋体" w:hAnsi="宋体" w:cs="宋体"/>
                <w:color w:val="auto"/>
                <w:sz w:val="24"/>
                <w:szCs w:val="24"/>
                <w:lang w:bidi="ar"/>
              </w:rPr>
              <w:t xml:space="preserve"> </w:t>
            </w:r>
            <w:r>
              <w:rPr>
                <w:rFonts w:hint="eastAsia" w:hAnsi="宋体" w:cs="宋体"/>
                <w:color w:val="auto"/>
                <w:sz w:val="20"/>
                <w:szCs w:val="20"/>
                <w:lang w:bidi="ar"/>
              </w:rPr>
              <w:t>备用电池</w:t>
            </w:r>
            <w:r>
              <w:rPr>
                <w:rStyle w:val="95"/>
                <w:rFonts w:ascii="宋体" w:hAnsi="宋体" w:cs="宋体"/>
                <w:color w:val="auto"/>
                <w:sz w:val="24"/>
                <w:szCs w:val="24"/>
                <w:lang w:bidi="ar"/>
              </w:rPr>
              <w:t xml:space="preserve"> </w:t>
            </w:r>
            <w:r>
              <w:rPr>
                <w:rFonts w:hint="eastAsia" w:hAnsi="宋体" w:cs="宋体"/>
                <w:color w:val="auto"/>
                <w:sz w:val="20"/>
                <w:szCs w:val="20"/>
                <w:lang w:bidi="ar"/>
              </w:rPr>
              <w:t xml:space="preserve">DC24V,10Ah*2 </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3.</w:t>
            </w:r>
            <w:r>
              <w:rPr>
                <w:rStyle w:val="95"/>
                <w:rFonts w:ascii="宋体" w:hAnsi="宋体" w:cs="宋体"/>
                <w:color w:val="auto"/>
                <w:sz w:val="24"/>
                <w:szCs w:val="24"/>
                <w:lang w:bidi="ar"/>
              </w:rPr>
              <w:t xml:space="preserve"> </w:t>
            </w:r>
            <w:r>
              <w:rPr>
                <w:rFonts w:hint="eastAsia" w:hAnsi="宋体" w:cs="宋体"/>
                <w:color w:val="auto"/>
                <w:sz w:val="20"/>
                <w:szCs w:val="20"/>
                <w:lang w:bidi="ar"/>
              </w:rPr>
              <w:t xml:space="preserve">输入功率 </w:t>
            </w:r>
            <w:r>
              <w:rPr>
                <w:rStyle w:val="95"/>
                <w:rFonts w:ascii="宋体" w:hAnsi="宋体" w:cs="宋体"/>
                <w:color w:val="auto"/>
                <w:sz w:val="24"/>
                <w:szCs w:val="24"/>
                <w:lang w:bidi="ar"/>
              </w:rPr>
              <w:t xml:space="preserve"> </w:t>
            </w:r>
            <w:r>
              <w:rPr>
                <w:rFonts w:hint="eastAsia" w:hAnsi="宋体" w:cs="宋体"/>
                <w:color w:val="auto"/>
                <w:sz w:val="20"/>
                <w:szCs w:val="20"/>
                <w:lang w:bidi="ar"/>
              </w:rPr>
              <w:t xml:space="preserve">300W </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4.</w:t>
            </w:r>
            <w:r>
              <w:rPr>
                <w:rStyle w:val="95"/>
                <w:rFonts w:ascii="宋体" w:hAnsi="宋体" w:cs="宋体"/>
                <w:color w:val="auto"/>
                <w:sz w:val="24"/>
                <w:szCs w:val="24"/>
                <w:lang w:bidi="ar"/>
              </w:rPr>
              <w:t xml:space="preserve"> </w:t>
            </w:r>
            <w:r>
              <w:rPr>
                <w:rFonts w:hint="eastAsia" w:hAnsi="宋体" w:cs="宋体"/>
                <w:color w:val="auto"/>
                <w:sz w:val="20"/>
                <w:szCs w:val="20"/>
                <w:lang w:bidi="ar"/>
              </w:rPr>
              <w:t xml:space="preserve">单路输出 </w:t>
            </w:r>
            <w:r>
              <w:rPr>
                <w:rStyle w:val="95"/>
                <w:rFonts w:ascii="宋体" w:hAnsi="宋体" w:cs="宋体"/>
                <w:color w:val="auto"/>
                <w:sz w:val="24"/>
                <w:szCs w:val="24"/>
                <w:lang w:bidi="ar"/>
              </w:rPr>
              <w:t xml:space="preserve"> </w:t>
            </w:r>
            <w:r>
              <w:rPr>
                <w:rFonts w:hint="eastAsia" w:hAnsi="宋体" w:cs="宋体"/>
                <w:color w:val="auto"/>
                <w:sz w:val="20"/>
                <w:szCs w:val="20"/>
                <w:lang w:bidi="ar"/>
              </w:rPr>
              <w:t xml:space="preserve">2A </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5.</w:t>
            </w:r>
            <w:r>
              <w:rPr>
                <w:rStyle w:val="95"/>
                <w:rFonts w:ascii="宋体" w:hAnsi="宋体" w:cs="宋体"/>
                <w:color w:val="auto"/>
                <w:sz w:val="24"/>
                <w:szCs w:val="24"/>
                <w:lang w:bidi="ar"/>
              </w:rPr>
              <w:t xml:space="preserve"> </w:t>
            </w:r>
            <w:r>
              <w:rPr>
                <w:rFonts w:hint="eastAsia" w:hAnsi="宋体" w:cs="宋体"/>
                <w:color w:val="auto"/>
                <w:sz w:val="20"/>
                <w:szCs w:val="20"/>
                <w:lang w:bidi="ar"/>
              </w:rPr>
              <w:t xml:space="preserve">检测对象 </w:t>
            </w:r>
            <w:r>
              <w:rPr>
                <w:rStyle w:val="95"/>
                <w:rFonts w:ascii="宋体" w:hAnsi="宋体" w:cs="宋体"/>
                <w:color w:val="auto"/>
                <w:sz w:val="24"/>
                <w:szCs w:val="24"/>
                <w:lang w:bidi="ar"/>
              </w:rPr>
              <w:t xml:space="preserve"> </w:t>
            </w:r>
            <w:r>
              <w:rPr>
                <w:rFonts w:hint="eastAsia" w:hAnsi="宋体" w:cs="宋体"/>
                <w:color w:val="auto"/>
                <w:sz w:val="20"/>
                <w:szCs w:val="20"/>
                <w:lang w:bidi="ar"/>
              </w:rPr>
              <w:t xml:space="preserve">电压V、电流I、开关状态 </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6.</w:t>
            </w:r>
            <w:r>
              <w:rPr>
                <w:rStyle w:val="95"/>
                <w:rFonts w:ascii="宋体" w:hAnsi="宋体" w:cs="宋体"/>
                <w:color w:val="auto"/>
                <w:sz w:val="24"/>
                <w:szCs w:val="24"/>
                <w:lang w:bidi="ar"/>
              </w:rPr>
              <w:t xml:space="preserve"> </w:t>
            </w:r>
            <w:r>
              <w:rPr>
                <w:rFonts w:hint="eastAsia" w:hAnsi="宋体" w:cs="宋体"/>
                <w:color w:val="auto"/>
                <w:sz w:val="20"/>
                <w:szCs w:val="20"/>
                <w:lang w:bidi="ar"/>
              </w:rPr>
              <w:t xml:space="preserve">监控容量 </w:t>
            </w:r>
            <w:r>
              <w:rPr>
                <w:rStyle w:val="95"/>
                <w:rFonts w:ascii="宋体" w:hAnsi="宋体" w:cs="宋体"/>
                <w:color w:val="auto"/>
                <w:sz w:val="24"/>
                <w:szCs w:val="24"/>
                <w:lang w:bidi="ar"/>
              </w:rPr>
              <w:t xml:space="preserve"> </w:t>
            </w:r>
            <w:r>
              <w:rPr>
                <w:rFonts w:hint="eastAsia" w:hAnsi="宋体" w:cs="宋体"/>
                <w:color w:val="auto"/>
                <w:sz w:val="20"/>
                <w:szCs w:val="20"/>
                <w:lang w:bidi="ar"/>
              </w:rPr>
              <w:t xml:space="preserve">≤ 256 </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7.</w:t>
            </w:r>
            <w:r>
              <w:rPr>
                <w:rStyle w:val="95"/>
                <w:rFonts w:ascii="宋体" w:hAnsi="宋体" w:cs="宋体"/>
                <w:color w:val="auto"/>
                <w:sz w:val="24"/>
                <w:szCs w:val="24"/>
                <w:lang w:bidi="ar"/>
              </w:rPr>
              <w:t xml:space="preserve"> </w:t>
            </w:r>
            <w:r>
              <w:rPr>
                <w:rFonts w:hint="eastAsia" w:hAnsi="宋体" w:cs="宋体"/>
                <w:color w:val="auto"/>
                <w:sz w:val="20"/>
                <w:szCs w:val="20"/>
                <w:lang w:bidi="ar"/>
              </w:rPr>
              <w:t xml:space="preserve">输出控制路数 </w:t>
            </w:r>
            <w:r>
              <w:rPr>
                <w:rStyle w:val="95"/>
                <w:rFonts w:ascii="宋体" w:hAnsi="宋体" w:cs="宋体"/>
                <w:color w:val="auto"/>
                <w:sz w:val="24"/>
                <w:szCs w:val="24"/>
                <w:lang w:bidi="ar"/>
              </w:rPr>
              <w:t xml:space="preserve"> </w:t>
            </w:r>
            <w:r>
              <w:rPr>
                <w:rFonts w:hint="eastAsia" w:hAnsi="宋体" w:cs="宋体"/>
                <w:color w:val="auto"/>
                <w:sz w:val="20"/>
                <w:szCs w:val="20"/>
                <w:lang w:bidi="ar"/>
              </w:rPr>
              <w:t xml:space="preserve">4loops </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8.</w:t>
            </w:r>
            <w:r>
              <w:rPr>
                <w:rStyle w:val="95"/>
                <w:rFonts w:ascii="宋体" w:hAnsi="宋体" w:cs="宋体"/>
                <w:color w:val="auto"/>
                <w:sz w:val="24"/>
                <w:szCs w:val="24"/>
                <w:lang w:bidi="ar"/>
              </w:rPr>
              <w:t xml:space="preserve"> </w:t>
            </w:r>
            <w:r>
              <w:rPr>
                <w:rFonts w:hint="eastAsia" w:hAnsi="宋体" w:cs="宋体"/>
                <w:color w:val="auto"/>
                <w:sz w:val="20"/>
                <w:szCs w:val="20"/>
                <w:lang w:bidi="ar"/>
              </w:rPr>
              <w:t xml:space="preserve">通讯地址 </w:t>
            </w:r>
            <w:r>
              <w:rPr>
                <w:rStyle w:val="95"/>
                <w:rFonts w:ascii="宋体" w:hAnsi="宋体" w:cs="宋体"/>
                <w:color w:val="auto"/>
                <w:sz w:val="24"/>
                <w:szCs w:val="24"/>
                <w:lang w:bidi="ar"/>
              </w:rPr>
              <w:t xml:space="preserve"> </w:t>
            </w:r>
            <w:r>
              <w:rPr>
                <w:rFonts w:hint="eastAsia" w:hAnsi="宋体" w:cs="宋体"/>
                <w:color w:val="auto"/>
                <w:sz w:val="20"/>
                <w:szCs w:val="20"/>
                <w:lang w:bidi="ar"/>
              </w:rPr>
              <w:t xml:space="preserve">01~32 </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9.</w:t>
            </w:r>
            <w:r>
              <w:rPr>
                <w:rStyle w:val="95"/>
                <w:rFonts w:ascii="宋体" w:hAnsi="宋体" w:cs="宋体"/>
                <w:color w:val="auto"/>
                <w:sz w:val="24"/>
                <w:szCs w:val="24"/>
                <w:lang w:bidi="ar"/>
              </w:rPr>
              <w:t xml:space="preserve"> </w:t>
            </w:r>
            <w:r>
              <w:rPr>
                <w:rFonts w:hint="eastAsia" w:hAnsi="宋体" w:cs="宋体"/>
                <w:color w:val="auto"/>
                <w:sz w:val="20"/>
                <w:szCs w:val="20"/>
                <w:lang w:bidi="ar"/>
              </w:rPr>
              <w:t xml:space="preserve">通讯地址( 加中继箱) </w:t>
            </w:r>
            <w:r>
              <w:rPr>
                <w:rStyle w:val="95"/>
                <w:rFonts w:ascii="宋体" w:hAnsi="宋体" w:cs="宋体"/>
                <w:color w:val="auto"/>
                <w:sz w:val="24"/>
                <w:szCs w:val="24"/>
                <w:lang w:bidi="ar"/>
              </w:rPr>
              <w:t xml:space="preserve"> </w:t>
            </w:r>
            <w:r>
              <w:rPr>
                <w:rFonts w:hint="eastAsia" w:hAnsi="宋体" w:cs="宋体"/>
                <w:color w:val="auto"/>
                <w:sz w:val="20"/>
                <w:szCs w:val="20"/>
                <w:lang w:bidi="ar"/>
              </w:rPr>
              <w:t xml:space="preserve">33~64 </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10.</w:t>
            </w:r>
            <w:r>
              <w:rPr>
                <w:rStyle w:val="95"/>
                <w:rFonts w:ascii="宋体" w:hAnsi="宋体" w:cs="宋体"/>
                <w:color w:val="auto"/>
                <w:sz w:val="24"/>
                <w:szCs w:val="24"/>
                <w:lang w:bidi="ar"/>
              </w:rPr>
              <w:t xml:space="preserve"> </w:t>
            </w:r>
            <w:r>
              <w:rPr>
                <w:rFonts w:hint="eastAsia" w:hAnsi="宋体" w:cs="宋体"/>
                <w:color w:val="auto"/>
                <w:sz w:val="20"/>
                <w:szCs w:val="20"/>
                <w:lang w:bidi="ar"/>
              </w:rPr>
              <w:t xml:space="preserve">通讯方式 </w:t>
            </w:r>
            <w:r>
              <w:rPr>
                <w:rStyle w:val="95"/>
                <w:rFonts w:ascii="宋体" w:hAnsi="宋体" w:cs="宋体"/>
                <w:color w:val="auto"/>
                <w:sz w:val="24"/>
                <w:szCs w:val="24"/>
                <w:lang w:bidi="ar"/>
              </w:rPr>
              <w:t xml:space="preserve"> </w:t>
            </w:r>
            <w:r>
              <w:rPr>
                <w:rFonts w:hint="eastAsia" w:hAnsi="宋体" w:cs="宋体"/>
                <w:color w:val="auto"/>
                <w:sz w:val="20"/>
                <w:szCs w:val="20"/>
                <w:lang w:bidi="ar"/>
              </w:rPr>
              <w:t xml:space="preserve">RS485 </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11.</w:t>
            </w:r>
            <w:r>
              <w:rPr>
                <w:rStyle w:val="95"/>
                <w:rFonts w:ascii="宋体" w:hAnsi="宋体" w:cs="宋体"/>
                <w:color w:val="auto"/>
                <w:sz w:val="24"/>
                <w:szCs w:val="24"/>
                <w:lang w:bidi="ar"/>
              </w:rPr>
              <w:t xml:space="preserve"> </w:t>
            </w:r>
            <w:r>
              <w:rPr>
                <w:rFonts w:hint="eastAsia" w:hAnsi="宋体" w:cs="宋体"/>
                <w:color w:val="auto"/>
                <w:sz w:val="20"/>
                <w:szCs w:val="20"/>
                <w:lang w:bidi="ar"/>
              </w:rPr>
              <w:t xml:space="preserve">波特率 </w:t>
            </w:r>
            <w:r>
              <w:rPr>
                <w:rStyle w:val="95"/>
                <w:rFonts w:hint="eastAsia" w:ascii="宋体" w:hAnsi="宋体" w:cs="宋体"/>
                <w:color w:val="auto"/>
                <w:sz w:val="24"/>
                <w:szCs w:val="24"/>
                <w:lang w:bidi="ar"/>
              </w:rPr>
              <w:t>：</w:t>
            </w:r>
            <w:r>
              <w:rPr>
                <w:rFonts w:hint="eastAsia" w:hAnsi="宋体" w:cs="宋体"/>
                <w:color w:val="auto"/>
                <w:sz w:val="20"/>
                <w:szCs w:val="20"/>
                <w:lang w:bidi="ar"/>
              </w:rPr>
              <w:t xml:space="preserve">2400~19200 </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12.</w:t>
            </w:r>
            <w:r>
              <w:rPr>
                <w:rStyle w:val="95"/>
                <w:rFonts w:ascii="宋体" w:hAnsi="宋体" w:cs="宋体"/>
                <w:color w:val="auto"/>
                <w:sz w:val="24"/>
                <w:szCs w:val="24"/>
                <w:lang w:bidi="ar"/>
              </w:rPr>
              <w:t xml:space="preserve"> </w:t>
            </w:r>
            <w:r>
              <w:rPr>
                <w:rFonts w:hint="eastAsia" w:hAnsi="宋体" w:cs="宋体"/>
                <w:color w:val="auto"/>
                <w:sz w:val="20"/>
                <w:szCs w:val="20"/>
                <w:lang w:bidi="ar"/>
              </w:rPr>
              <w:t xml:space="preserve">通讯距离 </w:t>
            </w:r>
            <w:r>
              <w:rPr>
                <w:rStyle w:val="95"/>
                <w:rFonts w:ascii="宋体" w:hAnsi="宋体" w:cs="宋体"/>
                <w:color w:val="auto"/>
                <w:sz w:val="24"/>
                <w:szCs w:val="24"/>
                <w:lang w:bidi="ar"/>
              </w:rPr>
              <w:t xml:space="preserve"> </w:t>
            </w:r>
            <w:r>
              <w:rPr>
                <w:rFonts w:hint="eastAsia" w:hAnsi="宋体" w:cs="宋体"/>
                <w:color w:val="auto"/>
                <w:sz w:val="20"/>
                <w:szCs w:val="20"/>
                <w:lang w:bidi="ar"/>
              </w:rPr>
              <w:t xml:space="preserve">≤500M </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13.</w:t>
            </w:r>
            <w:r>
              <w:rPr>
                <w:rStyle w:val="95"/>
                <w:rFonts w:ascii="宋体" w:hAnsi="宋体" w:cs="宋体"/>
                <w:color w:val="auto"/>
                <w:sz w:val="24"/>
                <w:szCs w:val="24"/>
                <w:lang w:bidi="ar"/>
              </w:rPr>
              <w:t xml:space="preserve"> </w:t>
            </w:r>
            <w:r>
              <w:rPr>
                <w:rFonts w:hint="eastAsia" w:hAnsi="宋体" w:cs="宋体"/>
                <w:color w:val="auto"/>
                <w:sz w:val="20"/>
                <w:szCs w:val="20"/>
                <w:lang w:bidi="ar"/>
              </w:rPr>
              <w:t xml:space="preserve">工作温度 </w:t>
            </w:r>
            <w:r>
              <w:rPr>
                <w:rStyle w:val="95"/>
                <w:rFonts w:ascii="宋体" w:hAnsi="宋体" w:cs="宋体"/>
                <w:color w:val="auto"/>
                <w:sz w:val="24"/>
                <w:szCs w:val="24"/>
                <w:lang w:bidi="ar"/>
              </w:rPr>
              <w:t xml:space="preserve"> </w:t>
            </w:r>
            <w:r>
              <w:rPr>
                <w:rFonts w:hint="eastAsia" w:hAnsi="宋体" w:cs="宋体"/>
                <w:color w:val="auto"/>
                <w:sz w:val="20"/>
                <w:szCs w:val="20"/>
                <w:lang w:bidi="ar"/>
              </w:rPr>
              <w:t xml:space="preserve">-10℃ ~+55℃ </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14.</w:t>
            </w:r>
            <w:r>
              <w:rPr>
                <w:rStyle w:val="95"/>
                <w:rFonts w:ascii="宋体" w:hAnsi="宋体" w:cs="宋体"/>
                <w:color w:val="auto"/>
                <w:sz w:val="24"/>
                <w:szCs w:val="24"/>
                <w:lang w:bidi="ar"/>
              </w:rPr>
              <w:t xml:space="preserve"> </w:t>
            </w:r>
            <w:r>
              <w:rPr>
                <w:rFonts w:hint="eastAsia" w:hAnsi="宋体" w:cs="宋体"/>
                <w:color w:val="auto"/>
                <w:sz w:val="20"/>
                <w:szCs w:val="20"/>
                <w:lang w:bidi="ar"/>
              </w:rPr>
              <w:t xml:space="preserve">相对湿度 </w:t>
            </w:r>
            <w:r>
              <w:rPr>
                <w:rStyle w:val="95"/>
                <w:rFonts w:ascii="宋体" w:hAnsi="宋体" w:cs="宋体"/>
                <w:color w:val="auto"/>
                <w:sz w:val="24"/>
                <w:szCs w:val="24"/>
                <w:lang w:bidi="ar"/>
              </w:rPr>
              <w:t xml:space="preserve"> </w:t>
            </w:r>
            <w:r>
              <w:rPr>
                <w:rFonts w:hint="eastAsia" w:hAnsi="宋体" w:cs="宋体"/>
                <w:color w:val="auto"/>
                <w:sz w:val="20"/>
                <w:szCs w:val="20"/>
                <w:lang w:bidi="ar"/>
              </w:rPr>
              <w:t xml:space="preserve">≤ 95% </w:t>
            </w:r>
          </w:p>
          <w:p>
            <w:pPr>
              <w:widowControl/>
              <w:jc w:val="left"/>
              <w:textAlignment w:val="center"/>
              <w:rPr>
                <w:rFonts w:hAnsi="宋体" w:cs="宋体"/>
                <w:color w:val="auto"/>
                <w:sz w:val="20"/>
                <w:szCs w:val="20"/>
              </w:rPr>
            </w:pPr>
            <w:r>
              <w:rPr>
                <w:rFonts w:hint="eastAsia" w:hAnsi="宋体" w:cs="宋体"/>
                <w:color w:val="auto"/>
                <w:sz w:val="20"/>
                <w:szCs w:val="20"/>
                <w:lang w:bidi="ar"/>
              </w:rPr>
              <w:t>15.</w:t>
            </w:r>
            <w:r>
              <w:rPr>
                <w:rStyle w:val="95"/>
                <w:rFonts w:ascii="宋体" w:hAnsi="宋体" w:cs="宋体"/>
                <w:color w:val="auto"/>
                <w:sz w:val="24"/>
                <w:szCs w:val="24"/>
                <w:lang w:bidi="ar"/>
              </w:rPr>
              <w:t xml:space="preserve"> </w:t>
            </w:r>
            <w:r>
              <w:rPr>
                <w:rFonts w:hint="eastAsia" w:hAnsi="宋体" w:cs="宋体"/>
                <w:color w:val="auto"/>
                <w:sz w:val="20"/>
                <w:szCs w:val="20"/>
                <w:lang w:bidi="ar"/>
              </w:rPr>
              <w:t xml:space="preserve">最大记录内容 </w:t>
            </w:r>
            <w:r>
              <w:rPr>
                <w:rStyle w:val="95"/>
                <w:rFonts w:ascii="宋体" w:hAnsi="宋体" w:cs="宋体"/>
                <w:color w:val="auto"/>
                <w:sz w:val="24"/>
                <w:szCs w:val="24"/>
                <w:lang w:bidi="ar"/>
              </w:rPr>
              <w:t xml:space="preserve"> </w:t>
            </w:r>
            <w:r>
              <w:rPr>
                <w:rFonts w:hint="eastAsia" w:hAnsi="宋体" w:cs="宋体"/>
                <w:color w:val="auto"/>
                <w:sz w:val="20"/>
                <w:szCs w:val="20"/>
                <w:lang w:bidi="ar"/>
              </w:rPr>
              <w:t>1000pcs</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1</w:t>
            </w:r>
          </w:p>
        </w:tc>
      </w:tr>
      <w:tr>
        <w:tblPrEx>
          <w:tblCellMar>
            <w:top w:w="0" w:type="dxa"/>
            <w:left w:w="108" w:type="dxa"/>
            <w:bottom w:w="0" w:type="dxa"/>
            <w:right w:w="108" w:type="dxa"/>
          </w:tblCellMar>
        </w:tblPrEx>
        <w:trPr>
          <w:trHeight w:val="99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Ansi="宋体" w:cs="宋体"/>
                <w:color w:val="auto"/>
                <w:sz w:val="20"/>
                <w:szCs w:val="20"/>
                <w:lang w:bidi="ar"/>
              </w:rPr>
              <w:t>26</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0"/>
                <w:szCs w:val="20"/>
              </w:rPr>
            </w:pPr>
            <w:r>
              <w:rPr>
                <w:rFonts w:hint="eastAsia" w:hAnsi="宋体" w:cs="宋体"/>
                <w:color w:val="auto"/>
                <w:sz w:val="20"/>
                <w:szCs w:val="20"/>
                <w:lang w:bidi="ar"/>
              </w:rPr>
              <w:t>喷淋水泵控制柜（1控2）</w:t>
            </w:r>
          </w:p>
        </w:tc>
        <w:tc>
          <w:tcPr>
            <w:tcW w:w="5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0"/>
                <w:szCs w:val="20"/>
                <w:lang w:bidi="ar"/>
              </w:rPr>
            </w:pPr>
            <w:r>
              <w:rPr>
                <w:rFonts w:hint="eastAsia" w:hAnsi="宋体" w:cs="宋体"/>
                <w:color w:val="auto"/>
                <w:sz w:val="20"/>
                <w:szCs w:val="20"/>
                <w:lang w:bidi="ar"/>
              </w:rPr>
              <w:t>1.环境温度：0℃~+40℃</w:t>
            </w:r>
          </w:p>
          <w:p>
            <w:pPr>
              <w:widowControl/>
              <w:jc w:val="left"/>
              <w:textAlignment w:val="center"/>
              <w:rPr>
                <w:rFonts w:hint="eastAsia" w:hAnsi="宋体" w:eastAsia="宋体" w:cs="宋体"/>
                <w:color w:val="auto"/>
                <w:sz w:val="20"/>
                <w:szCs w:val="20"/>
                <w:lang w:eastAsia="zh-CN" w:bidi="ar"/>
              </w:rPr>
            </w:pPr>
            <w:r>
              <w:rPr>
                <w:rFonts w:hAnsi="宋体" w:cs="宋体"/>
                <w:color w:val="auto"/>
                <w:sz w:val="20"/>
                <w:szCs w:val="20"/>
                <w:lang w:bidi="ar"/>
              </w:rPr>
              <w:t>2</w:t>
            </w:r>
            <w:r>
              <w:rPr>
                <w:rFonts w:hint="eastAsia" w:hAnsi="宋体" w:cs="宋体"/>
                <w:color w:val="auto"/>
                <w:sz w:val="20"/>
                <w:szCs w:val="20"/>
                <w:lang w:bidi="ar"/>
              </w:rPr>
              <w:t>.主电源电压：三相AC380V</w:t>
            </w:r>
          </w:p>
          <w:p>
            <w:pPr>
              <w:widowControl/>
              <w:jc w:val="left"/>
              <w:textAlignment w:val="center"/>
              <w:rPr>
                <w:rFonts w:hint="eastAsia" w:hAnsi="宋体" w:eastAsia="宋体" w:cs="宋体"/>
                <w:color w:val="auto"/>
                <w:sz w:val="20"/>
                <w:szCs w:val="20"/>
                <w:lang w:eastAsia="zh-CN" w:bidi="ar"/>
              </w:rPr>
            </w:pPr>
            <w:r>
              <w:rPr>
                <w:rFonts w:hAnsi="宋体" w:cs="宋体"/>
                <w:color w:val="auto"/>
                <w:sz w:val="20"/>
                <w:szCs w:val="20"/>
                <w:lang w:bidi="ar"/>
              </w:rPr>
              <w:t>3</w:t>
            </w:r>
            <w:r>
              <w:rPr>
                <w:rFonts w:hint="eastAsia" w:hAnsi="宋体" w:cs="宋体"/>
                <w:color w:val="auto"/>
                <w:sz w:val="20"/>
                <w:szCs w:val="20"/>
                <w:lang w:bidi="ar"/>
              </w:rPr>
              <w:t>.要求按电气设备的安装技术标准及设备容量配线</w:t>
            </w:r>
          </w:p>
          <w:p>
            <w:pPr>
              <w:widowControl/>
              <w:jc w:val="left"/>
              <w:textAlignment w:val="center"/>
              <w:rPr>
                <w:rFonts w:hAnsi="宋体" w:cs="宋体"/>
                <w:color w:val="auto"/>
                <w:sz w:val="20"/>
                <w:szCs w:val="20"/>
              </w:rPr>
            </w:pPr>
            <w:r>
              <w:rPr>
                <w:rFonts w:hAnsi="宋体" w:cs="宋体"/>
                <w:color w:val="auto"/>
                <w:sz w:val="20"/>
                <w:szCs w:val="20"/>
                <w:lang w:bidi="ar"/>
              </w:rPr>
              <w:t>4</w:t>
            </w:r>
            <w:r>
              <w:rPr>
                <w:rFonts w:hint="eastAsia" w:hAnsi="宋体" w:cs="宋体"/>
                <w:color w:val="auto"/>
                <w:sz w:val="20"/>
                <w:szCs w:val="20"/>
                <w:lang w:bidi="ar"/>
              </w:rPr>
              <w:t>.控制柜应良好接地，接地电阻应≤</w:t>
            </w:r>
            <w:r>
              <w:rPr>
                <w:rFonts w:hAnsi="宋体" w:cs="宋体"/>
                <w:color w:val="auto"/>
                <w:sz w:val="20"/>
                <w:szCs w:val="20"/>
                <w:lang w:bidi="ar"/>
              </w:rPr>
              <w:t>10</w:t>
            </w:r>
            <w:r>
              <w:rPr>
                <w:rFonts w:hint="eastAsia" w:hAnsi="宋体" w:cs="宋体"/>
                <w:color w:val="auto"/>
                <w:sz w:val="20"/>
                <w:szCs w:val="20"/>
                <w:lang w:bidi="ar"/>
              </w:rPr>
              <w:t>Ω</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Ansi="宋体" w:cs="宋体"/>
                <w:color w:val="auto"/>
                <w:sz w:val="20"/>
                <w:szCs w:val="20"/>
              </w:rPr>
            </w:pPr>
            <w:r>
              <w:rPr>
                <w:rFonts w:hint="eastAsia" w:hAnsi="宋体" w:cs="宋体"/>
                <w:color w:val="auto"/>
                <w:sz w:val="20"/>
                <w:szCs w:val="20"/>
                <w:lang w:bidi="ar"/>
              </w:rPr>
              <w:t>4</w:t>
            </w:r>
          </w:p>
        </w:tc>
      </w:tr>
      <w:tr>
        <w:tblPrEx>
          <w:tblCellMar>
            <w:top w:w="0" w:type="dxa"/>
            <w:left w:w="108" w:type="dxa"/>
            <w:bottom w:w="0" w:type="dxa"/>
            <w:right w:w="108" w:type="dxa"/>
          </w:tblCellMar>
        </w:tblPrEx>
        <w:trPr>
          <w:trHeight w:val="121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Ansi="宋体" w:cs="宋体"/>
                <w:color w:val="auto"/>
                <w:sz w:val="20"/>
                <w:szCs w:val="20"/>
                <w:lang w:bidi="ar"/>
              </w:rPr>
              <w:t>27</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0"/>
                <w:szCs w:val="20"/>
              </w:rPr>
            </w:pPr>
            <w:r>
              <w:rPr>
                <w:rFonts w:hint="eastAsia" w:hAnsi="宋体" w:cs="宋体"/>
                <w:color w:val="auto"/>
                <w:sz w:val="20"/>
                <w:szCs w:val="20"/>
                <w:lang w:bidi="ar"/>
              </w:rPr>
              <w:t>消火栓水泵控制柜（1控2）</w:t>
            </w:r>
          </w:p>
        </w:tc>
        <w:tc>
          <w:tcPr>
            <w:tcW w:w="5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0"/>
                <w:szCs w:val="20"/>
                <w:lang w:bidi="ar"/>
              </w:rPr>
            </w:pPr>
            <w:r>
              <w:rPr>
                <w:rFonts w:hint="eastAsia" w:hAnsi="宋体" w:cs="宋体"/>
                <w:color w:val="auto"/>
                <w:sz w:val="20"/>
                <w:szCs w:val="20"/>
                <w:lang w:bidi="ar"/>
              </w:rPr>
              <w:t>1.环境温度：0℃~+40℃</w:t>
            </w:r>
          </w:p>
          <w:p>
            <w:pPr>
              <w:widowControl/>
              <w:jc w:val="left"/>
              <w:textAlignment w:val="center"/>
              <w:rPr>
                <w:rFonts w:hint="eastAsia" w:hAnsi="宋体" w:eastAsia="宋体" w:cs="宋体"/>
                <w:color w:val="auto"/>
                <w:sz w:val="20"/>
                <w:szCs w:val="20"/>
                <w:lang w:eastAsia="zh-CN" w:bidi="ar"/>
              </w:rPr>
            </w:pPr>
            <w:r>
              <w:rPr>
                <w:rFonts w:hAnsi="宋体" w:cs="宋体"/>
                <w:color w:val="auto"/>
                <w:sz w:val="20"/>
                <w:szCs w:val="20"/>
                <w:lang w:bidi="ar"/>
              </w:rPr>
              <w:t>2</w:t>
            </w:r>
            <w:r>
              <w:rPr>
                <w:rFonts w:hint="eastAsia" w:hAnsi="宋体" w:cs="宋体"/>
                <w:color w:val="auto"/>
                <w:sz w:val="20"/>
                <w:szCs w:val="20"/>
                <w:lang w:bidi="ar"/>
              </w:rPr>
              <w:t>.主电源电压：三相AC380V</w:t>
            </w:r>
          </w:p>
          <w:p>
            <w:pPr>
              <w:widowControl/>
              <w:jc w:val="left"/>
              <w:textAlignment w:val="center"/>
              <w:rPr>
                <w:rFonts w:hint="eastAsia" w:hAnsi="宋体" w:eastAsia="宋体" w:cs="宋体"/>
                <w:color w:val="auto"/>
                <w:sz w:val="20"/>
                <w:szCs w:val="20"/>
                <w:lang w:eastAsia="zh-CN" w:bidi="ar"/>
              </w:rPr>
            </w:pPr>
            <w:r>
              <w:rPr>
                <w:rFonts w:hAnsi="宋体" w:cs="宋体"/>
                <w:color w:val="auto"/>
                <w:sz w:val="20"/>
                <w:szCs w:val="20"/>
                <w:lang w:bidi="ar"/>
              </w:rPr>
              <w:t>3</w:t>
            </w:r>
            <w:r>
              <w:rPr>
                <w:rFonts w:hint="eastAsia" w:hAnsi="宋体" w:cs="宋体"/>
                <w:color w:val="auto"/>
                <w:sz w:val="20"/>
                <w:szCs w:val="20"/>
                <w:lang w:bidi="ar"/>
              </w:rPr>
              <w:t>.要求按电气设备的安装技术标准及设备容量配线</w:t>
            </w:r>
          </w:p>
          <w:p>
            <w:pPr>
              <w:widowControl/>
              <w:jc w:val="left"/>
              <w:textAlignment w:val="center"/>
              <w:rPr>
                <w:rFonts w:hAnsi="宋体" w:cs="宋体"/>
                <w:color w:val="auto"/>
                <w:sz w:val="20"/>
                <w:szCs w:val="20"/>
              </w:rPr>
            </w:pPr>
            <w:r>
              <w:rPr>
                <w:rFonts w:hAnsi="宋体" w:cs="宋体"/>
                <w:color w:val="auto"/>
                <w:sz w:val="20"/>
                <w:szCs w:val="20"/>
                <w:lang w:bidi="ar"/>
              </w:rPr>
              <w:t>4</w:t>
            </w:r>
            <w:r>
              <w:rPr>
                <w:rFonts w:hint="eastAsia" w:hAnsi="宋体" w:cs="宋体"/>
                <w:color w:val="auto"/>
                <w:sz w:val="20"/>
                <w:szCs w:val="20"/>
                <w:lang w:bidi="ar"/>
              </w:rPr>
              <w:t>.控制柜应良好接地，接地电阻应≤</w:t>
            </w:r>
            <w:r>
              <w:rPr>
                <w:rFonts w:hAnsi="宋体" w:cs="宋体"/>
                <w:color w:val="auto"/>
                <w:sz w:val="20"/>
                <w:szCs w:val="20"/>
                <w:lang w:bidi="ar"/>
              </w:rPr>
              <w:t>10</w:t>
            </w:r>
            <w:r>
              <w:rPr>
                <w:rFonts w:hint="eastAsia" w:hAnsi="宋体" w:cs="宋体"/>
                <w:color w:val="auto"/>
                <w:sz w:val="20"/>
                <w:szCs w:val="20"/>
                <w:lang w:bidi="ar"/>
              </w:rPr>
              <w:t>Ω</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Ansi="宋体" w:cs="宋体"/>
                <w:color w:val="auto"/>
                <w:sz w:val="20"/>
                <w:szCs w:val="20"/>
              </w:rPr>
            </w:pPr>
            <w:r>
              <w:rPr>
                <w:rFonts w:hint="eastAsia" w:hAnsi="宋体" w:cs="宋体"/>
                <w:color w:val="auto"/>
                <w:sz w:val="20"/>
                <w:szCs w:val="20"/>
                <w:lang w:bidi="ar"/>
              </w:rPr>
              <w:t>4</w:t>
            </w:r>
          </w:p>
        </w:tc>
      </w:tr>
      <w:tr>
        <w:tblPrEx>
          <w:tblCellMar>
            <w:top w:w="0" w:type="dxa"/>
            <w:left w:w="108" w:type="dxa"/>
            <w:bottom w:w="0" w:type="dxa"/>
            <w:right w:w="108" w:type="dxa"/>
          </w:tblCellMar>
        </w:tblPrEx>
        <w:trPr>
          <w:trHeight w:val="3676"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Ansi="宋体" w:cs="宋体"/>
                <w:color w:val="auto"/>
                <w:sz w:val="20"/>
                <w:szCs w:val="20"/>
                <w:lang w:bidi="ar"/>
              </w:rPr>
              <w:t>28</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0"/>
                <w:szCs w:val="20"/>
              </w:rPr>
            </w:pPr>
            <w:r>
              <w:rPr>
                <w:rFonts w:hint="eastAsia" w:hAnsi="宋体" w:cs="宋体"/>
                <w:color w:val="auto"/>
                <w:sz w:val="20"/>
                <w:szCs w:val="20"/>
                <w:lang w:bidi="ar"/>
              </w:rPr>
              <w:t>消防巡检柜（1控4）</w:t>
            </w:r>
          </w:p>
        </w:tc>
        <w:tc>
          <w:tcPr>
            <w:tcW w:w="5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1.</w:t>
            </w:r>
            <w:r>
              <w:rPr>
                <w:rStyle w:val="95"/>
                <w:rFonts w:ascii="宋体" w:hAnsi="宋体" w:cs="宋体"/>
                <w:color w:val="auto"/>
                <w:sz w:val="24"/>
                <w:szCs w:val="24"/>
                <w:lang w:bidi="ar"/>
              </w:rPr>
              <w:t xml:space="preserve"> </w:t>
            </w:r>
            <w:r>
              <w:rPr>
                <w:rFonts w:hint="eastAsia" w:hAnsi="宋体" w:cs="宋体"/>
                <w:color w:val="auto"/>
                <w:sz w:val="20"/>
                <w:szCs w:val="20"/>
                <w:lang w:bidi="ar"/>
              </w:rPr>
              <w:t>采用中文大液晶触摸屏作为人机界面，操作方便，简单直观。</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2.</w:t>
            </w:r>
            <w:r>
              <w:rPr>
                <w:rStyle w:val="95"/>
                <w:rFonts w:ascii="宋体" w:hAnsi="宋体" w:cs="宋体"/>
                <w:color w:val="auto"/>
                <w:sz w:val="24"/>
                <w:szCs w:val="24"/>
                <w:lang w:bidi="ar"/>
              </w:rPr>
              <w:t xml:space="preserve"> </w:t>
            </w:r>
            <w:r>
              <w:rPr>
                <w:rFonts w:hAnsi="宋体" w:cs="宋体"/>
                <w:color w:val="auto"/>
                <w:sz w:val="20"/>
                <w:szCs w:val="20"/>
                <w:lang w:bidi="ar"/>
              </w:rPr>
              <w:t>4</w:t>
            </w:r>
            <w:r>
              <w:rPr>
                <w:rFonts w:hint="eastAsia" w:hAnsi="宋体" w:cs="宋体"/>
                <w:color w:val="auto"/>
                <w:sz w:val="20"/>
                <w:szCs w:val="20"/>
                <w:lang w:bidi="ar"/>
              </w:rPr>
              <w:t>5KW一控四智能消防巡检柜接线方便，可与任何开关厂生产的控制柜配套使用。</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3.</w:t>
            </w:r>
            <w:r>
              <w:rPr>
                <w:rStyle w:val="95"/>
                <w:rFonts w:ascii="宋体" w:hAnsi="宋体" w:cs="宋体"/>
                <w:color w:val="auto"/>
                <w:sz w:val="24"/>
                <w:szCs w:val="24"/>
                <w:lang w:bidi="ar"/>
              </w:rPr>
              <w:t xml:space="preserve"> </w:t>
            </w:r>
            <w:r>
              <w:rPr>
                <w:rFonts w:hint="eastAsia" w:hAnsi="宋体" w:cs="宋体"/>
                <w:color w:val="auto"/>
                <w:sz w:val="20"/>
                <w:szCs w:val="20"/>
                <w:lang w:bidi="ar"/>
              </w:rPr>
              <w:t>巡检过程中如遇消防信号立即退出巡检，并马上启动消火栓泵和喷淋泵。</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4.</w:t>
            </w:r>
            <w:r>
              <w:rPr>
                <w:rStyle w:val="95"/>
                <w:rFonts w:ascii="宋体" w:hAnsi="宋体" w:cs="宋体"/>
                <w:color w:val="auto"/>
                <w:sz w:val="24"/>
                <w:szCs w:val="24"/>
                <w:lang w:bidi="ar"/>
              </w:rPr>
              <w:t xml:space="preserve"> </w:t>
            </w:r>
            <w:r>
              <w:rPr>
                <w:rFonts w:hint="eastAsia" w:hAnsi="宋体" w:cs="宋体"/>
                <w:color w:val="auto"/>
                <w:sz w:val="20"/>
                <w:szCs w:val="20"/>
                <w:lang w:bidi="ar"/>
              </w:rPr>
              <w:t>变频巡检驱动功率小，运行高效节能，其功率大约是工频巡检功率的1.35％,大大节省电力资源。</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5.</w:t>
            </w:r>
            <w:r>
              <w:rPr>
                <w:rStyle w:val="95"/>
                <w:rFonts w:ascii="宋体" w:hAnsi="宋体" w:cs="宋体"/>
                <w:color w:val="auto"/>
                <w:sz w:val="24"/>
                <w:szCs w:val="24"/>
                <w:lang w:bidi="ar"/>
              </w:rPr>
              <w:t xml:space="preserve"> </w:t>
            </w:r>
            <w:r>
              <w:rPr>
                <w:rFonts w:hint="eastAsia" w:hAnsi="宋体" w:cs="宋体"/>
                <w:color w:val="auto"/>
                <w:sz w:val="20"/>
                <w:szCs w:val="20"/>
                <w:lang w:bidi="ar"/>
              </w:rPr>
              <w:t>具有故障报警，掉电闪存功能、故障存储记录功能，可存储256条故障记录，方便维修人员检修和故障分析。</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6.</w:t>
            </w:r>
            <w:r>
              <w:rPr>
                <w:rStyle w:val="95"/>
                <w:rFonts w:ascii="宋体" w:hAnsi="宋体" w:cs="宋体"/>
                <w:color w:val="auto"/>
                <w:sz w:val="24"/>
                <w:szCs w:val="24"/>
                <w:lang w:bidi="ar"/>
              </w:rPr>
              <w:t xml:space="preserve"> </w:t>
            </w:r>
            <w:r>
              <w:rPr>
                <w:rFonts w:hAnsi="宋体" w:cs="宋体"/>
                <w:color w:val="auto"/>
                <w:sz w:val="20"/>
                <w:szCs w:val="20"/>
                <w:lang w:bidi="ar"/>
              </w:rPr>
              <w:t>4</w:t>
            </w:r>
            <w:r>
              <w:rPr>
                <w:rFonts w:hint="eastAsia" w:hAnsi="宋体" w:cs="宋体"/>
                <w:color w:val="auto"/>
                <w:sz w:val="20"/>
                <w:szCs w:val="20"/>
                <w:lang w:bidi="ar"/>
              </w:rPr>
              <w:t>5KW一控四智能消防巡检柜能按设定的周期自动巡检，无需人为去操作，配有多种通讯接口，可实现远程消防监控，随时了解消防水泵机组的情况，便于管理。</w:t>
            </w:r>
          </w:p>
          <w:p>
            <w:pPr>
              <w:widowControl/>
              <w:jc w:val="left"/>
              <w:textAlignment w:val="center"/>
              <w:rPr>
                <w:rFonts w:hAnsi="宋体" w:cs="宋体"/>
                <w:color w:val="auto"/>
                <w:sz w:val="20"/>
                <w:szCs w:val="20"/>
              </w:rPr>
            </w:pPr>
            <w:r>
              <w:rPr>
                <w:rFonts w:hint="eastAsia" w:hAnsi="宋体" w:cs="宋体"/>
                <w:color w:val="auto"/>
                <w:sz w:val="20"/>
                <w:szCs w:val="20"/>
                <w:lang w:bidi="ar"/>
              </w:rPr>
              <w:t>7.</w:t>
            </w:r>
            <w:r>
              <w:rPr>
                <w:rStyle w:val="95"/>
                <w:rFonts w:ascii="宋体" w:hAnsi="宋体" w:cs="宋体"/>
                <w:color w:val="auto"/>
                <w:sz w:val="24"/>
                <w:szCs w:val="24"/>
                <w:lang w:bidi="ar"/>
              </w:rPr>
              <w:t xml:space="preserve"> </w:t>
            </w:r>
            <w:r>
              <w:rPr>
                <w:rFonts w:hint="eastAsia" w:hAnsi="宋体" w:cs="宋体"/>
                <w:color w:val="auto"/>
                <w:sz w:val="20"/>
                <w:szCs w:val="20"/>
                <w:lang w:bidi="ar"/>
              </w:rPr>
              <w:t>采用变频调速器巡检水泵，启动电流小，水泵转速低，对水泵机械冲击小；从而延长了消防水泵的使用寿命。</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Ansi="宋体" w:cs="宋体"/>
                <w:color w:val="auto"/>
                <w:sz w:val="20"/>
                <w:szCs w:val="20"/>
              </w:rPr>
            </w:pPr>
            <w:r>
              <w:rPr>
                <w:rFonts w:hint="eastAsia" w:hAnsi="宋体" w:cs="宋体"/>
                <w:color w:val="auto"/>
                <w:sz w:val="20"/>
                <w:szCs w:val="20"/>
                <w:lang w:bidi="ar"/>
              </w:rPr>
              <w:t>6</w:t>
            </w:r>
          </w:p>
        </w:tc>
      </w:tr>
      <w:tr>
        <w:tblPrEx>
          <w:tblCellMar>
            <w:top w:w="0" w:type="dxa"/>
            <w:left w:w="108" w:type="dxa"/>
            <w:bottom w:w="0" w:type="dxa"/>
            <w:right w:w="108" w:type="dxa"/>
          </w:tblCellMar>
        </w:tblPrEx>
        <w:trPr>
          <w:trHeight w:val="84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Ansi="宋体" w:cs="宋体"/>
                <w:color w:val="auto"/>
                <w:sz w:val="20"/>
                <w:szCs w:val="20"/>
                <w:lang w:bidi="ar"/>
              </w:rPr>
              <w:t>29</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0"/>
                <w:szCs w:val="20"/>
              </w:rPr>
            </w:pPr>
            <w:r>
              <w:rPr>
                <w:rFonts w:hint="eastAsia" w:hAnsi="宋体" w:cs="宋体"/>
                <w:color w:val="auto"/>
                <w:sz w:val="20"/>
                <w:szCs w:val="20"/>
                <w:lang w:bidi="ar"/>
              </w:rPr>
              <w:t>双电源控制箱</w:t>
            </w:r>
          </w:p>
        </w:tc>
        <w:tc>
          <w:tcPr>
            <w:tcW w:w="5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1.</w:t>
            </w:r>
            <w:r>
              <w:rPr>
                <w:rStyle w:val="95"/>
                <w:rFonts w:ascii="宋体" w:hAnsi="宋体" w:cs="宋体"/>
                <w:color w:val="auto"/>
                <w:sz w:val="24"/>
                <w:szCs w:val="24"/>
                <w:lang w:bidi="ar"/>
              </w:rPr>
              <w:t xml:space="preserve"> </w:t>
            </w:r>
            <w:r>
              <w:rPr>
                <w:rFonts w:hint="eastAsia" w:hAnsi="宋体" w:cs="宋体"/>
                <w:color w:val="auto"/>
                <w:sz w:val="20"/>
                <w:szCs w:val="20"/>
                <w:lang w:bidi="ar"/>
              </w:rPr>
              <w:t>环境温度：0℃~+40℃4.</w:t>
            </w:r>
            <w:r>
              <w:rPr>
                <w:rStyle w:val="95"/>
                <w:rFonts w:ascii="宋体" w:hAnsi="宋体" w:cs="宋体"/>
                <w:color w:val="auto"/>
                <w:sz w:val="24"/>
                <w:szCs w:val="24"/>
                <w:lang w:bidi="ar"/>
              </w:rPr>
              <w:t xml:space="preserve"> </w:t>
            </w:r>
            <w:r>
              <w:rPr>
                <w:rFonts w:hint="eastAsia" w:hAnsi="宋体" w:cs="宋体"/>
                <w:color w:val="auto"/>
                <w:sz w:val="20"/>
                <w:szCs w:val="20"/>
                <w:lang w:bidi="ar"/>
              </w:rPr>
              <w:t>主电源电压：三相AC380V</w:t>
            </w:r>
          </w:p>
          <w:p>
            <w:pPr>
              <w:widowControl/>
              <w:jc w:val="left"/>
              <w:textAlignment w:val="center"/>
              <w:rPr>
                <w:rFonts w:hint="eastAsia" w:hAnsi="宋体" w:eastAsia="宋体" w:cs="宋体"/>
                <w:color w:val="auto"/>
                <w:sz w:val="20"/>
                <w:szCs w:val="20"/>
                <w:lang w:eastAsia="zh-CN" w:bidi="ar"/>
              </w:rPr>
            </w:pPr>
            <w:r>
              <w:rPr>
                <w:rFonts w:hAnsi="宋体" w:cs="宋体"/>
                <w:color w:val="auto"/>
                <w:sz w:val="20"/>
                <w:szCs w:val="20"/>
                <w:lang w:bidi="ar"/>
              </w:rPr>
              <w:t>2</w:t>
            </w:r>
            <w:r>
              <w:rPr>
                <w:rFonts w:hint="eastAsia" w:hAnsi="宋体" w:cs="宋体"/>
                <w:color w:val="auto"/>
                <w:sz w:val="20"/>
                <w:szCs w:val="20"/>
                <w:lang w:bidi="ar"/>
              </w:rPr>
              <w:t>.</w:t>
            </w:r>
            <w:r>
              <w:rPr>
                <w:rStyle w:val="95"/>
                <w:rFonts w:ascii="宋体" w:hAnsi="宋体" w:cs="宋体"/>
                <w:color w:val="auto"/>
                <w:sz w:val="24"/>
                <w:szCs w:val="24"/>
                <w:lang w:bidi="ar"/>
              </w:rPr>
              <w:t xml:space="preserve"> </w:t>
            </w:r>
            <w:r>
              <w:rPr>
                <w:rFonts w:hint="eastAsia" w:hAnsi="宋体" w:cs="宋体"/>
                <w:color w:val="auto"/>
                <w:sz w:val="20"/>
                <w:szCs w:val="20"/>
                <w:lang w:bidi="ar"/>
              </w:rPr>
              <w:t>振动：＜2000m</w:t>
            </w:r>
          </w:p>
          <w:p>
            <w:pPr>
              <w:widowControl/>
              <w:jc w:val="left"/>
              <w:textAlignment w:val="center"/>
              <w:rPr>
                <w:rFonts w:hAnsi="宋体" w:cs="宋体"/>
                <w:color w:val="auto"/>
                <w:sz w:val="20"/>
                <w:szCs w:val="20"/>
              </w:rPr>
            </w:pPr>
            <w:r>
              <w:rPr>
                <w:rFonts w:hAnsi="宋体" w:cs="宋体"/>
                <w:color w:val="auto"/>
                <w:sz w:val="20"/>
                <w:szCs w:val="20"/>
                <w:lang w:bidi="ar"/>
              </w:rPr>
              <w:t>3</w:t>
            </w:r>
            <w:r>
              <w:rPr>
                <w:rFonts w:hint="eastAsia" w:hAnsi="宋体" w:cs="宋体"/>
                <w:color w:val="auto"/>
                <w:sz w:val="20"/>
                <w:szCs w:val="20"/>
                <w:lang w:bidi="ar"/>
              </w:rPr>
              <w:t>.</w:t>
            </w:r>
            <w:r>
              <w:rPr>
                <w:rStyle w:val="95"/>
                <w:rFonts w:ascii="宋体" w:hAnsi="宋体" w:cs="宋体"/>
                <w:color w:val="auto"/>
                <w:sz w:val="24"/>
                <w:szCs w:val="24"/>
                <w:lang w:bidi="ar"/>
              </w:rPr>
              <w:t xml:space="preserve"> </w:t>
            </w:r>
            <w:r>
              <w:rPr>
                <w:rFonts w:hint="eastAsia" w:hAnsi="宋体" w:cs="宋体"/>
                <w:color w:val="auto"/>
                <w:sz w:val="20"/>
                <w:szCs w:val="20"/>
                <w:lang w:bidi="ar"/>
              </w:rPr>
              <w:t>功率范围：0~315kW</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Ansi="宋体" w:cs="宋体"/>
                <w:color w:val="auto"/>
                <w:sz w:val="20"/>
                <w:szCs w:val="20"/>
              </w:rPr>
            </w:pPr>
            <w:r>
              <w:rPr>
                <w:rFonts w:hint="eastAsia" w:hAnsi="宋体" w:cs="宋体"/>
                <w:color w:val="auto"/>
                <w:sz w:val="20"/>
                <w:szCs w:val="20"/>
                <w:lang w:bidi="ar"/>
              </w:rPr>
              <w:t>5</w:t>
            </w:r>
          </w:p>
        </w:tc>
      </w:tr>
      <w:tr>
        <w:tblPrEx>
          <w:tblCellMar>
            <w:top w:w="0" w:type="dxa"/>
            <w:left w:w="108" w:type="dxa"/>
            <w:bottom w:w="0" w:type="dxa"/>
            <w:right w:w="108" w:type="dxa"/>
          </w:tblCellMar>
        </w:tblPrEx>
        <w:trPr>
          <w:trHeight w:val="127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Ansi="宋体" w:cs="宋体"/>
                <w:color w:val="auto"/>
                <w:sz w:val="20"/>
                <w:szCs w:val="20"/>
                <w:lang w:bidi="ar"/>
              </w:rPr>
              <w:t>30</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0"/>
                <w:szCs w:val="20"/>
              </w:rPr>
            </w:pPr>
            <w:r>
              <w:rPr>
                <w:rFonts w:hint="eastAsia" w:hAnsi="宋体" w:cs="宋体"/>
                <w:color w:val="auto"/>
                <w:sz w:val="20"/>
                <w:szCs w:val="20"/>
                <w:lang w:bidi="ar"/>
              </w:rPr>
              <w:t>止回阀（DN150）</w:t>
            </w:r>
          </w:p>
        </w:tc>
        <w:tc>
          <w:tcPr>
            <w:tcW w:w="5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1.</w:t>
            </w:r>
            <w:r>
              <w:rPr>
                <w:rStyle w:val="95"/>
                <w:rFonts w:ascii="宋体" w:hAnsi="宋体" w:cs="宋体"/>
                <w:color w:val="auto"/>
                <w:sz w:val="24"/>
                <w:szCs w:val="24"/>
                <w:lang w:bidi="ar"/>
              </w:rPr>
              <w:t xml:space="preserve"> </w:t>
            </w:r>
            <w:r>
              <w:rPr>
                <w:rFonts w:hint="eastAsia" w:hAnsi="宋体" w:cs="宋体"/>
                <w:color w:val="auto"/>
                <w:sz w:val="20"/>
                <w:szCs w:val="20"/>
                <w:lang w:bidi="ar"/>
              </w:rPr>
              <w:t>型号: 升降式止回阀</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2.</w:t>
            </w:r>
            <w:r>
              <w:rPr>
                <w:rStyle w:val="95"/>
                <w:rFonts w:ascii="宋体" w:hAnsi="宋体" w:cs="宋体"/>
                <w:color w:val="auto"/>
                <w:sz w:val="24"/>
                <w:szCs w:val="24"/>
                <w:lang w:bidi="ar"/>
              </w:rPr>
              <w:t xml:space="preserve"> </w:t>
            </w:r>
            <w:r>
              <w:rPr>
                <w:rFonts w:hint="eastAsia" w:hAnsi="宋体" w:cs="宋体"/>
                <w:color w:val="auto"/>
                <w:sz w:val="20"/>
                <w:szCs w:val="20"/>
                <w:lang w:bidi="ar"/>
              </w:rPr>
              <w:t>材质: 铸钢</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3.</w:t>
            </w:r>
            <w:r>
              <w:rPr>
                <w:rStyle w:val="95"/>
                <w:rFonts w:ascii="宋体" w:hAnsi="宋体" w:cs="宋体"/>
                <w:color w:val="auto"/>
                <w:sz w:val="24"/>
                <w:szCs w:val="24"/>
                <w:lang w:bidi="ar"/>
              </w:rPr>
              <w:t xml:space="preserve"> </w:t>
            </w:r>
            <w:r>
              <w:rPr>
                <w:rFonts w:hint="eastAsia" w:hAnsi="宋体" w:cs="宋体"/>
                <w:color w:val="auto"/>
                <w:sz w:val="20"/>
                <w:szCs w:val="20"/>
                <w:lang w:bidi="ar"/>
              </w:rPr>
              <w:t>分类:  DN150</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4.</w:t>
            </w:r>
            <w:r>
              <w:rPr>
                <w:rStyle w:val="95"/>
                <w:rFonts w:ascii="宋体" w:hAnsi="宋体" w:cs="宋体"/>
                <w:color w:val="auto"/>
                <w:sz w:val="24"/>
                <w:szCs w:val="24"/>
                <w:lang w:bidi="ar"/>
              </w:rPr>
              <w:t xml:space="preserve"> </w:t>
            </w:r>
            <w:r>
              <w:rPr>
                <w:rFonts w:hint="eastAsia" w:hAnsi="宋体" w:cs="宋体"/>
                <w:color w:val="auto"/>
                <w:sz w:val="20"/>
                <w:szCs w:val="20"/>
                <w:lang w:bidi="ar"/>
              </w:rPr>
              <w:t>阀门结构形式: 升降式</w:t>
            </w:r>
          </w:p>
          <w:p>
            <w:pPr>
              <w:widowControl/>
              <w:jc w:val="left"/>
              <w:textAlignment w:val="center"/>
              <w:rPr>
                <w:rFonts w:hAnsi="宋体" w:cs="宋体"/>
                <w:color w:val="auto"/>
                <w:sz w:val="20"/>
                <w:szCs w:val="20"/>
              </w:rPr>
            </w:pPr>
            <w:r>
              <w:rPr>
                <w:rFonts w:hint="eastAsia" w:hAnsi="宋体" w:cs="宋体"/>
                <w:color w:val="auto"/>
                <w:sz w:val="20"/>
                <w:szCs w:val="20"/>
                <w:lang w:bidi="ar"/>
              </w:rPr>
              <w:t>5.</w:t>
            </w:r>
            <w:r>
              <w:rPr>
                <w:rStyle w:val="95"/>
                <w:rFonts w:ascii="宋体" w:hAnsi="宋体" w:cs="宋体"/>
                <w:color w:val="auto"/>
                <w:sz w:val="24"/>
                <w:szCs w:val="24"/>
                <w:lang w:bidi="ar"/>
              </w:rPr>
              <w:t xml:space="preserve"> </w:t>
            </w:r>
            <w:r>
              <w:rPr>
                <w:rFonts w:hint="eastAsia" w:hAnsi="宋体" w:cs="宋体"/>
                <w:color w:val="auto"/>
                <w:sz w:val="20"/>
                <w:szCs w:val="20"/>
                <w:lang w:bidi="ar"/>
              </w:rPr>
              <w:t>连接方式: 法兰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Ansi="宋体" w:cs="宋体"/>
                <w:color w:val="auto"/>
                <w:sz w:val="20"/>
                <w:szCs w:val="20"/>
              </w:rPr>
            </w:pPr>
            <w:r>
              <w:rPr>
                <w:rFonts w:hint="eastAsia" w:hAnsi="宋体" w:cs="宋体"/>
                <w:color w:val="auto"/>
                <w:sz w:val="20"/>
                <w:szCs w:val="20"/>
                <w:lang w:bidi="ar"/>
              </w:rPr>
              <w:t>3</w:t>
            </w:r>
          </w:p>
        </w:tc>
      </w:tr>
      <w:tr>
        <w:tblPrEx>
          <w:tblCellMar>
            <w:top w:w="0" w:type="dxa"/>
            <w:left w:w="108" w:type="dxa"/>
            <w:bottom w:w="0" w:type="dxa"/>
            <w:right w:w="108" w:type="dxa"/>
          </w:tblCellMar>
        </w:tblPrEx>
        <w:trPr>
          <w:trHeight w:val="102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Ansi="宋体" w:cs="宋体"/>
                <w:color w:val="auto"/>
                <w:sz w:val="20"/>
                <w:szCs w:val="20"/>
                <w:lang w:bidi="ar"/>
              </w:rPr>
              <w:t>31</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0"/>
                <w:szCs w:val="20"/>
              </w:rPr>
            </w:pPr>
            <w:r>
              <w:rPr>
                <w:rFonts w:hint="eastAsia" w:hAnsi="宋体" w:cs="宋体"/>
                <w:color w:val="auto"/>
                <w:sz w:val="20"/>
                <w:szCs w:val="20"/>
                <w:lang w:bidi="ar"/>
              </w:rPr>
              <w:t>浮球阀</w:t>
            </w:r>
          </w:p>
        </w:tc>
        <w:tc>
          <w:tcPr>
            <w:tcW w:w="5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1.</w:t>
            </w:r>
            <w:r>
              <w:rPr>
                <w:rStyle w:val="95"/>
                <w:rFonts w:ascii="宋体" w:hAnsi="宋体" w:cs="宋体"/>
                <w:color w:val="auto"/>
                <w:sz w:val="24"/>
                <w:szCs w:val="24"/>
                <w:lang w:bidi="ar"/>
              </w:rPr>
              <w:t xml:space="preserve"> </w:t>
            </w:r>
            <w:r>
              <w:rPr>
                <w:rFonts w:hint="eastAsia" w:hAnsi="宋体" w:cs="宋体"/>
                <w:color w:val="auto"/>
                <w:sz w:val="20"/>
                <w:szCs w:val="20"/>
                <w:lang w:bidi="ar"/>
              </w:rPr>
              <w:t>材质: 不锈钢</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2.</w:t>
            </w:r>
            <w:r>
              <w:rPr>
                <w:rStyle w:val="95"/>
                <w:rFonts w:ascii="宋体" w:hAnsi="宋体" w:cs="宋体"/>
                <w:color w:val="auto"/>
                <w:sz w:val="24"/>
                <w:szCs w:val="24"/>
                <w:lang w:bidi="ar"/>
              </w:rPr>
              <w:t xml:space="preserve"> </w:t>
            </w:r>
            <w:r>
              <w:rPr>
                <w:rFonts w:hint="eastAsia" w:hAnsi="宋体" w:cs="宋体"/>
                <w:color w:val="auto"/>
                <w:sz w:val="20"/>
                <w:szCs w:val="20"/>
                <w:lang w:bidi="ar"/>
              </w:rPr>
              <w:t>颜色分类:  4分DN15-快开可调式浮球阀</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3.</w:t>
            </w:r>
            <w:r>
              <w:rPr>
                <w:rStyle w:val="95"/>
                <w:rFonts w:ascii="宋体" w:hAnsi="宋体" w:cs="宋体"/>
                <w:color w:val="auto"/>
                <w:sz w:val="24"/>
                <w:szCs w:val="24"/>
                <w:lang w:bidi="ar"/>
              </w:rPr>
              <w:t xml:space="preserve"> </w:t>
            </w:r>
            <w:r>
              <w:rPr>
                <w:rFonts w:hint="eastAsia" w:hAnsi="宋体" w:cs="宋体"/>
                <w:color w:val="auto"/>
                <w:sz w:val="20"/>
                <w:szCs w:val="20"/>
                <w:lang w:bidi="ar"/>
              </w:rPr>
              <w:t>结构形式: 浮动球球阀</w:t>
            </w:r>
          </w:p>
          <w:p>
            <w:pPr>
              <w:widowControl/>
              <w:jc w:val="left"/>
              <w:textAlignment w:val="center"/>
              <w:rPr>
                <w:rFonts w:hAnsi="宋体" w:cs="宋体"/>
                <w:color w:val="auto"/>
                <w:sz w:val="20"/>
                <w:szCs w:val="20"/>
              </w:rPr>
            </w:pPr>
            <w:r>
              <w:rPr>
                <w:rFonts w:hint="eastAsia" w:hAnsi="宋体" w:cs="宋体"/>
                <w:color w:val="auto"/>
                <w:sz w:val="20"/>
                <w:szCs w:val="20"/>
                <w:lang w:bidi="ar"/>
              </w:rPr>
              <w:t>4.</w:t>
            </w:r>
            <w:r>
              <w:rPr>
                <w:rStyle w:val="95"/>
                <w:rFonts w:ascii="宋体" w:hAnsi="宋体" w:cs="宋体"/>
                <w:color w:val="auto"/>
                <w:sz w:val="24"/>
                <w:szCs w:val="24"/>
                <w:lang w:bidi="ar"/>
              </w:rPr>
              <w:t xml:space="preserve"> </w:t>
            </w:r>
            <w:r>
              <w:rPr>
                <w:rFonts w:hint="eastAsia" w:hAnsi="宋体" w:cs="宋体"/>
                <w:color w:val="auto"/>
                <w:sz w:val="20"/>
                <w:szCs w:val="20"/>
                <w:lang w:bidi="ar"/>
              </w:rPr>
              <w:t>连接方式: 螺纹</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Ansi="宋体" w:cs="宋体"/>
                <w:color w:val="auto"/>
                <w:sz w:val="20"/>
                <w:szCs w:val="20"/>
              </w:rPr>
            </w:pPr>
            <w:r>
              <w:rPr>
                <w:rFonts w:hint="eastAsia" w:hAnsi="宋体" w:cs="宋体"/>
                <w:color w:val="auto"/>
                <w:sz w:val="20"/>
                <w:szCs w:val="20"/>
                <w:lang w:bidi="ar"/>
              </w:rPr>
              <w:t>10</w:t>
            </w:r>
          </w:p>
        </w:tc>
      </w:tr>
      <w:tr>
        <w:tblPrEx>
          <w:tblCellMar>
            <w:top w:w="0" w:type="dxa"/>
            <w:left w:w="108" w:type="dxa"/>
            <w:bottom w:w="0" w:type="dxa"/>
            <w:right w:w="108" w:type="dxa"/>
          </w:tblCellMar>
        </w:tblPrEx>
        <w:trPr>
          <w:trHeight w:val="127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Ansi="宋体" w:cs="宋体"/>
                <w:color w:val="auto"/>
                <w:sz w:val="20"/>
                <w:szCs w:val="20"/>
                <w:lang w:bidi="ar"/>
              </w:rPr>
              <w:t>32</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0"/>
                <w:szCs w:val="20"/>
              </w:rPr>
            </w:pPr>
            <w:r>
              <w:rPr>
                <w:rFonts w:hint="eastAsia" w:hAnsi="宋体" w:cs="宋体"/>
                <w:color w:val="auto"/>
                <w:sz w:val="20"/>
                <w:szCs w:val="20"/>
                <w:lang w:bidi="ar"/>
              </w:rPr>
              <w:t>止回阀（DN100）</w:t>
            </w:r>
          </w:p>
        </w:tc>
        <w:tc>
          <w:tcPr>
            <w:tcW w:w="5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1.</w:t>
            </w:r>
            <w:r>
              <w:rPr>
                <w:rStyle w:val="95"/>
                <w:rFonts w:ascii="宋体" w:hAnsi="宋体" w:cs="宋体"/>
                <w:color w:val="auto"/>
                <w:sz w:val="24"/>
                <w:szCs w:val="24"/>
                <w:lang w:bidi="ar"/>
              </w:rPr>
              <w:t xml:space="preserve"> </w:t>
            </w:r>
            <w:r>
              <w:rPr>
                <w:rFonts w:hint="eastAsia" w:hAnsi="宋体" w:cs="宋体"/>
                <w:color w:val="auto"/>
                <w:sz w:val="20"/>
                <w:szCs w:val="20"/>
                <w:lang w:bidi="ar"/>
              </w:rPr>
              <w:t>型号: 升降式止回阀</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2.</w:t>
            </w:r>
            <w:r>
              <w:rPr>
                <w:rStyle w:val="95"/>
                <w:rFonts w:ascii="宋体" w:hAnsi="宋体" w:cs="宋体"/>
                <w:color w:val="auto"/>
                <w:sz w:val="24"/>
                <w:szCs w:val="24"/>
                <w:lang w:bidi="ar"/>
              </w:rPr>
              <w:t xml:space="preserve"> </w:t>
            </w:r>
            <w:r>
              <w:rPr>
                <w:rFonts w:hint="eastAsia" w:hAnsi="宋体" w:cs="宋体"/>
                <w:color w:val="auto"/>
                <w:sz w:val="20"/>
                <w:szCs w:val="20"/>
                <w:lang w:bidi="ar"/>
              </w:rPr>
              <w:t>材质: 铸钢</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3.</w:t>
            </w:r>
            <w:r>
              <w:rPr>
                <w:rStyle w:val="95"/>
                <w:rFonts w:ascii="宋体" w:hAnsi="宋体" w:cs="宋体"/>
                <w:color w:val="auto"/>
                <w:sz w:val="24"/>
                <w:szCs w:val="24"/>
                <w:lang w:bidi="ar"/>
              </w:rPr>
              <w:t xml:space="preserve"> </w:t>
            </w:r>
            <w:r>
              <w:rPr>
                <w:rFonts w:hint="eastAsia" w:hAnsi="宋体" w:cs="宋体"/>
                <w:color w:val="auto"/>
                <w:sz w:val="20"/>
                <w:szCs w:val="20"/>
                <w:lang w:bidi="ar"/>
              </w:rPr>
              <w:t>分类:  DN100</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4.</w:t>
            </w:r>
            <w:r>
              <w:rPr>
                <w:rStyle w:val="95"/>
                <w:rFonts w:ascii="宋体" w:hAnsi="宋体" w:cs="宋体"/>
                <w:color w:val="auto"/>
                <w:sz w:val="24"/>
                <w:szCs w:val="24"/>
                <w:lang w:bidi="ar"/>
              </w:rPr>
              <w:t xml:space="preserve"> </w:t>
            </w:r>
            <w:r>
              <w:rPr>
                <w:rFonts w:hint="eastAsia" w:hAnsi="宋体" w:cs="宋体"/>
                <w:color w:val="auto"/>
                <w:sz w:val="20"/>
                <w:szCs w:val="20"/>
                <w:lang w:bidi="ar"/>
              </w:rPr>
              <w:t>阀门结构形式: 升降式</w:t>
            </w:r>
          </w:p>
          <w:p>
            <w:pPr>
              <w:widowControl/>
              <w:jc w:val="left"/>
              <w:textAlignment w:val="center"/>
              <w:rPr>
                <w:rFonts w:hAnsi="宋体" w:cs="宋体"/>
                <w:color w:val="auto"/>
                <w:sz w:val="20"/>
                <w:szCs w:val="20"/>
              </w:rPr>
            </w:pPr>
            <w:r>
              <w:rPr>
                <w:rFonts w:hint="eastAsia" w:hAnsi="宋体" w:cs="宋体"/>
                <w:color w:val="auto"/>
                <w:sz w:val="20"/>
                <w:szCs w:val="20"/>
                <w:lang w:bidi="ar"/>
              </w:rPr>
              <w:t>5.</w:t>
            </w:r>
            <w:r>
              <w:rPr>
                <w:rStyle w:val="95"/>
                <w:rFonts w:ascii="宋体" w:hAnsi="宋体" w:cs="宋体"/>
                <w:color w:val="auto"/>
                <w:sz w:val="24"/>
                <w:szCs w:val="24"/>
                <w:lang w:bidi="ar"/>
              </w:rPr>
              <w:t xml:space="preserve"> </w:t>
            </w:r>
            <w:r>
              <w:rPr>
                <w:rFonts w:hint="eastAsia" w:hAnsi="宋体" w:cs="宋体"/>
                <w:color w:val="auto"/>
                <w:sz w:val="20"/>
                <w:szCs w:val="20"/>
                <w:lang w:bidi="ar"/>
              </w:rPr>
              <w:t>连接方式: 法兰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Ansi="宋体" w:cs="宋体"/>
                <w:color w:val="auto"/>
                <w:sz w:val="20"/>
                <w:szCs w:val="20"/>
              </w:rPr>
            </w:pPr>
            <w:r>
              <w:rPr>
                <w:rFonts w:hint="eastAsia" w:hAnsi="宋体" w:cs="宋体"/>
                <w:color w:val="auto"/>
                <w:sz w:val="20"/>
                <w:szCs w:val="20"/>
                <w:lang w:bidi="ar"/>
              </w:rPr>
              <w:t>3</w:t>
            </w:r>
          </w:p>
        </w:tc>
      </w:tr>
      <w:tr>
        <w:tblPrEx>
          <w:tblCellMar>
            <w:top w:w="0" w:type="dxa"/>
            <w:left w:w="108" w:type="dxa"/>
            <w:bottom w:w="0" w:type="dxa"/>
            <w:right w:w="108" w:type="dxa"/>
          </w:tblCellMar>
        </w:tblPrEx>
        <w:trPr>
          <w:trHeight w:val="168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Ansi="宋体" w:cs="宋体"/>
                <w:color w:val="auto"/>
                <w:sz w:val="20"/>
                <w:szCs w:val="20"/>
                <w:lang w:bidi="ar"/>
              </w:rPr>
              <w:t>33</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0"/>
                <w:szCs w:val="20"/>
              </w:rPr>
            </w:pPr>
            <w:r>
              <w:rPr>
                <w:rFonts w:hint="eastAsia" w:hAnsi="宋体" w:cs="宋体"/>
                <w:color w:val="auto"/>
                <w:sz w:val="20"/>
                <w:szCs w:val="20"/>
                <w:lang w:bidi="ar"/>
              </w:rPr>
              <w:t>消防水力警铃</w:t>
            </w:r>
          </w:p>
        </w:tc>
        <w:tc>
          <w:tcPr>
            <w:tcW w:w="5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1.水力警铃的启动报警压力：小于05MPa；额定工作压力：1.2MPa</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2.水力警铃的流量K系数：5.4</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3.水力警铃声的报警声响：在05MPa时，大于70dB；在0.2MPa时，大于85dB</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4.接口螺纹：R23/4″</w:t>
            </w:r>
          </w:p>
          <w:p>
            <w:pPr>
              <w:widowControl/>
              <w:jc w:val="left"/>
              <w:textAlignment w:val="center"/>
              <w:rPr>
                <w:rFonts w:hAnsi="宋体" w:cs="宋体"/>
                <w:color w:val="auto"/>
                <w:sz w:val="20"/>
                <w:szCs w:val="20"/>
              </w:rPr>
            </w:pPr>
            <w:r>
              <w:rPr>
                <w:rFonts w:hint="eastAsia" w:hAnsi="宋体" w:cs="宋体"/>
                <w:color w:val="auto"/>
                <w:sz w:val="20"/>
                <w:szCs w:val="20"/>
                <w:lang w:bidi="ar"/>
              </w:rPr>
              <w:t>5.水力警铃结构及外形尺寸</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Ansi="宋体" w:cs="宋体"/>
                <w:color w:val="auto"/>
                <w:sz w:val="20"/>
                <w:szCs w:val="20"/>
              </w:rPr>
            </w:pPr>
            <w:r>
              <w:rPr>
                <w:rFonts w:hint="eastAsia" w:hAnsi="宋体" w:cs="宋体"/>
                <w:color w:val="auto"/>
                <w:sz w:val="20"/>
                <w:szCs w:val="20"/>
                <w:lang w:bidi="ar"/>
              </w:rPr>
              <w:t>2</w:t>
            </w:r>
          </w:p>
        </w:tc>
      </w:tr>
      <w:tr>
        <w:tblPrEx>
          <w:tblCellMar>
            <w:top w:w="0" w:type="dxa"/>
            <w:left w:w="108" w:type="dxa"/>
            <w:bottom w:w="0" w:type="dxa"/>
            <w:right w:w="108" w:type="dxa"/>
          </w:tblCellMar>
        </w:tblPrEx>
        <w:trPr>
          <w:trHeight w:val="72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Ansi="宋体" w:cs="宋体"/>
                <w:color w:val="auto"/>
                <w:sz w:val="20"/>
                <w:szCs w:val="20"/>
                <w:lang w:bidi="ar"/>
              </w:rPr>
              <w:t>34</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0"/>
                <w:szCs w:val="20"/>
              </w:rPr>
            </w:pPr>
            <w:r>
              <w:rPr>
                <w:rFonts w:hint="eastAsia" w:hAnsi="宋体" w:cs="宋体"/>
                <w:color w:val="auto"/>
                <w:sz w:val="20"/>
                <w:szCs w:val="20"/>
                <w:lang w:bidi="ar"/>
              </w:rPr>
              <w:t>镀锌钢管</w:t>
            </w:r>
          </w:p>
        </w:tc>
        <w:tc>
          <w:tcPr>
            <w:tcW w:w="5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0"/>
                <w:szCs w:val="20"/>
                <w:lang w:bidi="ar"/>
              </w:rPr>
            </w:pPr>
            <w:r>
              <w:rPr>
                <w:rFonts w:hint="eastAsia" w:hAnsi="宋体" w:cs="宋体"/>
                <w:color w:val="auto"/>
                <w:sz w:val="20"/>
                <w:szCs w:val="20"/>
                <w:lang w:bidi="ar"/>
              </w:rPr>
              <w:t>1.型号: DN65                                            2.外径： 76.1±</w:t>
            </w:r>
            <w:r>
              <w:rPr>
                <w:rFonts w:hAnsi="宋体" w:cs="宋体"/>
                <w:color w:val="auto"/>
                <w:sz w:val="20"/>
                <w:szCs w:val="20"/>
                <w:lang w:bidi="ar"/>
              </w:rPr>
              <w:t>3</w:t>
            </w:r>
            <w:r>
              <w:rPr>
                <w:rFonts w:hint="eastAsia" w:hAnsi="宋体" w:cs="宋体"/>
                <w:color w:val="auto"/>
                <w:sz w:val="20"/>
                <w:szCs w:val="20"/>
                <w:lang w:bidi="ar"/>
              </w:rPr>
              <w:t xml:space="preserve">mm                                 </w:t>
            </w:r>
          </w:p>
          <w:p>
            <w:pPr>
              <w:widowControl/>
              <w:jc w:val="left"/>
              <w:textAlignment w:val="center"/>
              <w:rPr>
                <w:rFonts w:hAnsi="宋体" w:cs="宋体"/>
                <w:color w:val="auto"/>
                <w:sz w:val="20"/>
                <w:szCs w:val="20"/>
              </w:rPr>
            </w:pPr>
            <w:r>
              <w:rPr>
                <w:rFonts w:hint="eastAsia" w:hAnsi="宋体" w:cs="宋体"/>
                <w:color w:val="auto"/>
                <w:sz w:val="20"/>
                <w:szCs w:val="20"/>
                <w:lang w:bidi="ar"/>
              </w:rPr>
              <w:t>3.壁厚：3±</w:t>
            </w:r>
            <w:r>
              <w:rPr>
                <w:rFonts w:hAnsi="宋体" w:cs="宋体"/>
                <w:color w:val="auto"/>
                <w:sz w:val="20"/>
                <w:szCs w:val="20"/>
                <w:lang w:bidi="ar"/>
              </w:rPr>
              <w:t>0.5</w:t>
            </w:r>
            <w:r>
              <w:rPr>
                <w:rFonts w:hint="eastAsia" w:hAnsi="宋体" w:cs="宋体"/>
                <w:color w:val="auto"/>
                <w:sz w:val="20"/>
                <w:szCs w:val="20"/>
                <w:lang w:bidi="ar"/>
              </w:rPr>
              <w:t xml:space="preserve">mm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Ansi="宋体" w:cs="宋体"/>
                <w:color w:val="auto"/>
                <w:sz w:val="20"/>
                <w:szCs w:val="20"/>
              </w:rPr>
            </w:pPr>
            <w:r>
              <w:rPr>
                <w:rFonts w:hint="eastAsia" w:hAnsi="宋体" w:cs="宋体"/>
                <w:color w:val="auto"/>
                <w:sz w:val="20"/>
                <w:szCs w:val="20"/>
                <w:lang w:bidi="ar"/>
              </w:rPr>
              <w:t>60</w:t>
            </w:r>
          </w:p>
        </w:tc>
      </w:tr>
      <w:tr>
        <w:tblPrEx>
          <w:tblCellMar>
            <w:top w:w="0" w:type="dxa"/>
            <w:left w:w="108" w:type="dxa"/>
            <w:bottom w:w="0" w:type="dxa"/>
            <w:right w:w="108" w:type="dxa"/>
          </w:tblCellMar>
        </w:tblPrEx>
        <w:trPr>
          <w:trHeight w:val="102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Ansi="宋体" w:cs="宋体"/>
                <w:color w:val="auto"/>
                <w:sz w:val="20"/>
                <w:szCs w:val="20"/>
                <w:lang w:bidi="ar"/>
              </w:rPr>
              <w:t>35</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0"/>
                <w:szCs w:val="20"/>
              </w:rPr>
            </w:pPr>
            <w:r>
              <w:rPr>
                <w:rFonts w:hint="eastAsia" w:hAnsi="宋体" w:cs="宋体"/>
                <w:color w:val="auto"/>
                <w:sz w:val="20"/>
                <w:szCs w:val="20"/>
                <w:lang w:bidi="ar"/>
              </w:rPr>
              <w:t>110U型卡</w:t>
            </w:r>
          </w:p>
        </w:tc>
        <w:tc>
          <w:tcPr>
            <w:tcW w:w="5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1.</w:t>
            </w:r>
            <w:r>
              <w:rPr>
                <w:rStyle w:val="95"/>
                <w:rFonts w:ascii="宋体" w:hAnsi="宋体" w:cs="宋体"/>
                <w:color w:val="auto"/>
                <w:sz w:val="24"/>
                <w:szCs w:val="24"/>
                <w:lang w:bidi="ar"/>
              </w:rPr>
              <w:t xml:space="preserve"> </w:t>
            </w:r>
            <w:r>
              <w:rPr>
                <w:rFonts w:hint="eastAsia" w:hAnsi="宋体" w:cs="宋体"/>
                <w:color w:val="auto"/>
                <w:sz w:val="20"/>
                <w:szCs w:val="20"/>
                <w:lang w:bidi="ar"/>
              </w:rPr>
              <w:t>型号: U 型螺丝</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2.</w:t>
            </w:r>
            <w:r>
              <w:rPr>
                <w:rStyle w:val="95"/>
                <w:rFonts w:ascii="宋体" w:hAnsi="宋体" w:cs="宋体"/>
                <w:color w:val="auto"/>
                <w:sz w:val="24"/>
                <w:szCs w:val="24"/>
                <w:lang w:bidi="ar"/>
              </w:rPr>
              <w:t xml:space="preserve"> </w:t>
            </w:r>
            <w:r>
              <w:rPr>
                <w:rFonts w:hint="eastAsia" w:hAnsi="宋体" w:cs="宋体"/>
                <w:color w:val="auto"/>
                <w:sz w:val="20"/>
                <w:szCs w:val="20"/>
                <w:lang w:bidi="ar"/>
              </w:rPr>
              <w:t>材质: 铁</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3.</w:t>
            </w:r>
            <w:r>
              <w:rPr>
                <w:rStyle w:val="95"/>
                <w:rFonts w:ascii="宋体" w:hAnsi="宋体" w:cs="宋体"/>
                <w:color w:val="auto"/>
                <w:sz w:val="24"/>
                <w:szCs w:val="24"/>
                <w:lang w:bidi="ar"/>
              </w:rPr>
              <w:t xml:space="preserve"> </w:t>
            </w:r>
            <w:r>
              <w:rPr>
                <w:rFonts w:hint="eastAsia" w:hAnsi="宋体" w:cs="宋体"/>
                <w:color w:val="auto"/>
                <w:sz w:val="20"/>
                <w:szCs w:val="20"/>
                <w:lang w:bidi="ar"/>
              </w:rPr>
              <w:t xml:space="preserve">分类: M12*内宽114*总高180 </w:t>
            </w:r>
          </w:p>
          <w:p>
            <w:pPr>
              <w:widowControl/>
              <w:jc w:val="left"/>
              <w:textAlignment w:val="center"/>
              <w:rPr>
                <w:rFonts w:hAnsi="宋体" w:cs="宋体"/>
                <w:color w:val="auto"/>
                <w:sz w:val="20"/>
                <w:szCs w:val="20"/>
              </w:rPr>
            </w:pPr>
            <w:r>
              <w:rPr>
                <w:rFonts w:hint="eastAsia" w:hAnsi="宋体" w:cs="宋体"/>
                <w:color w:val="auto"/>
                <w:sz w:val="20"/>
                <w:szCs w:val="20"/>
                <w:lang w:bidi="ar"/>
              </w:rPr>
              <w:t>4.</w:t>
            </w:r>
            <w:r>
              <w:rPr>
                <w:rStyle w:val="95"/>
                <w:rFonts w:ascii="宋体" w:hAnsi="宋体" w:cs="宋体"/>
                <w:color w:val="auto"/>
                <w:sz w:val="24"/>
                <w:szCs w:val="24"/>
                <w:lang w:bidi="ar"/>
              </w:rPr>
              <w:t xml:space="preserve"> </w:t>
            </w:r>
            <w:r>
              <w:rPr>
                <w:rFonts w:hint="eastAsia" w:hAnsi="宋体" w:cs="宋体"/>
                <w:color w:val="auto"/>
                <w:sz w:val="20"/>
                <w:szCs w:val="20"/>
                <w:lang w:bidi="ar"/>
              </w:rPr>
              <w:t>表面处理: 镀锌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Ansi="宋体" w:cs="宋体"/>
                <w:color w:val="auto"/>
                <w:sz w:val="20"/>
                <w:szCs w:val="20"/>
              </w:rPr>
            </w:pPr>
            <w:r>
              <w:rPr>
                <w:rFonts w:hint="eastAsia" w:hAnsi="宋体" w:cs="宋体"/>
                <w:color w:val="auto"/>
                <w:sz w:val="20"/>
                <w:szCs w:val="20"/>
                <w:lang w:bidi="ar"/>
              </w:rPr>
              <w:t>80</w:t>
            </w:r>
          </w:p>
        </w:tc>
      </w:tr>
      <w:tr>
        <w:tblPrEx>
          <w:tblCellMar>
            <w:top w:w="0" w:type="dxa"/>
            <w:left w:w="108" w:type="dxa"/>
            <w:bottom w:w="0" w:type="dxa"/>
            <w:right w:w="108" w:type="dxa"/>
          </w:tblCellMar>
        </w:tblPrEx>
        <w:trPr>
          <w:trHeight w:val="102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Ansi="宋体" w:cs="宋体"/>
                <w:color w:val="auto"/>
                <w:sz w:val="20"/>
                <w:szCs w:val="20"/>
                <w:lang w:bidi="ar"/>
              </w:rPr>
              <w:t>36</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0"/>
                <w:szCs w:val="20"/>
              </w:rPr>
            </w:pPr>
            <w:r>
              <w:rPr>
                <w:rFonts w:hint="eastAsia" w:hAnsi="宋体" w:cs="宋体"/>
                <w:color w:val="auto"/>
                <w:sz w:val="20"/>
                <w:szCs w:val="20"/>
                <w:lang w:bidi="ar"/>
              </w:rPr>
              <w:t>65U型卡</w:t>
            </w:r>
          </w:p>
        </w:tc>
        <w:tc>
          <w:tcPr>
            <w:tcW w:w="5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1.</w:t>
            </w:r>
            <w:r>
              <w:rPr>
                <w:rStyle w:val="95"/>
                <w:rFonts w:ascii="宋体" w:hAnsi="宋体" w:cs="宋体"/>
                <w:color w:val="auto"/>
                <w:sz w:val="24"/>
                <w:szCs w:val="24"/>
                <w:lang w:bidi="ar"/>
              </w:rPr>
              <w:t xml:space="preserve"> </w:t>
            </w:r>
            <w:r>
              <w:rPr>
                <w:rFonts w:hint="eastAsia" w:hAnsi="宋体" w:cs="宋体"/>
                <w:color w:val="auto"/>
                <w:sz w:val="20"/>
                <w:szCs w:val="20"/>
                <w:lang w:bidi="ar"/>
              </w:rPr>
              <w:t>型号: U 型螺丝</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2.</w:t>
            </w:r>
            <w:r>
              <w:rPr>
                <w:rStyle w:val="95"/>
                <w:rFonts w:ascii="宋体" w:hAnsi="宋体" w:cs="宋体"/>
                <w:color w:val="auto"/>
                <w:sz w:val="24"/>
                <w:szCs w:val="24"/>
                <w:lang w:bidi="ar"/>
              </w:rPr>
              <w:t xml:space="preserve"> </w:t>
            </w:r>
            <w:r>
              <w:rPr>
                <w:rFonts w:hint="eastAsia" w:hAnsi="宋体" w:cs="宋体"/>
                <w:color w:val="auto"/>
                <w:sz w:val="20"/>
                <w:szCs w:val="20"/>
                <w:lang w:bidi="ar"/>
              </w:rPr>
              <w:t>材质: 铁</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3.</w:t>
            </w:r>
            <w:r>
              <w:rPr>
                <w:rStyle w:val="95"/>
                <w:rFonts w:ascii="宋体" w:hAnsi="宋体" w:cs="宋体"/>
                <w:color w:val="auto"/>
                <w:sz w:val="24"/>
                <w:szCs w:val="24"/>
                <w:lang w:bidi="ar"/>
              </w:rPr>
              <w:t xml:space="preserve"> </w:t>
            </w:r>
            <w:r>
              <w:rPr>
                <w:rFonts w:hint="eastAsia" w:hAnsi="宋体" w:cs="宋体"/>
                <w:color w:val="auto"/>
                <w:sz w:val="20"/>
                <w:szCs w:val="20"/>
                <w:lang w:bidi="ar"/>
              </w:rPr>
              <w:t xml:space="preserve">颜色分类: M12*65*200 </w:t>
            </w:r>
          </w:p>
          <w:p>
            <w:pPr>
              <w:widowControl/>
              <w:jc w:val="left"/>
              <w:textAlignment w:val="center"/>
              <w:rPr>
                <w:rFonts w:hAnsi="宋体" w:cs="宋体"/>
                <w:color w:val="auto"/>
                <w:sz w:val="20"/>
                <w:szCs w:val="20"/>
              </w:rPr>
            </w:pPr>
            <w:r>
              <w:rPr>
                <w:rFonts w:hint="eastAsia" w:hAnsi="宋体" w:cs="宋体"/>
                <w:color w:val="auto"/>
                <w:sz w:val="20"/>
                <w:szCs w:val="20"/>
                <w:lang w:bidi="ar"/>
              </w:rPr>
              <w:t>4.</w:t>
            </w:r>
            <w:r>
              <w:rPr>
                <w:rStyle w:val="95"/>
                <w:rFonts w:ascii="宋体" w:hAnsi="宋体" w:cs="宋体"/>
                <w:color w:val="auto"/>
                <w:sz w:val="24"/>
                <w:szCs w:val="24"/>
                <w:lang w:bidi="ar"/>
              </w:rPr>
              <w:t xml:space="preserve"> </w:t>
            </w:r>
            <w:r>
              <w:rPr>
                <w:rFonts w:hint="eastAsia" w:hAnsi="宋体" w:cs="宋体"/>
                <w:color w:val="auto"/>
                <w:sz w:val="20"/>
                <w:szCs w:val="20"/>
                <w:lang w:bidi="ar"/>
              </w:rPr>
              <w:t>表面处理: 镀锌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Ansi="宋体" w:cs="宋体"/>
                <w:color w:val="auto"/>
                <w:sz w:val="20"/>
                <w:szCs w:val="20"/>
              </w:rPr>
            </w:pPr>
            <w:r>
              <w:rPr>
                <w:rFonts w:hint="eastAsia" w:hAnsi="宋体" w:cs="宋体"/>
                <w:color w:val="auto"/>
                <w:sz w:val="20"/>
                <w:szCs w:val="20"/>
                <w:lang w:bidi="ar"/>
              </w:rPr>
              <w:t>12</w:t>
            </w:r>
          </w:p>
        </w:tc>
      </w:tr>
      <w:tr>
        <w:tblPrEx>
          <w:tblCellMar>
            <w:top w:w="0" w:type="dxa"/>
            <w:left w:w="108" w:type="dxa"/>
            <w:bottom w:w="0" w:type="dxa"/>
            <w:right w:w="108" w:type="dxa"/>
          </w:tblCellMar>
        </w:tblPrEx>
        <w:trPr>
          <w:trHeight w:val="72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Ansi="宋体" w:cs="宋体"/>
                <w:color w:val="auto"/>
                <w:sz w:val="20"/>
                <w:szCs w:val="20"/>
                <w:lang w:bidi="ar"/>
              </w:rPr>
              <w:t>37</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0"/>
                <w:szCs w:val="20"/>
              </w:rPr>
            </w:pPr>
            <w:r>
              <w:rPr>
                <w:rFonts w:hint="eastAsia" w:hAnsi="宋体" w:cs="宋体"/>
                <w:color w:val="auto"/>
                <w:sz w:val="20"/>
                <w:szCs w:val="20"/>
                <w:lang w:bidi="ar"/>
              </w:rPr>
              <w:t>镀锌钢管</w:t>
            </w:r>
          </w:p>
        </w:tc>
        <w:tc>
          <w:tcPr>
            <w:tcW w:w="5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0"/>
                <w:szCs w:val="20"/>
                <w:lang w:bidi="ar"/>
              </w:rPr>
            </w:pPr>
            <w:r>
              <w:rPr>
                <w:rFonts w:hint="eastAsia" w:hAnsi="宋体" w:cs="宋体"/>
                <w:color w:val="auto"/>
                <w:sz w:val="20"/>
                <w:szCs w:val="20"/>
                <w:lang w:bidi="ar"/>
              </w:rPr>
              <w:t>1.型号: DN100                                            2.外径：114.3±</w:t>
            </w:r>
            <w:r>
              <w:rPr>
                <w:rFonts w:hAnsi="宋体" w:cs="宋体"/>
                <w:color w:val="auto"/>
                <w:sz w:val="20"/>
                <w:szCs w:val="20"/>
                <w:lang w:bidi="ar"/>
              </w:rPr>
              <w:t>3</w:t>
            </w:r>
            <w:r>
              <w:rPr>
                <w:rFonts w:hint="eastAsia" w:hAnsi="宋体" w:cs="宋体"/>
                <w:color w:val="auto"/>
                <w:sz w:val="20"/>
                <w:szCs w:val="20"/>
                <w:lang w:bidi="ar"/>
              </w:rPr>
              <w:t xml:space="preserve">mm                                 </w:t>
            </w:r>
          </w:p>
          <w:p>
            <w:pPr>
              <w:widowControl/>
              <w:jc w:val="left"/>
              <w:textAlignment w:val="center"/>
              <w:rPr>
                <w:rFonts w:hAnsi="宋体" w:cs="宋体"/>
                <w:color w:val="auto"/>
                <w:sz w:val="20"/>
                <w:szCs w:val="20"/>
              </w:rPr>
            </w:pPr>
            <w:r>
              <w:rPr>
                <w:rFonts w:hint="eastAsia" w:hAnsi="宋体" w:cs="宋体"/>
                <w:color w:val="auto"/>
                <w:sz w:val="20"/>
                <w:szCs w:val="20"/>
                <w:lang w:bidi="ar"/>
              </w:rPr>
              <w:t>3.壁厚：3.5±0</w:t>
            </w:r>
            <w:r>
              <w:rPr>
                <w:rFonts w:hAnsi="宋体" w:cs="宋体"/>
                <w:color w:val="auto"/>
                <w:sz w:val="20"/>
                <w:szCs w:val="20"/>
                <w:lang w:bidi="ar"/>
              </w:rPr>
              <w:t>.5</w:t>
            </w:r>
            <w:r>
              <w:rPr>
                <w:rFonts w:hint="eastAsia" w:hAnsi="宋体" w:cs="宋体"/>
                <w:color w:val="auto"/>
                <w:sz w:val="20"/>
                <w:szCs w:val="20"/>
                <w:lang w:bidi="ar"/>
              </w:rPr>
              <w:t xml:space="preserve">mm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Ansi="宋体" w:cs="宋体"/>
                <w:color w:val="auto"/>
                <w:sz w:val="20"/>
                <w:szCs w:val="20"/>
              </w:rPr>
            </w:pPr>
            <w:r>
              <w:rPr>
                <w:rFonts w:hint="eastAsia" w:hAnsi="宋体" w:cs="宋体"/>
                <w:color w:val="auto"/>
                <w:sz w:val="20"/>
                <w:szCs w:val="20"/>
                <w:lang w:bidi="ar"/>
              </w:rPr>
              <w:t>250</w:t>
            </w:r>
          </w:p>
        </w:tc>
      </w:tr>
      <w:tr>
        <w:tblPrEx>
          <w:tblCellMar>
            <w:top w:w="0" w:type="dxa"/>
            <w:left w:w="108" w:type="dxa"/>
            <w:bottom w:w="0" w:type="dxa"/>
            <w:right w:w="108" w:type="dxa"/>
          </w:tblCellMar>
        </w:tblPrEx>
        <w:trPr>
          <w:trHeight w:val="48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Ansi="宋体" w:cs="宋体"/>
                <w:color w:val="auto"/>
                <w:sz w:val="20"/>
                <w:szCs w:val="20"/>
                <w:lang w:bidi="ar"/>
              </w:rPr>
              <w:t>38</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0"/>
                <w:szCs w:val="20"/>
              </w:rPr>
            </w:pPr>
            <w:r>
              <w:rPr>
                <w:rFonts w:hint="eastAsia" w:hAnsi="宋体" w:cs="宋体"/>
                <w:color w:val="auto"/>
                <w:sz w:val="20"/>
                <w:szCs w:val="20"/>
                <w:lang w:bidi="ar"/>
              </w:rPr>
              <w:t xml:space="preserve">消防水箱 </w:t>
            </w:r>
          </w:p>
        </w:tc>
        <w:tc>
          <w:tcPr>
            <w:tcW w:w="5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0"/>
                <w:szCs w:val="20"/>
                <w:lang w:bidi="ar"/>
              </w:rPr>
            </w:pPr>
            <w:r>
              <w:rPr>
                <w:rFonts w:hint="eastAsia" w:hAnsi="宋体" w:cs="宋体"/>
                <w:color w:val="auto"/>
                <w:sz w:val="20"/>
                <w:szCs w:val="20"/>
                <w:lang w:bidi="ar"/>
              </w:rPr>
              <w:t xml:space="preserve">1.型号:不锈钢                                   </w:t>
            </w:r>
          </w:p>
          <w:p>
            <w:pPr>
              <w:widowControl/>
              <w:jc w:val="left"/>
              <w:textAlignment w:val="center"/>
              <w:rPr>
                <w:rFonts w:hAnsi="宋体" w:cs="宋体"/>
                <w:color w:val="auto"/>
                <w:sz w:val="20"/>
                <w:szCs w:val="20"/>
              </w:rPr>
            </w:pPr>
            <w:r>
              <w:rPr>
                <w:rFonts w:hint="eastAsia" w:hAnsi="宋体" w:cs="宋体"/>
                <w:color w:val="auto"/>
                <w:sz w:val="20"/>
                <w:szCs w:val="20"/>
                <w:lang w:bidi="ar"/>
              </w:rPr>
              <w:t>2.体积：24m³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座</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Ansi="宋体" w:cs="宋体"/>
                <w:color w:val="auto"/>
                <w:sz w:val="20"/>
                <w:szCs w:val="20"/>
              </w:rPr>
            </w:pPr>
            <w:r>
              <w:rPr>
                <w:rFonts w:hint="eastAsia" w:hAnsi="宋体" w:cs="宋体"/>
                <w:color w:val="auto"/>
                <w:sz w:val="20"/>
                <w:szCs w:val="20"/>
                <w:lang w:bidi="ar"/>
              </w:rPr>
              <w:t>1</w:t>
            </w:r>
          </w:p>
        </w:tc>
      </w:tr>
      <w:tr>
        <w:tblPrEx>
          <w:tblCellMar>
            <w:top w:w="0" w:type="dxa"/>
            <w:left w:w="108" w:type="dxa"/>
            <w:bottom w:w="0" w:type="dxa"/>
            <w:right w:w="108" w:type="dxa"/>
          </w:tblCellMar>
        </w:tblPrEx>
        <w:trPr>
          <w:trHeight w:val="384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Ansi="宋体" w:cs="宋体"/>
                <w:color w:val="auto"/>
                <w:sz w:val="20"/>
                <w:szCs w:val="20"/>
                <w:lang w:bidi="ar"/>
              </w:rPr>
              <w:t>39</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电流传感器</w:t>
            </w:r>
          </w:p>
        </w:tc>
        <w:tc>
          <w:tcPr>
            <w:tcW w:w="5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1.额定工作电压：DC24V</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2.工作电压范围：DC12V-28V</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3.静态功耗：≤50mW</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4.电压输入范围：三相四线制，相电压20-400V</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5.电流输入范围：AC0.2A-5A</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6.测量精度：3%</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7.通讯：二总线通讯协议</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8.有效通讯距离≤1500m</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9.安装方式：导轨式安装</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10.工作温度范围：-40°C～55°C</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11.储存温度范围：-45°C～85°C</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12.相对湿度、温度：20°C以下湿度90%不结露</w:t>
            </w:r>
          </w:p>
          <w:p>
            <w:pPr>
              <w:widowControl/>
              <w:jc w:val="left"/>
              <w:textAlignment w:val="center"/>
              <w:rPr>
                <w:rFonts w:hAnsi="宋体" w:cs="宋体"/>
                <w:color w:val="auto"/>
                <w:sz w:val="20"/>
                <w:szCs w:val="20"/>
              </w:rPr>
            </w:pPr>
            <w:r>
              <w:rPr>
                <w:rFonts w:hint="eastAsia" w:hAnsi="宋体" w:cs="宋体"/>
                <w:color w:val="auto"/>
                <w:sz w:val="20"/>
                <w:szCs w:val="20"/>
                <w:lang w:bidi="ar"/>
              </w:rPr>
              <w:t>13.防护等级：≥IP30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11</w:t>
            </w:r>
          </w:p>
        </w:tc>
      </w:tr>
      <w:tr>
        <w:tblPrEx>
          <w:tblCellMar>
            <w:top w:w="0" w:type="dxa"/>
            <w:left w:w="108" w:type="dxa"/>
            <w:bottom w:w="0" w:type="dxa"/>
            <w:right w:w="108" w:type="dxa"/>
          </w:tblCellMar>
        </w:tblPrEx>
        <w:trPr>
          <w:trHeight w:val="102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Ansi="宋体" w:cs="宋体"/>
                <w:color w:val="auto"/>
                <w:sz w:val="20"/>
                <w:szCs w:val="20"/>
                <w:lang w:bidi="ar"/>
              </w:rPr>
              <w:t>40</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0"/>
                <w:szCs w:val="20"/>
              </w:rPr>
            </w:pPr>
            <w:r>
              <w:rPr>
                <w:rFonts w:hint="eastAsia" w:hAnsi="宋体" w:cs="宋体"/>
                <w:color w:val="auto"/>
                <w:sz w:val="20"/>
                <w:szCs w:val="20"/>
                <w:lang w:bidi="ar"/>
              </w:rPr>
              <w:t>低压螺纹球阀</w:t>
            </w:r>
          </w:p>
        </w:tc>
        <w:tc>
          <w:tcPr>
            <w:tcW w:w="5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1.</w:t>
            </w:r>
            <w:r>
              <w:rPr>
                <w:rStyle w:val="95"/>
                <w:rFonts w:ascii="宋体" w:hAnsi="宋体" w:cs="宋体"/>
                <w:color w:val="auto"/>
                <w:sz w:val="24"/>
                <w:szCs w:val="24"/>
                <w:lang w:bidi="ar"/>
              </w:rPr>
              <w:t xml:space="preserve"> </w:t>
            </w:r>
            <w:r>
              <w:rPr>
                <w:rFonts w:hint="eastAsia" w:hAnsi="宋体" w:cs="宋体"/>
                <w:color w:val="auto"/>
                <w:sz w:val="20"/>
                <w:szCs w:val="20"/>
                <w:lang w:bidi="ar"/>
              </w:rPr>
              <w:t>材质: 铜</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2.</w:t>
            </w:r>
            <w:r>
              <w:rPr>
                <w:rStyle w:val="95"/>
                <w:rFonts w:ascii="宋体" w:hAnsi="宋体" w:cs="宋体"/>
                <w:color w:val="auto"/>
                <w:sz w:val="24"/>
                <w:szCs w:val="24"/>
                <w:lang w:bidi="ar"/>
              </w:rPr>
              <w:t xml:space="preserve"> </w:t>
            </w:r>
            <w:r>
              <w:rPr>
                <w:rFonts w:hint="eastAsia" w:hAnsi="宋体" w:cs="宋体"/>
                <w:color w:val="auto"/>
                <w:sz w:val="20"/>
                <w:szCs w:val="20"/>
                <w:lang w:bidi="ar"/>
              </w:rPr>
              <w:t>分类:  4分轻型</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3.</w:t>
            </w:r>
            <w:r>
              <w:rPr>
                <w:rStyle w:val="95"/>
                <w:rFonts w:ascii="宋体" w:hAnsi="宋体" w:cs="宋体"/>
                <w:color w:val="auto"/>
                <w:sz w:val="24"/>
                <w:szCs w:val="24"/>
                <w:lang w:bidi="ar"/>
              </w:rPr>
              <w:t xml:space="preserve"> </w:t>
            </w:r>
            <w:r>
              <w:rPr>
                <w:rFonts w:hint="eastAsia" w:hAnsi="宋体" w:cs="宋体"/>
                <w:color w:val="auto"/>
                <w:sz w:val="20"/>
                <w:szCs w:val="20"/>
                <w:lang w:bidi="ar"/>
              </w:rPr>
              <w:t>结构形式: 直通式</w:t>
            </w:r>
          </w:p>
          <w:p>
            <w:pPr>
              <w:widowControl/>
              <w:jc w:val="left"/>
              <w:textAlignment w:val="center"/>
              <w:rPr>
                <w:rFonts w:hAnsi="宋体" w:cs="宋体"/>
                <w:color w:val="auto"/>
                <w:sz w:val="20"/>
                <w:szCs w:val="20"/>
              </w:rPr>
            </w:pPr>
            <w:r>
              <w:rPr>
                <w:rFonts w:hint="eastAsia" w:hAnsi="宋体" w:cs="宋体"/>
                <w:color w:val="auto"/>
                <w:sz w:val="20"/>
                <w:szCs w:val="20"/>
                <w:lang w:bidi="ar"/>
              </w:rPr>
              <w:t>4.</w:t>
            </w:r>
            <w:r>
              <w:rPr>
                <w:rStyle w:val="95"/>
                <w:rFonts w:ascii="宋体" w:hAnsi="宋体" w:cs="宋体"/>
                <w:color w:val="auto"/>
                <w:sz w:val="24"/>
                <w:szCs w:val="24"/>
                <w:lang w:bidi="ar"/>
              </w:rPr>
              <w:t xml:space="preserve"> </w:t>
            </w:r>
            <w:r>
              <w:rPr>
                <w:rFonts w:hint="eastAsia" w:hAnsi="宋体" w:cs="宋体"/>
                <w:color w:val="auto"/>
                <w:sz w:val="20"/>
                <w:szCs w:val="20"/>
                <w:lang w:bidi="ar"/>
              </w:rPr>
              <w:t>连接方式: 螺纹</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Ansi="宋体" w:cs="宋体"/>
                <w:color w:val="auto"/>
                <w:sz w:val="20"/>
                <w:szCs w:val="20"/>
              </w:rPr>
            </w:pPr>
            <w:r>
              <w:rPr>
                <w:rFonts w:hint="eastAsia" w:hAnsi="宋体" w:cs="宋体"/>
                <w:color w:val="auto"/>
                <w:sz w:val="20"/>
                <w:szCs w:val="20"/>
                <w:lang w:bidi="ar"/>
              </w:rPr>
              <w:t>2</w:t>
            </w:r>
          </w:p>
        </w:tc>
      </w:tr>
      <w:tr>
        <w:tblPrEx>
          <w:tblCellMar>
            <w:top w:w="0" w:type="dxa"/>
            <w:left w:w="108" w:type="dxa"/>
            <w:bottom w:w="0" w:type="dxa"/>
            <w:right w:w="108" w:type="dxa"/>
          </w:tblCellMar>
        </w:tblPrEx>
        <w:trPr>
          <w:trHeight w:val="355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Ansi="宋体" w:cs="宋体"/>
                <w:color w:val="auto"/>
                <w:sz w:val="20"/>
                <w:szCs w:val="20"/>
                <w:lang w:bidi="ar"/>
              </w:rPr>
              <w:t>41</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电压传感器</w:t>
            </w:r>
          </w:p>
        </w:tc>
        <w:tc>
          <w:tcPr>
            <w:tcW w:w="5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1.</w:t>
            </w:r>
            <w:r>
              <w:rPr>
                <w:rStyle w:val="95"/>
                <w:rFonts w:ascii="宋体" w:hAnsi="宋体" w:cs="宋体"/>
                <w:color w:val="auto"/>
                <w:sz w:val="24"/>
                <w:szCs w:val="24"/>
                <w:lang w:bidi="ar"/>
              </w:rPr>
              <w:t xml:space="preserve"> </w:t>
            </w:r>
            <w:r>
              <w:rPr>
                <w:rFonts w:hint="eastAsia" w:hAnsi="宋体" w:cs="宋体"/>
                <w:color w:val="auto"/>
                <w:sz w:val="20"/>
                <w:szCs w:val="20"/>
                <w:lang w:bidi="ar"/>
              </w:rPr>
              <w:t>额定工作电压：DC24V</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2.</w:t>
            </w:r>
            <w:r>
              <w:rPr>
                <w:rStyle w:val="95"/>
                <w:rFonts w:ascii="宋体" w:hAnsi="宋体" w:cs="宋体"/>
                <w:color w:val="auto"/>
                <w:sz w:val="24"/>
                <w:szCs w:val="24"/>
                <w:lang w:bidi="ar"/>
              </w:rPr>
              <w:t xml:space="preserve"> </w:t>
            </w:r>
            <w:r>
              <w:rPr>
                <w:rFonts w:hint="eastAsia" w:hAnsi="宋体" w:cs="宋体"/>
                <w:color w:val="auto"/>
                <w:sz w:val="20"/>
                <w:szCs w:val="20"/>
                <w:lang w:bidi="ar"/>
              </w:rPr>
              <w:t>工作电压范围：DC12V-28V</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3.</w:t>
            </w:r>
            <w:r>
              <w:rPr>
                <w:rStyle w:val="95"/>
                <w:rFonts w:ascii="宋体" w:hAnsi="宋体" w:cs="宋体"/>
                <w:color w:val="auto"/>
                <w:sz w:val="24"/>
                <w:szCs w:val="24"/>
                <w:lang w:bidi="ar"/>
              </w:rPr>
              <w:t xml:space="preserve"> </w:t>
            </w:r>
            <w:r>
              <w:rPr>
                <w:rFonts w:hint="eastAsia" w:hAnsi="宋体" w:cs="宋体"/>
                <w:color w:val="auto"/>
                <w:sz w:val="20"/>
                <w:szCs w:val="20"/>
                <w:lang w:bidi="ar"/>
              </w:rPr>
              <w:t>静态功耗：50mW</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4.</w:t>
            </w:r>
            <w:r>
              <w:rPr>
                <w:rStyle w:val="95"/>
                <w:rFonts w:ascii="宋体" w:hAnsi="宋体" w:cs="宋体"/>
                <w:color w:val="auto"/>
                <w:sz w:val="24"/>
                <w:szCs w:val="24"/>
                <w:lang w:bidi="ar"/>
              </w:rPr>
              <w:t xml:space="preserve"> </w:t>
            </w:r>
            <w:r>
              <w:rPr>
                <w:rFonts w:hint="eastAsia" w:hAnsi="宋体" w:cs="宋体"/>
                <w:color w:val="auto"/>
                <w:sz w:val="20"/>
                <w:szCs w:val="20"/>
                <w:lang w:bidi="ar"/>
              </w:rPr>
              <w:t>电压输入范围：AC20-400V</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5.</w:t>
            </w:r>
            <w:r>
              <w:rPr>
                <w:rStyle w:val="95"/>
                <w:rFonts w:ascii="宋体" w:hAnsi="宋体" w:cs="宋体"/>
                <w:color w:val="auto"/>
                <w:sz w:val="24"/>
                <w:szCs w:val="24"/>
                <w:lang w:bidi="ar"/>
              </w:rPr>
              <w:t xml:space="preserve"> </w:t>
            </w:r>
            <w:r>
              <w:rPr>
                <w:rFonts w:hint="eastAsia" w:hAnsi="宋体" w:cs="宋体"/>
                <w:color w:val="auto"/>
                <w:sz w:val="20"/>
                <w:szCs w:val="20"/>
                <w:lang w:bidi="ar"/>
              </w:rPr>
              <w:t>测量精度：≥3%</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6.</w:t>
            </w:r>
            <w:r>
              <w:rPr>
                <w:rStyle w:val="95"/>
                <w:rFonts w:ascii="宋体" w:hAnsi="宋体" w:cs="宋体"/>
                <w:color w:val="auto"/>
                <w:sz w:val="24"/>
                <w:szCs w:val="24"/>
                <w:lang w:bidi="ar"/>
              </w:rPr>
              <w:t xml:space="preserve"> </w:t>
            </w:r>
            <w:r>
              <w:rPr>
                <w:rFonts w:hint="eastAsia" w:hAnsi="宋体" w:cs="宋体"/>
                <w:color w:val="auto"/>
                <w:sz w:val="20"/>
                <w:szCs w:val="20"/>
                <w:lang w:bidi="ar"/>
              </w:rPr>
              <w:t>通讯：二总线通讯协议</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7.</w:t>
            </w:r>
            <w:r>
              <w:rPr>
                <w:rStyle w:val="95"/>
                <w:rFonts w:ascii="宋体" w:hAnsi="宋体" w:cs="宋体"/>
                <w:color w:val="auto"/>
                <w:sz w:val="24"/>
                <w:szCs w:val="24"/>
                <w:lang w:bidi="ar"/>
              </w:rPr>
              <w:t xml:space="preserve"> </w:t>
            </w:r>
            <w:r>
              <w:rPr>
                <w:rFonts w:hint="eastAsia" w:hAnsi="宋体" w:cs="宋体"/>
                <w:color w:val="auto"/>
                <w:sz w:val="20"/>
                <w:szCs w:val="20"/>
                <w:lang w:bidi="ar"/>
              </w:rPr>
              <w:t>有效通讯距离：≤1500m</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8.</w:t>
            </w:r>
            <w:r>
              <w:rPr>
                <w:rStyle w:val="95"/>
                <w:rFonts w:ascii="宋体" w:hAnsi="宋体" w:cs="宋体"/>
                <w:color w:val="auto"/>
                <w:sz w:val="24"/>
                <w:szCs w:val="24"/>
                <w:lang w:bidi="ar"/>
              </w:rPr>
              <w:t xml:space="preserve"> </w:t>
            </w:r>
            <w:r>
              <w:rPr>
                <w:rFonts w:hint="eastAsia" w:hAnsi="宋体" w:cs="宋体"/>
                <w:color w:val="auto"/>
                <w:sz w:val="20"/>
                <w:szCs w:val="20"/>
                <w:lang w:bidi="ar"/>
              </w:rPr>
              <w:t>安装方式：导轨式安装</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9.</w:t>
            </w:r>
            <w:r>
              <w:rPr>
                <w:rStyle w:val="95"/>
                <w:rFonts w:ascii="宋体" w:hAnsi="宋体" w:cs="宋体"/>
                <w:color w:val="auto"/>
                <w:sz w:val="24"/>
                <w:szCs w:val="24"/>
                <w:lang w:bidi="ar"/>
              </w:rPr>
              <w:t xml:space="preserve"> </w:t>
            </w:r>
            <w:r>
              <w:rPr>
                <w:rFonts w:hint="eastAsia" w:hAnsi="宋体" w:cs="宋体"/>
                <w:color w:val="auto"/>
                <w:sz w:val="20"/>
                <w:szCs w:val="20"/>
                <w:lang w:bidi="ar"/>
              </w:rPr>
              <w:t>工作温度范围：-40°C～55°C</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10.</w:t>
            </w:r>
            <w:r>
              <w:rPr>
                <w:rStyle w:val="95"/>
                <w:rFonts w:ascii="宋体" w:hAnsi="宋体" w:cs="宋体"/>
                <w:color w:val="auto"/>
                <w:sz w:val="24"/>
                <w:szCs w:val="24"/>
                <w:lang w:bidi="ar"/>
              </w:rPr>
              <w:t xml:space="preserve"> </w:t>
            </w:r>
            <w:r>
              <w:rPr>
                <w:rFonts w:hint="eastAsia" w:hAnsi="宋体" w:cs="宋体"/>
                <w:color w:val="auto"/>
                <w:sz w:val="20"/>
                <w:szCs w:val="20"/>
                <w:lang w:bidi="ar"/>
              </w:rPr>
              <w:t>储存温度范围：-45°C～85°C</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11.</w:t>
            </w:r>
            <w:r>
              <w:rPr>
                <w:rStyle w:val="95"/>
                <w:rFonts w:ascii="宋体" w:hAnsi="宋体" w:cs="宋体"/>
                <w:color w:val="auto"/>
                <w:sz w:val="24"/>
                <w:szCs w:val="24"/>
                <w:lang w:bidi="ar"/>
              </w:rPr>
              <w:t xml:space="preserve"> </w:t>
            </w:r>
            <w:r>
              <w:rPr>
                <w:rFonts w:hint="eastAsia" w:hAnsi="宋体" w:cs="宋体"/>
                <w:color w:val="auto"/>
                <w:sz w:val="20"/>
                <w:szCs w:val="20"/>
                <w:lang w:bidi="ar"/>
              </w:rPr>
              <w:t>相对湿度、温度：20°C以下湿度90%不结露</w:t>
            </w:r>
          </w:p>
          <w:p>
            <w:pPr>
              <w:widowControl/>
              <w:jc w:val="left"/>
              <w:textAlignment w:val="center"/>
              <w:rPr>
                <w:rFonts w:hAnsi="宋体" w:cs="宋体"/>
                <w:color w:val="auto"/>
                <w:sz w:val="20"/>
                <w:szCs w:val="20"/>
              </w:rPr>
            </w:pPr>
            <w:r>
              <w:rPr>
                <w:rFonts w:hint="eastAsia" w:hAnsi="宋体" w:cs="宋体"/>
                <w:color w:val="auto"/>
                <w:sz w:val="20"/>
                <w:szCs w:val="20"/>
                <w:lang w:bidi="ar"/>
              </w:rPr>
              <w:t>12.</w:t>
            </w:r>
            <w:r>
              <w:rPr>
                <w:rStyle w:val="95"/>
                <w:rFonts w:ascii="宋体" w:hAnsi="宋体" w:cs="宋体"/>
                <w:color w:val="auto"/>
                <w:sz w:val="24"/>
                <w:szCs w:val="24"/>
                <w:lang w:bidi="ar"/>
              </w:rPr>
              <w:t xml:space="preserve"> </w:t>
            </w:r>
            <w:r>
              <w:rPr>
                <w:rFonts w:hint="eastAsia" w:hAnsi="宋体" w:cs="宋体"/>
                <w:color w:val="auto"/>
                <w:sz w:val="20"/>
                <w:szCs w:val="20"/>
                <w:lang w:bidi="ar"/>
              </w:rPr>
              <w:t>防护等级：≥IP30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13</w:t>
            </w:r>
          </w:p>
        </w:tc>
      </w:tr>
      <w:tr>
        <w:tblPrEx>
          <w:tblCellMar>
            <w:top w:w="0" w:type="dxa"/>
            <w:left w:w="108" w:type="dxa"/>
            <w:bottom w:w="0" w:type="dxa"/>
            <w:right w:w="108" w:type="dxa"/>
          </w:tblCellMar>
        </w:tblPrEx>
        <w:trPr>
          <w:trHeight w:val="48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Ansi="宋体" w:cs="宋体"/>
                <w:color w:val="auto"/>
                <w:sz w:val="20"/>
                <w:szCs w:val="20"/>
                <w:lang w:bidi="ar"/>
              </w:rPr>
              <w:t>42</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0"/>
                <w:szCs w:val="20"/>
              </w:rPr>
            </w:pPr>
            <w:r>
              <w:rPr>
                <w:rFonts w:hint="eastAsia" w:hAnsi="宋体" w:cs="宋体"/>
                <w:color w:val="auto"/>
                <w:sz w:val="20"/>
                <w:szCs w:val="20"/>
                <w:lang w:bidi="ar"/>
              </w:rPr>
              <w:t>消防水池防水</w:t>
            </w:r>
          </w:p>
        </w:tc>
        <w:tc>
          <w:tcPr>
            <w:tcW w:w="5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1.名称:防水涂料</w:t>
            </w:r>
          </w:p>
          <w:p>
            <w:pPr>
              <w:widowControl/>
              <w:jc w:val="left"/>
              <w:textAlignment w:val="center"/>
              <w:rPr>
                <w:rFonts w:hAnsi="宋体" w:cs="宋体"/>
                <w:color w:val="auto"/>
                <w:sz w:val="20"/>
                <w:szCs w:val="20"/>
              </w:rPr>
            </w:pPr>
            <w:r>
              <w:rPr>
                <w:rFonts w:hint="eastAsia" w:hAnsi="宋体" w:cs="宋体"/>
                <w:color w:val="auto"/>
                <w:sz w:val="20"/>
                <w:szCs w:val="20"/>
                <w:lang w:bidi="ar"/>
              </w:rPr>
              <w:t>2.型号 聚合物JS乳液</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m2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Ansi="宋体" w:cs="宋体"/>
                <w:color w:val="auto"/>
                <w:sz w:val="20"/>
                <w:szCs w:val="20"/>
              </w:rPr>
            </w:pPr>
            <w:r>
              <w:rPr>
                <w:rFonts w:hint="eastAsia" w:hAnsi="宋体" w:cs="宋体"/>
                <w:color w:val="auto"/>
                <w:sz w:val="20"/>
                <w:szCs w:val="20"/>
                <w:lang w:bidi="ar"/>
              </w:rPr>
              <w:t>1416</w:t>
            </w:r>
          </w:p>
        </w:tc>
      </w:tr>
      <w:tr>
        <w:tblPrEx>
          <w:tblCellMar>
            <w:top w:w="0" w:type="dxa"/>
            <w:left w:w="108" w:type="dxa"/>
            <w:bottom w:w="0" w:type="dxa"/>
            <w:right w:w="108" w:type="dxa"/>
          </w:tblCellMar>
        </w:tblPrEx>
        <w:trPr>
          <w:trHeight w:val="76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Ansi="宋体" w:cs="宋体"/>
                <w:color w:val="auto"/>
                <w:sz w:val="20"/>
                <w:szCs w:val="20"/>
                <w:lang w:bidi="ar"/>
              </w:rPr>
              <w:t>43</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0"/>
                <w:szCs w:val="20"/>
              </w:rPr>
            </w:pPr>
            <w:r>
              <w:rPr>
                <w:rFonts w:hint="eastAsia" w:hAnsi="宋体" w:cs="宋体"/>
                <w:color w:val="auto"/>
                <w:sz w:val="20"/>
                <w:szCs w:val="20"/>
                <w:lang w:bidi="ar"/>
              </w:rPr>
              <w:t>压力仪表（普通）</w:t>
            </w:r>
          </w:p>
        </w:tc>
        <w:tc>
          <w:tcPr>
            <w:tcW w:w="5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1.</w:t>
            </w:r>
            <w:r>
              <w:rPr>
                <w:rStyle w:val="95"/>
                <w:rFonts w:ascii="宋体" w:hAnsi="宋体" w:cs="宋体"/>
                <w:color w:val="auto"/>
                <w:sz w:val="24"/>
                <w:szCs w:val="24"/>
                <w:lang w:bidi="ar"/>
              </w:rPr>
              <w:t xml:space="preserve"> </w:t>
            </w:r>
            <w:r>
              <w:rPr>
                <w:rFonts w:hint="eastAsia" w:hAnsi="宋体" w:cs="宋体"/>
                <w:color w:val="auto"/>
                <w:sz w:val="20"/>
                <w:szCs w:val="20"/>
                <w:lang w:bidi="ar"/>
              </w:rPr>
              <w:t>型号: Y-100</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2.</w:t>
            </w:r>
            <w:r>
              <w:rPr>
                <w:rStyle w:val="95"/>
                <w:rFonts w:ascii="宋体" w:hAnsi="宋体" w:cs="宋体"/>
                <w:color w:val="auto"/>
                <w:sz w:val="24"/>
                <w:szCs w:val="24"/>
                <w:lang w:bidi="ar"/>
              </w:rPr>
              <w:t xml:space="preserve"> </w:t>
            </w:r>
            <w:r>
              <w:rPr>
                <w:rFonts w:hint="eastAsia" w:hAnsi="宋体" w:cs="宋体"/>
                <w:color w:val="auto"/>
                <w:sz w:val="20"/>
                <w:szCs w:val="20"/>
                <w:lang w:bidi="ar"/>
              </w:rPr>
              <w:t>材质: 接口铜材质</w:t>
            </w:r>
          </w:p>
          <w:p>
            <w:pPr>
              <w:widowControl/>
              <w:jc w:val="left"/>
              <w:textAlignment w:val="center"/>
              <w:rPr>
                <w:rFonts w:hAnsi="宋体" w:cs="宋体"/>
                <w:color w:val="auto"/>
                <w:sz w:val="20"/>
                <w:szCs w:val="20"/>
              </w:rPr>
            </w:pPr>
            <w:r>
              <w:rPr>
                <w:rFonts w:hint="eastAsia" w:hAnsi="宋体" w:cs="宋体"/>
                <w:color w:val="auto"/>
                <w:sz w:val="20"/>
                <w:szCs w:val="20"/>
                <w:lang w:bidi="ar"/>
              </w:rPr>
              <w:t>3.</w:t>
            </w:r>
            <w:r>
              <w:rPr>
                <w:rStyle w:val="95"/>
                <w:rFonts w:ascii="宋体" w:hAnsi="宋体" w:cs="宋体"/>
                <w:color w:val="auto"/>
                <w:sz w:val="24"/>
                <w:szCs w:val="24"/>
                <w:lang w:bidi="ar"/>
              </w:rPr>
              <w:t xml:space="preserve"> </w:t>
            </w:r>
            <w:r>
              <w:rPr>
                <w:rFonts w:hint="eastAsia" w:hAnsi="宋体" w:cs="宋体"/>
                <w:color w:val="auto"/>
                <w:sz w:val="20"/>
                <w:szCs w:val="20"/>
                <w:lang w:bidi="ar"/>
              </w:rPr>
              <w:t>压力范围: 0~1.6MPa</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Ansi="宋体" w:cs="宋体"/>
                <w:color w:val="auto"/>
                <w:sz w:val="20"/>
                <w:szCs w:val="20"/>
              </w:rPr>
            </w:pPr>
            <w:r>
              <w:rPr>
                <w:rFonts w:hint="eastAsia" w:hAnsi="宋体" w:cs="宋体"/>
                <w:color w:val="auto"/>
                <w:sz w:val="20"/>
                <w:szCs w:val="20"/>
                <w:lang w:bidi="ar"/>
              </w:rPr>
              <w:t>5</w:t>
            </w:r>
          </w:p>
        </w:tc>
      </w:tr>
      <w:tr>
        <w:tblPrEx>
          <w:tblCellMar>
            <w:top w:w="0" w:type="dxa"/>
            <w:left w:w="108" w:type="dxa"/>
            <w:bottom w:w="0" w:type="dxa"/>
            <w:right w:w="108" w:type="dxa"/>
          </w:tblCellMar>
        </w:tblPrEx>
        <w:trPr>
          <w:trHeight w:val="76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Ansi="宋体" w:cs="宋体"/>
                <w:color w:val="auto"/>
                <w:sz w:val="20"/>
                <w:szCs w:val="20"/>
                <w:lang w:bidi="ar"/>
              </w:rPr>
              <w:t>44</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0"/>
                <w:szCs w:val="20"/>
              </w:rPr>
            </w:pPr>
            <w:r>
              <w:rPr>
                <w:rFonts w:hint="eastAsia" w:hAnsi="宋体" w:cs="宋体"/>
                <w:color w:val="auto"/>
                <w:sz w:val="20"/>
                <w:szCs w:val="20"/>
                <w:lang w:bidi="ar"/>
              </w:rPr>
              <w:t>压力仪表（电接点）</w:t>
            </w:r>
          </w:p>
        </w:tc>
        <w:tc>
          <w:tcPr>
            <w:tcW w:w="5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1.</w:t>
            </w:r>
            <w:r>
              <w:rPr>
                <w:rStyle w:val="95"/>
                <w:rFonts w:ascii="宋体" w:hAnsi="宋体" w:cs="宋体"/>
                <w:color w:val="auto"/>
                <w:sz w:val="24"/>
                <w:szCs w:val="24"/>
                <w:lang w:bidi="ar"/>
              </w:rPr>
              <w:t xml:space="preserve"> </w:t>
            </w:r>
            <w:r>
              <w:rPr>
                <w:rFonts w:hint="eastAsia" w:hAnsi="宋体" w:cs="宋体"/>
                <w:color w:val="auto"/>
                <w:sz w:val="20"/>
                <w:szCs w:val="20"/>
                <w:lang w:bidi="ar"/>
              </w:rPr>
              <w:t>型号: Y-100</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2.</w:t>
            </w:r>
            <w:r>
              <w:rPr>
                <w:rStyle w:val="95"/>
                <w:rFonts w:ascii="宋体" w:hAnsi="宋体" w:cs="宋体"/>
                <w:color w:val="auto"/>
                <w:sz w:val="24"/>
                <w:szCs w:val="24"/>
                <w:lang w:bidi="ar"/>
              </w:rPr>
              <w:t xml:space="preserve"> </w:t>
            </w:r>
            <w:r>
              <w:rPr>
                <w:rFonts w:hint="eastAsia" w:hAnsi="宋体" w:cs="宋体"/>
                <w:color w:val="auto"/>
                <w:sz w:val="20"/>
                <w:szCs w:val="20"/>
                <w:lang w:bidi="ar"/>
              </w:rPr>
              <w:t>材质: 接口铜材质</w:t>
            </w:r>
          </w:p>
          <w:p>
            <w:pPr>
              <w:widowControl/>
              <w:jc w:val="left"/>
              <w:textAlignment w:val="center"/>
              <w:rPr>
                <w:rFonts w:hAnsi="宋体" w:cs="宋体"/>
                <w:color w:val="auto"/>
                <w:sz w:val="20"/>
                <w:szCs w:val="20"/>
              </w:rPr>
            </w:pPr>
            <w:r>
              <w:rPr>
                <w:rFonts w:hint="eastAsia" w:hAnsi="宋体" w:cs="宋体"/>
                <w:color w:val="auto"/>
                <w:sz w:val="20"/>
                <w:szCs w:val="20"/>
                <w:lang w:bidi="ar"/>
              </w:rPr>
              <w:t>3.</w:t>
            </w:r>
            <w:r>
              <w:rPr>
                <w:rStyle w:val="95"/>
                <w:rFonts w:ascii="宋体" w:hAnsi="宋体" w:cs="宋体"/>
                <w:color w:val="auto"/>
                <w:sz w:val="24"/>
                <w:szCs w:val="24"/>
                <w:lang w:bidi="ar"/>
              </w:rPr>
              <w:t xml:space="preserve"> </w:t>
            </w:r>
            <w:r>
              <w:rPr>
                <w:rFonts w:hint="eastAsia" w:hAnsi="宋体" w:cs="宋体"/>
                <w:color w:val="auto"/>
                <w:sz w:val="20"/>
                <w:szCs w:val="20"/>
                <w:lang w:bidi="ar"/>
              </w:rPr>
              <w:t>压力范围: 0~1.6MPa</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Ansi="宋体" w:cs="宋体"/>
                <w:color w:val="auto"/>
                <w:sz w:val="20"/>
                <w:szCs w:val="20"/>
              </w:rPr>
            </w:pPr>
            <w:r>
              <w:rPr>
                <w:rFonts w:hint="eastAsia" w:hAnsi="宋体" w:cs="宋体"/>
                <w:color w:val="auto"/>
                <w:sz w:val="20"/>
                <w:szCs w:val="20"/>
                <w:lang w:bidi="ar"/>
              </w:rPr>
              <w:t>5</w:t>
            </w:r>
          </w:p>
        </w:tc>
      </w:tr>
      <w:tr>
        <w:tblPrEx>
          <w:tblCellMar>
            <w:top w:w="0" w:type="dxa"/>
            <w:left w:w="108" w:type="dxa"/>
            <w:bottom w:w="0" w:type="dxa"/>
            <w:right w:w="108" w:type="dxa"/>
          </w:tblCellMar>
        </w:tblPrEx>
        <w:trPr>
          <w:trHeight w:val="48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4</w:t>
            </w:r>
            <w:r>
              <w:rPr>
                <w:rFonts w:hAnsi="宋体" w:cs="宋体"/>
                <w:color w:val="auto"/>
                <w:sz w:val="20"/>
                <w:szCs w:val="20"/>
                <w:lang w:bidi="ar"/>
              </w:rPr>
              <w:t>5</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0"/>
                <w:szCs w:val="20"/>
              </w:rPr>
            </w:pPr>
            <w:r>
              <w:rPr>
                <w:rFonts w:hint="eastAsia" w:hAnsi="宋体" w:cs="宋体"/>
                <w:color w:val="auto"/>
                <w:sz w:val="20"/>
                <w:szCs w:val="20"/>
                <w:lang w:bidi="ar"/>
              </w:rPr>
              <w:t>沟槽三通 DN100</w:t>
            </w:r>
          </w:p>
        </w:tc>
        <w:tc>
          <w:tcPr>
            <w:tcW w:w="5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1.名称:三通</w:t>
            </w:r>
          </w:p>
          <w:p>
            <w:pPr>
              <w:widowControl/>
              <w:jc w:val="left"/>
              <w:textAlignment w:val="center"/>
              <w:rPr>
                <w:rFonts w:hAnsi="宋体" w:cs="宋体"/>
                <w:color w:val="auto"/>
                <w:sz w:val="20"/>
                <w:szCs w:val="20"/>
              </w:rPr>
            </w:pPr>
            <w:r>
              <w:rPr>
                <w:rFonts w:hint="eastAsia" w:hAnsi="宋体" w:cs="宋体"/>
                <w:color w:val="auto"/>
                <w:sz w:val="20"/>
                <w:szCs w:val="20"/>
                <w:lang w:bidi="ar"/>
              </w:rPr>
              <w:t>2.型号:DN100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Ansi="宋体" w:cs="宋体"/>
                <w:color w:val="auto"/>
                <w:sz w:val="20"/>
                <w:szCs w:val="20"/>
              </w:rPr>
            </w:pPr>
            <w:r>
              <w:rPr>
                <w:rFonts w:hint="eastAsia" w:hAnsi="宋体" w:cs="宋体"/>
                <w:color w:val="auto"/>
                <w:sz w:val="20"/>
                <w:szCs w:val="20"/>
                <w:lang w:bidi="ar"/>
              </w:rPr>
              <w:t>8</w:t>
            </w:r>
          </w:p>
        </w:tc>
      </w:tr>
      <w:tr>
        <w:tblPrEx>
          <w:tblCellMar>
            <w:top w:w="0" w:type="dxa"/>
            <w:left w:w="108" w:type="dxa"/>
            <w:bottom w:w="0" w:type="dxa"/>
            <w:right w:w="108" w:type="dxa"/>
          </w:tblCellMar>
        </w:tblPrEx>
        <w:trPr>
          <w:trHeight w:val="72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4</w:t>
            </w:r>
            <w:r>
              <w:rPr>
                <w:rFonts w:hAnsi="宋体" w:cs="宋体"/>
                <w:color w:val="auto"/>
                <w:sz w:val="20"/>
                <w:szCs w:val="20"/>
                <w:lang w:bidi="ar"/>
              </w:rPr>
              <w:t>6</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0"/>
                <w:szCs w:val="20"/>
              </w:rPr>
            </w:pPr>
            <w:r>
              <w:rPr>
                <w:rFonts w:hint="eastAsia" w:hAnsi="宋体" w:cs="宋体"/>
                <w:color w:val="auto"/>
                <w:sz w:val="20"/>
                <w:szCs w:val="20"/>
                <w:lang w:bidi="ar"/>
              </w:rPr>
              <w:t>内外热浸镀锌钢管管件 DN65</w:t>
            </w:r>
          </w:p>
        </w:tc>
        <w:tc>
          <w:tcPr>
            <w:tcW w:w="5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0"/>
                <w:szCs w:val="20"/>
              </w:rPr>
            </w:pPr>
            <w:r>
              <w:rPr>
                <w:rFonts w:hint="eastAsia" w:hAnsi="宋体" w:cs="宋体"/>
                <w:color w:val="auto"/>
                <w:sz w:val="20"/>
                <w:szCs w:val="20"/>
                <w:lang w:bidi="ar"/>
              </w:rPr>
              <w:t xml:space="preserve">1.型号: DN65                                              2.外径：76.1mm                                                   3.壁厚：3.5mm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Ansi="宋体" w:cs="宋体"/>
                <w:color w:val="auto"/>
                <w:sz w:val="20"/>
                <w:szCs w:val="20"/>
              </w:rPr>
            </w:pPr>
            <w:r>
              <w:rPr>
                <w:rFonts w:hint="eastAsia" w:hAnsi="宋体" w:cs="宋体"/>
                <w:color w:val="auto"/>
                <w:sz w:val="20"/>
                <w:szCs w:val="20"/>
                <w:lang w:bidi="ar"/>
              </w:rPr>
              <w:t>9</w:t>
            </w:r>
          </w:p>
        </w:tc>
      </w:tr>
      <w:tr>
        <w:tblPrEx>
          <w:tblCellMar>
            <w:top w:w="0" w:type="dxa"/>
            <w:left w:w="108" w:type="dxa"/>
            <w:bottom w:w="0" w:type="dxa"/>
            <w:right w:w="108" w:type="dxa"/>
          </w:tblCellMar>
        </w:tblPrEx>
        <w:trPr>
          <w:trHeight w:val="102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4</w:t>
            </w:r>
            <w:r>
              <w:rPr>
                <w:rFonts w:hAnsi="宋体" w:cs="宋体"/>
                <w:color w:val="auto"/>
                <w:sz w:val="20"/>
                <w:szCs w:val="20"/>
                <w:lang w:bidi="ar"/>
              </w:rPr>
              <w:t>7</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0"/>
                <w:szCs w:val="20"/>
              </w:rPr>
            </w:pPr>
            <w:r>
              <w:rPr>
                <w:rFonts w:hint="eastAsia" w:hAnsi="宋体" w:cs="宋体"/>
                <w:color w:val="auto"/>
                <w:sz w:val="20"/>
                <w:szCs w:val="20"/>
                <w:lang w:bidi="ar"/>
              </w:rPr>
              <w:t>沟槽弯头 DN100</w:t>
            </w:r>
          </w:p>
        </w:tc>
        <w:tc>
          <w:tcPr>
            <w:tcW w:w="5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1.</w:t>
            </w:r>
            <w:r>
              <w:rPr>
                <w:rStyle w:val="95"/>
                <w:rFonts w:ascii="宋体" w:hAnsi="宋体" w:cs="宋体"/>
                <w:color w:val="auto"/>
                <w:sz w:val="24"/>
                <w:szCs w:val="24"/>
                <w:lang w:bidi="ar"/>
              </w:rPr>
              <w:t xml:space="preserve"> </w:t>
            </w:r>
            <w:r>
              <w:rPr>
                <w:rFonts w:hint="eastAsia" w:hAnsi="宋体" w:cs="宋体"/>
                <w:color w:val="auto"/>
                <w:sz w:val="20"/>
                <w:szCs w:val="20"/>
                <w:lang w:bidi="ar"/>
              </w:rPr>
              <w:t>型号: 消防弯头</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2.</w:t>
            </w:r>
            <w:r>
              <w:rPr>
                <w:rStyle w:val="95"/>
                <w:rFonts w:ascii="宋体" w:hAnsi="宋体" w:cs="宋体"/>
                <w:color w:val="auto"/>
                <w:sz w:val="24"/>
                <w:szCs w:val="24"/>
                <w:lang w:bidi="ar"/>
              </w:rPr>
              <w:t xml:space="preserve"> </w:t>
            </w:r>
            <w:r>
              <w:rPr>
                <w:rFonts w:hint="eastAsia" w:hAnsi="宋体" w:cs="宋体"/>
                <w:color w:val="auto"/>
                <w:sz w:val="20"/>
                <w:szCs w:val="20"/>
                <w:lang w:bidi="ar"/>
              </w:rPr>
              <w:t>安装方式: 卡接</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3.</w:t>
            </w:r>
            <w:r>
              <w:rPr>
                <w:rStyle w:val="95"/>
                <w:rFonts w:ascii="宋体" w:hAnsi="宋体" w:cs="宋体"/>
                <w:color w:val="auto"/>
                <w:sz w:val="24"/>
                <w:szCs w:val="24"/>
                <w:lang w:bidi="ar"/>
              </w:rPr>
              <w:t xml:space="preserve"> </w:t>
            </w:r>
            <w:r>
              <w:rPr>
                <w:rFonts w:hint="eastAsia" w:hAnsi="宋体" w:cs="宋体"/>
                <w:color w:val="auto"/>
                <w:sz w:val="20"/>
                <w:szCs w:val="20"/>
                <w:lang w:bidi="ar"/>
              </w:rPr>
              <w:t xml:space="preserve">尺寸： DN100 </w:t>
            </w:r>
          </w:p>
          <w:p>
            <w:pPr>
              <w:widowControl/>
              <w:jc w:val="left"/>
              <w:textAlignment w:val="center"/>
              <w:rPr>
                <w:rFonts w:hAnsi="宋体" w:cs="宋体"/>
                <w:color w:val="auto"/>
                <w:sz w:val="20"/>
                <w:szCs w:val="20"/>
              </w:rPr>
            </w:pPr>
            <w:r>
              <w:rPr>
                <w:rFonts w:hint="eastAsia" w:hAnsi="宋体" w:cs="宋体"/>
                <w:color w:val="auto"/>
                <w:sz w:val="20"/>
                <w:szCs w:val="20"/>
                <w:lang w:bidi="ar"/>
              </w:rPr>
              <w:t>4.</w:t>
            </w:r>
            <w:r>
              <w:rPr>
                <w:rStyle w:val="95"/>
                <w:rFonts w:ascii="宋体" w:hAnsi="宋体" w:cs="宋体"/>
                <w:color w:val="auto"/>
                <w:sz w:val="24"/>
                <w:szCs w:val="24"/>
                <w:lang w:bidi="ar"/>
              </w:rPr>
              <w:t xml:space="preserve"> </w:t>
            </w:r>
            <w:r>
              <w:rPr>
                <w:rFonts w:hint="eastAsia" w:hAnsi="宋体" w:cs="宋体"/>
                <w:color w:val="auto"/>
                <w:sz w:val="20"/>
                <w:szCs w:val="20"/>
                <w:lang w:bidi="ar"/>
              </w:rPr>
              <w:t>外径：114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Ansi="宋体" w:cs="宋体"/>
                <w:color w:val="auto"/>
                <w:sz w:val="20"/>
                <w:szCs w:val="20"/>
              </w:rPr>
            </w:pPr>
            <w:r>
              <w:rPr>
                <w:rFonts w:hint="eastAsia" w:hAnsi="宋体" w:cs="宋体"/>
                <w:color w:val="auto"/>
                <w:sz w:val="20"/>
                <w:szCs w:val="20"/>
                <w:lang w:bidi="ar"/>
              </w:rPr>
              <w:t>15</w:t>
            </w:r>
          </w:p>
        </w:tc>
      </w:tr>
      <w:tr>
        <w:tblPrEx>
          <w:tblCellMar>
            <w:top w:w="0" w:type="dxa"/>
            <w:left w:w="108" w:type="dxa"/>
            <w:bottom w:w="0" w:type="dxa"/>
            <w:right w:w="108" w:type="dxa"/>
          </w:tblCellMar>
        </w:tblPrEx>
        <w:trPr>
          <w:trHeight w:val="102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4</w:t>
            </w:r>
            <w:r>
              <w:rPr>
                <w:rFonts w:hAnsi="宋体" w:cs="宋体"/>
                <w:color w:val="auto"/>
                <w:sz w:val="20"/>
                <w:szCs w:val="20"/>
                <w:lang w:bidi="ar"/>
              </w:rPr>
              <w:t>8</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0"/>
                <w:szCs w:val="20"/>
              </w:rPr>
            </w:pPr>
            <w:r>
              <w:rPr>
                <w:rFonts w:hint="eastAsia" w:hAnsi="宋体" w:cs="宋体"/>
                <w:color w:val="auto"/>
                <w:sz w:val="20"/>
                <w:szCs w:val="20"/>
                <w:lang w:bidi="ar"/>
              </w:rPr>
              <w:t>沟槽弯头 DN65</w:t>
            </w:r>
          </w:p>
        </w:tc>
        <w:tc>
          <w:tcPr>
            <w:tcW w:w="5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1.</w:t>
            </w:r>
            <w:r>
              <w:rPr>
                <w:rStyle w:val="95"/>
                <w:rFonts w:ascii="宋体" w:hAnsi="宋体" w:cs="宋体"/>
                <w:color w:val="auto"/>
                <w:sz w:val="24"/>
                <w:szCs w:val="24"/>
                <w:lang w:bidi="ar"/>
              </w:rPr>
              <w:t xml:space="preserve"> </w:t>
            </w:r>
            <w:r>
              <w:rPr>
                <w:rFonts w:hint="eastAsia" w:hAnsi="宋体" w:cs="宋体"/>
                <w:color w:val="auto"/>
                <w:sz w:val="20"/>
                <w:szCs w:val="20"/>
                <w:lang w:bidi="ar"/>
              </w:rPr>
              <w:t>型号: 消防弯头</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2.</w:t>
            </w:r>
            <w:r>
              <w:rPr>
                <w:rStyle w:val="95"/>
                <w:rFonts w:ascii="宋体" w:hAnsi="宋体" w:cs="宋体"/>
                <w:color w:val="auto"/>
                <w:sz w:val="24"/>
                <w:szCs w:val="24"/>
                <w:lang w:bidi="ar"/>
              </w:rPr>
              <w:t xml:space="preserve"> </w:t>
            </w:r>
            <w:r>
              <w:rPr>
                <w:rFonts w:hint="eastAsia" w:hAnsi="宋体" w:cs="宋体"/>
                <w:color w:val="auto"/>
                <w:sz w:val="20"/>
                <w:szCs w:val="20"/>
                <w:lang w:bidi="ar"/>
              </w:rPr>
              <w:t>安装方式: 卡接</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3.</w:t>
            </w:r>
            <w:r>
              <w:rPr>
                <w:rStyle w:val="95"/>
                <w:rFonts w:ascii="宋体" w:hAnsi="宋体" w:cs="宋体"/>
                <w:color w:val="auto"/>
                <w:sz w:val="24"/>
                <w:szCs w:val="24"/>
                <w:lang w:bidi="ar"/>
              </w:rPr>
              <w:t xml:space="preserve"> </w:t>
            </w:r>
            <w:r>
              <w:rPr>
                <w:rFonts w:hint="eastAsia" w:hAnsi="宋体" w:cs="宋体"/>
                <w:color w:val="auto"/>
                <w:sz w:val="20"/>
                <w:szCs w:val="20"/>
                <w:lang w:bidi="ar"/>
              </w:rPr>
              <w:t xml:space="preserve">尺寸： DN65 </w:t>
            </w:r>
          </w:p>
          <w:p>
            <w:pPr>
              <w:widowControl/>
              <w:jc w:val="left"/>
              <w:textAlignment w:val="center"/>
              <w:rPr>
                <w:rFonts w:hAnsi="宋体" w:cs="宋体"/>
                <w:color w:val="auto"/>
                <w:sz w:val="20"/>
                <w:szCs w:val="20"/>
              </w:rPr>
            </w:pPr>
            <w:r>
              <w:rPr>
                <w:rFonts w:hint="eastAsia" w:hAnsi="宋体" w:cs="宋体"/>
                <w:color w:val="auto"/>
                <w:sz w:val="20"/>
                <w:szCs w:val="20"/>
                <w:lang w:bidi="ar"/>
              </w:rPr>
              <w:t>4.</w:t>
            </w:r>
            <w:r>
              <w:rPr>
                <w:rStyle w:val="95"/>
                <w:rFonts w:ascii="宋体" w:hAnsi="宋体" w:cs="宋体"/>
                <w:color w:val="auto"/>
                <w:sz w:val="24"/>
                <w:szCs w:val="24"/>
                <w:lang w:bidi="ar"/>
              </w:rPr>
              <w:t xml:space="preserve"> </w:t>
            </w:r>
            <w:r>
              <w:rPr>
                <w:rFonts w:hint="eastAsia" w:hAnsi="宋体" w:cs="宋体"/>
                <w:color w:val="auto"/>
                <w:sz w:val="20"/>
                <w:szCs w:val="20"/>
                <w:lang w:bidi="ar"/>
              </w:rPr>
              <w:t>外径：76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Ansi="宋体" w:cs="宋体"/>
                <w:color w:val="auto"/>
                <w:sz w:val="20"/>
                <w:szCs w:val="20"/>
              </w:rPr>
            </w:pPr>
            <w:r>
              <w:rPr>
                <w:rFonts w:hint="eastAsia" w:hAnsi="宋体" w:cs="宋体"/>
                <w:color w:val="auto"/>
                <w:sz w:val="20"/>
                <w:szCs w:val="20"/>
                <w:lang w:bidi="ar"/>
              </w:rPr>
              <w:t>30</w:t>
            </w:r>
          </w:p>
        </w:tc>
      </w:tr>
      <w:tr>
        <w:tblPrEx>
          <w:tblCellMar>
            <w:top w:w="0" w:type="dxa"/>
            <w:left w:w="108" w:type="dxa"/>
            <w:bottom w:w="0" w:type="dxa"/>
            <w:right w:w="108" w:type="dxa"/>
          </w:tblCellMar>
        </w:tblPrEx>
        <w:trPr>
          <w:trHeight w:val="102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4</w:t>
            </w:r>
            <w:r>
              <w:rPr>
                <w:rFonts w:hAnsi="宋体" w:cs="宋体"/>
                <w:color w:val="auto"/>
                <w:sz w:val="20"/>
                <w:szCs w:val="20"/>
                <w:lang w:bidi="ar"/>
              </w:rPr>
              <w:t>9</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auto"/>
                <w:sz w:val="20"/>
                <w:szCs w:val="20"/>
              </w:rPr>
            </w:pPr>
            <w:r>
              <w:rPr>
                <w:rFonts w:hint="eastAsia" w:hAnsi="宋体" w:cs="宋体"/>
                <w:color w:val="auto"/>
                <w:sz w:val="20"/>
                <w:szCs w:val="20"/>
                <w:lang w:bidi="ar"/>
              </w:rPr>
              <w:t>异径接头 DN65</w:t>
            </w:r>
          </w:p>
        </w:tc>
        <w:tc>
          <w:tcPr>
            <w:tcW w:w="5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1.</w:t>
            </w:r>
            <w:r>
              <w:rPr>
                <w:rStyle w:val="95"/>
                <w:rFonts w:ascii="宋体" w:hAnsi="宋体" w:cs="宋体"/>
                <w:color w:val="auto"/>
                <w:sz w:val="24"/>
                <w:szCs w:val="24"/>
                <w:lang w:bidi="ar"/>
              </w:rPr>
              <w:t xml:space="preserve"> </w:t>
            </w:r>
            <w:r>
              <w:rPr>
                <w:rFonts w:hint="eastAsia" w:hAnsi="宋体" w:cs="宋体"/>
                <w:color w:val="auto"/>
                <w:sz w:val="20"/>
                <w:szCs w:val="20"/>
                <w:lang w:bidi="ar"/>
              </w:rPr>
              <w:t>型号: 消防接头</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2.</w:t>
            </w:r>
            <w:r>
              <w:rPr>
                <w:rStyle w:val="95"/>
                <w:rFonts w:ascii="宋体" w:hAnsi="宋体" w:cs="宋体"/>
                <w:color w:val="auto"/>
                <w:sz w:val="24"/>
                <w:szCs w:val="24"/>
                <w:lang w:bidi="ar"/>
              </w:rPr>
              <w:t xml:space="preserve"> </w:t>
            </w:r>
            <w:r>
              <w:rPr>
                <w:rFonts w:hint="eastAsia" w:hAnsi="宋体" w:cs="宋体"/>
                <w:color w:val="auto"/>
                <w:sz w:val="20"/>
                <w:szCs w:val="20"/>
                <w:lang w:bidi="ar"/>
              </w:rPr>
              <w:t>安装方式: 卡接</w:t>
            </w:r>
          </w:p>
          <w:p>
            <w:pPr>
              <w:widowControl/>
              <w:jc w:val="left"/>
              <w:textAlignment w:val="center"/>
              <w:rPr>
                <w:rFonts w:hint="eastAsia" w:hAnsi="宋体" w:eastAsia="宋体" w:cs="宋体"/>
                <w:color w:val="auto"/>
                <w:sz w:val="20"/>
                <w:szCs w:val="20"/>
                <w:lang w:eastAsia="zh-CN" w:bidi="ar"/>
              </w:rPr>
            </w:pPr>
            <w:r>
              <w:rPr>
                <w:rFonts w:hint="eastAsia" w:hAnsi="宋体" w:cs="宋体"/>
                <w:color w:val="auto"/>
                <w:sz w:val="20"/>
                <w:szCs w:val="20"/>
                <w:lang w:bidi="ar"/>
              </w:rPr>
              <w:t>3.</w:t>
            </w:r>
            <w:r>
              <w:rPr>
                <w:rStyle w:val="95"/>
                <w:rFonts w:ascii="宋体" w:hAnsi="宋体" w:cs="宋体"/>
                <w:color w:val="auto"/>
                <w:sz w:val="24"/>
                <w:szCs w:val="24"/>
                <w:lang w:bidi="ar"/>
              </w:rPr>
              <w:t xml:space="preserve"> </w:t>
            </w:r>
            <w:r>
              <w:rPr>
                <w:rFonts w:hint="eastAsia" w:hAnsi="宋体" w:cs="宋体"/>
                <w:color w:val="auto"/>
                <w:sz w:val="20"/>
                <w:szCs w:val="20"/>
                <w:lang w:bidi="ar"/>
              </w:rPr>
              <w:t xml:space="preserve">尺寸： DN65 </w:t>
            </w:r>
          </w:p>
          <w:p>
            <w:pPr>
              <w:widowControl/>
              <w:jc w:val="left"/>
              <w:textAlignment w:val="center"/>
              <w:rPr>
                <w:rFonts w:hAnsi="宋体" w:cs="宋体"/>
                <w:color w:val="auto"/>
                <w:sz w:val="20"/>
                <w:szCs w:val="20"/>
              </w:rPr>
            </w:pPr>
            <w:r>
              <w:rPr>
                <w:rFonts w:hint="eastAsia" w:hAnsi="宋体" w:cs="宋体"/>
                <w:color w:val="auto"/>
                <w:sz w:val="20"/>
                <w:szCs w:val="20"/>
                <w:lang w:bidi="ar"/>
              </w:rPr>
              <w:t>4.</w:t>
            </w:r>
            <w:r>
              <w:rPr>
                <w:rStyle w:val="95"/>
                <w:rFonts w:ascii="宋体" w:hAnsi="宋体" w:cs="宋体"/>
                <w:color w:val="auto"/>
                <w:sz w:val="24"/>
                <w:szCs w:val="24"/>
                <w:lang w:bidi="ar"/>
              </w:rPr>
              <w:t xml:space="preserve"> </w:t>
            </w:r>
            <w:r>
              <w:rPr>
                <w:rFonts w:hint="eastAsia" w:hAnsi="宋体" w:cs="宋体"/>
                <w:color w:val="auto"/>
                <w:sz w:val="20"/>
                <w:szCs w:val="20"/>
                <w:lang w:bidi="ar"/>
              </w:rPr>
              <w:t>外径：76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auto"/>
                <w:sz w:val="20"/>
                <w:szCs w:val="20"/>
              </w:rPr>
            </w:pPr>
            <w:r>
              <w:rPr>
                <w:rFonts w:hint="eastAsia" w:hAnsi="宋体" w:cs="宋体"/>
                <w:color w:val="auto"/>
                <w:sz w:val="20"/>
                <w:szCs w:val="20"/>
                <w:lang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Ansi="宋体" w:cs="宋体"/>
                <w:color w:val="auto"/>
                <w:sz w:val="20"/>
                <w:szCs w:val="20"/>
              </w:rPr>
            </w:pPr>
            <w:r>
              <w:rPr>
                <w:rFonts w:hint="eastAsia" w:hAnsi="宋体" w:cs="宋体"/>
                <w:color w:val="auto"/>
                <w:sz w:val="20"/>
                <w:szCs w:val="20"/>
                <w:lang w:bidi="ar"/>
              </w:rPr>
              <w:t>3</w:t>
            </w:r>
          </w:p>
        </w:tc>
      </w:tr>
    </w:tbl>
    <w:p>
      <w:pPr>
        <w:widowControl/>
        <w:jc w:val="left"/>
        <w:textAlignment w:val="center"/>
        <w:rPr>
          <w:rFonts w:hAnsi="宋体" w:cs="宋体"/>
          <w:b/>
          <w:bCs/>
          <w:color w:val="auto"/>
          <w:sz w:val="21"/>
          <w:szCs w:val="21"/>
        </w:rPr>
      </w:pPr>
      <w:r>
        <w:rPr>
          <w:rFonts w:hint="eastAsia" w:hAnsi="宋体" w:cs="宋体"/>
          <w:b/>
          <w:bCs/>
          <w:color w:val="auto"/>
          <w:sz w:val="21"/>
          <w:szCs w:val="21"/>
        </w:rPr>
        <w:t>注：1、本项目核心产品为电气火灾监控器主机、可燃气体探测主机、消防设备监控电源主机。</w:t>
      </w:r>
    </w:p>
    <w:p>
      <w:pPr>
        <w:widowControl/>
        <w:jc w:val="left"/>
        <w:textAlignment w:val="center"/>
        <w:rPr>
          <w:rFonts w:hAnsi="宋体" w:cs="宋体"/>
          <w:b/>
          <w:bCs/>
          <w:color w:val="auto"/>
          <w:sz w:val="21"/>
          <w:szCs w:val="21"/>
        </w:rPr>
      </w:pPr>
      <w:r>
        <w:rPr>
          <w:rFonts w:hint="eastAsia" w:hAnsi="宋体" w:cs="宋体"/>
          <w:b/>
          <w:bCs/>
          <w:color w:val="auto"/>
          <w:sz w:val="21"/>
          <w:szCs w:val="21"/>
        </w:rPr>
        <w:t>2、▲项是重要参数，为评分项；非▲项是基础参数，必须满足，以应答为准。</w:t>
      </w:r>
    </w:p>
    <w:p>
      <w:pPr>
        <w:widowControl/>
        <w:jc w:val="left"/>
        <w:textAlignment w:val="center"/>
        <w:rPr>
          <w:rFonts w:hint="eastAsia" w:hAnsi="宋体" w:eastAsia="宋体" w:cs="宋体"/>
          <w:b/>
          <w:bCs/>
          <w:color w:val="auto"/>
          <w:sz w:val="21"/>
          <w:szCs w:val="21"/>
          <w:highlight w:val="none"/>
          <w:lang w:val="en-US" w:eastAsia="zh-CN"/>
        </w:rPr>
      </w:pPr>
    </w:p>
    <w:p>
      <w:pPr>
        <w:widowControl/>
        <w:numPr>
          <w:ilvl w:val="0"/>
          <w:numId w:val="14"/>
        </w:numPr>
        <w:spacing w:line="360" w:lineRule="auto"/>
        <w:ind w:right="301"/>
        <w:jc w:val="left"/>
        <w:rPr>
          <w:rFonts w:hint="eastAsia" w:hAnsi="宋体" w:cs="宋体"/>
          <w:b/>
          <w:bCs/>
          <w:color w:val="auto"/>
          <w:sz w:val="24"/>
          <w:highlight w:val="none"/>
          <w:lang w:eastAsia="zh-CN"/>
        </w:rPr>
      </w:pPr>
      <w:r>
        <w:rPr>
          <w:rFonts w:hint="eastAsia" w:hAnsi="宋体" w:cs="宋体"/>
          <w:b/>
          <w:bCs/>
          <w:color w:val="auto"/>
          <w:sz w:val="24"/>
          <w:highlight w:val="none"/>
          <w:lang w:eastAsia="zh-CN"/>
        </w:rPr>
        <w:t>维修服务内容及要求</w:t>
      </w:r>
    </w:p>
    <w:tbl>
      <w:tblPr>
        <w:tblStyle w:val="37"/>
        <w:tblW w:w="9570" w:type="dxa"/>
        <w:tblInd w:w="-230" w:type="dxa"/>
        <w:tblLayout w:type="fixed"/>
        <w:tblCellMar>
          <w:top w:w="0" w:type="dxa"/>
          <w:left w:w="108" w:type="dxa"/>
          <w:bottom w:w="0" w:type="dxa"/>
          <w:right w:w="108" w:type="dxa"/>
        </w:tblCellMar>
      </w:tblPr>
      <w:tblGrid>
        <w:gridCol w:w="809"/>
        <w:gridCol w:w="1444"/>
        <w:gridCol w:w="5907"/>
        <w:gridCol w:w="675"/>
        <w:gridCol w:w="735"/>
      </w:tblGrid>
      <w:tr>
        <w:tblPrEx>
          <w:tblCellMar>
            <w:top w:w="0" w:type="dxa"/>
            <w:left w:w="108" w:type="dxa"/>
            <w:bottom w:w="0" w:type="dxa"/>
            <w:right w:w="108" w:type="dxa"/>
          </w:tblCellMar>
        </w:tblPrEx>
        <w:trPr>
          <w:trHeight w:val="589" w:hRule="atLeast"/>
        </w:trPr>
        <w:tc>
          <w:tcPr>
            <w:tcW w:w="809"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lang w:bidi="ar"/>
              </w:rPr>
            </w:pPr>
            <w:r>
              <w:rPr>
                <w:rFonts w:hint="eastAsia" w:ascii="宋体" w:hAnsi="宋体" w:eastAsia="宋体" w:cs="宋体"/>
                <w:color w:val="auto"/>
                <w:sz w:val="20"/>
                <w:szCs w:val="20"/>
                <w:lang w:bidi="ar"/>
              </w:rPr>
              <w:t>序号</w:t>
            </w:r>
          </w:p>
        </w:tc>
        <w:tc>
          <w:tcPr>
            <w:tcW w:w="144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服务内容</w:t>
            </w:r>
          </w:p>
        </w:tc>
        <w:tc>
          <w:tcPr>
            <w:tcW w:w="590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服务要求</w:t>
            </w:r>
          </w:p>
        </w:tc>
        <w:tc>
          <w:tcPr>
            <w:tcW w:w="67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单位</w:t>
            </w:r>
          </w:p>
        </w:tc>
        <w:tc>
          <w:tcPr>
            <w:tcW w:w="73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数量</w:t>
            </w:r>
          </w:p>
        </w:tc>
      </w:tr>
      <w:tr>
        <w:tblPrEx>
          <w:tblCellMar>
            <w:top w:w="0" w:type="dxa"/>
            <w:left w:w="108" w:type="dxa"/>
            <w:bottom w:w="0" w:type="dxa"/>
            <w:right w:w="108" w:type="dxa"/>
          </w:tblCellMar>
        </w:tblPrEx>
        <w:trPr>
          <w:trHeight w:val="545" w:hRule="atLeast"/>
        </w:trPr>
        <w:tc>
          <w:tcPr>
            <w:tcW w:w="809"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lang w:bidi="ar"/>
              </w:rPr>
            </w:pPr>
            <w:r>
              <w:rPr>
                <w:rFonts w:hint="eastAsia" w:ascii="宋体" w:hAnsi="宋体" w:eastAsia="宋体" w:cs="宋体"/>
                <w:color w:val="auto"/>
                <w:sz w:val="20"/>
                <w:szCs w:val="20"/>
                <w:lang w:bidi="ar"/>
              </w:rPr>
              <w:t>1</w:t>
            </w:r>
          </w:p>
        </w:tc>
        <w:tc>
          <w:tcPr>
            <w:tcW w:w="144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lang w:bidi="ar"/>
              </w:rPr>
            </w:pPr>
            <w:r>
              <w:rPr>
                <w:rFonts w:hint="eastAsia" w:ascii="宋体" w:hAnsi="宋体" w:eastAsia="宋体" w:cs="宋体"/>
                <w:color w:val="auto"/>
                <w:sz w:val="20"/>
                <w:szCs w:val="20"/>
                <w:lang w:bidi="ar"/>
              </w:rPr>
              <w:t>远程启泵调试</w:t>
            </w:r>
          </w:p>
        </w:tc>
        <w:tc>
          <w:tcPr>
            <w:tcW w:w="590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95"/>
                <w:rFonts w:hint="eastAsia" w:ascii="宋体" w:hAnsi="宋体" w:eastAsia="宋体" w:cs="宋体"/>
                <w:color w:val="auto"/>
                <w:sz w:val="20"/>
                <w:szCs w:val="20"/>
                <w:lang w:eastAsia="zh-CN" w:bidi="ar"/>
              </w:rPr>
            </w:pPr>
            <w:r>
              <w:rPr>
                <w:rFonts w:hint="eastAsia" w:ascii="宋体" w:hAnsi="宋体" w:eastAsia="宋体" w:cs="宋体"/>
                <w:color w:val="auto"/>
                <w:sz w:val="20"/>
                <w:szCs w:val="20"/>
                <w:lang w:bidi="ar"/>
              </w:rPr>
              <w:t>1.</w:t>
            </w:r>
            <w:r>
              <w:rPr>
                <w:rStyle w:val="95"/>
                <w:rFonts w:hint="eastAsia" w:ascii="宋体" w:hAnsi="宋体" w:eastAsia="宋体" w:cs="宋体"/>
                <w:color w:val="auto"/>
                <w:sz w:val="20"/>
                <w:szCs w:val="20"/>
                <w:lang w:bidi="ar"/>
              </w:rPr>
              <w:t xml:space="preserve"> 使用纯铜芯1.5</w:t>
            </w:r>
            <w:r>
              <w:rPr>
                <w:rFonts w:hint="eastAsia" w:ascii="宋体" w:hAnsi="宋体" w:eastAsia="宋体" w:cs="宋体"/>
                <w:color w:val="auto"/>
                <w:sz w:val="20"/>
                <w:szCs w:val="20"/>
                <w:lang w:bidi="ar"/>
              </w:rPr>
              <w:t>平方毫米</w:t>
            </w:r>
            <w:r>
              <w:rPr>
                <w:rStyle w:val="95"/>
                <w:rFonts w:hint="eastAsia" w:ascii="宋体" w:hAnsi="宋体" w:eastAsia="宋体" w:cs="宋体"/>
                <w:color w:val="auto"/>
                <w:sz w:val="20"/>
                <w:szCs w:val="20"/>
                <w:lang w:bidi="ar"/>
              </w:rPr>
              <w:t>电源线</w:t>
            </w:r>
          </w:p>
          <w:p>
            <w:pPr>
              <w:widowControl/>
              <w:jc w:val="left"/>
              <w:textAlignment w:val="center"/>
              <w:rPr>
                <w:rFonts w:hint="eastAsia" w:ascii="宋体" w:hAnsi="宋体" w:eastAsia="宋体" w:cs="宋体"/>
                <w:color w:val="auto"/>
                <w:sz w:val="20"/>
                <w:szCs w:val="20"/>
                <w:lang w:bidi="ar"/>
              </w:rPr>
            </w:pPr>
            <w:r>
              <w:rPr>
                <w:rFonts w:hint="eastAsia" w:ascii="宋体" w:hAnsi="宋体" w:eastAsia="宋体" w:cs="宋体"/>
                <w:color w:val="auto"/>
                <w:sz w:val="20"/>
                <w:szCs w:val="20"/>
                <w:lang w:bidi="ar"/>
              </w:rPr>
              <w:t>2.</w:t>
            </w:r>
            <w:r>
              <w:rPr>
                <w:rStyle w:val="95"/>
                <w:rFonts w:hint="eastAsia" w:ascii="宋体" w:hAnsi="宋体" w:eastAsia="宋体" w:cs="宋体"/>
                <w:color w:val="auto"/>
                <w:sz w:val="20"/>
                <w:szCs w:val="20"/>
                <w:lang w:bidi="ar"/>
              </w:rPr>
              <w:t xml:space="preserve"> 调试完成后，在消防控制室能直接启动消防水泵。</w:t>
            </w:r>
          </w:p>
        </w:tc>
        <w:tc>
          <w:tcPr>
            <w:tcW w:w="67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lang w:bidi="ar"/>
              </w:rPr>
            </w:pPr>
            <w:r>
              <w:rPr>
                <w:rFonts w:hint="eastAsia" w:ascii="宋体" w:hAnsi="宋体" w:eastAsia="宋体" w:cs="宋体"/>
                <w:color w:val="auto"/>
                <w:sz w:val="20"/>
                <w:szCs w:val="20"/>
                <w:lang w:bidi="ar"/>
              </w:rPr>
              <w:t>项</w:t>
            </w:r>
          </w:p>
        </w:tc>
        <w:tc>
          <w:tcPr>
            <w:tcW w:w="73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lang w:bidi="ar"/>
              </w:rPr>
            </w:pPr>
            <w:r>
              <w:rPr>
                <w:rFonts w:hint="eastAsia" w:ascii="宋体" w:hAnsi="宋体" w:eastAsia="宋体" w:cs="宋体"/>
                <w:color w:val="auto"/>
                <w:sz w:val="20"/>
                <w:szCs w:val="20"/>
                <w:lang w:bidi="ar"/>
              </w:rPr>
              <w:t>11</w:t>
            </w:r>
          </w:p>
        </w:tc>
      </w:tr>
      <w:tr>
        <w:tblPrEx>
          <w:tblCellMar>
            <w:top w:w="0" w:type="dxa"/>
            <w:left w:w="108" w:type="dxa"/>
            <w:bottom w:w="0" w:type="dxa"/>
            <w:right w:w="108" w:type="dxa"/>
          </w:tblCellMar>
        </w:tblPrEx>
        <w:trPr>
          <w:trHeight w:val="28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2</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喷淋管网排查</w:t>
            </w:r>
          </w:p>
        </w:tc>
        <w:tc>
          <w:tcPr>
            <w:tcW w:w="590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7"/>
              <w:widowControl/>
              <w:numPr>
                <w:ilvl w:val="0"/>
                <w:numId w:val="15"/>
              </w:numPr>
              <w:ind w:firstLineChars="0"/>
              <w:jc w:val="left"/>
              <w:textAlignment w:val="center"/>
              <w:rPr>
                <w:rFonts w:hint="eastAsia" w:ascii="宋体" w:hAnsi="宋体" w:eastAsia="宋体" w:cs="宋体"/>
                <w:color w:val="auto"/>
                <w:sz w:val="20"/>
                <w:szCs w:val="20"/>
                <w:lang w:bidi="ar"/>
              </w:rPr>
            </w:pPr>
            <w:r>
              <w:rPr>
                <w:rFonts w:hint="eastAsia" w:ascii="宋体" w:hAnsi="宋体" w:eastAsia="宋体" w:cs="宋体"/>
                <w:color w:val="auto"/>
                <w:sz w:val="20"/>
                <w:szCs w:val="20"/>
                <w:lang w:bidi="ar"/>
              </w:rPr>
              <w:t>根据各幼儿园实际情况对喷淋管网进行排查，找到漏水点，进行维修，达到准工作状态的要求。</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16</w:t>
            </w:r>
          </w:p>
        </w:tc>
      </w:tr>
      <w:tr>
        <w:tblPrEx>
          <w:tblCellMar>
            <w:top w:w="0" w:type="dxa"/>
            <w:left w:w="108" w:type="dxa"/>
            <w:bottom w:w="0" w:type="dxa"/>
            <w:right w:w="108" w:type="dxa"/>
          </w:tblCellMar>
        </w:tblPrEx>
        <w:trPr>
          <w:trHeight w:val="28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3</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消火栓官网排查</w:t>
            </w:r>
          </w:p>
        </w:tc>
        <w:tc>
          <w:tcPr>
            <w:tcW w:w="5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1.根据各幼儿园实际情况对消火栓管网进行排查，找到漏水点，进行维修，达到准工作状态的要求。</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23</w:t>
            </w:r>
          </w:p>
        </w:tc>
      </w:tr>
      <w:tr>
        <w:tblPrEx>
          <w:tblCellMar>
            <w:top w:w="0" w:type="dxa"/>
            <w:left w:w="108" w:type="dxa"/>
            <w:bottom w:w="0" w:type="dxa"/>
            <w:right w:w="108" w:type="dxa"/>
          </w:tblCellMar>
        </w:tblPrEx>
        <w:trPr>
          <w:trHeight w:val="48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4</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消防水泵维修45KW</w:t>
            </w:r>
          </w:p>
        </w:tc>
        <w:tc>
          <w:tcPr>
            <w:tcW w:w="5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1.根据各幼儿园实际情况对消火栓泵维修，达到正常启泵时的流量及压力要求。</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21</w:t>
            </w:r>
          </w:p>
        </w:tc>
      </w:tr>
      <w:tr>
        <w:tblPrEx>
          <w:tblCellMar>
            <w:top w:w="0" w:type="dxa"/>
            <w:left w:w="108" w:type="dxa"/>
            <w:bottom w:w="0" w:type="dxa"/>
            <w:right w:w="108" w:type="dxa"/>
          </w:tblCellMar>
        </w:tblPrEx>
        <w:trPr>
          <w:trHeight w:val="28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5</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喷淋泵维修45KW</w:t>
            </w:r>
          </w:p>
        </w:tc>
        <w:tc>
          <w:tcPr>
            <w:tcW w:w="5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1.根据各幼儿园实际情况对喷淋泵维修，达到正常启泵时的流量及压力要求。</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11</w:t>
            </w:r>
          </w:p>
        </w:tc>
      </w:tr>
      <w:tr>
        <w:tblPrEx>
          <w:tblCellMar>
            <w:top w:w="0" w:type="dxa"/>
            <w:left w:w="108" w:type="dxa"/>
            <w:bottom w:w="0" w:type="dxa"/>
            <w:right w:w="108" w:type="dxa"/>
          </w:tblCellMar>
        </w:tblPrEx>
        <w:trPr>
          <w:trHeight w:val="48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6</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稳压泵控制柜维修</w:t>
            </w:r>
          </w:p>
        </w:tc>
        <w:tc>
          <w:tcPr>
            <w:tcW w:w="5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1.根据各幼儿园实际情况对稳压泵进行维修，达到正常启动稳压泵的要求。</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3</w:t>
            </w:r>
          </w:p>
        </w:tc>
      </w:tr>
      <w:tr>
        <w:tblPrEx>
          <w:tblCellMar>
            <w:top w:w="0" w:type="dxa"/>
            <w:left w:w="108" w:type="dxa"/>
            <w:bottom w:w="0" w:type="dxa"/>
            <w:right w:w="108" w:type="dxa"/>
          </w:tblCellMar>
        </w:tblPrEx>
        <w:trPr>
          <w:trHeight w:val="28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7</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管道支架制作</w:t>
            </w:r>
          </w:p>
        </w:tc>
        <w:tc>
          <w:tcPr>
            <w:tcW w:w="5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1.</w:t>
            </w:r>
            <w:r>
              <w:rPr>
                <w:rFonts w:hint="eastAsia" w:ascii="宋体" w:hAnsi="宋体" w:eastAsia="宋体" w:cs="宋体"/>
                <w:color w:val="auto"/>
                <w:sz w:val="20"/>
                <w:szCs w:val="20"/>
                <w:shd w:val="clear" w:color="auto" w:fill="FFFFFF"/>
              </w:rPr>
              <w:t xml:space="preserve"> </w:t>
            </w:r>
            <w:r>
              <w:rPr>
                <w:rFonts w:hint="eastAsia" w:ascii="宋体" w:hAnsi="宋体" w:eastAsia="宋体" w:cs="宋体"/>
                <w:color w:val="auto"/>
                <w:sz w:val="20"/>
                <w:szCs w:val="20"/>
                <w:lang w:bidi="ar"/>
              </w:rPr>
              <w:t>支吊架在安装之前要先用油漆刷好，并且按规定来说要刷两遍油漆，先刷一层防锈漆，然后再在外面刷一层面漆。</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32</w:t>
            </w:r>
          </w:p>
        </w:tc>
      </w:tr>
      <w:tr>
        <w:tblPrEx>
          <w:tblCellMar>
            <w:top w:w="0" w:type="dxa"/>
            <w:left w:w="108" w:type="dxa"/>
            <w:bottom w:w="0" w:type="dxa"/>
            <w:right w:w="108" w:type="dxa"/>
          </w:tblCellMar>
        </w:tblPrEx>
        <w:trPr>
          <w:trHeight w:val="28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8</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管道支架安装</w:t>
            </w:r>
          </w:p>
        </w:tc>
        <w:tc>
          <w:tcPr>
            <w:tcW w:w="5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1.</w:t>
            </w:r>
            <w:r>
              <w:rPr>
                <w:rFonts w:hint="eastAsia" w:ascii="宋体" w:hAnsi="宋体" w:eastAsia="宋体" w:cs="宋体"/>
                <w:color w:val="auto"/>
                <w:sz w:val="20"/>
                <w:szCs w:val="20"/>
                <w:shd w:val="clear" w:color="auto" w:fill="FFFFFF"/>
              </w:rPr>
              <w:t xml:space="preserve"> </w:t>
            </w:r>
            <w:r>
              <w:rPr>
                <w:rFonts w:hint="eastAsia" w:ascii="宋体" w:hAnsi="宋体" w:eastAsia="宋体" w:cs="宋体"/>
                <w:color w:val="auto"/>
                <w:sz w:val="20"/>
                <w:szCs w:val="20"/>
                <w:lang w:bidi="ar"/>
              </w:rPr>
              <w:t>控制好支吊架的安装高度，符合规范要求。</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32</w:t>
            </w:r>
          </w:p>
        </w:tc>
      </w:tr>
      <w:tr>
        <w:tblPrEx>
          <w:tblCellMar>
            <w:top w:w="0" w:type="dxa"/>
            <w:left w:w="108" w:type="dxa"/>
            <w:bottom w:w="0" w:type="dxa"/>
            <w:right w:w="108" w:type="dxa"/>
          </w:tblCellMar>
        </w:tblPrEx>
        <w:trPr>
          <w:trHeight w:val="95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9</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CRT图形显示器维修</w:t>
            </w:r>
          </w:p>
        </w:tc>
        <w:tc>
          <w:tcPr>
            <w:tcW w:w="590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7"/>
              <w:widowControl/>
              <w:numPr>
                <w:ilvl w:val="0"/>
                <w:numId w:val="16"/>
              </w:numPr>
              <w:ind w:firstLineChars="0"/>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使CRT图形显示器恢复正常工作状态</w:t>
            </w:r>
          </w:p>
          <w:p>
            <w:pPr>
              <w:pStyle w:val="2"/>
              <w:numPr>
                <w:ilvl w:val="0"/>
                <w:numId w:val="16"/>
              </w:numPr>
              <w:rPr>
                <w:rFonts w:hint="eastAsia" w:ascii="宋体" w:hAnsi="宋体" w:eastAsia="宋体" w:cs="宋体"/>
                <w:b w:val="0"/>
                <w:color w:val="auto"/>
                <w:sz w:val="20"/>
                <w:szCs w:val="20"/>
                <w:lang w:bidi="ar"/>
              </w:rPr>
            </w:pPr>
            <w:r>
              <w:rPr>
                <w:rFonts w:hint="eastAsia" w:ascii="宋体" w:hAnsi="宋体" w:eastAsia="宋体" w:cs="宋体"/>
                <w:b w:val="0"/>
                <w:color w:val="auto"/>
                <w:sz w:val="20"/>
                <w:szCs w:val="20"/>
                <w:lang w:bidi="ar"/>
              </w:rPr>
              <w:t>在正常工作状态下能显示所有点位的具体部位信息。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9</w:t>
            </w:r>
          </w:p>
        </w:tc>
      </w:tr>
      <w:tr>
        <w:tblPrEx>
          <w:tblCellMar>
            <w:top w:w="0" w:type="dxa"/>
            <w:left w:w="108" w:type="dxa"/>
            <w:bottom w:w="0" w:type="dxa"/>
            <w:right w:w="108" w:type="dxa"/>
          </w:tblCellMar>
        </w:tblPrEx>
        <w:trPr>
          <w:trHeight w:val="1108"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10</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应急照明线路排查维修</w:t>
            </w:r>
          </w:p>
        </w:tc>
        <w:tc>
          <w:tcPr>
            <w:tcW w:w="5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1.根据各幼儿园实际情况对线路进行排查，找到短路或接地点进行维修，达到准工作状态的要求。</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11</w:t>
            </w:r>
          </w:p>
        </w:tc>
      </w:tr>
      <w:tr>
        <w:tblPrEx>
          <w:tblCellMar>
            <w:top w:w="0" w:type="dxa"/>
            <w:left w:w="108" w:type="dxa"/>
            <w:bottom w:w="0" w:type="dxa"/>
            <w:right w:w="108" w:type="dxa"/>
          </w:tblCellMar>
        </w:tblPrEx>
        <w:trPr>
          <w:trHeight w:val="6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11</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柴油发电机房风机维修</w:t>
            </w:r>
          </w:p>
        </w:tc>
        <w:tc>
          <w:tcPr>
            <w:tcW w:w="5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1.根据各幼儿园实际情况对风机进行维修，达到准工作状态时的要求。</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2</w:t>
            </w:r>
          </w:p>
        </w:tc>
      </w:tr>
      <w:tr>
        <w:tblPrEx>
          <w:tblCellMar>
            <w:top w:w="0" w:type="dxa"/>
            <w:left w:w="108" w:type="dxa"/>
            <w:bottom w:w="0" w:type="dxa"/>
            <w:right w:w="108" w:type="dxa"/>
          </w:tblCellMar>
        </w:tblPrEx>
        <w:trPr>
          <w:trHeight w:val="76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12</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消防电话线路排查维修</w:t>
            </w:r>
          </w:p>
        </w:tc>
        <w:tc>
          <w:tcPr>
            <w:tcW w:w="5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1.根据各幼儿园实际情况对线路进行排查，找到短路或接地点进行维修，达到准工作状态消防电话接通的要求。</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18</w:t>
            </w:r>
          </w:p>
        </w:tc>
      </w:tr>
      <w:tr>
        <w:tblPrEx>
          <w:tblCellMar>
            <w:top w:w="0" w:type="dxa"/>
            <w:left w:w="108" w:type="dxa"/>
            <w:bottom w:w="0" w:type="dxa"/>
            <w:right w:w="108" w:type="dxa"/>
          </w:tblCellMar>
        </w:tblPrEx>
        <w:trPr>
          <w:trHeight w:val="76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13</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消防控制室主机总线盘维修</w:t>
            </w:r>
          </w:p>
        </w:tc>
        <w:tc>
          <w:tcPr>
            <w:tcW w:w="5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0"/>
                <w:szCs w:val="20"/>
                <w:lang w:bidi="ar"/>
              </w:rPr>
            </w:pPr>
            <w:r>
              <w:rPr>
                <w:rFonts w:hint="eastAsia" w:ascii="宋体" w:hAnsi="宋体" w:eastAsia="宋体" w:cs="宋体"/>
                <w:color w:val="auto"/>
                <w:sz w:val="20"/>
                <w:szCs w:val="20"/>
                <w:lang w:bidi="ar"/>
              </w:rPr>
              <w:t>1.使总线盘恢复正常工作状态</w:t>
            </w:r>
          </w:p>
          <w:p>
            <w:pPr>
              <w:widowControl/>
              <w:textAlignment w:val="center"/>
              <w:rPr>
                <w:rFonts w:hint="eastAsia" w:ascii="宋体" w:hAnsi="宋体" w:eastAsia="宋体" w:cs="宋体"/>
                <w:color w:val="auto"/>
                <w:sz w:val="20"/>
                <w:szCs w:val="20"/>
              </w:rPr>
            </w:pPr>
            <w:r>
              <w:rPr>
                <w:rFonts w:hint="eastAsia" w:ascii="宋体" w:hAnsi="宋体" w:eastAsia="宋体" w:cs="宋体"/>
                <w:b/>
                <w:color w:val="auto"/>
                <w:kern w:val="2"/>
                <w:sz w:val="20"/>
                <w:szCs w:val="20"/>
                <w:lang w:bidi="ar"/>
              </w:rPr>
              <w:t>2.在正常工作状态下能正常启动相应设施设备。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1</w:t>
            </w:r>
          </w:p>
        </w:tc>
      </w:tr>
      <w:tr>
        <w:tblPrEx>
          <w:tblCellMar>
            <w:top w:w="0" w:type="dxa"/>
            <w:left w:w="108" w:type="dxa"/>
            <w:bottom w:w="0" w:type="dxa"/>
            <w:right w:w="108" w:type="dxa"/>
          </w:tblCellMar>
        </w:tblPrEx>
        <w:trPr>
          <w:trHeight w:val="6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14</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双电源风机控制柜维修</w:t>
            </w:r>
          </w:p>
        </w:tc>
        <w:tc>
          <w:tcPr>
            <w:tcW w:w="5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1.根据各幼儿园实际情况对风机控制柜进行维修，达到正常启动风机的要求。</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2</w:t>
            </w:r>
          </w:p>
        </w:tc>
      </w:tr>
      <w:tr>
        <w:tblPrEx>
          <w:tblCellMar>
            <w:top w:w="0" w:type="dxa"/>
            <w:left w:w="108" w:type="dxa"/>
            <w:bottom w:w="0" w:type="dxa"/>
            <w:right w:w="108" w:type="dxa"/>
          </w:tblCellMar>
        </w:tblPrEx>
        <w:trPr>
          <w:trHeight w:val="6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15</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泵房轴流风机维修</w:t>
            </w:r>
          </w:p>
        </w:tc>
        <w:tc>
          <w:tcPr>
            <w:tcW w:w="5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1.根据各幼儿园实际情况对风机进行维修，达到准工作状态时的要求。</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5</w:t>
            </w:r>
          </w:p>
        </w:tc>
      </w:tr>
      <w:tr>
        <w:tblPrEx>
          <w:tblCellMar>
            <w:top w:w="0" w:type="dxa"/>
            <w:left w:w="108" w:type="dxa"/>
            <w:bottom w:w="0" w:type="dxa"/>
            <w:right w:w="108" w:type="dxa"/>
          </w:tblCellMar>
        </w:tblPrEx>
        <w:trPr>
          <w:trHeight w:val="6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16</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火灾自动报警系统检查调试</w:t>
            </w:r>
          </w:p>
        </w:tc>
        <w:tc>
          <w:tcPr>
            <w:tcW w:w="5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1.对火灾自动报警系统进行调试，使其在联动时能正常联动所有消防设施设备的要求。</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20</w:t>
            </w:r>
          </w:p>
        </w:tc>
      </w:tr>
      <w:tr>
        <w:tblPrEx>
          <w:tblCellMar>
            <w:top w:w="0" w:type="dxa"/>
            <w:left w:w="108" w:type="dxa"/>
            <w:bottom w:w="0" w:type="dxa"/>
            <w:right w:w="108" w:type="dxa"/>
          </w:tblCellMar>
        </w:tblPrEx>
        <w:trPr>
          <w:trHeight w:val="76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17</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回路线排查</w:t>
            </w:r>
          </w:p>
        </w:tc>
        <w:tc>
          <w:tcPr>
            <w:tcW w:w="5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1.根据各幼儿园实际情况对线路进行排查，找到短路或接地点进行维修，达到准工作状态所有设施设备全部在线的要求。</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1</w:t>
            </w:r>
          </w:p>
        </w:tc>
      </w:tr>
      <w:tr>
        <w:tblPrEx>
          <w:tblCellMar>
            <w:top w:w="0" w:type="dxa"/>
            <w:left w:w="108" w:type="dxa"/>
            <w:bottom w:w="0" w:type="dxa"/>
            <w:right w:w="108" w:type="dxa"/>
          </w:tblCellMar>
        </w:tblPrEx>
        <w:trPr>
          <w:trHeight w:val="786"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18</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消防广播盘线路检修</w:t>
            </w:r>
          </w:p>
        </w:tc>
        <w:tc>
          <w:tcPr>
            <w:tcW w:w="5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1.根据各幼儿园实际情况对线路进行排查，找到短路或接地点进行维修，达到广播启动时播放的要求。</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6</w:t>
            </w:r>
          </w:p>
        </w:tc>
      </w:tr>
      <w:tr>
        <w:tblPrEx>
          <w:tblCellMar>
            <w:top w:w="0" w:type="dxa"/>
            <w:left w:w="108" w:type="dxa"/>
            <w:bottom w:w="0" w:type="dxa"/>
            <w:right w:w="108" w:type="dxa"/>
          </w:tblCellMar>
        </w:tblPrEx>
        <w:trPr>
          <w:trHeight w:val="722"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19</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消防稳压水泵维修2.2KW</w:t>
            </w:r>
          </w:p>
        </w:tc>
        <w:tc>
          <w:tcPr>
            <w:tcW w:w="5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1.根据各幼儿园实际情况对消稳压泵维修，达到正常启泵时的流量及压力要求。</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bidi="ar"/>
              </w:rPr>
              <w:t>15</w:t>
            </w:r>
          </w:p>
        </w:tc>
      </w:tr>
    </w:tbl>
    <w:p>
      <w:pPr>
        <w:widowControl/>
        <w:numPr>
          <w:ilvl w:val="0"/>
          <w:numId w:val="14"/>
        </w:numPr>
        <w:spacing w:line="360" w:lineRule="auto"/>
        <w:ind w:right="301"/>
        <w:jc w:val="left"/>
        <w:rPr>
          <w:rFonts w:hint="eastAsia" w:hAnsi="宋体" w:eastAsia="宋体" w:cs="宋体"/>
          <w:b/>
          <w:bCs/>
          <w:color w:val="auto"/>
          <w:sz w:val="24"/>
          <w:highlight w:val="none"/>
          <w:lang w:eastAsia="zh-CN"/>
        </w:rPr>
      </w:pPr>
      <w:r>
        <w:rPr>
          <w:rFonts w:hint="eastAsia" w:hAnsi="宋体" w:cs="宋体"/>
          <w:b/>
          <w:bCs/>
          <w:color w:val="auto"/>
          <w:sz w:val="24"/>
          <w:highlight w:val="none"/>
        </w:rPr>
        <w:t>商务条款</w:t>
      </w:r>
      <w:r>
        <w:rPr>
          <w:rFonts w:hint="eastAsia" w:hAnsi="宋体" w:cs="宋体"/>
          <w:b/>
          <w:bCs/>
          <w:color w:val="auto"/>
          <w:sz w:val="24"/>
          <w:highlight w:val="none"/>
          <w:lang w:eastAsia="zh-CN"/>
        </w:rPr>
        <w:t>（实质性要求）</w:t>
      </w:r>
    </w:p>
    <w:p>
      <w:pPr>
        <w:spacing w:after="198" w:line="360" w:lineRule="auto"/>
        <w:ind w:firstLine="420" w:firstLineChars="200"/>
        <w:jc w:val="left"/>
        <w:rPr>
          <w:rFonts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zh-CN"/>
        </w:rPr>
        <w:t>交货时间</w:t>
      </w:r>
      <w:r>
        <w:rPr>
          <w:rFonts w:hint="eastAsia" w:hAnsi="宋体" w:cs="宋体"/>
          <w:color w:val="auto"/>
          <w:sz w:val="21"/>
          <w:szCs w:val="21"/>
          <w:highlight w:val="none"/>
        </w:rPr>
        <w:t>：自合同签订生效之日起90日内完成设备的供货、安装、调试、验收等工作。</w:t>
      </w:r>
    </w:p>
    <w:p>
      <w:pPr>
        <w:spacing w:after="198" w:line="360" w:lineRule="auto"/>
        <w:ind w:firstLine="420" w:firstLineChars="200"/>
        <w:jc w:val="left"/>
        <w:rPr>
          <w:rFonts w:hAnsi="宋体" w:cs="宋体"/>
          <w:color w:val="auto"/>
          <w:sz w:val="21"/>
          <w:szCs w:val="21"/>
          <w:highlight w:val="none"/>
        </w:rPr>
      </w:pPr>
      <w:r>
        <w:rPr>
          <w:rFonts w:hint="eastAsia" w:hAnsi="宋体" w:cs="宋体"/>
          <w:color w:val="auto"/>
          <w:sz w:val="21"/>
          <w:szCs w:val="21"/>
          <w:highlight w:val="none"/>
        </w:rPr>
        <w:t>2、交货地点：所有货物在采购人使用现场安装调试经验收合格后交货。投标人必须按合同的规定，准时提供投标产品和材料并负责所供产品、材料的包装和运输并且免费安装调试。</w:t>
      </w:r>
    </w:p>
    <w:p>
      <w:pPr>
        <w:spacing w:after="198" w:line="360" w:lineRule="auto"/>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3、质保期</w:t>
      </w:r>
      <w:r>
        <w:rPr>
          <w:rFonts w:hint="eastAsia" w:hAnsi="宋体" w:cs="宋体"/>
          <w:color w:val="auto"/>
          <w:sz w:val="21"/>
          <w:szCs w:val="21"/>
          <w:highlight w:val="none"/>
          <w:lang w:eastAsia="zh-CN"/>
        </w:rPr>
        <w:t>：一年。</w:t>
      </w:r>
    </w:p>
    <w:p>
      <w:pPr>
        <w:spacing w:after="198" w:line="360" w:lineRule="auto"/>
        <w:ind w:firstLine="420" w:firstLineChars="200"/>
        <w:jc w:val="left"/>
        <w:rPr>
          <w:rFonts w:hAnsi="宋体" w:cs="宋体"/>
          <w:color w:val="auto"/>
          <w:sz w:val="21"/>
          <w:szCs w:val="21"/>
          <w:highlight w:val="none"/>
        </w:rPr>
      </w:pPr>
      <w:r>
        <w:rPr>
          <w:rFonts w:hint="eastAsia" w:hAnsi="宋体" w:cs="宋体"/>
          <w:color w:val="auto"/>
          <w:sz w:val="21"/>
          <w:szCs w:val="21"/>
          <w:highlight w:val="none"/>
          <w:lang w:val="en-US" w:eastAsia="zh-CN"/>
        </w:rPr>
        <w:t>4、</w:t>
      </w:r>
      <w:r>
        <w:rPr>
          <w:rFonts w:hint="eastAsia" w:hAnsi="宋体" w:cs="宋体"/>
          <w:color w:val="auto"/>
          <w:sz w:val="21"/>
          <w:szCs w:val="21"/>
          <w:highlight w:val="none"/>
        </w:rPr>
        <w:t>付款方式：全部货物安装调试完毕并验收合格之日起，采购人接到供应商通知与票据凭证资料以后的</w:t>
      </w:r>
      <w:r>
        <w:rPr>
          <w:rFonts w:hAnsi="宋体" w:cs="宋体"/>
          <w:color w:val="auto"/>
          <w:sz w:val="21"/>
          <w:szCs w:val="21"/>
          <w:highlight w:val="none"/>
        </w:rPr>
        <w:t>1</w:t>
      </w:r>
      <w:r>
        <w:rPr>
          <w:rFonts w:hint="eastAsia" w:hAnsi="宋体" w:cs="宋体"/>
          <w:color w:val="auto"/>
          <w:sz w:val="21"/>
          <w:szCs w:val="21"/>
          <w:highlight w:val="none"/>
        </w:rPr>
        <w:t>个月内，按照财政性资金支付有关规定，向供应商支付合同价款的90%，质保期满后</w:t>
      </w:r>
      <w:r>
        <w:rPr>
          <w:rFonts w:hint="eastAsia" w:hAnsi="宋体" w:cs="宋体"/>
          <w:color w:val="auto"/>
          <w:sz w:val="21"/>
          <w:szCs w:val="21"/>
          <w:highlight w:val="none"/>
          <w:lang w:eastAsia="zh-CN"/>
        </w:rPr>
        <w:t>结清余款</w:t>
      </w:r>
      <w:r>
        <w:rPr>
          <w:rFonts w:hint="eastAsia" w:hAnsi="宋体" w:cs="宋体"/>
          <w:color w:val="auto"/>
          <w:sz w:val="21"/>
          <w:szCs w:val="21"/>
          <w:highlight w:val="none"/>
        </w:rPr>
        <w:t>。</w:t>
      </w:r>
    </w:p>
    <w:p>
      <w:pPr>
        <w:spacing w:after="198" w:line="360" w:lineRule="auto"/>
        <w:ind w:firstLine="420" w:firstLineChars="200"/>
        <w:jc w:val="left"/>
        <w:rPr>
          <w:rFonts w:hAnsi="宋体" w:cs="宋体"/>
          <w:color w:val="auto"/>
          <w:sz w:val="21"/>
          <w:szCs w:val="21"/>
          <w:highlight w:val="none"/>
        </w:rPr>
      </w:pPr>
      <w:r>
        <w:rPr>
          <w:rFonts w:hint="eastAsia" w:hAnsi="宋体" w:cs="宋体"/>
          <w:color w:val="auto"/>
          <w:sz w:val="21"/>
          <w:szCs w:val="21"/>
          <w:highlight w:val="none"/>
          <w:lang w:val="en-US" w:eastAsia="zh-CN"/>
        </w:rPr>
        <w:t>5</w:t>
      </w:r>
      <w:r>
        <w:rPr>
          <w:rFonts w:hint="eastAsia" w:hAnsi="宋体" w:cs="宋体"/>
          <w:color w:val="auto"/>
          <w:sz w:val="21"/>
          <w:szCs w:val="21"/>
          <w:highlight w:val="none"/>
        </w:rPr>
        <w:t>、 履约验收要求：按照《财政部关于进一步加强政府采购需求和履约验收管理的指导意见》（财库〔2016）205 号）和财政部门最新规定进行验收。</w:t>
      </w:r>
    </w:p>
    <w:p>
      <w:pPr>
        <w:widowControl/>
        <w:spacing w:line="360" w:lineRule="auto"/>
        <w:ind w:right="301"/>
        <w:jc w:val="left"/>
        <w:rPr>
          <w:rFonts w:hAnsi="宋体" w:cs="宋体"/>
          <w:b/>
          <w:bCs/>
          <w:color w:val="auto"/>
          <w:sz w:val="24"/>
          <w:highlight w:val="none"/>
        </w:rPr>
      </w:pPr>
      <w:r>
        <w:rPr>
          <w:rFonts w:hint="eastAsia" w:hAnsi="宋体" w:cs="宋体"/>
          <w:b/>
          <w:bCs/>
          <w:color w:val="auto"/>
          <w:sz w:val="24"/>
          <w:highlight w:val="none"/>
          <w:lang w:eastAsia="zh-CN"/>
        </w:rPr>
        <w:t>五</w:t>
      </w:r>
      <w:r>
        <w:rPr>
          <w:rFonts w:hint="eastAsia" w:hAnsi="宋体" w:cs="宋体"/>
          <w:b/>
          <w:bCs/>
          <w:color w:val="auto"/>
          <w:sz w:val="24"/>
          <w:highlight w:val="none"/>
        </w:rPr>
        <w:t>、售后服务</w:t>
      </w:r>
    </w:p>
    <w:p>
      <w:pPr>
        <w:spacing w:after="198" w:line="360" w:lineRule="auto"/>
        <w:ind w:firstLine="420" w:firstLineChars="200"/>
        <w:jc w:val="left"/>
        <w:rPr>
          <w:rFonts w:hAnsi="宋体" w:cs="宋体"/>
          <w:color w:val="auto"/>
          <w:sz w:val="21"/>
          <w:szCs w:val="21"/>
          <w:highlight w:val="none"/>
        </w:rPr>
      </w:pPr>
      <w:r>
        <w:rPr>
          <w:rFonts w:hint="eastAsia" w:hAnsi="宋体" w:cs="宋体"/>
          <w:color w:val="auto"/>
          <w:sz w:val="21"/>
          <w:szCs w:val="21"/>
          <w:highlight w:val="none"/>
        </w:rPr>
        <w:t>中标人须指派专人负责与采购人联系售后服务事宜，质保期内出现质量问题，中标人在接到通知后4小时内响应到场，8小时内完成维修或更换，并承担修理调换的费用；如货物经中标人3次维修仍不能达到本合同约定的质量标准，视作中标人未能按时交货，采购人有权退货并追究中标人的违约责任。货到现场后由于采购人保管不当造成的问题，中标人亦应负责修复，但费用由采购人负担。</w:t>
      </w:r>
    </w:p>
    <w:p>
      <w:pPr>
        <w:rPr>
          <w:rFonts w:hAnsi="宋体" w:cs="宋体"/>
          <w:b/>
          <w:color w:val="auto"/>
          <w:sz w:val="36"/>
          <w:highlight w:val="none"/>
        </w:rPr>
      </w:pPr>
      <w:bookmarkStart w:id="914" w:name="_Toc7421"/>
      <w:bookmarkStart w:id="915" w:name="_Toc28026"/>
    </w:p>
    <w:p>
      <w:pPr>
        <w:rPr>
          <w:rFonts w:hint="eastAsia" w:hAnsi="宋体" w:cs="宋体"/>
          <w:b/>
          <w:color w:val="auto"/>
          <w:sz w:val="36"/>
          <w:highlight w:val="none"/>
        </w:rPr>
      </w:pPr>
      <w:r>
        <w:rPr>
          <w:rFonts w:hint="eastAsia" w:hAnsi="宋体" w:cs="宋体"/>
          <w:b/>
          <w:color w:val="auto"/>
          <w:sz w:val="36"/>
          <w:highlight w:val="none"/>
        </w:rPr>
        <w:br w:type="page"/>
      </w:r>
    </w:p>
    <w:p>
      <w:pPr>
        <w:widowControl/>
        <w:adjustRightInd w:val="0"/>
        <w:snapToGrid w:val="0"/>
        <w:spacing w:line="360" w:lineRule="auto"/>
        <w:ind w:firstLine="2891" w:firstLineChars="800"/>
        <w:outlineLvl w:val="0"/>
        <w:rPr>
          <w:rFonts w:hAnsi="宋体" w:cs="宋体"/>
          <w:b/>
          <w:color w:val="auto"/>
          <w:sz w:val="36"/>
          <w:highlight w:val="none"/>
        </w:rPr>
      </w:pPr>
      <w:r>
        <w:rPr>
          <w:rFonts w:hint="eastAsia" w:hAnsi="宋体" w:cs="宋体"/>
          <w:b/>
          <w:color w:val="auto"/>
          <w:sz w:val="36"/>
          <w:highlight w:val="none"/>
        </w:rPr>
        <w:t>第七章 评标办法</w:t>
      </w:r>
      <w:bookmarkEnd w:id="893"/>
      <w:bookmarkEnd w:id="911"/>
      <w:bookmarkEnd w:id="912"/>
      <w:bookmarkEnd w:id="913"/>
      <w:bookmarkEnd w:id="914"/>
      <w:bookmarkEnd w:id="915"/>
      <w:bookmarkStart w:id="916" w:name="_Hlt101846155"/>
      <w:bookmarkEnd w:id="916"/>
      <w:bookmarkStart w:id="917" w:name="_Toc208849007"/>
      <w:bookmarkStart w:id="918" w:name="_Toc183582280"/>
      <w:bookmarkStart w:id="919" w:name="_Toc183682415"/>
      <w:bookmarkStart w:id="920" w:name="_Toc217446097"/>
    </w:p>
    <w:p>
      <w:pPr>
        <w:pStyle w:val="5"/>
        <w:numPr>
          <w:ilvl w:val="0"/>
          <w:numId w:val="17"/>
        </w:numPr>
        <w:spacing w:before="0" w:after="0" w:line="440" w:lineRule="exact"/>
        <w:ind w:firstLine="482" w:firstLineChars="200"/>
        <w:rPr>
          <w:rFonts w:ascii="宋体" w:hAnsi="宋体" w:eastAsia="宋体" w:cs="宋体"/>
          <w:bCs w:val="0"/>
          <w:color w:val="auto"/>
          <w:sz w:val="24"/>
          <w:szCs w:val="24"/>
          <w:highlight w:val="none"/>
        </w:rPr>
      </w:pPr>
      <w:bookmarkStart w:id="921" w:name="_Toc309897563"/>
      <w:bookmarkStart w:id="922" w:name="_Toc308188198"/>
      <w:bookmarkStart w:id="923" w:name="_Toc483"/>
      <w:bookmarkStart w:id="924" w:name="_Toc307564896"/>
      <w:bookmarkStart w:id="925" w:name="_Toc11039"/>
      <w:bookmarkStart w:id="926" w:name="_Toc2232"/>
      <w:bookmarkStart w:id="927" w:name="_Toc1543"/>
      <w:bookmarkStart w:id="928" w:name="_Toc307501154"/>
      <w:bookmarkStart w:id="929" w:name="_Toc21302"/>
      <w:bookmarkStart w:id="930" w:name="_Toc23517"/>
      <w:bookmarkStart w:id="931" w:name="_Toc319440188"/>
      <w:bookmarkStart w:id="932" w:name="_Toc25959"/>
      <w:bookmarkStart w:id="933" w:name="_Toc25435"/>
      <w:bookmarkStart w:id="934" w:name="_Toc327196339"/>
      <w:bookmarkStart w:id="935" w:name="_Toc319439946"/>
      <w:bookmarkStart w:id="936" w:name="_Toc4553"/>
      <w:bookmarkStart w:id="937" w:name="_Toc308084645"/>
      <w:bookmarkStart w:id="938" w:name="_Toc3881"/>
      <w:bookmarkStart w:id="939" w:name="_Toc26923"/>
      <w:r>
        <w:rPr>
          <w:rFonts w:hint="eastAsia" w:ascii="宋体" w:hAnsi="宋体" w:eastAsia="宋体" w:cs="宋体"/>
          <w:bCs w:val="0"/>
          <w:color w:val="auto"/>
          <w:sz w:val="24"/>
          <w:szCs w:val="24"/>
          <w:highlight w:val="none"/>
        </w:rPr>
        <w:t>总则</w:t>
      </w:r>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p>
    <w:p>
      <w:pPr>
        <w:numPr>
          <w:ilvl w:val="0"/>
          <w:numId w:val="18"/>
        </w:numPr>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根据《中华人民共和国政府采购法》、《中华人民共和国政府采购法实施条例》和《政府采购货物和服务招标投标管理办法》(财政部令第87号)等法律规章，结合采购项目特点制定本评标办法。</w:t>
      </w:r>
    </w:p>
    <w:p>
      <w:pPr>
        <w:numPr>
          <w:ilvl w:val="0"/>
          <w:numId w:val="18"/>
        </w:numPr>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评标工作由采购代理机构负责组织，具体评标事务由采购代理机构依法组建的评标委员会负责。评标委员会由采购人代表和有关技术、经济等方面的专家组成。</w:t>
      </w:r>
    </w:p>
    <w:p>
      <w:pPr>
        <w:numPr>
          <w:ilvl w:val="0"/>
          <w:numId w:val="18"/>
        </w:numPr>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评标工作应遵循公平、公正、科学及择优的原则，并以相同的评标程序和标准对待所有的投标人。</w:t>
      </w:r>
    </w:p>
    <w:p>
      <w:pPr>
        <w:numPr>
          <w:ilvl w:val="0"/>
          <w:numId w:val="18"/>
        </w:numPr>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评标委员会按照招标文件规定的评标方法和标准进行评标，并独立履行下列职责：</w:t>
      </w:r>
    </w:p>
    <w:p>
      <w:pPr>
        <w:pStyle w:val="33"/>
        <w:numPr>
          <w:ilvl w:val="0"/>
          <w:numId w:val="19"/>
        </w:numPr>
        <w:wordWrap w:val="0"/>
        <w:spacing w:before="0" w:beforeAutospacing="0" w:after="0" w:afterAutospacing="0" w:line="440" w:lineRule="exact"/>
        <w:ind w:firstLine="480" w:firstLineChars="200"/>
        <w:rPr>
          <w:rFonts w:cs="宋体"/>
          <w:color w:val="auto"/>
          <w:sz w:val="24"/>
          <w:szCs w:val="24"/>
          <w:highlight w:val="none"/>
        </w:rPr>
      </w:pPr>
      <w:bookmarkStart w:id="940" w:name="_Toc217446098"/>
      <w:r>
        <w:rPr>
          <w:rFonts w:hint="eastAsia" w:cs="宋体"/>
          <w:color w:val="auto"/>
          <w:sz w:val="24"/>
          <w:szCs w:val="24"/>
          <w:highlight w:val="none"/>
        </w:rPr>
        <w:t>审查、评价投标文件是否符合招标文件的商务、技术等实质性要求；</w:t>
      </w:r>
    </w:p>
    <w:p>
      <w:pPr>
        <w:pStyle w:val="33"/>
        <w:numPr>
          <w:ilvl w:val="0"/>
          <w:numId w:val="19"/>
        </w:numPr>
        <w:wordWrap w:val="0"/>
        <w:spacing w:before="0" w:beforeAutospacing="0" w:after="0" w:afterAutospacing="0" w:line="440" w:lineRule="exact"/>
        <w:ind w:firstLine="480" w:firstLineChars="200"/>
        <w:rPr>
          <w:rFonts w:cs="宋体"/>
          <w:color w:val="auto"/>
          <w:sz w:val="24"/>
          <w:szCs w:val="24"/>
          <w:highlight w:val="none"/>
        </w:rPr>
      </w:pPr>
      <w:r>
        <w:rPr>
          <w:rFonts w:hint="eastAsia" w:cs="宋体"/>
          <w:color w:val="auto"/>
          <w:sz w:val="24"/>
          <w:szCs w:val="24"/>
          <w:highlight w:val="none"/>
        </w:rPr>
        <w:t>要求投标人对投标文件有关事项作出澄清或者说明；</w:t>
      </w:r>
    </w:p>
    <w:p>
      <w:pPr>
        <w:pStyle w:val="33"/>
        <w:numPr>
          <w:ilvl w:val="0"/>
          <w:numId w:val="19"/>
        </w:numPr>
        <w:wordWrap w:val="0"/>
        <w:spacing w:before="0" w:beforeAutospacing="0" w:after="0" w:afterAutospacing="0" w:line="440" w:lineRule="exact"/>
        <w:ind w:firstLine="480" w:firstLineChars="200"/>
        <w:rPr>
          <w:rFonts w:cs="宋体"/>
          <w:color w:val="auto"/>
          <w:sz w:val="24"/>
          <w:szCs w:val="24"/>
          <w:highlight w:val="none"/>
        </w:rPr>
      </w:pPr>
      <w:r>
        <w:rPr>
          <w:rFonts w:hint="eastAsia" w:cs="宋体"/>
          <w:color w:val="auto"/>
          <w:sz w:val="24"/>
          <w:szCs w:val="24"/>
          <w:highlight w:val="none"/>
        </w:rPr>
        <w:t>对投标文件进行比较和评价；</w:t>
      </w:r>
    </w:p>
    <w:p>
      <w:pPr>
        <w:pStyle w:val="33"/>
        <w:numPr>
          <w:ilvl w:val="0"/>
          <w:numId w:val="19"/>
        </w:numPr>
        <w:wordWrap w:val="0"/>
        <w:spacing w:before="0" w:beforeAutospacing="0" w:after="0" w:afterAutospacing="0" w:line="440" w:lineRule="exact"/>
        <w:ind w:firstLine="480" w:firstLineChars="200"/>
        <w:rPr>
          <w:rFonts w:cs="宋体"/>
          <w:color w:val="auto"/>
          <w:sz w:val="24"/>
          <w:szCs w:val="24"/>
          <w:highlight w:val="none"/>
        </w:rPr>
      </w:pPr>
      <w:r>
        <w:rPr>
          <w:rFonts w:hint="eastAsia" w:cs="宋体"/>
          <w:color w:val="auto"/>
          <w:sz w:val="24"/>
          <w:szCs w:val="24"/>
          <w:highlight w:val="none"/>
        </w:rPr>
        <w:t>确定中标候选人名单；</w:t>
      </w:r>
    </w:p>
    <w:p>
      <w:pPr>
        <w:numPr>
          <w:ilvl w:val="0"/>
          <w:numId w:val="19"/>
        </w:numPr>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向采购人、采购代理机构或者有关部门报告评标中发现的违法行为。</w:t>
      </w:r>
    </w:p>
    <w:p>
      <w:pPr>
        <w:numPr>
          <w:ilvl w:val="0"/>
          <w:numId w:val="18"/>
        </w:numPr>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评标过程独立、保密。投标人非法干预评标评标过程的行为将导致其投标文件作为无效处理。</w:t>
      </w:r>
    </w:p>
    <w:p>
      <w:pPr>
        <w:numPr>
          <w:ilvl w:val="0"/>
          <w:numId w:val="18"/>
        </w:numPr>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评标委员会评价投标文件的响应性，对于投标人而言，除评标委员会要求其澄清、说明或者纠正而提供的资料外，仅依据投标文件本身的内容，不寻求其他外部证据。</w:t>
      </w:r>
    </w:p>
    <w:p>
      <w:pPr>
        <w:numPr>
          <w:ilvl w:val="0"/>
          <w:numId w:val="18"/>
        </w:numPr>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评委会发现招标文件表述不明确或需要说明的事项，可提请招标采购单位书面解释说明。发现招标文件违反有关法律、法规和规章的，可以拒绝评标，并向招标采购单位书面说明情况。</w:t>
      </w:r>
    </w:p>
    <w:p>
      <w:pPr>
        <w:pStyle w:val="5"/>
        <w:numPr>
          <w:ilvl w:val="0"/>
          <w:numId w:val="17"/>
        </w:numPr>
        <w:spacing w:before="0" w:after="0" w:line="440" w:lineRule="exact"/>
        <w:ind w:firstLine="482" w:firstLineChars="200"/>
        <w:rPr>
          <w:rFonts w:ascii="宋体" w:hAnsi="宋体" w:eastAsia="宋体" w:cs="宋体"/>
          <w:bCs w:val="0"/>
          <w:color w:val="auto"/>
          <w:sz w:val="24"/>
          <w:szCs w:val="24"/>
          <w:highlight w:val="none"/>
        </w:rPr>
      </w:pPr>
      <w:bookmarkStart w:id="941" w:name="_Toc23669"/>
      <w:bookmarkStart w:id="942" w:name="_Toc10398"/>
      <w:bookmarkStart w:id="943" w:name="_Toc3371"/>
      <w:bookmarkStart w:id="944" w:name="_Toc26792"/>
      <w:bookmarkStart w:id="945" w:name="_Toc276"/>
      <w:bookmarkStart w:id="946" w:name="_Toc14100"/>
      <w:bookmarkStart w:id="947" w:name="_Toc12975"/>
      <w:bookmarkStart w:id="948" w:name="_Toc3915"/>
      <w:bookmarkStart w:id="949" w:name="_Toc8496"/>
      <w:bookmarkStart w:id="950" w:name="_Toc319440189"/>
      <w:bookmarkStart w:id="951" w:name="_Toc327196340"/>
      <w:bookmarkStart w:id="952" w:name="_Toc25612"/>
      <w:bookmarkStart w:id="953" w:name="_Toc5152"/>
      <w:r>
        <w:rPr>
          <w:rFonts w:hint="eastAsia" w:ascii="宋体" w:hAnsi="宋体" w:eastAsia="宋体" w:cs="宋体"/>
          <w:bCs w:val="0"/>
          <w:color w:val="auto"/>
          <w:sz w:val="24"/>
          <w:szCs w:val="24"/>
          <w:highlight w:val="none"/>
        </w:rPr>
        <w:t>评标方法</w:t>
      </w:r>
      <w:bookmarkEnd w:id="941"/>
      <w:bookmarkEnd w:id="942"/>
      <w:bookmarkEnd w:id="943"/>
      <w:bookmarkEnd w:id="944"/>
      <w:bookmarkEnd w:id="945"/>
      <w:bookmarkEnd w:id="946"/>
      <w:bookmarkEnd w:id="947"/>
      <w:bookmarkEnd w:id="948"/>
      <w:bookmarkEnd w:id="949"/>
      <w:bookmarkEnd w:id="950"/>
      <w:bookmarkEnd w:id="951"/>
      <w:bookmarkEnd w:id="952"/>
      <w:bookmarkEnd w:id="953"/>
    </w:p>
    <w:p>
      <w:pPr>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本项目评标方法为：综合评分法。</w:t>
      </w:r>
    </w:p>
    <w:p>
      <w:pPr>
        <w:pStyle w:val="5"/>
        <w:numPr>
          <w:ilvl w:val="0"/>
          <w:numId w:val="17"/>
        </w:numPr>
        <w:spacing w:before="0" w:after="0" w:line="440" w:lineRule="exact"/>
        <w:ind w:firstLine="482" w:firstLineChars="200"/>
        <w:rPr>
          <w:rFonts w:ascii="宋体" w:hAnsi="宋体" w:eastAsia="宋体" w:cs="宋体"/>
          <w:bCs w:val="0"/>
          <w:color w:val="auto"/>
          <w:sz w:val="24"/>
          <w:szCs w:val="24"/>
          <w:highlight w:val="none"/>
        </w:rPr>
      </w:pPr>
      <w:bookmarkStart w:id="954" w:name="_Toc19196"/>
      <w:bookmarkStart w:id="955" w:name="_Toc12883"/>
      <w:bookmarkStart w:id="956" w:name="_Toc5906"/>
      <w:bookmarkStart w:id="957" w:name="_Toc319440190"/>
      <w:bookmarkStart w:id="958" w:name="_Toc17374"/>
      <w:bookmarkStart w:id="959" w:name="_Toc23322"/>
      <w:bookmarkStart w:id="960" w:name="_Toc7390"/>
      <w:bookmarkStart w:id="961" w:name="_Toc17613"/>
      <w:bookmarkStart w:id="962" w:name="_Toc5897"/>
      <w:bookmarkStart w:id="963" w:name="_Toc11380"/>
      <w:bookmarkStart w:id="964" w:name="_Toc9969"/>
      <w:bookmarkStart w:id="965" w:name="_Toc327196341"/>
      <w:bookmarkStart w:id="966" w:name="_Toc27103"/>
      <w:r>
        <w:rPr>
          <w:rFonts w:hint="eastAsia" w:ascii="宋体" w:hAnsi="宋体" w:eastAsia="宋体" w:cs="宋体"/>
          <w:bCs w:val="0"/>
          <w:color w:val="auto"/>
          <w:sz w:val="24"/>
          <w:szCs w:val="24"/>
          <w:highlight w:val="none"/>
        </w:rPr>
        <w:t>评标程序</w:t>
      </w:r>
      <w:bookmarkEnd w:id="940"/>
      <w:bookmarkEnd w:id="954"/>
      <w:bookmarkEnd w:id="955"/>
      <w:bookmarkEnd w:id="956"/>
      <w:bookmarkEnd w:id="957"/>
      <w:bookmarkEnd w:id="958"/>
      <w:bookmarkEnd w:id="959"/>
      <w:bookmarkEnd w:id="960"/>
      <w:bookmarkEnd w:id="961"/>
      <w:bookmarkEnd w:id="962"/>
      <w:bookmarkEnd w:id="963"/>
      <w:bookmarkEnd w:id="964"/>
      <w:bookmarkEnd w:id="965"/>
      <w:bookmarkEnd w:id="966"/>
    </w:p>
    <w:p>
      <w:pPr>
        <w:numPr>
          <w:ilvl w:val="0"/>
          <w:numId w:val="20"/>
        </w:numPr>
        <w:spacing w:line="440" w:lineRule="exact"/>
        <w:ind w:firstLine="482" w:firstLineChars="200"/>
        <w:rPr>
          <w:rFonts w:hAnsi="宋体" w:cs="宋体"/>
          <w:b/>
          <w:bCs/>
          <w:color w:val="auto"/>
          <w:sz w:val="24"/>
          <w:highlight w:val="none"/>
        </w:rPr>
      </w:pPr>
      <w:r>
        <w:rPr>
          <w:rFonts w:hint="eastAsia" w:hAnsi="宋体" w:cs="宋体"/>
          <w:b/>
          <w:bCs/>
          <w:color w:val="auto"/>
          <w:sz w:val="24"/>
          <w:highlight w:val="none"/>
        </w:rPr>
        <w:t>熟悉招标文件和停止评标</w:t>
      </w:r>
    </w:p>
    <w:p>
      <w:pPr>
        <w:numPr>
          <w:ilvl w:val="0"/>
          <w:numId w:val="21"/>
        </w:numPr>
        <w:tabs>
          <w:tab w:val="left" w:pos="0"/>
        </w:tabs>
        <w:spacing w:line="400" w:lineRule="exact"/>
        <w:ind w:firstLine="480" w:firstLineChars="200"/>
        <w:rPr>
          <w:rFonts w:hAnsi="宋体" w:cs="宋体"/>
          <w:color w:val="auto"/>
          <w:sz w:val="24"/>
          <w:highlight w:val="none"/>
        </w:rPr>
      </w:pPr>
      <w:r>
        <w:rPr>
          <w:rFonts w:hint="eastAsia" w:hAnsi="宋体" w:cs="宋体"/>
          <w:color w:val="auto"/>
          <w:sz w:val="24"/>
          <w:highlight w:val="none"/>
        </w:rPr>
        <w:t>评标委员会正式评标前，应当熟悉招标文件，主要包括招标文件中符合性审查内容、采购项目技术、服务和商务要求、评标方法和标准以及政府采购合同主要条款等。</w:t>
      </w:r>
    </w:p>
    <w:p>
      <w:pPr>
        <w:numPr>
          <w:ilvl w:val="0"/>
          <w:numId w:val="21"/>
        </w:numPr>
        <w:tabs>
          <w:tab w:val="left" w:pos="0"/>
        </w:tabs>
        <w:spacing w:line="400" w:lineRule="exact"/>
        <w:ind w:firstLine="480" w:firstLineChars="200"/>
        <w:rPr>
          <w:rFonts w:hAnsi="宋体" w:cs="宋体"/>
          <w:color w:val="auto"/>
          <w:sz w:val="24"/>
          <w:highlight w:val="none"/>
        </w:rPr>
      </w:pPr>
      <w:r>
        <w:rPr>
          <w:rFonts w:hint="eastAsia" w:hAnsi="宋体" w:cs="宋体"/>
          <w:color w:val="auto"/>
          <w:sz w:val="24"/>
          <w:highlight w:val="none"/>
        </w:rPr>
        <w:t>招标文件有下列情形之一的，评标委员会应当停止评标：</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(1)招标文件的规定存在歧义、重大缺陷的；</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(2)招标文件明显以不合理条件对供应商实行差别待遇或者歧视待遇的；</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(3)采购项目属于国家规定的优先、强制采购范围，但是招标文件未依法体现优先、强制采购相关规定的；</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(4)采购项目属于政府采购促进中小企业发展的范围，但是招标文件未依法体现促进中小企业发展相关规定的；</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(5)招标文件规定的评标方法是综合评分法、最低评标价法之外的评标方法，或者虽然名称为综合评分法、最低评标价法，但实际上不符合国家规定；</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(6)招标文件将投标人的资格条件列为评分因素的；</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(7)招标文件有违反国家其他有关强制性规定的情形。</w:t>
      </w:r>
    </w:p>
    <w:p>
      <w:pPr>
        <w:numPr>
          <w:ilvl w:val="0"/>
          <w:numId w:val="21"/>
        </w:numPr>
        <w:tabs>
          <w:tab w:val="left" w:pos="0"/>
        </w:tabs>
        <w:spacing w:line="400" w:lineRule="exact"/>
        <w:ind w:firstLine="480" w:firstLineChars="200"/>
        <w:rPr>
          <w:rFonts w:hAnsi="宋体" w:cs="宋体"/>
          <w:color w:val="auto"/>
          <w:sz w:val="24"/>
          <w:highlight w:val="none"/>
        </w:rPr>
      </w:pPr>
      <w:r>
        <w:rPr>
          <w:rFonts w:hint="eastAsia" w:hAnsi="宋体" w:cs="宋体"/>
          <w:color w:val="auto"/>
          <w:sz w:val="24"/>
          <w:highlight w:val="none"/>
        </w:rPr>
        <w:t>评标过程中有下列情形之一的，评标委员会成员可以停止评标：</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(1)招标采购单位未提供必要的与采购项目有关的政策制度文件或者采购文件，继续评标将导致违法或者错误评标的；</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(2)有关单位和个人非法干预评标委员会依法独立评标的；</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(3)其他导致评标委员会无法正常履职的情形。</w:t>
      </w:r>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4、出现本条规定应当停止评标或者可以停止评标情形的，评标委员会成员应当向招标采购单位书面说明情况。除本条规定的情形外，评标委员会成员不得以任何方式和理由停止评标。</w:t>
      </w:r>
    </w:p>
    <w:p>
      <w:pPr>
        <w:spacing w:line="440" w:lineRule="exact"/>
        <w:ind w:firstLine="480" w:firstLineChars="200"/>
        <w:rPr>
          <w:rFonts w:hAnsi="宋体" w:cs="宋体"/>
          <w:b/>
          <w:bCs/>
          <w:color w:val="auto"/>
          <w:sz w:val="24"/>
          <w:highlight w:val="none"/>
        </w:rPr>
      </w:pPr>
      <w:r>
        <w:rPr>
          <w:rFonts w:hint="eastAsia" w:hAnsi="宋体" w:cs="宋体"/>
          <w:color w:val="auto"/>
          <w:sz w:val="24"/>
          <w:highlight w:val="none"/>
        </w:rPr>
        <w:t>（二）</w:t>
      </w:r>
      <w:r>
        <w:rPr>
          <w:rFonts w:hint="eastAsia" w:hAnsi="宋体" w:cs="宋体"/>
          <w:b/>
          <w:bCs/>
          <w:color w:val="auto"/>
          <w:sz w:val="24"/>
          <w:highlight w:val="none"/>
        </w:rPr>
        <w:t>符合性审查</w:t>
      </w:r>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2.投标文件有其他不影响采购项目实质性要求的情形，本项目不作为实质性要求进行规定，即不作为符合性审查事项，不得作为无效投标处理。</w:t>
      </w:r>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3.依据招标文件的规定，从投标文件（资格性响应文件除外）的有效性、完整性和对招标文件的响应程度进行审查，以确定是否对招标文件的实质性要求作出响应。符合性审查标准见下表：</w:t>
      </w:r>
    </w:p>
    <w:p>
      <w:pPr>
        <w:rPr>
          <w:rFonts w:hAnsi="宋体" w:cs="宋体"/>
          <w:color w:val="auto"/>
          <w:sz w:val="24"/>
          <w:highlight w:val="none"/>
        </w:rPr>
      </w:pPr>
      <w:r>
        <w:rPr>
          <w:rFonts w:hint="eastAsia" w:hAnsi="宋体" w:cs="宋体"/>
          <w:color w:val="auto"/>
          <w:sz w:val="24"/>
          <w:highlight w:val="none"/>
        </w:rPr>
        <w:br w:type="page"/>
      </w:r>
    </w:p>
    <w:p>
      <w:pPr>
        <w:pStyle w:val="14"/>
        <w:rPr>
          <w:rFonts w:ascii="宋体" w:hAnsi="宋体" w:cs="宋体"/>
          <w:color w:val="auto"/>
          <w:highlight w:val="none"/>
        </w:rPr>
      </w:pPr>
    </w:p>
    <w:tbl>
      <w:tblPr>
        <w:tblStyle w:val="3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68"/>
        <w:gridCol w:w="581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5" w:type="dxa"/>
            <w:vAlign w:val="center"/>
          </w:tcPr>
          <w:p>
            <w:pPr>
              <w:widowControl/>
              <w:jc w:val="center"/>
              <w:rPr>
                <w:rFonts w:hAnsi="宋体" w:cs="宋体"/>
                <w:b/>
                <w:bCs/>
                <w:color w:val="auto"/>
                <w:sz w:val="21"/>
                <w:szCs w:val="21"/>
                <w:highlight w:val="none"/>
              </w:rPr>
            </w:pPr>
            <w:r>
              <w:rPr>
                <w:rFonts w:hint="eastAsia" w:hAnsi="宋体" w:cs="宋体"/>
                <w:b/>
                <w:bCs/>
                <w:color w:val="auto"/>
                <w:sz w:val="21"/>
                <w:szCs w:val="21"/>
                <w:highlight w:val="none"/>
              </w:rPr>
              <w:t>序号</w:t>
            </w:r>
          </w:p>
        </w:tc>
        <w:tc>
          <w:tcPr>
            <w:tcW w:w="2268" w:type="dxa"/>
            <w:vAlign w:val="center"/>
          </w:tcPr>
          <w:p>
            <w:pPr>
              <w:jc w:val="center"/>
              <w:rPr>
                <w:rFonts w:hAnsi="宋体" w:cs="宋体"/>
                <w:b/>
                <w:bCs/>
                <w:color w:val="auto"/>
                <w:sz w:val="21"/>
                <w:szCs w:val="21"/>
                <w:highlight w:val="none"/>
              </w:rPr>
            </w:pPr>
            <w:r>
              <w:rPr>
                <w:rFonts w:hint="eastAsia" w:hAnsi="宋体" w:cs="宋体"/>
                <w:b/>
                <w:bCs/>
                <w:color w:val="auto"/>
                <w:sz w:val="21"/>
                <w:szCs w:val="21"/>
                <w:highlight w:val="none"/>
              </w:rPr>
              <w:t>符合性审查项</w:t>
            </w:r>
          </w:p>
        </w:tc>
        <w:tc>
          <w:tcPr>
            <w:tcW w:w="5812" w:type="dxa"/>
            <w:vAlign w:val="center"/>
          </w:tcPr>
          <w:p>
            <w:pPr>
              <w:widowControl/>
              <w:jc w:val="center"/>
              <w:rPr>
                <w:rFonts w:hAnsi="宋体" w:cs="宋体"/>
                <w:b/>
                <w:bCs/>
                <w:color w:val="auto"/>
                <w:sz w:val="21"/>
                <w:szCs w:val="21"/>
                <w:highlight w:val="none"/>
              </w:rPr>
            </w:pPr>
            <w:r>
              <w:rPr>
                <w:rFonts w:hint="eastAsia" w:hAnsi="宋体" w:cs="宋体"/>
                <w:b/>
                <w:bCs/>
                <w:color w:val="auto"/>
                <w:sz w:val="21"/>
                <w:szCs w:val="21"/>
                <w:highlight w:val="none"/>
              </w:rPr>
              <w:t>通过条件</w:t>
            </w:r>
          </w:p>
        </w:tc>
        <w:tc>
          <w:tcPr>
            <w:tcW w:w="851" w:type="dxa"/>
            <w:vAlign w:val="center"/>
          </w:tcPr>
          <w:p>
            <w:pPr>
              <w:widowControl/>
              <w:jc w:val="center"/>
              <w:rPr>
                <w:rFonts w:hAnsi="宋体" w:cs="宋体"/>
                <w:b/>
                <w:bCs/>
                <w:color w:val="auto"/>
                <w:sz w:val="21"/>
                <w:szCs w:val="21"/>
                <w:highlight w:val="none"/>
              </w:rPr>
            </w:pPr>
            <w:r>
              <w:rPr>
                <w:rFonts w:hint="eastAsia" w:hAnsi="宋体" w:cs="宋体"/>
                <w:b/>
                <w:bCs/>
                <w:color w:val="auto"/>
                <w:sz w:val="21"/>
                <w:szCs w:val="21"/>
                <w:highlight w:val="none"/>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675" w:type="dxa"/>
            <w:vAlign w:val="center"/>
          </w:tcPr>
          <w:p>
            <w:pPr>
              <w:jc w:val="center"/>
              <w:rPr>
                <w:rFonts w:hAnsi="宋体" w:cs="宋体"/>
                <w:bCs/>
                <w:color w:val="auto"/>
                <w:sz w:val="21"/>
                <w:szCs w:val="21"/>
                <w:highlight w:val="none"/>
              </w:rPr>
            </w:pPr>
            <w:r>
              <w:rPr>
                <w:rFonts w:hint="eastAsia" w:hAnsi="宋体" w:cs="宋体"/>
                <w:bCs/>
                <w:color w:val="auto"/>
                <w:sz w:val="21"/>
                <w:szCs w:val="21"/>
                <w:highlight w:val="none"/>
              </w:rPr>
              <w:t>1</w:t>
            </w:r>
          </w:p>
        </w:tc>
        <w:tc>
          <w:tcPr>
            <w:tcW w:w="2268" w:type="dxa"/>
            <w:vAlign w:val="center"/>
          </w:tcPr>
          <w:p>
            <w:pPr>
              <w:spacing w:line="360" w:lineRule="auto"/>
              <w:rPr>
                <w:rFonts w:hAnsi="宋体" w:cs="宋体"/>
                <w:color w:val="auto"/>
                <w:sz w:val="21"/>
                <w:szCs w:val="21"/>
                <w:highlight w:val="none"/>
              </w:rPr>
            </w:pPr>
            <w:r>
              <w:rPr>
                <w:rFonts w:hint="eastAsia" w:hAnsi="宋体" w:cs="宋体"/>
                <w:color w:val="auto"/>
                <w:sz w:val="21"/>
                <w:szCs w:val="21"/>
                <w:highlight w:val="none"/>
              </w:rPr>
              <w:t>采购预算、最高限价</w:t>
            </w:r>
          </w:p>
        </w:tc>
        <w:tc>
          <w:tcPr>
            <w:tcW w:w="5812" w:type="dxa"/>
            <w:vAlign w:val="center"/>
          </w:tcPr>
          <w:p>
            <w:pPr>
              <w:spacing w:line="360" w:lineRule="auto"/>
              <w:rPr>
                <w:rFonts w:hAnsi="宋体" w:cs="宋体"/>
                <w:color w:val="auto"/>
                <w:sz w:val="21"/>
                <w:szCs w:val="21"/>
                <w:highlight w:val="none"/>
              </w:rPr>
            </w:pPr>
            <w:r>
              <w:rPr>
                <w:rFonts w:hint="eastAsia" w:hAnsi="宋体" w:cs="宋体"/>
                <w:color w:val="auto"/>
                <w:sz w:val="21"/>
                <w:szCs w:val="21"/>
                <w:highlight w:val="none"/>
              </w:rPr>
              <w:t>投标人投标文件中的报价均未超过采购预算和最高限价要求</w:t>
            </w:r>
          </w:p>
        </w:tc>
        <w:tc>
          <w:tcPr>
            <w:tcW w:w="851" w:type="dxa"/>
            <w:vAlign w:val="center"/>
          </w:tcPr>
          <w:p>
            <w:pPr>
              <w:widowControl/>
              <w:jc w:val="center"/>
              <w:rPr>
                <w:rFonts w:hAnsi="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675" w:type="dxa"/>
            <w:vAlign w:val="center"/>
          </w:tcPr>
          <w:p>
            <w:pPr>
              <w:jc w:val="center"/>
              <w:rPr>
                <w:rFonts w:hAnsi="宋体" w:cs="宋体"/>
                <w:bCs/>
                <w:color w:val="auto"/>
                <w:sz w:val="21"/>
                <w:szCs w:val="21"/>
                <w:highlight w:val="none"/>
              </w:rPr>
            </w:pPr>
            <w:r>
              <w:rPr>
                <w:rFonts w:hint="eastAsia" w:hAnsi="宋体" w:cs="宋体"/>
                <w:bCs/>
                <w:color w:val="auto"/>
                <w:sz w:val="21"/>
                <w:szCs w:val="21"/>
                <w:highlight w:val="none"/>
              </w:rPr>
              <w:t>2</w:t>
            </w:r>
          </w:p>
        </w:tc>
        <w:tc>
          <w:tcPr>
            <w:tcW w:w="2268" w:type="dxa"/>
            <w:vAlign w:val="center"/>
          </w:tcPr>
          <w:p>
            <w:pPr>
              <w:spacing w:line="360" w:lineRule="auto"/>
              <w:rPr>
                <w:rFonts w:hAnsi="宋体" w:cs="宋体"/>
                <w:color w:val="auto"/>
                <w:sz w:val="21"/>
                <w:szCs w:val="21"/>
                <w:highlight w:val="none"/>
              </w:rPr>
            </w:pPr>
            <w:r>
              <w:rPr>
                <w:rFonts w:hint="eastAsia" w:hAnsi="宋体" w:cs="宋体"/>
                <w:color w:val="auto"/>
                <w:sz w:val="21"/>
                <w:szCs w:val="21"/>
                <w:highlight w:val="none"/>
              </w:rPr>
              <w:t>投标文件的语言、计量单位、报价货币、投标有效期</w:t>
            </w:r>
          </w:p>
        </w:tc>
        <w:tc>
          <w:tcPr>
            <w:tcW w:w="5812" w:type="dxa"/>
            <w:vAlign w:val="center"/>
          </w:tcPr>
          <w:p>
            <w:pPr>
              <w:spacing w:line="360" w:lineRule="auto"/>
              <w:ind w:left="33"/>
              <w:rPr>
                <w:rFonts w:hAnsi="宋体" w:cs="宋体"/>
                <w:color w:val="auto"/>
                <w:sz w:val="21"/>
                <w:szCs w:val="21"/>
                <w:highlight w:val="none"/>
              </w:rPr>
            </w:pPr>
            <w:r>
              <w:rPr>
                <w:rFonts w:hint="eastAsia" w:hAnsi="宋体" w:cs="宋体"/>
                <w:color w:val="auto"/>
                <w:sz w:val="21"/>
                <w:szCs w:val="21"/>
                <w:highlight w:val="none"/>
              </w:rPr>
              <w:t>计量单位、语言、报价货币、投标有效期均符合招标文件的要求。</w:t>
            </w:r>
          </w:p>
        </w:tc>
        <w:tc>
          <w:tcPr>
            <w:tcW w:w="851" w:type="dxa"/>
            <w:vAlign w:val="center"/>
          </w:tcPr>
          <w:p>
            <w:pPr>
              <w:widowControl/>
              <w:jc w:val="center"/>
              <w:rPr>
                <w:rFonts w:hAnsi="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675" w:type="dxa"/>
            <w:vAlign w:val="center"/>
          </w:tcPr>
          <w:p>
            <w:pPr>
              <w:jc w:val="center"/>
              <w:rPr>
                <w:rFonts w:hAnsi="宋体" w:cs="宋体"/>
                <w:bCs/>
                <w:color w:val="auto"/>
                <w:sz w:val="21"/>
                <w:szCs w:val="21"/>
                <w:highlight w:val="none"/>
              </w:rPr>
            </w:pPr>
            <w:r>
              <w:rPr>
                <w:rFonts w:hint="eastAsia" w:hAnsi="宋体" w:cs="宋体"/>
                <w:bCs/>
                <w:color w:val="auto"/>
                <w:sz w:val="21"/>
                <w:szCs w:val="21"/>
                <w:highlight w:val="none"/>
              </w:rPr>
              <w:t>3</w:t>
            </w:r>
          </w:p>
        </w:tc>
        <w:tc>
          <w:tcPr>
            <w:tcW w:w="2268" w:type="dxa"/>
            <w:vAlign w:val="center"/>
          </w:tcPr>
          <w:p>
            <w:pPr>
              <w:spacing w:line="360" w:lineRule="auto"/>
              <w:rPr>
                <w:rFonts w:hAnsi="宋体" w:cs="宋体"/>
                <w:color w:val="auto"/>
                <w:sz w:val="21"/>
                <w:szCs w:val="21"/>
                <w:highlight w:val="none"/>
              </w:rPr>
            </w:pPr>
            <w:r>
              <w:rPr>
                <w:rFonts w:hint="eastAsia" w:hAnsi="宋体" w:cs="宋体"/>
                <w:color w:val="auto"/>
                <w:sz w:val="21"/>
                <w:szCs w:val="21"/>
                <w:highlight w:val="none"/>
              </w:rPr>
              <w:t>投标文件报价</w:t>
            </w:r>
          </w:p>
        </w:tc>
        <w:tc>
          <w:tcPr>
            <w:tcW w:w="5812" w:type="dxa"/>
            <w:vAlign w:val="center"/>
          </w:tcPr>
          <w:p>
            <w:pPr>
              <w:widowControl/>
              <w:spacing w:line="360" w:lineRule="auto"/>
              <w:rPr>
                <w:rFonts w:hAnsi="宋体" w:cs="宋体"/>
                <w:color w:val="auto"/>
                <w:sz w:val="21"/>
                <w:szCs w:val="21"/>
                <w:highlight w:val="none"/>
              </w:rPr>
            </w:pPr>
            <w:r>
              <w:rPr>
                <w:rFonts w:hint="eastAsia" w:hAnsi="宋体" w:cs="宋体"/>
                <w:color w:val="auto"/>
                <w:sz w:val="21"/>
                <w:szCs w:val="21"/>
                <w:highlight w:val="none"/>
              </w:rPr>
              <w:t>（1）报价唯一（说明：报价出现下列情况的，按以下原则处理，并以修正后的价格作为投标人的投标报价：①投标文件中的大写金额和小写金额不一致的，以大写金额为准，但大写金额出现文字错误，导致金额无法判断的除外；单价金额小数点或者百分比有明显错位的，以总价为准，并修改单价；总价金额与按单价汇总金额不一致的，以单价金额计算结果为准；同时出现两种以上不一致的，按照前款规定的顺序修正。修正后的报价经投标人以书面形式通过政府采购云平台进行确认，并加盖投标人（法定名称）电子签章，投标人逾时确认的，其投标无效。</w:t>
            </w:r>
          </w:p>
          <w:p>
            <w:pPr>
              <w:widowControl/>
              <w:spacing w:line="360" w:lineRule="auto"/>
              <w:rPr>
                <w:rFonts w:hAnsi="宋体" w:cs="宋体"/>
                <w:color w:val="auto"/>
                <w:sz w:val="21"/>
                <w:szCs w:val="21"/>
                <w:highlight w:val="none"/>
              </w:rPr>
            </w:pPr>
            <w:r>
              <w:rPr>
                <w:rFonts w:hint="eastAsia" w:hAnsi="宋体" w:cs="宋体"/>
                <w:color w:val="auto"/>
                <w:sz w:val="21"/>
                <w:szCs w:val="21"/>
                <w:highlight w:val="none"/>
              </w:rPr>
              <w:t>（2）投标人的报价是投标人响应招标项目要求的全部工作内容的价格体现，包括投标人完成本项目所需的一切费用；</w:t>
            </w:r>
          </w:p>
          <w:p>
            <w:pPr>
              <w:widowControl/>
              <w:spacing w:line="360" w:lineRule="auto"/>
              <w:rPr>
                <w:rFonts w:hAnsi="宋体" w:cs="宋体"/>
                <w:color w:val="auto"/>
                <w:sz w:val="21"/>
                <w:szCs w:val="21"/>
                <w:highlight w:val="none"/>
              </w:rPr>
            </w:pPr>
            <w:r>
              <w:rPr>
                <w:rFonts w:hint="eastAsia" w:hAnsi="宋体" w:cs="宋体"/>
                <w:color w:val="auto"/>
                <w:sz w:val="21"/>
                <w:szCs w:val="21"/>
                <w:highlight w:val="none"/>
              </w:rPr>
              <w:t>（3）供应商的投标文件、响应文件涉嫌无偿或明显低于成本价报价的（明显低于成本的参考标准建议为：低于采购预算50%或者低于其他有效投标人报价算术平均价40%），有可能影响产品质量或者不能诚信履约的，评标委员会应当要求其在评标现场合理的时间内提供成本构成书面说明，并提交相关证明材料。供应商书面说明应当按照国家财务会计制度的规定要求， 逐项就供应商提供的货物、工程和服务的主营业务成本（应根据供应商企业类型予以区别）、税金及附加、销售费用、管理费用、财务费用等成本构成事项详细陈述。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p>
            <w:pPr>
              <w:widowControl/>
              <w:spacing w:line="360" w:lineRule="auto"/>
              <w:rPr>
                <w:rFonts w:hAnsi="宋体" w:cs="宋体"/>
                <w:color w:val="auto"/>
                <w:sz w:val="21"/>
                <w:szCs w:val="21"/>
                <w:highlight w:val="none"/>
              </w:rPr>
            </w:pPr>
            <w:r>
              <w:rPr>
                <w:rFonts w:hint="eastAsia" w:hAnsi="宋体" w:cs="宋体"/>
                <w:color w:val="auto"/>
                <w:sz w:val="21"/>
                <w:szCs w:val="21"/>
                <w:highlight w:val="none"/>
              </w:rPr>
              <w:t>注：因本项目为不见面开标，涉及提供相关书面说明的，以政府采购云平台的实际操作为准。如因断电、断网、系统故障或其他不可抗力等因素，导致系统无法使用的，由投标人按评标委员会的要求进行澄清或者说明。</w:t>
            </w:r>
          </w:p>
        </w:tc>
        <w:tc>
          <w:tcPr>
            <w:tcW w:w="851" w:type="dxa"/>
            <w:vAlign w:val="center"/>
          </w:tcPr>
          <w:p>
            <w:pPr>
              <w:widowControl/>
              <w:jc w:val="center"/>
              <w:rPr>
                <w:rFonts w:hAnsi="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675" w:type="dxa"/>
            <w:vAlign w:val="center"/>
          </w:tcPr>
          <w:p>
            <w:pPr>
              <w:jc w:val="center"/>
              <w:rPr>
                <w:rFonts w:hAnsi="宋体" w:cs="宋体"/>
                <w:bCs/>
                <w:color w:val="auto"/>
                <w:sz w:val="21"/>
                <w:szCs w:val="21"/>
                <w:highlight w:val="none"/>
              </w:rPr>
            </w:pPr>
            <w:r>
              <w:rPr>
                <w:rFonts w:hint="eastAsia" w:hAnsi="宋体" w:cs="宋体"/>
                <w:bCs/>
                <w:color w:val="auto"/>
                <w:sz w:val="21"/>
                <w:szCs w:val="21"/>
                <w:highlight w:val="none"/>
              </w:rPr>
              <w:t>4</w:t>
            </w:r>
          </w:p>
        </w:tc>
        <w:tc>
          <w:tcPr>
            <w:tcW w:w="2268" w:type="dxa"/>
            <w:vAlign w:val="center"/>
          </w:tcPr>
          <w:p>
            <w:pPr>
              <w:spacing w:line="360" w:lineRule="auto"/>
              <w:rPr>
                <w:rFonts w:hAnsi="宋体" w:cs="宋体"/>
                <w:color w:val="auto"/>
                <w:sz w:val="21"/>
                <w:szCs w:val="21"/>
                <w:highlight w:val="none"/>
              </w:rPr>
            </w:pPr>
            <w:r>
              <w:rPr>
                <w:rFonts w:hint="eastAsia" w:hAnsi="宋体" w:cs="宋体"/>
                <w:color w:val="auto"/>
                <w:sz w:val="21"/>
                <w:szCs w:val="21"/>
                <w:highlight w:val="none"/>
              </w:rPr>
              <w:t>投标文件的制作、签章、加密</w:t>
            </w:r>
          </w:p>
        </w:tc>
        <w:tc>
          <w:tcPr>
            <w:tcW w:w="5812" w:type="dxa"/>
            <w:vAlign w:val="center"/>
          </w:tcPr>
          <w:p>
            <w:pPr>
              <w:spacing w:line="360" w:lineRule="auto"/>
              <w:rPr>
                <w:rFonts w:hAnsi="宋体" w:cs="宋体"/>
                <w:color w:val="auto"/>
                <w:sz w:val="21"/>
                <w:szCs w:val="21"/>
                <w:highlight w:val="none"/>
              </w:rPr>
            </w:pPr>
            <w:r>
              <w:rPr>
                <w:rFonts w:hint="eastAsia" w:hAnsi="宋体" w:cs="宋体"/>
                <w:color w:val="auto"/>
                <w:sz w:val="21"/>
                <w:szCs w:val="21"/>
                <w:highlight w:val="none"/>
              </w:rPr>
              <w:t>投标文件按照招标文件的要求制作、签章、加密（招标文件第二章第18条的要求）</w:t>
            </w:r>
          </w:p>
        </w:tc>
        <w:tc>
          <w:tcPr>
            <w:tcW w:w="851" w:type="dxa"/>
            <w:vAlign w:val="center"/>
          </w:tcPr>
          <w:p>
            <w:pPr>
              <w:widowControl/>
              <w:jc w:val="center"/>
              <w:rPr>
                <w:rFonts w:hAnsi="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vAlign w:val="center"/>
          </w:tcPr>
          <w:p>
            <w:pPr>
              <w:jc w:val="center"/>
              <w:rPr>
                <w:rFonts w:hAnsi="宋体" w:cs="宋体"/>
                <w:bCs/>
                <w:color w:val="auto"/>
                <w:sz w:val="21"/>
                <w:szCs w:val="21"/>
                <w:highlight w:val="none"/>
              </w:rPr>
            </w:pPr>
            <w:r>
              <w:rPr>
                <w:rFonts w:hint="eastAsia" w:hAnsi="宋体" w:cs="宋体"/>
                <w:bCs/>
                <w:color w:val="auto"/>
                <w:sz w:val="21"/>
                <w:szCs w:val="21"/>
                <w:highlight w:val="none"/>
              </w:rPr>
              <w:t>5</w:t>
            </w:r>
          </w:p>
        </w:tc>
        <w:tc>
          <w:tcPr>
            <w:tcW w:w="2268" w:type="dxa"/>
            <w:vAlign w:val="center"/>
          </w:tcPr>
          <w:p>
            <w:pPr>
              <w:spacing w:line="360" w:lineRule="auto"/>
              <w:rPr>
                <w:rFonts w:hAnsi="宋体" w:cs="宋体"/>
                <w:color w:val="auto"/>
                <w:sz w:val="21"/>
                <w:szCs w:val="21"/>
                <w:highlight w:val="none"/>
              </w:rPr>
            </w:pPr>
            <w:r>
              <w:rPr>
                <w:rFonts w:hint="eastAsia" w:hAnsi="宋体" w:cs="宋体"/>
                <w:color w:val="auto"/>
                <w:sz w:val="21"/>
                <w:szCs w:val="21"/>
                <w:highlight w:val="none"/>
              </w:rPr>
              <w:t>实质性要求</w:t>
            </w:r>
          </w:p>
        </w:tc>
        <w:tc>
          <w:tcPr>
            <w:tcW w:w="5812" w:type="dxa"/>
            <w:vAlign w:val="center"/>
          </w:tcPr>
          <w:p>
            <w:pPr>
              <w:spacing w:line="360" w:lineRule="auto"/>
              <w:rPr>
                <w:rFonts w:hAnsi="宋体" w:cs="宋体"/>
                <w:color w:val="auto"/>
                <w:sz w:val="21"/>
                <w:szCs w:val="21"/>
                <w:highlight w:val="none"/>
              </w:rPr>
            </w:pPr>
            <w:r>
              <w:rPr>
                <w:rFonts w:hint="eastAsia" w:hAnsi="宋体" w:cs="宋体"/>
                <w:color w:val="auto"/>
                <w:sz w:val="21"/>
                <w:szCs w:val="21"/>
                <w:highlight w:val="none"/>
              </w:rPr>
              <w:t>投标文件均实质性响应招标文件中标注“实质性要求”的内容。</w:t>
            </w:r>
          </w:p>
        </w:tc>
        <w:tc>
          <w:tcPr>
            <w:tcW w:w="851" w:type="dxa"/>
            <w:vAlign w:val="center"/>
          </w:tcPr>
          <w:p>
            <w:pPr>
              <w:widowControl/>
              <w:jc w:val="center"/>
              <w:rPr>
                <w:rFonts w:hAnsi="宋体" w:cs="宋体"/>
                <w:b/>
                <w:bCs/>
                <w:color w:val="auto"/>
                <w:sz w:val="21"/>
                <w:szCs w:val="21"/>
                <w:highlight w:val="none"/>
              </w:rPr>
            </w:pPr>
          </w:p>
        </w:tc>
      </w:tr>
    </w:tbl>
    <w:p>
      <w:pPr>
        <w:pStyle w:val="14"/>
        <w:ind w:firstLine="480" w:firstLineChars="200"/>
        <w:rPr>
          <w:rFonts w:ascii="宋体" w:hAnsi="宋体" w:cs="宋体"/>
          <w:color w:val="auto"/>
          <w:szCs w:val="22"/>
          <w:highlight w:val="none"/>
        </w:rPr>
      </w:pPr>
      <w:r>
        <w:rPr>
          <w:rFonts w:hint="eastAsia" w:ascii="宋体" w:hAnsi="宋体" w:cs="宋体"/>
          <w:color w:val="auto"/>
          <w:szCs w:val="22"/>
          <w:highlight w:val="none"/>
        </w:rPr>
        <w:t>注：1.评标委员会对投标文件（资格性响应文件除外）的符合性审查事项仅限于招标文件的明确规定同时在上表中列明的事项。招标文件没有明确规定为实质性内容的不得作为符合性审查评审事项；招标文件明确规定了为实质性内容，但在上表中未列明的事项也不得作为符合性审查评审事项（此类实质性要求为招标文件告知投标人的内容，无法以投标文件响应的形式体现）。</w:t>
      </w:r>
    </w:p>
    <w:p>
      <w:pPr>
        <w:pStyle w:val="14"/>
        <w:ind w:firstLine="480" w:firstLineChars="200"/>
        <w:rPr>
          <w:rFonts w:ascii="宋体" w:hAnsi="宋体" w:cs="宋体"/>
          <w:color w:val="auto"/>
          <w:szCs w:val="22"/>
          <w:highlight w:val="none"/>
        </w:rPr>
      </w:pPr>
      <w:r>
        <w:rPr>
          <w:rFonts w:hint="eastAsia" w:ascii="宋体" w:hAnsi="宋体" w:cs="宋体"/>
          <w:color w:val="auto"/>
          <w:szCs w:val="22"/>
          <w:highlight w:val="none"/>
        </w:rPr>
        <w:t>2.以上每一项结论均为“通过”的，则投标人的投标文件通过符合性审查；如有任意一项结论为“不通过”的，则投标人的投标文件按无效投标文件处理。如果评标委员会认为供应商有任意一项不通过的，应在评审报告中载明不通过的具体原因。</w:t>
      </w:r>
    </w:p>
    <w:p>
      <w:pPr>
        <w:spacing w:line="440" w:lineRule="exact"/>
        <w:ind w:left="680" w:leftChars="200"/>
        <w:rPr>
          <w:rFonts w:hAnsi="宋体" w:cs="宋体"/>
          <w:b/>
          <w:bCs/>
          <w:color w:val="auto"/>
          <w:sz w:val="24"/>
          <w:highlight w:val="none"/>
        </w:rPr>
      </w:pPr>
      <w:r>
        <w:rPr>
          <w:rFonts w:hint="eastAsia" w:hAnsi="宋体" w:cs="宋体"/>
          <w:b/>
          <w:bCs/>
          <w:color w:val="auto"/>
          <w:sz w:val="24"/>
          <w:highlight w:val="none"/>
        </w:rPr>
        <w:t>（三）评标争议处理规则</w:t>
      </w:r>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评标委员会成员在评标过程中，对于符合性审查、对供应商投标文件做无效处理等需要共同认定的事项存在争议的，应当以少数服从多数的原则处理，但不得违背法律法规和招标文件规定。有不同意见的评标委员会成员认为认定过程和结果不符合法律法规或者招标文件规定的，应当及时向招标采购单位书面反映。</w:t>
      </w:r>
    </w:p>
    <w:p>
      <w:pPr>
        <w:spacing w:line="400" w:lineRule="exact"/>
        <w:ind w:firstLine="482" w:firstLineChars="200"/>
        <w:rPr>
          <w:rFonts w:hAnsi="宋体" w:cs="宋体"/>
          <w:b/>
          <w:bCs/>
          <w:color w:val="auto"/>
          <w:sz w:val="24"/>
          <w:highlight w:val="none"/>
        </w:rPr>
      </w:pPr>
      <w:r>
        <w:rPr>
          <w:rFonts w:hint="eastAsia" w:hAnsi="宋体" w:cs="宋体"/>
          <w:b/>
          <w:bCs/>
          <w:color w:val="auto"/>
          <w:sz w:val="24"/>
          <w:highlight w:val="none"/>
        </w:rPr>
        <w:t>（四）供应商应当书面澄清、说明或者更正</w:t>
      </w:r>
      <w:r>
        <w:rPr>
          <w:rFonts w:hint="eastAsia" w:hAnsi="宋体" w:cs="宋体"/>
          <w:color w:val="auto"/>
          <w:sz w:val="24"/>
          <w:highlight w:val="none"/>
        </w:rPr>
        <w:t>（注：因本项目为不见面开标，以下涉及提供相关书面说明的，以政府采购云平台的实际操作为准。如因断电、断网、系统故障或其他不可抗力等因素，导致系统无法使用的，由投标人按评标委员会的要求进行澄清或者说明）。</w:t>
      </w:r>
    </w:p>
    <w:p>
      <w:pPr>
        <w:numPr>
          <w:ilvl w:val="0"/>
          <w:numId w:val="22"/>
        </w:numPr>
        <w:spacing w:line="440" w:lineRule="exact"/>
        <w:ind w:firstLine="480" w:firstLineChars="200"/>
        <w:rPr>
          <w:rFonts w:hAnsi="宋体" w:cs="宋体"/>
          <w:color w:val="auto"/>
          <w:sz w:val="24"/>
          <w:highlight w:val="none"/>
        </w:rPr>
      </w:pPr>
      <w:r>
        <w:rPr>
          <w:rFonts w:hint="eastAsia" w:hAnsi="宋体" w:cs="宋体"/>
          <w:color w:val="auto"/>
          <w:sz w:val="24"/>
          <w:highlight w:val="none"/>
        </w:rPr>
        <w:t>在评标过程中，供应商投标文件实质性符合招标文件要求的前提下，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pPr>
        <w:numPr>
          <w:ilvl w:val="0"/>
          <w:numId w:val="22"/>
        </w:numPr>
        <w:spacing w:line="440" w:lineRule="exact"/>
        <w:ind w:firstLine="480" w:firstLineChars="200"/>
        <w:rPr>
          <w:rFonts w:hAnsi="宋体" w:cs="宋体"/>
          <w:color w:val="auto"/>
          <w:sz w:val="24"/>
          <w:highlight w:val="none"/>
        </w:rPr>
      </w:pPr>
      <w:r>
        <w:rPr>
          <w:rFonts w:hint="eastAsia" w:hAnsi="宋体" w:cs="宋体"/>
          <w:color w:val="auto"/>
          <w:sz w:val="24"/>
          <w:highlight w:val="none"/>
        </w:rPr>
        <w:t>供应商应当书面澄清、说明或者更正，并加盖公章或签字确认（供应商为法人的，应当由其法定代表人/单位负责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pPr>
        <w:numPr>
          <w:ilvl w:val="0"/>
          <w:numId w:val="22"/>
        </w:numPr>
        <w:spacing w:line="440" w:lineRule="exact"/>
        <w:ind w:firstLine="480" w:firstLineChars="200"/>
        <w:rPr>
          <w:rFonts w:hAnsi="宋体" w:cs="宋体"/>
          <w:color w:val="auto"/>
          <w:sz w:val="24"/>
          <w:highlight w:val="none"/>
        </w:rPr>
      </w:pPr>
      <w:r>
        <w:rPr>
          <w:rFonts w:hint="eastAsia" w:hAnsi="宋体" w:cs="宋体"/>
          <w:color w:val="auto"/>
          <w:sz w:val="24"/>
          <w:highlight w:val="none"/>
        </w:rPr>
        <w:t>评标委员会要求供应商澄清、说明或者更正，不得超出招标文件的范围，不得以此让供应商实质改变投标文件的内容，不得影响供应商公平竞争。本项目下列内容不得澄清：</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3.1按财政部规定应当在评标时不予承认的投标文件内容事项；</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3.2投标文件中已经明确的内容事项；</w:t>
      </w:r>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3.3投标文件未提供的材料。</w:t>
      </w:r>
    </w:p>
    <w:p>
      <w:pPr>
        <w:numPr>
          <w:ilvl w:val="0"/>
          <w:numId w:val="22"/>
        </w:numPr>
        <w:spacing w:line="440" w:lineRule="exact"/>
        <w:ind w:firstLine="480" w:firstLineChars="200"/>
        <w:rPr>
          <w:rFonts w:hAnsi="宋体" w:cs="宋体"/>
          <w:color w:val="auto"/>
          <w:sz w:val="24"/>
          <w:highlight w:val="none"/>
        </w:rPr>
      </w:pPr>
      <w:r>
        <w:rPr>
          <w:rFonts w:hint="eastAsia" w:hAnsi="宋体" w:cs="宋体"/>
          <w:color w:val="auto"/>
          <w:sz w:val="24"/>
          <w:highlight w:val="none"/>
        </w:rPr>
        <w:t>本项目采购过程中，投标文件出现下列情况的，不需要供应商澄清、说明或者更正，按照以下原则处理：</w:t>
      </w:r>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4.1投标文件的大写金额和小写金额不一致的，以大写金额为准，但大写金额出现文字错误，导致金额无法判断的除外；</w:t>
      </w:r>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4.2总价金额与按单价汇总金额不一致的，以单价汇总金额计算结果为准，但是单价金额出现计算错误、明显人为工作失误的除外；</w:t>
      </w:r>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4.3单价金额小数点有明显错位的，应以总价为准，并修改单价；</w:t>
      </w:r>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4.4对不同语言文本投标文件的解释发生异议的，以中文文本为准。</w:t>
      </w:r>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出现本条第4.2项规定情形，单价汇总金额比总价金额高，且超过政府采购预算或者本项目最高限价的，供应商投标文件应作为无效投标处理；单价汇总金额比总价金额高，但未超过政府采购预算或者本项目最高限价的，应以单价汇总金额作为价格评分依据。</w:t>
      </w:r>
    </w:p>
    <w:p>
      <w:pPr>
        <w:spacing w:line="440" w:lineRule="exact"/>
        <w:ind w:firstLine="482" w:firstLineChars="200"/>
        <w:rPr>
          <w:rFonts w:hAnsi="宋体" w:cs="宋体"/>
          <w:b/>
          <w:color w:val="auto"/>
          <w:sz w:val="24"/>
          <w:highlight w:val="none"/>
        </w:rPr>
      </w:pPr>
      <w:r>
        <w:rPr>
          <w:rFonts w:hint="eastAsia" w:hAnsi="宋体" w:cs="宋体"/>
          <w:b/>
          <w:color w:val="auto"/>
          <w:sz w:val="24"/>
          <w:highlight w:val="none"/>
        </w:rPr>
        <w:t>注：评标委员会成员应当积极履行澄清、说明或者纠正的职责，不得将应当澄清、说明或者纠正的投标文件作无效投标处理。</w:t>
      </w:r>
    </w:p>
    <w:p>
      <w:pPr>
        <w:spacing w:line="440" w:lineRule="exact"/>
        <w:ind w:firstLine="682" w:firstLineChars="283"/>
        <w:rPr>
          <w:rFonts w:hAnsi="宋体" w:cs="宋体"/>
          <w:color w:val="auto"/>
          <w:sz w:val="24"/>
          <w:highlight w:val="none"/>
        </w:rPr>
      </w:pPr>
      <w:r>
        <w:rPr>
          <w:rFonts w:hint="eastAsia" w:hAnsi="宋体" w:cs="宋体"/>
          <w:b/>
          <w:bCs/>
          <w:color w:val="auto"/>
          <w:sz w:val="24"/>
          <w:highlight w:val="none"/>
        </w:rPr>
        <w:t>（五）低于成本价投标处理。</w:t>
      </w:r>
      <w:r>
        <w:rPr>
          <w:rFonts w:hint="eastAsia" w:hAnsi="宋体" w:cs="宋体"/>
          <w:color w:val="auto"/>
          <w:sz w:val="24"/>
          <w:highlight w:val="none"/>
        </w:rPr>
        <w:t>（注：因本项目为不见面开标，以下涉及提供相关书面说明的，以政府采购云平台的实际操作为准。如因断电、断网、系统故障或其他不可抗力等因素，导致系统无法使用的，由投标人按评标委员会的要求进行澄清或者说明）。在评标过程中，投标人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440" w:lineRule="exact"/>
        <w:ind w:firstLine="679" w:firstLineChars="283"/>
        <w:rPr>
          <w:rFonts w:hAnsi="宋体" w:cs="宋体"/>
          <w:color w:val="auto"/>
          <w:sz w:val="24"/>
          <w:highlight w:val="none"/>
        </w:rPr>
      </w:pPr>
      <w:r>
        <w:rPr>
          <w:rFonts w:hint="eastAsia" w:hAnsi="宋体" w:cs="宋体"/>
          <w:color w:val="auto"/>
          <w:sz w:val="24"/>
          <w:highlight w:val="none"/>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spacing w:line="440" w:lineRule="exact"/>
        <w:ind w:firstLine="679" w:firstLineChars="283"/>
        <w:rPr>
          <w:rFonts w:hAnsi="宋体" w:cs="宋体"/>
          <w:color w:val="auto"/>
          <w:sz w:val="24"/>
          <w:highlight w:val="none"/>
        </w:rPr>
      </w:pPr>
      <w:r>
        <w:rPr>
          <w:rFonts w:hint="eastAsia" w:hAnsi="宋体" w:cs="宋体"/>
          <w:color w:val="auto"/>
          <w:sz w:val="24"/>
          <w:highlight w:val="none"/>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投标文件作为无效处理。</w:t>
      </w:r>
    </w:p>
    <w:p>
      <w:pPr>
        <w:pStyle w:val="5"/>
        <w:numPr>
          <w:ilvl w:val="0"/>
          <w:numId w:val="17"/>
        </w:numPr>
        <w:spacing w:before="0" w:after="0" w:line="440" w:lineRule="exact"/>
        <w:ind w:firstLine="482" w:firstLineChars="200"/>
        <w:rPr>
          <w:rFonts w:ascii="宋体" w:hAnsi="宋体" w:eastAsia="宋体" w:cs="宋体"/>
          <w:bCs w:val="0"/>
          <w:color w:val="auto"/>
          <w:sz w:val="24"/>
          <w:szCs w:val="24"/>
          <w:highlight w:val="none"/>
        </w:rPr>
      </w:pPr>
      <w:bookmarkStart w:id="967" w:name="_Toc23187"/>
      <w:bookmarkStart w:id="968" w:name="_Toc319440191"/>
      <w:bookmarkStart w:id="969" w:name="_Toc309897564"/>
      <w:bookmarkStart w:id="970" w:name="_Toc21397"/>
      <w:bookmarkStart w:id="971" w:name="_Toc22389"/>
      <w:bookmarkStart w:id="972" w:name="_Toc217446103"/>
      <w:bookmarkStart w:id="973" w:name="_Toc2106"/>
      <w:bookmarkStart w:id="974" w:name="_Toc307501155"/>
      <w:bookmarkStart w:id="975" w:name="_Toc26213"/>
      <w:bookmarkStart w:id="976" w:name="_Toc1756"/>
      <w:bookmarkStart w:id="977" w:name="_Toc307564897"/>
      <w:bookmarkStart w:id="978" w:name="_Toc308188199"/>
      <w:bookmarkStart w:id="979" w:name="_Toc30417"/>
      <w:bookmarkStart w:id="980" w:name="_Toc327196342"/>
      <w:bookmarkStart w:id="981" w:name="_Toc25587"/>
      <w:bookmarkStart w:id="982" w:name="_Toc319439947"/>
      <w:bookmarkStart w:id="983" w:name="_Toc24902"/>
      <w:bookmarkStart w:id="984" w:name="_Toc31050"/>
      <w:bookmarkStart w:id="985" w:name="_Toc308084646"/>
      <w:bookmarkStart w:id="986" w:name="_Toc27402"/>
      <w:r>
        <w:rPr>
          <w:rFonts w:hint="eastAsia" w:ascii="宋体" w:hAnsi="宋体" w:eastAsia="宋体" w:cs="宋体"/>
          <w:bCs w:val="0"/>
          <w:color w:val="auto"/>
          <w:sz w:val="24"/>
          <w:szCs w:val="24"/>
          <w:highlight w:val="none"/>
        </w:rPr>
        <w:t>评标细则及标准</w:t>
      </w:r>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p>
    <w:p>
      <w:pPr>
        <w:numPr>
          <w:ilvl w:val="0"/>
          <w:numId w:val="23"/>
        </w:numPr>
        <w:spacing w:line="440" w:lineRule="exact"/>
        <w:ind w:firstLine="480" w:firstLineChars="200"/>
        <w:rPr>
          <w:rFonts w:hAnsi="宋体" w:cs="宋体"/>
          <w:color w:val="auto"/>
          <w:sz w:val="24"/>
          <w:highlight w:val="none"/>
        </w:rPr>
      </w:pPr>
      <w:r>
        <w:rPr>
          <w:rFonts w:hint="eastAsia" w:hAnsi="宋体" w:cs="宋体"/>
          <w:color w:val="auto"/>
          <w:sz w:val="24"/>
          <w:highlight w:val="none"/>
        </w:rPr>
        <w:t>评委会只对通过符合性检查的投标文件，根据招标文件的要求采用相同的评标程序、评分办法及标准进行评价和比较。</w:t>
      </w:r>
    </w:p>
    <w:p>
      <w:pPr>
        <w:numPr>
          <w:ilvl w:val="0"/>
          <w:numId w:val="23"/>
        </w:numPr>
        <w:spacing w:line="440" w:lineRule="exact"/>
        <w:ind w:firstLine="480" w:firstLineChars="200"/>
        <w:rPr>
          <w:rFonts w:hAnsi="宋体" w:cs="宋体"/>
          <w:color w:val="auto"/>
          <w:sz w:val="24"/>
          <w:highlight w:val="none"/>
        </w:rPr>
      </w:pPr>
      <w:r>
        <w:rPr>
          <w:rFonts w:hint="eastAsia" w:hAnsi="宋体" w:cs="宋体"/>
          <w:color w:val="auto"/>
          <w:sz w:val="24"/>
          <w:highlight w:val="none"/>
        </w:rPr>
        <w:t>本次综合评分的因素是：详见“综合评分明细表中的评分因素及权重”。</w:t>
      </w:r>
    </w:p>
    <w:p>
      <w:pPr>
        <w:numPr>
          <w:ilvl w:val="0"/>
          <w:numId w:val="23"/>
        </w:numPr>
        <w:spacing w:line="440" w:lineRule="exact"/>
        <w:ind w:firstLine="480" w:firstLineChars="200"/>
        <w:rPr>
          <w:rFonts w:hAnsi="宋体" w:cs="宋体"/>
          <w:color w:val="auto"/>
          <w:sz w:val="24"/>
          <w:highlight w:val="none"/>
        </w:rPr>
      </w:pPr>
      <w:r>
        <w:rPr>
          <w:rFonts w:hint="eastAsia" w:hAnsi="宋体" w:cs="宋体"/>
          <w:color w:val="auto"/>
          <w:sz w:val="24"/>
          <w:highlight w:val="none"/>
        </w:rPr>
        <w:t>除价格因素外，评标委员会成员应当根据自身专业情况独立对每个有效投标人的投标文件进行评价、打分。技术、与技术有关的服务及其他技术类评分因素由抽取的技术方面评标委员会成员独立评分。财务状况及其他经济类评分因素由抽取的经济方面评标委员会成员独立评分。政府采购政策功能、政府采购合同主要条款及其他政策合同类的评分因素由抽取的法律方面评标委员会成员独立评分。采购人代表原则上对技术、与技术有关的服务及其他技术类评分因素独立评分。价格及其他不能明确区分的评分因素由评标委员会成员共同评分。</w:t>
      </w:r>
    </w:p>
    <w:p>
      <w:pPr>
        <w:numPr>
          <w:ilvl w:val="0"/>
          <w:numId w:val="23"/>
        </w:numPr>
        <w:spacing w:line="440" w:lineRule="exact"/>
        <w:ind w:firstLine="480" w:firstLineChars="200"/>
        <w:rPr>
          <w:rFonts w:hAnsi="宋体" w:cs="宋体"/>
          <w:color w:val="auto"/>
          <w:sz w:val="24"/>
          <w:highlight w:val="none"/>
        </w:rPr>
      </w:pPr>
      <w:r>
        <w:rPr>
          <w:rFonts w:hint="eastAsia" w:hAnsi="宋体" w:cs="宋体"/>
          <w:color w:val="auto"/>
          <w:sz w:val="24"/>
          <w:highlight w:val="none"/>
        </w:rPr>
        <w:t>在评标过程中，投标文件有下列情况之一，评标委员会成员应当按照招标文件规定的非实质性偏离进行扣分：</w:t>
      </w:r>
    </w:p>
    <w:p>
      <w:pPr>
        <w:numPr>
          <w:ilvl w:val="0"/>
          <w:numId w:val="24"/>
        </w:numPr>
        <w:spacing w:line="440" w:lineRule="exact"/>
        <w:rPr>
          <w:rFonts w:hAnsi="宋体" w:cs="宋体"/>
          <w:color w:val="auto"/>
          <w:sz w:val="24"/>
          <w:highlight w:val="none"/>
        </w:rPr>
      </w:pPr>
      <w:r>
        <w:rPr>
          <w:rFonts w:hint="eastAsia" w:hAnsi="宋体" w:cs="宋体"/>
          <w:color w:val="auto"/>
          <w:sz w:val="24"/>
          <w:highlight w:val="none"/>
        </w:rPr>
        <w:t>文字表述的内容含义不明确，或者同类问题表述不一致，或者有明显文字和计算错误，或者提供的技术信息和数据资料不完整，投标人拒绝澄清或在规定的时间内没有进行澄清、说明或补正或澄清、说明、补正的内容也不能说明问题的；</w:t>
      </w:r>
    </w:p>
    <w:p>
      <w:pPr>
        <w:numPr>
          <w:ilvl w:val="0"/>
          <w:numId w:val="24"/>
        </w:numPr>
        <w:spacing w:line="440" w:lineRule="exact"/>
        <w:rPr>
          <w:rFonts w:hAnsi="宋体" w:cs="宋体"/>
          <w:color w:val="auto"/>
          <w:sz w:val="24"/>
          <w:highlight w:val="none"/>
        </w:rPr>
      </w:pPr>
      <w:r>
        <w:rPr>
          <w:rFonts w:hint="eastAsia" w:hAnsi="宋体" w:cs="宋体"/>
          <w:color w:val="auto"/>
          <w:sz w:val="24"/>
          <w:szCs w:val="24"/>
          <w:highlight w:val="none"/>
        </w:rPr>
        <w:t>投标文件制作不规范，响应不全面，格式不规范，内容不整齐</w:t>
      </w:r>
      <w:r>
        <w:rPr>
          <w:rFonts w:hint="eastAsia" w:hAnsi="宋体" w:cs="宋体"/>
          <w:color w:val="auto"/>
          <w:sz w:val="24"/>
          <w:highlight w:val="none"/>
        </w:rPr>
        <w:t>；</w:t>
      </w:r>
    </w:p>
    <w:p>
      <w:pPr>
        <w:numPr>
          <w:ilvl w:val="0"/>
          <w:numId w:val="24"/>
        </w:numPr>
        <w:spacing w:line="440" w:lineRule="exact"/>
        <w:rPr>
          <w:rFonts w:hAnsi="宋体" w:cs="宋体"/>
          <w:color w:val="auto"/>
          <w:sz w:val="24"/>
          <w:highlight w:val="none"/>
        </w:rPr>
      </w:pPr>
      <w:r>
        <w:rPr>
          <w:rFonts w:hint="eastAsia" w:hAnsi="宋体" w:cs="宋体"/>
          <w:color w:val="auto"/>
          <w:sz w:val="24"/>
          <w:highlight w:val="none"/>
        </w:rPr>
        <w:t>认定的与招标文件规定的技术、商务和其他规定要求不符的非实质性偏离；</w:t>
      </w:r>
    </w:p>
    <w:p>
      <w:pPr>
        <w:numPr>
          <w:ilvl w:val="0"/>
          <w:numId w:val="24"/>
        </w:numPr>
        <w:spacing w:line="440" w:lineRule="exact"/>
        <w:rPr>
          <w:rFonts w:hAnsi="宋体" w:cs="宋体"/>
          <w:color w:val="auto"/>
          <w:sz w:val="24"/>
          <w:highlight w:val="none"/>
        </w:rPr>
      </w:pPr>
      <w:r>
        <w:rPr>
          <w:rFonts w:hint="eastAsia" w:hAnsi="宋体" w:cs="宋体"/>
          <w:color w:val="auto"/>
          <w:sz w:val="24"/>
          <w:highlight w:val="none"/>
        </w:rPr>
        <w:t>符合四川省财政厅关于《四川省政府采购评审工作规程(修订)》(川财采〔2016〕53号)第三十八条第二款符合性审查第二项情形的。</w:t>
      </w:r>
    </w:p>
    <w:p>
      <w:pPr>
        <w:numPr>
          <w:ilvl w:val="0"/>
          <w:numId w:val="23"/>
        </w:numPr>
        <w:spacing w:line="440" w:lineRule="exact"/>
        <w:ind w:firstLine="480" w:firstLineChars="200"/>
        <w:rPr>
          <w:rFonts w:hAnsi="宋体" w:cs="宋体"/>
          <w:color w:val="auto"/>
          <w:sz w:val="24"/>
          <w:highlight w:val="none"/>
        </w:rPr>
      </w:pPr>
      <w:r>
        <w:rPr>
          <w:rFonts w:hint="eastAsia" w:hAnsi="宋体" w:cs="宋体"/>
          <w:color w:val="auto"/>
          <w:sz w:val="24"/>
          <w:highlight w:val="none"/>
        </w:rPr>
        <w:t>综合评分明细表</w:t>
      </w:r>
    </w:p>
    <w:p>
      <w:pPr>
        <w:pStyle w:val="15"/>
        <w:numPr>
          <w:ilvl w:val="0"/>
          <w:numId w:val="25"/>
        </w:numPr>
        <w:tabs>
          <w:tab w:val="left" w:pos="600"/>
        </w:tabs>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综合评分明细表的制定以科学合理、降低评委会自由裁量权为原则。</w:t>
      </w:r>
    </w:p>
    <w:p>
      <w:pPr>
        <w:pStyle w:val="15"/>
        <w:numPr>
          <w:ilvl w:val="0"/>
          <w:numId w:val="25"/>
        </w:numPr>
        <w:tabs>
          <w:tab w:val="left" w:pos="600"/>
        </w:tabs>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综合评分明细表：</w:t>
      </w:r>
      <w:bookmarkStart w:id="987" w:name="_Toc5464"/>
      <w:bookmarkStart w:id="988" w:name="_Toc21363"/>
      <w:bookmarkStart w:id="989" w:name="_Toc4648"/>
      <w:bookmarkStart w:id="990" w:name="_Toc21671"/>
      <w:bookmarkStart w:id="991" w:name="_Toc13513"/>
    </w:p>
    <w:tbl>
      <w:tblPr>
        <w:tblStyle w:val="37"/>
        <w:tblW w:w="9693"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1289"/>
        <w:gridCol w:w="890"/>
        <w:gridCol w:w="5436"/>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3" w:type="dxa"/>
            <w:vAlign w:val="center"/>
          </w:tcPr>
          <w:p>
            <w:pPr>
              <w:spacing w:line="400" w:lineRule="exact"/>
              <w:ind w:firstLine="28"/>
              <w:jc w:val="center"/>
              <w:rPr>
                <w:rFonts w:hAnsi="宋体" w:cs="宋体"/>
                <w:b/>
                <w:color w:val="auto"/>
                <w:kern w:val="2"/>
                <w:sz w:val="21"/>
                <w:szCs w:val="21"/>
              </w:rPr>
            </w:pPr>
            <w:r>
              <w:rPr>
                <w:rFonts w:hint="eastAsia" w:hAnsi="宋体" w:cs="宋体"/>
                <w:b/>
                <w:color w:val="auto"/>
                <w:kern w:val="2"/>
                <w:sz w:val="21"/>
                <w:szCs w:val="21"/>
              </w:rPr>
              <w:t>序号</w:t>
            </w:r>
          </w:p>
        </w:tc>
        <w:tc>
          <w:tcPr>
            <w:tcW w:w="1289" w:type="dxa"/>
            <w:vAlign w:val="center"/>
          </w:tcPr>
          <w:p>
            <w:pPr>
              <w:spacing w:line="400" w:lineRule="exact"/>
              <w:ind w:firstLine="28"/>
              <w:jc w:val="center"/>
              <w:rPr>
                <w:rFonts w:hAnsi="宋体" w:cs="宋体"/>
                <w:b/>
                <w:color w:val="auto"/>
                <w:kern w:val="2"/>
                <w:sz w:val="21"/>
                <w:szCs w:val="21"/>
              </w:rPr>
            </w:pPr>
            <w:r>
              <w:rPr>
                <w:rFonts w:hint="eastAsia" w:hAnsi="宋体" w:cs="宋体"/>
                <w:b/>
                <w:color w:val="auto"/>
                <w:kern w:val="2"/>
                <w:sz w:val="21"/>
                <w:szCs w:val="21"/>
              </w:rPr>
              <w:t>评分因素</w:t>
            </w:r>
          </w:p>
          <w:p>
            <w:pPr>
              <w:spacing w:line="400" w:lineRule="exact"/>
              <w:ind w:firstLine="28"/>
              <w:jc w:val="center"/>
              <w:rPr>
                <w:rFonts w:hAnsi="宋体" w:cs="宋体"/>
                <w:b/>
                <w:color w:val="auto"/>
                <w:kern w:val="2"/>
                <w:sz w:val="21"/>
                <w:szCs w:val="21"/>
              </w:rPr>
            </w:pPr>
            <w:r>
              <w:rPr>
                <w:rFonts w:hint="eastAsia" w:hAnsi="宋体" w:cs="宋体"/>
                <w:b/>
                <w:color w:val="auto"/>
                <w:kern w:val="2"/>
                <w:sz w:val="21"/>
                <w:szCs w:val="21"/>
              </w:rPr>
              <w:t>及权重</w:t>
            </w:r>
          </w:p>
        </w:tc>
        <w:tc>
          <w:tcPr>
            <w:tcW w:w="890" w:type="dxa"/>
            <w:vAlign w:val="center"/>
          </w:tcPr>
          <w:p>
            <w:pPr>
              <w:spacing w:line="400" w:lineRule="exact"/>
              <w:ind w:firstLine="28"/>
              <w:jc w:val="center"/>
              <w:rPr>
                <w:rFonts w:hAnsi="宋体" w:cs="宋体"/>
                <w:b/>
                <w:color w:val="auto"/>
                <w:kern w:val="2"/>
                <w:sz w:val="21"/>
                <w:szCs w:val="21"/>
              </w:rPr>
            </w:pPr>
            <w:r>
              <w:rPr>
                <w:rFonts w:hint="eastAsia" w:hAnsi="宋体" w:cs="宋体"/>
                <w:b/>
                <w:color w:val="auto"/>
                <w:kern w:val="2"/>
                <w:sz w:val="21"/>
                <w:szCs w:val="21"/>
              </w:rPr>
              <w:t>分值</w:t>
            </w:r>
          </w:p>
        </w:tc>
        <w:tc>
          <w:tcPr>
            <w:tcW w:w="5436" w:type="dxa"/>
            <w:vAlign w:val="center"/>
          </w:tcPr>
          <w:p>
            <w:pPr>
              <w:spacing w:line="400" w:lineRule="exact"/>
              <w:ind w:firstLine="28"/>
              <w:jc w:val="center"/>
              <w:rPr>
                <w:rFonts w:hAnsi="宋体" w:cs="宋体"/>
                <w:b/>
                <w:color w:val="auto"/>
                <w:kern w:val="2"/>
                <w:sz w:val="21"/>
                <w:szCs w:val="21"/>
              </w:rPr>
            </w:pPr>
            <w:r>
              <w:rPr>
                <w:rFonts w:hint="eastAsia" w:hAnsi="宋体" w:cs="宋体"/>
                <w:b/>
                <w:color w:val="auto"/>
                <w:kern w:val="2"/>
                <w:sz w:val="21"/>
                <w:szCs w:val="21"/>
              </w:rPr>
              <w:t>评分标准</w:t>
            </w:r>
          </w:p>
        </w:tc>
        <w:tc>
          <w:tcPr>
            <w:tcW w:w="1575" w:type="dxa"/>
            <w:vAlign w:val="center"/>
          </w:tcPr>
          <w:p>
            <w:pPr>
              <w:spacing w:line="400" w:lineRule="exact"/>
              <w:jc w:val="center"/>
              <w:rPr>
                <w:rFonts w:hAnsi="宋体" w:cs="宋体"/>
                <w:b/>
                <w:color w:val="auto"/>
                <w:kern w:val="2"/>
                <w:sz w:val="21"/>
                <w:szCs w:val="21"/>
              </w:rPr>
            </w:pPr>
            <w:r>
              <w:rPr>
                <w:rFonts w:hint="eastAsia" w:hAnsi="宋体" w:cs="宋体"/>
                <w:b/>
                <w:color w:val="auto"/>
                <w:kern w:val="2"/>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3" w:type="dxa"/>
            <w:vAlign w:val="center"/>
          </w:tcPr>
          <w:p>
            <w:pPr>
              <w:spacing w:line="400" w:lineRule="exact"/>
              <w:ind w:firstLine="28"/>
              <w:jc w:val="center"/>
              <w:rPr>
                <w:rFonts w:hAnsi="宋体" w:cs="宋体"/>
                <w:bCs/>
                <w:color w:val="auto"/>
                <w:kern w:val="2"/>
                <w:sz w:val="21"/>
                <w:szCs w:val="21"/>
              </w:rPr>
            </w:pPr>
            <w:r>
              <w:rPr>
                <w:rFonts w:hint="eastAsia" w:hAnsi="宋体" w:cs="宋体"/>
                <w:bCs/>
                <w:color w:val="auto"/>
                <w:kern w:val="2"/>
                <w:sz w:val="21"/>
                <w:szCs w:val="21"/>
              </w:rPr>
              <w:t>1</w:t>
            </w:r>
          </w:p>
        </w:tc>
        <w:tc>
          <w:tcPr>
            <w:tcW w:w="1289" w:type="dxa"/>
            <w:vAlign w:val="center"/>
          </w:tcPr>
          <w:p>
            <w:pPr>
              <w:spacing w:line="400" w:lineRule="exact"/>
              <w:ind w:firstLine="28"/>
              <w:jc w:val="center"/>
              <w:rPr>
                <w:rFonts w:hAnsi="宋体" w:cs="宋体"/>
                <w:bCs/>
                <w:color w:val="auto"/>
                <w:kern w:val="2"/>
                <w:sz w:val="21"/>
                <w:szCs w:val="21"/>
              </w:rPr>
            </w:pPr>
            <w:r>
              <w:rPr>
                <w:rFonts w:hint="eastAsia" w:hAnsi="宋体" w:cs="宋体"/>
                <w:bCs/>
                <w:color w:val="auto"/>
                <w:kern w:val="2"/>
                <w:sz w:val="21"/>
                <w:szCs w:val="21"/>
              </w:rPr>
              <w:t>报价30%</w:t>
            </w:r>
          </w:p>
        </w:tc>
        <w:tc>
          <w:tcPr>
            <w:tcW w:w="890" w:type="dxa"/>
            <w:vAlign w:val="center"/>
          </w:tcPr>
          <w:p>
            <w:pPr>
              <w:spacing w:line="400" w:lineRule="exact"/>
              <w:ind w:firstLine="28"/>
              <w:jc w:val="center"/>
              <w:rPr>
                <w:rFonts w:hAnsi="宋体" w:cs="宋体"/>
                <w:bCs/>
                <w:color w:val="auto"/>
                <w:kern w:val="2"/>
                <w:sz w:val="21"/>
                <w:szCs w:val="21"/>
              </w:rPr>
            </w:pPr>
            <w:r>
              <w:rPr>
                <w:rFonts w:hint="eastAsia" w:hAnsi="宋体" w:cs="宋体"/>
                <w:bCs/>
                <w:color w:val="auto"/>
                <w:kern w:val="2"/>
                <w:sz w:val="21"/>
                <w:szCs w:val="21"/>
              </w:rPr>
              <w:t>30分</w:t>
            </w:r>
          </w:p>
        </w:tc>
        <w:tc>
          <w:tcPr>
            <w:tcW w:w="5436" w:type="dxa"/>
            <w:vAlign w:val="center"/>
          </w:tcPr>
          <w:p>
            <w:pPr>
              <w:spacing w:line="400" w:lineRule="exact"/>
              <w:ind w:left="-38"/>
              <w:rPr>
                <w:rFonts w:hAnsi="宋体" w:cs="宋体"/>
                <w:bCs/>
                <w:color w:val="auto"/>
                <w:kern w:val="2"/>
                <w:sz w:val="21"/>
                <w:szCs w:val="21"/>
              </w:rPr>
            </w:pPr>
            <w:r>
              <w:rPr>
                <w:rFonts w:hint="eastAsia" w:hAnsi="宋体" w:cs="宋体"/>
                <w:bCs/>
                <w:color w:val="auto"/>
                <w:kern w:val="2"/>
                <w:sz w:val="21"/>
                <w:szCs w:val="21"/>
              </w:rPr>
              <w:t>1、小微企业（监狱企业、残疾人福利性单位视同小微企业）价格扣除按照招标文件须知附表规定执行。</w:t>
            </w:r>
          </w:p>
          <w:p>
            <w:pPr>
              <w:spacing w:line="400" w:lineRule="exact"/>
              <w:ind w:firstLine="28"/>
              <w:jc w:val="left"/>
              <w:rPr>
                <w:rFonts w:hAnsi="宋体" w:cs="宋体"/>
                <w:bCs/>
                <w:color w:val="auto"/>
                <w:kern w:val="2"/>
                <w:sz w:val="21"/>
                <w:szCs w:val="21"/>
              </w:rPr>
            </w:pPr>
            <w:r>
              <w:rPr>
                <w:rFonts w:hint="eastAsia" w:hAnsi="宋体" w:cs="宋体"/>
                <w:bCs/>
                <w:color w:val="auto"/>
                <w:sz w:val="21"/>
                <w:szCs w:val="21"/>
              </w:rPr>
              <w:t>2、</w:t>
            </w:r>
            <w:r>
              <w:rPr>
                <w:rFonts w:hint="eastAsia" w:hAnsi="宋体" w:cs="宋体"/>
                <w:bCs/>
                <w:color w:val="auto"/>
                <w:kern w:val="2"/>
                <w:sz w:val="21"/>
                <w:szCs w:val="21"/>
              </w:rPr>
              <w:t>以本次有效的最低投标报价为基准价，投标报价得分=(基准价／投标报价)</w:t>
            </w:r>
            <w:r>
              <w:rPr>
                <w:rFonts w:hint="eastAsia" w:hAnsi="宋体" w:cs="宋体"/>
                <w:color w:val="auto"/>
                <w:sz w:val="21"/>
                <w:szCs w:val="21"/>
              </w:rPr>
              <w:t>*分值。</w:t>
            </w:r>
          </w:p>
        </w:tc>
        <w:tc>
          <w:tcPr>
            <w:tcW w:w="1575" w:type="dxa"/>
            <w:vAlign w:val="center"/>
          </w:tcPr>
          <w:p>
            <w:pPr>
              <w:spacing w:line="400" w:lineRule="exact"/>
              <w:ind w:firstLine="28"/>
              <w:jc w:val="center"/>
              <w:rPr>
                <w:rFonts w:hAnsi="宋体" w:cs="宋体"/>
                <w:bCs/>
                <w:color w:val="auto"/>
                <w:kern w:val="2"/>
                <w:sz w:val="21"/>
                <w:szCs w:val="21"/>
              </w:rPr>
            </w:pPr>
            <w:r>
              <w:rPr>
                <w:rFonts w:hint="eastAsia" w:hAnsi="宋体" w:cs="宋体"/>
                <w:bCs/>
                <w:color w:val="auto"/>
                <w:kern w:val="2"/>
                <w:sz w:val="21"/>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3" w:type="dxa"/>
            <w:vAlign w:val="center"/>
          </w:tcPr>
          <w:p>
            <w:pPr>
              <w:spacing w:line="400" w:lineRule="exact"/>
              <w:ind w:firstLine="28"/>
              <w:jc w:val="center"/>
              <w:rPr>
                <w:rFonts w:hAnsi="宋体" w:cs="宋体"/>
                <w:bCs/>
                <w:color w:val="auto"/>
                <w:kern w:val="2"/>
                <w:sz w:val="21"/>
                <w:szCs w:val="21"/>
              </w:rPr>
            </w:pPr>
            <w:r>
              <w:rPr>
                <w:rFonts w:hint="eastAsia" w:hAnsi="宋体" w:cs="宋体"/>
                <w:bCs/>
                <w:color w:val="auto"/>
                <w:kern w:val="2"/>
                <w:sz w:val="21"/>
                <w:szCs w:val="21"/>
              </w:rPr>
              <w:t>2</w:t>
            </w:r>
          </w:p>
        </w:tc>
        <w:tc>
          <w:tcPr>
            <w:tcW w:w="1289" w:type="dxa"/>
            <w:vAlign w:val="center"/>
          </w:tcPr>
          <w:p>
            <w:pPr>
              <w:spacing w:line="400" w:lineRule="exact"/>
              <w:ind w:firstLine="28"/>
              <w:jc w:val="center"/>
              <w:rPr>
                <w:rFonts w:hAnsi="宋体" w:cs="宋体"/>
                <w:bCs/>
                <w:color w:val="auto"/>
                <w:kern w:val="2"/>
                <w:sz w:val="21"/>
                <w:szCs w:val="21"/>
              </w:rPr>
            </w:pPr>
            <w:r>
              <w:rPr>
                <w:rFonts w:hint="eastAsia" w:hAnsi="宋体" w:cs="宋体"/>
                <w:bCs/>
                <w:color w:val="auto"/>
                <w:kern w:val="2"/>
                <w:sz w:val="21"/>
                <w:szCs w:val="21"/>
              </w:rPr>
              <w:t>技术参数要求2</w:t>
            </w:r>
            <w:r>
              <w:rPr>
                <w:rFonts w:hAnsi="宋体" w:cs="宋体"/>
                <w:bCs/>
                <w:color w:val="auto"/>
                <w:kern w:val="2"/>
                <w:sz w:val="21"/>
                <w:szCs w:val="21"/>
              </w:rPr>
              <w:t>9</w:t>
            </w:r>
            <w:r>
              <w:rPr>
                <w:rFonts w:hint="eastAsia" w:hAnsi="宋体" w:cs="宋体"/>
                <w:bCs/>
                <w:color w:val="auto"/>
                <w:kern w:val="2"/>
                <w:sz w:val="21"/>
                <w:szCs w:val="21"/>
              </w:rPr>
              <w:t>%</w:t>
            </w:r>
          </w:p>
        </w:tc>
        <w:tc>
          <w:tcPr>
            <w:tcW w:w="890" w:type="dxa"/>
            <w:vAlign w:val="center"/>
          </w:tcPr>
          <w:p>
            <w:pPr>
              <w:spacing w:line="400" w:lineRule="exact"/>
              <w:ind w:firstLine="28"/>
              <w:jc w:val="center"/>
              <w:rPr>
                <w:rFonts w:hAnsi="宋体" w:cs="宋体"/>
                <w:bCs/>
                <w:color w:val="auto"/>
                <w:kern w:val="2"/>
                <w:sz w:val="21"/>
                <w:szCs w:val="21"/>
              </w:rPr>
            </w:pPr>
            <w:r>
              <w:rPr>
                <w:rFonts w:hint="eastAsia" w:hAnsi="宋体" w:cs="宋体"/>
                <w:bCs/>
                <w:color w:val="auto"/>
                <w:kern w:val="2"/>
                <w:sz w:val="21"/>
                <w:szCs w:val="21"/>
              </w:rPr>
              <w:t>2</w:t>
            </w:r>
            <w:r>
              <w:rPr>
                <w:rFonts w:hAnsi="宋体" w:cs="宋体"/>
                <w:bCs/>
                <w:color w:val="auto"/>
                <w:kern w:val="2"/>
                <w:sz w:val="21"/>
                <w:szCs w:val="21"/>
              </w:rPr>
              <w:t>9</w:t>
            </w:r>
            <w:r>
              <w:rPr>
                <w:rFonts w:hint="eastAsia" w:hAnsi="宋体" w:cs="宋体"/>
                <w:bCs/>
                <w:color w:val="auto"/>
                <w:kern w:val="2"/>
                <w:sz w:val="21"/>
                <w:szCs w:val="21"/>
              </w:rPr>
              <w:t>分</w:t>
            </w:r>
          </w:p>
        </w:tc>
        <w:tc>
          <w:tcPr>
            <w:tcW w:w="5436" w:type="dxa"/>
            <w:vAlign w:val="center"/>
          </w:tcPr>
          <w:p>
            <w:pPr>
              <w:spacing w:line="400" w:lineRule="exact"/>
              <w:ind w:firstLine="28"/>
              <w:jc w:val="left"/>
              <w:rPr>
                <w:rFonts w:hAnsi="宋体" w:cs="宋体"/>
                <w:bCs/>
                <w:color w:val="auto"/>
                <w:sz w:val="21"/>
                <w:szCs w:val="21"/>
              </w:rPr>
            </w:pPr>
            <w:r>
              <w:rPr>
                <w:rFonts w:hint="eastAsia" w:hAnsi="宋体" w:cs="宋体"/>
                <w:bCs/>
                <w:color w:val="auto"/>
                <w:sz w:val="21"/>
                <w:szCs w:val="21"/>
              </w:rPr>
              <w:t>“</w:t>
            </w:r>
            <w:r>
              <w:rPr>
                <w:rFonts w:hint="eastAsia" w:hAnsi="宋体" w:cs="宋体"/>
                <w:color w:val="auto"/>
                <w:sz w:val="21"/>
                <w:szCs w:val="21"/>
              </w:rPr>
              <w:t>▲</w:t>
            </w:r>
            <w:r>
              <w:rPr>
                <w:rFonts w:hint="eastAsia" w:hAnsi="宋体" w:cs="宋体"/>
                <w:bCs/>
                <w:color w:val="auto"/>
                <w:sz w:val="21"/>
                <w:szCs w:val="21"/>
              </w:rPr>
              <w:t>”项</w:t>
            </w:r>
            <w:r>
              <w:rPr>
                <w:rFonts w:hint="eastAsia" w:hAnsi="宋体" w:cs="宋体"/>
                <w:bCs/>
                <w:color w:val="auto"/>
                <w:kern w:val="2"/>
                <w:sz w:val="21"/>
                <w:szCs w:val="21"/>
              </w:rPr>
              <w:t>技术参数</w:t>
            </w:r>
            <w:r>
              <w:rPr>
                <w:rFonts w:hint="eastAsia" w:hAnsi="宋体" w:cs="宋体"/>
                <w:bCs/>
                <w:color w:val="auto"/>
                <w:sz w:val="21"/>
                <w:szCs w:val="21"/>
              </w:rPr>
              <w:t>共</w:t>
            </w:r>
            <w:r>
              <w:rPr>
                <w:rFonts w:hAnsi="宋体" w:cs="宋体"/>
                <w:bCs/>
                <w:color w:val="auto"/>
                <w:sz w:val="21"/>
                <w:szCs w:val="21"/>
              </w:rPr>
              <w:t>58</w:t>
            </w:r>
            <w:r>
              <w:rPr>
                <w:rFonts w:hint="eastAsia" w:hAnsi="宋体" w:cs="宋体"/>
                <w:bCs/>
                <w:color w:val="auto"/>
                <w:sz w:val="21"/>
                <w:szCs w:val="21"/>
              </w:rPr>
              <w:t>条，全部满足招标文件技术参数要求没有负偏离得2</w:t>
            </w:r>
            <w:r>
              <w:rPr>
                <w:rFonts w:hAnsi="宋体" w:cs="宋体"/>
                <w:bCs/>
                <w:color w:val="auto"/>
                <w:sz w:val="21"/>
                <w:szCs w:val="21"/>
              </w:rPr>
              <w:t>9</w:t>
            </w:r>
            <w:r>
              <w:rPr>
                <w:rFonts w:hint="eastAsia" w:hAnsi="宋体" w:cs="宋体"/>
                <w:bCs/>
                <w:color w:val="auto"/>
                <w:sz w:val="21"/>
                <w:szCs w:val="21"/>
              </w:rPr>
              <w:t>分，其得分计算公式为：（满足条数/总条数）×2</w:t>
            </w:r>
            <w:r>
              <w:rPr>
                <w:rFonts w:hAnsi="宋体" w:cs="宋体"/>
                <w:bCs/>
                <w:color w:val="auto"/>
                <w:sz w:val="21"/>
                <w:szCs w:val="21"/>
              </w:rPr>
              <w:t>9</w:t>
            </w:r>
            <w:r>
              <w:rPr>
                <w:rFonts w:hint="eastAsia" w:hAnsi="宋体" w:cs="宋体"/>
                <w:bCs/>
                <w:color w:val="auto"/>
                <w:sz w:val="21"/>
                <w:szCs w:val="21"/>
              </w:rPr>
              <w:t>分；</w:t>
            </w:r>
          </w:p>
          <w:p>
            <w:pPr>
              <w:spacing w:line="400" w:lineRule="exact"/>
              <w:ind w:firstLine="28"/>
              <w:jc w:val="left"/>
              <w:rPr>
                <w:rFonts w:hAnsi="宋体" w:cs="宋体"/>
                <w:bCs/>
                <w:color w:val="auto"/>
                <w:sz w:val="21"/>
                <w:szCs w:val="21"/>
              </w:rPr>
            </w:pPr>
            <w:r>
              <w:rPr>
                <w:rFonts w:hint="eastAsia" w:hAnsi="宋体" w:cs="宋体"/>
                <w:bCs/>
                <w:color w:val="auto"/>
                <w:sz w:val="21"/>
                <w:szCs w:val="21"/>
              </w:rPr>
              <w:t>注：非“</w:t>
            </w:r>
            <w:r>
              <w:rPr>
                <w:rFonts w:hint="eastAsia" w:hAnsi="宋体" w:cs="宋体"/>
                <w:color w:val="auto"/>
                <w:sz w:val="21"/>
                <w:szCs w:val="21"/>
              </w:rPr>
              <w:t>▲</w:t>
            </w:r>
            <w:r>
              <w:rPr>
                <w:rFonts w:hint="eastAsia" w:hAnsi="宋体" w:cs="宋体"/>
                <w:bCs/>
                <w:color w:val="auto"/>
                <w:sz w:val="21"/>
                <w:szCs w:val="21"/>
              </w:rPr>
              <w:t>”项</w:t>
            </w:r>
            <w:r>
              <w:rPr>
                <w:rFonts w:hint="eastAsia" w:hAnsi="宋体" w:cs="宋体"/>
                <w:bCs/>
                <w:color w:val="auto"/>
                <w:kern w:val="2"/>
                <w:sz w:val="21"/>
                <w:szCs w:val="21"/>
              </w:rPr>
              <w:t>技术参数</w:t>
            </w:r>
            <w:r>
              <w:rPr>
                <w:rFonts w:hint="eastAsia" w:hAnsi="宋体" w:cs="宋体"/>
                <w:bCs/>
                <w:color w:val="auto"/>
                <w:sz w:val="21"/>
                <w:szCs w:val="21"/>
              </w:rPr>
              <w:t>以应答为准；“</w:t>
            </w:r>
            <w:r>
              <w:rPr>
                <w:rFonts w:hint="eastAsia" w:hAnsi="宋体" w:cs="宋体"/>
                <w:color w:val="auto"/>
                <w:sz w:val="21"/>
                <w:szCs w:val="21"/>
              </w:rPr>
              <w:t>▲</w:t>
            </w:r>
            <w:r>
              <w:rPr>
                <w:rFonts w:hint="eastAsia" w:hAnsi="宋体" w:cs="宋体"/>
                <w:bCs/>
                <w:color w:val="auto"/>
                <w:sz w:val="21"/>
                <w:szCs w:val="21"/>
              </w:rPr>
              <w:t>”项</w:t>
            </w:r>
            <w:r>
              <w:rPr>
                <w:rFonts w:hint="eastAsia" w:hAnsi="宋体" w:cs="宋体"/>
                <w:bCs/>
                <w:color w:val="auto"/>
                <w:kern w:val="2"/>
                <w:sz w:val="21"/>
                <w:szCs w:val="21"/>
              </w:rPr>
              <w:t>技术参数</w:t>
            </w:r>
            <w:r>
              <w:rPr>
                <w:rFonts w:hint="eastAsia" w:hAnsi="宋体" w:cs="宋体"/>
                <w:bCs/>
                <w:color w:val="auto"/>
                <w:sz w:val="21"/>
                <w:szCs w:val="21"/>
              </w:rPr>
              <w:t>需提供产品检测报告或制造商宣传彩页或制造商有效技术证明文件等提供证明资料，无证明资料说明的参数视为负偏离。</w:t>
            </w:r>
          </w:p>
        </w:tc>
        <w:tc>
          <w:tcPr>
            <w:tcW w:w="1575" w:type="dxa"/>
            <w:vAlign w:val="center"/>
          </w:tcPr>
          <w:p>
            <w:pPr>
              <w:spacing w:line="400" w:lineRule="exact"/>
              <w:ind w:firstLine="28"/>
              <w:jc w:val="center"/>
              <w:rPr>
                <w:rFonts w:hAnsi="宋体" w:cs="宋体"/>
                <w:bCs/>
                <w:color w:val="auto"/>
                <w:kern w:val="2"/>
                <w:sz w:val="21"/>
                <w:szCs w:val="21"/>
              </w:rPr>
            </w:pPr>
            <w:r>
              <w:rPr>
                <w:rFonts w:hint="eastAsia" w:hAnsi="宋体" w:cs="宋体"/>
                <w:bCs/>
                <w:color w:val="auto"/>
                <w:kern w:val="2"/>
                <w:sz w:val="21"/>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3" w:type="dxa"/>
            <w:vAlign w:val="center"/>
          </w:tcPr>
          <w:p>
            <w:pPr>
              <w:spacing w:line="400" w:lineRule="exact"/>
              <w:ind w:firstLine="28"/>
              <w:jc w:val="center"/>
              <w:rPr>
                <w:rFonts w:hAnsi="宋体" w:cs="宋体"/>
                <w:bCs/>
                <w:color w:val="auto"/>
                <w:kern w:val="2"/>
                <w:sz w:val="21"/>
                <w:szCs w:val="21"/>
              </w:rPr>
            </w:pPr>
            <w:r>
              <w:rPr>
                <w:rFonts w:hint="eastAsia" w:hAnsi="宋体" w:cs="宋体"/>
                <w:bCs/>
                <w:color w:val="auto"/>
                <w:kern w:val="2"/>
                <w:sz w:val="21"/>
                <w:szCs w:val="21"/>
              </w:rPr>
              <w:t>3</w:t>
            </w:r>
          </w:p>
        </w:tc>
        <w:tc>
          <w:tcPr>
            <w:tcW w:w="1289" w:type="dxa"/>
            <w:vAlign w:val="center"/>
          </w:tcPr>
          <w:p>
            <w:pPr>
              <w:spacing w:line="400" w:lineRule="exact"/>
              <w:ind w:firstLine="28"/>
              <w:jc w:val="center"/>
              <w:rPr>
                <w:rFonts w:hAnsi="宋体" w:cs="宋体"/>
                <w:bCs/>
                <w:color w:val="auto"/>
                <w:kern w:val="2"/>
                <w:sz w:val="21"/>
                <w:szCs w:val="21"/>
              </w:rPr>
            </w:pPr>
            <w:r>
              <w:rPr>
                <w:rFonts w:hint="eastAsia" w:hAnsi="宋体" w:cs="宋体"/>
                <w:bCs/>
                <w:color w:val="auto"/>
                <w:kern w:val="2"/>
                <w:sz w:val="21"/>
                <w:szCs w:val="21"/>
              </w:rPr>
              <w:t>履约能力</w:t>
            </w:r>
            <w:r>
              <w:rPr>
                <w:rFonts w:hAnsi="宋体" w:cs="宋体"/>
                <w:bCs/>
                <w:color w:val="auto"/>
                <w:kern w:val="2"/>
                <w:sz w:val="21"/>
                <w:szCs w:val="21"/>
              </w:rPr>
              <w:t>6</w:t>
            </w:r>
            <w:r>
              <w:rPr>
                <w:rFonts w:hint="eastAsia" w:hAnsi="宋体" w:cs="宋体"/>
                <w:bCs/>
                <w:color w:val="auto"/>
                <w:kern w:val="2"/>
                <w:sz w:val="21"/>
                <w:szCs w:val="21"/>
              </w:rPr>
              <w:t>%</w:t>
            </w:r>
          </w:p>
        </w:tc>
        <w:tc>
          <w:tcPr>
            <w:tcW w:w="890" w:type="dxa"/>
            <w:vAlign w:val="center"/>
          </w:tcPr>
          <w:p>
            <w:pPr>
              <w:spacing w:line="400" w:lineRule="exact"/>
              <w:ind w:firstLine="28"/>
              <w:jc w:val="center"/>
              <w:rPr>
                <w:rFonts w:hAnsi="宋体" w:cs="宋体"/>
                <w:bCs/>
                <w:color w:val="auto"/>
                <w:kern w:val="2"/>
                <w:sz w:val="21"/>
                <w:szCs w:val="21"/>
              </w:rPr>
            </w:pPr>
            <w:r>
              <w:rPr>
                <w:rFonts w:hAnsi="宋体" w:cs="宋体"/>
                <w:bCs/>
                <w:color w:val="auto"/>
                <w:kern w:val="2"/>
                <w:sz w:val="21"/>
                <w:szCs w:val="21"/>
              </w:rPr>
              <w:t>6</w:t>
            </w:r>
            <w:r>
              <w:rPr>
                <w:rFonts w:hint="eastAsia" w:hAnsi="宋体" w:cs="宋体"/>
                <w:bCs/>
                <w:color w:val="auto"/>
                <w:kern w:val="2"/>
                <w:sz w:val="21"/>
                <w:szCs w:val="21"/>
              </w:rPr>
              <w:t>分</w:t>
            </w:r>
          </w:p>
        </w:tc>
        <w:tc>
          <w:tcPr>
            <w:tcW w:w="5436" w:type="dxa"/>
            <w:vAlign w:val="center"/>
          </w:tcPr>
          <w:p>
            <w:pPr>
              <w:spacing w:line="400" w:lineRule="exact"/>
              <w:jc w:val="left"/>
              <w:rPr>
                <w:rFonts w:hAnsi="宋体" w:cs="宋体"/>
                <w:bCs/>
                <w:color w:val="auto"/>
                <w:kern w:val="2"/>
                <w:sz w:val="21"/>
                <w:szCs w:val="21"/>
              </w:rPr>
            </w:pPr>
            <w:r>
              <w:rPr>
                <w:rFonts w:hint="eastAsia" w:hAnsi="宋体" w:cs="宋体"/>
                <w:bCs/>
                <w:color w:val="auto"/>
                <w:kern w:val="2"/>
                <w:sz w:val="21"/>
                <w:szCs w:val="21"/>
              </w:rPr>
              <w:t>评标委员会根据投标人同类产品销售业绩（2018年至递交投标文件截止日）进行评定，每提供一个业绩得2分，最多得</w:t>
            </w:r>
            <w:r>
              <w:rPr>
                <w:rFonts w:hAnsi="宋体" w:cs="宋体"/>
                <w:bCs/>
                <w:color w:val="auto"/>
                <w:kern w:val="2"/>
                <w:sz w:val="21"/>
                <w:szCs w:val="21"/>
              </w:rPr>
              <w:t>6</w:t>
            </w:r>
            <w:r>
              <w:rPr>
                <w:rFonts w:hint="eastAsia" w:hAnsi="宋体" w:cs="宋体"/>
                <w:bCs/>
                <w:color w:val="auto"/>
                <w:kern w:val="2"/>
                <w:sz w:val="21"/>
                <w:szCs w:val="21"/>
              </w:rPr>
              <w:t>分。</w:t>
            </w:r>
          </w:p>
          <w:p>
            <w:pPr>
              <w:spacing w:line="400" w:lineRule="exact"/>
              <w:jc w:val="left"/>
              <w:rPr>
                <w:rFonts w:hAnsi="宋体" w:cs="宋体"/>
                <w:bCs/>
                <w:color w:val="auto"/>
                <w:kern w:val="2"/>
                <w:sz w:val="21"/>
                <w:szCs w:val="21"/>
              </w:rPr>
            </w:pPr>
            <w:r>
              <w:rPr>
                <w:rFonts w:hint="eastAsia" w:hAnsi="宋体" w:cs="宋体"/>
                <w:bCs/>
                <w:color w:val="auto"/>
                <w:kern w:val="2"/>
                <w:sz w:val="21"/>
                <w:szCs w:val="21"/>
              </w:rPr>
              <w:t>说明：提供销售合同或中标通知书复印件并加盖公章。</w:t>
            </w:r>
          </w:p>
        </w:tc>
        <w:tc>
          <w:tcPr>
            <w:tcW w:w="1575" w:type="dxa"/>
            <w:vAlign w:val="center"/>
          </w:tcPr>
          <w:p>
            <w:pPr>
              <w:spacing w:line="400" w:lineRule="exact"/>
              <w:ind w:firstLine="28"/>
              <w:jc w:val="center"/>
              <w:rPr>
                <w:rFonts w:hAnsi="宋体" w:cs="宋体"/>
                <w:bCs/>
                <w:color w:val="auto"/>
                <w:kern w:val="2"/>
                <w:sz w:val="21"/>
                <w:szCs w:val="21"/>
              </w:rPr>
            </w:pPr>
            <w:r>
              <w:rPr>
                <w:rFonts w:hint="eastAsia" w:hAnsi="宋体" w:cs="宋体"/>
                <w:bCs/>
                <w:color w:val="auto"/>
                <w:kern w:val="2"/>
                <w:sz w:val="21"/>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503" w:type="dxa"/>
            <w:vAlign w:val="center"/>
          </w:tcPr>
          <w:p>
            <w:pPr>
              <w:spacing w:line="400" w:lineRule="exact"/>
              <w:ind w:firstLine="28"/>
              <w:jc w:val="center"/>
              <w:rPr>
                <w:rFonts w:hAnsi="宋体" w:cs="宋体"/>
                <w:bCs/>
                <w:color w:val="auto"/>
                <w:kern w:val="2"/>
                <w:sz w:val="21"/>
                <w:szCs w:val="21"/>
              </w:rPr>
            </w:pPr>
            <w:r>
              <w:rPr>
                <w:rFonts w:hint="eastAsia" w:hAnsi="宋体" w:cs="宋体"/>
                <w:bCs/>
                <w:color w:val="auto"/>
                <w:kern w:val="2"/>
                <w:sz w:val="21"/>
                <w:szCs w:val="21"/>
              </w:rPr>
              <w:t>4</w:t>
            </w:r>
          </w:p>
        </w:tc>
        <w:tc>
          <w:tcPr>
            <w:tcW w:w="1289" w:type="dxa"/>
            <w:vAlign w:val="center"/>
          </w:tcPr>
          <w:p>
            <w:pPr>
              <w:spacing w:line="400" w:lineRule="exact"/>
              <w:ind w:firstLine="28"/>
              <w:jc w:val="center"/>
              <w:rPr>
                <w:rFonts w:hAnsi="宋体" w:cs="宋体"/>
                <w:bCs/>
                <w:color w:val="auto"/>
                <w:kern w:val="2"/>
                <w:sz w:val="21"/>
                <w:szCs w:val="21"/>
              </w:rPr>
            </w:pPr>
            <w:r>
              <w:rPr>
                <w:rFonts w:hint="eastAsia" w:hAnsi="宋体" w:cs="宋体"/>
                <w:bCs/>
                <w:color w:val="auto"/>
                <w:kern w:val="2"/>
                <w:sz w:val="21"/>
                <w:szCs w:val="21"/>
              </w:rPr>
              <w:t>项目实施方案24%</w:t>
            </w:r>
          </w:p>
        </w:tc>
        <w:tc>
          <w:tcPr>
            <w:tcW w:w="890" w:type="dxa"/>
            <w:vAlign w:val="center"/>
          </w:tcPr>
          <w:p>
            <w:pPr>
              <w:spacing w:line="400" w:lineRule="exact"/>
              <w:ind w:firstLine="28"/>
              <w:jc w:val="center"/>
              <w:rPr>
                <w:rFonts w:hAnsi="宋体" w:cs="宋体"/>
                <w:bCs/>
                <w:color w:val="auto"/>
                <w:kern w:val="2"/>
                <w:sz w:val="21"/>
                <w:szCs w:val="21"/>
              </w:rPr>
            </w:pPr>
            <w:r>
              <w:rPr>
                <w:rFonts w:hint="eastAsia" w:hAnsi="宋体" w:cs="宋体"/>
                <w:bCs/>
                <w:color w:val="auto"/>
                <w:kern w:val="2"/>
                <w:sz w:val="21"/>
                <w:szCs w:val="21"/>
              </w:rPr>
              <w:t>24分</w:t>
            </w:r>
          </w:p>
        </w:tc>
        <w:tc>
          <w:tcPr>
            <w:tcW w:w="5436" w:type="dxa"/>
            <w:vAlign w:val="center"/>
          </w:tcPr>
          <w:p>
            <w:pPr>
              <w:spacing w:line="400" w:lineRule="exact"/>
              <w:ind w:firstLine="28"/>
              <w:jc w:val="left"/>
              <w:rPr>
                <w:rFonts w:hAnsi="宋体" w:cs="宋体"/>
                <w:bCs/>
                <w:color w:val="auto"/>
                <w:kern w:val="2"/>
                <w:sz w:val="21"/>
                <w:szCs w:val="21"/>
              </w:rPr>
            </w:pPr>
            <w:r>
              <w:rPr>
                <w:rFonts w:hint="eastAsia" w:hAnsi="宋体" w:cs="宋体"/>
                <w:bCs/>
                <w:color w:val="auto"/>
                <w:kern w:val="2"/>
                <w:sz w:val="21"/>
                <w:szCs w:val="21"/>
              </w:rPr>
              <w:t>投标人针对本项目提供的项目实施方案，方案内容至少包含：质量保障措施、人员配置方案、安装调试进度计划、质量保证期限及范围、维修响应时间、技术支持，方案内容完整、阐述清晰且满足招标文件要求的得24分；每缺少一项的扣4分；每有一处阐述不清或不贴合项目实际的扣2分，直至本项分值扣完为止。</w:t>
            </w:r>
          </w:p>
        </w:tc>
        <w:tc>
          <w:tcPr>
            <w:tcW w:w="1575" w:type="dxa"/>
            <w:vAlign w:val="center"/>
          </w:tcPr>
          <w:p>
            <w:pPr>
              <w:spacing w:line="400" w:lineRule="exact"/>
              <w:ind w:firstLine="28"/>
              <w:jc w:val="center"/>
              <w:rPr>
                <w:rFonts w:hAnsi="宋体" w:cs="宋体"/>
                <w:bCs/>
                <w:color w:val="auto"/>
                <w:kern w:val="2"/>
                <w:sz w:val="21"/>
                <w:szCs w:val="21"/>
              </w:rPr>
            </w:pPr>
            <w:r>
              <w:rPr>
                <w:rFonts w:hint="eastAsia" w:hAnsi="宋体" w:cs="宋体"/>
                <w:bCs/>
                <w:color w:val="auto"/>
                <w:kern w:val="2"/>
                <w:sz w:val="21"/>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503" w:type="dxa"/>
            <w:vAlign w:val="center"/>
          </w:tcPr>
          <w:p>
            <w:pPr>
              <w:spacing w:line="400" w:lineRule="exact"/>
              <w:ind w:firstLine="28"/>
              <w:jc w:val="center"/>
              <w:rPr>
                <w:rFonts w:hAnsi="宋体" w:cs="宋体"/>
                <w:bCs/>
                <w:color w:val="auto"/>
                <w:kern w:val="2"/>
                <w:sz w:val="21"/>
                <w:szCs w:val="21"/>
              </w:rPr>
            </w:pPr>
            <w:r>
              <w:rPr>
                <w:rFonts w:hint="eastAsia" w:hAnsi="宋体" w:cs="宋体"/>
                <w:bCs/>
                <w:color w:val="auto"/>
                <w:kern w:val="2"/>
                <w:sz w:val="21"/>
                <w:szCs w:val="21"/>
              </w:rPr>
              <w:t>5</w:t>
            </w:r>
          </w:p>
        </w:tc>
        <w:tc>
          <w:tcPr>
            <w:tcW w:w="1289" w:type="dxa"/>
            <w:vAlign w:val="center"/>
          </w:tcPr>
          <w:p>
            <w:pPr>
              <w:spacing w:line="400" w:lineRule="exact"/>
              <w:ind w:firstLine="28"/>
              <w:jc w:val="center"/>
              <w:rPr>
                <w:rFonts w:hAnsi="宋体" w:cs="宋体"/>
                <w:bCs/>
                <w:color w:val="auto"/>
                <w:kern w:val="2"/>
                <w:sz w:val="21"/>
                <w:szCs w:val="21"/>
              </w:rPr>
            </w:pPr>
            <w:r>
              <w:rPr>
                <w:rFonts w:hint="eastAsia" w:hAnsi="宋体" w:cs="宋体"/>
                <w:bCs/>
                <w:color w:val="auto"/>
                <w:kern w:val="2"/>
                <w:sz w:val="21"/>
                <w:szCs w:val="21"/>
              </w:rPr>
              <w:t>售后服务1</w:t>
            </w:r>
            <w:r>
              <w:rPr>
                <w:rFonts w:hAnsi="宋体" w:cs="宋体"/>
                <w:bCs/>
                <w:color w:val="auto"/>
                <w:kern w:val="2"/>
                <w:sz w:val="21"/>
                <w:szCs w:val="21"/>
              </w:rPr>
              <w:t>0</w:t>
            </w:r>
            <w:r>
              <w:rPr>
                <w:rFonts w:hint="eastAsia" w:hAnsi="宋体" w:cs="宋体"/>
                <w:bCs/>
                <w:color w:val="auto"/>
                <w:kern w:val="2"/>
                <w:sz w:val="21"/>
                <w:szCs w:val="21"/>
              </w:rPr>
              <w:t>%</w:t>
            </w:r>
          </w:p>
        </w:tc>
        <w:tc>
          <w:tcPr>
            <w:tcW w:w="890" w:type="dxa"/>
            <w:vAlign w:val="center"/>
          </w:tcPr>
          <w:p>
            <w:pPr>
              <w:spacing w:line="400" w:lineRule="exact"/>
              <w:ind w:firstLine="28"/>
              <w:jc w:val="center"/>
              <w:rPr>
                <w:rFonts w:hAnsi="宋体" w:cs="宋体"/>
                <w:bCs/>
                <w:color w:val="auto"/>
                <w:kern w:val="2"/>
                <w:sz w:val="21"/>
                <w:szCs w:val="21"/>
              </w:rPr>
            </w:pPr>
            <w:r>
              <w:rPr>
                <w:rFonts w:hint="eastAsia" w:hAnsi="宋体" w:cs="宋体"/>
                <w:bCs/>
                <w:color w:val="auto"/>
                <w:kern w:val="2"/>
                <w:sz w:val="21"/>
                <w:szCs w:val="21"/>
              </w:rPr>
              <w:t>1</w:t>
            </w:r>
            <w:r>
              <w:rPr>
                <w:rFonts w:hAnsi="宋体" w:cs="宋体"/>
                <w:bCs/>
                <w:color w:val="auto"/>
                <w:kern w:val="2"/>
                <w:sz w:val="21"/>
                <w:szCs w:val="21"/>
              </w:rPr>
              <w:t>0</w:t>
            </w:r>
            <w:r>
              <w:rPr>
                <w:rFonts w:hint="eastAsia" w:hAnsi="宋体" w:cs="宋体"/>
                <w:bCs/>
                <w:color w:val="auto"/>
                <w:kern w:val="2"/>
                <w:sz w:val="21"/>
                <w:szCs w:val="21"/>
              </w:rPr>
              <w:t>分</w:t>
            </w:r>
          </w:p>
        </w:tc>
        <w:tc>
          <w:tcPr>
            <w:tcW w:w="5436" w:type="dxa"/>
            <w:vAlign w:val="center"/>
          </w:tcPr>
          <w:p>
            <w:pPr>
              <w:spacing w:line="400" w:lineRule="exact"/>
              <w:ind w:firstLine="28"/>
              <w:jc w:val="left"/>
              <w:rPr>
                <w:rFonts w:hAnsi="宋体" w:cs="宋体"/>
                <w:bCs/>
                <w:color w:val="auto"/>
                <w:kern w:val="2"/>
                <w:sz w:val="21"/>
                <w:szCs w:val="21"/>
              </w:rPr>
            </w:pPr>
            <w:r>
              <w:rPr>
                <w:rFonts w:hint="eastAsia" w:hAnsi="宋体" w:cs="宋体"/>
                <w:bCs/>
                <w:color w:val="auto"/>
                <w:kern w:val="2"/>
                <w:sz w:val="21"/>
                <w:szCs w:val="21"/>
              </w:rPr>
              <w:t>根据投标人提供的针对本项目的售后服务方案，包含：①服务内容及范围、②服务流程、③售后巡检、④响应时间、⑤售后期限。完全满足上述要求得10分，每有一个缺项扣2分；每有一处缺陷或不足扣1分，扣完为止。</w:t>
            </w:r>
          </w:p>
        </w:tc>
        <w:tc>
          <w:tcPr>
            <w:tcW w:w="1575" w:type="dxa"/>
            <w:vAlign w:val="center"/>
          </w:tcPr>
          <w:p>
            <w:pPr>
              <w:spacing w:line="400" w:lineRule="exact"/>
              <w:ind w:firstLine="28"/>
              <w:jc w:val="center"/>
              <w:rPr>
                <w:rFonts w:hAnsi="宋体" w:cs="宋体"/>
                <w:bCs/>
                <w:color w:val="auto"/>
                <w:kern w:val="2"/>
                <w:sz w:val="21"/>
                <w:szCs w:val="21"/>
              </w:rPr>
            </w:pPr>
            <w:r>
              <w:rPr>
                <w:rFonts w:hint="eastAsia" w:hAnsi="宋体" w:cs="宋体"/>
                <w:bCs/>
                <w:color w:val="auto"/>
                <w:kern w:val="2"/>
                <w:sz w:val="21"/>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hAnsi="宋体" w:cs="宋体"/>
                <w:bCs/>
                <w:color w:val="auto"/>
                <w:kern w:val="2"/>
                <w:sz w:val="21"/>
                <w:szCs w:val="21"/>
              </w:rPr>
            </w:pPr>
            <w:r>
              <w:rPr>
                <w:rFonts w:hint="eastAsia" w:hAnsi="宋体" w:cs="宋体"/>
                <w:bCs/>
                <w:color w:val="auto"/>
                <w:kern w:val="2"/>
                <w:sz w:val="21"/>
                <w:szCs w:val="21"/>
              </w:rPr>
              <w:t>6</w:t>
            </w:r>
          </w:p>
        </w:tc>
        <w:tc>
          <w:tcPr>
            <w:tcW w:w="128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hAnsi="宋体" w:cs="宋体"/>
                <w:bCs/>
                <w:color w:val="auto"/>
                <w:kern w:val="2"/>
                <w:sz w:val="21"/>
                <w:szCs w:val="21"/>
              </w:rPr>
            </w:pPr>
            <w:r>
              <w:rPr>
                <w:rFonts w:hint="eastAsia" w:hAnsi="宋体" w:cs="宋体"/>
                <w:bCs/>
                <w:color w:val="auto"/>
                <w:kern w:val="2"/>
                <w:sz w:val="21"/>
                <w:szCs w:val="21"/>
              </w:rPr>
              <w:t>节能、环境标志1%</w:t>
            </w:r>
          </w:p>
        </w:tc>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hAnsi="宋体" w:cs="宋体"/>
                <w:bCs/>
                <w:color w:val="auto"/>
                <w:kern w:val="2"/>
                <w:sz w:val="21"/>
                <w:szCs w:val="21"/>
              </w:rPr>
            </w:pPr>
            <w:r>
              <w:rPr>
                <w:rFonts w:hint="eastAsia" w:hAnsi="宋体" w:cs="宋体"/>
                <w:bCs/>
                <w:color w:val="auto"/>
                <w:kern w:val="2"/>
                <w:sz w:val="21"/>
                <w:szCs w:val="21"/>
              </w:rPr>
              <w:t>1分</w:t>
            </w:r>
          </w:p>
        </w:tc>
        <w:tc>
          <w:tcPr>
            <w:tcW w:w="543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left"/>
              <w:rPr>
                <w:rFonts w:hAnsi="宋体" w:cs="宋体"/>
                <w:bCs/>
                <w:color w:val="auto"/>
                <w:kern w:val="2"/>
                <w:sz w:val="21"/>
                <w:szCs w:val="21"/>
              </w:rPr>
            </w:pPr>
            <w:r>
              <w:rPr>
                <w:rFonts w:hint="eastAsia" w:hAnsi="宋体" w:cs="宋体"/>
                <w:bCs/>
                <w:color w:val="auto"/>
                <w:kern w:val="2"/>
                <w:sz w:val="21"/>
                <w:szCs w:val="21"/>
              </w:rPr>
              <w:t>投标产品中属于政府采购优先采购范围的，则每有一项为节能产品或者环境标志产品的得1分，非节能、环境标志产品的不得分。本项最多得1分。</w:t>
            </w:r>
          </w:p>
          <w:p>
            <w:pPr>
              <w:spacing w:line="400" w:lineRule="exact"/>
              <w:ind w:firstLine="28"/>
              <w:jc w:val="left"/>
              <w:rPr>
                <w:rFonts w:hAnsi="宋体" w:cs="宋体"/>
                <w:bCs/>
                <w:color w:val="auto"/>
                <w:kern w:val="2"/>
                <w:sz w:val="21"/>
                <w:szCs w:val="21"/>
              </w:rPr>
            </w:pPr>
            <w:r>
              <w:rPr>
                <w:rFonts w:hint="eastAsia" w:hAnsi="宋体" w:cs="宋体"/>
                <w:bCs/>
                <w:color w:val="auto"/>
                <w:kern w:val="2"/>
                <w:sz w:val="21"/>
                <w:szCs w:val="21"/>
              </w:rPr>
              <w:t>注：1、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w:t>
            </w:r>
          </w:p>
          <w:p>
            <w:pPr>
              <w:spacing w:line="400" w:lineRule="exact"/>
              <w:ind w:firstLine="28"/>
              <w:jc w:val="left"/>
              <w:rPr>
                <w:rFonts w:hAnsi="宋体" w:cs="宋体"/>
                <w:bCs/>
                <w:color w:val="auto"/>
                <w:kern w:val="2"/>
                <w:sz w:val="21"/>
                <w:szCs w:val="21"/>
              </w:rPr>
            </w:pPr>
            <w:r>
              <w:rPr>
                <w:rFonts w:hint="eastAsia" w:hAnsi="宋体" w:cs="宋体"/>
                <w:bCs/>
                <w:color w:val="auto"/>
                <w:kern w:val="2"/>
                <w:sz w:val="21"/>
                <w:szCs w:val="21"/>
              </w:rPr>
              <w:t>2、投标产品属于优先采购范围内的节能产品或者环境标志产品的，提供国家确定的认证机构出具的、处于有效期之内的节能产品、环境标志产品认证证书复印件加盖供应商公章。</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hAnsi="宋体" w:cs="宋体"/>
                <w:bCs/>
                <w:color w:val="auto"/>
                <w:kern w:val="2"/>
                <w:sz w:val="21"/>
                <w:szCs w:val="21"/>
              </w:rPr>
            </w:pPr>
            <w:r>
              <w:rPr>
                <w:rFonts w:hint="eastAsia" w:hAnsi="宋体" w:cs="宋体"/>
                <w:bCs/>
                <w:color w:val="auto"/>
                <w:kern w:val="2"/>
                <w:sz w:val="21"/>
                <w:szCs w:val="21"/>
              </w:rPr>
              <w:t>共同评分因素</w:t>
            </w:r>
          </w:p>
        </w:tc>
      </w:tr>
    </w:tbl>
    <w:p>
      <w:pPr>
        <w:ind w:firstLine="296" w:firstLineChars="141"/>
        <w:rPr>
          <w:rFonts w:hAnsi="宋体" w:cs="宋体"/>
          <w:color w:val="auto"/>
          <w:sz w:val="21"/>
          <w:szCs w:val="21"/>
          <w:highlight w:val="none"/>
        </w:rPr>
      </w:pPr>
      <w:r>
        <w:rPr>
          <w:rFonts w:hint="eastAsia" w:hAnsi="宋体" w:cs="宋体"/>
          <w:color w:val="auto"/>
          <w:sz w:val="21"/>
          <w:szCs w:val="21"/>
          <w:highlight w:val="none"/>
        </w:rPr>
        <w:t>注：符合采购需求、质量和服务相等前提下优先采购经济不发达地区或少数民族地区供应商提供的产品和服务（供应商提供国家行政管理部门出具的有效证明文件或自行作出承诺为经济不发达地区或少数民族地区供应商），即同等条件下经济不发达地区或少数民族地区供应商排序优先。</w:t>
      </w:r>
    </w:p>
    <w:p>
      <w:pPr>
        <w:pStyle w:val="5"/>
        <w:spacing w:before="0" w:after="0" w:line="440" w:lineRule="exact"/>
        <w:ind w:left="680" w:leftChars="200"/>
        <w:rPr>
          <w:rFonts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五、复核</w:t>
      </w:r>
      <w:bookmarkEnd w:id="987"/>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(一)评标委员会复核</w:t>
      </w:r>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评分汇总结束后，评标委员会应当进行复核，特别要对拟推荐为中标候选供应商的、报价最低的、投标文件被认定为无效的进行重点复核。</w:t>
      </w:r>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(二)招标采购单位现场复核评标结果（注：因本项目为不见面开标，以下涉及提供相关书面说明的，以政府采购云平台的实际操作为准）</w:t>
      </w:r>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1.评标结果汇总完成后，评标委员会拟出具评标报告前，招标采购单位应当组织2名以上的本单位工作人员，在采购现场监督人员的监督之下，依据有关的法律制度和采购文件对评标结果进行复核，出具复核报告。存在下列情形之一的，招标采购单位应当根据情况书面建议评标委员会现场修改评标结果或者重新评标：</w:t>
      </w:r>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1.1</w:t>
      </w:r>
      <w:r>
        <w:rPr>
          <w:rFonts w:hint="eastAsia" w:hAnsi="宋体" w:cs="宋体"/>
          <w:color w:val="auto"/>
          <w:sz w:val="24"/>
          <w:szCs w:val="20"/>
          <w:highlight w:val="none"/>
        </w:rPr>
        <w:t>分值汇总计算错误的；</w:t>
      </w:r>
    </w:p>
    <w:p>
      <w:pPr>
        <w:spacing w:line="440" w:lineRule="exact"/>
        <w:ind w:firstLine="480" w:firstLineChars="200"/>
        <w:rPr>
          <w:rFonts w:hAnsi="宋体" w:cs="宋体"/>
          <w:color w:val="auto"/>
          <w:sz w:val="24"/>
          <w:highlight w:val="none"/>
        </w:rPr>
      </w:pPr>
      <w:r>
        <w:rPr>
          <w:rFonts w:hint="eastAsia" w:hAnsi="宋体" w:cs="宋体"/>
          <w:color w:val="auto"/>
          <w:sz w:val="24"/>
          <w:szCs w:val="20"/>
          <w:highlight w:val="none"/>
        </w:rPr>
        <w:t>1.2分项评分超出评分标准范围的；</w:t>
      </w:r>
    </w:p>
    <w:p>
      <w:pPr>
        <w:spacing w:line="440" w:lineRule="exact"/>
        <w:ind w:firstLine="480" w:firstLineChars="200"/>
        <w:rPr>
          <w:rFonts w:hAnsi="宋体" w:cs="宋体"/>
          <w:color w:val="auto"/>
          <w:sz w:val="24"/>
          <w:highlight w:val="none"/>
        </w:rPr>
      </w:pPr>
      <w:r>
        <w:rPr>
          <w:rFonts w:hint="eastAsia" w:hAnsi="宋体" w:cs="宋体"/>
          <w:color w:val="auto"/>
          <w:sz w:val="24"/>
          <w:szCs w:val="20"/>
          <w:highlight w:val="none"/>
        </w:rPr>
        <w:t>1.3评标委员会成员对客观评审因素评分不一致的；</w:t>
      </w:r>
    </w:p>
    <w:p>
      <w:pPr>
        <w:spacing w:line="440" w:lineRule="exact"/>
        <w:ind w:firstLine="480" w:firstLineChars="200"/>
        <w:rPr>
          <w:rFonts w:hAnsi="宋体" w:cs="宋体"/>
          <w:color w:val="auto"/>
          <w:sz w:val="24"/>
          <w:highlight w:val="none"/>
        </w:rPr>
      </w:pPr>
      <w:r>
        <w:rPr>
          <w:rFonts w:hint="eastAsia" w:hAnsi="宋体" w:cs="宋体"/>
          <w:color w:val="auto"/>
          <w:sz w:val="24"/>
          <w:szCs w:val="20"/>
          <w:highlight w:val="none"/>
        </w:rPr>
        <w:t>1.4经评标委员会认定评分畸高、畸低的。</w:t>
      </w:r>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存在本条上述规定情形的，由评标委员会自主决定是否采纳招标采购单位的书面建议，并承担独立评审责任。评标委员会采纳招标采购单位书面建议的，应当按照规定现场修改评标结果或者重新评标，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numPr>
          <w:ilvl w:val="0"/>
          <w:numId w:val="26"/>
        </w:numPr>
        <w:spacing w:line="440" w:lineRule="exact"/>
        <w:ind w:firstLine="480" w:firstLineChars="200"/>
        <w:rPr>
          <w:rFonts w:hAnsi="宋体" w:cs="宋体"/>
          <w:color w:val="auto"/>
          <w:sz w:val="24"/>
          <w:highlight w:val="none"/>
        </w:rPr>
      </w:pPr>
      <w:r>
        <w:rPr>
          <w:rFonts w:hint="eastAsia" w:hAnsi="宋体" w:cs="宋体"/>
          <w:color w:val="auto"/>
          <w:sz w:val="24"/>
          <w:highlight w:val="none"/>
        </w:rPr>
        <w:t>招标采购单位复核过程中，评标委员会不得离开评标现场。</w:t>
      </w:r>
    </w:p>
    <w:p>
      <w:pPr>
        <w:pStyle w:val="63"/>
        <w:spacing w:line="440" w:lineRule="exact"/>
        <w:ind w:firstLine="480" w:firstLineChars="200"/>
        <w:jc w:val="both"/>
        <w:rPr>
          <w:color w:val="auto"/>
          <w:highlight w:val="none"/>
        </w:rPr>
      </w:pPr>
      <w:r>
        <w:rPr>
          <w:rFonts w:hint="eastAsia"/>
          <w:color w:val="auto"/>
          <w:highlight w:val="none"/>
        </w:rPr>
        <w:t>3.有下列情形之一的，不得修改评标结果或者重新评标：</w:t>
      </w:r>
    </w:p>
    <w:p>
      <w:pPr>
        <w:pStyle w:val="63"/>
        <w:spacing w:line="440" w:lineRule="exact"/>
        <w:ind w:firstLine="480" w:firstLineChars="200"/>
        <w:jc w:val="both"/>
        <w:rPr>
          <w:color w:val="auto"/>
          <w:highlight w:val="none"/>
        </w:rPr>
      </w:pPr>
      <w:r>
        <w:rPr>
          <w:rFonts w:hint="eastAsia"/>
          <w:color w:val="auto"/>
          <w:highlight w:val="none"/>
        </w:rPr>
        <w:t>3.1评标委员会已经出具评标报告并且离开评标现场的；</w:t>
      </w:r>
    </w:p>
    <w:p>
      <w:pPr>
        <w:pStyle w:val="63"/>
        <w:spacing w:line="440" w:lineRule="exact"/>
        <w:ind w:firstLine="480" w:firstLineChars="200"/>
        <w:jc w:val="both"/>
        <w:rPr>
          <w:color w:val="auto"/>
          <w:highlight w:val="none"/>
        </w:rPr>
      </w:pPr>
      <w:r>
        <w:rPr>
          <w:rFonts w:hint="eastAsia"/>
          <w:color w:val="auto"/>
          <w:highlight w:val="none"/>
        </w:rPr>
        <w:t>3.2招标采购单位现场复核时，复核工作人员数量不足的；</w:t>
      </w:r>
    </w:p>
    <w:p>
      <w:pPr>
        <w:pStyle w:val="63"/>
        <w:spacing w:line="440" w:lineRule="exact"/>
        <w:ind w:firstLine="480" w:firstLineChars="200"/>
        <w:jc w:val="both"/>
        <w:rPr>
          <w:color w:val="auto"/>
          <w:highlight w:val="none"/>
        </w:rPr>
      </w:pPr>
      <w:r>
        <w:rPr>
          <w:rFonts w:hint="eastAsia"/>
          <w:color w:val="auto"/>
          <w:highlight w:val="none"/>
        </w:rPr>
        <w:t>3.3招标采购单位现场复核时，没有采购监督人员现场监督的；</w:t>
      </w:r>
    </w:p>
    <w:p>
      <w:pPr>
        <w:pStyle w:val="63"/>
        <w:spacing w:line="440" w:lineRule="exact"/>
        <w:ind w:firstLine="480" w:firstLineChars="200"/>
        <w:jc w:val="both"/>
        <w:rPr>
          <w:color w:val="auto"/>
          <w:highlight w:val="none"/>
        </w:rPr>
      </w:pPr>
      <w:r>
        <w:rPr>
          <w:rFonts w:hint="eastAsia"/>
          <w:color w:val="auto"/>
          <w:highlight w:val="none"/>
        </w:rPr>
        <w:t>3.4招标采购单位现场复核内容超出规定范围的；</w:t>
      </w:r>
    </w:p>
    <w:p>
      <w:pPr>
        <w:pStyle w:val="14"/>
        <w:spacing w:after="0" w:line="440" w:lineRule="exact"/>
        <w:ind w:firstLine="480" w:firstLineChars="200"/>
        <w:rPr>
          <w:rFonts w:ascii="宋体" w:hAnsi="宋体" w:cs="宋体"/>
          <w:color w:val="auto"/>
          <w:highlight w:val="none"/>
        </w:rPr>
      </w:pPr>
      <w:r>
        <w:rPr>
          <w:rFonts w:hint="eastAsia" w:ascii="宋体" w:hAnsi="宋体" w:cs="宋体"/>
          <w:color w:val="auto"/>
          <w:highlight w:val="none"/>
        </w:rPr>
        <w:t>3.5招标采购单位未提供书面建议的。</w:t>
      </w:r>
    </w:p>
    <w:p>
      <w:pPr>
        <w:pStyle w:val="5"/>
        <w:spacing w:before="0" w:after="0" w:line="440" w:lineRule="exact"/>
        <w:ind w:firstLine="241" w:firstLineChars="100"/>
        <w:rPr>
          <w:rFonts w:ascii="宋体" w:hAnsi="宋体" w:eastAsia="宋体" w:cs="宋体"/>
          <w:bCs w:val="0"/>
          <w:color w:val="auto"/>
          <w:sz w:val="24"/>
          <w:szCs w:val="24"/>
          <w:highlight w:val="none"/>
        </w:rPr>
      </w:pPr>
      <w:bookmarkStart w:id="992" w:name="_Toc11052"/>
      <w:r>
        <w:rPr>
          <w:rFonts w:hint="eastAsia" w:ascii="宋体" w:hAnsi="宋体" w:eastAsia="宋体" w:cs="宋体"/>
          <w:bCs w:val="0"/>
          <w:color w:val="auto"/>
          <w:sz w:val="24"/>
          <w:szCs w:val="24"/>
          <w:highlight w:val="none"/>
        </w:rPr>
        <w:t>六、推荐中标候选供应商</w:t>
      </w:r>
      <w:bookmarkEnd w:id="992"/>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中标候选供应商数量应当根据招标文件的规定确定，但必须按顺序排列中标候选供应商。采用最低评标价法的，评标结果按投标报价由低到高顺序排列。投标报价相同的并列。投标文件满足招标文件全部实质性要求且投标报价最低的投标人为排名第一的中标候选人。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评标委员会可推荐的中标候选供应商数量不能满足招标文件规定的数量的，只有在获得采购人书面同意后，可以根据实际情况推荐中标候选供应商。未获得采购人的书面同意,评标委员会不得在招标文件规定之外推荐中标候选供应商，否则，采购人可以不予认可。</w:t>
      </w:r>
    </w:p>
    <w:p>
      <w:pPr>
        <w:pStyle w:val="5"/>
        <w:spacing w:before="0" w:after="0" w:line="440" w:lineRule="exact"/>
        <w:ind w:firstLine="241" w:firstLineChars="100"/>
        <w:rPr>
          <w:rFonts w:ascii="宋体" w:hAnsi="宋体" w:eastAsia="宋体" w:cs="宋体"/>
          <w:bCs w:val="0"/>
          <w:color w:val="auto"/>
          <w:sz w:val="24"/>
          <w:szCs w:val="24"/>
          <w:highlight w:val="none"/>
        </w:rPr>
      </w:pPr>
      <w:bookmarkStart w:id="993" w:name="_Toc5799"/>
      <w:r>
        <w:rPr>
          <w:rFonts w:hint="eastAsia" w:ascii="宋体" w:hAnsi="宋体" w:eastAsia="宋体" w:cs="宋体"/>
          <w:bCs w:val="0"/>
          <w:color w:val="auto"/>
          <w:sz w:val="24"/>
          <w:szCs w:val="24"/>
          <w:highlight w:val="none"/>
        </w:rPr>
        <w:t>七、出具评标报告</w:t>
      </w:r>
      <w:bookmarkEnd w:id="993"/>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评标委员会推荐中标候选供应商后，应当向招标采购单位出具评标报告。评标报告应当包括下列内容：</w:t>
      </w:r>
    </w:p>
    <w:p>
      <w:pPr>
        <w:pStyle w:val="33"/>
        <w:wordWrap w:val="0"/>
        <w:spacing w:before="0" w:beforeAutospacing="0" w:after="0" w:afterAutospacing="0" w:line="440" w:lineRule="exact"/>
        <w:ind w:firstLine="496" w:firstLineChars="207"/>
        <w:rPr>
          <w:rFonts w:cs="宋体"/>
          <w:color w:val="auto"/>
          <w:sz w:val="24"/>
          <w:szCs w:val="24"/>
          <w:highlight w:val="none"/>
        </w:rPr>
      </w:pPr>
      <w:r>
        <w:rPr>
          <w:rFonts w:hint="eastAsia" w:cs="宋体"/>
          <w:color w:val="auto"/>
          <w:sz w:val="24"/>
          <w:szCs w:val="24"/>
          <w:highlight w:val="none"/>
        </w:rPr>
        <w:t>1.招标公告刊登的媒体名称、开标日期和地点；</w:t>
      </w:r>
    </w:p>
    <w:p>
      <w:pPr>
        <w:pStyle w:val="33"/>
        <w:wordWrap w:val="0"/>
        <w:spacing w:before="0" w:beforeAutospacing="0" w:after="0" w:afterAutospacing="0" w:line="440" w:lineRule="exact"/>
        <w:ind w:firstLine="496" w:firstLineChars="207"/>
        <w:rPr>
          <w:rFonts w:cs="宋体"/>
          <w:color w:val="auto"/>
          <w:sz w:val="24"/>
          <w:szCs w:val="24"/>
          <w:highlight w:val="none"/>
        </w:rPr>
      </w:pPr>
      <w:r>
        <w:rPr>
          <w:rFonts w:hint="eastAsia" w:cs="宋体"/>
          <w:color w:val="auto"/>
          <w:sz w:val="24"/>
          <w:szCs w:val="24"/>
          <w:highlight w:val="none"/>
        </w:rPr>
        <w:t>2.投标人名单和评标委员会成员名单；</w:t>
      </w:r>
    </w:p>
    <w:p>
      <w:pPr>
        <w:pStyle w:val="33"/>
        <w:wordWrap w:val="0"/>
        <w:spacing w:before="0" w:beforeAutospacing="0" w:after="0" w:afterAutospacing="0" w:line="440" w:lineRule="exact"/>
        <w:ind w:firstLine="496" w:firstLineChars="207"/>
        <w:rPr>
          <w:rFonts w:cs="宋体"/>
          <w:color w:val="auto"/>
          <w:sz w:val="24"/>
          <w:szCs w:val="24"/>
          <w:highlight w:val="none"/>
        </w:rPr>
      </w:pPr>
      <w:r>
        <w:rPr>
          <w:rFonts w:hint="eastAsia" w:cs="宋体"/>
          <w:color w:val="auto"/>
          <w:sz w:val="24"/>
          <w:szCs w:val="24"/>
          <w:highlight w:val="none"/>
        </w:rPr>
        <w:t>3.评标方法和标准；</w:t>
      </w:r>
    </w:p>
    <w:p>
      <w:pPr>
        <w:pStyle w:val="33"/>
        <w:wordWrap w:val="0"/>
        <w:spacing w:before="0" w:beforeAutospacing="0" w:after="0" w:afterAutospacing="0" w:line="440" w:lineRule="exact"/>
        <w:ind w:firstLine="496" w:firstLineChars="207"/>
        <w:rPr>
          <w:rFonts w:cs="宋体"/>
          <w:color w:val="auto"/>
          <w:sz w:val="24"/>
          <w:szCs w:val="24"/>
          <w:highlight w:val="none"/>
        </w:rPr>
      </w:pPr>
      <w:r>
        <w:rPr>
          <w:rFonts w:hint="eastAsia" w:cs="宋体"/>
          <w:color w:val="auto"/>
          <w:sz w:val="24"/>
          <w:szCs w:val="24"/>
          <w:highlight w:val="none"/>
        </w:rPr>
        <w:t>4.开标记录和评标情况及说明，包括无效投标人名单及原因；</w:t>
      </w:r>
    </w:p>
    <w:p>
      <w:pPr>
        <w:pStyle w:val="33"/>
        <w:wordWrap w:val="0"/>
        <w:spacing w:before="0" w:beforeAutospacing="0" w:after="0" w:afterAutospacing="0" w:line="440" w:lineRule="exact"/>
        <w:ind w:firstLine="496" w:firstLineChars="207"/>
        <w:rPr>
          <w:rFonts w:cs="宋体"/>
          <w:color w:val="auto"/>
          <w:sz w:val="24"/>
          <w:szCs w:val="24"/>
          <w:highlight w:val="none"/>
        </w:rPr>
      </w:pPr>
      <w:r>
        <w:rPr>
          <w:rFonts w:hint="eastAsia" w:cs="宋体"/>
          <w:color w:val="auto"/>
          <w:sz w:val="24"/>
          <w:szCs w:val="24"/>
          <w:highlight w:val="none"/>
        </w:rPr>
        <w:t>5.评标结果，确定的中标候选人名单或者经采购人委托直接确定的中标人；</w:t>
      </w:r>
    </w:p>
    <w:p>
      <w:pPr>
        <w:spacing w:line="440" w:lineRule="exact"/>
        <w:ind w:firstLine="496" w:firstLineChars="207"/>
        <w:rPr>
          <w:rFonts w:hAnsi="宋体" w:cs="宋体"/>
          <w:color w:val="auto"/>
          <w:sz w:val="24"/>
          <w:szCs w:val="24"/>
          <w:highlight w:val="none"/>
        </w:rPr>
      </w:pPr>
      <w:r>
        <w:rPr>
          <w:rFonts w:hint="eastAsia" w:hAnsi="宋体" w:cs="宋体"/>
          <w:color w:val="auto"/>
          <w:sz w:val="24"/>
          <w:szCs w:val="24"/>
          <w:highlight w:val="none"/>
        </w:rPr>
        <w:t>6.其他需要说明的情况，包括评标过程中投标人根据评标委员会要求进行的澄清、说明或者补正，评标委员会成员的更换等。</w:t>
      </w:r>
    </w:p>
    <w:p>
      <w:pPr>
        <w:keepNext/>
        <w:keepLines/>
        <w:ind w:firstLine="480" w:firstLineChars="200"/>
        <w:rPr>
          <w:rFonts w:hAnsi="宋体" w:cs="宋体"/>
          <w:bCs/>
          <w:color w:val="auto"/>
          <w:sz w:val="24"/>
          <w:szCs w:val="24"/>
          <w:highlight w:val="none"/>
        </w:rPr>
      </w:pPr>
      <w:r>
        <w:rPr>
          <w:rFonts w:hint="eastAsia" w:hAnsi="宋体" w:cs="宋体"/>
          <w:color w:val="auto"/>
          <w:sz w:val="24"/>
          <w:highlight w:val="none"/>
        </w:rPr>
        <w:t>注：评标委员会成员应当在评标报告中签字确认，对评标过程和结果有不同意见的，应当在评标报告中写明并说明理由。签字但不写明不同意见或者不说明理由的，视同无意见。拒不签字又不另行书面说明其不同意见和理由的，视同同意评标结果。</w:t>
      </w:r>
    </w:p>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88"/>
    <w:bookmarkEnd w:id="989"/>
    <w:bookmarkEnd w:id="990"/>
    <w:bookmarkEnd w:id="991"/>
    <w:p>
      <w:pPr>
        <w:pStyle w:val="5"/>
        <w:spacing w:before="0" w:after="0" w:line="440" w:lineRule="exact"/>
        <w:ind w:firstLine="241" w:firstLineChars="100"/>
        <w:rPr>
          <w:rFonts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八、废标</w:t>
      </w:r>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本次政府采购活动中，出现下列情形之一的，予以废标：</w:t>
      </w:r>
    </w:p>
    <w:p>
      <w:pPr>
        <w:numPr>
          <w:ilvl w:val="0"/>
          <w:numId w:val="27"/>
        </w:numPr>
        <w:spacing w:line="440" w:lineRule="exact"/>
        <w:ind w:firstLine="480" w:firstLineChars="200"/>
        <w:rPr>
          <w:rFonts w:hAnsi="宋体" w:cs="宋体"/>
          <w:color w:val="auto"/>
          <w:sz w:val="24"/>
          <w:highlight w:val="none"/>
        </w:rPr>
      </w:pPr>
      <w:r>
        <w:rPr>
          <w:rFonts w:hint="eastAsia" w:hAnsi="宋体" w:cs="宋体"/>
          <w:color w:val="auto"/>
          <w:sz w:val="24"/>
          <w:highlight w:val="none"/>
        </w:rPr>
        <w:t>符合专业条件的供应商或者对招标文件作实质响应的供应商不足三家的；</w:t>
      </w:r>
    </w:p>
    <w:p>
      <w:pPr>
        <w:numPr>
          <w:ilvl w:val="0"/>
          <w:numId w:val="27"/>
        </w:numPr>
        <w:spacing w:line="440" w:lineRule="exact"/>
        <w:ind w:firstLine="480" w:firstLineChars="200"/>
        <w:rPr>
          <w:rFonts w:hAnsi="宋体" w:cs="宋体"/>
          <w:color w:val="auto"/>
          <w:sz w:val="24"/>
          <w:highlight w:val="none"/>
        </w:rPr>
      </w:pPr>
      <w:r>
        <w:rPr>
          <w:rFonts w:hint="eastAsia" w:hAnsi="宋体" w:cs="宋体"/>
          <w:color w:val="auto"/>
          <w:sz w:val="24"/>
          <w:highlight w:val="none"/>
        </w:rPr>
        <w:t>出现影响采购公正的违法、违规行为的；</w:t>
      </w:r>
    </w:p>
    <w:p>
      <w:pPr>
        <w:numPr>
          <w:ilvl w:val="0"/>
          <w:numId w:val="27"/>
        </w:numPr>
        <w:spacing w:line="440" w:lineRule="exact"/>
        <w:ind w:firstLine="480" w:firstLineChars="200"/>
        <w:rPr>
          <w:rFonts w:hAnsi="宋体" w:cs="宋体"/>
          <w:color w:val="auto"/>
          <w:sz w:val="24"/>
          <w:highlight w:val="none"/>
        </w:rPr>
      </w:pPr>
      <w:r>
        <w:rPr>
          <w:rFonts w:hint="eastAsia" w:hAnsi="宋体" w:cs="宋体"/>
          <w:color w:val="auto"/>
          <w:sz w:val="24"/>
          <w:highlight w:val="none"/>
        </w:rPr>
        <w:t>投标人的报价均超过了采购预算，采购人不能支付的；</w:t>
      </w:r>
    </w:p>
    <w:p>
      <w:pPr>
        <w:numPr>
          <w:ilvl w:val="0"/>
          <w:numId w:val="27"/>
        </w:numPr>
        <w:spacing w:line="440" w:lineRule="exact"/>
        <w:ind w:firstLine="480" w:firstLineChars="200"/>
        <w:rPr>
          <w:rFonts w:hAnsi="宋体" w:cs="宋体"/>
          <w:color w:val="auto"/>
          <w:sz w:val="24"/>
          <w:highlight w:val="none"/>
        </w:rPr>
      </w:pPr>
      <w:r>
        <w:rPr>
          <w:rFonts w:hint="eastAsia" w:hAnsi="宋体" w:cs="宋体"/>
          <w:color w:val="auto"/>
          <w:sz w:val="24"/>
          <w:highlight w:val="none"/>
        </w:rPr>
        <w:t>因重大变故，采购任务取消的。</w:t>
      </w:r>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废标后，采购代理机构应在四川政府采购网上公告，并公告废标的理由。</w:t>
      </w:r>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5.对于废标的采购项目，评标委员会应当对招标文件是否存在倾向性和歧视性、是否存在不合理条款进行论证，并出具书面论证意见。</w:t>
      </w:r>
    </w:p>
    <w:p>
      <w:pPr>
        <w:pStyle w:val="5"/>
        <w:spacing w:before="0" w:after="0" w:line="440" w:lineRule="exact"/>
        <w:ind w:firstLine="241" w:firstLineChars="100"/>
        <w:rPr>
          <w:rFonts w:ascii="宋体" w:hAnsi="宋体" w:eastAsia="宋体" w:cs="宋体"/>
          <w:bCs w:val="0"/>
          <w:color w:val="auto"/>
          <w:sz w:val="24"/>
          <w:szCs w:val="24"/>
          <w:highlight w:val="none"/>
        </w:rPr>
      </w:pPr>
      <w:bookmarkStart w:id="994" w:name="_Toc2453"/>
      <w:bookmarkStart w:id="995" w:name="_Toc319439949"/>
      <w:bookmarkStart w:id="996" w:name="_Toc13169"/>
      <w:bookmarkStart w:id="997" w:name="_Toc4794"/>
      <w:bookmarkStart w:id="998" w:name="_Toc319440193"/>
      <w:bookmarkStart w:id="999" w:name="_Toc307564900"/>
      <w:bookmarkStart w:id="1000" w:name="_Toc1137"/>
      <w:bookmarkStart w:id="1001" w:name="_Toc10846"/>
      <w:bookmarkStart w:id="1002" w:name="_Toc21352"/>
      <w:bookmarkStart w:id="1003" w:name="_Toc4475"/>
      <w:bookmarkStart w:id="1004" w:name="_Toc308084649"/>
      <w:bookmarkStart w:id="1005" w:name="_Toc308188202"/>
      <w:bookmarkStart w:id="1006" w:name="_Toc327196344"/>
      <w:bookmarkStart w:id="1007" w:name="_Toc307501158"/>
      <w:bookmarkStart w:id="1008" w:name="_Toc24655"/>
      <w:bookmarkStart w:id="1009" w:name="_Toc309897567"/>
      <w:bookmarkStart w:id="1010" w:name="_Toc25875"/>
      <w:bookmarkStart w:id="1011" w:name="_Toc7121"/>
      <w:bookmarkStart w:id="1012" w:name="_Toc31281"/>
      <w:r>
        <w:rPr>
          <w:rFonts w:hint="eastAsia" w:ascii="宋体" w:hAnsi="宋体" w:eastAsia="宋体" w:cs="宋体"/>
          <w:bCs w:val="0"/>
          <w:color w:val="auto"/>
          <w:sz w:val="24"/>
          <w:szCs w:val="24"/>
          <w:highlight w:val="none"/>
        </w:rPr>
        <w:t>九、定标</w:t>
      </w:r>
      <w:bookmarkEnd w:id="908"/>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Start w:id="1013" w:name="_Toc217446061"/>
    </w:p>
    <w:p>
      <w:pPr>
        <w:numPr>
          <w:ilvl w:val="0"/>
          <w:numId w:val="28"/>
        </w:numPr>
        <w:spacing w:line="440" w:lineRule="exact"/>
        <w:ind w:firstLine="480" w:firstLineChars="200"/>
        <w:rPr>
          <w:rFonts w:hAnsi="宋体" w:cs="宋体"/>
          <w:color w:val="auto"/>
          <w:sz w:val="24"/>
          <w:highlight w:val="none"/>
        </w:rPr>
      </w:pPr>
      <w:r>
        <w:rPr>
          <w:rFonts w:hint="eastAsia" w:hAnsi="宋体" w:cs="宋体"/>
          <w:color w:val="auto"/>
          <w:sz w:val="24"/>
          <w:highlight w:val="none"/>
        </w:rPr>
        <w:t>定标原则</w:t>
      </w:r>
      <w:bookmarkEnd w:id="1013"/>
      <w:r>
        <w:rPr>
          <w:rFonts w:hint="eastAsia" w:hAnsi="宋体" w:cs="宋体"/>
          <w:color w:val="auto"/>
          <w:sz w:val="24"/>
          <w:highlight w:val="none"/>
        </w:rPr>
        <w:t>：本项目根据评委会推荐的中标候选人名单，按顺序确定中标人。</w:t>
      </w:r>
    </w:p>
    <w:p>
      <w:pPr>
        <w:numPr>
          <w:ilvl w:val="0"/>
          <w:numId w:val="28"/>
        </w:numPr>
        <w:spacing w:line="440" w:lineRule="exact"/>
        <w:ind w:firstLine="480" w:firstLineChars="200"/>
        <w:rPr>
          <w:rFonts w:hAnsi="宋体" w:cs="宋体"/>
          <w:color w:val="auto"/>
          <w:sz w:val="24"/>
          <w:highlight w:val="none"/>
        </w:rPr>
      </w:pPr>
      <w:bookmarkStart w:id="1014" w:name="_Toc217446062"/>
      <w:r>
        <w:rPr>
          <w:rFonts w:hint="eastAsia" w:hAnsi="宋体" w:cs="宋体"/>
          <w:color w:val="auto"/>
          <w:sz w:val="24"/>
          <w:highlight w:val="none"/>
        </w:rPr>
        <w:t>定标程序</w:t>
      </w:r>
      <w:bookmarkEnd w:id="1014"/>
    </w:p>
    <w:p>
      <w:pPr>
        <w:numPr>
          <w:ilvl w:val="0"/>
          <w:numId w:val="29"/>
        </w:numPr>
        <w:spacing w:line="440" w:lineRule="exact"/>
        <w:ind w:firstLine="480" w:firstLineChars="200"/>
        <w:rPr>
          <w:rFonts w:hAnsi="宋体" w:cs="宋体"/>
          <w:color w:val="auto"/>
          <w:sz w:val="24"/>
          <w:highlight w:val="none"/>
        </w:rPr>
      </w:pPr>
      <w:r>
        <w:rPr>
          <w:rFonts w:hint="eastAsia" w:hAnsi="宋体" w:cs="宋体"/>
          <w:color w:val="auto"/>
          <w:sz w:val="24"/>
          <w:highlight w:val="none"/>
        </w:rPr>
        <w:t>评委会将评标情况写出书面报告，推荐三名中标候选人，并按照综合得分高低标明排列顺序。</w:t>
      </w:r>
    </w:p>
    <w:p>
      <w:pPr>
        <w:numPr>
          <w:ilvl w:val="0"/>
          <w:numId w:val="29"/>
        </w:numPr>
        <w:spacing w:line="440" w:lineRule="exact"/>
        <w:ind w:firstLine="480" w:firstLineChars="200"/>
        <w:rPr>
          <w:rFonts w:hAnsi="宋体" w:cs="宋体"/>
          <w:color w:val="auto"/>
          <w:sz w:val="24"/>
          <w:highlight w:val="none"/>
        </w:rPr>
      </w:pPr>
      <w:r>
        <w:rPr>
          <w:rFonts w:hint="eastAsia" w:hAnsi="宋体" w:cs="宋体"/>
          <w:color w:val="auto"/>
          <w:sz w:val="24"/>
          <w:highlight w:val="none"/>
        </w:rPr>
        <w:t>采购代理机构在评标结束后2个工作日内将评标报告送采购人。</w:t>
      </w:r>
    </w:p>
    <w:p>
      <w:pPr>
        <w:numPr>
          <w:ilvl w:val="0"/>
          <w:numId w:val="29"/>
        </w:numPr>
        <w:spacing w:line="440" w:lineRule="exact"/>
        <w:ind w:firstLine="480" w:firstLineChars="200"/>
        <w:rPr>
          <w:rFonts w:hAnsi="宋体" w:cs="宋体"/>
          <w:color w:val="auto"/>
          <w:sz w:val="24"/>
          <w:szCs w:val="20"/>
          <w:highlight w:val="none"/>
        </w:rPr>
      </w:pPr>
      <w:r>
        <w:rPr>
          <w:rFonts w:hint="eastAsia" w:hAnsi="宋体" w:cs="宋体"/>
          <w:color w:val="auto"/>
          <w:sz w:val="24"/>
          <w:szCs w:val="20"/>
          <w:highlight w:val="none"/>
        </w:rPr>
        <w:t>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r>
        <w:rPr>
          <w:rFonts w:hint="eastAsia" w:hAnsi="宋体" w:cs="宋体"/>
          <w:color w:val="auto"/>
          <w:sz w:val="24"/>
          <w:highlight w:val="none"/>
        </w:rPr>
        <w:t>。</w:t>
      </w:r>
    </w:p>
    <w:p>
      <w:pPr>
        <w:spacing w:line="440" w:lineRule="exact"/>
        <w:ind w:firstLine="499" w:firstLineChars="208"/>
        <w:rPr>
          <w:rFonts w:hAnsi="宋体" w:cs="宋体"/>
          <w:color w:val="auto"/>
          <w:sz w:val="24"/>
          <w:szCs w:val="20"/>
          <w:highlight w:val="none"/>
        </w:rPr>
      </w:pPr>
      <w:r>
        <w:rPr>
          <w:rFonts w:hint="eastAsia" w:hAnsi="宋体" w:cs="宋体"/>
          <w:color w:val="auto"/>
          <w:sz w:val="24"/>
          <w:szCs w:val="20"/>
          <w:highlight w:val="none"/>
        </w:rPr>
        <w:t>采购人在收到评标报告5个工作日内未按评标报告推荐的中标候选人顺序确定中标人，又不能说明合法理由的，视同按评标报告推荐的顺序确定排名第一的中标候选人为中标人。</w:t>
      </w:r>
    </w:p>
    <w:p>
      <w:pPr>
        <w:numPr>
          <w:ilvl w:val="0"/>
          <w:numId w:val="29"/>
        </w:numPr>
        <w:spacing w:line="440" w:lineRule="exact"/>
        <w:ind w:firstLine="480" w:firstLineChars="200"/>
        <w:rPr>
          <w:rFonts w:hAnsi="宋体" w:cs="宋体"/>
          <w:color w:val="auto"/>
          <w:sz w:val="24"/>
          <w:highlight w:val="none"/>
        </w:rPr>
      </w:pPr>
      <w:r>
        <w:rPr>
          <w:rFonts w:hint="eastAsia" w:hAnsi="宋体" w:cs="宋体"/>
          <w:color w:val="auto"/>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并列，由采购人自主采取公平、择优的方式选择中标供应商。</w:t>
      </w:r>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注：采购人按照推荐的中标候选供应商顺序确定中标供应商，不能认为采购人只能确定第一中标候选供应商为中标供应商，采购人有正当理由的，可以确定后一顺序中标候选供应商为中标供应商，依次类推。</w:t>
      </w:r>
    </w:p>
    <w:p>
      <w:pPr>
        <w:numPr>
          <w:ilvl w:val="0"/>
          <w:numId w:val="29"/>
        </w:numPr>
        <w:spacing w:line="440" w:lineRule="exact"/>
        <w:ind w:firstLine="480" w:firstLineChars="200"/>
        <w:rPr>
          <w:rFonts w:hAnsi="宋体" w:cs="宋体"/>
          <w:color w:val="auto"/>
          <w:sz w:val="24"/>
          <w:highlight w:val="none"/>
        </w:rPr>
      </w:pPr>
      <w:r>
        <w:rPr>
          <w:rFonts w:hint="eastAsia" w:hAnsi="宋体" w:cs="宋体"/>
          <w:color w:val="auto"/>
          <w:sz w:val="24"/>
          <w:highlight w:val="none"/>
        </w:rPr>
        <w:t>根据采购人确定的中标供应商，采购代理机构在四川政府采购网上发布中标公告，并自采购人确定中标之日起2个工作日内向中标供应商发出中标通知书。</w:t>
      </w:r>
    </w:p>
    <w:p>
      <w:pPr>
        <w:numPr>
          <w:ilvl w:val="0"/>
          <w:numId w:val="29"/>
        </w:numPr>
        <w:spacing w:line="440" w:lineRule="exact"/>
        <w:ind w:firstLine="480" w:firstLineChars="200"/>
        <w:rPr>
          <w:rFonts w:hAnsi="宋体" w:cs="宋体"/>
          <w:color w:val="auto"/>
          <w:sz w:val="24"/>
          <w:highlight w:val="none"/>
        </w:rPr>
      </w:pPr>
      <w:r>
        <w:rPr>
          <w:rFonts w:hint="eastAsia" w:hAnsi="宋体" w:cs="宋体"/>
          <w:color w:val="auto"/>
          <w:sz w:val="24"/>
          <w:highlight w:val="none"/>
        </w:rPr>
        <w:t>招标采购单位不退回投标人投标文件和其他投标资料。</w:t>
      </w:r>
    </w:p>
    <w:bookmarkEnd w:id="909"/>
    <w:p>
      <w:pPr>
        <w:pStyle w:val="5"/>
        <w:spacing w:before="0" w:after="0" w:line="440" w:lineRule="exact"/>
        <w:ind w:firstLine="241" w:firstLineChars="100"/>
        <w:rPr>
          <w:rFonts w:ascii="宋体" w:hAnsi="宋体" w:eastAsia="宋体" w:cs="宋体"/>
          <w:bCs w:val="0"/>
          <w:color w:val="auto"/>
          <w:sz w:val="24"/>
          <w:szCs w:val="24"/>
          <w:highlight w:val="none"/>
        </w:rPr>
      </w:pPr>
      <w:bookmarkStart w:id="1015" w:name="_Toc8099"/>
      <w:bookmarkStart w:id="1016" w:name="_Toc25084"/>
      <w:bookmarkStart w:id="1017" w:name="_Toc15982"/>
      <w:bookmarkStart w:id="1018" w:name="_Toc319440194"/>
      <w:bookmarkStart w:id="1019" w:name="_Toc307564901"/>
      <w:bookmarkStart w:id="1020" w:name="_Toc32114"/>
      <w:bookmarkStart w:id="1021" w:name="_Toc309897568"/>
      <w:bookmarkStart w:id="1022" w:name="_Toc25198"/>
      <w:bookmarkStart w:id="1023" w:name="_Toc319439950"/>
      <w:bookmarkStart w:id="1024" w:name="_Toc27423"/>
      <w:bookmarkStart w:id="1025" w:name="_Toc27662"/>
      <w:bookmarkStart w:id="1026" w:name="_Toc10903"/>
      <w:bookmarkStart w:id="1027" w:name="_Toc308188203"/>
      <w:bookmarkStart w:id="1028" w:name="_Toc327196345"/>
      <w:bookmarkStart w:id="1029" w:name="_Toc14102"/>
      <w:bookmarkStart w:id="1030" w:name="_Toc18632"/>
      <w:bookmarkStart w:id="1031" w:name="_Toc16879"/>
      <w:bookmarkStart w:id="1032" w:name="_Toc307501159"/>
      <w:bookmarkStart w:id="1033" w:name="_Toc308084650"/>
      <w:r>
        <w:rPr>
          <w:rFonts w:hint="eastAsia" w:ascii="宋体" w:hAnsi="宋体" w:eastAsia="宋体" w:cs="宋体"/>
          <w:bCs w:val="0"/>
          <w:color w:val="auto"/>
          <w:sz w:val="24"/>
          <w:szCs w:val="24"/>
          <w:highlight w:val="none"/>
        </w:rPr>
        <w:t>十、评标专家在政府采购活动中承担以下义务</w:t>
      </w:r>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p>
    <w:p>
      <w:pPr>
        <w:widowControl/>
        <w:autoSpaceDE w:val="0"/>
        <w:autoSpaceDN w:val="0"/>
        <w:spacing w:line="440" w:lineRule="exact"/>
        <w:ind w:right="53" w:firstLine="480" w:firstLineChars="200"/>
        <w:textAlignment w:val="bottom"/>
        <w:rPr>
          <w:rFonts w:hAnsi="宋体" w:cs="宋体"/>
          <w:color w:val="auto"/>
          <w:sz w:val="24"/>
          <w:highlight w:val="none"/>
        </w:rPr>
      </w:pPr>
      <w:r>
        <w:rPr>
          <w:rFonts w:hint="eastAsia" w:hAnsi="宋体" w:cs="宋体"/>
          <w:color w:val="auto"/>
          <w:sz w:val="24"/>
          <w:highlight w:val="none"/>
        </w:rPr>
        <w:t>(一)遵守评标工作纪律；</w:t>
      </w:r>
    </w:p>
    <w:p>
      <w:pPr>
        <w:widowControl/>
        <w:autoSpaceDE w:val="0"/>
        <w:autoSpaceDN w:val="0"/>
        <w:spacing w:line="440" w:lineRule="exact"/>
        <w:ind w:right="53" w:firstLine="480" w:firstLineChars="200"/>
        <w:textAlignment w:val="bottom"/>
        <w:rPr>
          <w:rFonts w:hAnsi="宋体" w:cs="宋体"/>
          <w:color w:val="auto"/>
          <w:sz w:val="24"/>
          <w:highlight w:val="none"/>
        </w:rPr>
      </w:pPr>
      <w:r>
        <w:rPr>
          <w:rFonts w:hint="eastAsia" w:hAnsi="宋体" w:cs="宋体"/>
          <w:color w:val="auto"/>
          <w:sz w:val="24"/>
          <w:highlight w:val="none"/>
        </w:rPr>
        <w:t>(二)按照客观、公正、审慎的原则，根据招标文件规定的评标程序、评标方法和评标标准进行独立评标；</w:t>
      </w:r>
    </w:p>
    <w:p>
      <w:pPr>
        <w:widowControl/>
        <w:autoSpaceDE w:val="0"/>
        <w:autoSpaceDN w:val="0"/>
        <w:spacing w:line="440" w:lineRule="exact"/>
        <w:ind w:right="53" w:firstLine="480" w:firstLineChars="200"/>
        <w:textAlignment w:val="bottom"/>
        <w:rPr>
          <w:rFonts w:hAnsi="宋体" w:cs="宋体"/>
          <w:color w:val="auto"/>
          <w:sz w:val="24"/>
          <w:highlight w:val="none"/>
        </w:rPr>
      </w:pPr>
      <w:r>
        <w:rPr>
          <w:rFonts w:hint="eastAsia" w:hAnsi="宋体" w:cs="宋体"/>
          <w:color w:val="auto"/>
          <w:sz w:val="24"/>
          <w:highlight w:val="none"/>
        </w:rPr>
        <w:t>(三)不得泄露评标文件、评标情况和在评标过程中获悉的商业秘密；</w:t>
      </w:r>
    </w:p>
    <w:p>
      <w:pPr>
        <w:widowControl/>
        <w:autoSpaceDE w:val="0"/>
        <w:autoSpaceDN w:val="0"/>
        <w:spacing w:line="440" w:lineRule="exact"/>
        <w:ind w:right="53" w:firstLine="480" w:firstLineChars="200"/>
        <w:textAlignment w:val="bottom"/>
        <w:rPr>
          <w:rFonts w:hAnsi="宋体" w:cs="宋体"/>
          <w:color w:val="auto"/>
          <w:sz w:val="24"/>
          <w:highlight w:val="none"/>
        </w:rPr>
      </w:pPr>
      <w:r>
        <w:rPr>
          <w:rFonts w:hint="eastAsia" w:hAnsi="宋体" w:cs="宋体"/>
          <w:color w:val="auto"/>
          <w:sz w:val="24"/>
          <w:highlight w:val="none"/>
        </w:rPr>
        <w:t>(四)及时向财政部门报告评标过程中发现的采购人、采购代理机构向评标专家做倾向性、误导性的解释或者说明，以及供应商行贿、提供虚假材料或者串通等违法行为；</w:t>
      </w:r>
    </w:p>
    <w:p>
      <w:pPr>
        <w:widowControl/>
        <w:autoSpaceDE w:val="0"/>
        <w:autoSpaceDN w:val="0"/>
        <w:spacing w:line="440" w:lineRule="exact"/>
        <w:ind w:right="53" w:firstLine="480" w:firstLineChars="200"/>
        <w:textAlignment w:val="bottom"/>
        <w:rPr>
          <w:rFonts w:hAnsi="宋体" w:cs="宋体"/>
          <w:color w:val="auto"/>
          <w:sz w:val="24"/>
          <w:highlight w:val="none"/>
        </w:rPr>
      </w:pPr>
      <w:r>
        <w:rPr>
          <w:rFonts w:hint="eastAsia" w:hAnsi="宋体" w:cs="宋体"/>
          <w:color w:val="auto"/>
          <w:sz w:val="24"/>
          <w:highlight w:val="none"/>
        </w:rPr>
        <w:t>(五)发现招标文件内容违反国家有关强制性规定或者采购文件存在歧义、重大缺陷导致评标工作无法进行时，停止评标并向采购人或者采购代理机构书面说明情况；</w:t>
      </w:r>
    </w:p>
    <w:p>
      <w:pPr>
        <w:widowControl/>
        <w:autoSpaceDE w:val="0"/>
        <w:autoSpaceDN w:val="0"/>
        <w:spacing w:line="440" w:lineRule="exact"/>
        <w:ind w:right="53" w:firstLine="480" w:firstLineChars="200"/>
        <w:textAlignment w:val="bottom"/>
        <w:rPr>
          <w:rFonts w:hAnsi="宋体" w:cs="宋体"/>
          <w:color w:val="auto"/>
          <w:sz w:val="24"/>
          <w:highlight w:val="none"/>
        </w:rPr>
      </w:pPr>
      <w:r>
        <w:rPr>
          <w:rFonts w:hint="eastAsia" w:hAnsi="宋体" w:cs="宋体"/>
          <w:color w:val="auto"/>
          <w:sz w:val="24"/>
          <w:highlight w:val="none"/>
        </w:rPr>
        <w:t>(六)及时向财政、监察等部门举报在评标过程中受到的非法干预情况；</w:t>
      </w:r>
    </w:p>
    <w:p>
      <w:pPr>
        <w:widowControl/>
        <w:autoSpaceDE w:val="0"/>
        <w:autoSpaceDN w:val="0"/>
        <w:spacing w:line="440" w:lineRule="exact"/>
        <w:ind w:right="53" w:firstLine="480" w:firstLineChars="200"/>
        <w:textAlignment w:val="bottom"/>
        <w:rPr>
          <w:rFonts w:hAnsi="宋体" w:cs="宋体"/>
          <w:color w:val="auto"/>
          <w:sz w:val="24"/>
          <w:highlight w:val="none"/>
        </w:rPr>
      </w:pPr>
      <w:r>
        <w:rPr>
          <w:rFonts w:hint="eastAsia" w:hAnsi="宋体" w:cs="宋体"/>
          <w:color w:val="auto"/>
          <w:sz w:val="24"/>
          <w:highlight w:val="none"/>
        </w:rPr>
        <w:t>(七)配合答复处理供应商的询问、质疑和投诉等事项；</w:t>
      </w:r>
    </w:p>
    <w:p>
      <w:pPr>
        <w:widowControl/>
        <w:autoSpaceDE w:val="0"/>
        <w:autoSpaceDN w:val="0"/>
        <w:spacing w:line="440" w:lineRule="exact"/>
        <w:ind w:right="53" w:firstLine="480" w:firstLineChars="200"/>
        <w:textAlignment w:val="bottom"/>
        <w:rPr>
          <w:rFonts w:hAnsi="宋体" w:cs="宋体"/>
          <w:color w:val="auto"/>
          <w:sz w:val="24"/>
          <w:highlight w:val="none"/>
        </w:rPr>
      </w:pPr>
      <w:r>
        <w:rPr>
          <w:rFonts w:hint="eastAsia" w:hAnsi="宋体" w:cs="宋体"/>
          <w:color w:val="auto"/>
          <w:sz w:val="24"/>
          <w:highlight w:val="none"/>
        </w:rPr>
        <w:t>(八)法律、法规和规章规定的其他义务。</w:t>
      </w:r>
    </w:p>
    <w:p>
      <w:pPr>
        <w:pStyle w:val="5"/>
        <w:spacing w:before="0" w:after="0" w:line="440" w:lineRule="exact"/>
        <w:ind w:firstLine="241" w:firstLineChars="100"/>
        <w:rPr>
          <w:rFonts w:ascii="宋体" w:hAnsi="宋体" w:eastAsia="宋体" w:cs="宋体"/>
          <w:bCs w:val="0"/>
          <w:color w:val="auto"/>
          <w:sz w:val="24"/>
          <w:szCs w:val="24"/>
          <w:highlight w:val="none"/>
        </w:rPr>
      </w:pPr>
      <w:bookmarkStart w:id="1034" w:name="_Toc327196346"/>
      <w:bookmarkStart w:id="1035" w:name="_Toc12088"/>
      <w:bookmarkStart w:id="1036" w:name="_Toc4379"/>
      <w:bookmarkStart w:id="1037" w:name="_Toc19071"/>
      <w:bookmarkStart w:id="1038" w:name="_Toc24913"/>
      <w:bookmarkStart w:id="1039" w:name="_Toc3421"/>
      <w:bookmarkStart w:id="1040" w:name="_Toc30872"/>
      <w:bookmarkStart w:id="1041" w:name="_Toc22368"/>
      <w:bookmarkStart w:id="1042" w:name="_Toc27047"/>
      <w:bookmarkStart w:id="1043" w:name="_Toc1690"/>
      <w:bookmarkStart w:id="1044" w:name="_Toc3688"/>
      <w:bookmarkStart w:id="1045" w:name="_Toc319440195"/>
      <w:bookmarkStart w:id="1046" w:name="_Toc28428"/>
      <w:r>
        <w:rPr>
          <w:rFonts w:hint="eastAsia" w:ascii="宋体" w:hAnsi="宋体" w:eastAsia="宋体" w:cs="宋体"/>
          <w:bCs w:val="0"/>
          <w:color w:val="auto"/>
          <w:sz w:val="24"/>
          <w:szCs w:val="24"/>
          <w:highlight w:val="none"/>
        </w:rPr>
        <w:t>十一、评标专家在政府采购活动中应当遵守以下工作纪律</w:t>
      </w:r>
      <w:bookmarkEnd w:id="1034"/>
      <w:bookmarkEnd w:id="1035"/>
      <w:bookmarkEnd w:id="1036"/>
      <w:bookmarkEnd w:id="1037"/>
      <w:bookmarkEnd w:id="1038"/>
      <w:bookmarkEnd w:id="1039"/>
      <w:bookmarkEnd w:id="1040"/>
      <w:bookmarkEnd w:id="1041"/>
      <w:bookmarkEnd w:id="1042"/>
      <w:bookmarkEnd w:id="1043"/>
      <w:bookmarkEnd w:id="1044"/>
      <w:bookmarkEnd w:id="1045"/>
      <w:bookmarkEnd w:id="1046"/>
    </w:p>
    <w:p>
      <w:pPr>
        <w:spacing w:line="440" w:lineRule="exact"/>
        <w:ind w:firstLine="480" w:firstLineChars="200"/>
        <w:rPr>
          <w:rFonts w:hAnsi="宋体" w:cs="宋体"/>
          <w:color w:val="auto"/>
          <w:sz w:val="24"/>
          <w:highlight w:val="none"/>
        </w:rPr>
      </w:pPr>
      <w:bookmarkStart w:id="1047" w:name="_Toc28956"/>
      <w:r>
        <w:rPr>
          <w:rFonts w:hint="eastAsia" w:hAnsi="宋体" w:cs="宋体"/>
          <w:color w:val="auto"/>
          <w:sz w:val="24"/>
          <w:highlight w:val="none"/>
        </w:rPr>
        <w:t>(一)遵行《政府采购法》第十二条和《政府采购法实施条例》第九条及财政部关于回避的规定；</w:t>
      </w:r>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(二)评标前，应当将通讯工具或者相关电子设备交由招标采购单位统一保管；</w:t>
      </w:r>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(三)评标过程中，不得与外界联系，因发生不可预见情况，确实需要与外界联系的，应当在监督人员监督之下办理；</w:t>
      </w:r>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(五)在评标过程中和评标结束后，不得记录、复制或带走任何评标资料，除因规定的义务外，不得向外界透露评标内容；</w:t>
      </w:r>
    </w:p>
    <w:p>
      <w:pPr>
        <w:widowControl/>
        <w:autoSpaceDE w:val="0"/>
        <w:autoSpaceDN w:val="0"/>
        <w:spacing w:line="440" w:lineRule="exact"/>
        <w:ind w:right="51" w:firstLine="480" w:firstLineChars="200"/>
        <w:textAlignment w:val="bottom"/>
        <w:rPr>
          <w:rFonts w:hAnsi="宋体" w:cs="宋体"/>
          <w:color w:val="auto"/>
          <w:sz w:val="24"/>
          <w:highlight w:val="none"/>
        </w:rPr>
      </w:pPr>
      <w:r>
        <w:rPr>
          <w:rFonts w:hint="eastAsia" w:hAnsi="宋体" w:cs="宋体"/>
          <w:color w:val="auto"/>
          <w:sz w:val="24"/>
          <w:highlight w:val="none"/>
        </w:rPr>
        <w:t>(六)服从评标现场招标采购单位的现场秩序管理，接受评标现场监督人员的合法监督；</w:t>
      </w:r>
    </w:p>
    <w:p>
      <w:pPr>
        <w:widowControl/>
        <w:autoSpaceDE w:val="0"/>
        <w:autoSpaceDN w:val="0"/>
        <w:spacing w:line="440" w:lineRule="exact"/>
        <w:ind w:right="51" w:firstLine="480" w:firstLineChars="200"/>
        <w:textAlignment w:val="bottom"/>
        <w:rPr>
          <w:rFonts w:hAnsi="宋体" w:cs="宋体"/>
          <w:color w:val="auto"/>
          <w:sz w:val="24"/>
          <w:highlight w:val="none"/>
        </w:rPr>
      </w:pPr>
      <w:r>
        <w:rPr>
          <w:rFonts w:hint="eastAsia" w:hAnsi="宋体" w:cs="宋体"/>
          <w:color w:val="auto"/>
          <w:sz w:val="24"/>
          <w:highlight w:val="none"/>
        </w:rPr>
        <w:t>(七)遵守有关廉洁自律规定，不得私下接触供应商，不得收受供应商及有关业务单位和个人的财物或好处，不得接受招标采购单位的请托。</w:t>
      </w:r>
    </w:p>
    <w:p>
      <w:pPr>
        <w:widowControl/>
        <w:autoSpaceDE w:val="0"/>
        <w:autoSpaceDN w:val="0"/>
        <w:spacing w:line="440" w:lineRule="exact"/>
        <w:ind w:right="51" w:firstLine="480" w:firstLineChars="200"/>
        <w:textAlignment w:val="bottom"/>
        <w:rPr>
          <w:rFonts w:hAnsi="宋体" w:cs="宋体"/>
          <w:color w:val="auto"/>
          <w:sz w:val="24"/>
          <w:highlight w:val="none"/>
        </w:rPr>
      </w:pPr>
      <w:r>
        <w:rPr>
          <w:rFonts w:hint="eastAsia" w:hAnsi="宋体" w:cs="宋体"/>
          <w:color w:val="auto"/>
          <w:sz w:val="24"/>
          <w:highlight w:val="none"/>
        </w:rPr>
        <w:t>(八)有关部门(机构)制定的其他评审工作纪律。</w:t>
      </w:r>
    </w:p>
    <w:p>
      <w:pPr>
        <w:pStyle w:val="5"/>
        <w:spacing w:before="0" w:after="0" w:line="440" w:lineRule="exact"/>
        <w:ind w:firstLine="241" w:firstLineChars="100"/>
        <w:rPr>
          <w:rFonts w:ascii="宋体" w:hAnsi="宋体" w:eastAsia="宋体" w:cs="宋体"/>
          <w:bCs w:val="0"/>
          <w:color w:val="auto"/>
          <w:sz w:val="24"/>
          <w:szCs w:val="24"/>
          <w:highlight w:val="none"/>
        </w:rPr>
      </w:pPr>
      <w:bookmarkStart w:id="1048" w:name="_Toc8256"/>
      <w:bookmarkStart w:id="1049" w:name="_Toc18690"/>
      <w:bookmarkStart w:id="1050" w:name="_Toc26220"/>
      <w:r>
        <w:rPr>
          <w:rFonts w:hint="eastAsia" w:ascii="宋体" w:hAnsi="宋体" w:eastAsia="宋体" w:cs="宋体"/>
          <w:bCs w:val="0"/>
          <w:color w:val="auto"/>
          <w:sz w:val="24"/>
          <w:szCs w:val="24"/>
          <w:highlight w:val="none"/>
        </w:rPr>
        <w:t>十二、评标委员会及其成员不得有下列行为：</w:t>
      </w:r>
      <w:bookmarkEnd w:id="1048"/>
      <w:bookmarkEnd w:id="1049"/>
      <w:bookmarkEnd w:id="1050"/>
    </w:p>
    <w:p>
      <w:pPr>
        <w:spacing w:line="440" w:lineRule="exact"/>
        <w:ind w:firstLine="480" w:firstLineChars="200"/>
        <w:rPr>
          <w:rFonts w:hAnsi="宋体" w:cs="宋体"/>
          <w:color w:val="auto"/>
          <w:sz w:val="24"/>
          <w:highlight w:val="none"/>
        </w:rPr>
      </w:pPr>
      <w:r>
        <w:rPr>
          <w:rFonts w:hint="eastAsia" w:hAnsi="宋体" w:cs="宋体"/>
          <w:color w:val="auto"/>
          <w:sz w:val="24"/>
          <w:szCs w:val="20"/>
          <w:highlight w:val="none"/>
        </w:rPr>
        <w:t>(一)确定参与评标至评标结束前私自接触投标人；</w:t>
      </w:r>
    </w:p>
    <w:p>
      <w:pPr>
        <w:spacing w:line="440" w:lineRule="exact"/>
        <w:ind w:firstLine="480" w:firstLineChars="200"/>
        <w:rPr>
          <w:rFonts w:hAnsi="宋体" w:cs="宋体"/>
          <w:color w:val="auto"/>
          <w:sz w:val="24"/>
          <w:highlight w:val="none"/>
        </w:rPr>
      </w:pPr>
      <w:r>
        <w:rPr>
          <w:rFonts w:hint="eastAsia" w:hAnsi="宋体" w:cs="宋体"/>
          <w:color w:val="auto"/>
          <w:sz w:val="24"/>
          <w:szCs w:val="20"/>
          <w:highlight w:val="none"/>
        </w:rPr>
        <w:t>(二)接受投标人提出的与投标文件不一致的澄清或者说明，</w:t>
      </w:r>
      <w:r>
        <w:rPr>
          <w:rFonts w:hint="eastAsia" w:hAnsi="宋体" w:cs="宋体"/>
          <w:color w:val="auto"/>
          <w:sz w:val="24"/>
          <w:szCs w:val="24"/>
          <w:highlight w:val="none"/>
        </w:rPr>
        <w:t>《政府采购货物和服务招标投标管理办法》(财政部令第87号)</w:t>
      </w:r>
      <w:r>
        <w:rPr>
          <w:rFonts w:hint="eastAsia" w:hAnsi="宋体" w:cs="宋体"/>
          <w:color w:val="auto"/>
          <w:sz w:val="24"/>
          <w:szCs w:val="20"/>
          <w:highlight w:val="none"/>
        </w:rPr>
        <w:t>第五十一条规定的情形除外；</w:t>
      </w:r>
    </w:p>
    <w:p>
      <w:pPr>
        <w:spacing w:line="440" w:lineRule="exact"/>
        <w:ind w:firstLine="480" w:firstLineChars="200"/>
        <w:rPr>
          <w:rFonts w:hAnsi="宋体" w:cs="宋体"/>
          <w:color w:val="auto"/>
          <w:sz w:val="24"/>
          <w:highlight w:val="none"/>
        </w:rPr>
      </w:pPr>
      <w:r>
        <w:rPr>
          <w:rFonts w:hint="eastAsia" w:hAnsi="宋体" w:cs="宋体"/>
          <w:color w:val="auto"/>
          <w:sz w:val="24"/>
          <w:szCs w:val="20"/>
          <w:highlight w:val="none"/>
        </w:rPr>
        <w:t>(三)违反评标纪律发表倾向性意见或者征询采购人的倾向性意见；</w:t>
      </w:r>
    </w:p>
    <w:p>
      <w:pPr>
        <w:spacing w:line="440" w:lineRule="exact"/>
        <w:ind w:firstLine="480" w:firstLineChars="200"/>
        <w:rPr>
          <w:rFonts w:hAnsi="宋体" w:cs="宋体"/>
          <w:color w:val="auto"/>
          <w:sz w:val="24"/>
          <w:highlight w:val="none"/>
        </w:rPr>
      </w:pPr>
      <w:r>
        <w:rPr>
          <w:rFonts w:hint="eastAsia" w:hAnsi="宋体" w:cs="宋体"/>
          <w:color w:val="auto"/>
          <w:sz w:val="24"/>
          <w:szCs w:val="20"/>
          <w:highlight w:val="none"/>
        </w:rPr>
        <w:t>(四)对需要专业判断的主观评审因素协商评分；</w:t>
      </w:r>
    </w:p>
    <w:p>
      <w:pPr>
        <w:spacing w:line="440" w:lineRule="exact"/>
        <w:ind w:firstLine="480" w:firstLineChars="200"/>
        <w:rPr>
          <w:rFonts w:hAnsi="宋体" w:cs="宋体"/>
          <w:color w:val="auto"/>
          <w:sz w:val="24"/>
          <w:highlight w:val="none"/>
        </w:rPr>
      </w:pPr>
      <w:r>
        <w:rPr>
          <w:rFonts w:hint="eastAsia" w:hAnsi="宋体" w:cs="宋体"/>
          <w:color w:val="auto"/>
          <w:sz w:val="24"/>
          <w:szCs w:val="20"/>
          <w:highlight w:val="none"/>
        </w:rPr>
        <w:t>(五)在评标过程中擅离职守，影响评标程序正常进行的；</w:t>
      </w:r>
    </w:p>
    <w:p>
      <w:pPr>
        <w:spacing w:line="440" w:lineRule="exact"/>
        <w:ind w:firstLine="480" w:firstLineChars="200"/>
        <w:rPr>
          <w:rFonts w:hAnsi="宋体" w:cs="宋体"/>
          <w:color w:val="auto"/>
          <w:sz w:val="24"/>
          <w:highlight w:val="none"/>
        </w:rPr>
      </w:pPr>
      <w:r>
        <w:rPr>
          <w:rFonts w:hint="eastAsia" w:hAnsi="宋体" w:cs="宋体"/>
          <w:color w:val="auto"/>
          <w:sz w:val="24"/>
          <w:szCs w:val="20"/>
          <w:highlight w:val="none"/>
        </w:rPr>
        <w:t>(六)记录、复制或者带走任何评标资料；</w:t>
      </w:r>
    </w:p>
    <w:p>
      <w:pPr>
        <w:spacing w:line="440" w:lineRule="exact"/>
        <w:ind w:firstLine="480" w:firstLineChars="200"/>
        <w:rPr>
          <w:rFonts w:hAnsi="宋体" w:cs="宋体"/>
          <w:color w:val="auto"/>
          <w:sz w:val="24"/>
          <w:szCs w:val="20"/>
          <w:highlight w:val="none"/>
        </w:rPr>
      </w:pPr>
      <w:r>
        <w:rPr>
          <w:rFonts w:hint="eastAsia" w:hAnsi="宋体" w:cs="宋体"/>
          <w:color w:val="auto"/>
          <w:sz w:val="24"/>
          <w:szCs w:val="20"/>
          <w:highlight w:val="none"/>
        </w:rPr>
        <w:t>(七)其他不遵守评标纪律的行为。</w:t>
      </w:r>
    </w:p>
    <w:p>
      <w:pPr>
        <w:spacing w:line="440" w:lineRule="exact"/>
        <w:ind w:firstLine="480" w:firstLineChars="200"/>
        <w:rPr>
          <w:rFonts w:hAnsi="宋体" w:cs="宋体"/>
          <w:bCs/>
          <w:color w:val="auto"/>
          <w:sz w:val="24"/>
          <w:szCs w:val="24"/>
          <w:highlight w:val="none"/>
        </w:rPr>
      </w:pPr>
      <w:r>
        <w:rPr>
          <w:rFonts w:hint="eastAsia" w:hAnsi="宋体" w:cs="宋体"/>
          <w:color w:val="auto"/>
          <w:sz w:val="24"/>
          <w:szCs w:val="20"/>
          <w:highlight w:val="none"/>
        </w:rPr>
        <w:t>评标委员会成员有前款第一至五项行为之一的，其评审意见无效，并不得获取评审劳务报酬和</w:t>
      </w:r>
      <w:r>
        <w:rPr>
          <w:rFonts w:hint="eastAsia" w:hAnsi="宋体" w:cs="宋体"/>
          <w:color w:val="auto"/>
          <w:sz w:val="24"/>
          <w:szCs w:val="24"/>
          <w:highlight w:val="none"/>
        </w:rPr>
        <w:t>报销异地评审差旅费。</w:t>
      </w:r>
    </w:p>
    <w:p>
      <w:pPr>
        <w:pStyle w:val="4"/>
        <w:spacing w:before="260" w:after="260" w:line="360" w:lineRule="auto"/>
        <w:jc w:val="center"/>
        <w:rPr>
          <w:rFonts w:ascii="宋体" w:hAnsi="宋体" w:cs="宋体"/>
          <w:color w:val="auto"/>
          <w:sz w:val="36"/>
          <w:highlight w:val="none"/>
        </w:rPr>
      </w:pPr>
      <w:r>
        <w:rPr>
          <w:rFonts w:hint="eastAsia" w:ascii="宋体" w:hAnsi="宋体" w:cs="宋体"/>
          <w:bCs w:val="0"/>
          <w:color w:val="auto"/>
          <w:sz w:val="36"/>
          <w:highlight w:val="none"/>
        </w:rPr>
        <w:br w:type="page"/>
      </w:r>
      <w:bookmarkEnd w:id="1047"/>
      <w:bookmarkStart w:id="1051" w:name="_Toc18908"/>
      <w:bookmarkStart w:id="1052" w:name="_Toc32602"/>
      <w:bookmarkStart w:id="1053" w:name="_Toc23863"/>
      <w:bookmarkStart w:id="1054" w:name="_Toc13264"/>
      <w:bookmarkStart w:id="1055" w:name="_Toc19504"/>
      <w:r>
        <w:rPr>
          <w:rFonts w:hint="eastAsia" w:ascii="宋体" w:hAnsi="宋体" w:cs="宋体"/>
          <w:bCs w:val="0"/>
          <w:color w:val="auto"/>
          <w:sz w:val="36"/>
          <w:highlight w:val="none"/>
        </w:rPr>
        <w:t>第八章</w:t>
      </w:r>
      <w:bookmarkStart w:id="1056" w:name="_Toc307564903"/>
      <w:bookmarkEnd w:id="1056"/>
      <w:bookmarkStart w:id="1057" w:name="_Toc327196348"/>
      <w:bookmarkEnd w:id="1057"/>
      <w:bookmarkStart w:id="1058" w:name="_Toc306956852"/>
      <w:bookmarkEnd w:id="1058"/>
      <w:r>
        <w:rPr>
          <w:rFonts w:hint="eastAsia" w:ascii="宋体" w:hAnsi="宋体" w:cs="宋体"/>
          <w:bCs w:val="0"/>
          <w:color w:val="auto"/>
          <w:sz w:val="36"/>
          <w:highlight w:val="none"/>
        </w:rPr>
        <w:t xml:space="preserve"> </w:t>
      </w:r>
      <w:r>
        <w:rPr>
          <w:rFonts w:hint="eastAsia" w:ascii="宋体" w:hAnsi="宋体" w:cs="宋体"/>
          <w:color w:val="auto"/>
          <w:sz w:val="36"/>
          <w:highlight w:val="none"/>
        </w:rPr>
        <w:t>政府采购合同</w:t>
      </w:r>
      <w:bookmarkEnd w:id="1051"/>
      <w:bookmarkEnd w:id="1052"/>
      <w:bookmarkEnd w:id="1053"/>
      <w:bookmarkEnd w:id="1054"/>
      <w:bookmarkEnd w:id="1055"/>
    </w:p>
    <w:p>
      <w:pPr>
        <w:spacing w:line="440" w:lineRule="exact"/>
        <w:ind w:firstLine="480" w:firstLineChars="200"/>
        <w:rPr>
          <w:rFonts w:hint="eastAsia" w:hAnsi="宋体" w:cs="宋体"/>
          <w:color w:val="auto"/>
          <w:sz w:val="24"/>
          <w:szCs w:val="24"/>
        </w:rPr>
      </w:pPr>
      <w:r>
        <w:rPr>
          <w:rFonts w:hint="eastAsia" w:hAnsi="宋体" w:cs="宋体"/>
          <w:color w:val="auto"/>
          <w:sz w:val="24"/>
          <w:szCs w:val="24"/>
        </w:rPr>
        <w:t>合同编号：XXXX。</w:t>
      </w:r>
    </w:p>
    <w:p>
      <w:pPr>
        <w:spacing w:line="440" w:lineRule="exact"/>
        <w:ind w:firstLine="480" w:firstLineChars="200"/>
        <w:rPr>
          <w:rFonts w:hint="eastAsia" w:hAnsi="宋体" w:cs="宋体"/>
          <w:color w:val="auto"/>
          <w:sz w:val="24"/>
          <w:szCs w:val="24"/>
        </w:rPr>
      </w:pPr>
      <w:r>
        <w:rPr>
          <w:rFonts w:hint="eastAsia" w:hAnsi="宋体" w:cs="宋体"/>
          <w:color w:val="auto"/>
          <w:sz w:val="24"/>
          <w:szCs w:val="24"/>
        </w:rPr>
        <w:t>签订地点：XXXX。</w:t>
      </w:r>
    </w:p>
    <w:p>
      <w:pPr>
        <w:spacing w:line="440" w:lineRule="exact"/>
        <w:ind w:firstLine="480" w:firstLineChars="200"/>
        <w:rPr>
          <w:rFonts w:hint="eastAsia" w:hAnsi="宋体" w:cs="宋体"/>
          <w:color w:val="auto"/>
          <w:sz w:val="24"/>
          <w:szCs w:val="24"/>
        </w:rPr>
      </w:pPr>
      <w:r>
        <w:rPr>
          <w:rFonts w:hint="eastAsia" w:hAnsi="宋体" w:cs="宋体"/>
          <w:color w:val="auto"/>
          <w:sz w:val="24"/>
          <w:szCs w:val="24"/>
        </w:rPr>
        <w:t>签订时间：XXXX年XX月XX日。</w:t>
      </w:r>
    </w:p>
    <w:p>
      <w:pPr>
        <w:spacing w:line="440" w:lineRule="exact"/>
        <w:ind w:firstLine="480" w:firstLineChars="200"/>
        <w:rPr>
          <w:rFonts w:hint="eastAsia" w:hAnsi="宋体" w:cs="宋体"/>
          <w:color w:val="auto"/>
          <w:sz w:val="24"/>
          <w:szCs w:val="24"/>
        </w:rPr>
      </w:pPr>
      <w:r>
        <w:rPr>
          <w:rFonts w:hint="eastAsia" w:hAnsi="宋体" w:cs="宋体"/>
          <w:color w:val="auto"/>
          <w:sz w:val="24"/>
          <w:szCs w:val="24"/>
        </w:rPr>
        <w:t xml:space="preserve">采购人（甲方）：                              </w:t>
      </w:r>
    </w:p>
    <w:p>
      <w:pPr>
        <w:spacing w:line="440" w:lineRule="exact"/>
        <w:ind w:firstLine="480" w:firstLineChars="200"/>
        <w:rPr>
          <w:rFonts w:hint="eastAsia" w:hAnsi="宋体" w:cs="宋体"/>
          <w:color w:val="auto"/>
          <w:sz w:val="24"/>
          <w:szCs w:val="24"/>
        </w:rPr>
      </w:pPr>
      <w:r>
        <w:rPr>
          <w:rFonts w:hint="eastAsia" w:hAnsi="宋体" w:cs="宋体"/>
          <w:color w:val="auto"/>
          <w:sz w:val="24"/>
          <w:szCs w:val="24"/>
        </w:rPr>
        <w:t xml:space="preserve">供应商（乙方）：                                                                     </w:t>
      </w:r>
    </w:p>
    <w:p>
      <w:pPr>
        <w:spacing w:line="440" w:lineRule="exact"/>
        <w:ind w:firstLine="480" w:firstLineChars="200"/>
        <w:rPr>
          <w:rFonts w:hint="eastAsia" w:hAnsi="宋体" w:cs="宋体"/>
          <w:color w:val="auto"/>
          <w:sz w:val="24"/>
          <w:szCs w:val="24"/>
        </w:rPr>
      </w:pPr>
    </w:p>
    <w:p>
      <w:pPr>
        <w:spacing w:line="440" w:lineRule="exact"/>
        <w:ind w:firstLine="480" w:firstLineChars="200"/>
        <w:rPr>
          <w:rFonts w:hint="eastAsia" w:hAnsi="宋体" w:cs="宋体"/>
          <w:color w:val="auto"/>
          <w:sz w:val="24"/>
          <w:szCs w:val="24"/>
        </w:rPr>
      </w:pPr>
      <w:r>
        <w:rPr>
          <w:rFonts w:hint="eastAsia" w:hAnsi="宋体" w:cs="宋体"/>
          <w:color w:val="auto"/>
          <w:sz w:val="24"/>
          <w:szCs w:val="24"/>
        </w:rPr>
        <w:t>根据《中华人民共和国政府采购法》、《中华人民共和国合同法》及XXXX采购项目（项目编号：XX）的《招标文件》、乙方的《响应文件》及《中标通知书》，甲、乙双方同意签订本合同。详细技术说明及其他有关合同项目的特定信息由合同附件予以说明，合同附件及本项目的招标文件、响应文件、《中标通知书》等均为本合同不可分割的部分。双方同意共同遵守如下条款：</w:t>
      </w:r>
    </w:p>
    <w:p>
      <w:pPr>
        <w:pStyle w:val="5"/>
        <w:spacing w:line="400" w:lineRule="exact"/>
        <w:ind w:firstLine="480" w:firstLineChars="200"/>
        <w:rPr>
          <w:rFonts w:hint="eastAsia" w:ascii="微软雅黑" w:hAnsi="微软雅黑" w:eastAsia="微软雅黑" w:cs="微软雅黑"/>
          <w:color w:val="auto"/>
          <w:sz w:val="24"/>
          <w:szCs w:val="24"/>
        </w:rPr>
      </w:pPr>
      <w:bookmarkStart w:id="1059" w:name="_Toc217446107"/>
      <w:r>
        <w:rPr>
          <w:rFonts w:hint="eastAsia" w:ascii="微软雅黑" w:hAnsi="微软雅黑" w:eastAsia="微软雅黑" w:cs="微软雅黑"/>
          <w:color w:val="auto"/>
          <w:sz w:val="24"/>
          <w:szCs w:val="24"/>
        </w:rPr>
        <w:t>一、合同货物</w:t>
      </w:r>
      <w:bookmarkEnd w:id="1059"/>
    </w:p>
    <w:tbl>
      <w:tblPr>
        <w:tblStyle w:val="37"/>
        <w:tblW w:w="0" w:type="auto"/>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5"/>
        <w:gridCol w:w="1050"/>
        <w:gridCol w:w="720"/>
        <w:gridCol w:w="900"/>
        <w:gridCol w:w="1080"/>
        <w:gridCol w:w="1185"/>
        <w:gridCol w:w="126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货物品名</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规格</w:t>
            </w:r>
          </w:p>
          <w:p>
            <w:pPr>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型号</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 w:val="24"/>
              </w:rPr>
            </w:pPr>
            <w:r>
              <w:rPr>
                <w:rFonts w:hint="eastAsia" w:ascii="宋体" w:hAnsi="宋体" w:eastAsia="宋体" w:cs="宋体"/>
                <w:color w:val="auto"/>
                <w:sz w:val="24"/>
              </w:rPr>
              <w:t>单位</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20" w:firstLineChars="50"/>
              <w:rPr>
                <w:rFonts w:hint="eastAsia" w:ascii="宋体" w:hAnsi="宋体" w:eastAsia="宋体" w:cs="宋体"/>
                <w:color w:val="auto"/>
                <w:sz w:val="24"/>
              </w:rPr>
            </w:pPr>
            <w:r>
              <w:rPr>
                <w:rFonts w:hint="eastAsia" w:ascii="宋体" w:hAnsi="宋体" w:eastAsia="宋体" w:cs="宋体"/>
                <w:color w:val="auto"/>
                <w:sz w:val="24"/>
              </w:rPr>
              <w:t>数量</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20" w:firstLineChars="50"/>
              <w:jc w:val="center"/>
              <w:rPr>
                <w:rFonts w:hint="eastAsia" w:ascii="宋体" w:hAnsi="宋体" w:eastAsia="宋体" w:cs="宋体"/>
                <w:color w:val="auto"/>
                <w:sz w:val="24"/>
              </w:rPr>
            </w:pPr>
            <w:r>
              <w:rPr>
                <w:rFonts w:hint="eastAsia" w:ascii="宋体" w:hAnsi="宋体" w:eastAsia="宋体" w:cs="宋体"/>
                <w:color w:val="auto"/>
                <w:sz w:val="24"/>
              </w:rPr>
              <w:t>单价</w:t>
            </w:r>
          </w:p>
          <w:p>
            <w:pPr>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（万元）</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总价</w:t>
            </w:r>
          </w:p>
          <w:p>
            <w:pPr>
              <w:spacing w:line="400" w:lineRule="exact"/>
              <w:rPr>
                <w:rFonts w:hint="eastAsia" w:ascii="宋体" w:hAnsi="宋体" w:eastAsia="宋体" w:cs="宋体"/>
                <w:color w:val="auto"/>
                <w:sz w:val="24"/>
              </w:rPr>
            </w:pPr>
            <w:r>
              <w:rPr>
                <w:rFonts w:hint="eastAsia" w:ascii="宋体" w:hAnsi="宋体" w:eastAsia="宋体" w:cs="宋体"/>
                <w:color w:val="auto"/>
                <w:sz w:val="24"/>
              </w:rPr>
              <w:t>（万元）</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随机</w:t>
            </w:r>
          </w:p>
          <w:p>
            <w:pPr>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配件</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20" w:firstLineChars="50"/>
              <w:rPr>
                <w:rFonts w:hint="eastAsia" w:ascii="宋体" w:hAnsi="宋体" w:eastAsia="宋体" w:cs="宋体"/>
                <w:color w:val="auto"/>
                <w:sz w:val="24"/>
              </w:rPr>
            </w:pPr>
            <w:r>
              <w:rPr>
                <w:rFonts w:hint="eastAsia" w:ascii="宋体" w:hAnsi="宋体" w:eastAsia="宋体" w:cs="宋体"/>
                <w:color w:val="auto"/>
                <w:sz w:val="24"/>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 </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 </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rPr>
            </w:pPr>
          </w:p>
        </w:tc>
      </w:tr>
    </w:tbl>
    <w:p>
      <w:pPr>
        <w:pStyle w:val="5"/>
        <w:spacing w:line="400" w:lineRule="exact"/>
        <w:ind w:firstLine="480" w:firstLineChars="200"/>
        <w:rPr>
          <w:rFonts w:hint="eastAsia" w:ascii="微软雅黑" w:hAnsi="微软雅黑" w:eastAsia="微软雅黑" w:cs="微软雅黑"/>
          <w:color w:val="auto"/>
          <w:sz w:val="24"/>
          <w:szCs w:val="24"/>
        </w:rPr>
      </w:pPr>
      <w:bookmarkStart w:id="1060" w:name="_Toc217446108"/>
      <w:r>
        <w:rPr>
          <w:rFonts w:hint="eastAsia" w:ascii="微软雅黑" w:hAnsi="微软雅黑" w:eastAsia="微软雅黑" w:cs="微软雅黑"/>
          <w:color w:val="auto"/>
          <w:sz w:val="24"/>
          <w:szCs w:val="24"/>
        </w:rPr>
        <w:t>二、合同总价</w:t>
      </w:r>
      <w:bookmarkEnd w:id="1060"/>
    </w:p>
    <w:p>
      <w:pPr>
        <w:pStyle w:val="10"/>
        <w:spacing w:line="400" w:lineRule="exact"/>
        <w:ind w:firstLineChars="175"/>
        <w:rPr>
          <w:rFonts w:hint="eastAsia" w:ascii="宋体" w:hAnsi="宋体" w:eastAsia="宋体" w:cs="宋体"/>
          <w:color w:val="auto"/>
          <w:sz w:val="24"/>
        </w:rPr>
      </w:pPr>
      <w:r>
        <w:rPr>
          <w:rFonts w:hint="eastAsia" w:ascii="宋体" w:hAnsi="宋体" w:eastAsia="宋体" w:cs="宋体"/>
          <w:color w:val="auto"/>
          <w:sz w:val="24"/>
        </w:rPr>
        <w:t>合同总价为人民币大写：</w:t>
      </w:r>
      <w:r>
        <w:rPr>
          <w:rFonts w:hint="eastAsia" w:ascii="宋体" w:hAnsi="宋体" w:eastAsia="宋体" w:cs="宋体"/>
          <w:color w:val="auto"/>
          <w:sz w:val="24"/>
          <w:u w:val="single"/>
        </w:rPr>
        <w:t xml:space="preserve">                </w:t>
      </w:r>
      <w:r>
        <w:rPr>
          <w:rFonts w:hint="eastAsia" w:ascii="宋体" w:hAnsi="宋体" w:eastAsia="宋体" w:cs="宋体"/>
          <w:color w:val="auto"/>
          <w:sz w:val="24"/>
        </w:rPr>
        <w:t>元，即RMB￥</w:t>
      </w:r>
      <w:r>
        <w:rPr>
          <w:rFonts w:hint="eastAsia" w:ascii="宋体" w:hAnsi="宋体" w:eastAsia="宋体" w:cs="宋体"/>
          <w:color w:val="auto"/>
          <w:sz w:val="24"/>
          <w:u w:val="single"/>
        </w:rPr>
        <w:t xml:space="preserve">        </w:t>
      </w:r>
      <w:r>
        <w:rPr>
          <w:rFonts w:hint="eastAsia" w:ascii="宋体" w:hAnsi="宋体" w:eastAsia="宋体" w:cs="宋体"/>
          <w:color w:val="auto"/>
          <w:sz w:val="24"/>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pStyle w:val="5"/>
        <w:spacing w:line="400" w:lineRule="exact"/>
        <w:ind w:firstLine="480" w:firstLineChars="200"/>
        <w:rPr>
          <w:rFonts w:hint="eastAsia" w:ascii="微软雅黑" w:hAnsi="微软雅黑" w:eastAsia="微软雅黑" w:cs="微软雅黑"/>
          <w:color w:val="auto"/>
          <w:sz w:val="24"/>
          <w:szCs w:val="24"/>
        </w:rPr>
      </w:pPr>
      <w:bookmarkStart w:id="1061" w:name="_Toc217446109"/>
      <w:r>
        <w:rPr>
          <w:rFonts w:hint="eastAsia" w:ascii="微软雅黑" w:hAnsi="微软雅黑" w:eastAsia="微软雅黑" w:cs="微软雅黑"/>
          <w:color w:val="auto"/>
          <w:sz w:val="24"/>
          <w:szCs w:val="24"/>
        </w:rPr>
        <w:t>三、质量要求</w:t>
      </w:r>
      <w:bookmarkEnd w:id="1061"/>
    </w:p>
    <w:p>
      <w:pPr>
        <w:pStyle w:val="65"/>
        <w:ind w:firstLine="480"/>
        <w:rPr>
          <w:rFonts w:hint="eastAsia" w:ascii="宋体" w:hAnsi="宋体" w:eastAsia="宋体" w:cs="宋体"/>
          <w:color w:val="auto"/>
        </w:rPr>
      </w:pPr>
      <w:r>
        <w:rPr>
          <w:rFonts w:hint="eastAsia" w:ascii="宋体" w:hAnsi="宋体" w:eastAsia="宋体" w:cs="宋体"/>
          <w:color w:val="auto"/>
        </w:rPr>
        <w:t>1、乙方须提供全新的货物（含零部件、配件等），表面无划伤、无碰撞痕迹，且权属清楚，不得侵害他人的知识产权。</w:t>
      </w:r>
    </w:p>
    <w:p>
      <w:pPr>
        <w:pStyle w:val="65"/>
        <w:ind w:firstLine="480"/>
        <w:rPr>
          <w:rFonts w:hint="eastAsia" w:ascii="宋体" w:hAnsi="宋体" w:eastAsia="宋体" w:cs="宋体"/>
          <w:color w:val="auto"/>
        </w:rPr>
      </w:pPr>
      <w:r>
        <w:rPr>
          <w:rFonts w:hint="eastAsia" w:ascii="宋体" w:hAnsi="宋体" w:eastAsia="宋体" w:cs="宋体"/>
          <w:color w:val="auto"/>
        </w:rPr>
        <w:t>2、货物必须符合或优于国家（行业）</w:t>
      </w:r>
      <w:r>
        <w:rPr>
          <w:rFonts w:hint="eastAsia" w:ascii="宋体" w:hAnsi="宋体" w:eastAsia="宋体" w:cs="宋体"/>
          <w:color w:val="auto"/>
          <w:u w:val="single"/>
        </w:rPr>
        <w:t xml:space="preserve">          </w:t>
      </w:r>
      <w:r>
        <w:rPr>
          <w:rFonts w:hint="eastAsia" w:ascii="宋体" w:hAnsi="宋体" w:eastAsia="宋体" w:cs="宋体"/>
          <w:color w:val="auto"/>
        </w:rPr>
        <w:t>标准，以及本项目招标文件的质量要求和技术指标与出厂标准。</w:t>
      </w:r>
    </w:p>
    <w:p>
      <w:pPr>
        <w:pStyle w:val="65"/>
        <w:ind w:firstLine="480"/>
        <w:rPr>
          <w:rFonts w:hint="eastAsia" w:ascii="宋体" w:hAnsi="宋体" w:eastAsia="宋体" w:cs="宋体"/>
          <w:color w:val="auto"/>
        </w:rPr>
      </w:pPr>
      <w:r>
        <w:rPr>
          <w:rFonts w:hint="eastAsia" w:ascii="宋体" w:hAnsi="宋体" w:eastAsia="宋体" w:cs="宋体"/>
          <w:color w:val="auto"/>
        </w:rPr>
        <w:t>3、乙方须在本合同签订之日起</w:t>
      </w:r>
      <w:r>
        <w:rPr>
          <w:rFonts w:hint="eastAsia" w:ascii="宋体" w:hAnsi="宋体" w:eastAsia="宋体" w:cs="宋体"/>
          <w:color w:val="auto"/>
          <w:u w:val="single"/>
        </w:rPr>
        <w:t xml:space="preserve">   </w:t>
      </w:r>
      <w:r>
        <w:rPr>
          <w:rFonts w:hint="eastAsia" w:ascii="宋体" w:hAnsi="宋体" w:eastAsia="宋体" w:cs="宋体"/>
          <w:color w:val="auto"/>
        </w:rPr>
        <w:t>日内送交货物成品样品给甲方确认，在甲方出具样品确认书并封存成品样品外观尺寸后，乙方才能按样生产，并以此样品作为验收样品；每台货物上均应有产品质量检验合格标志。</w:t>
      </w:r>
    </w:p>
    <w:p>
      <w:pPr>
        <w:pStyle w:val="65"/>
        <w:ind w:firstLine="480"/>
        <w:rPr>
          <w:rFonts w:hint="eastAsia" w:ascii="宋体" w:hAnsi="宋体" w:eastAsia="宋体" w:cs="宋体"/>
          <w:color w:val="auto"/>
        </w:rPr>
      </w:pPr>
      <w:r>
        <w:rPr>
          <w:rFonts w:hint="eastAsia" w:ascii="宋体" w:hAnsi="宋体" w:eastAsia="宋体" w:cs="宋体"/>
          <w:color w:val="auto"/>
        </w:rPr>
        <w:t>4、货物制造质量出现问题，乙方应负责三包（包修、包换、包退），费用由乙方负担，甲方有权到乙方生产场地检查货物质量和生产进度。</w:t>
      </w:r>
    </w:p>
    <w:p>
      <w:pPr>
        <w:pStyle w:val="65"/>
        <w:ind w:firstLine="480"/>
        <w:rPr>
          <w:rFonts w:hint="eastAsia" w:ascii="宋体" w:hAnsi="宋体" w:eastAsia="宋体" w:cs="宋体"/>
          <w:color w:val="auto"/>
        </w:rPr>
      </w:pPr>
      <w:r>
        <w:rPr>
          <w:rFonts w:hint="eastAsia" w:ascii="宋体" w:hAnsi="宋体" w:eastAsia="宋体" w:cs="宋体"/>
          <w:color w:val="auto"/>
        </w:rPr>
        <w:t>5、货到现场后由于甲方保管不当造成的质量问题，乙方亦应负责修理，但费用由甲方负担。</w:t>
      </w:r>
    </w:p>
    <w:p>
      <w:pPr>
        <w:pStyle w:val="5"/>
        <w:spacing w:line="400" w:lineRule="exact"/>
        <w:ind w:firstLine="480" w:firstLineChars="200"/>
        <w:rPr>
          <w:rFonts w:hint="eastAsia" w:ascii="微软雅黑" w:hAnsi="微软雅黑" w:eastAsia="微软雅黑" w:cs="微软雅黑"/>
          <w:color w:val="auto"/>
          <w:sz w:val="24"/>
          <w:szCs w:val="24"/>
        </w:rPr>
      </w:pPr>
      <w:bookmarkStart w:id="1062" w:name="_Toc217446110"/>
      <w:r>
        <w:rPr>
          <w:rFonts w:hint="eastAsia" w:ascii="微软雅黑" w:hAnsi="微软雅黑" w:eastAsia="微软雅黑" w:cs="微软雅黑"/>
          <w:color w:val="auto"/>
          <w:sz w:val="24"/>
          <w:szCs w:val="24"/>
        </w:rPr>
        <w:t>四、交货及验收</w:t>
      </w:r>
      <w:bookmarkEnd w:id="1062"/>
    </w:p>
    <w:p>
      <w:pPr>
        <w:pStyle w:val="65"/>
        <w:ind w:firstLine="480"/>
        <w:rPr>
          <w:rFonts w:hint="eastAsia" w:ascii="宋体" w:hAnsi="宋体" w:eastAsia="宋体" w:cs="宋体"/>
          <w:color w:val="auto"/>
        </w:rPr>
      </w:pPr>
      <w:r>
        <w:rPr>
          <w:rFonts w:hint="eastAsia" w:ascii="宋体" w:hAnsi="宋体" w:eastAsia="宋体" w:cs="宋体"/>
          <w:color w:val="auto"/>
        </w:rPr>
        <w:t>1、乙方交货期限为合同签订生效后的</w:t>
      </w:r>
      <w:r>
        <w:rPr>
          <w:rFonts w:hint="eastAsia" w:ascii="宋体" w:hAnsi="宋体" w:eastAsia="宋体" w:cs="宋体"/>
          <w:color w:val="auto"/>
          <w:szCs w:val="21"/>
        </w:rPr>
        <w:t>XX</w:t>
      </w:r>
      <w:r>
        <w:rPr>
          <w:rFonts w:hint="eastAsia" w:ascii="宋体" w:hAnsi="宋体" w:eastAsia="宋体" w:cs="宋体"/>
          <w:color w:val="auto"/>
        </w:rPr>
        <w:t>日内，在合同签订生效之日起</w:t>
      </w:r>
      <w:r>
        <w:rPr>
          <w:rFonts w:hint="eastAsia" w:ascii="宋体" w:hAnsi="宋体" w:eastAsia="宋体" w:cs="宋体"/>
          <w:color w:val="auto"/>
          <w:szCs w:val="21"/>
        </w:rPr>
        <w:t>XX</w:t>
      </w:r>
      <w:r>
        <w:rPr>
          <w:rFonts w:hint="eastAsia" w:ascii="宋体" w:hAnsi="宋体" w:eastAsia="宋体" w:cs="宋体"/>
          <w:color w:val="auto"/>
        </w:rPr>
        <w:t>天内交货到甲方指定地点，随即在</w:t>
      </w:r>
      <w:r>
        <w:rPr>
          <w:rFonts w:hint="eastAsia" w:ascii="宋体" w:hAnsi="宋体" w:eastAsia="宋体" w:cs="宋体"/>
          <w:color w:val="auto"/>
          <w:szCs w:val="21"/>
        </w:rPr>
        <w:t>XX</w:t>
      </w:r>
      <w:r>
        <w:rPr>
          <w:rFonts w:hint="eastAsia" w:ascii="宋体" w:hAnsi="宋体" w:eastAsia="宋体" w:cs="宋体"/>
          <w:color w:val="auto"/>
        </w:rPr>
        <w:t>日内全部完成安装调试验收合格交付使用，并且最迟应在</w:t>
      </w:r>
      <w:r>
        <w:rPr>
          <w:rFonts w:hint="eastAsia" w:ascii="宋体" w:hAnsi="宋体" w:eastAsia="宋体" w:cs="宋体"/>
          <w:color w:val="auto"/>
          <w:szCs w:val="21"/>
        </w:rPr>
        <w:t>XX</w:t>
      </w:r>
      <w:r>
        <w:rPr>
          <w:rFonts w:hint="eastAsia" w:ascii="宋体" w:hAnsi="宋体" w:eastAsia="宋体" w:cs="宋体"/>
          <w:color w:val="auto"/>
        </w:rPr>
        <w:t>年</w:t>
      </w:r>
      <w:r>
        <w:rPr>
          <w:rFonts w:hint="eastAsia" w:ascii="宋体" w:hAnsi="宋体" w:eastAsia="宋体" w:cs="宋体"/>
          <w:color w:val="auto"/>
          <w:szCs w:val="21"/>
        </w:rPr>
        <w:t>XX</w:t>
      </w:r>
      <w:r>
        <w:rPr>
          <w:rFonts w:hint="eastAsia" w:ascii="宋体" w:hAnsi="宋体" w:eastAsia="宋体" w:cs="宋体"/>
          <w:color w:val="auto"/>
        </w:rPr>
        <w:t>月</w:t>
      </w:r>
      <w:r>
        <w:rPr>
          <w:rFonts w:hint="eastAsia" w:ascii="宋体" w:hAnsi="宋体" w:eastAsia="宋体" w:cs="宋体"/>
          <w:color w:val="auto"/>
          <w:szCs w:val="21"/>
        </w:rPr>
        <w:t>XX</w:t>
      </w:r>
      <w:r>
        <w:rPr>
          <w:rFonts w:hint="eastAsia" w:ascii="宋体" w:hAnsi="宋体" w:eastAsia="宋体" w:cs="宋体"/>
          <w:color w:val="auto"/>
        </w:rPr>
        <w:t>日前全部完成安装调试验收合格交付使用(如由于采购人的原因造成合同延迟签订或验收的，时间顺延)。交货验收时须提供产品质检部门从同类产品中抽样检查合格的检测报告。</w:t>
      </w:r>
    </w:p>
    <w:p>
      <w:pPr>
        <w:pStyle w:val="65"/>
        <w:ind w:firstLine="480"/>
        <w:rPr>
          <w:rFonts w:hint="eastAsia" w:ascii="宋体" w:hAnsi="宋体" w:eastAsia="宋体" w:cs="宋体"/>
          <w:color w:val="auto"/>
        </w:rPr>
      </w:pPr>
      <w:r>
        <w:rPr>
          <w:rFonts w:hint="eastAsia" w:ascii="宋体" w:hAnsi="宋体" w:eastAsia="宋体" w:cs="宋体"/>
          <w:color w:val="auto"/>
        </w:rPr>
        <w:t>2、验收由甲方组织，乙方配合进行：</w:t>
      </w:r>
    </w:p>
    <w:p>
      <w:pPr>
        <w:pStyle w:val="65"/>
        <w:ind w:firstLine="480"/>
        <w:rPr>
          <w:rFonts w:hint="eastAsia" w:ascii="宋体" w:hAnsi="宋体" w:eastAsia="宋体" w:cs="宋体"/>
          <w:color w:val="auto"/>
        </w:rPr>
      </w:pPr>
      <w:r>
        <w:rPr>
          <w:rFonts w:hint="eastAsia" w:ascii="宋体" w:hAnsi="宋体" w:eastAsia="宋体" w:cs="宋体"/>
          <w:color w:val="auto"/>
        </w:rPr>
        <w:t>(1) 货物在乙方通知安装调试完毕后</w:t>
      </w:r>
      <w:r>
        <w:rPr>
          <w:rFonts w:hint="eastAsia" w:ascii="宋体" w:hAnsi="宋体" w:eastAsia="宋体" w:cs="宋体"/>
          <w:color w:val="auto"/>
          <w:u w:val="single"/>
        </w:rPr>
        <w:t xml:space="preserve">    </w:t>
      </w:r>
      <w:r>
        <w:rPr>
          <w:rFonts w:hint="eastAsia" w:ascii="宋体" w:hAnsi="宋体" w:eastAsia="宋体" w:cs="宋体"/>
          <w:color w:val="auto"/>
        </w:rPr>
        <w:t>日内初步验收。初步验收合格后，进入</w:t>
      </w:r>
      <w:r>
        <w:rPr>
          <w:rFonts w:hint="eastAsia" w:ascii="宋体" w:hAnsi="宋体" w:eastAsia="宋体" w:cs="宋体"/>
          <w:color w:val="auto"/>
          <w:u w:val="single"/>
        </w:rPr>
        <w:t xml:space="preserve">    </w:t>
      </w:r>
      <w:r>
        <w:rPr>
          <w:rFonts w:hint="eastAsia" w:ascii="宋体" w:hAnsi="宋体" w:eastAsia="宋体" w:cs="宋体"/>
          <w:color w:val="auto"/>
        </w:rPr>
        <w:t>试用期；试用期间发生重大质量问题，修复后试用相应顺延；试用期结束后</w:t>
      </w:r>
      <w:r>
        <w:rPr>
          <w:rFonts w:hint="eastAsia" w:ascii="宋体" w:hAnsi="宋体" w:eastAsia="宋体" w:cs="宋体"/>
          <w:color w:val="auto"/>
          <w:u w:val="single"/>
        </w:rPr>
        <w:t xml:space="preserve">    </w:t>
      </w:r>
      <w:r>
        <w:rPr>
          <w:rFonts w:hint="eastAsia" w:ascii="宋体" w:hAnsi="宋体" w:eastAsia="宋体" w:cs="宋体"/>
          <w:color w:val="auto"/>
        </w:rPr>
        <w:t>日内完成最终验收；</w:t>
      </w:r>
    </w:p>
    <w:p>
      <w:pPr>
        <w:pStyle w:val="65"/>
        <w:ind w:firstLine="480"/>
        <w:rPr>
          <w:rFonts w:hint="eastAsia" w:ascii="宋体" w:hAnsi="宋体" w:eastAsia="宋体" w:cs="宋体"/>
          <w:color w:val="auto"/>
        </w:rPr>
      </w:pPr>
      <w:r>
        <w:rPr>
          <w:rFonts w:hint="eastAsia" w:ascii="宋体" w:hAnsi="宋体" w:eastAsia="宋体" w:cs="宋体"/>
          <w:color w:val="auto"/>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pStyle w:val="65"/>
        <w:ind w:firstLine="480"/>
        <w:rPr>
          <w:rFonts w:hint="eastAsia" w:ascii="宋体" w:hAnsi="宋体" w:eastAsia="宋体" w:cs="宋体"/>
          <w:color w:val="auto"/>
        </w:rPr>
      </w:pPr>
      <w:r>
        <w:rPr>
          <w:rFonts w:hint="eastAsia" w:ascii="宋体" w:hAnsi="宋体" w:eastAsia="宋体" w:cs="宋体"/>
          <w:color w:val="auto"/>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65"/>
        <w:ind w:firstLine="480"/>
        <w:rPr>
          <w:rFonts w:hint="eastAsia" w:ascii="宋体" w:hAnsi="宋体" w:eastAsia="宋体" w:cs="宋体"/>
          <w:color w:val="auto"/>
        </w:rPr>
      </w:pPr>
      <w:r>
        <w:rPr>
          <w:rFonts w:hint="eastAsia" w:ascii="宋体" w:hAnsi="宋体" w:eastAsia="宋体" w:cs="宋体"/>
          <w:color w:val="auto"/>
        </w:rPr>
        <w:t>(4) 如质量验收合格，双方签署质量验收报告。</w:t>
      </w:r>
    </w:p>
    <w:p>
      <w:pPr>
        <w:pStyle w:val="65"/>
        <w:ind w:firstLine="480"/>
        <w:rPr>
          <w:rFonts w:hint="eastAsia" w:ascii="宋体" w:hAnsi="宋体" w:eastAsia="宋体" w:cs="宋体"/>
          <w:color w:val="auto"/>
        </w:rPr>
      </w:pPr>
      <w:r>
        <w:rPr>
          <w:rFonts w:hint="eastAsia" w:ascii="宋体" w:hAnsi="宋体" w:eastAsia="宋体" w:cs="宋体"/>
          <w:color w:val="auto"/>
        </w:rPr>
        <w:t>3、货物安装完成后</w:t>
      </w:r>
      <w:r>
        <w:rPr>
          <w:rFonts w:hint="eastAsia" w:ascii="宋体" w:hAnsi="宋体" w:eastAsia="宋体" w:cs="宋体"/>
          <w:color w:val="auto"/>
          <w:u w:val="single"/>
        </w:rPr>
        <w:t xml:space="preserve">     </w:t>
      </w:r>
      <w:r>
        <w:rPr>
          <w:rFonts w:hint="eastAsia" w:ascii="宋体" w:hAnsi="宋体" w:eastAsia="宋体" w:cs="宋体"/>
          <w:color w:val="auto"/>
        </w:rPr>
        <w:t>日内，甲方无故不进行验收工作并已使用货物的，视同已安装调试完成并验收合格。</w:t>
      </w:r>
    </w:p>
    <w:p>
      <w:pPr>
        <w:pStyle w:val="65"/>
        <w:ind w:firstLine="480"/>
        <w:rPr>
          <w:rFonts w:hint="eastAsia" w:ascii="宋体" w:hAnsi="宋体" w:eastAsia="宋体" w:cs="宋体"/>
          <w:color w:val="auto"/>
        </w:rPr>
      </w:pPr>
      <w:r>
        <w:rPr>
          <w:rFonts w:hint="eastAsia" w:ascii="宋体" w:hAnsi="宋体" w:eastAsia="宋体" w:cs="宋体"/>
          <w:color w:val="auto"/>
        </w:rPr>
        <w:t>4、乙方应将所提供货物的装箱清单、配件、随机工具、用户使用手册、原厂保修卡等资料交付给甲方；乙方不能完整交付货物及本款规定的单证和工具的，必须负责补齐，否则视为未按合同约定交货。</w:t>
      </w:r>
    </w:p>
    <w:p>
      <w:pPr>
        <w:pStyle w:val="65"/>
        <w:ind w:firstLine="480"/>
        <w:rPr>
          <w:rFonts w:hint="eastAsia" w:ascii="宋体" w:hAnsi="宋体" w:eastAsia="宋体" w:cs="宋体"/>
          <w:color w:val="auto"/>
        </w:rPr>
      </w:pPr>
      <w:r>
        <w:rPr>
          <w:rFonts w:hint="eastAsia" w:ascii="宋体" w:hAnsi="宋体" w:eastAsia="宋体" w:cs="宋体"/>
          <w:color w:val="auto"/>
        </w:rPr>
        <w:t>5、如货物经乙方</w:t>
      </w:r>
      <w:r>
        <w:rPr>
          <w:rFonts w:hint="eastAsia" w:ascii="宋体" w:hAnsi="宋体" w:eastAsia="宋体" w:cs="宋体"/>
          <w:color w:val="auto"/>
          <w:u w:val="single"/>
        </w:rPr>
        <w:t xml:space="preserve">   </w:t>
      </w:r>
      <w:r>
        <w:rPr>
          <w:rFonts w:hint="eastAsia" w:ascii="宋体" w:hAnsi="宋体" w:eastAsia="宋体" w:cs="宋体"/>
          <w:color w:val="auto"/>
        </w:rPr>
        <w:t>次维修仍不能达到合同约定的质量标准，甲方有权退货，并视作乙方不能交付货物而须支付违约赔偿金给甲方，甲方还可依法追究乙方的违约责任。 </w:t>
      </w:r>
    </w:p>
    <w:p>
      <w:pPr>
        <w:pStyle w:val="65"/>
        <w:ind w:firstLine="480"/>
        <w:rPr>
          <w:rFonts w:hint="eastAsia" w:ascii="宋体" w:hAnsi="宋体" w:eastAsia="宋体" w:cs="宋体"/>
          <w:color w:val="auto"/>
        </w:rPr>
      </w:pPr>
      <w:r>
        <w:rPr>
          <w:rFonts w:hint="eastAsia" w:ascii="宋体" w:hAnsi="宋体" w:eastAsia="宋体" w:cs="宋体"/>
          <w:color w:val="auto"/>
        </w:rPr>
        <w:t>6、其他未尽事宜应严格按照《四川省政府采购项目需求论证和履约验收管理办法》（川财采〔2015〕32号）的要求进行。</w:t>
      </w:r>
    </w:p>
    <w:p>
      <w:pPr>
        <w:pStyle w:val="5"/>
        <w:spacing w:line="400" w:lineRule="exact"/>
        <w:ind w:firstLine="480" w:firstLineChars="200"/>
        <w:rPr>
          <w:rFonts w:hint="eastAsia" w:ascii="微软雅黑" w:hAnsi="微软雅黑" w:eastAsia="微软雅黑" w:cs="微软雅黑"/>
          <w:color w:val="auto"/>
          <w:sz w:val="24"/>
          <w:szCs w:val="24"/>
        </w:rPr>
      </w:pPr>
      <w:bookmarkStart w:id="1063" w:name="_Toc217446111"/>
      <w:r>
        <w:rPr>
          <w:rFonts w:hint="eastAsia" w:ascii="微软雅黑" w:hAnsi="微软雅黑" w:eastAsia="微软雅黑" w:cs="微软雅黑"/>
          <w:color w:val="auto"/>
          <w:sz w:val="24"/>
          <w:szCs w:val="24"/>
        </w:rPr>
        <w:t>五、付款方式</w:t>
      </w:r>
      <w:bookmarkEnd w:id="1063"/>
    </w:p>
    <w:p>
      <w:pPr>
        <w:pStyle w:val="65"/>
        <w:ind w:firstLine="480"/>
        <w:rPr>
          <w:rFonts w:hint="eastAsia" w:ascii="宋体" w:hAnsi="宋体" w:eastAsia="宋体" w:cs="宋体"/>
          <w:color w:val="auto"/>
        </w:rPr>
      </w:pPr>
      <w:r>
        <w:rPr>
          <w:rFonts w:hint="eastAsia" w:ascii="宋体" w:hAnsi="宋体" w:eastAsia="宋体" w:cs="宋体"/>
          <w:color w:val="auto"/>
        </w:rPr>
        <w:t>1、全部货物安装调试完毕并验收合格之日起，采购人接到供应商通知与票据凭证资料以后的1个月内，按照财政性资金支付有关规定，向供应商支付合同价款的90%，质保期满后</w:t>
      </w:r>
      <w:r>
        <w:rPr>
          <w:rFonts w:hint="eastAsia" w:ascii="宋体" w:hAnsi="宋体" w:eastAsia="宋体" w:cs="宋体"/>
          <w:color w:val="auto"/>
          <w:lang w:eastAsia="zh-CN"/>
        </w:rPr>
        <w:t>结清余款</w:t>
      </w:r>
      <w:r>
        <w:rPr>
          <w:rFonts w:hint="eastAsia" w:ascii="宋体" w:hAnsi="宋体" w:eastAsia="宋体" w:cs="宋体"/>
          <w:color w:val="auto"/>
        </w:rPr>
        <w:t>。</w:t>
      </w:r>
    </w:p>
    <w:p>
      <w:pPr>
        <w:pStyle w:val="65"/>
        <w:ind w:firstLine="480"/>
        <w:rPr>
          <w:rFonts w:hint="eastAsia" w:ascii="宋体" w:hAnsi="宋体" w:eastAsia="宋体" w:cs="宋体"/>
          <w:color w:val="auto"/>
        </w:rPr>
      </w:pPr>
      <w:r>
        <w:rPr>
          <w:rFonts w:hint="eastAsia" w:ascii="宋体" w:hAnsi="宋体" w:eastAsia="宋体" w:cs="宋体"/>
          <w:color w:val="auto"/>
        </w:rPr>
        <w:t>2、乙方须向甲方出具合法有效完整的完税发票及凭证资料进行支付结算。</w:t>
      </w:r>
    </w:p>
    <w:p>
      <w:pPr>
        <w:pStyle w:val="5"/>
        <w:spacing w:line="400" w:lineRule="exact"/>
        <w:ind w:firstLine="480" w:firstLineChars="200"/>
        <w:rPr>
          <w:rFonts w:hint="eastAsia" w:ascii="微软雅黑" w:hAnsi="微软雅黑" w:eastAsia="微软雅黑" w:cs="微软雅黑"/>
          <w:color w:val="auto"/>
          <w:sz w:val="24"/>
          <w:szCs w:val="24"/>
        </w:rPr>
      </w:pPr>
      <w:bookmarkStart w:id="1064" w:name="_Toc217446112"/>
      <w:r>
        <w:rPr>
          <w:rFonts w:hint="eastAsia" w:ascii="微软雅黑" w:hAnsi="微软雅黑" w:eastAsia="微软雅黑" w:cs="微软雅黑"/>
          <w:color w:val="auto"/>
          <w:sz w:val="24"/>
          <w:szCs w:val="24"/>
        </w:rPr>
        <w:t>六、售后服务</w:t>
      </w:r>
      <w:bookmarkEnd w:id="1064"/>
    </w:p>
    <w:p>
      <w:pPr>
        <w:pStyle w:val="65"/>
        <w:ind w:firstLine="480"/>
        <w:rPr>
          <w:rFonts w:hint="eastAsia" w:ascii="宋体" w:hAnsi="宋体" w:eastAsia="宋体" w:cs="宋体"/>
          <w:color w:val="auto"/>
        </w:rPr>
      </w:pPr>
      <w:r>
        <w:rPr>
          <w:rFonts w:hint="eastAsia" w:ascii="宋体" w:hAnsi="宋体" w:eastAsia="宋体" w:cs="宋体"/>
          <w:color w:val="auto"/>
        </w:rPr>
        <w:t>1、质保期为验收合格后</w:t>
      </w:r>
      <w:r>
        <w:rPr>
          <w:rFonts w:hint="eastAsia" w:ascii="宋体" w:hAnsi="宋体" w:eastAsia="宋体" w:cs="宋体"/>
          <w:color w:val="auto"/>
          <w:szCs w:val="21"/>
          <w:u w:val="single"/>
        </w:rPr>
        <w:t xml:space="preserve">  </w:t>
      </w:r>
      <w:r>
        <w:rPr>
          <w:rFonts w:hint="eastAsia" w:ascii="宋体" w:hAnsi="宋体" w:eastAsia="宋体" w:cs="宋体"/>
          <w:color w:val="auto"/>
        </w:rPr>
        <w:t>年，质保期内出现质量问题，乙方在接到通知后</w:t>
      </w:r>
      <w:r>
        <w:rPr>
          <w:rFonts w:hint="eastAsia" w:ascii="宋体" w:hAnsi="宋体" w:eastAsia="宋体" w:cs="宋体"/>
          <w:color w:val="auto"/>
          <w:u w:val="single"/>
        </w:rPr>
        <w:t xml:space="preserve">   </w:t>
      </w:r>
      <w:r>
        <w:rPr>
          <w:rFonts w:hint="eastAsia" w:ascii="宋体" w:hAnsi="宋体" w:eastAsia="宋体" w:cs="宋体"/>
          <w:color w:val="auto"/>
        </w:rPr>
        <w:t>小时内响应到场，</w:t>
      </w:r>
      <w:r>
        <w:rPr>
          <w:rFonts w:hint="eastAsia" w:ascii="宋体" w:hAnsi="宋体" w:eastAsia="宋体" w:cs="宋体"/>
          <w:color w:val="auto"/>
          <w:u w:val="single"/>
        </w:rPr>
        <w:t xml:space="preserve">    </w:t>
      </w:r>
      <w:r>
        <w:rPr>
          <w:rFonts w:hint="eastAsia" w:ascii="宋体" w:hAnsi="宋体" w:eastAsia="宋体" w:cs="宋体"/>
          <w:color w:val="auto"/>
        </w:rPr>
        <w:t>小时内完成维修或更换，并承担修理调换的费用；如货物经乙方</w:t>
      </w:r>
      <w:r>
        <w:rPr>
          <w:rFonts w:hint="eastAsia" w:ascii="宋体" w:hAnsi="宋体" w:eastAsia="宋体" w:cs="宋体"/>
          <w:color w:val="auto"/>
          <w:u w:val="single"/>
        </w:rPr>
        <w:t xml:space="preserve">   </w:t>
      </w:r>
      <w:r>
        <w:rPr>
          <w:rFonts w:hint="eastAsia" w:ascii="宋体" w:hAnsi="宋体" w:eastAsia="宋体" w:cs="宋体"/>
          <w:color w:val="auto"/>
        </w:rPr>
        <w:t>次维修仍不能达到本合同约定的质量标准，视作乙方未能按时交货，甲方有权退货并追究乙方的违约责任。货到现场后由于甲方保管不当造成的问题，乙方亦应负责修复，但费用由甲方负担。</w:t>
      </w:r>
    </w:p>
    <w:p>
      <w:pPr>
        <w:pStyle w:val="65"/>
        <w:ind w:firstLine="480"/>
        <w:rPr>
          <w:rFonts w:hint="eastAsia" w:ascii="宋体" w:hAnsi="宋体" w:eastAsia="宋体" w:cs="宋体"/>
          <w:color w:val="auto"/>
        </w:rPr>
      </w:pPr>
      <w:r>
        <w:rPr>
          <w:rFonts w:hint="eastAsia" w:ascii="宋体" w:hAnsi="宋体" w:eastAsia="宋体" w:cs="宋体"/>
          <w:color w:val="auto"/>
        </w:rPr>
        <w:t>2、乙方须指派专人负责与甲方联系售后服务事宜。 </w:t>
      </w:r>
    </w:p>
    <w:p>
      <w:pPr>
        <w:pStyle w:val="5"/>
        <w:spacing w:line="400" w:lineRule="exact"/>
        <w:ind w:firstLine="480" w:firstLineChars="200"/>
        <w:rPr>
          <w:rFonts w:hint="eastAsia" w:ascii="微软雅黑" w:hAnsi="微软雅黑" w:eastAsia="微软雅黑" w:cs="微软雅黑"/>
          <w:color w:val="auto"/>
          <w:sz w:val="24"/>
          <w:szCs w:val="24"/>
        </w:rPr>
      </w:pPr>
      <w:bookmarkStart w:id="1065" w:name="_Toc217446113"/>
      <w:r>
        <w:rPr>
          <w:rFonts w:hint="eastAsia" w:ascii="微软雅黑" w:hAnsi="微软雅黑" w:eastAsia="微软雅黑" w:cs="微软雅黑"/>
          <w:color w:val="auto"/>
          <w:sz w:val="24"/>
          <w:szCs w:val="24"/>
        </w:rPr>
        <w:t>七、违约责任</w:t>
      </w:r>
      <w:bookmarkEnd w:id="1065"/>
    </w:p>
    <w:p>
      <w:pPr>
        <w:pStyle w:val="65"/>
        <w:ind w:firstLine="480"/>
        <w:rPr>
          <w:rFonts w:hint="eastAsia" w:ascii="宋体" w:hAnsi="宋体" w:eastAsia="宋体" w:cs="宋体"/>
          <w:color w:val="auto"/>
        </w:rPr>
      </w:pPr>
      <w:r>
        <w:rPr>
          <w:rFonts w:hint="eastAsia" w:ascii="宋体" w:hAnsi="宋体" w:eastAsia="宋体" w:cs="宋体"/>
          <w:color w:val="auto"/>
        </w:rPr>
        <w:t>1、甲方违约责任</w:t>
      </w:r>
    </w:p>
    <w:p>
      <w:pPr>
        <w:pStyle w:val="65"/>
        <w:ind w:firstLine="480"/>
        <w:rPr>
          <w:rFonts w:hint="eastAsia" w:ascii="宋体" w:hAnsi="宋体" w:eastAsia="宋体" w:cs="宋体"/>
          <w:color w:val="auto"/>
        </w:rPr>
      </w:pPr>
      <w:r>
        <w:rPr>
          <w:rFonts w:hint="eastAsia" w:ascii="宋体" w:hAnsi="宋体" w:eastAsia="宋体" w:cs="宋体"/>
          <w:color w:val="auto"/>
        </w:rPr>
        <w:t>（1） 甲方无正当理由拒收货物的，甲方应偿付合同总价百分之  的违约金；</w:t>
      </w:r>
    </w:p>
    <w:p>
      <w:pPr>
        <w:pStyle w:val="65"/>
        <w:ind w:firstLine="480"/>
        <w:rPr>
          <w:rFonts w:hint="eastAsia" w:ascii="宋体" w:hAnsi="宋体" w:eastAsia="宋体" w:cs="宋体"/>
          <w:color w:val="auto"/>
        </w:rPr>
      </w:pPr>
      <w:r>
        <w:rPr>
          <w:rFonts w:hint="eastAsia" w:ascii="宋体" w:hAnsi="宋体" w:eastAsia="宋体" w:cs="宋体"/>
          <w:color w:val="auto"/>
        </w:rPr>
        <w:t>（2） 甲方逾期支付货款的，除应及时付足货款外，应向乙方偿付欠款总额万分之</w:t>
      </w:r>
      <w:r>
        <w:rPr>
          <w:rFonts w:hint="eastAsia" w:ascii="宋体" w:hAnsi="宋体" w:eastAsia="宋体" w:cs="宋体"/>
          <w:color w:val="auto"/>
          <w:u w:val="single"/>
        </w:rPr>
        <w:t xml:space="preserve">   </w:t>
      </w:r>
      <w:r>
        <w:rPr>
          <w:rFonts w:hint="eastAsia" w:ascii="宋体" w:hAnsi="宋体" w:eastAsia="宋体" w:cs="宋体"/>
          <w:color w:val="auto"/>
        </w:rPr>
        <w:t>/天的违约金；逾期付款超过</w:t>
      </w:r>
      <w:r>
        <w:rPr>
          <w:rFonts w:hint="eastAsia" w:ascii="宋体" w:hAnsi="宋体" w:eastAsia="宋体" w:cs="宋体"/>
          <w:color w:val="auto"/>
          <w:u w:val="single"/>
        </w:rPr>
        <w:t xml:space="preserve">  </w:t>
      </w:r>
      <w:r>
        <w:rPr>
          <w:rFonts w:hint="eastAsia" w:ascii="宋体" w:hAnsi="宋体" w:eastAsia="宋体" w:cs="宋体"/>
          <w:color w:val="auto"/>
        </w:rPr>
        <w:t>天的，乙方有权终止合同；</w:t>
      </w:r>
    </w:p>
    <w:p>
      <w:pPr>
        <w:pStyle w:val="65"/>
        <w:ind w:firstLine="480"/>
        <w:rPr>
          <w:rFonts w:hint="eastAsia" w:ascii="宋体" w:hAnsi="宋体" w:eastAsia="宋体" w:cs="宋体"/>
          <w:color w:val="auto"/>
        </w:rPr>
      </w:pPr>
      <w:r>
        <w:rPr>
          <w:rFonts w:hint="eastAsia" w:ascii="宋体" w:hAnsi="宋体" w:eastAsia="宋体" w:cs="宋体"/>
          <w:color w:val="auto"/>
        </w:rPr>
        <w:t>（3） 甲方偿付的违约金不足以弥补乙方损失的，还应按乙方损失尚未弥补的部分，支付赔偿金给乙方。</w:t>
      </w:r>
    </w:p>
    <w:p>
      <w:pPr>
        <w:pStyle w:val="65"/>
        <w:ind w:firstLine="480"/>
        <w:rPr>
          <w:rFonts w:hint="eastAsia" w:ascii="宋体" w:hAnsi="宋体" w:eastAsia="宋体" w:cs="宋体"/>
          <w:color w:val="auto"/>
        </w:rPr>
      </w:pPr>
      <w:r>
        <w:rPr>
          <w:rFonts w:hint="eastAsia" w:ascii="宋体" w:hAnsi="宋体" w:eastAsia="宋体" w:cs="宋体"/>
          <w:color w:val="auto"/>
        </w:rPr>
        <w:t>2、乙方违约责任</w:t>
      </w:r>
    </w:p>
    <w:p>
      <w:pPr>
        <w:pStyle w:val="65"/>
        <w:ind w:firstLine="480"/>
        <w:rPr>
          <w:rFonts w:hint="eastAsia" w:ascii="宋体" w:hAnsi="宋体" w:eastAsia="宋体" w:cs="宋体"/>
          <w:color w:val="auto"/>
        </w:rPr>
      </w:pPr>
      <w:r>
        <w:rPr>
          <w:rFonts w:hint="eastAsia" w:ascii="宋体" w:hAnsi="宋体" w:eastAsia="宋体" w:cs="宋体"/>
          <w:color w:val="auto"/>
        </w:rPr>
        <w:t>（1）乙方交付的货物质量不符合合同规定的，乙方应向甲方支付合同总价的百分之</w:t>
      </w:r>
      <w:r>
        <w:rPr>
          <w:rFonts w:hint="eastAsia" w:ascii="宋体" w:hAnsi="宋体" w:eastAsia="宋体" w:cs="宋体"/>
          <w:color w:val="auto"/>
          <w:u w:val="single"/>
        </w:rPr>
        <w:t xml:space="preserve">  </w:t>
      </w:r>
      <w:r>
        <w:rPr>
          <w:rFonts w:hint="eastAsia" w:ascii="宋体" w:hAnsi="宋体" w:eastAsia="宋体" w:cs="宋体"/>
          <w:color w:val="auto"/>
        </w:rPr>
        <w:t>的违约金，并须在合同规定的交货时间内更换合格的货物给甲方，否则，视作乙方不能交付货物而违约，按本条本款下述第“（2）”项规定由乙方偿付违约赔偿金给甲方。</w:t>
      </w:r>
    </w:p>
    <w:p>
      <w:pPr>
        <w:pStyle w:val="65"/>
        <w:ind w:firstLine="480"/>
        <w:rPr>
          <w:rFonts w:hint="eastAsia" w:ascii="宋体" w:hAnsi="宋体" w:eastAsia="宋体" w:cs="宋体"/>
          <w:color w:val="auto"/>
        </w:rPr>
      </w:pPr>
      <w:r>
        <w:rPr>
          <w:rFonts w:hint="eastAsia" w:ascii="宋体" w:hAnsi="宋体" w:eastAsia="宋体" w:cs="宋体"/>
          <w:color w:val="auto"/>
        </w:rPr>
        <w:t>（2）乙方不能交付货物或逾期交付货物而违约的，除应及时交足货物外，应向甲方偿付逾期交货部分货款总额的万分之</w:t>
      </w:r>
      <w:r>
        <w:rPr>
          <w:rFonts w:hint="eastAsia" w:ascii="宋体" w:hAnsi="宋体" w:eastAsia="宋体" w:cs="宋体"/>
          <w:color w:val="auto"/>
          <w:u w:val="single"/>
        </w:rPr>
        <w:t xml:space="preserve">   </w:t>
      </w:r>
      <w:r>
        <w:rPr>
          <w:rFonts w:hint="eastAsia" w:ascii="宋体" w:hAnsi="宋体" w:eastAsia="宋体" w:cs="宋体"/>
          <w:color w:val="auto"/>
        </w:rPr>
        <w:t>/天的违约金；逾期交货超过</w:t>
      </w:r>
      <w:r>
        <w:rPr>
          <w:rFonts w:hint="eastAsia" w:ascii="宋体" w:hAnsi="宋体" w:eastAsia="宋体" w:cs="宋体"/>
          <w:color w:val="auto"/>
          <w:szCs w:val="21"/>
        </w:rPr>
        <w:t>XX</w:t>
      </w:r>
      <w:r>
        <w:rPr>
          <w:rFonts w:hint="eastAsia" w:ascii="宋体" w:hAnsi="宋体" w:eastAsia="宋体" w:cs="宋体"/>
          <w:color w:val="auto"/>
        </w:rPr>
        <w:t>天，甲方有权终止合同，乙方则应按合同总价的百分之</w:t>
      </w:r>
      <w:r>
        <w:rPr>
          <w:rFonts w:hint="eastAsia" w:ascii="宋体" w:hAnsi="宋体" w:eastAsia="宋体" w:cs="宋体"/>
          <w:color w:val="auto"/>
          <w:u w:val="single"/>
        </w:rPr>
        <w:t xml:space="preserve">  </w:t>
      </w:r>
      <w:r>
        <w:rPr>
          <w:rFonts w:hint="eastAsia" w:ascii="宋体" w:hAnsi="宋体" w:eastAsia="宋体" w:cs="宋体"/>
          <w:color w:val="auto"/>
        </w:rPr>
        <w:t>的款额向甲方偿付赔偿金，并须全额退还甲方已经付给乙方的货款及其利息。</w:t>
      </w:r>
    </w:p>
    <w:p>
      <w:pPr>
        <w:pStyle w:val="65"/>
        <w:ind w:firstLine="480"/>
        <w:rPr>
          <w:rFonts w:hint="eastAsia" w:ascii="宋体" w:hAnsi="宋体" w:eastAsia="宋体" w:cs="宋体"/>
          <w:color w:val="auto"/>
        </w:rPr>
      </w:pPr>
      <w:r>
        <w:rPr>
          <w:rFonts w:hint="eastAsia" w:ascii="宋体" w:hAnsi="宋体" w:eastAsia="宋体" w:cs="宋体"/>
          <w:color w:val="auto"/>
        </w:rPr>
        <w:t>（3）乙方货物经甲方送交具有法定资格条件的质量技术监督机构检测后，如检测结果认定货物质量不符合本合同规定标准的，则视为乙方没有按时交货而违约，乙方须在</w:t>
      </w:r>
      <w:r>
        <w:rPr>
          <w:rFonts w:hint="eastAsia" w:ascii="宋体" w:hAnsi="宋体" w:eastAsia="宋体" w:cs="宋体"/>
          <w:color w:val="auto"/>
          <w:u w:val="single"/>
        </w:rPr>
        <w:t xml:space="preserve">   </w:t>
      </w:r>
      <w:r>
        <w:rPr>
          <w:rFonts w:hint="eastAsia" w:ascii="宋体" w:hAnsi="宋体" w:eastAsia="宋体" w:cs="宋体"/>
          <w:color w:val="auto"/>
        </w:rPr>
        <w:t>天内无条件更换合格的货物，如逾期不能更换合格的货物，甲方有权终止本合同，乙方应另付合同总价的百分之</w:t>
      </w:r>
      <w:r>
        <w:rPr>
          <w:rFonts w:hint="eastAsia" w:ascii="宋体" w:hAnsi="宋体" w:eastAsia="宋体" w:cs="宋体"/>
          <w:color w:val="auto"/>
          <w:u w:val="single"/>
        </w:rPr>
        <w:t xml:space="preserve">   </w:t>
      </w:r>
      <w:r>
        <w:rPr>
          <w:rFonts w:hint="eastAsia" w:ascii="宋体" w:hAnsi="宋体" w:eastAsia="宋体" w:cs="宋体"/>
          <w:color w:val="auto"/>
        </w:rPr>
        <w:t>的赔偿金给甲方。</w:t>
      </w:r>
    </w:p>
    <w:p>
      <w:pPr>
        <w:pStyle w:val="65"/>
        <w:ind w:firstLine="480"/>
        <w:rPr>
          <w:rFonts w:hint="eastAsia" w:ascii="宋体" w:hAnsi="宋体" w:eastAsia="宋体" w:cs="宋体"/>
          <w:color w:val="auto"/>
        </w:rPr>
      </w:pPr>
      <w:r>
        <w:rPr>
          <w:rFonts w:hint="eastAsia" w:ascii="宋体" w:hAnsi="宋体" w:eastAsia="宋体" w:cs="宋体"/>
          <w:color w:val="auto"/>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hint="eastAsia" w:ascii="宋体" w:hAnsi="宋体" w:eastAsia="宋体" w:cs="宋体"/>
          <w:color w:val="auto"/>
          <w:u w:val="single"/>
        </w:rPr>
        <w:t xml:space="preserve">   </w:t>
      </w:r>
      <w:r>
        <w:rPr>
          <w:rFonts w:hint="eastAsia" w:ascii="宋体" w:hAnsi="宋体" w:eastAsia="宋体" w:cs="宋体"/>
          <w:color w:val="auto"/>
        </w:rPr>
        <w:t>向甲方支付违约金并赔偿因此给甲方造成的一切损失。</w:t>
      </w:r>
    </w:p>
    <w:p>
      <w:pPr>
        <w:pStyle w:val="65"/>
        <w:ind w:firstLine="480"/>
        <w:rPr>
          <w:rFonts w:hint="eastAsia" w:ascii="宋体" w:hAnsi="宋体" w:eastAsia="宋体" w:cs="宋体"/>
          <w:color w:val="auto"/>
        </w:rPr>
      </w:pPr>
      <w:r>
        <w:rPr>
          <w:rFonts w:hint="eastAsia" w:ascii="宋体" w:hAnsi="宋体" w:eastAsia="宋体" w:cs="宋体"/>
          <w:color w:val="auto"/>
        </w:rPr>
        <w:t>（5）乙方偿付的违约金不足以弥补甲方损失的，还应按甲方损失尚未弥补的部分，支付赔偿金给甲方。</w:t>
      </w:r>
    </w:p>
    <w:p>
      <w:pPr>
        <w:pStyle w:val="5"/>
        <w:spacing w:line="400" w:lineRule="exact"/>
        <w:ind w:firstLine="480" w:firstLineChars="200"/>
        <w:rPr>
          <w:rFonts w:hint="eastAsia" w:ascii="微软雅黑" w:hAnsi="微软雅黑" w:eastAsia="微软雅黑" w:cs="微软雅黑"/>
          <w:color w:val="auto"/>
          <w:sz w:val="24"/>
          <w:szCs w:val="24"/>
        </w:rPr>
      </w:pPr>
      <w:bookmarkStart w:id="1066" w:name="_Toc217446114"/>
      <w:r>
        <w:rPr>
          <w:rFonts w:hint="eastAsia" w:ascii="微软雅黑" w:hAnsi="微软雅黑" w:eastAsia="微软雅黑" w:cs="微软雅黑"/>
          <w:color w:val="auto"/>
          <w:sz w:val="24"/>
          <w:szCs w:val="24"/>
        </w:rPr>
        <w:t>八、争议解决办法</w:t>
      </w:r>
      <w:bookmarkEnd w:id="1066"/>
    </w:p>
    <w:p>
      <w:pPr>
        <w:pStyle w:val="65"/>
        <w:ind w:firstLine="480"/>
        <w:rPr>
          <w:rFonts w:hint="eastAsia" w:ascii="宋体" w:hAnsi="宋体" w:eastAsia="宋体" w:cs="宋体"/>
          <w:color w:val="auto"/>
        </w:rPr>
      </w:pPr>
      <w:r>
        <w:rPr>
          <w:rFonts w:hint="eastAsia" w:ascii="宋体" w:hAnsi="宋体" w:eastAsia="宋体" w:cs="宋体"/>
          <w:color w:val="auto"/>
        </w:rPr>
        <w:t>1、因货物的质量问题发生争议，由质量技术监督部门或其指定的质量鉴定机构进行质量鉴定。货物符合标准的，鉴定费由甲方承担；货物不符合质量标准的，鉴定费由乙方承担。</w:t>
      </w:r>
    </w:p>
    <w:p>
      <w:pPr>
        <w:pStyle w:val="65"/>
        <w:ind w:firstLine="480"/>
        <w:rPr>
          <w:rFonts w:hint="eastAsia" w:ascii="宋体" w:hAnsi="宋体" w:eastAsia="宋体" w:cs="宋体"/>
          <w:color w:val="auto"/>
        </w:rPr>
      </w:pPr>
      <w:r>
        <w:rPr>
          <w:rFonts w:hint="eastAsia" w:ascii="宋体" w:hAnsi="宋体" w:eastAsia="宋体" w:cs="宋体"/>
          <w:color w:val="auto"/>
        </w:rPr>
        <w:t>2、合同履行期间,若双方发生争议，可协商或由有关部门调解解决，协商或调解不成的，由当事人依法维护其合法权益。</w:t>
      </w:r>
    </w:p>
    <w:p>
      <w:pPr>
        <w:pStyle w:val="5"/>
        <w:spacing w:line="400" w:lineRule="exact"/>
        <w:ind w:firstLine="480" w:firstLineChars="200"/>
        <w:rPr>
          <w:rFonts w:hint="eastAsia" w:ascii="微软雅黑" w:hAnsi="微软雅黑" w:eastAsia="微软雅黑" w:cs="微软雅黑"/>
          <w:color w:val="auto"/>
          <w:sz w:val="24"/>
          <w:szCs w:val="24"/>
        </w:rPr>
      </w:pPr>
      <w:bookmarkStart w:id="1067" w:name="_Toc217446115"/>
      <w:r>
        <w:rPr>
          <w:rFonts w:hint="eastAsia" w:ascii="微软雅黑" w:hAnsi="微软雅黑" w:eastAsia="微软雅黑" w:cs="微软雅黑"/>
          <w:color w:val="auto"/>
          <w:sz w:val="24"/>
          <w:szCs w:val="24"/>
        </w:rPr>
        <w:t>九、其他</w:t>
      </w:r>
      <w:bookmarkEnd w:id="1067"/>
    </w:p>
    <w:p>
      <w:pPr>
        <w:pStyle w:val="65"/>
        <w:ind w:firstLine="480"/>
        <w:rPr>
          <w:rFonts w:hint="eastAsia" w:ascii="宋体" w:hAnsi="宋体" w:eastAsia="宋体" w:cs="宋体"/>
          <w:color w:val="auto"/>
        </w:rPr>
      </w:pPr>
      <w:r>
        <w:rPr>
          <w:rFonts w:hint="eastAsia" w:ascii="宋体" w:hAnsi="宋体" w:eastAsia="宋体" w:cs="宋体"/>
          <w:color w:val="auto"/>
        </w:rPr>
        <w:t>1、如有未尽事宜，由双方依法订立补充合同。</w:t>
      </w:r>
    </w:p>
    <w:p>
      <w:pPr>
        <w:pStyle w:val="65"/>
        <w:ind w:firstLine="480"/>
        <w:rPr>
          <w:rFonts w:hint="eastAsia" w:ascii="宋体" w:hAnsi="宋体" w:eastAsia="宋体" w:cs="宋体"/>
          <w:color w:val="auto"/>
          <w:sz w:val="24"/>
        </w:rPr>
      </w:pPr>
      <w:r>
        <w:rPr>
          <w:rFonts w:hint="eastAsia" w:ascii="宋体" w:hAnsi="宋体" w:eastAsia="宋体" w:cs="宋体"/>
          <w:color w:val="auto"/>
        </w:rPr>
        <w:t>2、本合同一式六份，自双方签章之日起生效。甲方三份，乙方、政府采购管理部门、采购代理机构各一份。</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甲方：   （盖章）   </w:t>
      </w:r>
      <w:r>
        <w:rPr>
          <w:rFonts w:hint="eastAsia" w:ascii="宋体" w:hAnsi="宋体" w:eastAsia="宋体" w:cs="宋体"/>
          <w:color w:val="auto"/>
          <w:sz w:val="24"/>
        </w:rPr>
        <w:tab/>
      </w:r>
      <w:r>
        <w:rPr>
          <w:rFonts w:hint="eastAsia" w:ascii="宋体" w:hAnsi="宋体" w:eastAsia="宋体" w:cs="宋体"/>
          <w:color w:val="auto"/>
          <w:sz w:val="24"/>
        </w:rPr>
        <w:tab/>
      </w:r>
      <w:r>
        <w:rPr>
          <w:rFonts w:hint="eastAsia" w:ascii="宋体" w:hAnsi="宋体" w:eastAsia="宋体" w:cs="宋体"/>
          <w:color w:val="auto"/>
          <w:sz w:val="24"/>
        </w:rPr>
        <w:tab/>
      </w:r>
      <w:r>
        <w:rPr>
          <w:rFonts w:hint="eastAsia" w:ascii="宋体" w:hAnsi="宋体" w:eastAsia="宋体" w:cs="宋体"/>
          <w:color w:val="auto"/>
          <w:sz w:val="24"/>
        </w:rPr>
        <w:t xml:space="preserve">       乙方：   （盖章）</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法定代表人（授权代表）：            法定代表人（授权代表）：</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地    址：                         地    址：</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开户银行：                         开户银行：</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账号：                             账号：</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电    话：                         电    话：</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传    真：                         传    真：</w:t>
      </w:r>
    </w:p>
    <w:p>
      <w:pPr>
        <w:spacing w:line="400" w:lineRule="exact"/>
        <w:ind w:firstLine="480" w:firstLineChars="200"/>
        <w:rPr>
          <w:rFonts w:hAnsi="宋体" w:cs="宋体"/>
          <w:color w:val="auto"/>
          <w:highlight w:val="none"/>
        </w:rPr>
      </w:pPr>
      <w:r>
        <w:rPr>
          <w:rFonts w:hint="eastAsia" w:ascii="宋体" w:hAnsi="宋体" w:eastAsia="宋体" w:cs="宋体"/>
          <w:color w:val="auto"/>
          <w:sz w:val="24"/>
        </w:rPr>
        <w:t xml:space="preserve">签约日期：XX年XX月XX日 </w:t>
      </w:r>
      <w:r>
        <w:rPr>
          <w:rFonts w:hint="eastAsia" w:ascii="宋体" w:hAnsi="宋体" w:eastAsia="宋体" w:cs="宋体"/>
          <w:color w:val="auto"/>
          <w:sz w:val="24"/>
        </w:rPr>
        <w:tab/>
      </w:r>
      <w:r>
        <w:rPr>
          <w:rFonts w:hint="eastAsia" w:ascii="宋体" w:hAnsi="宋体" w:eastAsia="宋体" w:cs="宋体"/>
          <w:color w:val="auto"/>
          <w:sz w:val="24"/>
        </w:rPr>
        <w:tab/>
      </w:r>
      <w:r>
        <w:rPr>
          <w:rFonts w:hint="eastAsia" w:ascii="宋体" w:hAnsi="宋体" w:eastAsia="宋体" w:cs="宋体"/>
          <w:color w:val="auto"/>
          <w:sz w:val="24"/>
        </w:rPr>
        <w:tab/>
      </w:r>
      <w:r>
        <w:rPr>
          <w:rFonts w:hint="eastAsia" w:hAnsi="宋体" w:cs="宋体"/>
          <w:color w:val="auto"/>
          <w:sz w:val="24"/>
          <w:lang w:val="en-US" w:eastAsia="zh-CN"/>
        </w:rPr>
        <w:t xml:space="preserve">         </w:t>
      </w:r>
      <w:r>
        <w:rPr>
          <w:rFonts w:hint="eastAsia" w:ascii="宋体" w:hAnsi="宋体" w:eastAsia="宋体" w:cs="宋体"/>
          <w:color w:val="auto"/>
          <w:sz w:val="24"/>
        </w:rPr>
        <w:t>签约日期：XX年XX月XX日</w:t>
      </w:r>
    </w:p>
    <w:sectPr>
      <w:headerReference r:id="rId5" w:type="first"/>
      <w:footerReference r:id="rId7" w:type="first"/>
      <w:headerReference r:id="rId4" w:type="default"/>
      <w:footerReference r:id="rId6" w:type="default"/>
      <w:pgSz w:w="11906" w:h="16838"/>
      <w:pgMar w:top="1440" w:right="1417" w:bottom="1440" w:left="1701" w:header="851" w:footer="992" w:gutter="0"/>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
    <w:altName w:val="仿宋"/>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FFFFFF" w:sz="6"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jc w:val="left"/>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00000003"/>
    <w:multiLevelType w:val="singleLevel"/>
    <w:tmpl w:val="00000003"/>
    <w:lvl w:ilvl="0" w:tentative="0">
      <w:start w:val="1"/>
      <w:numFmt w:val="chineseCounting"/>
      <w:suff w:val="nothing"/>
      <w:lvlText w:val="%1、"/>
      <w:lvlJc w:val="left"/>
      <w:pPr>
        <w:ind w:left="0" w:firstLine="420"/>
      </w:pPr>
      <w:rPr>
        <w:rFonts w:hint="eastAsia"/>
      </w:rPr>
    </w:lvl>
  </w:abstractNum>
  <w:abstractNum w:abstractNumId="2">
    <w:nsid w:val="00000004"/>
    <w:multiLevelType w:val="singleLevel"/>
    <w:tmpl w:val="00000004"/>
    <w:lvl w:ilvl="0" w:tentative="0">
      <w:start w:val="1"/>
      <w:numFmt w:val="chineseCounting"/>
      <w:suff w:val="nothing"/>
      <w:lvlText w:val="（%1）"/>
      <w:lvlJc w:val="left"/>
      <w:pPr>
        <w:ind w:left="0" w:firstLine="420"/>
      </w:pPr>
      <w:rPr>
        <w:rFonts w:hint="eastAsia"/>
      </w:rPr>
    </w:lvl>
  </w:abstractNum>
  <w:abstractNum w:abstractNumId="3">
    <w:nsid w:val="00000005"/>
    <w:multiLevelType w:val="singleLevel"/>
    <w:tmpl w:val="00000005"/>
    <w:lvl w:ilvl="0" w:tentative="0">
      <w:start w:val="1"/>
      <w:numFmt w:val="chineseCounting"/>
      <w:suff w:val="nothing"/>
      <w:lvlText w:val="（%1）"/>
      <w:lvlJc w:val="left"/>
      <w:pPr>
        <w:ind w:left="0" w:firstLine="420"/>
      </w:pPr>
      <w:rPr>
        <w:rFonts w:hint="eastAsia"/>
      </w:rPr>
    </w:lvl>
  </w:abstractNum>
  <w:abstractNum w:abstractNumId="4">
    <w:nsid w:val="00000006"/>
    <w:multiLevelType w:val="singleLevel"/>
    <w:tmpl w:val="00000006"/>
    <w:lvl w:ilvl="0" w:tentative="0">
      <w:start w:val="1"/>
      <w:numFmt w:val="chineseCounting"/>
      <w:suff w:val="nothing"/>
      <w:lvlText w:val="（%1）"/>
      <w:lvlJc w:val="left"/>
      <w:pPr>
        <w:ind w:left="0" w:firstLine="420"/>
      </w:pPr>
      <w:rPr>
        <w:rFonts w:hint="eastAsia"/>
      </w:rPr>
    </w:lvl>
  </w:abstractNum>
  <w:abstractNum w:abstractNumId="5">
    <w:nsid w:val="00000007"/>
    <w:multiLevelType w:val="singleLevel"/>
    <w:tmpl w:val="00000007"/>
    <w:lvl w:ilvl="0" w:tentative="0">
      <w:start w:val="1"/>
      <w:numFmt w:val="chineseCounting"/>
      <w:suff w:val="nothing"/>
      <w:lvlText w:val="（%1）"/>
      <w:lvlJc w:val="left"/>
      <w:pPr>
        <w:ind w:left="0" w:firstLine="420"/>
      </w:pPr>
      <w:rPr>
        <w:rFonts w:hint="eastAsia"/>
      </w:rPr>
    </w:lvl>
  </w:abstractNum>
  <w:abstractNum w:abstractNumId="6">
    <w:nsid w:val="00000008"/>
    <w:multiLevelType w:val="singleLevel"/>
    <w:tmpl w:val="00000008"/>
    <w:lvl w:ilvl="0" w:tentative="0">
      <w:start w:val="1"/>
      <w:numFmt w:val="decimal"/>
      <w:suff w:val="nothing"/>
      <w:lvlText w:val="%1．"/>
      <w:lvlJc w:val="left"/>
      <w:pPr>
        <w:ind w:left="0" w:firstLine="400"/>
      </w:pPr>
      <w:rPr>
        <w:rFonts w:hint="default"/>
      </w:rPr>
    </w:lvl>
  </w:abstractNum>
  <w:abstractNum w:abstractNumId="7">
    <w:nsid w:val="0000000B"/>
    <w:multiLevelType w:val="singleLevel"/>
    <w:tmpl w:val="0000000B"/>
    <w:lvl w:ilvl="0" w:tentative="0">
      <w:start w:val="1"/>
      <w:numFmt w:val="decimal"/>
      <w:suff w:val="nothing"/>
      <w:lvlText w:val="%1．"/>
      <w:lvlJc w:val="left"/>
      <w:pPr>
        <w:ind w:left="0" w:firstLine="400"/>
      </w:pPr>
      <w:rPr>
        <w:rFonts w:hint="default"/>
      </w:rPr>
    </w:lvl>
  </w:abstractNum>
  <w:abstractNum w:abstractNumId="8">
    <w:nsid w:val="0000000C"/>
    <w:multiLevelType w:val="singleLevel"/>
    <w:tmpl w:val="0000000C"/>
    <w:lvl w:ilvl="0" w:tentative="0">
      <w:start w:val="1"/>
      <w:numFmt w:val="decimal"/>
      <w:suff w:val="nothing"/>
      <w:lvlText w:val="%1．"/>
      <w:lvlJc w:val="left"/>
      <w:pPr>
        <w:ind w:left="0" w:firstLine="400"/>
      </w:pPr>
      <w:rPr>
        <w:rFonts w:hint="default"/>
      </w:rPr>
    </w:lvl>
  </w:abstractNum>
  <w:abstractNum w:abstractNumId="9">
    <w:nsid w:val="0000000D"/>
    <w:multiLevelType w:val="singleLevel"/>
    <w:tmpl w:val="0000000D"/>
    <w:lvl w:ilvl="0" w:tentative="0">
      <w:start w:val="1"/>
      <w:numFmt w:val="decimal"/>
      <w:suff w:val="nothing"/>
      <w:lvlText w:val="%1．"/>
      <w:lvlJc w:val="left"/>
      <w:pPr>
        <w:ind w:left="0" w:firstLine="400"/>
      </w:pPr>
      <w:rPr>
        <w:rFonts w:hint="default"/>
      </w:rPr>
    </w:lvl>
  </w:abstractNum>
  <w:abstractNum w:abstractNumId="10">
    <w:nsid w:val="0000000E"/>
    <w:multiLevelType w:val="singleLevel"/>
    <w:tmpl w:val="0000000E"/>
    <w:lvl w:ilvl="0" w:tentative="0">
      <w:start w:val="1"/>
      <w:numFmt w:val="decimal"/>
      <w:suff w:val="nothing"/>
      <w:lvlText w:val="%1．"/>
      <w:lvlJc w:val="left"/>
      <w:pPr>
        <w:ind w:left="0" w:firstLine="400"/>
      </w:pPr>
      <w:rPr>
        <w:rFonts w:hint="default"/>
      </w:rPr>
    </w:lvl>
  </w:abstractNum>
  <w:abstractNum w:abstractNumId="11">
    <w:nsid w:val="0000000F"/>
    <w:multiLevelType w:val="singleLevel"/>
    <w:tmpl w:val="0000000F"/>
    <w:lvl w:ilvl="0" w:tentative="0">
      <w:start w:val="1"/>
      <w:numFmt w:val="decimal"/>
      <w:suff w:val="nothing"/>
      <w:lvlText w:val="%1．"/>
      <w:lvlJc w:val="left"/>
      <w:pPr>
        <w:ind w:left="0" w:firstLine="400"/>
      </w:pPr>
      <w:rPr>
        <w:rFonts w:hint="default"/>
      </w:rPr>
    </w:lvl>
  </w:abstractNum>
  <w:abstractNum w:abstractNumId="12">
    <w:nsid w:val="00000010"/>
    <w:multiLevelType w:val="singleLevel"/>
    <w:tmpl w:val="00000010"/>
    <w:lvl w:ilvl="0" w:tentative="0">
      <w:start w:val="1"/>
      <w:numFmt w:val="decimal"/>
      <w:lvlText w:val="%1"/>
      <w:lvlJc w:val="center"/>
      <w:pPr>
        <w:tabs>
          <w:tab w:val="left" w:pos="0"/>
        </w:tabs>
        <w:ind w:left="0" w:firstLine="0"/>
      </w:pPr>
      <w:rPr>
        <w:rFonts w:hint="default"/>
      </w:rPr>
    </w:lvl>
  </w:abstractNum>
  <w:abstractNum w:abstractNumId="13">
    <w:nsid w:val="00000011"/>
    <w:multiLevelType w:val="singleLevel"/>
    <w:tmpl w:val="00000011"/>
    <w:lvl w:ilvl="0" w:tentative="0">
      <w:start w:val="1"/>
      <w:numFmt w:val="decimal"/>
      <w:suff w:val="nothing"/>
      <w:lvlText w:val="%1、"/>
      <w:lvlJc w:val="left"/>
    </w:lvl>
  </w:abstractNum>
  <w:abstractNum w:abstractNumId="14">
    <w:nsid w:val="00000012"/>
    <w:multiLevelType w:val="singleLevel"/>
    <w:tmpl w:val="00000012"/>
    <w:lvl w:ilvl="0" w:tentative="0">
      <w:start w:val="1"/>
      <w:numFmt w:val="decimal"/>
      <w:suff w:val="nothing"/>
      <w:lvlText w:val="%1．"/>
      <w:lvlJc w:val="left"/>
      <w:pPr>
        <w:ind w:left="0" w:firstLine="400"/>
      </w:pPr>
      <w:rPr>
        <w:rFonts w:hint="default"/>
      </w:rPr>
    </w:lvl>
  </w:abstractNum>
  <w:abstractNum w:abstractNumId="15">
    <w:nsid w:val="00000014"/>
    <w:multiLevelType w:val="singleLevel"/>
    <w:tmpl w:val="00000014"/>
    <w:lvl w:ilvl="0" w:tentative="0">
      <w:start w:val="2"/>
      <w:numFmt w:val="decimal"/>
      <w:lvlText w:val="%1."/>
      <w:lvlJc w:val="left"/>
      <w:pPr>
        <w:tabs>
          <w:tab w:val="left" w:pos="312"/>
        </w:tabs>
      </w:pPr>
    </w:lvl>
  </w:abstractNum>
  <w:abstractNum w:abstractNumId="16">
    <w:nsid w:val="00000015"/>
    <w:multiLevelType w:val="singleLevel"/>
    <w:tmpl w:val="00000015"/>
    <w:lvl w:ilvl="0" w:tentative="0">
      <w:start w:val="1"/>
      <w:numFmt w:val="decimal"/>
      <w:lvlText w:val="(%1)"/>
      <w:lvlJc w:val="left"/>
      <w:pPr>
        <w:ind w:left="425" w:hanging="425"/>
      </w:pPr>
      <w:rPr>
        <w:rFonts w:hint="default"/>
      </w:rPr>
    </w:lvl>
  </w:abstractNum>
  <w:abstractNum w:abstractNumId="17">
    <w:nsid w:val="00000016"/>
    <w:multiLevelType w:val="singleLevel"/>
    <w:tmpl w:val="00000016"/>
    <w:lvl w:ilvl="0" w:tentative="0">
      <w:start w:val="1"/>
      <w:numFmt w:val="chineseCounting"/>
      <w:suff w:val="nothing"/>
      <w:lvlText w:val="（%1）"/>
      <w:lvlJc w:val="left"/>
      <w:pPr>
        <w:ind w:left="0" w:firstLine="420"/>
      </w:pPr>
      <w:rPr>
        <w:rFonts w:hint="eastAsia"/>
      </w:rPr>
    </w:lvl>
  </w:abstractNum>
  <w:abstractNum w:abstractNumId="18">
    <w:nsid w:val="00000017"/>
    <w:multiLevelType w:val="singleLevel"/>
    <w:tmpl w:val="00000017"/>
    <w:lvl w:ilvl="0" w:tentative="0">
      <w:start w:val="1"/>
      <w:numFmt w:val="chineseCounting"/>
      <w:suff w:val="nothing"/>
      <w:lvlText w:val="第%1部"/>
      <w:lvlJc w:val="left"/>
    </w:lvl>
  </w:abstractNum>
  <w:abstractNum w:abstractNumId="19">
    <w:nsid w:val="00000019"/>
    <w:multiLevelType w:val="singleLevel"/>
    <w:tmpl w:val="00000019"/>
    <w:lvl w:ilvl="0" w:tentative="0">
      <w:start w:val="1"/>
      <w:numFmt w:val="chineseCounting"/>
      <w:suff w:val="nothing"/>
      <w:lvlText w:val="（%1）"/>
      <w:lvlJc w:val="left"/>
      <w:pPr>
        <w:ind w:left="0" w:firstLine="420"/>
      </w:pPr>
      <w:rPr>
        <w:rFonts w:hint="eastAsia"/>
      </w:rPr>
    </w:lvl>
  </w:abstractNum>
  <w:abstractNum w:abstractNumId="20">
    <w:nsid w:val="0000001C"/>
    <w:multiLevelType w:val="singleLevel"/>
    <w:tmpl w:val="0000001C"/>
    <w:lvl w:ilvl="0" w:tentative="0">
      <w:start w:val="2"/>
      <w:numFmt w:val="chineseCounting"/>
      <w:suff w:val="nothing"/>
      <w:lvlText w:val="%1、"/>
      <w:lvlJc w:val="left"/>
    </w:lvl>
  </w:abstractNum>
  <w:abstractNum w:abstractNumId="21">
    <w:nsid w:val="0000001F"/>
    <w:multiLevelType w:val="singleLevel"/>
    <w:tmpl w:val="0000001F"/>
    <w:lvl w:ilvl="0" w:tentative="0">
      <w:start w:val="6"/>
      <w:numFmt w:val="chineseCounting"/>
      <w:suff w:val="space"/>
      <w:lvlText w:val="第%1章"/>
      <w:lvlJc w:val="left"/>
      <w:rPr>
        <w:rFonts w:hint="eastAsia"/>
      </w:rPr>
    </w:lvl>
  </w:abstractNum>
  <w:abstractNum w:abstractNumId="22">
    <w:nsid w:val="028D8EDE"/>
    <w:multiLevelType w:val="singleLevel"/>
    <w:tmpl w:val="028D8EDE"/>
    <w:lvl w:ilvl="0" w:tentative="0">
      <w:start w:val="1"/>
      <w:numFmt w:val="decimal"/>
      <w:suff w:val="space"/>
      <w:lvlText w:val="%1."/>
      <w:lvlJc w:val="left"/>
    </w:lvl>
  </w:abstractNum>
  <w:abstractNum w:abstractNumId="23">
    <w:nsid w:val="0FA43BB3"/>
    <w:multiLevelType w:val="multilevel"/>
    <w:tmpl w:val="0FA43BB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15EAA743"/>
    <w:multiLevelType w:val="singleLevel"/>
    <w:tmpl w:val="15EAA743"/>
    <w:lvl w:ilvl="0" w:tentative="0">
      <w:start w:val="1"/>
      <w:numFmt w:val="decimal"/>
      <w:suff w:val="nothing"/>
      <w:lvlText w:val="%1、"/>
      <w:lvlJc w:val="left"/>
    </w:lvl>
  </w:abstractNum>
  <w:abstractNum w:abstractNumId="25">
    <w:nsid w:val="1DD53CC6"/>
    <w:multiLevelType w:val="multilevel"/>
    <w:tmpl w:val="1DD53CC6"/>
    <w:lvl w:ilvl="0" w:tentative="0">
      <w:start w:val="1"/>
      <w:numFmt w:val="decimal"/>
      <w:lvlText w:val="%1."/>
      <w:lvlJc w:val="left"/>
      <w:pPr>
        <w:ind w:left="360" w:hanging="360"/>
      </w:pPr>
      <w:rPr>
        <w:rFonts w:hint="default"/>
        <w:color w:val="0070C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62F1240"/>
    <w:multiLevelType w:val="singleLevel"/>
    <w:tmpl w:val="262F1240"/>
    <w:lvl w:ilvl="0" w:tentative="0">
      <w:start w:val="1"/>
      <w:numFmt w:val="decimal"/>
      <w:suff w:val="space"/>
      <w:lvlText w:val="%1."/>
      <w:lvlJc w:val="left"/>
    </w:lvl>
  </w:abstractNum>
  <w:abstractNum w:abstractNumId="27">
    <w:nsid w:val="3363E110"/>
    <w:multiLevelType w:val="singleLevel"/>
    <w:tmpl w:val="3363E110"/>
    <w:lvl w:ilvl="0" w:tentative="0">
      <w:start w:val="3"/>
      <w:numFmt w:val="chineseCounting"/>
      <w:suff w:val="nothing"/>
      <w:lvlText w:val="%1、"/>
      <w:lvlJc w:val="left"/>
      <w:rPr>
        <w:rFonts w:hint="eastAsia"/>
      </w:rPr>
    </w:lvl>
  </w:abstractNum>
  <w:abstractNum w:abstractNumId="28">
    <w:nsid w:val="59E2EF23"/>
    <w:multiLevelType w:val="singleLevel"/>
    <w:tmpl w:val="59E2EF23"/>
    <w:lvl w:ilvl="0" w:tentative="0">
      <w:start w:val="1"/>
      <w:numFmt w:val="chineseCounting"/>
      <w:suff w:val="nothing"/>
      <w:lvlText w:val="（%1）"/>
      <w:lvlJc w:val="left"/>
      <w:pPr>
        <w:ind w:left="0" w:firstLine="420"/>
      </w:pPr>
      <w:rPr>
        <w:rFonts w:hint="eastAsia"/>
      </w:rPr>
    </w:lvl>
  </w:abstractNum>
  <w:num w:numId="1">
    <w:abstractNumId w:val="0"/>
  </w:num>
  <w:num w:numId="2">
    <w:abstractNumId w:val="20"/>
  </w:num>
  <w:num w:numId="3">
    <w:abstractNumId w:val="12"/>
  </w:num>
  <w:num w:numId="4">
    <w:abstractNumId w:val="13"/>
  </w:num>
  <w:num w:numId="5">
    <w:abstractNumId w:val="16"/>
  </w:num>
  <w:num w:numId="6">
    <w:abstractNumId w:val="18"/>
  </w:num>
  <w:num w:numId="7">
    <w:abstractNumId w:val="17"/>
  </w:num>
  <w:num w:numId="8">
    <w:abstractNumId w:val="28"/>
  </w:num>
  <w:num w:numId="9">
    <w:abstractNumId w:val="19"/>
  </w:num>
  <w:num w:numId="10">
    <w:abstractNumId w:val="24"/>
  </w:num>
  <w:num w:numId="11">
    <w:abstractNumId w:val="26"/>
  </w:num>
  <w:num w:numId="12">
    <w:abstractNumId w:val="22"/>
  </w:num>
  <w:num w:numId="13">
    <w:abstractNumId w:val="21"/>
  </w:num>
  <w:num w:numId="14">
    <w:abstractNumId w:val="27"/>
  </w:num>
  <w:num w:numId="15">
    <w:abstractNumId w:val="23"/>
  </w:num>
  <w:num w:numId="16">
    <w:abstractNumId w:val="25"/>
  </w:num>
  <w:num w:numId="17">
    <w:abstractNumId w:val="1"/>
  </w:num>
  <w:num w:numId="18">
    <w:abstractNumId w:val="2"/>
  </w:num>
  <w:num w:numId="19">
    <w:abstractNumId w:val="14"/>
  </w:num>
  <w:num w:numId="20">
    <w:abstractNumId w:val="3"/>
  </w:num>
  <w:num w:numId="21">
    <w:abstractNumId w:val="6"/>
  </w:num>
  <w:num w:numId="22">
    <w:abstractNumId w:val="7"/>
  </w:num>
  <w:num w:numId="23">
    <w:abstractNumId w:val="4"/>
  </w:num>
  <w:num w:numId="24">
    <w:abstractNumId w:val="8"/>
  </w:num>
  <w:num w:numId="25">
    <w:abstractNumId w:val="9"/>
  </w:num>
  <w:num w:numId="26">
    <w:abstractNumId w:val="15"/>
  </w:num>
  <w:num w:numId="27">
    <w:abstractNumId w:val="10"/>
  </w:num>
  <w:num w:numId="28">
    <w:abstractNumId w:val="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0"/>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4896"/>
    <w:rsid w:val="000208C0"/>
    <w:rsid w:val="000253E7"/>
    <w:rsid w:val="00055BB3"/>
    <w:rsid w:val="000670A4"/>
    <w:rsid w:val="000749CB"/>
    <w:rsid w:val="000A0CAA"/>
    <w:rsid w:val="000A648E"/>
    <w:rsid w:val="00100C29"/>
    <w:rsid w:val="00102D82"/>
    <w:rsid w:val="00104B91"/>
    <w:rsid w:val="00152CDB"/>
    <w:rsid w:val="001649B9"/>
    <w:rsid w:val="00172A27"/>
    <w:rsid w:val="00193B6E"/>
    <w:rsid w:val="001C02D7"/>
    <w:rsid w:val="001F0B3F"/>
    <w:rsid w:val="001F4E0C"/>
    <w:rsid w:val="00220C70"/>
    <w:rsid w:val="0028319C"/>
    <w:rsid w:val="0028330E"/>
    <w:rsid w:val="00293B86"/>
    <w:rsid w:val="002A67E8"/>
    <w:rsid w:val="002C5573"/>
    <w:rsid w:val="002E610C"/>
    <w:rsid w:val="002F5167"/>
    <w:rsid w:val="003012C8"/>
    <w:rsid w:val="00320D93"/>
    <w:rsid w:val="003234A1"/>
    <w:rsid w:val="00325A65"/>
    <w:rsid w:val="003332C7"/>
    <w:rsid w:val="003716A8"/>
    <w:rsid w:val="00386DE9"/>
    <w:rsid w:val="0039740D"/>
    <w:rsid w:val="003B176D"/>
    <w:rsid w:val="003C4C0C"/>
    <w:rsid w:val="003F2D7E"/>
    <w:rsid w:val="004107DC"/>
    <w:rsid w:val="00437CBA"/>
    <w:rsid w:val="00446254"/>
    <w:rsid w:val="00485DD2"/>
    <w:rsid w:val="00493C8A"/>
    <w:rsid w:val="004A4AF9"/>
    <w:rsid w:val="004B0A2B"/>
    <w:rsid w:val="004B70E2"/>
    <w:rsid w:val="004E1CFB"/>
    <w:rsid w:val="00521581"/>
    <w:rsid w:val="005479A7"/>
    <w:rsid w:val="005510A3"/>
    <w:rsid w:val="00551C9C"/>
    <w:rsid w:val="005567EF"/>
    <w:rsid w:val="005712EF"/>
    <w:rsid w:val="005770EA"/>
    <w:rsid w:val="00581FE4"/>
    <w:rsid w:val="00583914"/>
    <w:rsid w:val="005B1CD8"/>
    <w:rsid w:val="005F0DA5"/>
    <w:rsid w:val="005F5408"/>
    <w:rsid w:val="0060494C"/>
    <w:rsid w:val="00630180"/>
    <w:rsid w:val="00635C89"/>
    <w:rsid w:val="006678E8"/>
    <w:rsid w:val="006A7B7E"/>
    <w:rsid w:val="006C7E11"/>
    <w:rsid w:val="006D43EB"/>
    <w:rsid w:val="006D4F12"/>
    <w:rsid w:val="006E0F95"/>
    <w:rsid w:val="00754B51"/>
    <w:rsid w:val="007A228F"/>
    <w:rsid w:val="007B352A"/>
    <w:rsid w:val="007E3927"/>
    <w:rsid w:val="007F7C8C"/>
    <w:rsid w:val="0082571D"/>
    <w:rsid w:val="00845E08"/>
    <w:rsid w:val="0085170E"/>
    <w:rsid w:val="00853ED0"/>
    <w:rsid w:val="00882CEA"/>
    <w:rsid w:val="00897A4C"/>
    <w:rsid w:val="008B16C5"/>
    <w:rsid w:val="00930715"/>
    <w:rsid w:val="00930E12"/>
    <w:rsid w:val="00942098"/>
    <w:rsid w:val="00962A18"/>
    <w:rsid w:val="00983127"/>
    <w:rsid w:val="0098348E"/>
    <w:rsid w:val="009E4F3E"/>
    <w:rsid w:val="009F48CE"/>
    <w:rsid w:val="00A00794"/>
    <w:rsid w:val="00A25496"/>
    <w:rsid w:val="00A34D9F"/>
    <w:rsid w:val="00A74416"/>
    <w:rsid w:val="00A87766"/>
    <w:rsid w:val="00A910EE"/>
    <w:rsid w:val="00AC17B6"/>
    <w:rsid w:val="00AC2C38"/>
    <w:rsid w:val="00AC7343"/>
    <w:rsid w:val="00AE6B8C"/>
    <w:rsid w:val="00B05298"/>
    <w:rsid w:val="00B05669"/>
    <w:rsid w:val="00B12625"/>
    <w:rsid w:val="00B901D7"/>
    <w:rsid w:val="00B9512E"/>
    <w:rsid w:val="00B956E5"/>
    <w:rsid w:val="00BD4318"/>
    <w:rsid w:val="00C35B6A"/>
    <w:rsid w:val="00C43A37"/>
    <w:rsid w:val="00D178DE"/>
    <w:rsid w:val="00D23A5C"/>
    <w:rsid w:val="00D42A41"/>
    <w:rsid w:val="00DB0FAF"/>
    <w:rsid w:val="00DC708C"/>
    <w:rsid w:val="00E0208D"/>
    <w:rsid w:val="00E40EAA"/>
    <w:rsid w:val="00E50861"/>
    <w:rsid w:val="00E74824"/>
    <w:rsid w:val="00F343C7"/>
    <w:rsid w:val="00FB27AD"/>
    <w:rsid w:val="00FD0543"/>
    <w:rsid w:val="00FE2829"/>
    <w:rsid w:val="01141AB1"/>
    <w:rsid w:val="011A7932"/>
    <w:rsid w:val="012D5BFA"/>
    <w:rsid w:val="0142342E"/>
    <w:rsid w:val="014C1200"/>
    <w:rsid w:val="016952B2"/>
    <w:rsid w:val="01707767"/>
    <w:rsid w:val="01854330"/>
    <w:rsid w:val="01A70FA7"/>
    <w:rsid w:val="01B164AB"/>
    <w:rsid w:val="01C14454"/>
    <w:rsid w:val="01C75927"/>
    <w:rsid w:val="01E43BA8"/>
    <w:rsid w:val="02176A77"/>
    <w:rsid w:val="021A5E5E"/>
    <w:rsid w:val="0225579B"/>
    <w:rsid w:val="022A6F30"/>
    <w:rsid w:val="024543C5"/>
    <w:rsid w:val="02535F09"/>
    <w:rsid w:val="02634803"/>
    <w:rsid w:val="027F5B4E"/>
    <w:rsid w:val="02864626"/>
    <w:rsid w:val="02A1607D"/>
    <w:rsid w:val="02A97601"/>
    <w:rsid w:val="02AC10D0"/>
    <w:rsid w:val="02B929DE"/>
    <w:rsid w:val="02C61A59"/>
    <w:rsid w:val="02CA744A"/>
    <w:rsid w:val="02CF2078"/>
    <w:rsid w:val="02DF1744"/>
    <w:rsid w:val="02ED0601"/>
    <w:rsid w:val="02F8569E"/>
    <w:rsid w:val="0306021C"/>
    <w:rsid w:val="030E71C5"/>
    <w:rsid w:val="031F35B0"/>
    <w:rsid w:val="031F5F20"/>
    <w:rsid w:val="03351724"/>
    <w:rsid w:val="03440940"/>
    <w:rsid w:val="03826041"/>
    <w:rsid w:val="03B7484D"/>
    <w:rsid w:val="03C26DE9"/>
    <w:rsid w:val="03C44AC4"/>
    <w:rsid w:val="03D1538B"/>
    <w:rsid w:val="03D638E8"/>
    <w:rsid w:val="03D74FFC"/>
    <w:rsid w:val="03DE00A8"/>
    <w:rsid w:val="03DF1544"/>
    <w:rsid w:val="03F06913"/>
    <w:rsid w:val="03FC6963"/>
    <w:rsid w:val="03FC7AF6"/>
    <w:rsid w:val="04177102"/>
    <w:rsid w:val="042B6E0C"/>
    <w:rsid w:val="043C7854"/>
    <w:rsid w:val="04533316"/>
    <w:rsid w:val="045A0E91"/>
    <w:rsid w:val="04640EF1"/>
    <w:rsid w:val="046B61F3"/>
    <w:rsid w:val="04952B7C"/>
    <w:rsid w:val="04AF3164"/>
    <w:rsid w:val="04BC05FD"/>
    <w:rsid w:val="050259DC"/>
    <w:rsid w:val="05163115"/>
    <w:rsid w:val="052F4998"/>
    <w:rsid w:val="05321775"/>
    <w:rsid w:val="053E7BA4"/>
    <w:rsid w:val="059935C7"/>
    <w:rsid w:val="05A00874"/>
    <w:rsid w:val="05A548DA"/>
    <w:rsid w:val="05B06E83"/>
    <w:rsid w:val="05B403DA"/>
    <w:rsid w:val="05B659F8"/>
    <w:rsid w:val="05F97E07"/>
    <w:rsid w:val="0617334A"/>
    <w:rsid w:val="061E541A"/>
    <w:rsid w:val="06301356"/>
    <w:rsid w:val="0637302D"/>
    <w:rsid w:val="064E4182"/>
    <w:rsid w:val="065F17DF"/>
    <w:rsid w:val="06A82AFE"/>
    <w:rsid w:val="06AA71FC"/>
    <w:rsid w:val="06E74B8B"/>
    <w:rsid w:val="06E7532D"/>
    <w:rsid w:val="070371E7"/>
    <w:rsid w:val="07062D22"/>
    <w:rsid w:val="0712789F"/>
    <w:rsid w:val="07164EE2"/>
    <w:rsid w:val="072D6F17"/>
    <w:rsid w:val="073E414F"/>
    <w:rsid w:val="074671E1"/>
    <w:rsid w:val="074756DC"/>
    <w:rsid w:val="076B2145"/>
    <w:rsid w:val="076C56F6"/>
    <w:rsid w:val="07721E5F"/>
    <w:rsid w:val="077B22B2"/>
    <w:rsid w:val="07B540C0"/>
    <w:rsid w:val="07CD0A19"/>
    <w:rsid w:val="07D02BB9"/>
    <w:rsid w:val="07E5105D"/>
    <w:rsid w:val="07E75A6B"/>
    <w:rsid w:val="07ED1C8A"/>
    <w:rsid w:val="07F61759"/>
    <w:rsid w:val="080C27CB"/>
    <w:rsid w:val="08271C95"/>
    <w:rsid w:val="083D5414"/>
    <w:rsid w:val="088A51D3"/>
    <w:rsid w:val="089916A9"/>
    <w:rsid w:val="089B4169"/>
    <w:rsid w:val="08A0044B"/>
    <w:rsid w:val="08B7057D"/>
    <w:rsid w:val="08C22788"/>
    <w:rsid w:val="08CD16F1"/>
    <w:rsid w:val="08D1537B"/>
    <w:rsid w:val="08F224FE"/>
    <w:rsid w:val="09015767"/>
    <w:rsid w:val="0904195A"/>
    <w:rsid w:val="090A5A61"/>
    <w:rsid w:val="0927381A"/>
    <w:rsid w:val="09471B94"/>
    <w:rsid w:val="094F404E"/>
    <w:rsid w:val="096D4A11"/>
    <w:rsid w:val="09904877"/>
    <w:rsid w:val="09AD1DB4"/>
    <w:rsid w:val="09C73C18"/>
    <w:rsid w:val="09CE67F1"/>
    <w:rsid w:val="09D650C5"/>
    <w:rsid w:val="09F46026"/>
    <w:rsid w:val="0A0E71F7"/>
    <w:rsid w:val="0A120C64"/>
    <w:rsid w:val="0A252E72"/>
    <w:rsid w:val="0A2B5425"/>
    <w:rsid w:val="0A3B597B"/>
    <w:rsid w:val="0A470CEC"/>
    <w:rsid w:val="0A7110BD"/>
    <w:rsid w:val="0A8877B9"/>
    <w:rsid w:val="0A977CA5"/>
    <w:rsid w:val="0AA433FE"/>
    <w:rsid w:val="0AAC71E1"/>
    <w:rsid w:val="0AC1566D"/>
    <w:rsid w:val="0ADB3E09"/>
    <w:rsid w:val="0B004CDB"/>
    <w:rsid w:val="0B193611"/>
    <w:rsid w:val="0B2D30F4"/>
    <w:rsid w:val="0B3C43AA"/>
    <w:rsid w:val="0B49731F"/>
    <w:rsid w:val="0B81242B"/>
    <w:rsid w:val="0B8A1BDE"/>
    <w:rsid w:val="0B8B3688"/>
    <w:rsid w:val="0B8D456B"/>
    <w:rsid w:val="0B995F2B"/>
    <w:rsid w:val="0BB5360E"/>
    <w:rsid w:val="0BCD576D"/>
    <w:rsid w:val="0BE936CD"/>
    <w:rsid w:val="0BEB64A3"/>
    <w:rsid w:val="0C0730A6"/>
    <w:rsid w:val="0C0E4DD5"/>
    <w:rsid w:val="0C2E5D8E"/>
    <w:rsid w:val="0C774956"/>
    <w:rsid w:val="0C7B6BBF"/>
    <w:rsid w:val="0C951F45"/>
    <w:rsid w:val="0CAE596C"/>
    <w:rsid w:val="0CBF45F5"/>
    <w:rsid w:val="0CC72CBC"/>
    <w:rsid w:val="0CD25E17"/>
    <w:rsid w:val="0CD719EA"/>
    <w:rsid w:val="0D1C302F"/>
    <w:rsid w:val="0D1C43A4"/>
    <w:rsid w:val="0D231870"/>
    <w:rsid w:val="0D256CE5"/>
    <w:rsid w:val="0D29156F"/>
    <w:rsid w:val="0D2E7C9D"/>
    <w:rsid w:val="0D3D6AEE"/>
    <w:rsid w:val="0D3D6E9F"/>
    <w:rsid w:val="0D430584"/>
    <w:rsid w:val="0D4A7ECC"/>
    <w:rsid w:val="0D4B47DC"/>
    <w:rsid w:val="0D647905"/>
    <w:rsid w:val="0D6D305C"/>
    <w:rsid w:val="0D73604E"/>
    <w:rsid w:val="0D854ACA"/>
    <w:rsid w:val="0D9A5D4C"/>
    <w:rsid w:val="0DBA4DB2"/>
    <w:rsid w:val="0DF047ED"/>
    <w:rsid w:val="0E004F82"/>
    <w:rsid w:val="0E1713F9"/>
    <w:rsid w:val="0E405FEE"/>
    <w:rsid w:val="0E5F6B19"/>
    <w:rsid w:val="0E7E3584"/>
    <w:rsid w:val="0E7F21F8"/>
    <w:rsid w:val="0E95414F"/>
    <w:rsid w:val="0E9E01FA"/>
    <w:rsid w:val="0EA106FE"/>
    <w:rsid w:val="0EA766BF"/>
    <w:rsid w:val="0EB8430C"/>
    <w:rsid w:val="0ECC5FEC"/>
    <w:rsid w:val="0EE328A1"/>
    <w:rsid w:val="0EE547E7"/>
    <w:rsid w:val="0F074FBF"/>
    <w:rsid w:val="0F0D66CB"/>
    <w:rsid w:val="0F0E04AB"/>
    <w:rsid w:val="0F0F49DD"/>
    <w:rsid w:val="0F50731B"/>
    <w:rsid w:val="0F6537B4"/>
    <w:rsid w:val="0F9474B7"/>
    <w:rsid w:val="0F9573C2"/>
    <w:rsid w:val="0FCA4648"/>
    <w:rsid w:val="0FD26FC4"/>
    <w:rsid w:val="0FD9081E"/>
    <w:rsid w:val="0FDA5D31"/>
    <w:rsid w:val="0FE45C8F"/>
    <w:rsid w:val="102A63F3"/>
    <w:rsid w:val="10454D85"/>
    <w:rsid w:val="10502C9F"/>
    <w:rsid w:val="107B2025"/>
    <w:rsid w:val="10835BE5"/>
    <w:rsid w:val="10A061E8"/>
    <w:rsid w:val="10A147ED"/>
    <w:rsid w:val="10DA28A4"/>
    <w:rsid w:val="10E04DBA"/>
    <w:rsid w:val="10ED78EC"/>
    <w:rsid w:val="110204DE"/>
    <w:rsid w:val="111E3B66"/>
    <w:rsid w:val="112812B5"/>
    <w:rsid w:val="115D3595"/>
    <w:rsid w:val="11705C0A"/>
    <w:rsid w:val="117148A4"/>
    <w:rsid w:val="117610F0"/>
    <w:rsid w:val="11796047"/>
    <w:rsid w:val="118D4EF9"/>
    <w:rsid w:val="118F7828"/>
    <w:rsid w:val="11931634"/>
    <w:rsid w:val="119463E5"/>
    <w:rsid w:val="119F17EC"/>
    <w:rsid w:val="11AD150E"/>
    <w:rsid w:val="11E365FD"/>
    <w:rsid w:val="11E405C0"/>
    <w:rsid w:val="11F60E03"/>
    <w:rsid w:val="120252F5"/>
    <w:rsid w:val="122C003C"/>
    <w:rsid w:val="123E2C32"/>
    <w:rsid w:val="125044D5"/>
    <w:rsid w:val="126D52DE"/>
    <w:rsid w:val="128017D3"/>
    <w:rsid w:val="12840C9F"/>
    <w:rsid w:val="128D754F"/>
    <w:rsid w:val="129D1620"/>
    <w:rsid w:val="12CF109B"/>
    <w:rsid w:val="12CF717C"/>
    <w:rsid w:val="12EC64FB"/>
    <w:rsid w:val="132E7528"/>
    <w:rsid w:val="1339746C"/>
    <w:rsid w:val="133D1344"/>
    <w:rsid w:val="134B71C3"/>
    <w:rsid w:val="13513E8F"/>
    <w:rsid w:val="136848EC"/>
    <w:rsid w:val="13737040"/>
    <w:rsid w:val="13B405EE"/>
    <w:rsid w:val="13DE62B9"/>
    <w:rsid w:val="13E431D8"/>
    <w:rsid w:val="13F30BF8"/>
    <w:rsid w:val="13F36BC0"/>
    <w:rsid w:val="140B1310"/>
    <w:rsid w:val="141846E4"/>
    <w:rsid w:val="144A7D33"/>
    <w:rsid w:val="14791DF1"/>
    <w:rsid w:val="14A63191"/>
    <w:rsid w:val="14AD0779"/>
    <w:rsid w:val="14FB3C44"/>
    <w:rsid w:val="151E0209"/>
    <w:rsid w:val="15223CBB"/>
    <w:rsid w:val="15254D69"/>
    <w:rsid w:val="152A47B0"/>
    <w:rsid w:val="152D2B0D"/>
    <w:rsid w:val="15485085"/>
    <w:rsid w:val="1564001D"/>
    <w:rsid w:val="158C1F64"/>
    <w:rsid w:val="15AF56CA"/>
    <w:rsid w:val="15C00A3E"/>
    <w:rsid w:val="15C23BDB"/>
    <w:rsid w:val="15D0158B"/>
    <w:rsid w:val="15D549A1"/>
    <w:rsid w:val="15EB16EE"/>
    <w:rsid w:val="15FA64A5"/>
    <w:rsid w:val="15FB1D94"/>
    <w:rsid w:val="16021D0F"/>
    <w:rsid w:val="16242DF3"/>
    <w:rsid w:val="16271D58"/>
    <w:rsid w:val="162A486A"/>
    <w:rsid w:val="16396E0E"/>
    <w:rsid w:val="164F37A5"/>
    <w:rsid w:val="166A69E9"/>
    <w:rsid w:val="1678448E"/>
    <w:rsid w:val="16925E42"/>
    <w:rsid w:val="16B414F5"/>
    <w:rsid w:val="16B76E97"/>
    <w:rsid w:val="16BE50DE"/>
    <w:rsid w:val="16E564F5"/>
    <w:rsid w:val="170654D2"/>
    <w:rsid w:val="172652F0"/>
    <w:rsid w:val="172937BF"/>
    <w:rsid w:val="175D2495"/>
    <w:rsid w:val="176645F2"/>
    <w:rsid w:val="1774663F"/>
    <w:rsid w:val="178454BB"/>
    <w:rsid w:val="17A31AF7"/>
    <w:rsid w:val="17A56F6D"/>
    <w:rsid w:val="17D33269"/>
    <w:rsid w:val="17E02672"/>
    <w:rsid w:val="17F05211"/>
    <w:rsid w:val="18205C3F"/>
    <w:rsid w:val="18253217"/>
    <w:rsid w:val="1832004A"/>
    <w:rsid w:val="183238D5"/>
    <w:rsid w:val="184A4865"/>
    <w:rsid w:val="185D68CE"/>
    <w:rsid w:val="187D27E0"/>
    <w:rsid w:val="189E6D4A"/>
    <w:rsid w:val="18A234E2"/>
    <w:rsid w:val="18AF21BB"/>
    <w:rsid w:val="18E43AAE"/>
    <w:rsid w:val="18E67F66"/>
    <w:rsid w:val="19072E2C"/>
    <w:rsid w:val="190A6CF0"/>
    <w:rsid w:val="191147B7"/>
    <w:rsid w:val="19262ABB"/>
    <w:rsid w:val="194509FD"/>
    <w:rsid w:val="1960657C"/>
    <w:rsid w:val="19725662"/>
    <w:rsid w:val="199A406F"/>
    <w:rsid w:val="19A43D59"/>
    <w:rsid w:val="19AD59A7"/>
    <w:rsid w:val="19AE7C79"/>
    <w:rsid w:val="19E02D51"/>
    <w:rsid w:val="19F95013"/>
    <w:rsid w:val="1A122C37"/>
    <w:rsid w:val="1A270672"/>
    <w:rsid w:val="1A5007AD"/>
    <w:rsid w:val="1A5B3F26"/>
    <w:rsid w:val="1A8032D9"/>
    <w:rsid w:val="1AB76991"/>
    <w:rsid w:val="1ACF0B78"/>
    <w:rsid w:val="1ADE339D"/>
    <w:rsid w:val="1AE04A19"/>
    <w:rsid w:val="1B061265"/>
    <w:rsid w:val="1B140B4F"/>
    <w:rsid w:val="1B26784B"/>
    <w:rsid w:val="1B2E6992"/>
    <w:rsid w:val="1B7D4727"/>
    <w:rsid w:val="1B8649FC"/>
    <w:rsid w:val="1BB63D37"/>
    <w:rsid w:val="1BCF2B5D"/>
    <w:rsid w:val="1BF05DCF"/>
    <w:rsid w:val="1BFE10F3"/>
    <w:rsid w:val="1C2B39B4"/>
    <w:rsid w:val="1C5C250A"/>
    <w:rsid w:val="1C7567EE"/>
    <w:rsid w:val="1C7C2C3B"/>
    <w:rsid w:val="1C800AD2"/>
    <w:rsid w:val="1C857F7D"/>
    <w:rsid w:val="1C8F5929"/>
    <w:rsid w:val="1C9167EE"/>
    <w:rsid w:val="1CA03307"/>
    <w:rsid w:val="1CA7538F"/>
    <w:rsid w:val="1CB3397F"/>
    <w:rsid w:val="1CC50674"/>
    <w:rsid w:val="1CCA77DF"/>
    <w:rsid w:val="1CDF5811"/>
    <w:rsid w:val="1CEF16B2"/>
    <w:rsid w:val="1D0D40C9"/>
    <w:rsid w:val="1D1866C7"/>
    <w:rsid w:val="1D3614FA"/>
    <w:rsid w:val="1D504B90"/>
    <w:rsid w:val="1D586720"/>
    <w:rsid w:val="1D5C3F5D"/>
    <w:rsid w:val="1D5D5B2B"/>
    <w:rsid w:val="1D60388E"/>
    <w:rsid w:val="1D765344"/>
    <w:rsid w:val="1D803DF2"/>
    <w:rsid w:val="1D885525"/>
    <w:rsid w:val="1DB359C4"/>
    <w:rsid w:val="1DEC3A26"/>
    <w:rsid w:val="1DF013A0"/>
    <w:rsid w:val="1DF32625"/>
    <w:rsid w:val="1E216A03"/>
    <w:rsid w:val="1E5204D0"/>
    <w:rsid w:val="1E67058B"/>
    <w:rsid w:val="1E723480"/>
    <w:rsid w:val="1E9A299C"/>
    <w:rsid w:val="1EAB48DF"/>
    <w:rsid w:val="1EAF2227"/>
    <w:rsid w:val="1EBD612C"/>
    <w:rsid w:val="1EC55B98"/>
    <w:rsid w:val="1EE66342"/>
    <w:rsid w:val="1EE96616"/>
    <w:rsid w:val="1F060B4B"/>
    <w:rsid w:val="1F367029"/>
    <w:rsid w:val="1F6921AF"/>
    <w:rsid w:val="1F701971"/>
    <w:rsid w:val="1F99492C"/>
    <w:rsid w:val="1FA97C06"/>
    <w:rsid w:val="1FAD2406"/>
    <w:rsid w:val="1FC72853"/>
    <w:rsid w:val="1FE06515"/>
    <w:rsid w:val="1FF66535"/>
    <w:rsid w:val="1FFA667D"/>
    <w:rsid w:val="200441D6"/>
    <w:rsid w:val="20096AE4"/>
    <w:rsid w:val="200D5E2A"/>
    <w:rsid w:val="20326ED2"/>
    <w:rsid w:val="20444A2E"/>
    <w:rsid w:val="204D5C04"/>
    <w:rsid w:val="20721586"/>
    <w:rsid w:val="208D22B8"/>
    <w:rsid w:val="20E463EA"/>
    <w:rsid w:val="20FB092C"/>
    <w:rsid w:val="212B0EE3"/>
    <w:rsid w:val="212F1DDE"/>
    <w:rsid w:val="213327A5"/>
    <w:rsid w:val="213800A4"/>
    <w:rsid w:val="21382140"/>
    <w:rsid w:val="213B6291"/>
    <w:rsid w:val="213E77A1"/>
    <w:rsid w:val="21500B75"/>
    <w:rsid w:val="21561281"/>
    <w:rsid w:val="21575C71"/>
    <w:rsid w:val="215C4F07"/>
    <w:rsid w:val="21603FD9"/>
    <w:rsid w:val="21A86D53"/>
    <w:rsid w:val="21AF0854"/>
    <w:rsid w:val="21B642CF"/>
    <w:rsid w:val="21C100F4"/>
    <w:rsid w:val="21CD75D1"/>
    <w:rsid w:val="21EA0058"/>
    <w:rsid w:val="21F671B1"/>
    <w:rsid w:val="22057EB7"/>
    <w:rsid w:val="220A0AE9"/>
    <w:rsid w:val="220E4894"/>
    <w:rsid w:val="222B2C60"/>
    <w:rsid w:val="222C2C0A"/>
    <w:rsid w:val="223575EB"/>
    <w:rsid w:val="224750CA"/>
    <w:rsid w:val="2250283C"/>
    <w:rsid w:val="225526D0"/>
    <w:rsid w:val="225D37A3"/>
    <w:rsid w:val="225E5EEB"/>
    <w:rsid w:val="226240B5"/>
    <w:rsid w:val="228D287C"/>
    <w:rsid w:val="22B72989"/>
    <w:rsid w:val="22C32D6B"/>
    <w:rsid w:val="22CB6A14"/>
    <w:rsid w:val="22F464E8"/>
    <w:rsid w:val="232A3806"/>
    <w:rsid w:val="23303565"/>
    <w:rsid w:val="2337183B"/>
    <w:rsid w:val="23443CE8"/>
    <w:rsid w:val="235540FE"/>
    <w:rsid w:val="235A201F"/>
    <w:rsid w:val="23611419"/>
    <w:rsid w:val="23927373"/>
    <w:rsid w:val="23B6399A"/>
    <w:rsid w:val="23C34652"/>
    <w:rsid w:val="23CC074A"/>
    <w:rsid w:val="23EE007A"/>
    <w:rsid w:val="23FA6EB5"/>
    <w:rsid w:val="24131307"/>
    <w:rsid w:val="24212562"/>
    <w:rsid w:val="24251AFD"/>
    <w:rsid w:val="24456605"/>
    <w:rsid w:val="246C7951"/>
    <w:rsid w:val="247347F1"/>
    <w:rsid w:val="247929BC"/>
    <w:rsid w:val="24C4733F"/>
    <w:rsid w:val="24DB3727"/>
    <w:rsid w:val="24E00C10"/>
    <w:rsid w:val="24EB07D5"/>
    <w:rsid w:val="24EC7724"/>
    <w:rsid w:val="24ED420A"/>
    <w:rsid w:val="2501056E"/>
    <w:rsid w:val="25211C03"/>
    <w:rsid w:val="252A100A"/>
    <w:rsid w:val="253D26D3"/>
    <w:rsid w:val="254C3EA6"/>
    <w:rsid w:val="256E7E54"/>
    <w:rsid w:val="25760607"/>
    <w:rsid w:val="258B5161"/>
    <w:rsid w:val="259336DC"/>
    <w:rsid w:val="25BE48C6"/>
    <w:rsid w:val="25D0211A"/>
    <w:rsid w:val="25D0347E"/>
    <w:rsid w:val="25EA6A02"/>
    <w:rsid w:val="25F33EDB"/>
    <w:rsid w:val="262B152D"/>
    <w:rsid w:val="263E64AD"/>
    <w:rsid w:val="26486CCB"/>
    <w:rsid w:val="26561F6D"/>
    <w:rsid w:val="26590D78"/>
    <w:rsid w:val="266D15C9"/>
    <w:rsid w:val="267460E7"/>
    <w:rsid w:val="26811487"/>
    <w:rsid w:val="268B1958"/>
    <w:rsid w:val="268F3440"/>
    <w:rsid w:val="26D44F69"/>
    <w:rsid w:val="26D73F60"/>
    <w:rsid w:val="26E07425"/>
    <w:rsid w:val="27035205"/>
    <w:rsid w:val="271646CC"/>
    <w:rsid w:val="27336CDB"/>
    <w:rsid w:val="273803E6"/>
    <w:rsid w:val="273F73ED"/>
    <w:rsid w:val="274114B0"/>
    <w:rsid w:val="2746732C"/>
    <w:rsid w:val="27485A40"/>
    <w:rsid w:val="274A28B8"/>
    <w:rsid w:val="274A50BC"/>
    <w:rsid w:val="274C4EEF"/>
    <w:rsid w:val="27522B84"/>
    <w:rsid w:val="275D7321"/>
    <w:rsid w:val="27630565"/>
    <w:rsid w:val="27803F7F"/>
    <w:rsid w:val="278E3373"/>
    <w:rsid w:val="27A751E6"/>
    <w:rsid w:val="27A92393"/>
    <w:rsid w:val="27C1215D"/>
    <w:rsid w:val="2814592D"/>
    <w:rsid w:val="284D2554"/>
    <w:rsid w:val="284E1F1F"/>
    <w:rsid w:val="28683560"/>
    <w:rsid w:val="286A4CD6"/>
    <w:rsid w:val="289B1ECA"/>
    <w:rsid w:val="28B0598B"/>
    <w:rsid w:val="28C17362"/>
    <w:rsid w:val="28C52DBE"/>
    <w:rsid w:val="28C9034F"/>
    <w:rsid w:val="28D34007"/>
    <w:rsid w:val="28DD3BF3"/>
    <w:rsid w:val="28E6342E"/>
    <w:rsid w:val="290A02E1"/>
    <w:rsid w:val="291F32A0"/>
    <w:rsid w:val="29221D79"/>
    <w:rsid w:val="29285619"/>
    <w:rsid w:val="292A36DF"/>
    <w:rsid w:val="292F4FEE"/>
    <w:rsid w:val="293E6F0D"/>
    <w:rsid w:val="294145D7"/>
    <w:rsid w:val="29422541"/>
    <w:rsid w:val="29443495"/>
    <w:rsid w:val="294471C1"/>
    <w:rsid w:val="29630A39"/>
    <w:rsid w:val="29692B46"/>
    <w:rsid w:val="296F20E2"/>
    <w:rsid w:val="297279A9"/>
    <w:rsid w:val="297A711C"/>
    <w:rsid w:val="29C32B32"/>
    <w:rsid w:val="29CD18EF"/>
    <w:rsid w:val="29DE4BE6"/>
    <w:rsid w:val="29F557FE"/>
    <w:rsid w:val="2A2555B9"/>
    <w:rsid w:val="2A2967FC"/>
    <w:rsid w:val="2A5E3890"/>
    <w:rsid w:val="2A726EE5"/>
    <w:rsid w:val="2A883722"/>
    <w:rsid w:val="2A940A78"/>
    <w:rsid w:val="2A975219"/>
    <w:rsid w:val="2AA12F72"/>
    <w:rsid w:val="2AC0505C"/>
    <w:rsid w:val="2ADF6190"/>
    <w:rsid w:val="2AFB6686"/>
    <w:rsid w:val="2B1C5189"/>
    <w:rsid w:val="2B28004A"/>
    <w:rsid w:val="2B3353D5"/>
    <w:rsid w:val="2B413DFB"/>
    <w:rsid w:val="2B4E18A7"/>
    <w:rsid w:val="2B5C5ACC"/>
    <w:rsid w:val="2B6543DA"/>
    <w:rsid w:val="2B9142A0"/>
    <w:rsid w:val="2BAE72D0"/>
    <w:rsid w:val="2BBE7CBB"/>
    <w:rsid w:val="2BCE5815"/>
    <w:rsid w:val="2BD06BBD"/>
    <w:rsid w:val="2BF076F4"/>
    <w:rsid w:val="2C0460FF"/>
    <w:rsid w:val="2C064B00"/>
    <w:rsid w:val="2C08354D"/>
    <w:rsid w:val="2C1214B1"/>
    <w:rsid w:val="2C1A2C7F"/>
    <w:rsid w:val="2C327D91"/>
    <w:rsid w:val="2C520E2A"/>
    <w:rsid w:val="2C833C1C"/>
    <w:rsid w:val="2C840918"/>
    <w:rsid w:val="2CAB5E63"/>
    <w:rsid w:val="2CC805E7"/>
    <w:rsid w:val="2CCE04DB"/>
    <w:rsid w:val="2CEB16BB"/>
    <w:rsid w:val="2CF374CB"/>
    <w:rsid w:val="2D02235B"/>
    <w:rsid w:val="2D0B514B"/>
    <w:rsid w:val="2D0C232E"/>
    <w:rsid w:val="2D1C51A2"/>
    <w:rsid w:val="2D610AF3"/>
    <w:rsid w:val="2D644A40"/>
    <w:rsid w:val="2D6B4282"/>
    <w:rsid w:val="2D89452A"/>
    <w:rsid w:val="2D9E4629"/>
    <w:rsid w:val="2DA21088"/>
    <w:rsid w:val="2DAC1B65"/>
    <w:rsid w:val="2DB17FB8"/>
    <w:rsid w:val="2DB421D1"/>
    <w:rsid w:val="2DF57B19"/>
    <w:rsid w:val="2E2831B9"/>
    <w:rsid w:val="2E285745"/>
    <w:rsid w:val="2E2A2E00"/>
    <w:rsid w:val="2E485607"/>
    <w:rsid w:val="2E6C0A55"/>
    <w:rsid w:val="2EB44847"/>
    <w:rsid w:val="2ED45507"/>
    <w:rsid w:val="2EEF4E4A"/>
    <w:rsid w:val="2EF90295"/>
    <w:rsid w:val="2EF92236"/>
    <w:rsid w:val="2F233FC2"/>
    <w:rsid w:val="2F64143D"/>
    <w:rsid w:val="2F667804"/>
    <w:rsid w:val="2F7F4630"/>
    <w:rsid w:val="2F807028"/>
    <w:rsid w:val="2F813FF1"/>
    <w:rsid w:val="2F9C5D61"/>
    <w:rsid w:val="2FAD2F79"/>
    <w:rsid w:val="2FB643E9"/>
    <w:rsid w:val="2FD008F2"/>
    <w:rsid w:val="2FEA6BB6"/>
    <w:rsid w:val="2FF44931"/>
    <w:rsid w:val="2FF76AD0"/>
    <w:rsid w:val="30045530"/>
    <w:rsid w:val="3021746E"/>
    <w:rsid w:val="30254E14"/>
    <w:rsid w:val="302B7036"/>
    <w:rsid w:val="304676EF"/>
    <w:rsid w:val="304B312C"/>
    <w:rsid w:val="305039A6"/>
    <w:rsid w:val="305A0509"/>
    <w:rsid w:val="3069075D"/>
    <w:rsid w:val="306D2871"/>
    <w:rsid w:val="307755D5"/>
    <w:rsid w:val="308E4882"/>
    <w:rsid w:val="308E4F5F"/>
    <w:rsid w:val="30A20314"/>
    <w:rsid w:val="30A5037C"/>
    <w:rsid w:val="30AE1C6C"/>
    <w:rsid w:val="30B40E55"/>
    <w:rsid w:val="30B67DA2"/>
    <w:rsid w:val="30B7097C"/>
    <w:rsid w:val="30C50688"/>
    <w:rsid w:val="30C60499"/>
    <w:rsid w:val="30F40469"/>
    <w:rsid w:val="31030779"/>
    <w:rsid w:val="31255147"/>
    <w:rsid w:val="313545FF"/>
    <w:rsid w:val="31986AF6"/>
    <w:rsid w:val="319967BF"/>
    <w:rsid w:val="31A71CAC"/>
    <w:rsid w:val="31B16A5D"/>
    <w:rsid w:val="31BB689B"/>
    <w:rsid w:val="31D30E9A"/>
    <w:rsid w:val="31F30FB6"/>
    <w:rsid w:val="320F2B63"/>
    <w:rsid w:val="32112DC6"/>
    <w:rsid w:val="323436D7"/>
    <w:rsid w:val="32530945"/>
    <w:rsid w:val="3259662C"/>
    <w:rsid w:val="32672749"/>
    <w:rsid w:val="32695BE7"/>
    <w:rsid w:val="32950EE0"/>
    <w:rsid w:val="32AD092D"/>
    <w:rsid w:val="32BB6B45"/>
    <w:rsid w:val="32BE27BA"/>
    <w:rsid w:val="32D47060"/>
    <w:rsid w:val="32D83C5E"/>
    <w:rsid w:val="32EA2079"/>
    <w:rsid w:val="32EC1783"/>
    <w:rsid w:val="3322005B"/>
    <w:rsid w:val="334444BE"/>
    <w:rsid w:val="33555839"/>
    <w:rsid w:val="33561BC0"/>
    <w:rsid w:val="3373234D"/>
    <w:rsid w:val="33804283"/>
    <w:rsid w:val="33936DDD"/>
    <w:rsid w:val="33991FE6"/>
    <w:rsid w:val="33A44830"/>
    <w:rsid w:val="33AD598F"/>
    <w:rsid w:val="33B442BF"/>
    <w:rsid w:val="33BA21A1"/>
    <w:rsid w:val="33CC00CA"/>
    <w:rsid w:val="33D96953"/>
    <w:rsid w:val="33DD60B4"/>
    <w:rsid w:val="33FD6D1B"/>
    <w:rsid w:val="33FF1AE1"/>
    <w:rsid w:val="34005893"/>
    <w:rsid w:val="343A4DB9"/>
    <w:rsid w:val="344973B9"/>
    <w:rsid w:val="346C6D09"/>
    <w:rsid w:val="348A47C8"/>
    <w:rsid w:val="348F3C15"/>
    <w:rsid w:val="3493654C"/>
    <w:rsid w:val="349D4460"/>
    <w:rsid w:val="349F018F"/>
    <w:rsid w:val="34A05BB1"/>
    <w:rsid w:val="34A7658B"/>
    <w:rsid w:val="34AA3DAB"/>
    <w:rsid w:val="34C05919"/>
    <w:rsid w:val="34C97AD2"/>
    <w:rsid w:val="34D47F19"/>
    <w:rsid w:val="34DD524A"/>
    <w:rsid w:val="34F1381F"/>
    <w:rsid w:val="34FB227B"/>
    <w:rsid w:val="35097D45"/>
    <w:rsid w:val="353A1D60"/>
    <w:rsid w:val="354766ED"/>
    <w:rsid w:val="35516956"/>
    <w:rsid w:val="35700D63"/>
    <w:rsid w:val="357211E9"/>
    <w:rsid w:val="35783B4E"/>
    <w:rsid w:val="35787646"/>
    <w:rsid w:val="357D5FF2"/>
    <w:rsid w:val="358913AC"/>
    <w:rsid w:val="35A54EF8"/>
    <w:rsid w:val="35DC6DF9"/>
    <w:rsid w:val="35E83001"/>
    <w:rsid w:val="35ED0578"/>
    <w:rsid w:val="35F83418"/>
    <w:rsid w:val="35FA674A"/>
    <w:rsid w:val="35FE0BA4"/>
    <w:rsid w:val="361129FC"/>
    <w:rsid w:val="362572E4"/>
    <w:rsid w:val="36462F85"/>
    <w:rsid w:val="36472094"/>
    <w:rsid w:val="365C4379"/>
    <w:rsid w:val="366D0E58"/>
    <w:rsid w:val="36787273"/>
    <w:rsid w:val="36D03471"/>
    <w:rsid w:val="36F70989"/>
    <w:rsid w:val="370E64D9"/>
    <w:rsid w:val="375E2170"/>
    <w:rsid w:val="376A36A8"/>
    <w:rsid w:val="37D456E9"/>
    <w:rsid w:val="37DB3B4D"/>
    <w:rsid w:val="37EB0903"/>
    <w:rsid w:val="37F06E34"/>
    <w:rsid w:val="38225026"/>
    <w:rsid w:val="38363CC7"/>
    <w:rsid w:val="38380596"/>
    <w:rsid w:val="383F36D8"/>
    <w:rsid w:val="384A2E60"/>
    <w:rsid w:val="384D6D95"/>
    <w:rsid w:val="385953A6"/>
    <w:rsid w:val="38AC0DF4"/>
    <w:rsid w:val="392C59FA"/>
    <w:rsid w:val="3931510F"/>
    <w:rsid w:val="394B3D53"/>
    <w:rsid w:val="397626A1"/>
    <w:rsid w:val="39825188"/>
    <w:rsid w:val="39876201"/>
    <w:rsid w:val="39994E19"/>
    <w:rsid w:val="39A262A5"/>
    <w:rsid w:val="39BD0364"/>
    <w:rsid w:val="39EA34C9"/>
    <w:rsid w:val="39F70FE7"/>
    <w:rsid w:val="39F7730A"/>
    <w:rsid w:val="3A121F53"/>
    <w:rsid w:val="3A147333"/>
    <w:rsid w:val="3A170A8B"/>
    <w:rsid w:val="3A226B22"/>
    <w:rsid w:val="3A4472C4"/>
    <w:rsid w:val="3A571AEB"/>
    <w:rsid w:val="3A6277AD"/>
    <w:rsid w:val="3A6F4A11"/>
    <w:rsid w:val="3A71527E"/>
    <w:rsid w:val="3A841A9A"/>
    <w:rsid w:val="3AB77AB9"/>
    <w:rsid w:val="3ACA27EB"/>
    <w:rsid w:val="3ACF3176"/>
    <w:rsid w:val="3AE251AA"/>
    <w:rsid w:val="3AE845A1"/>
    <w:rsid w:val="3AF6157A"/>
    <w:rsid w:val="3B0B3FCB"/>
    <w:rsid w:val="3B1B7A26"/>
    <w:rsid w:val="3B233BB4"/>
    <w:rsid w:val="3B702FED"/>
    <w:rsid w:val="3B71663B"/>
    <w:rsid w:val="3B847A61"/>
    <w:rsid w:val="3B8C19D8"/>
    <w:rsid w:val="3B8E321A"/>
    <w:rsid w:val="3B8F5DE0"/>
    <w:rsid w:val="3B96684E"/>
    <w:rsid w:val="3BBF0D15"/>
    <w:rsid w:val="3BBF1CBE"/>
    <w:rsid w:val="3BE35F34"/>
    <w:rsid w:val="3BE91E4B"/>
    <w:rsid w:val="3BEB030E"/>
    <w:rsid w:val="3BFE2508"/>
    <w:rsid w:val="3C163092"/>
    <w:rsid w:val="3C313E9E"/>
    <w:rsid w:val="3C97705E"/>
    <w:rsid w:val="3CB40269"/>
    <w:rsid w:val="3CDB2766"/>
    <w:rsid w:val="3CE46DE4"/>
    <w:rsid w:val="3D021B9B"/>
    <w:rsid w:val="3D0948E1"/>
    <w:rsid w:val="3D3678FA"/>
    <w:rsid w:val="3D58231E"/>
    <w:rsid w:val="3D623270"/>
    <w:rsid w:val="3D647E7D"/>
    <w:rsid w:val="3D6D5116"/>
    <w:rsid w:val="3D831D33"/>
    <w:rsid w:val="3D8D3F9C"/>
    <w:rsid w:val="3D8F67EA"/>
    <w:rsid w:val="3D9A0956"/>
    <w:rsid w:val="3DAB4537"/>
    <w:rsid w:val="3DAB4758"/>
    <w:rsid w:val="3DB14B5B"/>
    <w:rsid w:val="3DC039E2"/>
    <w:rsid w:val="3DC92331"/>
    <w:rsid w:val="3DE34E0B"/>
    <w:rsid w:val="3DE57F75"/>
    <w:rsid w:val="3DE8193C"/>
    <w:rsid w:val="3DFF6BEC"/>
    <w:rsid w:val="3E052D0B"/>
    <w:rsid w:val="3E1F6F3F"/>
    <w:rsid w:val="3E2326FD"/>
    <w:rsid w:val="3E294E28"/>
    <w:rsid w:val="3E2A3EDC"/>
    <w:rsid w:val="3E2C79DF"/>
    <w:rsid w:val="3E2D19E2"/>
    <w:rsid w:val="3E411C77"/>
    <w:rsid w:val="3E435603"/>
    <w:rsid w:val="3E534AAC"/>
    <w:rsid w:val="3E5B3CF4"/>
    <w:rsid w:val="3E7F7A28"/>
    <w:rsid w:val="3EA069C5"/>
    <w:rsid w:val="3EC014B1"/>
    <w:rsid w:val="3EE66A61"/>
    <w:rsid w:val="3EEC39CB"/>
    <w:rsid w:val="3F0874F8"/>
    <w:rsid w:val="3F0B7949"/>
    <w:rsid w:val="3F0D529E"/>
    <w:rsid w:val="3F170923"/>
    <w:rsid w:val="3F3E66EF"/>
    <w:rsid w:val="3F3E6D77"/>
    <w:rsid w:val="3F5043F0"/>
    <w:rsid w:val="3F6C7347"/>
    <w:rsid w:val="3F6F6E6F"/>
    <w:rsid w:val="3F78365F"/>
    <w:rsid w:val="3F7E6E35"/>
    <w:rsid w:val="3F9B6066"/>
    <w:rsid w:val="3FCB6641"/>
    <w:rsid w:val="3FE435A0"/>
    <w:rsid w:val="3FF05339"/>
    <w:rsid w:val="3FFC733D"/>
    <w:rsid w:val="40077A5E"/>
    <w:rsid w:val="400A5F20"/>
    <w:rsid w:val="40217FC5"/>
    <w:rsid w:val="40261174"/>
    <w:rsid w:val="40437B3E"/>
    <w:rsid w:val="406D0D59"/>
    <w:rsid w:val="408469E4"/>
    <w:rsid w:val="409A403C"/>
    <w:rsid w:val="409C0651"/>
    <w:rsid w:val="409E78E5"/>
    <w:rsid w:val="40AC174E"/>
    <w:rsid w:val="40B114CE"/>
    <w:rsid w:val="40C120CD"/>
    <w:rsid w:val="40D53874"/>
    <w:rsid w:val="40DC50F5"/>
    <w:rsid w:val="40E1456F"/>
    <w:rsid w:val="40EC510F"/>
    <w:rsid w:val="40F44A0B"/>
    <w:rsid w:val="410C5B70"/>
    <w:rsid w:val="411E7BCC"/>
    <w:rsid w:val="41265B7F"/>
    <w:rsid w:val="4131523A"/>
    <w:rsid w:val="41440A01"/>
    <w:rsid w:val="41511E66"/>
    <w:rsid w:val="415A36CC"/>
    <w:rsid w:val="41632184"/>
    <w:rsid w:val="417217C7"/>
    <w:rsid w:val="417703BB"/>
    <w:rsid w:val="41773122"/>
    <w:rsid w:val="41841E0A"/>
    <w:rsid w:val="419E1FEA"/>
    <w:rsid w:val="41CA5FE9"/>
    <w:rsid w:val="41D1759D"/>
    <w:rsid w:val="41D22776"/>
    <w:rsid w:val="41EC6942"/>
    <w:rsid w:val="41F45941"/>
    <w:rsid w:val="42167094"/>
    <w:rsid w:val="421D4587"/>
    <w:rsid w:val="422A4C5B"/>
    <w:rsid w:val="422D5917"/>
    <w:rsid w:val="4239310B"/>
    <w:rsid w:val="425E775A"/>
    <w:rsid w:val="4269513F"/>
    <w:rsid w:val="426B4746"/>
    <w:rsid w:val="4279576F"/>
    <w:rsid w:val="427B5205"/>
    <w:rsid w:val="4283510D"/>
    <w:rsid w:val="42A223E2"/>
    <w:rsid w:val="42AD1C72"/>
    <w:rsid w:val="42C13F6E"/>
    <w:rsid w:val="42D3732F"/>
    <w:rsid w:val="42D43C87"/>
    <w:rsid w:val="42DA01BE"/>
    <w:rsid w:val="42FE652D"/>
    <w:rsid w:val="430C1638"/>
    <w:rsid w:val="430C4524"/>
    <w:rsid w:val="43233D9E"/>
    <w:rsid w:val="43433555"/>
    <w:rsid w:val="438C51EA"/>
    <w:rsid w:val="43A825BB"/>
    <w:rsid w:val="43AD23CD"/>
    <w:rsid w:val="43B51114"/>
    <w:rsid w:val="43BC7101"/>
    <w:rsid w:val="43CF2012"/>
    <w:rsid w:val="43EC05AD"/>
    <w:rsid w:val="43EF76F9"/>
    <w:rsid w:val="43F57662"/>
    <w:rsid w:val="43FF1892"/>
    <w:rsid w:val="441206F6"/>
    <w:rsid w:val="44172049"/>
    <w:rsid w:val="442345DC"/>
    <w:rsid w:val="443A0477"/>
    <w:rsid w:val="44420115"/>
    <w:rsid w:val="44596F9C"/>
    <w:rsid w:val="446861F6"/>
    <w:rsid w:val="447009D2"/>
    <w:rsid w:val="447D7569"/>
    <w:rsid w:val="44842024"/>
    <w:rsid w:val="4487135F"/>
    <w:rsid w:val="448904E6"/>
    <w:rsid w:val="44A60740"/>
    <w:rsid w:val="44AD32BB"/>
    <w:rsid w:val="44B60635"/>
    <w:rsid w:val="44C064B0"/>
    <w:rsid w:val="44C631A1"/>
    <w:rsid w:val="44DD105E"/>
    <w:rsid w:val="45097AED"/>
    <w:rsid w:val="4512470A"/>
    <w:rsid w:val="45327A2F"/>
    <w:rsid w:val="45551152"/>
    <w:rsid w:val="456168E3"/>
    <w:rsid w:val="45617776"/>
    <w:rsid w:val="457953F4"/>
    <w:rsid w:val="45834455"/>
    <w:rsid w:val="45B87364"/>
    <w:rsid w:val="45C00559"/>
    <w:rsid w:val="45CE48A4"/>
    <w:rsid w:val="45D668A1"/>
    <w:rsid w:val="45D841ED"/>
    <w:rsid w:val="45DA6484"/>
    <w:rsid w:val="45F45E51"/>
    <w:rsid w:val="460D6A3C"/>
    <w:rsid w:val="46196117"/>
    <w:rsid w:val="461A4A7B"/>
    <w:rsid w:val="462907C2"/>
    <w:rsid w:val="466367C0"/>
    <w:rsid w:val="46810837"/>
    <w:rsid w:val="46830A60"/>
    <w:rsid w:val="46990664"/>
    <w:rsid w:val="46A17B5D"/>
    <w:rsid w:val="46DA76D2"/>
    <w:rsid w:val="46E11255"/>
    <w:rsid w:val="46EA74BF"/>
    <w:rsid w:val="46F35490"/>
    <w:rsid w:val="470030C9"/>
    <w:rsid w:val="47021DE2"/>
    <w:rsid w:val="470918F9"/>
    <w:rsid w:val="472B2AE3"/>
    <w:rsid w:val="472D1ECB"/>
    <w:rsid w:val="473070F0"/>
    <w:rsid w:val="4735425F"/>
    <w:rsid w:val="47362935"/>
    <w:rsid w:val="47671E73"/>
    <w:rsid w:val="47693AA5"/>
    <w:rsid w:val="478C36E4"/>
    <w:rsid w:val="47A97AA1"/>
    <w:rsid w:val="47AF583C"/>
    <w:rsid w:val="47B56F14"/>
    <w:rsid w:val="47BF1AD8"/>
    <w:rsid w:val="47C64A68"/>
    <w:rsid w:val="47DA05D6"/>
    <w:rsid w:val="47F52036"/>
    <w:rsid w:val="480620AB"/>
    <w:rsid w:val="48091C02"/>
    <w:rsid w:val="483E3DEF"/>
    <w:rsid w:val="48423033"/>
    <w:rsid w:val="4857124F"/>
    <w:rsid w:val="485E3FB3"/>
    <w:rsid w:val="48705255"/>
    <w:rsid w:val="48740925"/>
    <w:rsid w:val="48831F2E"/>
    <w:rsid w:val="489B5F0B"/>
    <w:rsid w:val="48A141B1"/>
    <w:rsid w:val="48A260D7"/>
    <w:rsid w:val="48A87BB3"/>
    <w:rsid w:val="48BA01D0"/>
    <w:rsid w:val="48C82190"/>
    <w:rsid w:val="48D806BB"/>
    <w:rsid w:val="48D95BA0"/>
    <w:rsid w:val="493E4C83"/>
    <w:rsid w:val="494B2791"/>
    <w:rsid w:val="49687B58"/>
    <w:rsid w:val="49784D25"/>
    <w:rsid w:val="497E4F49"/>
    <w:rsid w:val="498C26F4"/>
    <w:rsid w:val="49A76225"/>
    <w:rsid w:val="49A81C11"/>
    <w:rsid w:val="49BD5619"/>
    <w:rsid w:val="49C35B92"/>
    <w:rsid w:val="49D56D9D"/>
    <w:rsid w:val="49DB3670"/>
    <w:rsid w:val="49E747A4"/>
    <w:rsid w:val="49FD3CDE"/>
    <w:rsid w:val="4A0F09CA"/>
    <w:rsid w:val="4A56111F"/>
    <w:rsid w:val="4A5E2D60"/>
    <w:rsid w:val="4A992969"/>
    <w:rsid w:val="4AAD1BFE"/>
    <w:rsid w:val="4AB07732"/>
    <w:rsid w:val="4AB5099E"/>
    <w:rsid w:val="4ADC1F8D"/>
    <w:rsid w:val="4AFC0BDF"/>
    <w:rsid w:val="4B283AA7"/>
    <w:rsid w:val="4B722C71"/>
    <w:rsid w:val="4B732F9C"/>
    <w:rsid w:val="4B8D557D"/>
    <w:rsid w:val="4B9B5B37"/>
    <w:rsid w:val="4BA733A1"/>
    <w:rsid w:val="4BD76256"/>
    <w:rsid w:val="4BE920A1"/>
    <w:rsid w:val="4BEC649C"/>
    <w:rsid w:val="4C050910"/>
    <w:rsid w:val="4C1457C4"/>
    <w:rsid w:val="4C2C7FF1"/>
    <w:rsid w:val="4C431C92"/>
    <w:rsid w:val="4C525872"/>
    <w:rsid w:val="4C6C0094"/>
    <w:rsid w:val="4C793AF4"/>
    <w:rsid w:val="4C8660D4"/>
    <w:rsid w:val="4CA91D98"/>
    <w:rsid w:val="4CBC2FD8"/>
    <w:rsid w:val="4D21431B"/>
    <w:rsid w:val="4D2675A8"/>
    <w:rsid w:val="4D9F53AB"/>
    <w:rsid w:val="4DA8599D"/>
    <w:rsid w:val="4DB72E1B"/>
    <w:rsid w:val="4DCA4602"/>
    <w:rsid w:val="4DCF77BD"/>
    <w:rsid w:val="4DD02DC4"/>
    <w:rsid w:val="4DD3019E"/>
    <w:rsid w:val="4DDC6F0E"/>
    <w:rsid w:val="4DE100F0"/>
    <w:rsid w:val="4DE20BE7"/>
    <w:rsid w:val="4DF336FF"/>
    <w:rsid w:val="4DF6749A"/>
    <w:rsid w:val="4DFC2348"/>
    <w:rsid w:val="4E1377AD"/>
    <w:rsid w:val="4E1F380A"/>
    <w:rsid w:val="4E72687A"/>
    <w:rsid w:val="4E9C4B5B"/>
    <w:rsid w:val="4EA656B7"/>
    <w:rsid w:val="4EAE10FA"/>
    <w:rsid w:val="4EB26250"/>
    <w:rsid w:val="4EC70588"/>
    <w:rsid w:val="4ED64B21"/>
    <w:rsid w:val="4EDB11C1"/>
    <w:rsid w:val="4EFD2CD2"/>
    <w:rsid w:val="4F0845C7"/>
    <w:rsid w:val="4F0D5844"/>
    <w:rsid w:val="4F117360"/>
    <w:rsid w:val="4F276364"/>
    <w:rsid w:val="4F3007F7"/>
    <w:rsid w:val="4F395E76"/>
    <w:rsid w:val="4F4509C4"/>
    <w:rsid w:val="4F563AE9"/>
    <w:rsid w:val="4F5D02E5"/>
    <w:rsid w:val="4F621920"/>
    <w:rsid w:val="4F6649B4"/>
    <w:rsid w:val="4F71639E"/>
    <w:rsid w:val="4F73655E"/>
    <w:rsid w:val="4F7F27EA"/>
    <w:rsid w:val="4FBD16E0"/>
    <w:rsid w:val="4FC66F4D"/>
    <w:rsid w:val="4FF24139"/>
    <w:rsid w:val="503057EF"/>
    <w:rsid w:val="503751FA"/>
    <w:rsid w:val="50446386"/>
    <w:rsid w:val="50492E11"/>
    <w:rsid w:val="507743F8"/>
    <w:rsid w:val="507C4595"/>
    <w:rsid w:val="508436A7"/>
    <w:rsid w:val="50880F73"/>
    <w:rsid w:val="509B53CB"/>
    <w:rsid w:val="50A3053A"/>
    <w:rsid w:val="50AA183D"/>
    <w:rsid w:val="50AB1369"/>
    <w:rsid w:val="50B814C3"/>
    <w:rsid w:val="50C93112"/>
    <w:rsid w:val="50CB60A7"/>
    <w:rsid w:val="50CF411E"/>
    <w:rsid w:val="50D5309A"/>
    <w:rsid w:val="50E50403"/>
    <w:rsid w:val="50EE4D03"/>
    <w:rsid w:val="51076B5E"/>
    <w:rsid w:val="515E4F35"/>
    <w:rsid w:val="51651D58"/>
    <w:rsid w:val="51666493"/>
    <w:rsid w:val="516D1967"/>
    <w:rsid w:val="51710AA2"/>
    <w:rsid w:val="517578C7"/>
    <w:rsid w:val="518F135E"/>
    <w:rsid w:val="51CD601D"/>
    <w:rsid w:val="51F15DFD"/>
    <w:rsid w:val="51FA2725"/>
    <w:rsid w:val="52160758"/>
    <w:rsid w:val="523F7635"/>
    <w:rsid w:val="52840BEF"/>
    <w:rsid w:val="528F0D42"/>
    <w:rsid w:val="52A94709"/>
    <w:rsid w:val="52BC2EBB"/>
    <w:rsid w:val="52CA463C"/>
    <w:rsid w:val="52D23A15"/>
    <w:rsid w:val="52E44CE6"/>
    <w:rsid w:val="52F60F75"/>
    <w:rsid w:val="52FC0C90"/>
    <w:rsid w:val="53036F94"/>
    <w:rsid w:val="53061CFB"/>
    <w:rsid w:val="531B436E"/>
    <w:rsid w:val="53477649"/>
    <w:rsid w:val="53797F7D"/>
    <w:rsid w:val="53A02F3D"/>
    <w:rsid w:val="53A23501"/>
    <w:rsid w:val="53C0738D"/>
    <w:rsid w:val="53D1520D"/>
    <w:rsid w:val="53D35990"/>
    <w:rsid w:val="53F6524D"/>
    <w:rsid w:val="5415569A"/>
    <w:rsid w:val="542D7E21"/>
    <w:rsid w:val="54566C7B"/>
    <w:rsid w:val="54604151"/>
    <w:rsid w:val="548206B4"/>
    <w:rsid w:val="54861520"/>
    <w:rsid w:val="548D6A45"/>
    <w:rsid w:val="54A10A74"/>
    <w:rsid w:val="54A201BB"/>
    <w:rsid w:val="54A4315D"/>
    <w:rsid w:val="54EC757D"/>
    <w:rsid w:val="5503287F"/>
    <w:rsid w:val="550B45D4"/>
    <w:rsid w:val="550C5327"/>
    <w:rsid w:val="550D17A9"/>
    <w:rsid w:val="551A1B6D"/>
    <w:rsid w:val="55402DB7"/>
    <w:rsid w:val="556B43EC"/>
    <w:rsid w:val="5571253B"/>
    <w:rsid w:val="55781B2F"/>
    <w:rsid w:val="55BE3885"/>
    <w:rsid w:val="55C139DB"/>
    <w:rsid w:val="55F36E73"/>
    <w:rsid w:val="560D23B9"/>
    <w:rsid w:val="5627345F"/>
    <w:rsid w:val="56535FDA"/>
    <w:rsid w:val="565F2F3A"/>
    <w:rsid w:val="567A73CB"/>
    <w:rsid w:val="567C0B5A"/>
    <w:rsid w:val="56882EF2"/>
    <w:rsid w:val="56A732C1"/>
    <w:rsid w:val="56DC178D"/>
    <w:rsid w:val="5703744E"/>
    <w:rsid w:val="570F20EB"/>
    <w:rsid w:val="57171B57"/>
    <w:rsid w:val="572612F4"/>
    <w:rsid w:val="572740D3"/>
    <w:rsid w:val="57524535"/>
    <w:rsid w:val="575666B0"/>
    <w:rsid w:val="57580D1E"/>
    <w:rsid w:val="575D4310"/>
    <w:rsid w:val="57B77653"/>
    <w:rsid w:val="57DB61CF"/>
    <w:rsid w:val="57DC420C"/>
    <w:rsid w:val="57DC631B"/>
    <w:rsid w:val="57FB6237"/>
    <w:rsid w:val="580A4432"/>
    <w:rsid w:val="58241EF3"/>
    <w:rsid w:val="583C47EF"/>
    <w:rsid w:val="5841093D"/>
    <w:rsid w:val="585E6763"/>
    <w:rsid w:val="587F1B68"/>
    <w:rsid w:val="588B3E90"/>
    <w:rsid w:val="589237C8"/>
    <w:rsid w:val="58E31DA7"/>
    <w:rsid w:val="58F434E5"/>
    <w:rsid w:val="5919581F"/>
    <w:rsid w:val="59196696"/>
    <w:rsid w:val="59233E8F"/>
    <w:rsid w:val="593876AD"/>
    <w:rsid w:val="59415C3D"/>
    <w:rsid w:val="594D775B"/>
    <w:rsid w:val="5958218D"/>
    <w:rsid w:val="595B4B99"/>
    <w:rsid w:val="595D7BC1"/>
    <w:rsid w:val="597C200F"/>
    <w:rsid w:val="59A13769"/>
    <w:rsid w:val="59B52DB5"/>
    <w:rsid w:val="59B64227"/>
    <w:rsid w:val="59DA1357"/>
    <w:rsid w:val="59F155F1"/>
    <w:rsid w:val="5A0D7E70"/>
    <w:rsid w:val="5A1D4190"/>
    <w:rsid w:val="5A2F13B4"/>
    <w:rsid w:val="5A397FA6"/>
    <w:rsid w:val="5A3D13DB"/>
    <w:rsid w:val="5A462ECA"/>
    <w:rsid w:val="5A833B8D"/>
    <w:rsid w:val="5A92644E"/>
    <w:rsid w:val="5ADB1C18"/>
    <w:rsid w:val="5AE954F3"/>
    <w:rsid w:val="5AFA61D6"/>
    <w:rsid w:val="5AFE34D7"/>
    <w:rsid w:val="5B12483A"/>
    <w:rsid w:val="5B1E349E"/>
    <w:rsid w:val="5B2363B5"/>
    <w:rsid w:val="5B29439F"/>
    <w:rsid w:val="5B354305"/>
    <w:rsid w:val="5B3B431D"/>
    <w:rsid w:val="5B501ED1"/>
    <w:rsid w:val="5B852766"/>
    <w:rsid w:val="5B9A66BD"/>
    <w:rsid w:val="5B9F59FF"/>
    <w:rsid w:val="5BA725C9"/>
    <w:rsid w:val="5BB12BC7"/>
    <w:rsid w:val="5BDB25C0"/>
    <w:rsid w:val="5BF13D64"/>
    <w:rsid w:val="5C0814D3"/>
    <w:rsid w:val="5C347285"/>
    <w:rsid w:val="5C544C18"/>
    <w:rsid w:val="5C5A3D11"/>
    <w:rsid w:val="5C5D63B7"/>
    <w:rsid w:val="5C6454F9"/>
    <w:rsid w:val="5C6E6BB0"/>
    <w:rsid w:val="5C70264C"/>
    <w:rsid w:val="5C7626B9"/>
    <w:rsid w:val="5C9B774F"/>
    <w:rsid w:val="5CA01AB4"/>
    <w:rsid w:val="5CBB1A73"/>
    <w:rsid w:val="5CC26EAE"/>
    <w:rsid w:val="5CC31B3E"/>
    <w:rsid w:val="5CCE078D"/>
    <w:rsid w:val="5CDA53C4"/>
    <w:rsid w:val="5CE70B7E"/>
    <w:rsid w:val="5D114AA0"/>
    <w:rsid w:val="5D1B17D3"/>
    <w:rsid w:val="5D331029"/>
    <w:rsid w:val="5D516D22"/>
    <w:rsid w:val="5D7A1B0B"/>
    <w:rsid w:val="5D8106CE"/>
    <w:rsid w:val="5DB54949"/>
    <w:rsid w:val="5DDB2614"/>
    <w:rsid w:val="5DE249A5"/>
    <w:rsid w:val="5DE84BBC"/>
    <w:rsid w:val="5E0D5EA0"/>
    <w:rsid w:val="5E222D7F"/>
    <w:rsid w:val="5E330F8E"/>
    <w:rsid w:val="5EB04A46"/>
    <w:rsid w:val="5EB25C95"/>
    <w:rsid w:val="5EBB33E4"/>
    <w:rsid w:val="5EE56938"/>
    <w:rsid w:val="5EEE2F05"/>
    <w:rsid w:val="5F203C5A"/>
    <w:rsid w:val="5F24587E"/>
    <w:rsid w:val="5F303147"/>
    <w:rsid w:val="5F332024"/>
    <w:rsid w:val="5F3C7BD0"/>
    <w:rsid w:val="5F3D7309"/>
    <w:rsid w:val="5F450DC3"/>
    <w:rsid w:val="5F4C3F3C"/>
    <w:rsid w:val="5F53351C"/>
    <w:rsid w:val="5F5D5242"/>
    <w:rsid w:val="5F952C60"/>
    <w:rsid w:val="5F9C3139"/>
    <w:rsid w:val="5F9D24E8"/>
    <w:rsid w:val="5FAC0EC3"/>
    <w:rsid w:val="5FC37A2B"/>
    <w:rsid w:val="5FCF21FE"/>
    <w:rsid w:val="5FD76F02"/>
    <w:rsid w:val="5FDF76E5"/>
    <w:rsid w:val="5FE80112"/>
    <w:rsid w:val="5FEA0341"/>
    <w:rsid w:val="5FEE6FD4"/>
    <w:rsid w:val="5FEE7406"/>
    <w:rsid w:val="6004062E"/>
    <w:rsid w:val="60130B1A"/>
    <w:rsid w:val="602455F9"/>
    <w:rsid w:val="6034415F"/>
    <w:rsid w:val="603C4C9C"/>
    <w:rsid w:val="60735901"/>
    <w:rsid w:val="60AB4D13"/>
    <w:rsid w:val="60BB05EF"/>
    <w:rsid w:val="60C5219D"/>
    <w:rsid w:val="60C805BB"/>
    <w:rsid w:val="60E42A5E"/>
    <w:rsid w:val="61065230"/>
    <w:rsid w:val="610A27C2"/>
    <w:rsid w:val="611B7361"/>
    <w:rsid w:val="61336C26"/>
    <w:rsid w:val="613D4C20"/>
    <w:rsid w:val="614120C8"/>
    <w:rsid w:val="6151322E"/>
    <w:rsid w:val="61543319"/>
    <w:rsid w:val="61666115"/>
    <w:rsid w:val="617A6AE5"/>
    <w:rsid w:val="619271E4"/>
    <w:rsid w:val="61B25838"/>
    <w:rsid w:val="61E04EE5"/>
    <w:rsid w:val="620B2026"/>
    <w:rsid w:val="620B5509"/>
    <w:rsid w:val="6227694C"/>
    <w:rsid w:val="624C5881"/>
    <w:rsid w:val="626D432B"/>
    <w:rsid w:val="62AA6084"/>
    <w:rsid w:val="62B318B6"/>
    <w:rsid w:val="62E829A5"/>
    <w:rsid w:val="62EB3AC2"/>
    <w:rsid w:val="631405E8"/>
    <w:rsid w:val="63163E01"/>
    <w:rsid w:val="631E774D"/>
    <w:rsid w:val="631F15D6"/>
    <w:rsid w:val="632844CD"/>
    <w:rsid w:val="63453467"/>
    <w:rsid w:val="63596A37"/>
    <w:rsid w:val="635D2EB4"/>
    <w:rsid w:val="63634209"/>
    <w:rsid w:val="636D582F"/>
    <w:rsid w:val="63703400"/>
    <w:rsid w:val="63792360"/>
    <w:rsid w:val="63852A52"/>
    <w:rsid w:val="6394695F"/>
    <w:rsid w:val="63B71747"/>
    <w:rsid w:val="63D110C5"/>
    <w:rsid w:val="63D96991"/>
    <w:rsid w:val="63F30D47"/>
    <w:rsid w:val="63FA212F"/>
    <w:rsid w:val="64057CDA"/>
    <w:rsid w:val="640A312F"/>
    <w:rsid w:val="64193FF4"/>
    <w:rsid w:val="64325187"/>
    <w:rsid w:val="64382979"/>
    <w:rsid w:val="643D321D"/>
    <w:rsid w:val="64445821"/>
    <w:rsid w:val="646A3461"/>
    <w:rsid w:val="646B2DE3"/>
    <w:rsid w:val="64771229"/>
    <w:rsid w:val="649D6523"/>
    <w:rsid w:val="649F297B"/>
    <w:rsid w:val="64AC503E"/>
    <w:rsid w:val="64AF4F5A"/>
    <w:rsid w:val="64B03FE6"/>
    <w:rsid w:val="64B24842"/>
    <w:rsid w:val="64CC2A7C"/>
    <w:rsid w:val="64DD38D7"/>
    <w:rsid w:val="64E82D05"/>
    <w:rsid w:val="64EF1039"/>
    <w:rsid w:val="65032DA8"/>
    <w:rsid w:val="65133947"/>
    <w:rsid w:val="65360CD4"/>
    <w:rsid w:val="65393C0B"/>
    <w:rsid w:val="654C155A"/>
    <w:rsid w:val="65661978"/>
    <w:rsid w:val="6576391F"/>
    <w:rsid w:val="658D29AA"/>
    <w:rsid w:val="65A93895"/>
    <w:rsid w:val="65AD52E9"/>
    <w:rsid w:val="65BF382F"/>
    <w:rsid w:val="65CF2C1F"/>
    <w:rsid w:val="65DA3299"/>
    <w:rsid w:val="65E641FF"/>
    <w:rsid w:val="65EB64D1"/>
    <w:rsid w:val="65F00021"/>
    <w:rsid w:val="65F70ACE"/>
    <w:rsid w:val="65FD76AB"/>
    <w:rsid w:val="66025468"/>
    <w:rsid w:val="660E44B0"/>
    <w:rsid w:val="66147B53"/>
    <w:rsid w:val="66163C97"/>
    <w:rsid w:val="6629331D"/>
    <w:rsid w:val="66394A71"/>
    <w:rsid w:val="664D3126"/>
    <w:rsid w:val="666032DE"/>
    <w:rsid w:val="66693935"/>
    <w:rsid w:val="666D0F8B"/>
    <w:rsid w:val="6671705F"/>
    <w:rsid w:val="66982631"/>
    <w:rsid w:val="66A562F6"/>
    <w:rsid w:val="66A81454"/>
    <w:rsid w:val="66EF7672"/>
    <w:rsid w:val="66F06FEE"/>
    <w:rsid w:val="670D2021"/>
    <w:rsid w:val="670F4640"/>
    <w:rsid w:val="67117823"/>
    <w:rsid w:val="67180E0A"/>
    <w:rsid w:val="6724097D"/>
    <w:rsid w:val="67261EE5"/>
    <w:rsid w:val="674A64F4"/>
    <w:rsid w:val="674B130A"/>
    <w:rsid w:val="67733CE8"/>
    <w:rsid w:val="6779525F"/>
    <w:rsid w:val="6787528E"/>
    <w:rsid w:val="67A67B39"/>
    <w:rsid w:val="67BC14BF"/>
    <w:rsid w:val="68142F66"/>
    <w:rsid w:val="68151A12"/>
    <w:rsid w:val="681F04F3"/>
    <w:rsid w:val="68324B49"/>
    <w:rsid w:val="68374C22"/>
    <w:rsid w:val="68460B74"/>
    <w:rsid w:val="68525041"/>
    <w:rsid w:val="6858593D"/>
    <w:rsid w:val="68630D65"/>
    <w:rsid w:val="686A3CA5"/>
    <w:rsid w:val="687F5C27"/>
    <w:rsid w:val="688844F1"/>
    <w:rsid w:val="68AF6C8A"/>
    <w:rsid w:val="68B07650"/>
    <w:rsid w:val="68C106F2"/>
    <w:rsid w:val="68D84F91"/>
    <w:rsid w:val="68E452DB"/>
    <w:rsid w:val="68ED5ACD"/>
    <w:rsid w:val="6907088C"/>
    <w:rsid w:val="690A1540"/>
    <w:rsid w:val="691D6CB6"/>
    <w:rsid w:val="692750D7"/>
    <w:rsid w:val="694F346E"/>
    <w:rsid w:val="69772C3A"/>
    <w:rsid w:val="697878E6"/>
    <w:rsid w:val="699E2C00"/>
    <w:rsid w:val="69B11EAE"/>
    <w:rsid w:val="69B3379C"/>
    <w:rsid w:val="69CA3632"/>
    <w:rsid w:val="69CE1D80"/>
    <w:rsid w:val="69D5033F"/>
    <w:rsid w:val="69D779E6"/>
    <w:rsid w:val="6A0C1288"/>
    <w:rsid w:val="6A11011B"/>
    <w:rsid w:val="6A1D6E3E"/>
    <w:rsid w:val="6A6B6D8F"/>
    <w:rsid w:val="6A741162"/>
    <w:rsid w:val="6A7519AC"/>
    <w:rsid w:val="6A8B59C7"/>
    <w:rsid w:val="6AA34908"/>
    <w:rsid w:val="6AA950E4"/>
    <w:rsid w:val="6ABE01CE"/>
    <w:rsid w:val="6AC569B9"/>
    <w:rsid w:val="6ACC3658"/>
    <w:rsid w:val="6ACD2711"/>
    <w:rsid w:val="6AF8750C"/>
    <w:rsid w:val="6B102A53"/>
    <w:rsid w:val="6B216474"/>
    <w:rsid w:val="6B2A4740"/>
    <w:rsid w:val="6B416685"/>
    <w:rsid w:val="6B477073"/>
    <w:rsid w:val="6B52321E"/>
    <w:rsid w:val="6B543EE1"/>
    <w:rsid w:val="6B6057A3"/>
    <w:rsid w:val="6B70761C"/>
    <w:rsid w:val="6B7F3F61"/>
    <w:rsid w:val="6B8E7525"/>
    <w:rsid w:val="6B9A0125"/>
    <w:rsid w:val="6B9F2FA5"/>
    <w:rsid w:val="6B9F44A0"/>
    <w:rsid w:val="6BA167E0"/>
    <w:rsid w:val="6BA37BBA"/>
    <w:rsid w:val="6BAF194E"/>
    <w:rsid w:val="6BE15521"/>
    <w:rsid w:val="6BED0929"/>
    <w:rsid w:val="6C06520A"/>
    <w:rsid w:val="6C0716EB"/>
    <w:rsid w:val="6C0D056D"/>
    <w:rsid w:val="6C1E01B7"/>
    <w:rsid w:val="6C201471"/>
    <w:rsid w:val="6C3141DD"/>
    <w:rsid w:val="6C343DCD"/>
    <w:rsid w:val="6C471C56"/>
    <w:rsid w:val="6C4F008B"/>
    <w:rsid w:val="6CC60DF5"/>
    <w:rsid w:val="6CC651D6"/>
    <w:rsid w:val="6CD678BC"/>
    <w:rsid w:val="6D0824D6"/>
    <w:rsid w:val="6D147380"/>
    <w:rsid w:val="6D1F24D9"/>
    <w:rsid w:val="6D200909"/>
    <w:rsid w:val="6D271045"/>
    <w:rsid w:val="6D2F0736"/>
    <w:rsid w:val="6D40103C"/>
    <w:rsid w:val="6D450C20"/>
    <w:rsid w:val="6D577685"/>
    <w:rsid w:val="6D6560B4"/>
    <w:rsid w:val="6D6F01C3"/>
    <w:rsid w:val="6D7060F8"/>
    <w:rsid w:val="6D80454D"/>
    <w:rsid w:val="6D9100E4"/>
    <w:rsid w:val="6D9953D6"/>
    <w:rsid w:val="6DA76A04"/>
    <w:rsid w:val="6DC84064"/>
    <w:rsid w:val="6DDA3464"/>
    <w:rsid w:val="6DDC0F86"/>
    <w:rsid w:val="6DEC4385"/>
    <w:rsid w:val="6DFB4844"/>
    <w:rsid w:val="6E033A1D"/>
    <w:rsid w:val="6E0C201B"/>
    <w:rsid w:val="6E12292A"/>
    <w:rsid w:val="6E141CB7"/>
    <w:rsid w:val="6E3D79CF"/>
    <w:rsid w:val="6E686399"/>
    <w:rsid w:val="6E6B531E"/>
    <w:rsid w:val="6E72322D"/>
    <w:rsid w:val="6E7253FD"/>
    <w:rsid w:val="6E9F6829"/>
    <w:rsid w:val="6EB77634"/>
    <w:rsid w:val="6EBB7993"/>
    <w:rsid w:val="6EC72E17"/>
    <w:rsid w:val="6EC74C93"/>
    <w:rsid w:val="6ED15734"/>
    <w:rsid w:val="6EEB3649"/>
    <w:rsid w:val="6EF57F49"/>
    <w:rsid w:val="6EF740BC"/>
    <w:rsid w:val="6F181253"/>
    <w:rsid w:val="6F374A58"/>
    <w:rsid w:val="6F5F710B"/>
    <w:rsid w:val="6F622FF6"/>
    <w:rsid w:val="6F667A5B"/>
    <w:rsid w:val="6F6915CE"/>
    <w:rsid w:val="6F6C5B0A"/>
    <w:rsid w:val="6F7103F2"/>
    <w:rsid w:val="6F72480F"/>
    <w:rsid w:val="6F76559C"/>
    <w:rsid w:val="6F884489"/>
    <w:rsid w:val="6FEE2791"/>
    <w:rsid w:val="6FF80821"/>
    <w:rsid w:val="7000644C"/>
    <w:rsid w:val="70244C09"/>
    <w:rsid w:val="70390E52"/>
    <w:rsid w:val="70460702"/>
    <w:rsid w:val="7046243E"/>
    <w:rsid w:val="70467501"/>
    <w:rsid w:val="708804CA"/>
    <w:rsid w:val="70931E39"/>
    <w:rsid w:val="70B1482E"/>
    <w:rsid w:val="70B56664"/>
    <w:rsid w:val="70BF1744"/>
    <w:rsid w:val="70F729E3"/>
    <w:rsid w:val="70F753E0"/>
    <w:rsid w:val="70FE5BF1"/>
    <w:rsid w:val="7103304E"/>
    <w:rsid w:val="71044620"/>
    <w:rsid w:val="71060B66"/>
    <w:rsid w:val="7110722A"/>
    <w:rsid w:val="71170074"/>
    <w:rsid w:val="711D761F"/>
    <w:rsid w:val="71243C7B"/>
    <w:rsid w:val="71625BD8"/>
    <w:rsid w:val="7193616F"/>
    <w:rsid w:val="71CA1CD2"/>
    <w:rsid w:val="71CB46B5"/>
    <w:rsid w:val="71CE2F92"/>
    <w:rsid w:val="71DE3ABC"/>
    <w:rsid w:val="71F5116D"/>
    <w:rsid w:val="72226384"/>
    <w:rsid w:val="7229425A"/>
    <w:rsid w:val="723917E0"/>
    <w:rsid w:val="72531AFE"/>
    <w:rsid w:val="725A61A5"/>
    <w:rsid w:val="725B5B2D"/>
    <w:rsid w:val="72633EF2"/>
    <w:rsid w:val="726678C3"/>
    <w:rsid w:val="726B1034"/>
    <w:rsid w:val="72A42660"/>
    <w:rsid w:val="72D05631"/>
    <w:rsid w:val="72E44522"/>
    <w:rsid w:val="72E54C2F"/>
    <w:rsid w:val="72F13C64"/>
    <w:rsid w:val="730B7A45"/>
    <w:rsid w:val="731D39C3"/>
    <w:rsid w:val="7325438E"/>
    <w:rsid w:val="732F19FB"/>
    <w:rsid w:val="734A5B3F"/>
    <w:rsid w:val="735E77A2"/>
    <w:rsid w:val="736E1AD4"/>
    <w:rsid w:val="73702411"/>
    <w:rsid w:val="73B25DD6"/>
    <w:rsid w:val="73C94C4B"/>
    <w:rsid w:val="73D31E97"/>
    <w:rsid w:val="73E6752B"/>
    <w:rsid w:val="74031D59"/>
    <w:rsid w:val="74072745"/>
    <w:rsid w:val="740D2893"/>
    <w:rsid w:val="741936BD"/>
    <w:rsid w:val="7433126B"/>
    <w:rsid w:val="744F4B5D"/>
    <w:rsid w:val="74532D21"/>
    <w:rsid w:val="745A2B81"/>
    <w:rsid w:val="748C5038"/>
    <w:rsid w:val="74915DC9"/>
    <w:rsid w:val="74AB117B"/>
    <w:rsid w:val="74C41C9F"/>
    <w:rsid w:val="75016F6F"/>
    <w:rsid w:val="750B1B93"/>
    <w:rsid w:val="750E65A6"/>
    <w:rsid w:val="754729B1"/>
    <w:rsid w:val="754A2F4F"/>
    <w:rsid w:val="756740DB"/>
    <w:rsid w:val="75686D10"/>
    <w:rsid w:val="75A17E43"/>
    <w:rsid w:val="75A41A1D"/>
    <w:rsid w:val="75AB072C"/>
    <w:rsid w:val="75C904E7"/>
    <w:rsid w:val="75D11954"/>
    <w:rsid w:val="75F77149"/>
    <w:rsid w:val="76266EFC"/>
    <w:rsid w:val="762A44DE"/>
    <w:rsid w:val="762E69C0"/>
    <w:rsid w:val="76470776"/>
    <w:rsid w:val="764C6BC5"/>
    <w:rsid w:val="768E0A9C"/>
    <w:rsid w:val="76A16892"/>
    <w:rsid w:val="76A74E38"/>
    <w:rsid w:val="76AD58E4"/>
    <w:rsid w:val="76AD5DC4"/>
    <w:rsid w:val="76CF057A"/>
    <w:rsid w:val="76D965F3"/>
    <w:rsid w:val="76DC036D"/>
    <w:rsid w:val="76E74A2C"/>
    <w:rsid w:val="76FF4C4F"/>
    <w:rsid w:val="771450B6"/>
    <w:rsid w:val="771E69E7"/>
    <w:rsid w:val="77230004"/>
    <w:rsid w:val="772925FF"/>
    <w:rsid w:val="773A7C2A"/>
    <w:rsid w:val="775727E8"/>
    <w:rsid w:val="775D6752"/>
    <w:rsid w:val="775F2CED"/>
    <w:rsid w:val="777457DF"/>
    <w:rsid w:val="7776075E"/>
    <w:rsid w:val="777E4E9B"/>
    <w:rsid w:val="778E0CF0"/>
    <w:rsid w:val="77A2383B"/>
    <w:rsid w:val="77BA5E68"/>
    <w:rsid w:val="77C13C58"/>
    <w:rsid w:val="77C6528F"/>
    <w:rsid w:val="77C82DBB"/>
    <w:rsid w:val="77D1522D"/>
    <w:rsid w:val="77DA64AE"/>
    <w:rsid w:val="77F51103"/>
    <w:rsid w:val="780C4BFA"/>
    <w:rsid w:val="781454DD"/>
    <w:rsid w:val="78173E13"/>
    <w:rsid w:val="781D68B9"/>
    <w:rsid w:val="78224F30"/>
    <w:rsid w:val="782B2278"/>
    <w:rsid w:val="7831073B"/>
    <w:rsid w:val="7837510E"/>
    <w:rsid w:val="784107AD"/>
    <w:rsid w:val="78661915"/>
    <w:rsid w:val="786F4AD9"/>
    <w:rsid w:val="78782603"/>
    <w:rsid w:val="7885113E"/>
    <w:rsid w:val="78AB19D7"/>
    <w:rsid w:val="78AF50F6"/>
    <w:rsid w:val="78C76F6A"/>
    <w:rsid w:val="78F00908"/>
    <w:rsid w:val="79081971"/>
    <w:rsid w:val="79260710"/>
    <w:rsid w:val="79341376"/>
    <w:rsid w:val="79502EA8"/>
    <w:rsid w:val="79723636"/>
    <w:rsid w:val="7990772F"/>
    <w:rsid w:val="7999677B"/>
    <w:rsid w:val="79AD361A"/>
    <w:rsid w:val="79D671EF"/>
    <w:rsid w:val="79E13CDF"/>
    <w:rsid w:val="79E352B6"/>
    <w:rsid w:val="79E3721B"/>
    <w:rsid w:val="79E37EEE"/>
    <w:rsid w:val="79E479E4"/>
    <w:rsid w:val="7A2046D7"/>
    <w:rsid w:val="7A35410F"/>
    <w:rsid w:val="7A36630D"/>
    <w:rsid w:val="7A385092"/>
    <w:rsid w:val="7A466E69"/>
    <w:rsid w:val="7A474029"/>
    <w:rsid w:val="7A5B72D1"/>
    <w:rsid w:val="7AB4477D"/>
    <w:rsid w:val="7ADD0F5C"/>
    <w:rsid w:val="7AEB11C4"/>
    <w:rsid w:val="7B022039"/>
    <w:rsid w:val="7B09518B"/>
    <w:rsid w:val="7B1C2AE9"/>
    <w:rsid w:val="7B3A48B6"/>
    <w:rsid w:val="7B4B1B25"/>
    <w:rsid w:val="7B5E7074"/>
    <w:rsid w:val="7BE65294"/>
    <w:rsid w:val="7BE8241A"/>
    <w:rsid w:val="7BEF1723"/>
    <w:rsid w:val="7C003F9F"/>
    <w:rsid w:val="7C3C5268"/>
    <w:rsid w:val="7C3E1F66"/>
    <w:rsid w:val="7C510CBB"/>
    <w:rsid w:val="7C621D9D"/>
    <w:rsid w:val="7C737541"/>
    <w:rsid w:val="7C9E184A"/>
    <w:rsid w:val="7CA26E06"/>
    <w:rsid w:val="7CE13C5D"/>
    <w:rsid w:val="7CF401DF"/>
    <w:rsid w:val="7CFC454A"/>
    <w:rsid w:val="7D1169AF"/>
    <w:rsid w:val="7D157918"/>
    <w:rsid w:val="7D1E68BA"/>
    <w:rsid w:val="7D1F2BE8"/>
    <w:rsid w:val="7D2A0B0E"/>
    <w:rsid w:val="7D38437C"/>
    <w:rsid w:val="7D6A689A"/>
    <w:rsid w:val="7D867CFE"/>
    <w:rsid w:val="7D8D35DF"/>
    <w:rsid w:val="7D925D0F"/>
    <w:rsid w:val="7DA02F22"/>
    <w:rsid w:val="7DAC28E7"/>
    <w:rsid w:val="7DB165C4"/>
    <w:rsid w:val="7DCB716E"/>
    <w:rsid w:val="7DE46134"/>
    <w:rsid w:val="7DF734B5"/>
    <w:rsid w:val="7E0B3DFB"/>
    <w:rsid w:val="7E1415A0"/>
    <w:rsid w:val="7E3A482F"/>
    <w:rsid w:val="7E430B4C"/>
    <w:rsid w:val="7E4401C9"/>
    <w:rsid w:val="7E667F69"/>
    <w:rsid w:val="7E6E17D2"/>
    <w:rsid w:val="7E7056FE"/>
    <w:rsid w:val="7E714BB8"/>
    <w:rsid w:val="7E8B299B"/>
    <w:rsid w:val="7EA80CDA"/>
    <w:rsid w:val="7EB23E77"/>
    <w:rsid w:val="7ECD3D3E"/>
    <w:rsid w:val="7EE35D92"/>
    <w:rsid w:val="7EFC6325"/>
    <w:rsid w:val="7F0E1F82"/>
    <w:rsid w:val="7F2713D6"/>
    <w:rsid w:val="7F2B4D9F"/>
    <w:rsid w:val="7F816D0A"/>
    <w:rsid w:val="7FB16B47"/>
    <w:rsid w:val="7FBB6B71"/>
    <w:rsid w:val="7FC527AC"/>
    <w:rsid w:val="7FF019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黑体"/>
      <w:sz w:val="34"/>
      <w:szCs w:val="22"/>
      <w:lang w:val="en-US" w:eastAsia="zh-CN" w:bidi="ar-SA"/>
    </w:rPr>
  </w:style>
  <w:style w:type="paragraph" w:styleId="4">
    <w:name w:val="heading 1"/>
    <w:basedOn w:val="1"/>
    <w:next w:val="1"/>
    <w:qFormat/>
    <w:uiPriority w:val="0"/>
    <w:pPr>
      <w:keepNext/>
      <w:keepLines/>
      <w:spacing w:before="340" w:after="330" w:line="578" w:lineRule="auto"/>
      <w:outlineLvl w:val="0"/>
    </w:pPr>
    <w:rPr>
      <w:rFonts w:ascii="Calibri" w:cs="Times New Roman"/>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cs="Times New Roman"/>
      <w:b/>
      <w:bCs/>
      <w:kern w:val="2"/>
      <w:sz w:val="32"/>
      <w:szCs w:val="32"/>
    </w:rPr>
  </w:style>
  <w:style w:type="paragraph" w:styleId="6">
    <w:name w:val="heading 3"/>
    <w:basedOn w:val="1"/>
    <w:next w:val="1"/>
    <w:qFormat/>
    <w:uiPriority w:val="0"/>
    <w:pPr>
      <w:keepNext/>
      <w:keepLines/>
      <w:spacing w:before="260" w:after="260" w:line="416" w:lineRule="auto"/>
      <w:outlineLvl w:val="2"/>
    </w:pPr>
    <w:rPr>
      <w:rFonts w:ascii="Calibri" w:cs="Times New Roman"/>
      <w:b/>
      <w:bCs/>
      <w:sz w:val="32"/>
      <w:szCs w:val="32"/>
    </w:rPr>
  </w:style>
  <w:style w:type="paragraph" w:styleId="7">
    <w:name w:val="heading 4"/>
    <w:basedOn w:val="1"/>
    <w:next w:val="1"/>
    <w:qFormat/>
    <w:uiPriority w:val="0"/>
    <w:pPr>
      <w:keepNext/>
      <w:keepLines/>
      <w:spacing w:line="360" w:lineRule="auto"/>
      <w:jc w:val="left"/>
      <w:outlineLvl w:val="3"/>
    </w:pPr>
    <w:rPr>
      <w:rFonts w:eastAsia="黑体"/>
      <w:bCs/>
      <w:sz w:val="24"/>
      <w:szCs w:val="28"/>
    </w:rPr>
  </w:style>
  <w:style w:type="paragraph" w:styleId="8">
    <w:name w:val="heading 5"/>
    <w:basedOn w:val="1"/>
    <w:next w:val="1"/>
    <w:qFormat/>
    <w:uiPriority w:val="1"/>
    <w:pPr>
      <w:ind w:left="760"/>
      <w:outlineLvl w:val="4"/>
    </w:pPr>
    <w:rPr>
      <w:rFonts w:ascii="黑体" w:hAnsi="黑体" w:eastAsia="黑体"/>
      <w:b/>
      <w:bCs/>
      <w:sz w:val="30"/>
      <w:szCs w:val="30"/>
      <w:lang w:val="zh-CN" w:bidi="zh-CN"/>
    </w:rPr>
  </w:style>
  <w:style w:type="character" w:default="1" w:styleId="39">
    <w:name w:val="Default Paragraph Font"/>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cs="Times New Roman"/>
      <w:b/>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9">
    <w:name w:val="toc 7"/>
    <w:basedOn w:val="1"/>
    <w:next w:val="1"/>
    <w:unhideWhenUsed/>
    <w:qFormat/>
    <w:uiPriority w:val="39"/>
    <w:pPr>
      <w:ind w:left="2520" w:leftChars="1200"/>
    </w:pPr>
    <w:rPr>
      <w:rFonts w:ascii="等线" w:hAnsi="等线" w:eastAsia="等线" w:cs="Times New Roman"/>
      <w:kern w:val="2"/>
      <w:sz w:val="21"/>
    </w:rPr>
  </w:style>
  <w:style w:type="paragraph" w:styleId="10">
    <w:name w:val="Normal Indent"/>
    <w:basedOn w:val="1"/>
    <w:link w:val="52"/>
    <w:qFormat/>
    <w:uiPriority w:val="0"/>
    <w:pPr>
      <w:ind w:firstLine="420" w:firstLineChars="200"/>
    </w:pPr>
    <w:rPr>
      <w:rFonts w:ascii="Times New Roman" w:cs="Times New Roman"/>
      <w:kern w:val="2"/>
      <w:sz w:val="21"/>
    </w:rPr>
  </w:style>
  <w:style w:type="paragraph" w:styleId="11">
    <w:name w:val="Document Map"/>
    <w:basedOn w:val="1"/>
    <w:link w:val="76"/>
    <w:semiHidden/>
    <w:unhideWhenUsed/>
    <w:qFormat/>
    <w:uiPriority w:val="99"/>
    <w:rPr>
      <w:sz w:val="18"/>
      <w:szCs w:val="18"/>
    </w:rPr>
  </w:style>
  <w:style w:type="paragraph" w:styleId="12">
    <w:name w:val="annotation text"/>
    <w:basedOn w:val="1"/>
    <w:link w:val="56"/>
    <w:qFormat/>
    <w:uiPriority w:val="0"/>
    <w:pPr>
      <w:jc w:val="left"/>
    </w:pPr>
    <w:rPr>
      <w:rFonts w:ascii="Calibri" w:cs="Times New Roman"/>
    </w:rPr>
  </w:style>
  <w:style w:type="paragraph" w:styleId="13">
    <w:name w:val="Salutation"/>
    <w:basedOn w:val="1"/>
    <w:next w:val="1"/>
    <w:qFormat/>
    <w:uiPriority w:val="0"/>
    <w:rPr>
      <w:rFonts w:ascii="Calibri" w:cs="Times New Roman"/>
    </w:rPr>
  </w:style>
  <w:style w:type="paragraph" w:styleId="14">
    <w:name w:val="Body Text"/>
    <w:basedOn w:val="1"/>
    <w:next w:val="1"/>
    <w:qFormat/>
    <w:uiPriority w:val="0"/>
    <w:pPr>
      <w:spacing w:after="120"/>
    </w:pPr>
    <w:rPr>
      <w:rFonts w:ascii="Times New Roman" w:cs="Times New Roman"/>
      <w:sz w:val="24"/>
      <w:szCs w:val="24"/>
    </w:rPr>
  </w:style>
  <w:style w:type="paragraph" w:styleId="15">
    <w:name w:val="Body Text Indent"/>
    <w:basedOn w:val="1"/>
    <w:qFormat/>
    <w:uiPriority w:val="0"/>
    <w:pPr>
      <w:ind w:firstLine="630"/>
    </w:pPr>
    <w:rPr>
      <w:rFonts w:ascii="Times New Roman" w:cs="Times New Roman"/>
      <w:kern w:val="2"/>
      <w:sz w:val="32"/>
    </w:rPr>
  </w:style>
  <w:style w:type="paragraph" w:styleId="16">
    <w:name w:val="toc 5"/>
    <w:basedOn w:val="1"/>
    <w:next w:val="1"/>
    <w:unhideWhenUsed/>
    <w:qFormat/>
    <w:uiPriority w:val="39"/>
    <w:pPr>
      <w:ind w:left="1680" w:leftChars="800"/>
    </w:pPr>
    <w:rPr>
      <w:rFonts w:ascii="等线" w:hAnsi="等线" w:eastAsia="等线" w:cs="Times New Roman"/>
      <w:kern w:val="2"/>
      <w:sz w:val="21"/>
    </w:rPr>
  </w:style>
  <w:style w:type="paragraph" w:styleId="17">
    <w:name w:val="toc 3"/>
    <w:basedOn w:val="1"/>
    <w:next w:val="1"/>
    <w:qFormat/>
    <w:uiPriority w:val="0"/>
    <w:pPr>
      <w:ind w:left="840" w:leftChars="400"/>
    </w:pPr>
    <w:rPr>
      <w:rFonts w:ascii="Calibri" w:cs="Times New Roman"/>
    </w:rPr>
  </w:style>
  <w:style w:type="paragraph" w:styleId="18">
    <w:name w:val="Plain Text"/>
    <w:basedOn w:val="1"/>
    <w:link w:val="57"/>
    <w:qFormat/>
    <w:uiPriority w:val="0"/>
    <w:rPr>
      <w:rFonts w:ascii="Calibri" w:hAnsi="Courier New" w:cs="Times New Roman"/>
      <w:kern w:val="2"/>
      <w:sz w:val="21"/>
    </w:rPr>
  </w:style>
  <w:style w:type="paragraph" w:styleId="19">
    <w:name w:val="toc 8"/>
    <w:basedOn w:val="1"/>
    <w:next w:val="1"/>
    <w:unhideWhenUsed/>
    <w:qFormat/>
    <w:uiPriority w:val="39"/>
    <w:pPr>
      <w:ind w:left="2940" w:leftChars="1400"/>
    </w:pPr>
    <w:rPr>
      <w:rFonts w:ascii="等线" w:hAnsi="等线" w:eastAsia="等线" w:cs="Times New Roman"/>
      <w:kern w:val="2"/>
      <w:sz w:val="21"/>
    </w:rPr>
  </w:style>
  <w:style w:type="paragraph" w:styleId="20">
    <w:name w:val="Body Text Indent 2"/>
    <w:basedOn w:val="1"/>
    <w:qFormat/>
    <w:uiPriority w:val="0"/>
    <w:pPr>
      <w:spacing w:after="120" w:line="480" w:lineRule="auto"/>
      <w:ind w:left="420" w:leftChars="200"/>
    </w:pPr>
    <w:rPr>
      <w:rFonts w:ascii="Calibri" w:cs="Times New Roman"/>
    </w:rPr>
  </w:style>
  <w:style w:type="paragraph" w:styleId="21">
    <w:name w:val="Balloon Text"/>
    <w:basedOn w:val="1"/>
    <w:link w:val="58"/>
    <w:qFormat/>
    <w:uiPriority w:val="0"/>
    <w:rPr>
      <w:rFonts w:ascii="Calibri" w:cs="Times New Roman"/>
      <w:sz w:val="18"/>
      <w:szCs w:val="18"/>
    </w:rPr>
  </w:style>
  <w:style w:type="paragraph" w:styleId="22">
    <w:name w:val="footer"/>
    <w:basedOn w:val="1"/>
    <w:qFormat/>
    <w:uiPriority w:val="0"/>
    <w:pPr>
      <w:tabs>
        <w:tab w:val="center" w:pos="4153"/>
        <w:tab w:val="right" w:pos="8306"/>
      </w:tabs>
      <w:snapToGrid w:val="0"/>
      <w:jc w:val="left"/>
    </w:pPr>
    <w:rPr>
      <w:rFonts w:ascii="Calibri" w:cs="Times New Roman"/>
      <w:sz w:val="18"/>
      <w:szCs w:val="20"/>
    </w:rPr>
  </w:style>
  <w:style w:type="paragraph" w:styleId="23">
    <w:name w:val="header"/>
    <w:basedOn w:val="1"/>
    <w:qFormat/>
    <w:uiPriority w:val="0"/>
    <w:pPr>
      <w:pBdr>
        <w:bottom w:val="single" w:color="auto" w:sz="6" w:space="1"/>
      </w:pBdr>
      <w:tabs>
        <w:tab w:val="center" w:pos="4153"/>
        <w:tab w:val="right" w:pos="8306"/>
      </w:tabs>
      <w:snapToGrid w:val="0"/>
      <w:jc w:val="center"/>
    </w:pPr>
    <w:rPr>
      <w:rFonts w:ascii="Calibri" w:cs="Times New Roman"/>
      <w:sz w:val="18"/>
      <w:szCs w:val="20"/>
    </w:rPr>
  </w:style>
  <w:style w:type="paragraph" w:styleId="24">
    <w:name w:val="toc 1"/>
    <w:basedOn w:val="1"/>
    <w:next w:val="1"/>
    <w:qFormat/>
    <w:uiPriority w:val="0"/>
    <w:rPr>
      <w:rFonts w:ascii="Calibri" w:cs="Times New Roman"/>
    </w:rPr>
  </w:style>
  <w:style w:type="paragraph" w:styleId="25">
    <w:name w:val="toc 4"/>
    <w:basedOn w:val="1"/>
    <w:next w:val="1"/>
    <w:unhideWhenUsed/>
    <w:qFormat/>
    <w:uiPriority w:val="39"/>
    <w:pPr>
      <w:ind w:left="1260" w:leftChars="600"/>
    </w:pPr>
    <w:rPr>
      <w:rFonts w:ascii="等线" w:hAnsi="等线" w:eastAsia="等线" w:cs="Times New Roman"/>
      <w:kern w:val="2"/>
      <w:sz w:val="21"/>
    </w:rPr>
  </w:style>
  <w:style w:type="paragraph" w:styleId="26">
    <w:name w:val="Subtitle"/>
    <w:basedOn w:val="1"/>
    <w:next w:val="1"/>
    <w:qFormat/>
    <w:uiPriority w:val="0"/>
    <w:pPr>
      <w:spacing w:before="240" w:after="60" w:line="312" w:lineRule="auto"/>
      <w:jc w:val="center"/>
      <w:outlineLvl w:val="1"/>
    </w:pPr>
    <w:rPr>
      <w:rFonts w:ascii="Arial" w:hAnsi="Arial"/>
      <w:bCs/>
      <w:kern w:val="28"/>
    </w:rPr>
  </w:style>
  <w:style w:type="paragraph" w:styleId="27">
    <w:name w:val="toc 6"/>
    <w:basedOn w:val="1"/>
    <w:next w:val="1"/>
    <w:unhideWhenUsed/>
    <w:qFormat/>
    <w:uiPriority w:val="39"/>
    <w:pPr>
      <w:ind w:left="2100" w:leftChars="1000"/>
    </w:pPr>
    <w:rPr>
      <w:rFonts w:ascii="等线" w:hAnsi="等线" w:eastAsia="等线" w:cs="Times New Roman"/>
      <w:kern w:val="2"/>
      <w:sz w:val="21"/>
    </w:rPr>
  </w:style>
  <w:style w:type="paragraph" w:styleId="28">
    <w:name w:val="toc 2"/>
    <w:basedOn w:val="1"/>
    <w:next w:val="1"/>
    <w:qFormat/>
    <w:uiPriority w:val="0"/>
    <w:pPr>
      <w:ind w:left="420" w:leftChars="200"/>
    </w:pPr>
    <w:rPr>
      <w:rFonts w:ascii="Calibri" w:cs="Times New Roman"/>
    </w:rPr>
  </w:style>
  <w:style w:type="paragraph" w:styleId="29">
    <w:name w:val="toc 9"/>
    <w:basedOn w:val="1"/>
    <w:next w:val="1"/>
    <w:unhideWhenUsed/>
    <w:qFormat/>
    <w:uiPriority w:val="39"/>
    <w:pPr>
      <w:ind w:left="3360" w:leftChars="1600"/>
    </w:pPr>
    <w:rPr>
      <w:rFonts w:ascii="等线" w:hAnsi="等线" w:eastAsia="等线" w:cs="Times New Roman"/>
      <w:kern w:val="2"/>
      <w:sz w:val="21"/>
    </w:rPr>
  </w:style>
  <w:style w:type="paragraph" w:styleId="30">
    <w:name w:val="Body Text 2"/>
    <w:next w:val="31"/>
    <w:unhideWhenUsed/>
    <w:qFormat/>
    <w:uiPriority w:val="99"/>
    <w:pPr>
      <w:widowControl w:val="0"/>
      <w:spacing w:line="440" w:lineRule="exact"/>
    </w:pPr>
    <w:rPr>
      <w:rFonts w:ascii="Times New Roman" w:hAnsi="Times New Roman" w:eastAsia="宋体" w:cs="Times New Roman"/>
      <w:kern w:val="2"/>
      <w:sz w:val="24"/>
      <w:szCs w:val="22"/>
      <w:lang w:val="en-US" w:eastAsia="zh-CN" w:bidi="ar-SA"/>
    </w:rPr>
  </w:style>
  <w:style w:type="paragraph" w:customStyle="1" w:styleId="31">
    <w:name w:val="0正文"/>
    <w:link w:val="81"/>
    <w:qFormat/>
    <w:uiPriority w:val="0"/>
    <w:pPr>
      <w:spacing w:line="440" w:lineRule="exact"/>
      <w:ind w:firstLine="480" w:firstLineChars="200"/>
      <w:jc w:val="both"/>
    </w:pPr>
    <w:rPr>
      <w:rFonts w:ascii="Times New Roman" w:hAnsi="Times New Roman" w:eastAsia="宋体" w:cs="Times New Roman"/>
      <w:kern w:val="2"/>
      <w:sz w:val="24"/>
      <w:szCs w:val="24"/>
      <w:lang w:val="en-US" w:eastAsia="zh-CN" w:bidi="ar-SA"/>
    </w:rPr>
  </w:style>
  <w:style w:type="paragraph" w:styleId="3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仿宋_GB2312"/>
      <w:sz w:val="20"/>
      <w:szCs w:val="20"/>
    </w:rPr>
  </w:style>
  <w:style w:type="paragraph" w:styleId="33">
    <w:name w:val="Normal (Web)"/>
    <w:basedOn w:val="1"/>
    <w:qFormat/>
    <w:uiPriority w:val="0"/>
    <w:pPr>
      <w:widowControl/>
      <w:spacing w:before="100" w:beforeAutospacing="1" w:after="100" w:afterAutospacing="1"/>
      <w:jc w:val="left"/>
    </w:pPr>
    <w:rPr>
      <w:rFonts w:hAnsi="宋体" w:cs="Times New Roman"/>
      <w:sz w:val="18"/>
      <w:szCs w:val="18"/>
    </w:rPr>
  </w:style>
  <w:style w:type="paragraph" w:styleId="34">
    <w:name w:val="annotation subject"/>
    <w:basedOn w:val="12"/>
    <w:next w:val="12"/>
    <w:link w:val="49"/>
    <w:qFormat/>
    <w:uiPriority w:val="0"/>
    <w:rPr>
      <w:b/>
      <w:bCs/>
    </w:rPr>
  </w:style>
  <w:style w:type="paragraph" w:styleId="35">
    <w:name w:val="Body Text First Indent"/>
    <w:basedOn w:val="14"/>
    <w:qFormat/>
    <w:uiPriority w:val="0"/>
    <w:pPr>
      <w:ind w:firstLine="420" w:firstLineChars="100"/>
    </w:pPr>
    <w:rPr>
      <w:rFonts w:hAnsi="Times New Roman"/>
      <w:szCs w:val="21"/>
    </w:rPr>
  </w:style>
  <w:style w:type="paragraph" w:styleId="36">
    <w:name w:val="Body Text First Indent 2"/>
    <w:basedOn w:val="15"/>
    <w:qFormat/>
    <w:uiPriority w:val="0"/>
    <w:pPr>
      <w:ind w:firstLine="420" w:firstLineChars="200"/>
    </w:pPr>
    <w:rPr>
      <w:rFonts w:ascii="Calibri"/>
      <w:szCs w:val="24"/>
    </w:rPr>
  </w:style>
  <w:style w:type="table" w:styleId="38">
    <w:name w:val="Table Grid"/>
    <w:basedOn w:val="3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rFonts w:ascii="Calibri" w:hAnsi="Calibri" w:eastAsia="宋体" w:cs="Times New Roman"/>
      <w:b/>
    </w:rPr>
  </w:style>
  <w:style w:type="character" w:styleId="41">
    <w:name w:val="FollowedHyperlink"/>
    <w:qFormat/>
    <w:uiPriority w:val="0"/>
    <w:rPr>
      <w:rFonts w:ascii="Calibri" w:hAnsi="Calibri" w:eastAsia="宋体" w:cs="Times New Roman"/>
      <w:color w:val="333333"/>
      <w:u w:val="none"/>
    </w:rPr>
  </w:style>
  <w:style w:type="character" w:styleId="42">
    <w:name w:val="Emphasis"/>
    <w:qFormat/>
    <w:uiPriority w:val="0"/>
    <w:rPr>
      <w:rFonts w:ascii="Calibri" w:hAnsi="Calibri" w:eastAsia="宋体" w:cs="Times New Roman"/>
    </w:rPr>
  </w:style>
  <w:style w:type="character" w:styleId="43">
    <w:name w:val="HTML Definition"/>
    <w:qFormat/>
    <w:uiPriority w:val="0"/>
    <w:rPr>
      <w:rFonts w:ascii="Calibri" w:hAnsi="Calibri" w:eastAsia="宋体" w:cs="Times New Roman"/>
    </w:rPr>
  </w:style>
  <w:style w:type="character" w:styleId="44">
    <w:name w:val="HTML Variable"/>
    <w:qFormat/>
    <w:uiPriority w:val="0"/>
    <w:rPr>
      <w:rFonts w:ascii="Calibri" w:hAnsi="Calibri" w:eastAsia="宋体" w:cs="Times New Roman"/>
      <w:shd w:val="clear" w:color="auto" w:fill="FFFFFF"/>
    </w:rPr>
  </w:style>
  <w:style w:type="character" w:styleId="45">
    <w:name w:val="Hyperlink"/>
    <w:basedOn w:val="39"/>
    <w:qFormat/>
    <w:uiPriority w:val="0"/>
    <w:rPr>
      <w:rFonts w:ascii="Calibri" w:hAnsi="Calibri" w:eastAsia="宋体" w:cs="Times New Roman"/>
      <w:color w:val="333333"/>
      <w:u w:val="none"/>
    </w:rPr>
  </w:style>
  <w:style w:type="character" w:styleId="46">
    <w:name w:val="HTML Code"/>
    <w:qFormat/>
    <w:uiPriority w:val="0"/>
    <w:rPr>
      <w:rFonts w:ascii="Courier New" w:hAnsi="Courier New" w:eastAsia="宋体" w:cs="Times New Roman"/>
      <w:sz w:val="20"/>
    </w:rPr>
  </w:style>
  <w:style w:type="character" w:styleId="47">
    <w:name w:val="annotation reference"/>
    <w:qFormat/>
    <w:uiPriority w:val="0"/>
    <w:rPr>
      <w:rFonts w:ascii="Calibri" w:hAnsi="Calibri" w:eastAsia="宋体" w:cs="Times New Roman"/>
      <w:sz w:val="21"/>
      <w:szCs w:val="21"/>
    </w:rPr>
  </w:style>
  <w:style w:type="character" w:styleId="48">
    <w:name w:val="HTML Cite"/>
    <w:qFormat/>
    <w:uiPriority w:val="0"/>
    <w:rPr>
      <w:rFonts w:ascii="Calibri" w:hAnsi="Calibri" w:eastAsia="宋体" w:cs="Times New Roman"/>
    </w:rPr>
  </w:style>
  <w:style w:type="character" w:customStyle="1" w:styleId="49">
    <w:name w:val="批注主题 字符"/>
    <w:link w:val="34"/>
    <w:qFormat/>
    <w:uiPriority w:val="0"/>
    <w:rPr>
      <w:b/>
      <w:bCs/>
      <w:sz w:val="34"/>
      <w:szCs w:val="22"/>
    </w:rPr>
  </w:style>
  <w:style w:type="character" w:customStyle="1" w:styleId="50">
    <w:name w:val="font01"/>
    <w:qFormat/>
    <w:uiPriority w:val="0"/>
    <w:rPr>
      <w:rFonts w:ascii="Calibri" w:hAnsi="Calibri" w:eastAsia="宋体" w:cs="Calibri"/>
      <w:color w:val="000000"/>
      <w:sz w:val="21"/>
      <w:szCs w:val="21"/>
      <w:u w:val="none"/>
    </w:rPr>
  </w:style>
  <w:style w:type="character" w:customStyle="1" w:styleId="51">
    <w:name w:val="modifier"/>
    <w:qFormat/>
    <w:uiPriority w:val="0"/>
    <w:rPr>
      <w:rFonts w:ascii="Calibri" w:hAnsi="Calibri" w:eastAsia="宋体" w:cs="Times New Roman"/>
      <w:color w:val="FF0000"/>
    </w:rPr>
  </w:style>
  <w:style w:type="character" w:customStyle="1" w:styleId="52">
    <w:name w:val="正文缩进 字符"/>
    <w:link w:val="10"/>
    <w:qFormat/>
    <w:uiPriority w:val="0"/>
    <w:rPr>
      <w:rFonts w:ascii="Times New Roman"/>
      <w:kern w:val="2"/>
      <w:sz w:val="21"/>
      <w:szCs w:val="22"/>
    </w:rPr>
  </w:style>
  <w:style w:type="character" w:customStyle="1" w:styleId="53">
    <w:name w:val="font21"/>
    <w:qFormat/>
    <w:uiPriority w:val="0"/>
    <w:rPr>
      <w:rFonts w:hint="eastAsia" w:ascii="宋体" w:hAnsi="宋体" w:eastAsia="宋体" w:cs="宋体"/>
      <w:color w:val="000000"/>
      <w:sz w:val="21"/>
      <w:szCs w:val="21"/>
      <w:u w:val="none"/>
    </w:rPr>
  </w:style>
  <w:style w:type="character" w:customStyle="1" w:styleId="54">
    <w:name w:val="font11"/>
    <w:qFormat/>
    <w:uiPriority w:val="0"/>
    <w:rPr>
      <w:rFonts w:hint="eastAsia" w:ascii="宋体" w:hAnsi="宋体" w:eastAsia="宋体" w:cs="宋体"/>
      <w:color w:val="FF0000"/>
      <w:sz w:val="22"/>
      <w:szCs w:val="22"/>
      <w:u w:val="none"/>
    </w:rPr>
  </w:style>
  <w:style w:type="character" w:customStyle="1" w:styleId="55">
    <w:name w:val="img1"/>
    <w:qFormat/>
    <w:uiPriority w:val="0"/>
    <w:rPr>
      <w:rFonts w:ascii="Calibri" w:hAnsi="Calibri" w:eastAsia="宋体" w:cs="Times New Roman"/>
    </w:rPr>
  </w:style>
  <w:style w:type="character" w:customStyle="1" w:styleId="56">
    <w:name w:val="批注文字 字符"/>
    <w:link w:val="12"/>
    <w:qFormat/>
    <w:uiPriority w:val="0"/>
    <w:rPr>
      <w:sz w:val="34"/>
      <w:szCs w:val="22"/>
    </w:rPr>
  </w:style>
  <w:style w:type="character" w:customStyle="1" w:styleId="57">
    <w:name w:val="纯文本 字符"/>
    <w:link w:val="18"/>
    <w:qFormat/>
    <w:uiPriority w:val="0"/>
    <w:rPr>
      <w:rFonts w:hAnsi="Courier New"/>
      <w:kern w:val="2"/>
      <w:sz w:val="21"/>
      <w:szCs w:val="22"/>
    </w:rPr>
  </w:style>
  <w:style w:type="character" w:customStyle="1" w:styleId="58">
    <w:name w:val="批注框文本 字符"/>
    <w:link w:val="21"/>
    <w:qFormat/>
    <w:uiPriority w:val="0"/>
    <w:rPr>
      <w:sz w:val="18"/>
      <w:szCs w:val="18"/>
    </w:rPr>
  </w:style>
  <w:style w:type="character" w:customStyle="1" w:styleId="59">
    <w:name w:val="label"/>
    <w:qFormat/>
    <w:uiPriority w:val="0"/>
    <w:rPr>
      <w:rFonts w:ascii="Calibri" w:hAnsi="Calibri" w:eastAsia="宋体" w:cs="Times New Roman"/>
      <w:color w:val="555555"/>
    </w:rPr>
  </w:style>
  <w:style w:type="character" w:customStyle="1" w:styleId="60">
    <w:name w:val="img"/>
    <w:qFormat/>
    <w:uiPriority w:val="0"/>
    <w:rPr>
      <w:rFonts w:ascii="Calibri" w:hAnsi="Calibri" w:eastAsia="宋体" w:cs="Times New Roman"/>
    </w:rPr>
  </w:style>
  <w:style w:type="character" w:customStyle="1" w:styleId="61">
    <w:name w:val="未处理的提及1"/>
    <w:unhideWhenUsed/>
    <w:qFormat/>
    <w:uiPriority w:val="99"/>
    <w:rPr>
      <w:rFonts w:ascii="Calibri" w:hAnsi="Calibri" w:eastAsia="宋体" w:cs="Times New Roman"/>
      <w:color w:val="605E5C"/>
      <w:shd w:val="clear" w:color="auto" w:fill="E1DFDD"/>
    </w:rPr>
  </w:style>
  <w:style w:type="paragraph" w:customStyle="1" w:styleId="62">
    <w:name w:val="正文首行缩进两字符"/>
    <w:basedOn w:val="1"/>
    <w:qFormat/>
    <w:uiPriority w:val="0"/>
    <w:pPr>
      <w:spacing w:line="360" w:lineRule="auto"/>
      <w:ind w:firstLine="200" w:firstLineChars="200"/>
    </w:pPr>
    <w:rPr>
      <w:rFonts w:ascii="Times New Roman" w:cs="Times New Roman"/>
      <w:kern w:val="2"/>
      <w:sz w:val="21"/>
      <w:szCs w:val="24"/>
    </w:rPr>
  </w:style>
  <w:style w:type="paragraph" w:customStyle="1" w:styleId="6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4">
    <w:name w:val="表格"/>
    <w:basedOn w:val="1"/>
    <w:qFormat/>
    <w:uiPriority w:val="0"/>
    <w:pPr>
      <w:spacing w:line="400" w:lineRule="exact"/>
    </w:pPr>
    <w:rPr>
      <w:rFonts w:ascii="Calibri" w:cs="Times New Roman"/>
      <w:sz w:val="24"/>
    </w:rPr>
  </w:style>
  <w:style w:type="paragraph" w:customStyle="1" w:styleId="65">
    <w:name w:val="样式 首行缩进:  2 字符"/>
    <w:basedOn w:val="1"/>
    <w:qFormat/>
    <w:uiPriority w:val="0"/>
    <w:pPr>
      <w:spacing w:line="400" w:lineRule="exact"/>
      <w:ind w:firstLine="200" w:firstLineChars="200"/>
    </w:pPr>
    <w:rPr>
      <w:rFonts w:ascii="Calibri" w:cs="宋体"/>
      <w:sz w:val="24"/>
    </w:rPr>
  </w:style>
  <w:style w:type="paragraph" w:customStyle="1" w:styleId="66">
    <w:name w:val="列出段落1"/>
    <w:basedOn w:val="1"/>
    <w:qFormat/>
    <w:uiPriority w:val="0"/>
    <w:pPr>
      <w:spacing w:line="360" w:lineRule="auto"/>
      <w:ind w:firstLine="420" w:firstLineChars="200"/>
    </w:pPr>
    <w:rPr>
      <w:rFonts w:ascii="Calibri"/>
    </w:rPr>
  </w:style>
  <w:style w:type="paragraph" w:customStyle="1" w:styleId="67">
    <w:name w:val="xl27"/>
    <w:basedOn w:val="1"/>
    <w:qFormat/>
    <w:uiPriority w:val="0"/>
    <w:pPr>
      <w:widowControl/>
      <w:pBdr>
        <w:left w:val="single" w:color="auto" w:sz="8" w:space="0"/>
        <w:bottom w:val="single" w:color="auto" w:sz="4" w:space="0"/>
        <w:right w:val="single" w:color="auto" w:sz="4" w:space="0"/>
      </w:pBdr>
      <w:spacing w:beforeAutospacing="1" w:afterAutospacing="1"/>
      <w:jc w:val="center"/>
      <w:textAlignment w:val="center"/>
    </w:pPr>
    <w:rPr>
      <w:rFonts w:hAnsi="宋体" w:cs="Times New Roman"/>
      <w:szCs w:val="21"/>
    </w:rPr>
  </w:style>
  <w:style w:type="paragraph" w:customStyle="1" w:styleId="68">
    <w:name w:val="_Style 2"/>
    <w:basedOn w:val="1"/>
    <w:qFormat/>
    <w:uiPriority w:val="34"/>
    <w:pPr>
      <w:ind w:firstLine="420" w:firstLineChars="200"/>
    </w:pPr>
    <w:rPr>
      <w:rFonts w:ascii="Calibri" w:cs="Times New Roman"/>
      <w:szCs w:val="24"/>
    </w:rPr>
  </w:style>
  <w:style w:type="paragraph" w:customStyle="1" w:styleId="69">
    <w:name w:val="Char Char Char Char"/>
    <w:basedOn w:val="1"/>
    <w:qFormat/>
    <w:uiPriority w:val="0"/>
    <w:pPr>
      <w:spacing w:line="360" w:lineRule="auto"/>
      <w:ind w:firstLine="540"/>
      <w:jc w:val="left"/>
    </w:pPr>
    <w:rPr>
      <w:rFonts w:hAnsi="宋体" w:cs="Times New Roman"/>
      <w:color w:val="000000"/>
      <w:sz w:val="24"/>
      <w:lang w:val="en-GB"/>
    </w:rPr>
  </w:style>
  <w:style w:type="paragraph" w:customStyle="1" w:styleId="70">
    <w:name w:val="修订1"/>
    <w:qFormat/>
    <w:uiPriority w:val="99"/>
    <w:rPr>
      <w:rFonts w:ascii="宋体" w:hAnsi="Calibri" w:eastAsia="宋体" w:cs="黑体"/>
      <w:sz w:val="34"/>
      <w:szCs w:val="22"/>
      <w:lang w:val="en-US" w:eastAsia="zh-CN" w:bidi="ar-SA"/>
    </w:rPr>
  </w:style>
  <w:style w:type="paragraph" w:customStyle="1" w:styleId="71">
    <w:name w:val="09正文_wh"/>
    <w:qFormat/>
    <w:uiPriority w:val="0"/>
    <w:pPr>
      <w:spacing w:line="300" w:lineRule="auto"/>
      <w:ind w:firstLine="200" w:firstLineChars="200"/>
      <w:jc w:val="both"/>
    </w:pPr>
    <w:rPr>
      <w:rFonts w:ascii="Calibri" w:hAnsi="Calibri" w:eastAsia="宋体" w:cs="Times New Roman"/>
      <w:kern w:val="2"/>
      <w:sz w:val="28"/>
      <w:szCs w:val="24"/>
      <w:lang w:val="en-US" w:eastAsia="zh-CN" w:bidi="ar-SA"/>
    </w:rPr>
  </w:style>
  <w:style w:type="paragraph" w:customStyle="1" w:styleId="72">
    <w:name w:val="列表段落1"/>
    <w:basedOn w:val="1"/>
    <w:qFormat/>
    <w:uiPriority w:val="34"/>
    <w:pPr>
      <w:ind w:firstLine="420" w:firstLineChars="200"/>
    </w:pPr>
    <w:rPr>
      <w:rFonts w:ascii="Calibri" w:cs="Times New Roman"/>
    </w:rPr>
  </w:style>
  <w:style w:type="paragraph" w:customStyle="1" w:styleId="7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74">
    <w:name w:val="_Style 1"/>
    <w:basedOn w:val="1"/>
    <w:qFormat/>
    <w:uiPriority w:val="0"/>
    <w:pPr>
      <w:ind w:firstLine="420" w:firstLineChars="200"/>
    </w:pPr>
    <w:rPr>
      <w:rFonts w:ascii="Calibri" w:cs="Times New Roman"/>
      <w:kern w:val="2"/>
      <w:sz w:val="21"/>
    </w:rPr>
  </w:style>
  <w:style w:type="paragraph" w:customStyle="1" w:styleId="75">
    <w:name w:val="p0"/>
    <w:basedOn w:val="1"/>
    <w:qFormat/>
    <w:uiPriority w:val="0"/>
    <w:pPr>
      <w:widowControl/>
    </w:pPr>
    <w:rPr>
      <w:rFonts w:ascii="Times New Roman" w:hAnsi="Times New Roman" w:eastAsia="方正仿宋" w:cs="Times New Roman"/>
      <w:sz w:val="32"/>
      <w:szCs w:val="21"/>
    </w:rPr>
  </w:style>
  <w:style w:type="character" w:customStyle="1" w:styleId="76">
    <w:name w:val="文档结构图 字符"/>
    <w:basedOn w:val="39"/>
    <w:link w:val="11"/>
    <w:semiHidden/>
    <w:qFormat/>
    <w:uiPriority w:val="99"/>
    <w:rPr>
      <w:rFonts w:ascii="宋体" w:hAnsi="Calibri" w:cs="黑体"/>
      <w:sz w:val="18"/>
      <w:szCs w:val="18"/>
    </w:rPr>
  </w:style>
  <w:style w:type="character" w:customStyle="1" w:styleId="77">
    <w:name w:val="apple-converted-space"/>
    <w:basedOn w:val="39"/>
    <w:qFormat/>
    <w:uiPriority w:val="0"/>
    <w:rPr>
      <w:rFonts w:ascii="Times New Roman" w:hAnsi="Times New Roman" w:eastAsia="宋体" w:cs="Times New Roman"/>
    </w:rPr>
  </w:style>
  <w:style w:type="paragraph" w:customStyle="1" w:styleId="78">
    <w:name w:val="表头图名"/>
    <w:next w:val="1"/>
    <w:qFormat/>
    <w:uiPriority w:val="0"/>
    <w:pPr>
      <w:widowControl w:val="0"/>
      <w:spacing w:line="440" w:lineRule="exact"/>
      <w:jc w:val="center"/>
    </w:pPr>
    <w:rPr>
      <w:rFonts w:ascii="Times New Roman" w:hAnsi="Times New Roman" w:eastAsia="黑体" w:cs="Times New Roman"/>
      <w:kern w:val="2"/>
      <w:sz w:val="21"/>
      <w:lang w:val="en-US" w:eastAsia="zh-CN" w:bidi="ar-SA"/>
    </w:rPr>
  </w:style>
  <w:style w:type="paragraph" w:customStyle="1" w:styleId="79">
    <w:name w:val="图片内容"/>
    <w:next w:val="31"/>
    <w:qFormat/>
    <w:uiPriority w:val="0"/>
    <w:pPr>
      <w:widowControl w:val="0"/>
      <w:jc w:val="center"/>
    </w:pPr>
    <w:rPr>
      <w:rFonts w:ascii="Times New Roman" w:hAnsi="Times New Roman" w:eastAsia="宋体" w:cs="Times New Roman"/>
      <w:kern w:val="2"/>
      <w:sz w:val="24"/>
      <w:szCs w:val="24"/>
      <w:lang w:val="en-US" w:eastAsia="zh-CN" w:bidi="ar-SA"/>
    </w:rPr>
  </w:style>
  <w:style w:type="paragraph" w:customStyle="1" w:styleId="80">
    <w:name w:val="表格内容"/>
    <w:qFormat/>
    <w:uiPriority w:val="0"/>
    <w:pPr>
      <w:spacing w:line="312" w:lineRule="exact"/>
      <w:jc w:val="center"/>
    </w:pPr>
    <w:rPr>
      <w:rFonts w:ascii="Times New Roman" w:hAnsi="Times New Roman" w:eastAsia="宋体" w:cs="Times New Roman"/>
      <w:kern w:val="2"/>
      <w:sz w:val="21"/>
      <w:szCs w:val="24"/>
      <w:lang w:val="en-US" w:eastAsia="zh-CN" w:bidi="ar-SA"/>
    </w:rPr>
  </w:style>
  <w:style w:type="character" w:customStyle="1" w:styleId="81">
    <w:name w:val="0正文 字符"/>
    <w:link w:val="31"/>
    <w:qFormat/>
    <w:uiPriority w:val="0"/>
    <w:rPr>
      <w:rFonts w:ascii="Times New Roman" w:hAnsi="Times New Roman" w:eastAsia="宋体" w:cs="Times New Roman"/>
      <w:kern w:val="2"/>
      <w:sz w:val="24"/>
      <w:szCs w:val="24"/>
      <w:lang w:val="en-US" w:eastAsia="zh-CN" w:bidi="ar-SA"/>
    </w:rPr>
  </w:style>
  <w:style w:type="paragraph" w:customStyle="1" w:styleId="82">
    <w:name w:val="正文文本2"/>
    <w:basedOn w:val="1"/>
    <w:unhideWhenUsed/>
    <w:qFormat/>
    <w:uiPriority w:val="99"/>
    <w:pPr>
      <w:shd w:val="clear" w:color="auto" w:fill="FFFFFF"/>
      <w:spacing w:line="240" w:lineRule="atLeast"/>
    </w:pPr>
    <w:rPr>
      <w:rFonts w:hint="eastAsia" w:ascii="黑体" w:hAnsi="黑体" w:eastAsia="黑体"/>
      <w:sz w:val="24"/>
    </w:rPr>
  </w:style>
  <w:style w:type="character" w:customStyle="1" w:styleId="83">
    <w:name w:val="图片标题1"/>
    <w:unhideWhenUsed/>
    <w:qFormat/>
    <w:uiPriority w:val="99"/>
    <w:rPr>
      <w:rFonts w:hint="eastAsia" w:ascii="黑体" w:hAnsi="黑体" w:eastAsia="黑体"/>
      <w:sz w:val="24"/>
    </w:rPr>
  </w:style>
  <w:style w:type="character" w:customStyle="1" w:styleId="84">
    <w:name w:val="font51"/>
    <w:basedOn w:val="39"/>
    <w:qFormat/>
    <w:uiPriority w:val="0"/>
    <w:rPr>
      <w:rFonts w:hint="default" w:ascii="Times New Roman" w:hAnsi="Times New Roman" w:cs="Times New Roman"/>
      <w:b/>
      <w:color w:val="000000"/>
      <w:sz w:val="21"/>
      <w:szCs w:val="21"/>
      <w:u w:val="none"/>
    </w:rPr>
  </w:style>
  <w:style w:type="character" w:customStyle="1" w:styleId="85">
    <w:name w:val="font41"/>
    <w:basedOn w:val="39"/>
    <w:qFormat/>
    <w:uiPriority w:val="0"/>
    <w:rPr>
      <w:rFonts w:hint="default" w:ascii="Times New Roman" w:hAnsi="Times New Roman" w:cs="Times New Roman"/>
      <w:color w:val="000000"/>
      <w:sz w:val="21"/>
      <w:szCs w:val="21"/>
      <w:u w:val="none"/>
    </w:rPr>
  </w:style>
  <w:style w:type="character" w:customStyle="1" w:styleId="86">
    <w:name w:val="font31"/>
    <w:basedOn w:val="39"/>
    <w:qFormat/>
    <w:uiPriority w:val="0"/>
    <w:rPr>
      <w:rFonts w:hint="eastAsia" w:ascii="宋体" w:hAnsi="宋体" w:eastAsia="宋体" w:cs="宋体"/>
      <w:color w:val="000000"/>
      <w:sz w:val="21"/>
      <w:szCs w:val="21"/>
      <w:u w:val="none"/>
    </w:rPr>
  </w:style>
  <w:style w:type="paragraph" w:customStyle="1" w:styleId="87">
    <w:name w:val="WPSOffice手动目录 1"/>
    <w:qFormat/>
    <w:uiPriority w:val="0"/>
    <w:rPr>
      <w:rFonts w:ascii="Times New Roman" w:hAnsi="Times New Roman" w:eastAsia="宋体" w:cs="Times New Roman"/>
      <w:lang w:val="en-US" w:eastAsia="zh-CN" w:bidi="ar-SA"/>
    </w:rPr>
  </w:style>
  <w:style w:type="paragraph" w:customStyle="1" w:styleId="88">
    <w:name w:val="4"/>
    <w:basedOn w:val="7"/>
    <w:qFormat/>
    <w:uiPriority w:val="0"/>
    <w:pPr>
      <w:spacing w:before="60" w:after="60" w:line="300" w:lineRule="auto"/>
    </w:pPr>
    <w:rPr>
      <w:szCs w:val="20"/>
    </w:rPr>
  </w:style>
  <w:style w:type="paragraph" w:customStyle="1" w:styleId="89">
    <w:name w:val="Table Paragraph"/>
    <w:basedOn w:val="1"/>
    <w:qFormat/>
    <w:uiPriority w:val="1"/>
    <w:rPr>
      <w:rFonts w:hAnsi="宋体" w:cs="宋体"/>
      <w:lang w:val="zh-CN" w:bidi="zh-CN"/>
    </w:rPr>
  </w:style>
  <w:style w:type="paragraph" w:customStyle="1" w:styleId="90">
    <w:name w:val="List Paragraph_a5a4f058-b5ff-46c0-886b-c512bdfe39fb"/>
    <w:basedOn w:val="1"/>
    <w:qFormat/>
    <w:uiPriority w:val="1"/>
    <w:pPr>
      <w:ind w:left="837" w:hanging="601"/>
    </w:pPr>
    <w:rPr>
      <w:rFonts w:hAnsi="宋体" w:cs="宋体"/>
      <w:lang w:val="zh-CN" w:bidi="zh-CN"/>
    </w:rPr>
  </w:style>
  <w:style w:type="paragraph" w:customStyle="1" w:styleId="91">
    <w:name w:val="表格内字体字号"/>
    <w:basedOn w:val="1"/>
    <w:qFormat/>
    <w:uiPriority w:val="0"/>
    <w:pPr>
      <w:topLinePunct/>
      <w:snapToGrid w:val="0"/>
      <w:spacing w:before="62" w:beforeLines="20" w:after="62" w:afterLines="20"/>
      <w:ind w:left="30" w:leftChars="30" w:right="30" w:rightChars="30"/>
      <w:jc w:val="center"/>
    </w:pPr>
    <w:rPr>
      <w:rFonts w:ascii="Times New Roman" w:hAnsi="Times New Roman"/>
      <w:sz w:val="18"/>
      <w:szCs w:val="20"/>
    </w:rPr>
  </w:style>
  <w:style w:type="character" w:customStyle="1" w:styleId="92">
    <w:name w:val="font81"/>
    <w:basedOn w:val="39"/>
    <w:qFormat/>
    <w:uiPriority w:val="0"/>
    <w:rPr>
      <w:rFonts w:ascii="Calibri" w:hAnsi="Calibri" w:cs="Calibri"/>
      <w:color w:val="333333"/>
      <w:sz w:val="20"/>
      <w:szCs w:val="20"/>
      <w:u w:val="none"/>
    </w:rPr>
  </w:style>
  <w:style w:type="character" w:customStyle="1" w:styleId="93">
    <w:name w:val="font91"/>
    <w:basedOn w:val="39"/>
    <w:qFormat/>
    <w:uiPriority w:val="0"/>
    <w:rPr>
      <w:rFonts w:hint="eastAsia" w:ascii="宋体" w:hAnsi="宋体" w:eastAsia="宋体" w:cs="宋体"/>
      <w:color w:val="333333"/>
      <w:sz w:val="20"/>
      <w:szCs w:val="20"/>
      <w:u w:val="none"/>
    </w:rPr>
  </w:style>
  <w:style w:type="character" w:customStyle="1" w:styleId="94">
    <w:name w:val="font101"/>
    <w:basedOn w:val="39"/>
    <w:qFormat/>
    <w:uiPriority w:val="0"/>
    <w:rPr>
      <w:rFonts w:hint="default" w:ascii="Calibri" w:hAnsi="Calibri" w:cs="Calibri"/>
      <w:color w:val="000000"/>
      <w:sz w:val="20"/>
      <w:szCs w:val="20"/>
      <w:u w:val="none"/>
    </w:rPr>
  </w:style>
  <w:style w:type="character" w:customStyle="1" w:styleId="95">
    <w:name w:val="font112"/>
    <w:basedOn w:val="39"/>
    <w:qFormat/>
    <w:uiPriority w:val="0"/>
    <w:rPr>
      <w:rFonts w:ascii="Arial" w:hAnsi="Arial" w:cs="Arial"/>
      <w:color w:val="000000"/>
      <w:sz w:val="20"/>
      <w:szCs w:val="20"/>
      <w:u w:val="none"/>
    </w:rPr>
  </w:style>
  <w:style w:type="character" w:customStyle="1" w:styleId="96">
    <w:name w:val="font71"/>
    <w:basedOn w:val="39"/>
    <w:qFormat/>
    <w:uiPriority w:val="0"/>
    <w:rPr>
      <w:rFonts w:hint="default" w:ascii="等线" w:hAnsi="等线" w:eastAsia="等线" w:cs="等线"/>
      <w:color w:val="000000"/>
      <w:sz w:val="20"/>
      <w:szCs w:val="20"/>
      <w:u w:val="none"/>
    </w:rPr>
  </w:style>
  <w:style w:type="paragraph" w:styleId="97">
    <w:name w:val="List Paragraph"/>
    <w:basedOn w:val="1"/>
    <w:qFormat/>
    <w:uiPriority w:val="34"/>
    <w:pPr>
      <w:ind w:firstLine="420" w:firstLineChars="200"/>
    </w:pPr>
    <w:rPr>
      <w:rFonts w:asciiTheme="minorHAnsi" w:hAnsiTheme="minorHAnsi" w:eastAsiaTheme="minorEastAsia" w:cstheme="minorBidi"/>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598282-1D4F-45EA-B1B4-60227128A12C}">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76</Pages>
  <Words>6837</Words>
  <Characters>38977</Characters>
  <Lines>324</Lines>
  <Paragraphs>91</Paragraphs>
  <TotalTime>4</TotalTime>
  <ScaleCrop>false</ScaleCrop>
  <LinksUpToDate>false</LinksUpToDate>
  <CharactersWithSpaces>45723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2021-09-29T02:55:00Z</dcterms:created>
  <dc:creator>teng</dc:creator>
  <cp:lastModifiedBy>Administrator</cp:lastModifiedBy>
  <cp:lastPrinted>2021-09-08T05:23:00Z</cp:lastPrinted>
  <dcterms:modified xsi:type="dcterms:W3CDTF">2021-10-11T02:47:45Z</dcterms:modified>
  <dc:title>项目编号：以四川政府采购网系统生成编号为准 </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76C743E7546F43D985428263E3A5FD76</vt:lpwstr>
  </property>
</Properties>
</file>