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afterLines="100" w:line="360" w:lineRule="auto"/>
        <w:jc w:val="center"/>
        <w:rPr>
          <w:rFonts w:hint="eastAsia" w:eastAsia="黑体"/>
          <w:b/>
          <w:bCs/>
          <w:snapToGrid w:val="0"/>
          <w:color w:val="auto"/>
          <w:spacing w:val="40"/>
          <w:sz w:val="44"/>
          <w:szCs w:val="44"/>
          <w:highlight w:val="none"/>
          <w:lang w:eastAsia="zh-CN"/>
        </w:rPr>
      </w:pPr>
      <w:r>
        <w:rPr>
          <w:rFonts w:hint="eastAsia" w:eastAsia="黑体"/>
          <w:b/>
          <w:bCs/>
          <w:snapToGrid w:val="0"/>
          <w:color w:val="auto"/>
          <w:spacing w:val="40"/>
          <w:sz w:val="44"/>
          <w:szCs w:val="44"/>
          <w:highlight w:val="none"/>
          <w:lang w:eastAsia="zh-CN"/>
        </w:rPr>
        <w:t>彭州市文物保护管理所</w:t>
      </w:r>
    </w:p>
    <w:p>
      <w:pPr>
        <w:snapToGrid w:val="0"/>
        <w:spacing w:beforeLines="100" w:afterLines="100" w:line="360" w:lineRule="auto"/>
        <w:jc w:val="center"/>
        <w:rPr>
          <w:rFonts w:hint="eastAsia" w:eastAsia="黑体"/>
          <w:b/>
          <w:bCs/>
          <w:snapToGrid w:val="0"/>
          <w:color w:val="auto"/>
          <w:spacing w:val="40"/>
          <w:sz w:val="44"/>
          <w:szCs w:val="44"/>
          <w:highlight w:val="none"/>
          <w:lang w:eastAsia="zh-CN"/>
        </w:rPr>
      </w:pPr>
      <w:r>
        <w:rPr>
          <w:rFonts w:hint="eastAsia" w:eastAsia="黑体"/>
          <w:b/>
          <w:bCs/>
          <w:snapToGrid w:val="0"/>
          <w:color w:val="auto"/>
          <w:spacing w:val="40"/>
          <w:sz w:val="44"/>
          <w:szCs w:val="44"/>
          <w:highlight w:val="none"/>
          <w:lang w:eastAsia="zh-CN"/>
        </w:rPr>
        <w:t>202</w:t>
      </w:r>
      <w:r>
        <w:rPr>
          <w:rFonts w:hint="eastAsia" w:eastAsia="黑体"/>
          <w:b/>
          <w:bCs/>
          <w:snapToGrid w:val="0"/>
          <w:color w:val="auto"/>
          <w:spacing w:val="40"/>
          <w:sz w:val="44"/>
          <w:szCs w:val="44"/>
          <w:highlight w:val="none"/>
          <w:lang w:val="en-US" w:eastAsia="zh-CN"/>
        </w:rPr>
        <w:t>1</w:t>
      </w:r>
      <w:r>
        <w:rPr>
          <w:rFonts w:hint="eastAsia" w:eastAsia="黑体"/>
          <w:b/>
          <w:bCs/>
          <w:snapToGrid w:val="0"/>
          <w:color w:val="auto"/>
          <w:spacing w:val="40"/>
          <w:sz w:val="44"/>
          <w:szCs w:val="44"/>
          <w:highlight w:val="none"/>
          <w:lang w:eastAsia="zh-CN"/>
        </w:rPr>
        <w:t>年1</w:t>
      </w:r>
      <w:r>
        <w:rPr>
          <w:rFonts w:hint="eastAsia" w:eastAsia="黑体"/>
          <w:b/>
          <w:bCs/>
          <w:snapToGrid w:val="0"/>
          <w:color w:val="auto"/>
          <w:spacing w:val="40"/>
          <w:sz w:val="44"/>
          <w:szCs w:val="44"/>
          <w:highlight w:val="none"/>
          <w:lang w:val="en-US" w:eastAsia="zh-CN"/>
        </w:rPr>
        <w:t>0</w:t>
      </w:r>
      <w:r>
        <w:rPr>
          <w:rFonts w:hint="eastAsia" w:eastAsia="黑体"/>
          <w:b/>
          <w:bCs/>
          <w:snapToGrid w:val="0"/>
          <w:color w:val="auto"/>
          <w:spacing w:val="40"/>
          <w:sz w:val="44"/>
          <w:szCs w:val="44"/>
          <w:highlight w:val="none"/>
          <w:lang w:eastAsia="zh-CN"/>
        </w:rPr>
        <w:t>-12月文物勘探劳务服务</w:t>
      </w:r>
    </w:p>
    <w:p>
      <w:pPr>
        <w:snapToGrid w:val="0"/>
        <w:spacing w:beforeLines="100" w:afterLines="100" w:line="360" w:lineRule="auto"/>
        <w:jc w:val="center"/>
        <w:rPr>
          <w:color w:val="auto"/>
          <w:highlight w:val="none"/>
        </w:rPr>
      </w:pPr>
      <w:r>
        <w:rPr>
          <w:rFonts w:hint="eastAsia" w:eastAsia="黑体"/>
          <w:b/>
          <w:bCs/>
          <w:snapToGrid w:val="0"/>
          <w:color w:val="auto"/>
          <w:spacing w:val="40"/>
          <w:sz w:val="44"/>
          <w:szCs w:val="44"/>
          <w:highlight w:val="none"/>
          <w:lang w:eastAsia="zh-CN"/>
        </w:rPr>
        <w:t>采购项目（第二次）</w:t>
      </w:r>
    </w:p>
    <w:p>
      <w:pPr>
        <w:snapToGrid w:val="0"/>
        <w:spacing w:beforeLines="100" w:afterLines="100" w:line="360" w:lineRule="auto"/>
        <w:jc w:val="center"/>
        <w:rPr>
          <w:color w:val="auto"/>
          <w:sz w:val="72"/>
          <w:szCs w:val="72"/>
          <w:highlight w:val="none"/>
        </w:rPr>
      </w:pPr>
      <w:r>
        <w:rPr>
          <w:rFonts w:hint="eastAsia" w:eastAsia="黑体"/>
          <w:b/>
          <w:bCs/>
          <w:snapToGrid w:val="0"/>
          <w:color w:val="auto"/>
          <w:spacing w:val="40"/>
          <w:sz w:val="72"/>
          <w:szCs w:val="72"/>
          <w:highlight w:val="none"/>
        </w:rPr>
        <w:t>竞争性磋商文件</w:t>
      </w:r>
    </w:p>
    <w:p>
      <w:pPr>
        <w:spacing w:line="360" w:lineRule="auto"/>
        <w:jc w:val="center"/>
        <w:rPr>
          <w:rFonts w:hint="default" w:ascii="黑体" w:hAnsi="宋体" w:eastAsia="黑体" w:cs="Times New Roman"/>
          <w:b/>
          <w:bCs/>
          <w:color w:val="auto"/>
          <w:sz w:val="24"/>
          <w:highlight w:val="none"/>
          <w:lang w:val="en-US" w:eastAsia="zh-CN"/>
        </w:rPr>
      </w:pPr>
      <w:r>
        <w:rPr>
          <w:rFonts w:hint="eastAsia" w:ascii="黑体" w:hAnsi="宋体" w:eastAsia="黑体" w:cs="Times New Roman"/>
          <w:b/>
          <w:bCs/>
          <w:color w:val="auto"/>
          <w:sz w:val="24"/>
          <w:highlight w:val="none"/>
          <w:lang w:eastAsia="zh-CN"/>
        </w:rPr>
        <w:t>项目编号</w:t>
      </w:r>
      <w:r>
        <w:rPr>
          <w:rFonts w:hint="eastAsia" w:ascii="黑体" w:hAnsi="宋体" w:eastAsia="黑体" w:cs="Times New Roman"/>
          <w:b/>
          <w:bCs/>
          <w:color w:val="auto"/>
          <w:sz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pStyle w:val="9"/>
        <w:rPr>
          <w:color w:val="auto"/>
          <w:highlight w:val="none"/>
        </w:rPr>
      </w:pPr>
    </w:p>
    <w:p>
      <w:pPr>
        <w:pStyle w:val="2"/>
        <w:spacing w:line="360" w:lineRule="auto"/>
        <w:rPr>
          <w:color w:val="auto"/>
          <w:highlight w:val="none"/>
        </w:rPr>
      </w:pPr>
    </w:p>
    <w:p>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52"/>
          <w:szCs w:val="52"/>
          <w:highlight w:val="none"/>
        </w:rPr>
        <w:drawing>
          <wp:inline distT="0" distB="0" distL="114300" distR="114300">
            <wp:extent cx="2144395" cy="2176145"/>
            <wp:effectExtent l="0" t="0" r="8255" b="14605"/>
            <wp:docPr id="7" name="图片 7" descr="23511216568525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5112165685255848"/>
                    <pic:cNvPicPr>
                      <a:picLocks noChangeAspect="1"/>
                    </pic:cNvPicPr>
                  </pic:nvPicPr>
                  <pic:blipFill>
                    <a:blip r:embed="rId18" cstate="print"/>
                    <a:stretch>
                      <a:fillRect/>
                    </a:stretch>
                  </pic:blipFill>
                  <pic:spPr>
                    <a:xfrm>
                      <a:off x="0" y="0"/>
                      <a:ext cx="2144395" cy="2176145"/>
                    </a:xfrm>
                    <a:prstGeom prst="rect">
                      <a:avLst/>
                    </a:prstGeom>
                  </pic:spPr>
                </pic:pic>
              </a:graphicData>
            </a:graphic>
          </wp:inline>
        </w:drawing>
      </w:r>
    </w:p>
    <w:p>
      <w:pPr>
        <w:rPr>
          <w:color w:val="auto"/>
          <w:highlight w:val="none"/>
        </w:rPr>
      </w:pPr>
    </w:p>
    <w:p>
      <w:pPr>
        <w:spacing w:line="360" w:lineRule="auto"/>
        <w:ind w:firstLine="3253" w:firstLineChars="900"/>
        <w:jc w:val="both"/>
        <w:rPr>
          <w:rFonts w:hint="eastAsia" w:asciiTheme="minorEastAsia" w:hAnsiTheme="minorEastAsia" w:cstheme="minorEastAsia"/>
          <w:color w:val="auto"/>
          <w:sz w:val="32"/>
          <w:szCs w:val="32"/>
          <w:highlight w:val="none"/>
        </w:rPr>
      </w:pPr>
      <w:r>
        <w:rPr>
          <w:rFonts w:hint="eastAsia" w:asciiTheme="minorEastAsia" w:hAnsiTheme="minorEastAsia" w:cstheme="minorEastAsia"/>
          <w:b/>
          <w:color w:val="auto"/>
          <w:sz w:val="36"/>
          <w:szCs w:val="36"/>
          <w:highlight w:val="none"/>
          <w:lang w:eastAsia="zh-CN"/>
        </w:rPr>
        <w:t>四川</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cstheme="minorEastAsia"/>
          <w:b/>
          <w:color w:val="auto"/>
          <w:sz w:val="36"/>
          <w:szCs w:val="36"/>
          <w:highlight w:val="none"/>
          <w:lang w:val="en-US" w:eastAsia="zh-CN"/>
        </w:rPr>
        <w:t>彭州市</w:t>
      </w:r>
    </w:p>
    <w:p>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t>采购人：彭州市文物保护管理所</w:t>
      </w:r>
    </w:p>
    <w:p>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t>采购代理机构：四川中科远洋工程项目管理有限公司</w:t>
      </w:r>
    </w:p>
    <w:p>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b/>
          <w:bCs/>
          <w:color w:val="auto"/>
          <w:sz w:val="32"/>
          <w:szCs w:val="32"/>
          <w:highlight w:val="none"/>
        </w:rPr>
        <w:t>共同编制</w:t>
      </w:r>
    </w:p>
    <w:p>
      <w:pPr>
        <w:spacing w:line="360" w:lineRule="auto"/>
        <w:jc w:val="center"/>
        <w:rPr>
          <w:rFonts w:asciiTheme="minorEastAsia" w:hAnsiTheme="minorEastAsia" w:cstheme="minorEastAsia"/>
          <w:b/>
          <w:color w:val="auto"/>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asciiTheme="minorEastAsia" w:hAnsiTheme="minorEastAsia" w:cstheme="minorEastAsia"/>
          <w:b/>
          <w:color w:val="auto"/>
          <w:kern w:val="0"/>
          <w:sz w:val="28"/>
          <w:szCs w:val="28"/>
          <w:highlight w:val="none"/>
        </w:rPr>
        <w:t>二零</w:t>
      </w:r>
      <w:r>
        <w:rPr>
          <w:rFonts w:hint="eastAsia" w:asciiTheme="minorEastAsia" w:hAnsiTheme="minorEastAsia" w:cstheme="minorEastAsia"/>
          <w:b/>
          <w:color w:val="auto"/>
          <w:kern w:val="0"/>
          <w:sz w:val="28"/>
          <w:szCs w:val="28"/>
          <w:highlight w:val="none"/>
          <w:lang w:eastAsia="zh-CN"/>
        </w:rPr>
        <w:t>二一</w:t>
      </w:r>
      <w:r>
        <w:rPr>
          <w:rFonts w:hint="eastAsia" w:asciiTheme="minorEastAsia" w:hAnsiTheme="minorEastAsia" w:cstheme="minorEastAsia"/>
          <w:b/>
          <w:color w:val="auto"/>
          <w:kern w:val="0"/>
          <w:sz w:val="28"/>
          <w:szCs w:val="28"/>
          <w:highlight w:val="none"/>
        </w:rPr>
        <w:t>年</w:t>
      </w:r>
      <w:r>
        <w:rPr>
          <w:rFonts w:hint="eastAsia" w:asciiTheme="minorEastAsia" w:hAnsiTheme="minorEastAsia" w:cstheme="minorEastAsia"/>
          <w:b/>
          <w:color w:val="auto"/>
          <w:kern w:val="0"/>
          <w:sz w:val="28"/>
          <w:szCs w:val="28"/>
          <w:highlight w:val="none"/>
          <w:lang w:val="en-US" w:eastAsia="zh-CN"/>
        </w:rPr>
        <w:t>十</w:t>
      </w:r>
      <w:r>
        <w:rPr>
          <w:rFonts w:hint="eastAsia" w:asciiTheme="minorEastAsia" w:hAnsiTheme="minorEastAsia" w:cstheme="minorEastAsia"/>
          <w:b/>
          <w:color w:val="auto"/>
          <w:kern w:val="0"/>
          <w:sz w:val="28"/>
          <w:szCs w:val="28"/>
          <w:highlight w:val="none"/>
        </w:rPr>
        <w:t>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233737"/>
          <w:bookmarkEnd w:id="0"/>
          <w:bookmarkStart w:id="1" w:name="_Hlt10184362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color w:val="auto"/>
                  <w:highlight w:val="none"/>
                </w:rPr>
              </w:pP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TOC \o "1-1" \h \u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第一章  竞争性磋商邀请</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第二章  供应商须知</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7</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第三章  响应文件格式</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30</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0"/>
                  <w:sz w:val="24"/>
                  <w:szCs w:val="24"/>
                  <w:highlight w:val="none"/>
                </w:rPr>
                <w:t xml:space="preserve">第四章 </w:t>
              </w:r>
              <w:r>
                <w:rPr>
                  <w:rFonts w:hint="eastAsia" w:asciiTheme="minorEastAsia" w:hAnsiTheme="minorEastAsia" w:cstheme="minorEastAsia"/>
                  <w:b/>
                  <w:bCs/>
                  <w:color w:val="auto"/>
                  <w:kern w:val="0"/>
                  <w:sz w:val="24"/>
                  <w:szCs w:val="24"/>
                  <w:highlight w:val="none"/>
                  <w:lang w:val="en-US" w:eastAsia="zh-CN"/>
                </w:rPr>
                <w:t xml:space="preserve"> </w:t>
              </w:r>
              <w:r>
                <w:rPr>
                  <w:rFonts w:hint="eastAsia" w:asciiTheme="minorEastAsia" w:hAnsiTheme="minorEastAsia" w:eastAsiaTheme="minorEastAsia" w:cstheme="minorEastAsia"/>
                  <w:b/>
                  <w:bCs/>
                  <w:color w:val="auto"/>
                  <w:kern w:val="0"/>
                  <w:sz w:val="24"/>
                  <w:szCs w:val="24"/>
                  <w:highlight w:val="none"/>
                </w:rPr>
                <w:t>供应商的资格、资质性及其他类似效力要求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63</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第五章  供应商应当提供的资格、资质性及其他类似效力要求的相关证明材料</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65</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2"/>
                  <w:sz w:val="24"/>
                  <w:szCs w:val="24"/>
                  <w:highlight w:val="none"/>
                </w:rPr>
                <w:t xml:space="preserve">第六章 </w:t>
              </w:r>
              <w:r>
                <w:rPr>
                  <w:rFonts w:hint="eastAsia" w:asciiTheme="minorEastAsia" w:hAnsiTheme="minorEastAsia" w:cstheme="minorEastAsia"/>
                  <w:b/>
                  <w:bCs/>
                  <w:color w:val="auto"/>
                  <w:kern w:val="2"/>
                  <w:sz w:val="24"/>
                  <w:szCs w:val="24"/>
                  <w:highlight w:val="none"/>
                  <w:lang w:val="en-US" w:eastAsia="zh-CN"/>
                </w:rPr>
                <w:t xml:space="preserve"> </w:t>
              </w:r>
              <w:r>
                <w:rPr>
                  <w:rFonts w:hint="eastAsia" w:asciiTheme="minorEastAsia" w:hAnsiTheme="minorEastAsia" w:eastAsiaTheme="minorEastAsia" w:cstheme="minorEastAsia"/>
                  <w:b/>
                  <w:bCs/>
                  <w:color w:val="auto"/>
                  <w:kern w:val="2"/>
                  <w:sz w:val="24"/>
                  <w:szCs w:val="24"/>
                  <w:highlight w:val="none"/>
                </w:rPr>
                <w:t>磋商项目及要求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67</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第七章  评审办法</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70</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第八章  政府采购项目</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83</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p>
    <w:p>
      <w:pPr>
        <w:pStyle w:val="3"/>
        <w:pageBreakBefore/>
        <w:spacing w:beforeLines="50" w:line="360" w:lineRule="auto"/>
        <w:jc w:val="center"/>
        <w:rPr>
          <w:rFonts w:ascii="宋体" w:hAnsi="宋体" w:cs="宋体"/>
          <w:color w:val="auto"/>
          <w:sz w:val="24"/>
          <w:highlight w:val="none"/>
        </w:rPr>
      </w:pPr>
      <w:bookmarkStart w:id="2" w:name="_Toc16345"/>
      <w:bookmarkStart w:id="3" w:name="_Toc32639_WPSOffice_Level1"/>
      <w:r>
        <w:rPr>
          <w:rFonts w:hint="eastAsia"/>
          <w:bCs w:val="0"/>
          <w:color w:val="auto"/>
          <w:sz w:val="36"/>
          <w:highlight w:val="none"/>
        </w:rPr>
        <w:t>第一章  竞争性磋商邀请</w:t>
      </w:r>
      <w:bookmarkEnd w:id="2"/>
      <w:bookmarkEnd w:id="3"/>
    </w:p>
    <w:p>
      <w:pPr>
        <w:spacing w:line="360" w:lineRule="auto"/>
        <w:ind w:firstLine="723" w:firstLineChars="300"/>
        <w:jc w:val="left"/>
        <w:rPr>
          <w:rFonts w:hAnsi="宋体" w:cs="宋体"/>
          <w:color w:val="auto"/>
          <w:sz w:val="24"/>
          <w:highlight w:val="none"/>
        </w:rPr>
      </w:pPr>
      <w:r>
        <w:rPr>
          <w:rFonts w:hint="eastAsia" w:hAnsi="宋体" w:cs="宋体"/>
          <w:b/>
          <w:bCs/>
          <w:color w:val="auto"/>
          <w:sz w:val="24"/>
          <w:highlight w:val="none"/>
          <w:u w:val="single"/>
        </w:rPr>
        <w:t>四川中科远洋工程项目管理有限公司</w:t>
      </w:r>
      <w:r>
        <w:rPr>
          <w:rFonts w:hint="eastAsia" w:hAnsi="宋体" w:cs="宋体"/>
          <w:color w:val="auto"/>
          <w:sz w:val="24"/>
          <w:highlight w:val="none"/>
        </w:rPr>
        <w:t>（采购代理机构）受</w:t>
      </w:r>
      <w:r>
        <w:rPr>
          <w:rFonts w:hint="eastAsia" w:hAnsi="宋体" w:cs="宋体"/>
          <w:b/>
          <w:bCs/>
          <w:color w:val="auto"/>
          <w:sz w:val="24"/>
          <w:highlight w:val="none"/>
          <w:u w:val="single" w:color="auto"/>
          <w:lang w:eastAsia="zh-CN"/>
        </w:rPr>
        <w:t>彭州市文物保护管理所</w:t>
      </w:r>
      <w:r>
        <w:rPr>
          <w:rFonts w:hint="eastAsia" w:hAnsi="宋体" w:cs="宋体"/>
          <w:color w:val="auto"/>
          <w:sz w:val="24"/>
          <w:highlight w:val="none"/>
        </w:rPr>
        <w:t>（采购人）委托，拟对</w:t>
      </w:r>
      <w:r>
        <w:rPr>
          <w:rFonts w:hint="eastAsia" w:hAnsi="宋体" w:cs="宋体"/>
          <w:b/>
          <w:bCs/>
          <w:color w:val="auto"/>
          <w:sz w:val="24"/>
          <w:highlight w:val="none"/>
          <w:u w:val="single" w:color="auto"/>
          <w:lang w:eastAsia="zh-CN"/>
        </w:rPr>
        <w:t>彭州市文物保护管理所2021年10-12月文物勘探劳务服务采购项目（第二次）</w:t>
      </w:r>
      <w:r>
        <w:rPr>
          <w:rFonts w:hint="eastAsia" w:hAnsi="宋体" w:cs="宋体"/>
          <w:color w:val="auto"/>
          <w:sz w:val="24"/>
          <w:highlight w:val="none"/>
        </w:rPr>
        <w:t>进行</w:t>
      </w:r>
      <w:r>
        <w:rPr>
          <w:rFonts w:hint="eastAsia" w:hAnsi="宋体" w:cs="宋体"/>
          <w:b/>
          <w:bCs/>
          <w:color w:val="auto"/>
          <w:sz w:val="24"/>
          <w:highlight w:val="none"/>
          <w:u w:val="single"/>
        </w:rPr>
        <w:t>竞争性磋商</w:t>
      </w:r>
      <w:r>
        <w:rPr>
          <w:rFonts w:hint="eastAsia" w:hAnsi="宋体" w:cs="宋体"/>
          <w:color w:val="auto"/>
          <w:sz w:val="24"/>
          <w:highlight w:val="none"/>
        </w:rPr>
        <w:t>方式采购，特邀请符合本次采购要求的供应商参加本项目的竞争性磋商。</w:t>
      </w:r>
    </w:p>
    <w:p>
      <w:pPr>
        <w:pStyle w:val="4"/>
        <w:spacing w:beforeLines="50" w:afterLines="50" w:line="360" w:lineRule="auto"/>
        <w:ind w:firstLine="562" w:firstLineChars="200"/>
        <w:rPr>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eastAsia="zh-CN"/>
        </w:rPr>
        <w:t>、项目编号</w:t>
      </w:r>
      <w:r>
        <w:rPr>
          <w:rFonts w:hint="eastAsia"/>
          <w:color w:val="auto"/>
          <w:sz w:val="24"/>
          <w:szCs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采购项目名称：</w:t>
      </w:r>
      <w:r>
        <w:rPr>
          <w:rFonts w:hint="eastAsia"/>
          <w:color w:val="auto"/>
          <w:sz w:val="24"/>
          <w:szCs w:val="24"/>
          <w:highlight w:val="none"/>
          <w:u w:color="FFFFFF" w:themeColor="background1"/>
          <w:lang w:eastAsia="zh-CN"/>
        </w:rPr>
        <w:t>彭州市文物保护管理所2021年10-12月文物勘探劳务服务采购项目（第二次）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采</w:t>
      </w:r>
      <w:r>
        <w:rPr>
          <w:rFonts w:hint="eastAsia"/>
          <w:color w:val="auto"/>
          <w:sz w:val="24"/>
          <w:szCs w:val="24"/>
          <w:highlight w:val="none"/>
          <w:lang w:val="en-US" w:eastAsia="zh-CN"/>
        </w:rPr>
        <w:t xml:space="preserve">   </w:t>
      </w:r>
      <w:r>
        <w:rPr>
          <w:rFonts w:hint="eastAsia"/>
          <w:color w:val="auto"/>
          <w:sz w:val="24"/>
          <w:szCs w:val="24"/>
          <w:highlight w:val="none"/>
        </w:rPr>
        <w:t>购</w:t>
      </w:r>
      <w:r>
        <w:rPr>
          <w:rFonts w:hint="eastAsia"/>
          <w:color w:val="auto"/>
          <w:sz w:val="24"/>
          <w:szCs w:val="24"/>
          <w:highlight w:val="none"/>
          <w:lang w:val="en-US" w:eastAsia="zh-CN"/>
        </w:rPr>
        <w:t xml:space="preserve">   </w:t>
      </w:r>
      <w:r>
        <w:rPr>
          <w:rFonts w:hint="eastAsia"/>
          <w:color w:val="auto"/>
          <w:sz w:val="24"/>
          <w:szCs w:val="24"/>
          <w:highlight w:val="none"/>
        </w:rPr>
        <w:t>人：</w:t>
      </w:r>
      <w:r>
        <w:rPr>
          <w:rFonts w:hint="eastAsia"/>
          <w:color w:val="auto"/>
          <w:sz w:val="24"/>
          <w:szCs w:val="24"/>
          <w:highlight w:val="none"/>
          <w:u w:color="FFFFFF" w:themeColor="background1"/>
          <w:lang w:eastAsia="zh-CN"/>
        </w:rPr>
        <w:t>彭州市文物保护管理所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采购代理机构：四川中科远洋工程项目管理有限公司</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hAnsi="宋体" w:cs="宋体" w:asciiTheme="minorHAnsi" w:eastAsiaTheme="minorEastAsia"/>
          <w:b w:val="0"/>
          <w:bCs/>
          <w:color w:val="auto"/>
          <w:kern w:val="2"/>
          <w:sz w:val="24"/>
          <w:szCs w:val="24"/>
          <w:highlight w:val="none"/>
          <w:lang w:val="en-US" w:eastAsia="zh-CN" w:bidi="ar-SA"/>
        </w:rPr>
        <w:t>财政性资金</w:t>
      </w:r>
      <w:r>
        <w:rPr>
          <w:rFonts w:hint="eastAsia" w:ascii="宋体" w:hAnsi="宋体" w:cs="宋体"/>
          <w:bCs/>
          <w:color w:val="auto"/>
          <w:sz w:val="24"/>
          <w:highlight w:val="none"/>
          <w:lang w:eastAsia="zh-CN"/>
        </w:rPr>
        <w:t>；采购计划文号</w:t>
      </w:r>
      <w:r>
        <w:rPr>
          <w:rFonts w:hint="eastAsia" w:hAnsi="宋体" w:cs="宋体" w:asciiTheme="minorHAnsi" w:eastAsiaTheme="minorEastAsia"/>
          <w:b w:val="0"/>
          <w:bCs/>
          <w:color w:val="auto"/>
          <w:kern w:val="2"/>
          <w:sz w:val="24"/>
          <w:szCs w:val="24"/>
          <w:highlight w:val="none"/>
          <w:lang w:val="en-US" w:eastAsia="zh-CN" w:bidi="ar-SA"/>
        </w:rPr>
        <w:t>：(2021)0636号 。</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color w:val="auto"/>
          <w:sz w:val="24"/>
          <w:szCs w:val="24"/>
          <w:highlight w:val="none"/>
          <w:u w:color="FFFFFF" w:themeColor="background1"/>
          <w:lang w:eastAsia="zh-CN"/>
        </w:rPr>
        <w:t>彭州市文物保护管理所2021年10-12月文物勘探劳务服务采购项目（第二次）</w:t>
      </w:r>
      <w:r>
        <w:rPr>
          <w:rFonts w:hint="eastAsia"/>
          <w:b/>
          <w:bCs/>
          <w:color w:val="auto"/>
          <w:sz w:val="24"/>
          <w:szCs w:val="24"/>
          <w:highlight w:val="none"/>
        </w:rPr>
        <w:t>（项目介绍详见磋商文件第六章）。</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本</w:t>
      </w:r>
      <w:r>
        <w:rPr>
          <w:rFonts w:hint="eastAsia" w:asciiTheme="minorEastAsia" w:hAnsiTheme="minorEastAsia" w:cstheme="minorEastAsia"/>
          <w:color w:val="auto"/>
          <w:sz w:val="24"/>
          <w:highlight w:val="none"/>
        </w:rPr>
        <w:t>次采购采取方式1邀请参加磋商的供应商。</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方式1（公告方式）：本次竞争性磋商邀请在四川政府采购网上以公告形式发布；</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方式3（供应商库随机抽取）：通过省级以上财政部门建立的供应商库中随机抽取供应商。</w:t>
      </w:r>
    </w:p>
    <w:p>
      <w:pPr>
        <w:pStyle w:val="4"/>
        <w:numPr>
          <w:ilvl w:val="0"/>
          <w:numId w:val="0"/>
        </w:numPr>
        <w:spacing w:beforeLines="50" w:afterLines="50" w:line="360" w:lineRule="auto"/>
        <w:ind w:firstLine="562" w:firstLineChars="200"/>
        <w:rPr>
          <w:rFonts w:hint="eastAsia" w:ascii="宋体" w:hAnsi="宋体" w:eastAsia="宋体" w:cs="宋体"/>
          <w:b/>
          <w:color w:val="auto"/>
          <w:sz w:val="24"/>
          <w:lang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w:t>
      </w:r>
      <w:r>
        <w:rPr>
          <w:rFonts w:hint="eastAsia" w:ascii="宋体" w:hAnsi="宋体" w:eastAsia="宋体" w:cs="宋体"/>
          <w:b/>
          <w:color w:val="auto"/>
          <w:sz w:val="24"/>
          <w:lang w:eastAsia="zh-CN"/>
        </w:rPr>
        <w:t>否。</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1.《中华人民共和国政府采购法》第二十二条第一款第（一）至（五）规定的条件</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具备《中华人民共和国政府采购法》第二十二条规定的条件：</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1.具有独立承担民事责任的能力；</w:t>
      </w:r>
    </w:p>
    <w:p>
      <w:pPr>
        <w:tabs>
          <w:tab w:val="left" w:pos="7665"/>
        </w:tabs>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2.具有良好的商业信誉和健全的财务会计制度；</w:t>
      </w:r>
    </w:p>
    <w:p>
      <w:pPr>
        <w:tabs>
          <w:tab w:val="left" w:pos="7665"/>
        </w:tabs>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3.具有履行合同所必须的设备和专业技术能力；</w:t>
      </w:r>
    </w:p>
    <w:p>
      <w:pPr>
        <w:tabs>
          <w:tab w:val="left" w:pos="7665"/>
        </w:tabs>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4.具有依法缴纳税收和社会保障资金的良好记录；</w:t>
      </w:r>
    </w:p>
    <w:p>
      <w:pPr>
        <w:tabs>
          <w:tab w:val="left" w:pos="7665"/>
        </w:tabs>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5.参加本次政府采购活动前三年内，在经营活动中没有重大违法记录；</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6.法律、行政法规规定的其他条件：</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（1）参加本次政府采购活动，供应商不存在与单位负责人为同一人或者存在直接控股、管理关系的其他供应商参与同一合同项下的政府采购活动的行为。</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（2）参加本次政府采购活动，供应商不存在和其他供应商在同一合同项下的采购项目中，同时委托同一个自然人、同一家庭的人员、同一单位的人员作为代理人的行为。</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（3）为采购项目提供整体设计、规范编制或者项目管理、监理、检测等服务的供应商，不得再参加该采购项目的其他采购活动。</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（4）供应商及其现任法定代表人、主要负责人不得具有行贿犯罪记录。</w:t>
      </w:r>
    </w:p>
    <w:p>
      <w:pPr>
        <w:pStyle w:val="38"/>
        <w:spacing w:line="440" w:lineRule="exact"/>
        <w:ind w:firstLine="600" w:firstLineChars="250"/>
        <w:rPr>
          <w:rFonts w:hint="eastAsia" w:hAnsi="宋体" w:cs="宋体" w:asciiTheme="minorHAnsi" w:eastAsiaTheme="minorEastAsia"/>
          <w:bCs/>
          <w:color w:val="auto"/>
          <w:kern w:val="2"/>
          <w:sz w:val="24"/>
          <w:szCs w:val="24"/>
          <w:highlight w:val="none"/>
          <w:lang w:val="en-US" w:eastAsia="zh-CN" w:bidi="ar-SA"/>
        </w:rPr>
      </w:pPr>
      <w:r>
        <w:rPr>
          <w:rFonts w:hint="eastAsia" w:hAnsi="宋体" w:cs="宋体" w:asciiTheme="minorHAnsi" w:eastAsiaTheme="minorEastAsia"/>
          <w:bCs/>
          <w:color w:val="auto"/>
          <w:kern w:val="2"/>
          <w:sz w:val="24"/>
          <w:szCs w:val="24"/>
          <w:highlight w:val="none"/>
          <w:lang w:val="en-US" w:eastAsia="zh-CN" w:bidi="ar-SA"/>
        </w:rPr>
        <w:t>7.采购人根据采购项目提出的特殊条件：无。</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hAnsi="宋体" w:cs="宋体"/>
          <w:bCs/>
          <w:color w:val="auto"/>
          <w:sz w:val="24"/>
          <w:highlight w:val="none"/>
        </w:rPr>
        <w:t>1.根据《关于在政府采购活动中查询及使用信用记录有关问题的通知》（财库〔2016〕125号）的要求，</w:t>
      </w:r>
      <w:r>
        <w:rPr>
          <w:rFonts w:hint="eastAsia" w:hAnsi="宋体" w:cs="宋体"/>
          <w:b/>
          <w:color w:val="auto"/>
          <w:sz w:val="24"/>
          <w:highlight w:val="none"/>
          <w:u w:color="FFFFFF" w:themeColor="background1"/>
          <w:lang w:eastAsia="zh-CN"/>
        </w:rPr>
        <w:t>彭州市文物保护管理所</w:t>
      </w:r>
      <w:r>
        <w:rPr>
          <w:rFonts w:hint="eastAsia" w:hAnsi="宋体" w:cs="宋体"/>
          <w:bCs/>
          <w:color w:val="auto"/>
          <w:sz w:val="24"/>
          <w:highlight w:val="none"/>
        </w:rPr>
        <w:t>/</w:t>
      </w:r>
      <w:r>
        <w:rPr>
          <w:rFonts w:hint="eastAsia" w:hAnsi="宋体" w:cs="宋体"/>
          <w:b/>
          <w:color w:val="auto"/>
          <w:sz w:val="24"/>
          <w:highlight w:val="none"/>
        </w:rPr>
        <w:t xml:space="preserve"> 四川中科远洋工程项目管理有限公司</w:t>
      </w:r>
      <w:r>
        <w:rPr>
          <w:rFonts w:hint="eastAsia" w:hAnsi="宋体" w:cs="宋体"/>
          <w:bCs/>
          <w:color w:val="auto"/>
          <w:sz w:val="24"/>
          <w:highlight w:val="none"/>
        </w:rPr>
        <w:t>将通过“信用中国”网站（www.creditchina.gov.cn）、“</w:t>
      </w:r>
      <w:r>
        <w:rPr>
          <w:rFonts w:hint="eastAsia" w:hAnsi="宋体" w:cs="宋体"/>
          <w:color w:val="auto"/>
          <w:sz w:val="24"/>
          <w:szCs w:val="24"/>
          <w:highlight w:val="none"/>
          <w:lang w:eastAsia="zh-CN"/>
        </w:rPr>
        <w:t>中国政府采购网</w:t>
      </w:r>
      <w:r>
        <w:rPr>
          <w:rFonts w:hint="eastAsia" w:hAnsi="宋体" w:cs="宋体"/>
          <w:bCs/>
          <w:color w:val="auto"/>
          <w:sz w:val="24"/>
          <w:highlight w:val="none"/>
        </w:rPr>
        <w:t>”网站（www.ccgp.gov.cn）等渠道查询供应商在采购公告发布之日前的信用记录并保存信用记录结果网页截图，拒绝列入失信被执</w:t>
      </w:r>
      <w:r>
        <w:rPr>
          <w:rFonts w:hint="eastAsia" w:ascii="宋体" w:hAnsi="宋体" w:eastAsia="宋体" w:cs="宋体"/>
          <w:bCs/>
          <w:color w:val="auto"/>
          <w:sz w:val="24"/>
          <w:highlight w:val="none"/>
        </w:rPr>
        <w:t>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中小企业政府采购信用融资</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参加本次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活动的中小企业供应商无需提供财产抵押或第三方担保，凭借政府采购合同可向融资机构申请融资。</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九</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磋商文件发售时间：</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日上午9:</w:t>
      </w:r>
      <w:r>
        <w:rPr>
          <w:rFonts w:hint="eastAsia" w:ascii="宋体" w:hAnsi="宋体" w:eastAsia="宋体" w:cs="宋体"/>
          <w:b/>
          <w:bCs/>
          <w:color w:val="auto"/>
          <w:sz w:val="24"/>
          <w:szCs w:val="24"/>
          <w:highlight w:val="none"/>
          <w:lang w:val="en-US" w:eastAsia="zh-CN"/>
        </w:rPr>
        <w:t>00</w:t>
      </w:r>
      <w:bookmarkStart w:id="182" w:name="_GoBack"/>
      <w:bookmarkEnd w:id="182"/>
      <w:r>
        <w:rPr>
          <w:rFonts w:hint="eastAsia" w:ascii="宋体" w:hAnsi="宋体" w:eastAsia="宋体" w:cs="宋体"/>
          <w:b/>
          <w:bCs/>
          <w:color w:val="auto"/>
          <w:sz w:val="24"/>
          <w:szCs w:val="24"/>
          <w:highlight w:val="none"/>
        </w:rPr>
        <w:t>-12：00，下午14：00-17:00（北京时间，法定节假日除外）</w:t>
      </w:r>
      <w:r>
        <w:rPr>
          <w:rFonts w:hint="eastAsia" w:hAnsi="宋体" w:cs="宋体"/>
          <w:color w:val="auto"/>
          <w:sz w:val="24"/>
        </w:rPr>
        <w:t>为有效切断新型冠状病毒感染的肺炎疫情传播，防范疫情扩散蔓延，减少公共场所人员聚集，根据《四川省应对新型冠状病毒感染的肺炎疫情应急指挥部公告（第2号）》和《四川省财政厅关于进一步做好疫情防控期间政府采购工作有关事项的通知》(川财采{2020}28号)。</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eastAsia="zh-CN"/>
        </w:rPr>
        <w:t>网上购买竞争性磋商文件</w:t>
      </w:r>
      <w:r>
        <w:rPr>
          <w:rFonts w:hint="eastAsia" w:asciiTheme="minorEastAsia" w:hAnsiTheme="minorEastAsia" w:cstheme="minorEastAsia"/>
          <w:color w:val="auto"/>
          <w:sz w:val="24"/>
          <w:szCs w:val="24"/>
          <w:lang w:eastAsia="zh-CN"/>
        </w:rPr>
        <w:t>。</w:t>
      </w:r>
    </w:p>
    <w:p>
      <w:pPr>
        <w:spacing w:after="50"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：人民币</w:t>
      </w:r>
      <w:r>
        <w:rPr>
          <w:rFonts w:hint="eastAsia" w:ascii="宋体" w:hAnsi="宋体" w:eastAsia="宋体" w:cs="宋体"/>
          <w:color w:val="auto"/>
          <w:sz w:val="24"/>
          <w:u w:val="single"/>
          <w:lang w:val="en-US" w:eastAsia="zh-CN"/>
        </w:rPr>
        <w:t>0.00</w:t>
      </w:r>
      <w:r>
        <w:rPr>
          <w:rFonts w:hint="eastAsia" w:ascii="宋体" w:hAnsi="宋体" w:eastAsia="宋体" w:cs="宋体"/>
          <w:color w:val="auto"/>
          <w:sz w:val="24"/>
          <w:u w:val="none"/>
        </w:rPr>
        <w:t>元</w:t>
      </w:r>
      <w:r>
        <w:rPr>
          <w:rFonts w:hint="eastAsia" w:ascii="宋体" w:hAnsi="宋体" w:eastAsia="宋体" w:cs="宋体"/>
          <w:color w:val="auto"/>
          <w:sz w:val="24"/>
        </w:rPr>
        <w:t>/份。（磋商文件售后不退, 磋商资格不能转让）。</w:t>
      </w:r>
      <w:r>
        <w:rPr>
          <w:rFonts w:hint="eastAsia" w:ascii="宋体" w:hAnsi="宋体" w:cs="宋体"/>
          <w:color w:val="auto"/>
          <w:sz w:val="24"/>
        </w:rPr>
        <w:t>在“政府采购云平台”获取采购文件（网址：https://www.zcygov.cn）。</w:t>
      </w:r>
    </w:p>
    <w:p>
      <w:pPr>
        <w:snapToGrid w:val="0"/>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rPr>
        <w:t>磋商文件发售方式：</w:t>
      </w:r>
      <w:r>
        <w:rPr>
          <w:rFonts w:hint="eastAsia" w:ascii="宋体" w:hAnsi="宋体" w:eastAsia="宋体" w:cs="宋体"/>
          <w:b w:val="0"/>
          <w:bCs w:val="0"/>
          <w:color w:val="auto"/>
          <w:sz w:val="24"/>
        </w:rPr>
        <w:t>供应商从“政府采购云平台”获取采购文件（网址：https://www.zcygov.cn）。登录“政府采购云平台”—项目采购—获取采购文件—申请获取采购文件。 提示： （1）本项目磋商文件免费获取，磋商资格不得转让。 （2）供应商只有在“政府采购云平台”完成获取磋商文件申请并下载磋商文件后才视作依法参与本项目。如未在“政府采购云平台”内完成相关流程，引起的无效相应责任自负。 （3）本项目报名平台为“政府采购云平台”，供应商参与本项目过程中凡涉及系统操作请详见《供应商政府采购项目电子交易操作指南》（操作指南以“政府采购云平台”网站发布为准）。</w:t>
      </w:r>
    </w:p>
    <w:p>
      <w:pPr>
        <w:snapToGrid w:val="0"/>
        <w:spacing w:line="360" w:lineRule="auto"/>
        <w:ind w:firstLine="480" w:firstLineChars="200"/>
        <w:rPr>
          <w:rFonts w:hint="eastAsia" w:ascii="宋体" w:hAnsi="宋体" w:eastAsia="宋体" w:cs="宋体"/>
          <w:color w:val="auto"/>
          <w:sz w:val="24"/>
          <w:highlight w:val="none"/>
        </w:rPr>
      </w:pPr>
    </w:p>
    <w:p>
      <w:pPr>
        <w:pStyle w:val="4"/>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2021年11月1日10：00分</w:t>
      </w:r>
      <w:r>
        <w:rPr>
          <w:rFonts w:hint="eastAsia" w:ascii="宋体" w:hAnsi="宋体" w:eastAsia="宋体" w:cs="宋体"/>
          <w:b w:val="0"/>
          <w:color w:val="auto"/>
          <w:sz w:val="24"/>
          <w:highlight w:val="none"/>
        </w:rPr>
        <w:t>（北京时间）。</w:t>
      </w:r>
    </w:p>
    <w:p>
      <w:pPr>
        <w:pStyle w:val="11"/>
        <w:snapToGrid w:val="0"/>
        <w:spacing w:line="360" w:lineRule="auto"/>
        <w:ind w:firstLine="56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8"/>
          <w:szCs w:val="28"/>
          <w:highlight w:val="none"/>
          <w:lang w:eastAsia="zh-CN"/>
        </w:rPr>
        <w:t>十一</w:t>
      </w:r>
      <w:r>
        <w:rPr>
          <w:rFonts w:hint="eastAsia" w:ascii="宋体" w:hAnsi="宋体" w:eastAsia="宋体" w:cs="宋体"/>
          <w:b/>
          <w:color w:val="auto"/>
          <w:sz w:val="28"/>
          <w:szCs w:val="28"/>
          <w:highlight w:val="none"/>
        </w:rPr>
        <w:t>、递交响应文件地点：</w:t>
      </w:r>
      <w:r>
        <w:rPr>
          <w:rFonts w:hint="eastAsia" w:hAnsi="宋体"/>
          <w:b/>
          <w:color w:val="auto"/>
          <w:sz w:val="24"/>
          <w:highlight w:val="none"/>
        </w:rPr>
        <w:t>四川中科远洋工程项目管理有限公司</w:t>
      </w:r>
      <w:r>
        <w:rPr>
          <w:rFonts w:hint="eastAsia" w:hAnsi="宋体"/>
          <w:b/>
          <w:color w:val="auto"/>
          <w:sz w:val="24"/>
          <w:highlight w:val="none"/>
          <w:lang w:eastAsia="zh-CN"/>
        </w:rPr>
        <w:t>（</w:t>
      </w:r>
      <w:r>
        <w:rPr>
          <w:rFonts w:hint="eastAsia" w:ascii="宋体" w:hAnsi="宋体" w:eastAsia="宋体" w:cs="宋体"/>
          <w:b/>
          <w:bCs/>
          <w:color w:val="auto"/>
          <w:sz w:val="24"/>
          <w:szCs w:val="24"/>
          <w:highlight w:val="none"/>
          <w:lang w:eastAsia="zh-CN"/>
        </w:rPr>
        <w:t>四川省成都市金牛万达写字楼SoHo A座16楼1601号</w:t>
      </w:r>
      <w:r>
        <w:rPr>
          <w:rFonts w:hint="eastAsia" w:hAnsi="宋体"/>
          <w:b/>
          <w:color w:val="auto"/>
          <w:sz w:val="24"/>
          <w:highlight w:val="none"/>
          <w:lang w:eastAsia="zh-CN"/>
        </w:rPr>
        <w:t>）</w:t>
      </w:r>
      <w:r>
        <w:rPr>
          <w:rFonts w:hint="eastAsia" w:ascii="宋体" w:hAnsi="宋体" w:eastAsia="宋体" w:cs="宋体"/>
          <w:b/>
          <w:bCs/>
          <w:color w:val="auto"/>
          <w:sz w:val="24"/>
          <w:szCs w:val="24"/>
          <w:highlight w:val="none"/>
          <w:lang w:eastAsia="zh-CN"/>
        </w:rPr>
        <w:t>（见下图）。</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响应文件必须在递交响应文件截止时间前送达磋商地点。逾期送达、密封和标注错误的响应文件，四川中科远洋工程项目管理有限公司恕不接收。本次采购不接收邮寄的响应文件。</w:t>
      </w:r>
    </w:p>
    <w:p>
      <w:pPr>
        <w:pStyle w:val="11"/>
        <w:snapToGrid w:val="0"/>
        <w:spacing w:line="360" w:lineRule="auto"/>
        <w:ind w:firstLine="640" w:firstLineChars="200"/>
        <w:jc w:val="center"/>
        <w:rPr>
          <w:rFonts w:hint="eastAsia" w:ascii="宋体" w:hAnsi="宋体" w:eastAsia="宋体" w:cs="宋体"/>
          <w:bCs/>
          <w:color w:val="auto"/>
          <w:sz w:val="24"/>
          <w:szCs w:val="24"/>
          <w:highlight w:val="none"/>
        </w:rPr>
      </w:pPr>
      <w:r>
        <w:rPr>
          <w:color w:val="auto"/>
        </w:rPr>
        <w:drawing>
          <wp:inline distT="0" distB="0" distL="114300" distR="114300">
            <wp:extent cx="4549775" cy="3331845"/>
            <wp:effectExtent l="0" t="0" r="3175" b="19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4549775" cy="3331845"/>
                    </a:xfrm>
                    <a:prstGeom prst="rect">
                      <a:avLst/>
                    </a:prstGeom>
                    <a:noFill/>
                    <a:ln>
                      <a:noFill/>
                    </a:ln>
                  </pic:spPr>
                </pic:pic>
              </a:graphicData>
            </a:graphic>
          </wp:inline>
        </w:drawing>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十二</w:t>
      </w:r>
      <w:r>
        <w:rPr>
          <w:rFonts w:hint="eastAsia" w:ascii="宋体" w:hAnsi="宋体" w:eastAsia="宋体" w:cs="宋体"/>
          <w:bCs w:val="0"/>
          <w:color w:val="auto"/>
          <w:sz w:val="28"/>
          <w:szCs w:val="28"/>
          <w:highlight w:val="none"/>
        </w:rPr>
        <w:t>、磋商地点</w:t>
      </w:r>
      <w:r>
        <w:rPr>
          <w:rFonts w:hint="eastAsia" w:hAnsi="宋体" w:cs="宋体"/>
          <w:b w:val="0"/>
          <w:color w:val="auto"/>
          <w:sz w:val="24"/>
          <w:szCs w:val="24"/>
          <w:highlight w:val="none"/>
        </w:rPr>
        <w:t>：</w:t>
      </w:r>
      <w:r>
        <w:rPr>
          <w:rFonts w:hint="eastAsia" w:ascii="宋体" w:hAnsi="宋体" w:eastAsia="宋体" w:cs="宋体"/>
          <w:color w:val="auto"/>
          <w:sz w:val="24"/>
          <w:szCs w:val="24"/>
          <w:highlight w:val="none"/>
          <w:lang w:eastAsia="zh-CN"/>
        </w:rPr>
        <w:t>四川省成都市金牛万达写字楼SoHo A座16楼1601号</w:t>
      </w:r>
      <w:r>
        <w:rPr>
          <w:rFonts w:hint="eastAsia" w:ascii="宋体" w:hAnsi="宋体" w:eastAsia="宋体" w:cs="宋体"/>
          <w:bCs w:val="0"/>
          <w:color w:val="auto"/>
          <w:sz w:val="24"/>
          <w:highlight w:val="none"/>
        </w:rPr>
        <w:t>。</w:t>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三</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bCs/>
          <w:color w:val="auto"/>
          <w:kern w:val="2"/>
          <w:sz w:val="24"/>
          <w:szCs w:val="24"/>
          <w:highlight w:val="none"/>
          <w:lang w:val="en-US" w:eastAsia="zh-CN" w:bidi="ar-SA"/>
        </w:rPr>
        <w:t>2021年11月1日10：00分</w:t>
      </w:r>
      <w:r>
        <w:rPr>
          <w:rFonts w:hint="eastAsia" w:ascii="宋体" w:hAnsi="宋体" w:eastAsia="宋体" w:cs="宋体"/>
          <w:b w:val="0"/>
          <w:color w:val="auto"/>
          <w:sz w:val="24"/>
          <w:highlight w:val="none"/>
        </w:rPr>
        <w:t>（北京时间）在磋商地点开启。</w:t>
      </w:r>
    </w:p>
    <w:p>
      <w:pPr>
        <w:pStyle w:val="4"/>
        <w:spacing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四</w:t>
      </w:r>
      <w:r>
        <w:rPr>
          <w:rFonts w:hint="eastAsia" w:ascii="宋体" w:hAnsi="宋体" w:eastAsia="宋体" w:cs="宋体"/>
          <w:bCs w:val="0"/>
          <w:color w:val="auto"/>
          <w:sz w:val="28"/>
          <w:szCs w:val="28"/>
          <w:highlight w:val="none"/>
        </w:rPr>
        <w:t>、联系方式</w:t>
      </w:r>
    </w:p>
    <w:p>
      <w:pPr>
        <w:pStyle w:val="6"/>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eastAsia="微软雅黑"/>
          <w:color w:val="auto"/>
          <w:sz w:val="24"/>
          <w:szCs w:val="24"/>
          <w:lang w:eastAsia="zh-CN"/>
        </w:rPr>
      </w:pPr>
      <w:r>
        <w:rPr>
          <w:color w:val="auto"/>
          <w:sz w:val="24"/>
          <w:szCs w:val="24"/>
        </w:rPr>
        <w:t>采购人：</w:t>
      </w:r>
      <w:r>
        <w:rPr>
          <w:rFonts w:hint="eastAsia"/>
          <w:color w:val="auto"/>
          <w:sz w:val="24"/>
          <w:szCs w:val="24"/>
          <w:lang w:eastAsia="zh-CN"/>
        </w:rPr>
        <w:t>彭州市文物保护管理所</w:t>
      </w:r>
    </w:p>
    <w:p>
      <w:pPr>
        <w:pStyle w:val="38"/>
        <w:spacing w:line="360" w:lineRule="auto"/>
        <w:ind w:firstLine="960" w:firstLineChars="400"/>
        <w:rPr>
          <w:rFonts w:hint="eastAsia"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地    址：</w:t>
      </w:r>
      <w:r>
        <w:rPr>
          <w:rFonts w:hint="eastAsia" w:asciiTheme="minorEastAsia" w:hAnsiTheme="minorEastAsia" w:cstheme="minorEastAsia"/>
          <w:color w:val="auto"/>
          <w:kern w:val="2"/>
          <w:sz w:val="24"/>
          <w:szCs w:val="24"/>
          <w:highlight w:val="none"/>
          <w:lang w:val="en-US" w:eastAsia="zh-CN" w:bidi="ar-SA"/>
        </w:rPr>
        <w:t>成都市彭州市金彭西路403号</w:t>
      </w: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pPr>
        <w:pStyle w:val="38"/>
        <w:spacing w:line="360" w:lineRule="auto"/>
        <w:ind w:firstLine="960" w:firstLineChars="4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联 系 人：王老师</w:t>
      </w:r>
    </w:p>
    <w:p>
      <w:pPr>
        <w:pStyle w:val="38"/>
        <w:spacing w:line="360" w:lineRule="auto"/>
        <w:ind w:firstLine="960" w:firstLineChars="4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联系电话：028-83873715</w:t>
      </w:r>
    </w:p>
    <w:p>
      <w:pPr>
        <w:adjustRightInd w:val="0"/>
        <w:snapToGrid w:val="0"/>
        <w:spacing w:line="360" w:lineRule="auto"/>
        <w:ind w:firstLine="482" w:firstLineChars="200"/>
        <w:rPr>
          <w:rFonts w:hAnsi="宋体"/>
          <w:b/>
          <w:color w:val="auto"/>
          <w:sz w:val="24"/>
          <w:highlight w:val="none"/>
        </w:rPr>
      </w:pPr>
      <w:r>
        <w:rPr>
          <w:rFonts w:hint="eastAsia" w:hAnsi="宋体"/>
          <w:b/>
          <w:color w:val="auto"/>
          <w:sz w:val="24"/>
          <w:highlight w:val="none"/>
        </w:rPr>
        <w:t>代理机构：四川中科远洋工程项目管理有限公司</w:t>
      </w:r>
    </w:p>
    <w:p>
      <w:pPr>
        <w:pStyle w:val="38"/>
        <w:spacing w:line="360" w:lineRule="auto"/>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lang w:eastAsia="zh-CN"/>
        </w:rPr>
        <w:t>四川省成都市金牛万达写字楼SoHo A座16楼1601号</w:t>
      </w:r>
    </w:p>
    <w:p>
      <w:pPr>
        <w:pStyle w:val="38"/>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邮    编：610000</w:t>
      </w:r>
    </w:p>
    <w:p>
      <w:pPr>
        <w:pStyle w:val="38"/>
        <w:spacing w:line="360" w:lineRule="auto"/>
        <w:ind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cstheme="minorEastAsia"/>
          <w:color w:val="auto"/>
          <w:sz w:val="24"/>
          <w:highlight w:val="none"/>
        </w:rPr>
        <w:t>项目联系人</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eastAsia="zh-CN"/>
        </w:rPr>
        <w:t>王女士</w:t>
      </w:r>
      <w:r>
        <w:rPr>
          <w:rFonts w:hint="eastAsia" w:asciiTheme="minorEastAsia" w:hAnsiTheme="minorEastAsia" w:cstheme="minorEastAsia"/>
          <w:b w:val="0"/>
          <w:bCs w:val="0"/>
          <w:color w:val="auto"/>
          <w:sz w:val="24"/>
          <w:highlight w:val="none"/>
        </w:rPr>
        <w:t xml:space="preserve">     联系电话：</w:t>
      </w:r>
      <w:r>
        <w:rPr>
          <w:rFonts w:hint="eastAsia" w:asciiTheme="minorEastAsia" w:hAnsiTheme="minorEastAsia" w:cstheme="minorEastAsia"/>
          <w:b w:val="0"/>
          <w:bCs w:val="0"/>
          <w:color w:val="auto"/>
          <w:sz w:val="24"/>
          <w:highlight w:val="none"/>
          <w:lang w:eastAsia="zh-CN"/>
        </w:rPr>
        <w:t>028-83185568-625</w:t>
      </w:r>
    </w:p>
    <w:p>
      <w:pPr>
        <w:pStyle w:val="38"/>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val="0"/>
          <w:bCs w:val="0"/>
          <w:color w:val="auto"/>
          <w:sz w:val="24"/>
          <w:highlight w:val="none"/>
        </w:rPr>
        <w:t>财务联系人：</w:t>
      </w:r>
      <w:r>
        <w:rPr>
          <w:rFonts w:hint="eastAsia" w:asciiTheme="minorEastAsia" w:hAnsiTheme="minorEastAsia" w:cstheme="minorEastAsia"/>
          <w:b w:val="0"/>
          <w:bCs w:val="0"/>
          <w:color w:val="auto"/>
          <w:sz w:val="24"/>
          <w:highlight w:val="none"/>
          <w:lang w:eastAsia="zh-CN"/>
        </w:rPr>
        <w:t>张女士</w:t>
      </w:r>
      <w:r>
        <w:rPr>
          <w:rFonts w:hint="eastAsia" w:asciiTheme="minorEastAsia" w:hAnsiTheme="minorEastAsia" w:cstheme="minorEastAsia"/>
          <w:color w:val="auto"/>
          <w:sz w:val="24"/>
          <w:highlight w:val="none"/>
        </w:rPr>
        <w:t xml:space="preserve">     联系电话：</w:t>
      </w:r>
      <w:r>
        <w:rPr>
          <w:rFonts w:hint="eastAsia" w:asciiTheme="minorEastAsia" w:hAnsiTheme="minorEastAsia" w:cstheme="minorEastAsia"/>
          <w:color w:val="auto"/>
          <w:sz w:val="24"/>
          <w:highlight w:val="none"/>
          <w:lang w:eastAsia="zh-CN"/>
        </w:rPr>
        <w:t>028-83288986</w:t>
      </w:r>
    </w:p>
    <w:p>
      <w:pPr>
        <w:pStyle w:val="38"/>
        <w:ind w:firstLine="960" w:firstLineChars="40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电子邮箱：</w:t>
      </w:r>
      <w:r>
        <w:rPr>
          <w:rFonts w:hint="eastAsia" w:asciiTheme="minorEastAsia" w:hAnsiTheme="minorEastAsia" w:cstheme="minorEastAsia"/>
          <w:color w:val="auto"/>
          <w:sz w:val="24"/>
          <w:highlight w:val="none"/>
          <w:lang w:eastAsia="zh-CN"/>
        </w:rPr>
        <w:t xml:space="preserve">  384776113@qq.com</w:t>
      </w:r>
    </w:p>
    <w:p>
      <w:pPr>
        <w:pStyle w:val="38"/>
        <w:snapToGrid w:val="0"/>
        <w:ind w:firstLine="1041" w:firstLineChars="432"/>
        <w:jc w:val="right"/>
        <w:rPr>
          <w:rFonts w:hAnsi="宋体"/>
          <w:b/>
          <w:bCs/>
          <w:color w:val="auto"/>
          <w:sz w:val="24"/>
          <w:szCs w:val="28"/>
          <w:highlight w:val="none"/>
        </w:rPr>
      </w:pPr>
      <w:r>
        <w:rPr>
          <w:rFonts w:hint="eastAsia"/>
          <w:b/>
          <w:bCs/>
          <w:color w:val="auto"/>
          <w:sz w:val="24"/>
          <w:highlight w:val="none"/>
          <w:lang w:val="en-US" w:eastAsia="zh-CN"/>
        </w:rPr>
        <w:t>2021年10月21日</w:t>
      </w:r>
    </w:p>
    <w:p>
      <w:pPr>
        <w:rPr>
          <w:rFonts w:hint="eastAsia" w:hAnsi="宋体"/>
          <w:color w:val="auto"/>
          <w:sz w:val="24"/>
          <w:highlight w:val="none"/>
        </w:rPr>
      </w:pPr>
      <w:bookmarkStart w:id="4" w:name="_Toc7954"/>
      <w:bookmarkStart w:id="5" w:name="_Toc19871"/>
      <w:bookmarkStart w:id="6" w:name="_Toc25029"/>
      <w:bookmarkStart w:id="7" w:name="_Toc12382"/>
      <w:bookmarkStart w:id="8" w:name="_Toc483317784"/>
      <w:bookmarkStart w:id="9" w:name="_Toc3592"/>
      <w:bookmarkStart w:id="10" w:name="_Toc10178"/>
      <w:bookmarkStart w:id="11" w:name="_Toc32623_WPSOffice_Level1"/>
      <w:bookmarkStart w:id="12" w:name="_Toc24928"/>
      <w:bookmarkStart w:id="13" w:name="_Toc19314"/>
      <w:r>
        <w:rPr>
          <w:rFonts w:hint="eastAsia" w:hAnsi="宋体"/>
          <w:color w:val="auto"/>
          <w:sz w:val="24"/>
          <w:highlight w:val="none"/>
        </w:rPr>
        <w:br w:type="page"/>
      </w:r>
    </w:p>
    <w:bookmarkEnd w:id="4"/>
    <w:p>
      <w:pPr>
        <w:pStyle w:val="3"/>
        <w:keepNext w:val="0"/>
        <w:keepLines w:val="0"/>
        <w:pageBreakBefore/>
        <w:snapToGrid w:val="0"/>
        <w:spacing w:line="360" w:lineRule="auto"/>
        <w:jc w:val="center"/>
        <w:rPr>
          <w:color w:val="auto"/>
          <w:sz w:val="36"/>
          <w:szCs w:val="36"/>
          <w:highlight w:val="none"/>
        </w:rPr>
      </w:pPr>
      <w:bookmarkStart w:id="14" w:name="_Toc2995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4"/>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2"/>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
        <w:gridCol w:w="2086"/>
        <w:gridCol w:w="745"/>
        <w:gridCol w:w="1517"/>
        <w:gridCol w:w="3900"/>
        <w:gridCol w:w="9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56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86" w:type="dxa"/>
            <w:vAlign w:val="center"/>
          </w:tcPr>
          <w:p>
            <w:pPr>
              <w:pStyle w:val="39"/>
              <w:spacing w:beforeLines="50" w:afterLines="50" w:line="360" w:lineRule="auto"/>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7125" w:type="dxa"/>
            <w:gridSpan w:val="4"/>
            <w:vAlign w:val="center"/>
          </w:tcPr>
          <w:p>
            <w:pPr>
              <w:pStyle w:val="39"/>
              <w:spacing w:beforeLines="50" w:afterLines="50"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eastAsia="宋体" w:cs="宋体"/>
                <w:b/>
                <w:color w:val="auto"/>
                <w:kern w:val="2"/>
                <w:sz w:val="24"/>
                <w:szCs w:val="24"/>
                <w:highlight w:val="none"/>
                <w:lang w:val="en-US" w:eastAsia="zh-CN"/>
              </w:rPr>
              <w:t>实质性要求</w:t>
            </w:r>
            <w:r>
              <w:rPr>
                <w:rFonts w:hint="eastAsia" w:ascii="宋体" w:hAnsi="宋体" w:eastAsia="宋体" w:cs="宋体"/>
                <w:color w:val="auto"/>
                <w:kern w:val="2"/>
                <w:sz w:val="24"/>
                <w:szCs w:val="24"/>
                <w:highlight w:val="none"/>
                <w:lang w:val="en-US" w:eastAsia="zh-CN"/>
              </w:rPr>
              <w:t>）</w:t>
            </w:r>
          </w:p>
        </w:tc>
        <w:tc>
          <w:tcPr>
            <w:tcW w:w="7125" w:type="dxa"/>
            <w:gridSpan w:val="4"/>
            <w:vAlign w:val="center"/>
          </w:tcPr>
          <w:p>
            <w:pPr>
              <w:spacing w:beforeLines="50" w:afterLines="50" w:line="360" w:lineRule="auto"/>
              <w:ind w:right="31" w:rightChars="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¥70万元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柒拾万元整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spacing w:beforeLines="50" w:afterLines="50" w:line="360" w:lineRule="auto"/>
              <w:ind w:right="31" w:rightChars="15"/>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eastAsia="宋体" w:cs="宋体"/>
                <w:b/>
                <w:color w:val="auto"/>
                <w:kern w:val="2"/>
                <w:sz w:val="24"/>
                <w:szCs w:val="24"/>
                <w:highlight w:val="none"/>
                <w:lang w:val="en-US" w:eastAsia="zh-CN"/>
              </w:rPr>
              <w:t>实质性要求</w:t>
            </w:r>
            <w:r>
              <w:rPr>
                <w:rFonts w:hint="eastAsia" w:ascii="宋体" w:hAnsi="宋体" w:eastAsia="宋体" w:cs="宋体"/>
                <w:color w:val="auto"/>
                <w:kern w:val="2"/>
                <w:sz w:val="24"/>
                <w:szCs w:val="24"/>
                <w:highlight w:val="none"/>
                <w:lang w:val="en-US" w:eastAsia="zh-CN"/>
              </w:rPr>
              <w:t>）</w:t>
            </w:r>
          </w:p>
        </w:tc>
        <w:tc>
          <w:tcPr>
            <w:tcW w:w="7125" w:type="dxa"/>
            <w:gridSpan w:val="4"/>
            <w:vAlign w:val="center"/>
          </w:tcPr>
          <w:p>
            <w:pPr>
              <w:spacing w:beforeLines="50" w:afterLines="50" w:line="360" w:lineRule="auto"/>
              <w:ind w:right="31" w:rightChars="1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¥70万元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柒拾万元整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spacing w:beforeLines="50" w:afterLines="50" w:line="360" w:lineRule="auto"/>
              <w:ind w:right="31"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2" w:hRule="atLeast"/>
          <w:jc w:val="center"/>
        </w:trPr>
        <w:tc>
          <w:tcPr>
            <w:tcW w:w="566" w:type="dxa"/>
            <w:vMerge w:val="restart"/>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86" w:type="dxa"/>
            <w:vMerge w:val="restart"/>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中小企业或者专门 </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面向小微企业的采 </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eastAsia="宋体" w:cs="宋体"/>
                <w:b/>
                <w:color w:val="auto"/>
                <w:kern w:val="2"/>
                <w:sz w:val="24"/>
                <w:szCs w:val="24"/>
                <w:highlight w:val="none"/>
                <w:lang w:val="en-US" w:eastAsia="zh-CN"/>
              </w:rPr>
              <w:t>实质性要求</w:t>
            </w:r>
            <w:r>
              <w:rPr>
                <w:rFonts w:hint="eastAsia" w:ascii="宋体" w:hAnsi="宋体" w:eastAsia="宋体" w:cs="宋体"/>
                <w:color w:val="auto"/>
                <w:kern w:val="2"/>
                <w:sz w:val="24"/>
                <w:szCs w:val="24"/>
                <w:highlight w:val="none"/>
                <w:lang w:val="en-US" w:eastAsia="zh-CN"/>
              </w:rPr>
              <w:t>）</w:t>
            </w:r>
          </w:p>
        </w:tc>
        <w:tc>
          <w:tcPr>
            <w:tcW w:w="7125" w:type="dxa"/>
            <w:gridSpan w:val="4"/>
            <w:tcBorders>
              <w:bottom w:val="single" w:color="auto" w:sz="4" w:space="0"/>
            </w:tcBorders>
            <w:vAlign w:val="center"/>
          </w:tcPr>
          <w:p>
            <w:pPr>
              <w:widowControl/>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是否属于专门面向中小企业采购：否；</w:t>
            </w:r>
          </w:p>
          <w:p>
            <w:pPr>
              <w:widowControl/>
              <w:spacing w:line="360" w:lineRule="auto"/>
              <w:rPr>
                <w:rFonts w:hint="eastAsia"/>
                <w:color w:val="auto"/>
                <w:highlight w:val="none"/>
                <w:lang w:val="en-US" w:eastAsia="zh-CN"/>
              </w:rPr>
            </w:pPr>
            <w:r>
              <w:rPr>
                <w:rFonts w:hint="eastAsia" w:ascii="宋体" w:hAnsi="宋体" w:cs="宋体"/>
                <w:color w:val="auto"/>
                <w:kern w:val="0"/>
                <w:sz w:val="24"/>
                <w:highlight w:val="none"/>
                <w:lang w:val="en-US" w:eastAsia="zh-CN"/>
              </w:rPr>
              <w:t>是否属于专门面向小微企业采购：否；</w:t>
            </w:r>
          </w:p>
          <w:p>
            <w:pPr>
              <w:pStyle w:val="2"/>
              <w:jc w:val="both"/>
              <w:rPr>
                <w:rFonts w:hint="eastAsia" w:ascii="宋体" w:hAnsi="宋体" w:eastAsia="宋体" w:cs="宋体"/>
                <w:color w:val="auto"/>
                <w:sz w:val="24"/>
                <w:szCs w:val="24"/>
                <w:lang w:val="en-US" w:eastAsia="zh-CN"/>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lang w:val="zh-CN" w:eastAsia="zh-CN"/>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jc w:val="center"/>
        </w:trPr>
        <w:tc>
          <w:tcPr>
            <w:tcW w:w="566" w:type="dxa"/>
            <w:vMerge w:val="continue"/>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tc>
        <w:tc>
          <w:tcPr>
            <w:tcW w:w="2086" w:type="dxa"/>
            <w:vMerge w:val="continue"/>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tc>
        <w:tc>
          <w:tcPr>
            <w:tcW w:w="745" w:type="dxa"/>
            <w:tcBorders>
              <w:top w:val="single" w:color="auto" w:sz="4" w:space="0"/>
              <w:bottom w:val="single" w:color="auto" w:sz="4" w:space="0"/>
              <w:right w:val="single" w:color="auto" w:sz="4" w:space="0"/>
            </w:tcBorders>
            <w:vAlign w:val="center"/>
          </w:tcPr>
          <w:p>
            <w:pPr>
              <w:pStyle w:val="39"/>
              <w:spacing w:beforeLines="50" w:afterLines="50" w:line="360" w:lineRule="auto"/>
              <w:ind w:left="38"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pStyle w:val="39"/>
              <w:spacing w:beforeLines="50" w:afterLines="50" w:line="360" w:lineRule="auto"/>
              <w:ind w:left="38"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标的名称</w:t>
            </w:r>
          </w:p>
        </w:tc>
        <w:tc>
          <w:tcPr>
            <w:tcW w:w="3900" w:type="dxa"/>
            <w:tcBorders>
              <w:top w:val="single" w:color="auto" w:sz="4" w:space="0"/>
              <w:left w:val="single" w:color="auto" w:sz="4" w:space="0"/>
              <w:bottom w:val="single" w:color="auto" w:sz="4" w:space="0"/>
              <w:right w:val="single" w:color="auto" w:sz="4" w:space="0"/>
            </w:tcBorders>
            <w:vAlign w:val="center"/>
          </w:tcPr>
          <w:p>
            <w:pPr>
              <w:pStyle w:val="39"/>
              <w:spacing w:beforeLines="50" w:afterLines="50" w:line="360" w:lineRule="auto"/>
              <w:ind w:left="38"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所属行业</w:t>
            </w:r>
            <w:r>
              <w:rPr>
                <w:rFonts w:hint="eastAsia" w:ascii="宋体" w:hAnsi="宋体" w:eastAsia="宋体" w:cs="宋体"/>
                <w:b/>
                <w:bCs/>
                <w:color w:val="auto"/>
                <w:kern w:val="2"/>
                <w:sz w:val="24"/>
                <w:szCs w:val="24"/>
                <w:lang w:val="en-US" w:eastAsia="zh-CN" w:bidi="ar-SA"/>
              </w:rPr>
              <w:t>（划分标准详见附件</w:t>
            </w:r>
            <w:r>
              <w:rPr>
                <w:rFonts w:hint="eastAsia"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w:t>
            </w:r>
          </w:p>
        </w:tc>
        <w:tc>
          <w:tcPr>
            <w:tcW w:w="963" w:type="dxa"/>
            <w:tcBorders>
              <w:top w:val="single" w:color="auto" w:sz="4" w:space="0"/>
              <w:left w:val="single" w:color="auto" w:sz="4" w:space="0"/>
              <w:bottom w:val="single" w:color="auto" w:sz="4" w:space="0"/>
            </w:tcBorders>
            <w:vAlign w:val="center"/>
          </w:tcPr>
          <w:p>
            <w:pPr>
              <w:pStyle w:val="39"/>
              <w:spacing w:beforeLines="50" w:afterLines="50" w:line="360" w:lineRule="auto"/>
              <w:ind w:left="38"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jc w:val="center"/>
        </w:trPr>
        <w:tc>
          <w:tcPr>
            <w:tcW w:w="566" w:type="dxa"/>
            <w:vMerge w:val="continue"/>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tc>
        <w:tc>
          <w:tcPr>
            <w:tcW w:w="2086" w:type="dxa"/>
            <w:vMerge w:val="continue"/>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tc>
        <w:tc>
          <w:tcPr>
            <w:tcW w:w="745" w:type="dxa"/>
            <w:tcBorders>
              <w:top w:val="single" w:color="auto" w:sz="4" w:space="0"/>
              <w:bottom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1</w:t>
            </w:r>
          </w:p>
        </w:tc>
        <w:tc>
          <w:tcPr>
            <w:tcW w:w="151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u w:color="FFFFFF" w:themeColor="background1"/>
                <w:lang w:eastAsia="zh-CN"/>
              </w:rPr>
              <w:t>2021年10-12月文物勘探劳务服务</w:t>
            </w:r>
          </w:p>
        </w:tc>
        <w:tc>
          <w:tcPr>
            <w:tcW w:w="3900"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其他未列明行业</w:t>
            </w:r>
          </w:p>
        </w:tc>
        <w:tc>
          <w:tcPr>
            <w:tcW w:w="963" w:type="dxa"/>
            <w:tcBorders>
              <w:top w:val="single" w:color="auto" w:sz="4" w:space="0"/>
              <w:left w:val="single" w:color="auto" w:sz="4" w:space="0"/>
              <w:bottom w:val="single" w:color="auto" w:sz="4" w:space="0"/>
            </w:tcBorders>
            <w:vAlign w:val="center"/>
          </w:tcPr>
          <w:p>
            <w:pPr>
              <w:pStyle w:val="2"/>
              <w:jc w:val="center"/>
              <w:rPr>
                <w:rFonts w:hint="eastAsia" w:ascii="宋体" w:hAnsi="宋体" w:eastAsia="宋体" w:cs="宋体"/>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eastAsia="宋体" w:cs="宋体"/>
                <w:b/>
                <w:color w:val="auto"/>
                <w:kern w:val="2"/>
                <w:sz w:val="24"/>
                <w:szCs w:val="24"/>
                <w:highlight w:val="none"/>
                <w:lang w:val="en-US" w:eastAsia="zh-CN"/>
              </w:rPr>
              <w:t>实质性要求</w:t>
            </w:r>
            <w:r>
              <w:rPr>
                <w:rFonts w:hint="eastAsia" w:ascii="宋体" w:hAnsi="宋体" w:eastAsia="宋体" w:cs="宋体"/>
                <w:color w:val="auto"/>
                <w:kern w:val="2"/>
                <w:sz w:val="24"/>
                <w:szCs w:val="24"/>
                <w:highlight w:val="none"/>
                <w:lang w:val="en-US" w:eastAsia="zh-CN"/>
              </w:rPr>
              <w:t>）</w:t>
            </w:r>
          </w:p>
        </w:tc>
        <w:tc>
          <w:tcPr>
            <w:tcW w:w="7125" w:type="dxa"/>
            <w:gridSpan w:val="4"/>
            <w:vAlign w:val="center"/>
          </w:tcPr>
          <w:p>
            <w:pPr>
              <w:pStyle w:val="2"/>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p>
            <w:pPr>
              <w:spacing w:after="120" w:line="360" w:lineRule="auto"/>
              <w:rPr>
                <w:rFonts w:hint="eastAsia" w:ascii="宋体" w:hAnsi="宋体" w:eastAsia="宋体" w:cs="宋体"/>
                <w:color w:val="auto"/>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7125" w:type="dxa"/>
            <w:gridSpan w:val="4"/>
            <w:vAlign w:val="center"/>
          </w:tcPr>
          <w:p>
            <w:pPr>
              <w:pStyle w:val="39"/>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86" w:type="dxa"/>
            <w:vAlign w:val="center"/>
          </w:tcPr>
          <w:p>
            <w:pPr>
              <w:pStyle w:val="39"/>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39"/>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39"/>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eastAsia="宋体" w:cs="宋体"/>
                <w:b/>
                <w:color w:val="auto"/>
                <w:sz w:val="24"/>
                <w:szCs w:val="24"/>
                <w:highlight w:val="none"/>
                <w:lang w:eastAsia="zh-CN"/>
              </w:rPr>
              <w:t>实质性要求</w:t>
            </w:r>
            <w:r>
              <w:rPr>
                <w:rFonts w:hint="eastAsia" w:ascii="宋体" w:hAnsi="宋体" w:eastAsia="宋体" w:cs="宋体"/>
                <w:color w:val="auto"/>
                <w:sz w:val="24"/>
                <w:szCs w:val="24"/>
                <w:highlight w:val="none"/>
                <w:lang w:eastAsia="zh-CN"/>
              </w:rPr>
              <w:t>）</w:t>
            </w:r>
          </w:p>
        </w:tc>
        <w:tc>
          <w:tcPr>
            <w:tcW w:w="7125" w:type="dxa"/>
            <w:gridSpan w:val="4"/>
            <w:vAlign w:val="center"/>
          </w:tcPr>
          <w:p>
            <w:pPr>
              <w:pStyle w:val="39"/>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评标委员会认为供应商的报价明显低于其他通过资格性审查供应商的报价，有可能影响产品质量或者不能诚信履约的，应当要求其在评标现场合理的时间内提供书面说明，必要时提交相关证明材料；供应商不能证明其报价合理性的，评标委员会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39"/>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39"/>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86" w:type="dxa"/>
            <w:vAlign w:val="center"/>
          </w:tcPr>
          <w:p>
            <w:pPr>
              <w:pStyle w:val="39"/>
              <w:spacing w:beforeLines="50" w:afterLines="50" w:line="360" w:lineRule="auto"/>
              <w:ind w:left="38"/>
              <w:jc w:val="center"/>
              <w:rPr>
                <w:rFonts w:hint="eastAsia" w:ascii="宋体" w:hAnsi="宋体" w:eastAsia="宋体" w:cs="宋体"/>
                <w:color w:val="auto"/>
                <w:kern w:val="2"/>
                <w:sz w:val="24"/>
                <w:szCs w:val="24"/>
                <w:highlight w:val="none"/>
              </w:rPr>
            </w:pPr>
          </w:p>
          <w:p>
            <w:pPr>
              <w:pStyle w:val="39"/>
              <w:spacing w:beforeLines="50" w:afterLines="50" w:line="360" w:lineRule="auto"/>
              <w:ind w:left="38"/>
              <w:jc w:val="center"/>
              <w:rPr>
                <w:rFonts w:hint="eastAsia" w:ascii="宋体" w:hAnsi="宋体" w:eastAsia="宋体" w:cs="宋体"/>
                <w:color w:val="auto"/>
                <w:kern w:val="2"/>
                <w:sz w:val="24"/>
                <w:szCs w:val="24"/>
                <w:highlight w:val="none"/>
              </w:rPr>
            </w:pPr>
          </w:p>
          <w:p>
            <w:pPr>
              <w:pStyle w:val="39"/>
              <w:spacing w:beforeLines="50" w:afterLines="50" w:line="360" w:lineRule="auto"/>
              <w:ind w:left="38"/>
              <w:jc w:val="center"/>
              <w:rPr>
                <w:rFonts w:hint="eastAsia" w:ascii="宋体" w:hAnsi="宋体" w:eastAsia="宋体" w:cs="宋体"/>
                <w:color w:val="auto"/>
                <w:kern w:val="2"/>
                <w:sz w:val="24"/>
                <w:szCs w:val="24"/>
                <w:highlight w:val="none"/>
              </w:rPr>
            </w:pPr>
          </w:p>
          <w:p>
            <w:pPr>
              <w:pStyle w:val="39"/>
              <w:spacing w:beforeLines="50" w:afterLines="50" w:line="360" w:lineRule="auto"/>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39"/>
              <w:spacing w:beforeLines="50" w:afterLines="50" w:line="360" w:lineRule="auto"/>
              <w:ind w:left="38"/>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ascii="宋体" w:hAnsi="宋体" w:eastAsia="宋体" w:cs="宋体"/>
                <w:color w:val="auto"/>
                <w:kern w:val="2"/>
                <w:sz w:val="24"/>
                <w:szCs w:val="24"/>
                <w:highlight w:val="none"/>
              </w:rPr>
              <w:t>)</w:t>
            </w:r>
          </w:p>
        </w:tc>
        <w:tc>
          <w:tcPr>
            <w:tcW w:w="7125" w:type="dxa"/>
            <w:gridSpan w:val="4"/>
            <w:vAlign w:val="center"/>
          </w:tcPr>
          <w:p>
            <w:pPr>
              <w:spacing w:line="360" w:lineRule="auto"/>
              <w:ind w:left="105" w:leftChars="50" w:right="105" w:rightChars="50"/>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39"/>
              <w:spacing w:beforeLines="50" w:afterLines="5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7125" w:type="dxa"/>
            <w:gridSpan w:val="4"/>
            <w:vAlign w:val="center"/>
          </w:tcPr>
          <w:p>
            <w:pPr>
              <w:pStyle w:val="39"/>
              <w:spacing w:beforeLines="50" w:afterLines="50"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若所投</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jc w:val="center"/>
        </w:trPr>
        <w:tc>
          <w:tcPr>
            <w:tcW w:w="566" w:type="dxa"/>
            <w:vAlign w:val="center"/>
          </w:tcPr>
          <w:p>
            <w:pPr>
              <w:pStyle w:val="39"/>
              <w:spacing w:beforeLines="50" w:afterLines="50" w:line="360" w:lineRule="auto"/>
              <w:ind w:left="9" w:leftChars="0"/>
              <w:jc w:val="center"/>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9</w:t>
            </w:r>
          </w:p>
        </w:tc>
        <w:tc>
          <w:tcPr>
            <w:tcW w:w="2086" w:type="dxa"/>
            <w:vAlign w:val="center"/>
          </w:tcPr>
          <w:p>
            <w:pPr>
              <w:pStyle w:val="39"/>
              <w:spacing w:beforeLines="50" w:afterLines="50" w:line="360" w:lineRule="auto"/>
              <w:ind w:left="9" w:leftChars="0"/>
              <w:jc w:val="center"/>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 xml:space="preserve">信息安全要求 </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（如涉及）</w:t>
            </w:r>
          </w:p>
        </w:tc>
        <w:tc>
          <w:tcPr>
            <w:tcW w:w="7125" w:type="dxa"/>
            <w:gridSpan w:val="4"/>
            <w:vAlign w:val="center"/>
          </w:tcPr>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响应产品如为信息安全产品，需提供由中国信息安全认证中心认证颁发的认证证书，投标应符合《关于信息安全产品实施政府采购的通知》（财库〔2010〕48号）要求。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zh-CN" w:eastAsia="zh-CN" w:bidi="ar-SA"/>
              </w:rPr>
            </w:pPr>
            <w:r>
              <w:rPr>
                <w:rFonts w:hint="eastAsia" w:eastAsia="宋体" w:cs="宋体"/>
                <w:color w:val="auto"/>
                <w:kern w:val="2"/>
                <w:sz w:val="24"/>
                <w:szCs w:val="24"/>
                <w:highlight w:val="none"/>
                <w:lang w:val="en-US" w:eastAsia="zh-CN"/>
              </w:rPr>
              <w:t>10</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p>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p>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小微企业（监狱企业、残疾人福利性单位视同小微企业）价格扣除和</w:t>
            </w:r>
          </w:p>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失信企业报价加成</w:t>
            </w:r>
          </w:p>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或者扣分</w:t>
            </w:r>
          </w:p>
          <w:p>
            <w:pPr>
              <w:pStyle w:val="39"/>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r>
              <w:rPr>
                <w:rFonts w:hint="eastAsia" w:eastAsia="宋体" w:cs="宋体"/>
                <w:b/>
                <w:color w:val="auto"/>
                <w:kern w:val="2"/>
                <w:sz w:val="24"/>
                <w:szCs w:val="24"/>
                <w:highlight w:val="none"/>
                <w:lang w:val="zh-CN"/>
              </w:rPr>
              <w:t>实质性要求</w:t>
            </w:r>
            <w:r>
              <w:rPr>
                <w:rFonts w:hint="eastAsia" w:ascii="宋体" w:hAnsi="宋体" w:eastAsia="宋体" w:cs="宋体"/>
                <w:color w:val="auto"/>
                <w:kern w:val="2"/>
                <w:sz w:val="24"/>
                <w:szCs w:val="24"/>
                <w:highlight w:val="none"/>
                <w:lang w:val="zh-CN"/>
              </w:rPr>
              <w:t>）</w:t>
            </w:r>
          </w:p>
          <w:p>
            <w:pPr>
              <w:pStyle w:val="39"/>
              <w:spacing w:beforeLines="50" w:afterLines="50" w:line="360" w:lineRule="auto"/>
              <w:ind w:left="9"/>
              <w:jc w:val="center"/>
              <w:rPr>
                <w:rFonts w:hint="eastAsia" w:ascii="宋体" w:hAnsi="宋体" w:eastAsia="宋体" w:cs="宋体"/>
                <w:color w:val="auto"/>
                <w:kern w:val="2"/>
                <w:sz w:val="24"/>
                <w:szCs w:val="24"/>
                <w:highlight w:val="none"/>
              </w:rPr>
            </w:pPr>
          </w:p>
        </w:tc>
        <w:tc>
          <w:tcPr>
            <w:tcW w:w="7125" w:type="dxa"/>
            <w:gridSpan w:val="4"/>
            <w:vAlign w:val="center"/>
          </w:tcPr>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bookmarkStart w:id="18" w:name="PO_默认文件内容_11"/>
            <w:r>
              <w:rPr>
                <w:rFonts w:hint="eastAsia" w:ascii="宋体" w:hAnsi="宋体" w:eastAsia="宋体" w:cs="宋体"/>
                <w:color w:val="auto"/>
                <w:sz w:val="24"/>
                <w:szCs w:val="24"/>
                <w:highlight w:val="none"/>
                <w:lang w:val="zh-CN"/>
              </w:rPr>
              <w:t>一、小微企业（监狱企业、残疾人福利性单位视同小微企业）价格扣除</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2、参加政府采购活动的中小企业提供《中小企业声明函》原件，未提供的，视为放弃享受小微企业价格扣除优惠政策。</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4、参加政府采购活动的残疾人福利性单位应当提供《残疾人福利性单位声明函》原件，未提供的，视为放弃享受小微企业价格扣除优惠政策。</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5、参加政府采购活动的监狱企业提供由省级以上监狱管理局、戒毒管理局(含新疆生产建设兵团)出具的属于监狱企业的证明文件，未提供的，视为放弃享受小微企业价格扣除优惠政策。</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6、符合中小企业划分标准的个体工商户，在政府采购活动中视同中小企业。</w:t>
            </w:r>
            <w:bookmarkEnd w:id="18"/>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二、失信企业报价加成或者扣分</w:t>
            </w:r>
          </w:p>
          <w:p>
            <w:pPr>
              <w:pStyle w:val="39"/>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1.对记入诚信档案且未在有效期内的失信供应商，参加政府采购活动按照</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%的报价加成，以加成后报价作为该供应商报价参与评审。供应商失信行为惩戒实行无限制累加制，因其失信行为进行报价加成惩戒后报价超过政府采购预算的，其响应文件按照无效处理。</w:t>
            </w:r>
          </w:p>
          <w:p>
            <w:pPr>
              <w:pStyle w:val="39"/>
              <w:spacing w:beforeLines="50" w:afterLines="50"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2.供应商参加政府采购活动时，应当就自己的诚信情况在响应文件中进行承诺。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566" w:type="dxa"/>
            <w:vAlign w:val="center"/>
          </w:tcPr>
          <w:p>
            <w:pPr>
              <w:pStyle w:val="39"/>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7125" w:type="dxa"/>
            <w:gridSpan w:val="4"/>
            <w:vAlign w:val="center"/>
          </w:tcPr>
          <w:p>
            <w:pPr>
              <w:widowControl/>
              <w:spacing w:beforeLines="5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供应商资格审查情况、磋商情况、报价情况、磋商结果等在四川政府采购网上采购结果公告栏中予以公告。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7125" w:type="dxa"/>
            <w:gridSpan w:val="4"/>
            <w:vAlign w:val="center"/>
          </w:tcPr>
          <w:p>
            <w:pPr>
              <w:pStyle w:val="39"/>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7125" w:type="dxa"/>
            <w:gridSpan w:val="4"/>
            <w:vAlign w:val="center"/>
          </w:tcPr>
          <w:p>
            <w:pPr>
              <w:widowControl/>
              <w:spacing w:beforeLines="50" w:afterLines="50"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根据《中华人民共和国政府采购法实施条例》第四十八条“采购文件 </w:t>
            </w:r>
          </w:p>
          <w:p>
            <w:pPr>
              <w:widowControl/>
              <w:spacing w:beforeLines="50" w:afterLines="50" w:line="360" w:lineRule="auto"/>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sz w:val="24"/>
                <w:szCs w:val="24"/>
                <w:highlight w:val="none"/>
                <w:lang w:val="en-US" w:eastAsia="zh-CN"/>
              </w:rPr>
              <w:t>要求中标或者成交供应商提交履约保证金的，供应商应当以支票、汇票、本票或者金融机构、担保机构出具的保函等非现金形式提交„„” 和 《四川省人民政府关于印发进一步规范政府采购监管和执行若干规定的通知》（川府发〔2018〕</w:t>
            </w:r>
            <w:r>
              <w:rPr>
                <w:rFonts w:hint="default"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lang w:val="en-US" w:eastAsia="zh-CN"/>
              </w:rPr>
              <w:t>号）第一条第（四）款 “规范采购保证金收取及退还。 能够通过信用评价或者检验检测等手段保障自身合法权益的， 采购人或者采购代理机构原则上不再向供应商收取保证金„„”的规定，原则上不再收取履约保证金， 如果采购人与中标（成交）供应商在签订政府采购合同过程中，因项目特殊， 采购人不能通过信用评价或者检验检测等手段保障自身合法权益的，由采购人和中标（成交）供应商双方依法自行约定，并由采购人自行收取。</w:t>
            </w:r>
          </w:p>
          <w:p>
            <w:pPr>
              <w:pStyle w:val="39"/>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7125" w:type="dxa"/>
            <w:gridSpan w:val="4"/>
          </w:tcPr>
          <w:p>
            <w:pPr>
              <w:pStyle w:val="39"/>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 xml:space="preserve">联系人：王女士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028-83185568-625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5</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7125" w:type="dxa"/>
            <w:gridSpan w:val="4"/>
            <w:vAlign w:val="center"/>
          </w:tcPr>
          <w:p>
            <w:pPr>
              <w:pStyle w:val="39"/>
              <w:spacing w:beforeLines="50" w:after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 xml:space="preserve">联系人：王女士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028-83185568-625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16</w:t>
            </w:r>
          </w:p>
        </w:tc>
        <w:tc>
          <w:tcPr>
            <w:tcW w:w="208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7125" w:type="dxa"/>
            <w:gridSpan w:val="4"/>
          </w:tcPr>
          <w:p>
            <w:pPr>
              <w:tabs>
                <w:tab w:val="left" w:pos="7665"/>
              </w:tabs>
              <w:snapToGrid w:val="0"/>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zh-CN"/>
              </w:rPr>
              <w:t xml:space="preserve">王女士 </w:t>
            </w:r>
            <w:r>
              <w:rPr>
                <w:rFonts w:hint="eastAsia" w:ascii="宋体" w:hAnsi="宋体" w:eastAsia="宋体" w:cs="宋体"/>
                <w:color w:val="auto"/>
                <w:sz w:val="24"/>
                <w:szCs w:val="24"/>
                <w:highlight w:val="none"/>
              </w:rPr>
              <w:t xml:space="preserve">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028-83185568-625</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四川省成都市金牛万达写字楼SoHo A座16楼1601号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17</w:t>
            </w:r>
          </w:p>
        </w:tc>
        <w:tc>
          <w:tcPr>
            <w:tcW w:w="2086" w:type="dxa"/>
            <w:vAlign w:val="center"/>
          </w:tcPr>
          <w:p>
            <w:pPr>
              <w:keepNext w:val="0"/>
              <w:keepLines w:val="0"/>
              <w:widowControl/>
              <w:suppressLineNumbers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供应商对采购文件提出质疑的时间</w:t>
            </w:r>
          </w:p>
        </w:tc>
        <w:tc>
          <w:tcPr>
            <w:tcW w:w="7125" w:type="dxa"/>
            <w:gridSpan w:val="4"/>
            <w:vAlign w:val="center"/>
          </w:tcPr>
          <w:p>
            <w:pPr>
              <w:tabs>
                <w:tab w:val="left" w:pos="7665"/>
              </w:tabs>
              <w:snapToGrid w:val="0"/>
              <w:spacing w:beforeLines="50" w:afterLines="5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成功获取磋商文件之日起七个工作日内。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18</w:t>
            </w:r>
          </w:p>
        </w:tc>
        <w:tc>
          <w:tcPr>
            <w:tcW w:w="2086" w:type="dxa"/>
            <w:vAlign w:val="center"/>
          </w:tcPr>
          <w:p>
            <w:pPr>
              <w:keepNext w:val="0"/>
              <w:keepLines w:val="0"/>
              <w:widowControl/>
              <w:suppressLineNumbers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供应商对采购文件技术指标、参数，资质要求，评分办法以及其他采购需求提出的询问和质疑</w:t>
            </w:r>
          </w:p>
        </w:tc>
        <w:tc>
          <w:tcPr>
            <w:tcW w:w="7125" w:type="dxa"/>
            <w:gridSpan w:val="4"/>
            <w:vAlign w:val="center"/>
          </w:tcPr>
          <w:p>
            <w:pPr>
              <w:tabs>
                <w:tab w:val="left" w:pos="7665"/>
              </w:tabs>
              <w:snapToGrid w:val="0"/>
              <w:spacing w:beforeLines="50" w:after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向代理机构提出，并由代理机构按相关规定作出答复。 </w:t>
            </w:r>
          </w:p>
          <w:p>
            <w:pPr>
              <w:tabs>
                <w:tab w:val="left" w:pos="7665"/>
              </w:tabs>
              <w:snapToGrid w:val="0"/>
              <w:spacing w:beforeLines="50" w:after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提出质疑时间：成功获取磋商文件之日起七个工作日内。 </w:t>
            </w:r>
          </w:p>
          <w:p>
            <w:pPr>
              <w:tabs>
                <w:tab w:val="left" w:pos="7665"/>
              </w:tabs>
              <w:snapToGrid w:val="0"/>
              <w:spacing w:beforeLines="50" w:afterLines="5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注：供应商须在法定质疑期内一次性提出针对同一采购程序的质疑。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19</w:t>
            </w:r>
          </w:p>
        </w:tc>
        <w:tc>
          <w:tcPr>
            <w:tcW w:w="2086" w:type="dxa"/>
            <w:vAlign w:val="center"/>
          </w:tcPr>
          <w:p>
            <w:pPr>
              <w:keepNext w:val="0"/>
              <w:keepLines w:val="0"/>
              <w:widowControl/>
              <w:suppressLineNumbers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对采购过程和采购结果的询问和质疑</w:t>
            </w:r>
          </w:p>
          <w:p>
            <w:pPr>
              <w:keepNext w:val="0"/>
              <w:keepLines w:val="0"/>
              <w:widowControl/>
              <w:suppressLineNumbers w:val="0"/>
              <w:spacing w:line="360" w:lineRule="auto"/>
              <w:jc w:val="center"/>
              <w:rPr>
                <w:rFonts w:hint="eastAsia" w:ascii="宋体" w:hAnsi="宋体" w:eastAsia="宋体" w:cs="宋体"/>
                <w:color w:val="auto"/>
                <w:kern w:val="2"/>
                <w:sz w:val="24"/>
                <w:szCs w:val="24"/>
                <w:highlight w:val="none"/>
                <w:lang w:val="en-US" w:eastAsia="zh-CN"/>
              </w:rPr>
            </w:pPr>
          </w:p>
        </w:tc>
        <w:tc>
          <w:tcPr>
            <w:tcW w:w="7125" w:type="dxa"/>
            <w:gridSpan w:val="4"/>
            <w:vAlign w:val="center"/>
          </w:tcPr>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zh-CN" w:eastAsia="zh-CN"/>
              </w:rPr>
              <w:t xml:space="preserve">王女士 </w:t>
            </w:r>
            <w:r>
              <w:rPr>
                <w:rFonts w:hint="eastAsia" w:ascii="宋体" w:hAnsi="宋体" w:eastAsia="宋体" w:cs="宋体"/>
                <w:color w:val="auto"/>
                <w:sz w:val="24"/>
                <w:szCs w:val="24"/>
                <w:highlight w:val="none"/>
                <w:lang w:eastAsia="zh-CN"/>
              </w:rPr>
              <w:t xml:space="preserve">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联系电话：028-83185568-625</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地址：四川省成都市金牛万达写字楼SoHo A座16楼1601号</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b/>
                <w:bCs/>
                <w:color w:val="auto"/>
                <w:sz w:val="24"/>
                <w:szCs w:val="24"/>
                <w:highlight w:val="none"/>
                <w:lang w:val="en-US" w:eastAsia="zh-CN"/>
              </w:rPr>
              <w:t>采购过程</w:t>
            </w:r>
            <w:r>
              <w:rPr>
                <w:rFonts w:hint="eastAsia" w:ascii="宋体" w:hAnsi="宋体" w:eastAsia="宋体" w:cs="宋体"/>
                <w:color w:val="auto"/>
                <w:sz w:val="24"/>
                <w:szCs w:val="24"/>
                <w:highlight w:val="none"/>
                <w:lang w:val="en-US" w:eastAsia="zh-CN"/>
              </w:rPr>
              <w:t xml:space="preserve">提出质疑时间：为各采购程序环节结束之日起七个工作日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内。对</w:t>
            </w:r>
            <w:r>
              <w:rPr>
                <w:rFonts w:hint="eastAsia" w:ascii="宋体" w:hAnsi="宋体" w:eastAsia="宋体" w:cs="宋体"/>
                <w:b/>
                <w:bCs/>
                <w:color w:val="auto"/>
                <w:sz w:val="24"/>
                <w:szCs w:val="24"/>
                <w:highlight w:val="none"/>
                <w:lang w:val="en-US" w:eastAsia="zh-CN"/>
              </w:rPr>
              <w:t>采购结果</w:t>
            </w:r>
            <w:r>
              <w:rPr>
                <w:rFonts w:hint="eastAsia" w:ascii="宋体" w:hAnsi="宋体" w:eastAsia="宋体" w:cs="宋体"/>
                <w:color w:val="auto"/>
                <w:sz w:val="24"/>
                <w:szCs w:val="24"/>
                <w:highlight w:val="none"/>
                <w:lang w:val="en-US" w:eastAsia="zh-CN"/>
              </w:rPr>
              <w:t xml:space="preserve">提出质疑时间：为成交结果公告发布次日后七个工作日内。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注： 1、采购单位无正当理由不按照依法推荐的成交候选供应商顺序确定成交供应商，或者在评审委员会依法推荐的成交候选供应商以外确定成交供应商的质疑由采购单位受理。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、根据《中华人民共和国政府采购法》的规定，供应商质疑不得超出采购文件、采购过程、采购结果的范围。 </w:t>
            </w:r>
          </w:p>
          <w:p>
            <w:pPr>
              <w:tabs>
                <w:tab w:val="left" w:pos="7665"/>
              </w:tabs>
              <w:snapToGrid w:val="0"/>
              <w:spacing w:beforeLines="50" w:afterLines="50" w:line="360" w:lineRule="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、供应商须在法定质疑期内一次性提出针对同一采购程序的质疑。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20</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供应商投诉</w:t>
            </w:r>
          </w:p>
        </w:tc>
        <w:tc>
          <w:tcPr>
            <w:tcW w:w="7125" w:type="dxa"/>
            <w:gridSpan w:val="4"/>
            <w:vAlign w:val="top"/>
          </w:tcPr>
          <w:p>
            <w:pPr>
              <w:pStyle w:val="39"/>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投诉受理单位：本采购项目同级财政部门，即彭州市财政局</w:t>
            </w:r>
            <w:r>
              <w:rPr>
                <w:rFonts w:hint="eastAsia"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联系电话：028-83888323</w:t>
            </w:r>
            <w:r>
              <w:rPr>
                <w:rFonts w:hint="eastAsia"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地址：四川省成都市彭州市牡丹大道北二段486号</w:t>
            </w:r>
          </w:p>
          <w:p>
            <w:pPr>
              <w:spacing w:line="360" w:lineRule="auto"/>
              <w:ind w:right="105" w:rightChars="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注：根据《中华人民共和国政府采购法实施条例》等规定，供应商投诉事项不得超出已质疑事项的范围。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21</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政府采购合同公告备案</w:t>
            </w:r>
          </w:p>
        </w:tc>
        <w:tc>
          <w:tcPr>
            <w:tcW w:w="7125" w:type="dxa"/>
            <w:gridSpan w:val="4"/>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政府采购合同签订之日起2个工作日内，政府采购合同将在四川政府采购网公告；政府采购合同签订之日起七个工作日内，政府采购合同将向本采购项目同级财政部门</w:t>
            </w:r>
            <w:r>
              <w:rPr>
                <w:rFonts w:hint="eastAsia" w:ascii="宋体" w:hAnsi="宋体" w:eastAsia="宋体" w:cs="宋体"/>
                <w:color w:val="auto"/>
                <w:sz w:val="24"/>
                <w:szCs w:val="24"/>
                <w:highlight w:val="none"/>
                <w:lang w:val="zh-CN"/>
              </w:rPr>
              <w:t>合同备案。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22</w:t>
            </w:r>
          </w:p>
        </w:tc>
        <w:tc>
          <w:tcPr>
            <w:tcW w:w="2086" w:type="dxa"/>
            <w:vAlign w:val="center"/>
          </w:tcPr>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代理服务费</w:t>
            </w:r>
          </w:p>
        </w:tc>
        <w:tc>
          <w:tcPr>
            <w:tcW w:w="7125" w:type="dxa"/>
            <w:gridSpan w:val="4"/>
            <w:vAlign w:val="top"/>
          </w:tcPr>
          <w:p>
            <w:pPr>
              <w:pStyle w:val="39"/>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采购代理服务费</w:t>
            </w:r>
            <w:r>
              <w:rPr>
                <w:rFonts w:hint="eastAsia" w:eastAsia="宋体" w:cs="宋体"/>
                <w:color w:val="auto"/>
                <w:sz w:val="24"/>
                <w:szCs w:val="24"/>
                <w:highlight w:val="none"/>
                <w:lang w:val="en-US" w:eastAsia="zh-CN"/>
              </w:rPr>
              <w:t>定额收取</w:t>
            </w:r>
            <w:r>
              <w:rPr>
                <w:rFonts w:hint="eastAsia" w:ascii="宋体" w:hAnsi="宋体" w:eastAsia="宋体" w:cs="宋体"/>
                <w:color w:val="auto"/>
                <w:sz w:val="24"/>
                <w:szCs w:val="24"/>
                <w:highlight w:val="none"/>
                <w:lang w:val="en-US" w:eastAsia="zh-CN"/>
              </w:rPr>
              <w:t>为15000元，由成交供应在领取成交通知书时向采购代理机构支付。</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2、代理服务费</w:t>
            </w:r>
            <w:r>
              <w:rPr>
                <w:rFonts w:hint="eastAsia" w:ascii="宋体" w:hAnsi="宋体" w:eastAsia="宋体" w:cs="宋体"/>
                <w:color w:val="auto"/>
                <w:sz w:val="24"/>
                <w:szCs w:val="24"/>
                <w:highlight w:val="none"/>
                <w:lang w:eastAsia="zh-CN"/>
              </w:rPr>
              <w:t>缴纳方式及联系人</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交款方式：公对公账户 银行转账（以当地银行下账时间为准）。</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val="zh-CN" w:eastAsia="zh-CN"/>
              </w:rPr>
              <w:t>四川中科远洋工程项目管理有限公司</w:t>
            </w:r>
            <w:r>
              <w:rPr>
                <w:rFonts w:hint="eastAsia" w:ascii="宋体" w:hAnsi="宋体" w:eastAsia="宋体" w:cs="宋体"/>
                <w:color w:val="auto"/>
                <w:sz w:val="24"/>
                <w:szCs w:val="24"/>
                <w:highlight w:val="none"/>
              </w:rPr>
              <w:t xml:space="preserve">。 </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女士</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座机：</w:t>
            </w:r>
            <w:r>
              <w:rPr>
                <w:rFonts w:hint="eastAsia" w:ascii="宋体" w:hAnsi="宋体" w:eastAsia="宋体" w:cs="宋体"/>
                <w:color w:val="auto"/>
                <w:sz w:val="24"/>
                <w:szCs w:val="24"/>
                <w:highlight w:val="none"/>
                <w:lang w:val="en-US" w:eastAsia="zh-CN"/>
              </w:rPr>
              <w:t>028-83288986</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手机号码：18428334060</w:t>
            </w:r>
            <w:r>
              <w:rPr>
                <w:rFonts w:hint="eastAsia" w:ascii="宋体" w:hAnsi="宋体" w:eastAsia="宋体" w:cs="宋体"/>
                <w:color w:val="auto"/>
                <w:sz w:val="24"/>
                <w:szCs w:val="24"/>
                <w:highlight w:val="none"/>
              </w:rPr>
              <w:t>（财务室）</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eastAsia="zh-CN"/>
              </w:rPr>
              <w:t>收款</w:t>
            </w:r>
            <w:r>
              <w:rPr>
                <w:rFonts w:hint="eastAsia" w:ascii="宋体" w:hAnsi="宋体" w:eastAsia="宋体" w:cs="宋体"/>
                <w:color w:val="auto"/>
                <w:sz w:val="24"/>
                <w:szCs w:val="24"/>
                <w:highlight w:val="none"/>
              </w:rPr>
              <w:t>账户</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收款单位：四川中科远洋工程项目管理有限公司</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 户 行：中国工商银行股份有限公司成都铁路支行</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银行账号：4402001809100107525</w:t>
            </w:r>
          </w:p>
          <w:p>
            <w:pPr>
              <w:pStyle w:val="39"/>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特别注意：请在备注栏必须填写“项目</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”代理服务费!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566" w:type="dxa"/>
            <w:vAlign w:val="center"/>
          </w:tcPr>
          <w:p>
            <w:pPr>
              <w:pStyle w:val="39"/>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r>
              <w:rPr>
                <w:rFonts w:hint="eastAsia" w:eastAsia="宋体" w:cs="宋体"/>
                <w:color w:val="auto"/>
                <w:kern w:val="2"/>
                <w:sz w:val="24"/>
                <w:szCs w:val="24"/>
                <w:highlight w:val="none"/>
                <w:lang w:val="en-US" w:eastAsia="zh-CN"/>
              </w:rPr>
              <w:t>3</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7125" w:type="dxa"/>
            <w:gridSpan w:val="4"/>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间：成交公告发出后的2个工作日内</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四川省成都市金牛万达写字楼SoHo A座16楼1601号</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联系人：王女士 </w:t>
            </w:r>
          </w:p>
          <w:p>
            <w:pPr>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028-83185568-625</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b/>
                <w:bCs/>
                <w:color w:val="auto"/>
                <w:sz w:val="24"/>
                <w:szCs w:val="24"/>
                <w:highlight w:val="none"/>
                <w:lang w:eastAsia="zh-CN"/>
              </w:rPr>
              <w:t>代理费缴纳凭证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单位介绍信、经办人身份证</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24</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信用融资</w:t>
            </w:r>
          </w:p>
        </w:tc>
        <w:tc>
          <w:tcPr>
            <w:tcW w:w="7125" w:type="dxa"/>
            <w:gridSpan w:val="4"/>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本项目支持“政采贷”。根据《四川省财政厅关于推进四川省政府</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采购供应商信用融资工作的通知》（川财采〔2018〕123 号），供应</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商无需提供财产抵押或第三方担保，凭借政府采购合同向融资机构</w:t>
            </w:r>
          </w:p>
          <w:p>
            <w:pPr>
              <w:spacing w:beforeLines="50" w:afterLines="50"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申请融资，融资机构根据其授信政策为供应商提供信用贷款。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25</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kern w:val="2"/>
                <w:sz w:val="24"/>
                <w:szCs w:val="24"/>
                <w:highlight w:val="none"/>
                <w:lang w:val="en-US" w:eastAsia="zh-CN"/>
              </w:rPr>
              <w:t>政采贷</w:t>
            </w:r>
          </w:p>
        </w:tc>
        <w:tc>
          <w:tcPr>
            <w:tcW w:w="7125" w:type="dxa"/>
            <w:gridSpan w:val="4"/>
            <w:vAlign w:val="top"/>
          </w:tcPr>
          <w:p>
            <w:pPr>
              <w:spacing w:beforeLines="50" w:afterLines="5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rPr>
              <w:t>1.政府采购供应商信用融资，是指银行以政府采购供应商信用审查和政府采购信誉为基础，依托政府采购合 同，按优于一般企业的贷款程序和利率，直接向申请贷 款的供应商发放无财产抵押贷款的一种融资模式。 2.根据《四川省财政厅关于推进四川省政府采购供应 商信用融资工作的通知》（川财采〔2018〕123 号）等有关文件规定，有融资需求的中小企业可根据四川政府采购网公示的银行及其“政采 贷”产品，自行选择符合自身情况的“政采贷”银行及 其产品，凭中标(成交)通知书向银行提出贷款意向申请</w:t>
            </w:r>
            <w:r>
              <w:rPr>
                <w:rFonts w:hint="eastAsia" w:ascii="宋体" w:hAnsi="宋体" w:eastAsia="宋体" w:cs="宋体"/>
                <w:color w:val="auto"/>
                <w:sz w:val="24"/>
                <w:szCs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26</w:t>
            </w:r>
          </w:p>
        </w:tc>
        <w:tc>
          <w:tcPr>
            <w:tcW w:w="2086" w:type="dxa"/>
            <w:vAlign w:val="center"/>
          </w:tcPr>
          <w:p>
            <w:pPr>
              <w:pStyle w:val="39"/>
              <w:spacing w:beforeLines="50" w:afterLines="50" w:line="360" w:lineRule="auto"/>
              <w:ind w:left="9" w:leftChars="0"/>
              <w:jc w:val="center"/>
              <w:rPr>
                <w:rFonts w:ascii="宋体" w:hAnsi="宋体" w:eastAsia="宋体" w:cs="宋体"/>
                <w:color w:val="auto"/>
                <w:sz w:val="24"/>
                <w:szCs w:val="24"/>
              </w:rPr>
            </w:pPr>
            <w:r>
              <w:rPr>
                <w:rFonts w:ascii="宋体" w:hAnsi="宋体" w:eastAsia="宋体" w:cs="宋体"/>
                <w:color w:val="auto"/>
                <w:sz w:val="24"/>
                <w:szCs w:val="24"/>
              </w:rPr>
              <w:t>商品包装和快递包 装</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7125" w:type="dxa"/>
            <w:gridSpan w:val="4"/>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提供产品及相关快递服务的具体包装要求按照《商品包装政府采购需求标准（试行）》、《快递包装政府采购需求标准（试行）》（财办库〔2020〕 123 号）执行。（提供承诺函原件加盖供应商公章）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27</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支持脱贫攻坚</w:t>
            </w:r>
          </w:p>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7125" w:type="dxa"/>
            <w:gridSpan w:val="4"/>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财库〔2019〕27号，优先采购贫困地区农副产品、优先采购聘用建档立卡贫困人员物业公司提供的物业服务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28</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特别提醒</w:t>
            </w:r>
          </w:p>
        </w:tc>
        <w:tc>
          <w:tcPr>
            <w:tcW w:w="7125" w:type="dxa"/>
            <w:gridSpan w:val="4"/>
            <w:vAlign w:val="center"/>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供应商必须按照磋商文件据实填写，不得虚假应答，凡经查实，将取消其成交资格，并上报财政部门，处以采购金额5‰以上10‰以下的罚款，列入不良行为记录名单，在1-3年内禁止参加政府采购活动。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9"/>
              <w:spacing w:beforeLines="50" w:afterLines="50" w:line="360" w:lineRule="auto"/>
              <w:ind w:left="9" w:leftChars="0"/>
              <w:jc w:val="center"/>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29</w:t>
            </w:r>
          </w:p>
        </w:tc>
        <w:tc>
          <w:tcPr>
            <w:tcW w:w="2086" w:type="dxa"/>
            <w:vAlign w:val="center"/>
          </w:tcPr>
          <w:p>
            <w:pPr>
              <w:pStyle w:val="39"/>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7125" w:type="dxa"/>
            <w:gridSpan w:val="4"/>
            <w:vAlign w:val="center"/>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pStyle w:val="8"/>
        <w:spacing w:line="360" w:lineRule="auto"/>
        <w:ind w:firstLine="420"/>
        <w:rPr>
          <w:color w:val="auto"/>
          <w:highlight w:val="none"/>
        </w:rPr>
      </w:pPr>
    </w:p>
    <w:p>
      <w:pPr>
        <w:pStyle w:val="4"/>
        <w:snapToGrid w:val="0"/>
        <w:spacing w:line="360" w:lineRule="auto"/>
        <w:jc w:val="center"/>
        <w:rPr>
          <w:rFonts w:hint="eastAsia" w:ascii="宋体" w:hAnsi="宋体" w:eastAsia="宋体" w:cs="宋体"/>
          <w:bCs w:val="0"/>
          <w:color w:val="auto"/>
          <w:highlight w:val="none"/>
        </w:rPr>
      </w:pPr>
      <w:r>
        <w:rPr>
          <w:rFonts w:hint="eastAsia" w:ascii="黑体"/>
          <w:bCs w:val="0"/>
          <w:color w:val="auto"/>
          <w:highlight w:val="none"/>
        </w:rPr>
        <w:br w:type="page"/>
      </w:r>
      <w:bookmarkStart w:id="19" w:name="_Toc31873"/>
      <w:bookmarkStart w:id="20" w:name="_Toc10726"/>
      <w:r>
        <w:rPr>
          <w:rFonts w:hint="eastAsia" w:ascii="宋体" w:hAnsi="宋体" w:eastAsia="宋体" w:cs="宋体"/>
          <w:bCs w:val="0"/>
          <w:color w:val="auto"/>
          <w:highlight w:val="none"/>
        </w:rPr>
        <w:t>二 、总  则</w:t>
      </w:r>
      <w:bookmarkEnd w:id="19"/>
      <w:bookmarkEnd w:id="20"/>
    </w:p>
    <w:p>
      <w:pPr>
        <w:pStyle w:val="5"/>
        <w:snapToGrid w:val="0"/>
        <w:spacing w:line="360" w:lineRule="auto"/>
        <w:ind w:firstLine="482" w:firstLineChars="200"/>
        <w:rPr>
          <w:rFonts w:hAnsi="宋体"/>
          <w:color w:val="auto"/>
          <w:sz w:val="24"/>
          <w:highlight w:val="none"/>
        </w:rPr>
      </w:pPr>
      <w:bookmarkStart w:id="21" w:name="_Toc9475"/>
      <w:r>
        <w:rPr>
          <w:rFonts w:hint="eastAsia" w:hAnsi="宋体"/>
          <w:color w:val="auto"/>
          <w:sz w:val="24"/>
          <w:highlight w:val="none"/>
        </w:rPr>
        <w:t>1</w:t>
      </w:r>
      <w:r>
        <w:rPr>
          <w:rFonts w:hAnsi="宋体"/>
          <w:color w:val="auto"/>
          <w:sz w:val="24"/>
          <w:highlight w:val="none"/>
        </w:rPr>
        <w:t>.</w:t>
      </w:r>
      <w:r>
        <w:rPr>
          <w:rFonts w:hint="eastAsia" w:hAnsi="宋体"/>
          <w:color w:val="auto"/>
          <w:highlight w:val="none"/>
        </w:rPr>
        <w:t xml:space="preserve"> </w:t>
      </w:r>
      <w:r>
        <w:rPr>
          <w:rFonts w:hint="eastAsia" w:hAnsi="宋体"/>
          <w:color w:val="auto"/>
          <w:sz w:val="24"/>
          <w:szCs w:val="24"/>
          <w:highlight w:val="none"/>
        </w:rPr>
        <w:t>适用范围</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1 本磋商文件仅适用于本次竞争性磋商采购项目。</w:t>
      </w:r>
    </w:p>
    <w:p>
      <w:pPr>
        <w:pStyle w:val="2"/>
        <w:spacing w:line="360" w:lineRule="auto"/>
        <w:ind w:firstLine="480" w:firstLineChars="200"/>
        <w:rPr>
          <w:rFonts w:hAnsi="宋体"/>
          <w:color w:val="auto"/>
          <w:sz w:val="24"/>
          <w:highlight w:val="none"/>
        </w:rPr>
      </w:pPr>
      <w:r>
        <w:rPr>
          <w:rFonts w:hint="eastAsia" w:hAnsi="宋体"/>
          <w:color w:val="auto"/>
          <w:sz w:val="24"/>
          <w:highlight w:val="none"/>
        </w:rPr>
        <w:t>1.2 本磋商文件的解释权归采购人和采购代理机构所有。</w:t>
      </w:r>
    </w:p>
    <w:p>
      <w:pPr>
        <w:pStyle w:val="5"/>
        <w:snapToGrid w:val="0"/>
        <w:spacing w:line="360" w:lineRule="auto"/>
        <w:ind w:firstLine="482"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 xml:space="preserve"> 有关</w:t>
      </w:r>
      <w:r>
        <w:rPr>
          <w:rFonts w:hint="eastAsia" w:hAnsi="宋体"/>
          <w:color w:val="auto"/>
          <w:sz w:val="24"/>
          <w:szCs w:val="24"/>
          <w:highlight w:val="none"/>
        </w:rPr>
        <w:t>定义</w:t>
      </w:r>
      <w:bookmarkEnd w:id="21"/>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1 “采购人”系指依法进行政府采购的国家机关、事业单位、团体组织。本次竞争性磋商项目的采购人是</w:t>
      </w:r>
      <w:r>
        <w:rPr>
          <w:rFonts w:hint="eastAsia" w:hAnsi="宋体" w:cs="宋体"/>
          <w:b/>
          <w:color w:val="auto"/>
          <w:sz w:val="24"/>
          <w:highlight w:val="none"/>
          <w:u w:color="FFFFFF" w:themeColor="background1"/>
          <w:lang w:eastAsia="zh-CN"/>
        </w:rPr>
        <w:t>彭州市文物保护管理所</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2 “采购代理机构” 系指根据采购人的委托依法办理竞争性磋商事宜的采购机构。本次竞争性磋商的采购代理机构是</w:t>
      </w:r>
      <w:r>
        <w:rPr>
          <w:rFonts w:hint="eastAsia" w:hAnsi="宋体"/>
          <w:b/>
          <w:bCs/>
          <w:color w:val="auto"/>
          <w:sz w:val="24"/>
          <w:highlight w:val="none"/>
        </w:rPr>
        <w:t>四川中科远洋工程项目管理有限公司</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2.3 “竞争性磋商采购单位”系指“采购人”和“采购代理机构”的统称。</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4 “供应商”系指购买了磋商文件拟参加磋商和向采购人提供相应工程和服务的供应商。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2.5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2.6 本磋商文件各部分规定的时间均以北京时间为准。</w:t>
      </w:r>
    </w:p>
    <w:p>
      <w:pPr>
        <w:pStyle w:val="5"/>
        <w:snapToGrid w:val="0"/>
        <w:spacing w:line="360" w:lineRule="auto"/>
        <w:ind w:firstLine="482" w:firstLineChars="200"/>
        <w:rPr>
          <w:rFonts w:hAnsi="宋体"/>
          <w:color w:val="auto"/>
          <w:sz w:val="24"/>
          <w:highlight w:val="none"/>
        </w:rPr>
      </w:pPr>
      <w:bookmarkStart w:id="22" w:name="_Toc26373"/>
      <w:r>
        <w:rPr>
          <w:rFonts w:hAnsi="宋体"/>
          <w:color w:val="auto"/>
          <w:sz w:val="24"/>
          <w:highlight w:val="none"/>
        </w:rPr>
        <w:t>3.</w:t>
      </w:r>
      <w:r>
        <w:rPr>
          <w:rFonts w:hint="eastAsia" w:hAnsi="宋体"/>
          <w:color w:val="auto"/>
          <w:sz w:val="24"/>
          <w:highlight w:val="none"/>
        </w:rPr>
        <w:t xml:space="preserve"> 合格的供应商（</w:t>
      </w:r>
      <w:r>
        <w:rPr>
          <w:rFonts w:hint="eastAsia" w:hAnsi="宋体"/>
          <w:b/>
          <w:color w:val="auto"/>
          <w:sz w:val="24"/>
          <w:highlight w:val="none"/>
          <w:lang w:eastAsia="zh-CN"/>
        </w:rPr>
        <w:t>实质性要求</w:t>
      </w:r>
      <w:r>
        <w:rPr>
          <w:rFonts w:hint="eastAsia" w:hAnsi="宋体"/>
          <w:color w:val="auto"/>
          <w:sz w:val="24"/>
          <w:highlight w:val="none"/>
        </w:rPr>
        <w:t>）</w:t>
      </w:r>
      <w:bookmarkEnd w:id="22"/>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合格供应商应具备以下条件：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3.1 具备法律法规和本采购文件规定的资格条件；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3.2 不属于禁止参加本项目采购活动的供应商；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3.3 按照规定获取了磋商文件，属于实质性参加政府采购活动的供应商。</w:t>
      </w:r>
    </w:p>
    <w:p>
      <w:pPr>
        <w:pStyle w:val="5"/>
        <w:snapToGrid w:val="0"/>
        <w:spacing w:line="360" w:lineRule="auto"/>
        <w:ind w:firstLine="482" w:firstLineChars="200"/>
        <w:rPr>
          <w:rFonts w:hAnsi="宋体"/>
          <w:color w:val="auto"/>
          <w:sz w:val="24"/>
          <w:highlight w:val="none"/>
        </w:rPr>
      </w:pPr>
      <w:bookmarkStart w:id="23" w:name="_Toc22765"/>
      <w:r>
        <w:rPr>
          <w:rFonts w:hint="eastAsia" w:hAnsi="宋体"/>
          <w:color w:val="auto"/>
          <w:sz w:val="24"/>
          <w:highlight w:val="none"/>
        </w:rPr>
        <w:t>4. 磋商费用（</w:t>
      </w:r>
      <w:r>
        <w:rPr>
          <w:rFonts w:hint="eastAsia" w:hAnsi="宋体"/>
          <w:b/>
          <w:color w:val="auto"/>
          <w:sz w:val="24"/>
          <w:highlight w:val="none"/>
          <w:lang w:eastAsia="zh-CN"/>
        </w:rPr>
        <w:t>实质性要求</w:t>
      </w:r>
      <w:r>
        <w:rPr>
          <w:rFonts w:hint="eastAsia" w:hAnsi="宋体"/>
          <w:color w:val="auto"/>
          <w:sz w:val="24"/>
          <w:highlight w:val="none"/>
        </w:rPr>
        <w:t>）</w:t>
      </w:r>
      <w:bookmarkEnd w:id="23"/>
    </w:p>
    <w:p>
      <w:pPr>
        <w:tabs>
          <w:tab w:val="left" w:pos="7665"/>
        </w:tabs>
        <w:snapToGrid w:val="0"/>
        <w:spacing w:line="360" w:lineRule="auto"/>
        <w:ind w:firstLine="480"/>
        <w:rPr>
          <w:rFonts w:hAnsi="宋体"/>
          <w:color w:val="auto"/>
          <w:sz w:val="24"/>
          <w:highlight w:val="none"/>
        </w:rPr>
      </w:pPr>
      <w:r>
        <w:rPr>
          <w:rFonts w:hint="eastAsia" w:hAnsi="宋体"/>
          <w:color w:val="auto"/>
          <w:sz w:val="24"/>
          <w:highlight w:val="none"/>
        </w:rPr>
        <w:t>供应商参加磋商的有关一切费用由供应商自行承担。</w:t>
      </w:r>
    </w:p>
    <w:p>
      <w:pPr>
        <w:pStyle w:val="5"/>
        <w:snapToGrid w:val="0"/>
        <w:spacing w:line="360" w:lineRule="auto"/>
        <w:ind w:firstLine="482" w:firstLineChars="200"/>
        <w:rPr>
          <w:rFonts w:hAnsi="宋体"/>
          <w:color w:val="auto"/>
          <w:sz w:val="24"/>
          <w:highlight w:val="none"/>
        </w:rPr>
      </w:pPr>
      <w:bookmarkStart w:id="24" w:name="_Toc284"/>
      <w:r>
        <w:rPr>
          <w:rFonts w:hint="eastAsia" w:hAnsi="宋体"/>
          <w:color w:val="auto"/>
          <w:sz w:val="24"/>
          <w:highlight w:val="none"/>
        </w:rPr>
        <w:t>5. 充分、公平竞争保障措施（</w:t>
      </w:r>
      <w:r>
        <w:rPr>
          <w:rFonts w:hint="eastAsia" w:hAnsi="宋体"/>
          <w:b/>
          <w:color w:val="auto"/>
          <w:sz w:val="24"/>
          <w:highlight w:val="none"/>
          <w:lang w:eastAsia="zh-CN"/>
        </w:rPr>
        <w:t>实质性要求</w:t>
      </w:r>
      <w:r>
        <w:rPr>
          <w:rFonts w:hint="eastAsia" w:hAnsi="宋体"/>
          <w:color w:val="auto"/>
          <w:sz w:val="24"/>
          <w:highlight w:val="none"/>
        </w:rPr>
        <w:t>）</w:t>
      </w:r>
      <w:bookmarkEnd w:id="24"/>
    </w:p>
    <w:p>
      <w:pPr>
        <w:pStyle w:val="55"/>
        <w:adjustRightInd/>
        <w:snapToGrid w:val="0"/>
        <w:spacing w:line="360" w:lineRule="auto"/>
        <w:ind w:firstLine="482" w:firstLineChars="200"/>
        <w:rPr>
          <w:color w:val="auto"/>
          <w:sz w:val="24"/>
          <w:highlight w:val="none"/>
        </w:rPr>
      </w:pPr>
      <w:r>
        <w:rPr>
          <w:rFonts w:hint="eastAsia"/>
          <w:b/>
          <w:bCs/>
          <w:color w:val="auto"/>
          <w:sz w:val="24"/>
          <w:highlight w:val="none"/>
        </w:rPr>
        <w:t>5.1利害关系供应商处理</w:t>
      </w:r>
      <w:r>
        <w:rPr>
          <w:rFonts w:hint="eastAsia"/>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5"/>
        <w:adjustRightInd/>
        <w:snapToGrid w:val="0"/>
        <w:spacing w:line="360" w:lineRule="auto"/>
        <w:ind w:firstLine="482" w:firstLineChars="200"/>
        <w:rPr>
          <w:color w:val="auto"/>
          <w:sz w:val="24"/>
          <w:highlight w:val="none"/>
        </w:rPr>
      </w:pPr>
      <w:r>
        <w:rPr>
          <w:rFonts w:hint="eastAsia"/>
          <w:b/>
          <w:bCs/>
          <w:color w:val="auto"/>
          <w:sz w:val="24"/>
          <w:highlight w:val="none"/>
        </w:rPr>
        <w:t>5.2利害关系授权代表处理。</w:t>
      </w:r>
      <w:r>
        <w:rPr>
          <w:rFonts w:hint="eastAsia"/>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5"/>
        <w:adjustRightInd/>
        <w:snapToGrid w:val="0"/>
        <w:spacing w:line="360" w:lineRule="auto"/>
        <w:ind w:firstLine="482" w:firstLineChars="200"/>
        <w:rPr>
          <w:color w:val="auto"/>
          <w:sz w:val="24"/>
          <w:highlight w:val="none"/>
        </w:rPr>
      </w:pPr>
      <w:r>
        <w:rPr>
          <w:rFonts w:hint="eastAsia"/>
          <w:b/>
          <w:bCs/>
          <w:color w:val="auto"/>
          <w:sz w:val="24"/>
          <w:highlight w:val="none"/>
        </w:rPr>
        <w:t>5.3前期参与供应商处理。</w:t>
      </w:r>
      <w:r>
        <w:rPr>
          <w:rFonts w:hint="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5"/>
        <w:adjustRightInd/>
        <w:snapToGrid w:val="0"/>
        <w:spacing w:line="360" w:lineRule="auto"/>
        <w:ind w:firstLine="482" w:firstLineChars="200"/>
        <w:rPr>
          <w:color w:val="auto"/>
          <w:sz w:val="24"/>
          <w:highlight w:val="none"/>
        </w:rPr>
      </w:pPr>
      <w:r>
        <w:rPr>
          <w:rFonts w:hint="eastAsia"/>
          <w:b/>
          <w:bCs/>
          <w:color w:val="auto"/>
          <w:sz w:val="24"/>
          <w:highlight w:val="none"/>
        </w:rPr>
        <w:t>5.4提供相同品牌产品处理（</w:t>
      </w:r>
      <w:r>
        <w:rPr>
          <w:rFonts w:hint="eastAsia"/>
          <w:b/>
          <w:bCs/>
          <w:color w:val="auto"/>
          <w:sz w:val="24"/>
          <w:highlight w:val="none"/>
          <w:lang w:eastAsia="zh-CN"/>
        </w:rPr>
        <w:t>不涉及</w:t>
      </w:r>
      <w:r>
        <w:rPr>
          <w:rFonts w:hint="eastAsia"/>
          <w:b/>
          <w:bCs/>
          <w:color w:val="auto"/>
          <w:sz w:val="24"/>
          <w:highlight w:val="none"/>
        </w:rPr>
        <w:t>)。</w:t>
      </w:r>
      <w:r>
        <w:rPr>
          <w:rFonts w:hint="eastAsia"/>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非单一产品采购项目中，多家供应商提供的部分或所有核心产品品牌相同的，视为提供相同品牌产品。</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5.5供应商实际控制人或者中高级管理人员，同时是采购代理机构工作人员，不得参与本项目政府采购活动。</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5.7供应商与采购代理机构存在关联关系，或者是采购代理机构的母公司或子公司，不得参加本项目政府采购活动。</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5.8回避。政府采购活动中，采购人员及相关人员与供应商有下列利害关系之一的，应当回避：</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（1）参加采购活动前3年内与供应商存在劳动关系；</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（2）参加采购活动前3年内担任供应商的董事、监事；</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（3）参加采购活动前3年内是供应商的控股股东或者实际控制人；</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（4）与供应商的法定代表人或者负责人有夫妻、直系血亲、三代以内旁系血亲或者近姻亲关系；</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（5）与供应商有其他可能影响政府采购活动公平、公正进行的关系。</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6.联合体竞争性磋商（</w:t>
      </w:r>
      <w:r>
        <w:rPr>
          <w:rFonts w:hint="eastAsia" w:hAnsi="宋体"/>
          <w:b/>
          <w:color w:val="auto"/>
          <w:sz w:val="24"/>
          <w:highlight w:val="none"/>
          <w:lang w:eastAsia="zh-CN"/>
        </w:rPr>
        <w:t>若涉及</w:t>
      </w:r>
      <w:r>
        <w:rPr>
          <w:rFonts w:hint="eastAsia" w:hAnsi="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5"/>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7.磋商保证金</w:t>
      </w:r>
      <w:r>
        <w:rPr>
          <w:rFonts w:hint="eastAsia"/>
          <w:b/>
          <w:bCs/>
          <w:color w:val="auto"/>
          <w:sz w:val="24"/>
          <w:highlight w:val="none"/>
        </w:rPr>
        <w:t>（</w:t>
      </w:r>
      <w:r>
        <w:rPr>
          <w:rFonts w:hint="eastAsia"/>
          <w:b/>
          <w:bCs/>
          <w:color w:val="auto"/>
          <w:sz w:val="24"/>
          <w:highlight w:val="none"/>
          <w:lang w:eastAsia="zh-CN"/>
        </w:rPr>
        <w:t>不涉及）</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8.响应文件有效期（</w:t>
      </w:r>
      <w:r>
        <w:rPr>
          <w:rFonts w:hint="eastAsia" w:hAnsi="宋体"/>
          <w:b/>
          <w:color w:val="auto"/>
          <w:sz w:val="24"/>
          <w:highlight w:val="none"/>
          <w:lang w:eastAsia="zh-CN"/>
        </w:rPr>
        <w:t>实质性要求</w:t>
      </w:r>
      <w:r>
        <w:rPr>
          <w:rFonts w:hint="eastAsia" w:hAnsi="宋体"/>
          <w:color w:val="auto"/>
          <w:sz w:val="24"/>
          <w:highlight w:val="none"/>
        </w:rPr>
        <w:t>）</w:t>
      </w:r>
    </w:p>
    <w:p>
      <w:pPr>
        <w:pStyle w:val="55"/>
        <w:adjustRightInd/>
        <w:snapToGrid w:val="0"/>
        <w:spacing w:line="360" w:lineRule="auto"/>
        <w:ind w:firstLine="482" w:firstLineChars="200"/>
        <w:rPr>
          <w:color w:val="auto"/>
          <w:sz w:val="24"/>
          <w:highlight w:val="none"/>
        </w:rPr>
      </w:pPr>
      <w:r>
        <w:rPr>
          <w:rFonts w:hint="eastAsia"/>
          <w:b/>
          <w:bCs/>
          <w:color w:val="auto"/>
          <w:sz w:val="24"/>
          <w:highlight w:val="none"/>
        </w:rPr>
        <w:t>本项目响应文件有效期为递交磋商响应文件截止之日起90天。</w:t>
      </w:r>
      <w:r>
        <w:rPr>
          <w:rFonts w:hint="eastAsia"/>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9.知识产权（</w:t>
      </w:r>
      <w:r>
        <w:rPr>
          <w:rFonts w:hint="eastAsia" w:hAnsi="宋体"/>
          <w:b/>
          <w:color w:val="auto"/>
          <w:sz w:val="24"/>
          <w:highlight w:val="none"/>
          <w:lang w:eastAsia="zh-CN"/>
        </w:rPr>
        <w:t>实质性要求</w:t>
      </w:r>
      <w:r>
        <w:rPr>
          <w:rFonts w:hint="eastAsia" w:hAnsi="宋体"/>
          <w:color w:val="auto"/>
          <w:sz w:val="24"/>
          <w:highlight w:val="none"/>
        </w:rPr>
        <w:t>）</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.1</w:t>
      </w:r>
      <w:r>
        <w:rPr>
          <w:rFonts w:hint="eastAsia"/>
          <w:color w:val="auto"/>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.2</w:t>
      </w:r>
      <w:r>
        <w:rPr>
          <w:rFonts w:hint="eastAsia"/>
          <w:color w:val="auto"/>
          <w:sz w:val="24"/>
          <w:highlight w:val="none"/>
        </w:rPr>
        <w:t xml:space="preserve"> 除非磋商文件特别规定，采购人享有本项目实施过程中产生的知识成果及知识产权。</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.3</w:t>
      </w:r>
      <w:r>
        <w:rPr>
          <w:rFonts w:hint="eastAsia"/>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55"/>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.4</w:t>
      </w:r>
      <w:r>
        <w:rPr>
          <w:rFonts w:hint="eastAsia"/>
          <w:color w:val="auto"/>
          <w:sz w:val="24"/>
          <w:highlight w:val="none"/>
        </w:rPr>
        <w:t xml:space="preserve"> 如采用供应商所不拥有的知识产权，则在报价中必须包括合法获取该知识产权的相关费用。 </w:t>
      </w:r>
    </w:p>
    <w:p>
      <w:pPr>
        <w:pStyle w:val="4"/>
        <w:snapToGrid w:val="0"/>
        <w:spacing w:line="360" w:lineRule="auto"/>
        <w:jc w:val="center"/>
        <w:rPr>
          <w:rFonts w:ascii="黑体"/>
          <w:bCs w:val="0"/>
          <w:color w:val="auto"/>
          <w:highlight w:val="none"/>
        </w:rPr>
      </w:pPr>
      <w:bookmarkStart w:id="25" w:name="_Toc30248"/>
      <w:bookmarkStart w:id="26" w:name="_Toc24010"/>
      <w:r>
        <w:rPr>
          <w:rFonts w:hint="eastAsia" w:ascii="宋体" w:hAnsi="宋体" w:eastAsia="宋体" w:cs="宋体"/>
          <w:bCs w:val="0"/>
          <w:color w:val="auto"/>
          <w:highlight w:val="none"/>
        </w:rPr>
        <w:t>三、磋商文件</w:t>
      </w:r>
      <w:bookmarkEnd w:id="25"/>
      <w:bookmarkEnd w:id="26"/>
    </w:p>
    <w:p>
      <w:pPr>
        <w:pStyle w:val="5"/>
        <w:keepNext w:val="0"/>
        <w:keepLines w:val="0"/>
        <w:spacing w:line="360" w:lineRule="auto"/>
        <w:ind w:firstLine="482" w:firstLineChars="200"/>
        <w:rPr>
          <w:rFonts w:ascii="宋体" w:hAnsi="宋体" w:eastAsia="宋体" w:cs="宋体"/>
          <w:color w:val="auto"/>
          <w:sz w:val="24"/>
          <w:highlight w:val="none"/>
        </w:rPr>
      </w:pPr>
      <w:bookmarkStart w:id="27" w:name="_Toc217446041"/>
      <w:bookmarkStart w:id="28" w:name="_Toc208848971"/>
      <w:r>
        <w:rPr>
          <w:rFonts w:hint="eastAsia" w:ascii="宋体" w:hAnsi="宋体" w:eastAsia="宋体" w:cs="宋体"/>
          <w:color w:val="auto"/>
          <w:sz w:val="24"/>
          <w:highlight w:val="none"/>
        </w:rPr>
        <w:t>10．磋商文件的构成（</w:t>
      </w:r>
      <w:r>
        <w:rPr>
          <w:rFonts w:hint="eastAsia" w:ascii="宋体" w:hAnsi="宋体" w:eastAsia="宋体" w:cs="宋体"/>
          <w:b/>
          <w:color w:val="auto"/>
          <w:sz w:val="24"/>
          <w:highlight w:val="none"/>
          <w:lang w:eastAsia="zh-CN"/>
        </w:rPr>
        <w:t>实质性要求</w:t>
      </w:r>
      <w:r>
        <w:rPr>
          <w:rFonts w:hint="eastAsia" w:ascii="宋体" w:hAnsi="宋体" w:eastAsia="宋体" w:cs="宋体"/>
          <w:color w:val="auto"/>
          <w:sz w:val="24"/>
          <w:highlight w:val="none"/>
        </w:rPr>
        <w:t>）</w:t>
      </w:r>
    </w:p>
    <w:p>
      <w:pPr>
        <w:tabs>
          <w:tab w:val="left" w:pos="720"/>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line="360" w:lineRule="auto"/>
        <w:ind w:firstLine="482" w:firstLineChars="200"/>
        <w:rPr>
          <w:rFonts w:hint="eastAsia" w:ascii="宋体" w:hAnsi="宋体" w:eastAsia="宋体" w:cs="宋体"/>
          <w:color w:val="auto"/>
          <w:sz w:val="24"/>
          <w:highlight w:val="none"/>
        </w:rPr>
      </w:pPr>
      <w:bookmarkStart w:id="29" w:name="_Toc183582211"/>
      <w:bookmarkStart w:id="30" w:name="_Toc183682348"/>
      <w:bookmarkStart w:id="31" w:name="_Toc217446040"/>
      <w:r>
        <w:rPr>
          <w:rFonts w:hint="eastAsia" w:ascii="宋体" w:hAnsi="宋体" w:eastAsia="宋体" w:cs="宋体"/>
          <w:color w:val="auto"/>
          <w:sz w:val="24"/>
          <w:highlight w:val="none"/>
        </w:rPr>
        <w:t>11. 磋商文件的澄清</w:t>
      </w:r>
      <w:bookmarkEnd w:id="29"/>
      <w:bookmarkEnd w:id="30"/>
      <w:r>
        <w:rPr>
          <w:rFonts w:hint="eastAsia" w:ascii="宋体" w:hAnsi="宋体" w:eastAsia="宋体" w:cs="宋体"/>
          <w:color w:val="auto"/>
          <w:sz w:val="24"/>
          <w:highlight w:val="none"/>
        </w:rPr>
        <w:t>和修改</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11.1 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代理机构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 w:val="0"/>
          <w:bCs w:val="0"/>
          <w:color w:val="auto"/>
          <w:highlight w:val="none"/>
        </w:rPr>
      </w:pPr>
      <w:r>
        <w:rPr>
          <w:rFonts w:hint="eastAsia"/>
          <w:color w:val="auto"/>
          <w:highlight w:val="none"/>
        </w:rPr>
        <w:t>11.3供应商认为采购人或采购代理机构需要对磋商文件进行澄清或者修改的，可以在3日内以书面形式向采购人或采购代理机构提出申请，由采购人或采购代理机构决定是否采纳供应商的申请事项。</w:t>
      </w:r>
    </w:p>
    <w:p>
      <w:pPr>
        <w:pStyle w:val="5"/>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答疑会和现场考察</w:t>
      </w:r>
      <w:bookmarkEnd w:id="27"/>
      <w:bookmarkEnd w:id="28"/>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hAnsi="宋体" w:eastAsia="宋体" w:cs="宋体"/>
          <w:color w:val="auto"/>
          <w:sz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4"/>
        <w:snapToGrid w:val="0"/>
        <w:spacing w:line="360" w:lineRule="auto"/>
        <w:jc w:val="center"/>
        <w:rPr>
          <w:rFonts w:ascii="宋体" w:hAnsi="宋体" w:eastAsia="宋体" w:cs="宋体"/>
          <w:bCs w:val="0"/>
          <w:color w:val="auto"/>
          <w:highlight w:val="none"/>
        </w:rPr>
      </w:pPr>
      <w:bookmarkStart w:id="32" w:name="_Toc32563"/>
      <w:bookmarkStart w:id="33" w:name="_Toc29188"/>
      <w:r>
        <w:rPr>
          <w:rFonts w:hint="eastAsia" w:ascii="宋体" w:hAnsi="宋体" w:eastAsia="宋体" w:cs="宋体"/>
          <w:bCs w:val="0"/>
          <w:color w:val="auto"/>
          <w:highlight w:val="none"/>
        </w:rPr>
        <w:t>四、响应文件</w:t>
      </w:r>
      <w:bookmarkEnd w:id="32"/>
      <w:bookmarkEnd w:id="33"/>
    </w:p>
    <w:p>
      <w:pPr>
        <w:pStyle w:val="5"/>
        <w:snapToGrid w:val="0"/>
        <w:spacing w:line="360" w:lineRule="auto"/>
        <w:ind w:firstLine="482" w:firstLineChars="200"/>
        <w:rPr>
          <w:rFonts w:hAnsi="宋体" w:eastAsia="宋体"/>
          <w:color w:val="auto"/>
          <w:sz w:val="24"/>
          <w:highlight w:val="none"/>
        </w:rPr>
      </w:pPr>
      <w:bookmarkStart w:id="34" w:name="_Toc183682352"/>
      <w:bookmarkStart w:id="35" w:name="_Toc183582215"/>
      <w:bookmarkStart w:id="36" w:name="_Toc217446043"/>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13.1资格性响应文件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供应商按照磋商文件要求提供的有效资质证明文件（</w:t>
      </w:r>
      <w:r>
        <w:rPr>
          <w:rFonts w:hint="eastAsia" w:hAnsi="宋体"/>
          <w:b/>
          <w:bCs/>
          <w:color w:val="auto"/>
          <w:sz w:val="24"/>
          <w:highlight w:val="none"/>
        </w:rPr>
        <w:t>详见竞争性磋商文件第五章</w:t>
      </w:r>
      <w:r>
        <w:rPr>
          <w:rFonts w:hint="eastAsia" w:hAnsi="宋体"/>
          <w:color w:val="auto"/>
          <w:sz w:val="24"/>
          <w:highlight w:val="none"/>
        </w:rPr>
        <w:t>）。包括以下内容：</w:t>
      </w:r>
    </w:p>
    <w:p>
      <w:pPr>
        <w:snapToGrid w:val="0"/>
        <w:spacing w:line="360" w:lineRule="auto"/>
        <w:ind w:firstLine="360" w:firstLineChars="150"/>
        <w:rPr>
          <w:color w:val="auto"/>
          <w:sz w:val="24"/>
          <w:highlight w:val="none"/>
        </w:rPr>
      </w:pPr>
      <w:r>
        <w:rPr>
          <w:rFonts w:hint="eastAsia"/>
          <w:color w:val="auto"/>
          <w:sz w:val="24"/>
          <w:highlight w:val="none"/>
        </w:rPr>
        <w:t xml:space="preserve">（1）磋商承诺函； </w:t>
      </w:r>
    </w:p>
    <w:p>
      <w:pPr>
        <w:snapToGrid w:val="0"/>
        <w:spacing w:line="360" w:lineRule="auto"/>
        <w:ind w:firstLine="360" w:firstLineChars="150"/>
        <w:rPr>
          <w:color w:val="auto"/>
          <w:sz w:val="24"/>
          <w:highlight w:val="none"/>
        </w:rPr>
      </w:pPr>
      <w:r>
        <w:rPr>
          <w:rFonts w:hint="eastAsia"/>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color w:val="auto"/>
          <w:sz w:val="24"/>
          <w:highlight w:val="none"/>
        </w:rPr>
      </w:pPr>
      <w:r>
        <w:rPr>
          <w:rFonts w:hint="eastAsia"/>
          <w:color w:val="auto"/>
          <w:sz w:val="24"/>
          <w:highlight w:val="none"/>
        </w:rPr>
        <w:t>（3）良好商业信誉的证明材料；</w:t>
      </w:r>
    </w:p>
    <w:p>
      <w:pPr>
        <w:snapToGrid w:val="0"/>
        <w:spacing w:line="360" w:lineRule="auto"/>
        <w:ind w:firstLine="360" w:firstLineChars="150"/>
        <w:rPr>
          <w:color w:val="auto"/>
          <w:sz w:val="24"/>
          <w:highlight w:val="none"/>
        </w:rPr>
      </w:pPr>
      <w:r>
        <w:rPr>
          <w:rFonts w:hint="eastAsia"/>
          <w:color w:val="auto"/>
          <w:sz w:val="24"/>
          <w:highlight w:val="none"/>
        </w:rPr>
        <w:t>（4）具备健全的财务会计制度的证明材料；</w:t>
      </w:r>
    </w:p>
    <w:p>
      <w:pPr>
        <w:snapToGrid w:val="0"/>
        <w:spacing w:line="360" w:lineRule="auto"/>
        <w:ind w:firstLine="360" w:firstLineChars="150"/>
        <w:rPr>
          <w:color w:val="auto"/>
          <w:sz w:val="24"/>
          <w:highlight w:val="none"/>
        </w:rPr>
      </w:pPr>
      <w:r>
        <w:rPr>
          <w:rFonts w:hint="eastAsia"/>
          <w:color w:val="auto"/>
          <w:sz w:val="24"/>
          <w:highlight w:val="none"/>
        </w:rPr>
        <w:t>（5）依法缴纳税和社会保障资金的证明材料；</w:t>
      </w:r>
    </w:p>
    <w:p>
      <w:pPr>
        <w:snapToGrid w:val="0"/>
        <w:spacing w:line="360" w:lineRule="auto"/>
        <w:ind w:firstLine="360" w:firstLineChars="150"/>
        <w:rPr>
          <w:color w:val="auto"/>
          <w:sz w:val="24"/>
          <w:highlight w:val="none"/>
        </w:rPr>
      </w:pPr>
      <w:r>
        <w:rPr>
          <w:rFonts w:hint="eastAsia"/>
          <w:color w:val="auto"/>
          <w:sz w:val="24"/>
          <w:highlight w:val="none"/>
        </w:rPr>
        <w:t>（6）具备履行合同所必需的设备和专业技术能力的证明材料；</w:t>
      </w:r>
    </w:p>
    <w:p>
      <w:pPr>
        <w:snapToGrid w:val="0"/>
        <w:spacing w:line="360" w:lineRule="auto"/>
        <w:ind w:firstLine="360" w:firstLineChars="150"/>
        <w:rPr>
          <w:color w:val="auto"/>
          <w:sz w:val="24"/>
          <w:highlight w:val="none"/>
        </w:rPr>
      </w:pPr>
      <w:r>
        <w:rPr>
          <w:rFonts w:hint="eastAsia"/>
          <w:color w:val="auto"/>
          <w:sz w:val="24"/>
          <w:highlight w:val="none"/>
        </w:rPr>
        <w:t>（7）参加政府采购活动前三年内在经营活动中没有重大违法记录的承诺函；</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）法定代表人授权书原件、法定代表人和授权代表身证复印件；</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）供应商符合磋商文件规定的资格、资质性及其他具有类似效力要求的相关证明材料；</w:t>
      </w:r>
    </w:p>
    <w:p>
      <w:pPr>
        <w:snapToGrid w:val="0"/>
        <w:spacing w:line="360" w:lineRule="auto"/>
        <w:rPr>
          <w:rFonts w:hint="eastAsia"/>
          <w:color w:val="auto"/>
          <w:sz w:val="24"/>
          <w:highlight w:val="none"/>
        </w:rPr>
      </w:pPr>
      <w:r>
        <w:rPr>
          <w:rFonts w:hint="eastAsia"/>
          <w:color w:val="auto"/>
          <w:sz w:val="24"/>
          <w:highlight w:val="none"/>
        </w:rPr>
        <w:t xml:space="preserve">   （1</w:t>
      </w:r>
      <w:r>
        <w:rPr>
          <w:rFonts w:hint="eastAsia"/>
          <w:color w:val="auto"/>
          <w:sz w:val="24"/>
          <w:highlight w:val="none"/>
          <w:lang w:val="en-US" w:eastAsia="zh-CN"/>
        </w:rPr>
        <w:t>0</w:t>
      </w:r>
      <w:r>
        <w:rPr>
          <w:rFonts w:hint="eastAsia"/>
          <w:color w:val="auto"/>
          <w:sz w:val="24"/>
          <w:highlight w:val="none"/>
        </w:rPr>
        <w:t>）供应商认为需要提供的其他证明材料。</w:t>
      </w:r>
    </w:p>
    <w:p>
      <w:pPr>
        <w:pStyle w:val="2"/>
        <w:rPr>
          <w:color w:val="auto"/>
          <w:highlight w:val="none"/>
        </w:rPr>
      </w:pPr>
    </w:p>
    <w:p>
      <w:pPr>
        <w:snapToGrid w:val="0"/>
        <w:spacing w:line="360" w:lineRule="auto"/>
        <w:ind w:firstLine="480" w:firstLineChars="200"/>
        <w:rPr>
          <w:color w:val="auto"/>
          <w:sz w:val="24"/>
          <w:highlight w:val="none"/>
        </w:rPr>
      </w:pPr>
      <w:r>
        <w:rPr>
          <w:rFonts w:hint="eastAsia" w:hAnsi="宋体"/>
          <w:color w:val="auto"/>
          <w:sz w:val="24"/>
          <w:highlight w:val="none"/>
        </w:rPr>
        <w:t>13.2其他响应</w:t>
      </w:r>
      <w:r>
        <w:rPr>
          <w:rFonts w:hint="eastAsia"/>
          <w:color w:val="auto"/>
          <w:sz w:val="24"/>
          <w:highlight w:val="none"/>
        </w:rPr>
        <w:t>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（1）响应函；</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（3）中小企业（监狱企业）声明函（若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（4）残疾人福利性单位声明函（若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（5） 商务应答表；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（6） 技术应答表；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（7） 供应商基本情况表；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（8） </w:t>
      </w:r>
      <w:r>
        <w:rPr>
          <w:rFonts w:hint="eastAsia" w:hAnsi="宋体"/>
          <w:color w:val="auto"/>
          <w:sz w:val="24"/>
          <w:highlight w:val="none"/>
          <w:lang w:eastAsia="zh-CN"/>
        </w:rPr>
        <w:t>项目</w:t>
      </w:r>
      <w:r>
        <w:rPr>
          <w:rFonts w:hint="eastAsia" w:hAnsi="宋体"/>
          <w:color w:val="auto"/>
          <w:sz w:val="24"/>
          <w:highlight w:val="none"/>
        </w:rPr>
        <w:t>方案</w:t>
      </w:r>
      <w:r>
        <w:rPr>
          <w:rFonts w:hint="eastAsia" w:hAnsi="宋体"/>
          <w:color w:val="auto"/>
          <w:sz w:val="24"/>
          <w:highlight w:val="none"/>
          <w:lang w:eastAsia="zh-CN"/>
        </w:rPr>
        <w:t>（实施方案、服务方案及其他文件要求的相关资料）</w:t>
      </w:r>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（9） 供应商类似项目业绩一览表（若有）；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（10） 售后服务相关资料（若</w:t>
      </w:r>
      <w:r>
        <w:rPr>
          <w:rFonts w:hint="eastAsia" w:hAnsi="宋体"/>
          <w:color w:val="auto"/>
          <w:sz w:val="24"/>
          <w:highlight w:val="none"/>
          <w:lang w:eastAsia="zh-CN"/>
        </w:rPr>
        <w:t>涉及</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（11） 供应商本项目管理、技术、服务人员情况表；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（12）磋商文件中要求提供的其他文件和资料（若有）；</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（13）供应商认为需要提供的其他文件和资料（若有）。</w:t>
      </w:r>
    </w:p>
    <w:p>
      <w:pPr>
        <w:pStyle w:val="5"/>
        <w:keepNext w:val="0"/>
        <w:keepLines w:val="0"/>
        <w:spacing w:line="360" w:lineRule="auto"/>
        <w:ind w:firstLine="482" w:firstLineChars="200"/>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4"/>
      <w:bookmarkEnd w:id="35"/>
      <w:bookmarkEnd w:id="36"/>
      <w:r>
        <w:rPr>
          <w:rFonts w:hint="eastAsia" w:ascii="宋体" w:hAnsi="宋体" w:eastAsia="宋体" w:cs="宋体"/>
          <w:bCs w:val="0"/>
          <w:color w:val="auto"/>
          <w:sz w:val="24"/>
          <w:highlight w:val="none"/>
        </w:rPr>
        <w:t>（</w:t>
      </w:r>
      <w:r>
        <w:rPr>
          <w:rFonts w:hint="eastAsia" w:ascii="宋体" w:hAnsi="宋体" w:eastAsia="宋体" w:cs="宋体"/>
          <w:b/>
          <w:bCs w:val="0"/>
          <w:color w:val="auto"/>
          <w:sz w:val="24"/>
          <w:highlight w:val="none"/>
          <w:lang w:eastAsia="zh-CN"/>
        </w:rPr>
        <w:t>实质性要求</w:t>
      </w:r>
      <w:r>
        <w:rPr>
          <w:rFonts w:hint="eastAsia" w:ascii="宋体" w:hAnsi="宋体" w:eastAsia="宋体" w:cs="宋体"/>
          <w:bCs w:val="0"/>
          <w:color w:val="auto"/>
          <w:sz w:val="24"/>
          <w:highlight w:val="none"/>
        </w:rPr>
        <w:t>）</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highlight w:val="none"/>
        </w:rPr>
      </w:pPr>
      <w:r>
        <w:rPr>
          <w:rFonts w:hint="eastAsia" w:hAnsi="宋体" w:eastAsia="宋体" w:cs="宋体"/>
          <w:color w:val="auto"/>
          <w:sz w:val="24"/>
          <w:highlight w:val="none"/>
        </w:rPr>
        <w:t>14.2 翻译的中文资料与外文资料如果出现差异和矛盾，以中文为准。但不能故意错误翻译，否则，供应商的响应文件将作为无效处理。</w:t>
      </w:r>
      <w:bookmarkStart w:id="37" w:name="_Toc183582216"/>
      <w:bookmarkStart w:id="38" w:name="_Toc183682353"/>
      <w:bookmarkStart w:id="39" w:name="_Toc217446044"/>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7"/>
      <w:bookmarkEnd w:id="38"/>
      <w:bookmarkEnd w:id="39"/>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eastAsia="zh-CN"/>
        </w:rPr>
        <w:t>实质性要求</w:t>
      </w:r>
      <w:r>
        <w:rPr>
          <w:rFonts w:hint="eastAsia" w:ascii="宋体" w:hAnsi="宋体" w:eastAsia="宋体" w:cs="宋体"/>
          <w:color w:val="auto"/>
          <w:sz w:val="24"/>
          <w:highlight w:val="none"/>
        </w:rPr>
        <w:t>）</w:t>
      </w:r>
    </w:p>
    <w:p>
      <w:pPr>
        <w:spacing w:line="360" w:lineRule="auto"/>
        <w:ind w:firstLine="470" w:firstLineChars="196"/>
        <w:rPr>
          <w:rFonts w:hAnsi="宋体" w:eastAsia="宋体" w:cs="宋体"/>
          <w:b/>
          <w:bCs/>
          <w:color w:val="auto"/>
          <w:sz w:val="24"/>
          <w:highlight w:val="none"/>
        </w:rPr>
      </w:pPr>
      <w:r>
        <w:rPr>
          <w:rFonts w:hint="eastAsia" w:hAnsi="宋体" w:eastAsia="宋体" w:cs="宋体"/>
          <w:color w:val="auto"/>
          <w:sz w:val="24"/>
          <w:highlight w:val="none"/>
        </w:rPr>
        <w:t>除磋商文件中另有规定外，本次采购项目所有合同项下的报价均采用国家法定的计量单位。</w:t>
      </w:r>
      <w:bookmarkStart w:id="40" w:name="_Toc217446045"/>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 报价货币（</w:t>
      </w:r>
      <w:r>
        <w:rPr>
          <w:rFonts w:hint="eastAsia" w:ascii="宋体" w:hAnsi="宋体" w:eastAsia="宋体" w:cs="宋体"/>
          <w:b/>
          <w:color w:val="auto"/>
          <w:sz w:val="24"/>
          <w:highlight w:val="none"/>
          <w:lang w:eastAsia="zh-CN"/>
        </w:rPr>
        <w:t>实质性要求</w:t>
      </w:r>
      <w:r>
        <w:rPr>
          <w:rFonts w:hint="eastAsia" w:ascii="宋体" w:hAnsi="宋体" w:eastAsia="宋体" w:cs="宋体"/>
          <w:color w:val="auto"/>
          <w:sz w:val="24"/>
          <w:highlight w:val="none"/>
        </w:rPr>
        <w:t>）</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本次磋商项目的</w:t>
      </w:r>
      <w:r>
        <w:rPr>
          <w:rFonts w:hint="eastAsia" w:hAnsi="宋体" w:eastAsia="宋体" w:cs="宋体"/>
          <w:color w:val="auto"/>
          <w:sz w:val="24"/>
          <w:highlight w:val="none"/>
        </w:rPr>
        <w:t>报价货币为</w:t>
      </w:r>
      <w:r>
        <w:rPr>
          <w:rFonts w:hint="eastAsia" w:hAnsi="宋体" w:eastAsia="宋体" w:cs="宋体"/>
          <w:bCs/>
          <w:color w:val="auto"/>
          <w:sz w:val="24"/>
          <w:highlight w:val="none"/>
        </w:rPr>
        <w:t>人民币，报价以磋商文件规定为准。</w:t>
      </w:r>
    </w:p>
    <w:bookmarkEnd w:id="40"/>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Ansi="宋体" w:eastAsia="宋体" w:cs="宋体"/>
          <w:bCs/>
          <w:color w:val="auto"/>
          <w:sz w:val="24"/>
          <w:highlight w:val="none"/>
        </w:rPr>
      </w:pPr>
      <w:r>
        <w:rPr>
          <w:rFonts w:hint="eastAsia" w:hAnsi="宋体" w:eastAsia="宋体" w:cs="宋体"/>
          <w:bCs/>
          <w:color w:val="auto"/>
          <w:sz w:val="24"/>
          <w:highlight w:val="none"/>
        </w:rPr>
        <w:t>17.1 供应商应执行磋商文件第三章的规定要求。</w:t>
      </w:r>
    </w:p>
    <w:p>
      <w:pPr>
        <w:spacing w:line="360" w:lineRule="auto"/>
        <w:ind w:left="2" w:leftChars="1" w:firstLine="480" w:firstLineChars="200"/>
        <w:rPr>
          <w:rFonts w:hAnsi="宋体" w:eastAsia="宋体" w:cs="宋体"/>
          <w:color w:val="auto"/>
          <w:sz w:val="24"/>
          <w:highlight w:val="none"/>
        </w:rPr>
      </w:pPr>
      <w:r>
        <w:rPr>
          <w:rFonts w:hint="eastAsia" w:hAnsi="宋体" w:eastAsia="宋体" w:cs="宋体"/>
          <w:color w:val="auto"/>
          <w:sz w:val="24"/>
          <w:highlight w:val="none"/>
        </w:rPr>
        <w:t>17.2 对于没有格式要求的磋商文件由供应商自行编写。</w:t>
      </w:r>
      <w:bookmarkStart w:id="41" w:name="_Toc183682361"/>
      <w:bookmarkStart w:id="42" w:name="_Toc217446051"/>
      <w:bookmarkStart w:id="43" w:name="_Toc183582224"/>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Ansi="宋体" w:eastAsia="宋体" w:cs="宋体"/>
          <w:bCs/>
          <w:color w:val="auto"/>
          <w:sz w:val="24"/>
          <w:highlight w:val="none"/>
        </w:rPr>
      </w:pPr>
      <w:r>
        <w:rPr>
          <w:rFonts w:hint="eastAsia" w:hAnsi="宋体" w:eastAsia="宋体" w:cs="宋体"/>
          <w:color w:val="auto"/>
          <w:sz w:val="24"/>
          <w:highlight w:val="none"/>
        </w:rPr>
        <w:t>18.1 资格性响应文件正本壹份副本贰份</w:t>
      </w:r>
      <w:r>
        <w:rPr>
          <w:rFonts w:hint="eastAsia" w:hAnsi="宋体" w:eastAsia="宋体" w:cs="宋体"/>
          <w:bCs/>
          <w:color w:val="auto"/>
          <w:sz w:val="24"/>
          <w:highlight w:val="none"/>
        </w:rPr>
        <w:t>，并在其封面上清楚地标明资格性响应文件、采购项目名称、采购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18.2 其他响应文件正本壹份副本贰份，并在其封面上清楚地标明其他响应文件、采购项目名称、采购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bookmarkEnd w:id="41"/>
    <w:bookmarkEnd w:id="42"/>
    <w:bookmarkEnd w:id="43"/>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18.5</w:t>
      </w:r>
      <w:r>
        <w:rPr>
          <w:rFonts w:hint="eastAsia" w:hAnsi="宋体" w:eastAsia="宋体" w:cs="宋体"/>
          <w:b/>
          <w:bCs w:val="0"/>
          <w:color w:val="auto"/>
          <w:sz w:val="24"/>
          <w:highlight w:val="none"/>
        </w:rPr>
        <w:t>（</w:t>
      </w:r>
      <w:r>
        <w:rPr>
          <w:rFonts w:hint="eastAsia" w:hAnsi="宋体" w:eastAsia="宋体" w:cs="宋体"/>
          <w:b/>
          <w:bCs w:val="0"/>
          <w:color w:val="auto"/>
          <w:sz w:val="24"/>
          <w:highlight w:val="none"/>
          <w:lang w:eastAsia="zh-CN"/>
        </w:rPr>
        <w:t>实质性要求</w:t>
      </w:r>
      <w:r>
        <w:rPr>
          <w:rFonts w:hint="eastAsia" w:hAnsi="宋体" w:eastAsia="宋体" w:cs="宋体"/>
          <w:b/>
          <w:bCs w:val="0"/>
          <w:color w:val="auto"/>
          <w:sz w:val="24"/>
          <w:highlight w:val="none"/>
        </w:rPr>
        <w:t>）</w:t>
      </w:r>
      <w:r>
        <w:rPr>
          <w:rFonts w:hint="eastAsia"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18.8</w:t>
      </w:r>
      <w:r>
        <w:rPr>
          <w:rFonts w:hint="eastAsia" w:hAnsi="宋体" w:eastAsia="宋体" w:cs="宋体"/>
          <w:b/>
          <w:color w:val="auto"/>
          <w:sz w:val="24"/>
          <w:highlight w:val="none"/>
        </w:rPr>
        <w:t>（</w:t>
      </w:r>
      <w:r>
        <w:rPr>
          <w:rFonts w:hint="eastAsia" w:hAnsi="宋体" w:eastAsia="宋体" w:cs="宋体"/>
          <w:b/>
          <w:color w:val="auto"/>
          <w:sz w:val="24"/>
          <w:highlight w:val="none"/>
          <w:lang w:eastAsia="zh-CN"/>
        </w:rPr>
        <w:t>实质性要求</w:t>
      </w:r>
      <w:r>
        <w:rPr>
          <w:rFonts w:hint="eastAsia" w:hAnsi="宋体" w:eastAsia="宋体" w:cs="宋体"/>
          <w:b/>
          <w:color w:val="auto"/>
          <w:sz w:val="24"/>
          <w:highlight w:val="none"/>
        </w:rPr>
        <w:t>）</w:t>
      </w:r>
      <w:r>
        <w:rPr>
          <w:rFonts w:hint="eastAsia"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18.9响应文件统一用A4幅面纸印制，除另有规定外。</w:t>
      </w:r>
    </w:p>
    <w:p>
      <w:pPr>
        <w:pStyle w:val="5"/>
        <w:spacing w:line="360" w:lineRule="auto"/>
        <w:ind w:firstLine="482" w:firstLineChars="200"/>
        <w:rPr>
          <w:color w:val="auto"/>
          <w:highlight w:val="none"/>
        </w:rPr>
      </w:pPr>
      <w:bookmarkStart w:id="44" w:name="_Toc77400781"/>
      <w:bookmarkStart w:id="45" w:name="_Toc217446053"/>
      <w:bookmarkStart w:id="46" w:name="_Toc183682363"/>
      <w:bookmarkStart w:id="47" w:name="_Toc183582226"/>
      <w:bookmarkStart w:id="48" w:name="_Toc89075877"/>
      <w:r>
        <w:rPr>
          <w:rFonts w:hint="eastAsia" w:ascii="宋体" w:hAnsi="宋体" w:eastAsia="宋体" w:cs="宋体"/>
          <w:color w:val="auto"/>
          <w:sz w:val="24"/>
          <w:highlight w:val="none"/>
        </w:rPr>
        <w:t>19.响应文件的密封和标注</w:t>
      </w:r>
      <w:r>
        <w:rPr>
          <w:rFonts w:hint="eastAsia" w:ascii="宋体"/>
          <w:color w:val="auto"/>
          <w:sz w:val="24"/>
          <w:highlight w:val="none"/>
        </w:rPr>
        <w:t>（不属于本项目磋商小组评审范畴，由采购人、采购代理机构在接收响应文件时及时处理）</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19.2 响应文件密封袋的最外层应清楚地标明采购项目名称、采购</w:t>
      </w:r>
      <w:r>
        <w:rPr>
          <w:rFonts w:hint="eastAsia" w:hAnsi="宋体" w:eastAsia="宋体" w:cs="宋体"/>
          <w:color w:val="auto"/>
          <w:sz w:val="24"/>
          <w:highlight w:val="none"/>
          <w:lang w:eastAsia="zh-CN"/>
        </w:rPr>
        <w:t>项目编号</w:t>
      </w:r>
      <w:r>
        <w:rPr>
          <w:rFonts w:hint="eastAsia" w:hAnsi="宋体" w:eastAsia="宋体" w:cs="宋体"/>
          <w:color w:val="auto"/>
          <w:sz w:val="24"/>
          <w:highlight w:val="none"/>
        </w:rPr>
        <w:t>、包件号及名称（若有）、供应商名称。</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19.4 未按以上要求进行密封和标注的响应文件，采购人、采购代理机构将拒收或者在时间允许的范围内，要求修改完善后接收。</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20.4 本次采购不接收邮寄的响应文件（本次采购可以接收邮寄的响应文件，但因邮寄导致报价截止时间以后收到的响应文件，响应文件将被拒收）。</w:t>
      </w:r>
    </w:p>
    <w:bookmarkEnd w:id="44"/>
    <w:bookmarkEnd w:id="45"/>
    <w:bookmarkEnd w:id="46"/>
    <w:bookmarkEnd w:id="47"/>
    <w:bookmarkEnd w:id="48"/>
    <w:p>
      <w:pPr>
        <w:pStyle w:val="5"/>
        <w:keepNext w:val="0"/>
        <w:keepLines w:val="0"/>
        <w:spacing w:line="360" w:lineRule="auto"/>
        <w:ind w:firstLine="482" w:firstLineChars="200"/>
        <w:rPr>
          <w:rFonts w:ascii="宋体" w:hAnsi="宋体" w:eastAsia="宋体" w:cs="宋体"/>
          <w:color w:val="auto"/>
          <w:sz w:val="24"/>
          <w:highlight w:val="none"/>
        </w:rPr>
      </w:pPr>
      <w:bookmarkStart w:id="49" w:name="_Toc183582228"/>
      <w:bookmarkStart w:id="50" w:name="_Toc217446055"/>
      <w:bookmarkStart w:id="51" w:name="_Toc18368236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8"/>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针对于货物采购）。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21.4 响应文件中报价如果出现下列不一致的，可按以下原则进行修改：</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hAnsi="宋体" w:eastAsia="宋体" w:cs="宋体"/>
          <w:color w:val="auto"/>
          <w:sz w:val="24"/>
          <w:highlight w:val="none"/>
        </w:rPr>
        <w:t>21.5供应商对其提交的响应文件的真实性、合法性承担法律责任。</w:t>
      </w:r>
      <w:bookmarkEnd w:id="49"/>
      <w:bookmarkEnd w:id="50"/>
      <w:bookmarkEnd w:id="51"/>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5"/>
        <w:keepNext w:val="0"/>
        <w:keepLines w:val="0"/>
        <w:spacing w:line="360" w:lineRule="auto"/>
        <w:ind w:firstLine="482"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color w:val="auto"/>
          <w:sz w:val="24"/>
          <w:highlight w:val="none"/>
        </w:rPr>
      </w:pPr>
      <w:r>
        <w:rPr>
          <w:rFonts w:hint="eastAsia"/>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color w:val="auto"/>
          <w:sz w:val="24"/>
          <w:highlight w:val="none"/>
        </w:rPr>
      </w:pPr>
      <w:r>
        <w:rPr>
          <w:rFonts w:hint="eastAsia"/>
          <w:color w:val="auto"/>
          <w:sz w:val="24"/>
          <w:highlight w:val="none"/>
        </w:rPr>
        <w:t>23.1采购代理机构自评审结束后2个工作日内将磋商报告及有关资料送交采购人确定成交供应商。</w:t>
      </w:r>
    </w:p>
    <w:p>
      <w:pPr>
        <w:spacing w:line="360" w:lineRule="auto"/>
        <w:ind w:firstLine="480" w:firstLineChars="200"/>
        <w:rPr>
          <w:color w:val="auto"/>
          <w:sz w:val="24"/>
          <w:highlight w:val="none"/>
        </w:rPr>
      </w:pPr>
      <w:r>
        <w:rPr>
          <w:rFonts w:hint="eastAsia"/>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color w:val="auto"/>
          <w:sz w:val="24"/>
          <w:highlight w:val="none"/>
        </w:rPr>
      </w:pPr>
      <w:r>
        <w:rPr>
          <w:rFonts w:hint="eastAsia"/>
          <w:color w:val="auto"/>
          <w:sz w:val="24"/>
          <w:highlight w:val="none"/>
        </w:rPr>
        <w:t>23.3采购人确定成交供应商过程中，发现成交候选供应商有下列情形之一的，应当不予确定其为成交供应商：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rFonts w:hint="eastAsia"/>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rFonts w:hint="eastAsia"/>
          <w:color w:val="auto"/>
          <w:sz w:val="24"/>
          <w:highlight w:val="none"/>
        </w:rPr>
        <w:t>（2）成交候选供应商因不可抗力，不能继续参加政府采购活动；</w:t>
      </w:r>
    </w:p>
    <w:p>
      <w:pPr>
        <w:spacing w:line="360" w:lineRule="auto"/>
        <w:ind w:firstLine="480" w:firstLineChars="200"/>
        <w:rPr>
          <w:color w:val="auto"/>
          <w:sz w:val="24"/>
          <w:highlight w:val="none"/>
        </w:rPr>
      </w:pPr>
      <w:r>
        <w:rPr>
          <w:rFonts w:hint="eastAsia"/>
          <w:color w:val="auto"/>
          <w:sz w:val="24"/>
          <w:highlight w:val="none"/>
        </w:rPr>
        <w:t>（3）成交候选供应商无偿赠与或者低于成本价竞争；</w:t>
      </w:r>
    </w:p>
    <w:p>
      <w:pPr>
        <w:spacing w:line="360" w:lineRule="auto"/>
        <w:ind w:firstLine="480" w:firstLineChars="200"/>
        <w:rPr>
          <w:color w:val="auto"/>
          <w:sz w:val="24"/>
          <w:highlight w:val="none"/>
        </w:rPr>
      </w:pPr>
      <w:r>
        <w:rPr>
          <w:rFonts w:hint="eastAsia"/>
          <w:color w:val="auto"/>
          <w:sz w:val="24"/>
          <w:highlight w:val="none"/>
        </w:rPr>
        <w:t>（4）成交候选供应商提供虚假材料；</w:t>
      </w:r>
    </w:p>
    <w:p>
      <w:pPr>
        <w:spacing w:line="360" w:lineRule="auto"/>
        <w:ind w:firstLine="480" w:firstLineChars="200"/>
        <w:rPr>
          <w:color w:val="auto"/>
          <w:sz w:val="24"/>
          <w:highlight w:val="none"/>
        </w:rPr>
      </w:pPr>
      <w:r>
        <w:rPr>
          <w:rFonts w:hint="eastAsia"/>
          <w:color w:val="auto"/>
          <w:sz w:val="24"/>
          <w:highlight w:val="none"/>
        </w:rPr>
        <w:t>（5）成交候选供应商恶意串通。</w:t>
      </w:r>
    </w:p>
    <w:p>
      <w:pPr>
        <w:spacing w:line="360" w:lineRule="auto"/>
        <w:ind w:firstLine="480" w:firstLineChars="200"/>
        <w:rPr>
          <w:rFonts w:hAnsi="宋体" w:eastAsia="宋体" w:cs="宋体"/>
          <w:color w:val="auto"/>
          <w:highlight w:val="none"/>
        </w:rPr>
      </w:pPr>
      <w:r>
        <w:rPr>
          <w:rFonts w:hint="eastAsia"/>
          <w:color w:val="auto"/>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line="360" w:lineRule="auto"/>
        <w:ind w:firstLine="480" w:firstLineChars="200"/>
        <w:rPr>
          <w:b w:val="0"/>
          <w:bCs w:val="0"/>
          <w:color w:val="auto"/>
          <w:sz w:val="24"/>
          <w:highlight w:val="none"/>
        </w:rPr>
      </w:pPr>
      <w:r>
        <w:rPr>
          <w:rFonts w:hint="eastAsia" w:ascii="宋体" w:hAnsi="宋体" w:eastAsia="宋体" w:cs="宋体"/>
          <w:b w:val="0"/>
          <w:bCs w:val="0"/>
          <w:color w:val="auto"/>
          <w:sz w:val="24"/>
          <w:highlight w:val="none"/>
        </w:rPr>
        <w:t>24.</w:t>
      </w:r>
      <w:r>
        <w:rPr>
          <w:rFonts w:hint="eastAsia"/>
          <w:b w:val="0"/>
          <w:bCs w:val="0"/>
          <w:color w:val="auto"/>
          <w:sz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color w:val="auto"/>
          <w:sz w:val="24"/>
          <w:highlight w:val="none"/>
        </w:rPr>
      </w:pPr>
      <w:r>
        <w:rPr>
          <w:rFonts w:hint="eastAsia"/>
          <w:color w:val="auto"/>
          <w:sz w:val="24"/>
          <w:highlight w:val="none"/>
        </w:rPr>
        <w:t>25.1采购人确定成交供应商后，将及时书面通知采购代理机构，发出成交通知书并发布成交结果公告。</w:t>
      </w:r>
    </w:p>
    <w:p>
      <w:pPr>
        <w:spacing w:line="360" w:lineRule="auto"/>
        <w:ind w:firstLine="480" w:firstLineChars="200"/>
        <w:rPr>
          <w:color w:val="auto"/>
          <w:sz w:val="24"/>
          <w:highlight w:val="none"/>
        </w:rPr>
      </w:pPr>
      <w:r>
        <w:rPr>
          <w:rFonts w:hint="eastAsia"/>
          <w:color w:val="auto"/>
          <w:sz w:val="24"/>
          <w:highlight w:val="none"/>
        </w:rPr>
        <w:t>25.2成交供应商应当及时领取成交通知书。</w:t>
      </w:r>
    </w:p>
    <w:p>
      <w:pPr>
        <w:spacing w:line="360" w:lineRule="auto"/>
        <w:ind w:firstLine="480" w:firstLineChars="200"/>
        <w:rPr>
          <w:color w:val="auto"/>
          <w:sz w:val="24"/>
          <w:highlight w:val="none"/>
        </w:rPr>
      </w:pPr>
      <w:r>
        <w:rPr>
          <w:rFonts w:hint="eastAsia"/>
          <w:color w:val="auto"/>
          <w:sz w:val="24"/>
          <w:highlight w:val="none"/>
        </w:rPr>
        <w:t>25.3成交供应商不能及时领取成交通知书，采购人或者采购代理机应当通过邮寄、快递等方式将项目成交通知书送达成交供应商。</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color w:val="auto"/>
          <w:sz w:val="24"/>
          <w:highlight w:val="none"/>
        </w:rPr>
      </w:pPr>
      <w:r>
        <w:rPr>
          <w:rFonts w:hint="eastAsia"/>
          <w:color w:val="auto"/>
          <w:sz w:val="24"/>
          <w:highlight w:val="none"/>
        </w:rPr>
        <w:t>26.1成交通知书为签订政府采购合同的依据之一，是合同的有效组成部分。</w:t>
      </w:r>
    </w:p>
    <w:p>
      <w:pPr>
        <w:spacing w:line="360" w:lineRule="auto"/>
        <w:ind w:firstLine="480" w:firstLineChars="200"/>
        <w:rPr>
          <w:color w:val="auto"/>
          <w:sz w:val="24"/>
          <w:highlight w:val="none"/>
        </w:rPr>
      </w:pPr>
      <w:r>
        <w:rPr>
          <w:rFonts w:hint="eastAsia"/>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Ansi="宋体" w:eastAsia="宋体" w:cs="宋体"/>
          <w:color w:val="auto"/>
          <w:highlight w:val="none"/>
        </w:rPr>
      </w:pPr>
      <w:r>
        <w:rPr>
          <w:rFonts w:hint="eastAsia"/>
          <w:color w:val="auto"/>
          <w:sz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5"/>
        <w:spacing w:line="360" w:lineRule="auto"/>
        <w:ind w:firstLine="482" w:firstLineChars="200"/>
        <w:rPr>
          <w:rFonts w:ascii="宋体" w:hAnsi="宋体" w:eastAsia="宋体" w:cs="宋体"/>
          <w:color w:val="auto"/>
          <w:sz w:val="24"/>
          <w:highlight w:val="none"/>
        </w:rPr>
      </w:pPr>
      <w:bookmarkStart w:id="52" w:name="_Toc209847069"/>
      <w:bookmarkStart w:id="53" w:name="_Toc430773927"/>
      <w:bookmarkStart w:id="54" w:name="_Toc101338364"/>
      <w:bookmarkStart w:id="55" w:name="_Toc101250646"/>
      <w:bookmarkStart w:id="56" w:name="_Toc101174151"/>
      <w:r>
        <w:rPr>
          <w:rFonts w:hint="eastAsia" w:ascii="宋体" w:hAnsi="宋体" w:eastAsia="宋体" w:cs="宋体"/>
          <w:color w:val="auto"/>
          <w:sz w:val="24"/>
          <w:highlight w:val="none"/>
        </w:rPr>
        <w:t>27.签订合同</w:t>
      </w:r>
      <w:bookmarkEnd w:id="52"/>
      <w:bookmarkEnd w:id="53"/>
      <w:bookmarkEnd w:id="54"/>
      <w:bookmarkEnd w:id="55"/>
      <w:bookmarkEnd w:id="56"/>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5"/>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w:t>
      </w:r>
      <w:r>
        <w:rPr>
          <w:rFonts w:hint="eastAsia" w:ascii="宋体" w:hAnsi="宋体" w:eastAsia="宋体" w:cs="宋体"/>
          <w:b/>
          <w:color w:val="auto"/>
          <w:sz w:val="24"/>
          <w:highlight w:val="none"/>
          <w:lang w:eastAsia="zh-CN"/>
        </w:rPr>
        <w:t>实质性要求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28.3 中小企业依据</w:t>
      </w:r>
      <w:r>
        <w:rPr>
          <w:rFonts w:hint="eastAsia" w:hAnsi="宋体" w:eastAsia="宋体" w:cs="宋体"/>
          <w:color w:val="auto"/>
          <w:sz w:val="24"/>
          <w:highlight w:val="none"/>
          <w:lang w:eastAsia="zh-CN"/>
        </w:rPr>
        <w:t>《政府采购促进中小企业发展管理办法》（财库[2020]46号）</w:t>
      </w:r>
      <w:r>
        <w:rPr>
          <w:rFonts w:hint="eastAsia" w:hAnsi="宋体" w:eastAsia="宋体" w:cs="宋体"/>
          <w:color w:val="auto"/>
          <w:sz w:val="24"/>
          <w:highlight w:val="none"/>
        </w:rPr>
        <w:t>规定的政策获取政府采购合同后，小型、微型企业不得分包或转包给大型、中型企业，中型企业不得分包或转包给大型企业。</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29.合同转包（</w:t>
      </w:r>
      <w:r>
        <w:rPr>
          <w:rFonts w:hint="eastAsia" w:ascii="宋体" w:hAnsi="宋体" w:eastAsia="宋体" w:cs="宋体"/>
          <w:b/>
          <w:color w:val="auto"/>
          <w:sz w:val="24"/>
          <w:highlight w:val="none"/>
          <w:lang w:eastAsia="zh-CN"/>
        </w:rPr>
        <w:t>实质性要求</w:t>
      </w:r>
      <w:r>
        <w:rPr>
          <w:rFonts w:hint="eastAsia" w:ascii="宋体" w:hAnsi="宋体" w:eastAsia="宋体" w:cs="宋体"/>
          <w:color w:val="auto"/>
          <w:sz w:val="24"/>
          <w:highlight w:val="none"/>
        </w:rPr>
        <w:t>）</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成交供应商转包的，视同拒绝履行政府采购合同义务，将依法追究法律责任。</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hAnsi="宋体"/>
          <w:color w:val="auto"/>
          <w:sz w:val="24"/>
          <w:highlight w:val="none"/>
        </w:rPr>
        <w:t>（</w:t>
      </w:r>
      <w:r>
        <w:rPr>
          <w:rFonts w:hint="eastAsia" w:hAnsi="宋体"/>
          <w:color w:val="auto"/>
          <w:sz w:val="24"/>
          <w:highlight w:val="none"/>
          <w:lang w:eastAsia="zh-CN"/>
        </w:rPr>
        <w:t>若涉及</w:t>
      </w:r>
      <w:r>
        <w:rPr>
          <w:rFonts w:hint="eastAsia" w:hAnsi="宋体"/>
          <w:color w:val="auto"/>
          <w:sz w:val="24"/>
          <w:highlight w:val="none"/>
        </w:rPr>
        <w:t>）</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32.合同公告</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33.合同备案</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采购人应当将政府采购合同副本自签订（双方当事人均已签字盖章）之日起七个工作日内通过四川政府采购网报同级财政部门备案。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34.履行合同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34.2 在合同履行过程中，如发生合同纠纷，合同双方应按照《</w:t>
      </w:r>
      <w:r>
        <w:rPr>
          <w:rFonts w:hint="eastAsia" w:hAnsi="宋体" w:eastAsia="宋体" w:cs="宋体"/>
          <w:color w:val="auto"/>
          <w:sz w:val="24"/>
          <w:highlight w:val="none"/>
          <w:lang w:eastAsia="zh-CN"/>
        </w:rPr>
        <w:t>民法典</w:t>
      </w:r>
      <w:r>
        <w:rPr>
          <w:rFonts w:hint="eastAsia" w:hAnsi="宋体" w:eastAsia="宋体" w:cs="宋体"/>
          <w:color w:val="auto"/>
          <w:sz w:val="24"/>
          <w:highlight w:val="none"/>
        </w:rPr>
        <w:t>》的有关规定进行处理。</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35.验收</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35.1本项目采购人将</w:t>
      </w:r>
      <w:r>
        <w:rPr>
          <w:rFonts w:hint="eastAsia" w:ascii="仿宋" w:hAnsi="仿宋" w:eastAsia="仿宋"/>
          <w:color w:val="auto"/>
          <w:sz w:val="24"/>
        </w:rPr>
        <w:t>将</w:t>
      </w:r>
      <w:r>
        <w:rPr>
          <w:rFonts w:hint="eastAsia" w:hAnsi="宋体" w:eastAsia="宋体" w:cs="宋体"/>
          <w:color w:val="auto"/>
          <w:sz w:val="24"/>
          <w:highlight w:val="none"/>
        </w:rPr>
        <w:t>严格按照《财政部关于进一步加强政府采购需求和履约验收管理的指导意见》（财库〔2016〕205号）等政府采购相关法律法规的要求进行验收。</w:t>
      </w:r>
    </w:p>
    <w:p>
      <w:pPr>
        <w:spacing w:line="360" w:lineRule="auto"/>
        <w:ind w:firstLine="480" w:firstLineChars="200"/>
        <w:rPr>
          <w:color w:val="auto"/>
          <w:highlight w:val="none"/>
        </w:rPr>
      </w:pPr>
      <w:r>
        <w:rPr>
          <w:rFonts w:hint="eastAsia" w:hAnsi="宋体" w:eastAsia="宋体" w:cs="宋体"/>
          <w:color w:val="auto"/>
          <w:sz w:val="24"/>
          <w:highlight w:val="none"/>
        </w:rPr>
        <w:t>35.2 验收结果合格的，成交供应商到采购人处办理履约保证金的退付手续；验收结果不合格的，履约保证金将不予退还，也将不予支付采购资金，还可能会报本项目同级财政部门按照政府采购法律法规及</w:t>
      </w:r>
      <w:r>
        <w:rPr>
          <w:rFonts w:hint="eastAsia" w:hAnsi="宋体" w:eastAsia="宋体" w:cs="宋体"/>
          <w:color w:val="auto"/>
          <w:sz w:val="24"/>
          <w:highlight w:val="none"/>
          <w:lang w:eastAsia="zh-CN"/>
        </w:rPr>
        <w:t>参照原</w:t>
      </w:r>
      <w:r>
        <w:rPr>
          <w:rFonts w:hint="eastAsia" w:hAnsi="宋体" w:eastAsia="宋体" w:cs="宋体"/>
          <w:color w:val="auto"/>
          <w:sz w:val="24"/>
          <w:highlight w:val="none"/>
        </w:rPr>
        <w:t>《四川省政府采购当事人诚信管理办法》（川财采〔2015〕33号）等有关规定给予行政处罚或者以失信行为记入诚信档案。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36.资金支付</w:t>
      </w:r>
    </w:p>
    <w:p>
      <w:pPr>
        <w:spacing w:line="360" w:lineRule="auto"/>
        <w:ind w:firstLine="480" w:firstLineChars="200"/>
        <w:rPr>
          <w:color w:val="auto"/>
          <w:highlight w:val="none"/>
        </w:rPr>
      </w:pPr>
      <w:r>
        <w:rPr>
          <w:rFonts w:hint="eastAsia" w:hAnsi="宋体" w:eastAsia="宋体" w:cs="宋体"/>
          <w:color w:val="auto"/>
          <w:sz w:val="24"/>
          <w:highlight w:val="none"/>
        </w:rPr>
        <w:t>采购人将按照政府采购合同规定，及时向成交供应商支付采购资金。本项目采购资金采取直接支付或授权支付。</w:t>
      </w:r>
    </w:p>
    <w:p>
      <w:pPr>
        <w:pStyle w:val="2"/>
        <w:rPr>
          <w:color w:val="auto"/>
          <w:highlight w:val="none"/>
        </w:rPr>
      </w:pP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37.供应商不得具有的情形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（1）提供虚假材料谋取成交；</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（2）采取不正当手段诋毁、排挤其他供应商；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（3）与采购人、采购代理机构、或其他供应商恶意串通；</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（5）在磋商过程中与采购人、采购代理机构进行协商；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（8）将政府采购合同转包或者违规分包；</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（9）提供假冒伪劣产品；</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（12）法律法规规定的其他情形。</w:t>
      </w:r>
    </w:p>
    <w:p>
      <w:pPr>
        <w:tabs>
          <w:tab w:val="left" w:pos="851"/>
        </w:tabs>
        <w:spacing w:line="360" w:lineRule="auto"/>
        <w:ind w:firstLine="480" w:firstLineChars="200"/>
        <w:rPr>
          <w:color w:val="auto"/>
          <w:highlight w:val="none"/>
        </w:rPr>
      </w:pPr>
      <w:r>
        <w:rPr>
          <w:rFonts w:hint="eastAsia"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九、询问、质疑和投诉</w:t>
      </w:r>
    </w:p>
    <w:p>
      <w:pPr>
        <w:pStyle w:val="5"/>
        <w:numPr>
          <w:ilvl w:val="0"/>
          <w:numId w:val="2"/>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5"/>
        <w:spacing w:line="360" w:lineRule="auto"/>
        <w:ind w:firstLine="480" w:firstLineChars="200"/>
        <w:rPr>
          <w:rFonts w:asciiTheme="minorEastAsia" w:hAnsi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snapToGrid w:val="0"/>
        <w:spacing w:line="360" w:lineRule="auto"/>
        <w:jc w:val="center"/>
        <w:rPr>
          <w:color w:val="auto"/>
          <w:sz w:val="36"/>
          <w:szCs w:val="36"/>
          <w:highlight w:val="none"/>
        </w:rPr>
      </w:pPr>
      <w:r>
        <w:rPr>
          <w:rFonts w:hint="eastAsia"/>
          <w:color w:val="auto"/>
          <w:sz w:val="36"/>
          <w:szCs w:val="36"/>
          <w:highlight w:val="none"/>
        </w:rPr>
        <w:br w:type="page"/>
      </w:r>
      <w:bookmarkStart w:id="57" w:name="_Toc3284"/>
      <w:bookmarkStart w:id="58" w:name="_Toc1648"/>
      <w:bookmarkStart w:id="59" w:name="_Toc17214"/>
      <w:bookmarkStart w:id="60" w:name="_Toc3615"/>
      <w:bookmarkStart w:id="61" w:name="_Toc16205"/>
      <w:bookmarkStart w:id="62" w:name="_Toc24396_WPSOffice_Level1"/>
      <w:bookmarkStart w:id="63" w:name="_Toc32437"/>
      <w:bookmarkStart w:id="64" w:name="_Toc7937"/>
      <w:bookmarkStart w:id="65" w:name="_Toc27779"/>
      <w:r>
        <w:rPr>
          <w:rFonts w:hint="eastAsia"/>
          <w:color w:val="auto"/>
          <w:sz w:val="36"/>
          <w:szCs w:val="36"/>
          <w:highlight w:val="none"/>
        </w:rPr>
        <w:t>第三章  响应文件格式</w:t>
      </w:r>
      <w:bookmarkEnd w:id="57"/>
      <w:bookmarkEnd w:id="58"/>
      <w:bookmarkEnd w:id="59"/>
      <w:bookmarkEnd w:id="60"/>
      <w:bookmarkEnd w:id="61"/>
      <w:bookmarkEnd w:id="62"/>
      <w:bookmarkEnd w:id="63"/>
      <w:bookmarkEnd w:id="64"/>
      <w:bookmarkEnd w:id="65"/>
    </w:p>
    <w:p>
      <w:pPr>
        <w:pStyle w:val="13"/>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w:t>
      </w:r>
      <w:r>
        <w:rPr>
          <w:rFonts w:hint="eastAsia"/>
          <w:b/>
          <w:bCs/>
          <w:color w:val="auto"/>
          <w:sz w:val="24"/>
          <w:highlight w:val="none"/>
          <w:lang w:eastAsia="zh-CN"/>
        </w:rPr>
        <w:t>实质性要求</w:t>
      </w:r>
      <w:r>
        <w:rPr>
          <w:rFonts w:hint="eastAsia"/>
          <w:bCs/>
          <w:color w:val="auto"/>
          <w:sz w:val="24"/>
          <w:highlight w:val="none"/>
        </w:rPr>
        <w:t>的，一律不具有强制性。</w:t>
      </w:r>
    </w:p>
    <w:p>
      <w:pPr>
        <w:pStyle w:val="13"/>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3"/>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widowControl/>
        <w:spacing w:line="360" w:lineRule="auto"/>
        <w:rPr>
          <w:rStyle w:val="56"/>
          <w:color w:val="auto"/>
          <w:highlight w:val="none"/>
        </w:rPr>
      </w:pPr>
    </w:p>
    <w:p>
      <w:pPr>
        <w:rPr>
          <w:color w:val="auto"/>
          <w:highlight w:val="none"/>
        </w:rPr>
      </w:pPr>
      <w:bookmarkStart w:id="66" w:name="_Toc21024"/>
    </w:p>
    <w:p>
      <w:pPr>
        <w:pStyle w:val="2"/>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6"/>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2"/>
        <w:spacing w:line="360" w:lineRule="auto"/>
        <w:rPr>
          <w:color w:val="auto"/>
          <w:highlight w:val="none"/>
        </w:rPr>
      </w:pPr>
      <w:bookmarkStart w:id="67" w:name="_Toc16089"/>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8" w:name="_Toc19140"/>
      <w:bookmarkStart w:id="69" w:name="_Toc13268"/>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8"/>
      <w:bookmarkEnd w:id="69"/>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_____________（采购代理机构名称）：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（一）具有独立承担民事责任的能力；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　　（二）具有良好的商业信誉和健全的财务会计制度；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　　（三）具有履行合同所必需的设备和专业技术能力； </w:t>
      </w:r>
    </w:p>
    <w:p>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　　（四）有依法缴纳税收和社会保障资金的良好记录； </w:t>
      </w:r>
    </w:p>
    <w:p>
      <w:pPr>
        <w:spacing w:line="360" w:lineRule="auto"/>
        <w:ind w:firstLine="480" w:firstLineChars="200"/>
        <w:rPr>
          <w:color w:val="auto"/>
          <w:sz w:val="24"/>
          <w:highlight w:val="none"/>
        </w:rPr>
      </w:pPr>
      <w:r>
        <w:rPr>
          <w:rFonts w:hint="eastAsia"/>
          <w:color w:val="auto"/>
          <w:sz w:val="24"/>
          <w:highlight w:val="none"/>
        </w:rPr>
        <w:t>　　（五）参加政府采购活动前三年内，在经营活动中没有重大违法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w:t>
      </w:r>
      <w:r>
        <w:rPr>
          <w:rFonts w:hint="eastAsia"/>
          <w:b/>
          <w:color w:val="auto"/>
          <w:sz w:val="24"/>
          <w:highlight w:val="none"/>
          <w:lang w:eastAsia="zh-CN"/>
        </w:rPr>
        <w:t>实质性要求</w:t>
      </w:r>
      <w:r>
        <w:rPr>
          <w:rFonts w:hint="eastAsia"/>
          <w:color w:val="auto"/>
          <w:sz w:val="24"/>
          <w:highlight w:val="none"/>
        </w:rPr>
        <w:t>，如对磋商文件有异议，已经在响应截止时间届满前依法进行维权救济，不存在对磋商文件有异议的同时又参加响应以求侥幸成交或者为实现其他非法目的的行为。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w:t>
      </w:r>
      <w:r>
        <w:rPr>
          <w:rFonts w:hint="eastAsia" w:hAnsi="宋体" w:eastAsia="宋体" w:cs="宋体"/>
          <w:color w:val="auto"/>
          <w:sz w:val="24"/>
          <w:highlight w:val="none"/>
          <w:lang w:eastAsia="zh-CN"/>
        </w:rPr>
        <w:t>原</w:t>
      </w:r>
      <w:r>
        <w:rPr>
          <w:rFonts w:hint="eastAsia"/>
          <w:color w:val="auto"/>
          <w:sz w:val="24"/>
          <w:highlight w:val="none"/>
        </w:rPr>
        <w:t>《四川省政府采购当事人诚信管理办法》（川财采[2015]33号）规定的记入诚信档案的失信行为，将在响应文件中全面如实反映。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7"/>
      <w:bookmarkStart w:id="70" w:name="_Toc37"/>
      <w:bookmarkStart w:id="71" w:name="_Toc9748"/>
    </w:p>
    <w:p>
      <w:pPr>
        <w:pStyle w:val="2"/>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70"/>
    <w:bookmarkEnd w:id="71"/>
    <w:p>
      <w:pPr>
        <w:pStyle w:val="4"/>
        <w:pageBreakBefore w:val="0"/>
        <w:widowControl w:val="0"/>
        <w:numPr>
          <w:ilvl w:val="0"/>
          <w:numId w:val="3"/>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2"/>
        <w:rPr>
          <w:color w:val="auto"/>
          <w:highlight w:val="none"/>
        </w:rPr>
      </w:pPr>
    </w:p>
    <w:p>
      <w:pPr>
        <w:pStyle w:val="13"/>
        <w:snapToGrid w:val="0"/>
        <w:spacing w:line="360" w:lineRule="auto"/>
        <w:ind w:left="0" w:leftChars="0"/>
        <w:rPr>
          <w:bCs/>
          <w:color w:val="auto"/>
          <w:sz w:val="24"/>
          <w:highlight w:val="none"/>
        </w:rPr>
      </w:pPr>
      <w:r>
        <w:rPr>
          <w:rFonts w:hint="eastAsia"/>
          <w:bCs/>
          <w:color w:val="auto"/>
          <w:sz w:val="24"/>
          <w:highlight w:val="none"/>
        </w:rPr>
        <w:t>____________：(采购代理机构名称)</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w:t>
      </w:r>
      <w:r>
        <w:rPr>
          <w:rFonts w:hint="eastAsia"/>
          <w:color w:val="auto"/>
          <w:sz w:val="24"/>
          <w:highlight w:val="none"/>
          <w:lang w:val="en-US" w:eastAsia="zh-CN"/>
        </w:rPr>
        <w:t xml:space="preserve"> </w:t>
      </w:r>
      <w:r>
        <w:rPr>
          <w:rFonts w:hint="eastAsia"/>
          <w:color w:val="auto"/>
          <w:sz w:val="24"/>
          <w:highlight w:val="none"/>
          <w:lang w:eastAsia="zh-CN"/>
        </w:rPr>
        <w:t>商</w:t>
      </w:r>
      <w:r>
        <w:rPr>
          <w:rFonts w:hint="eastAsia"/>
          <w:color w:val="auto"/>
          <w:sz w:val="24"/>
          <w:highlight w:val="none"/>
          <w:lang w:val="en-US" w:eastAsia="zh-CN"/>
        </w:rPr>
        <w:t xml:space="preserve"> </w:t>
      </w:r>
      <w:r>
        <w:rPr>
          <w:rFonts w:hint="eastAsia"/>
          <w:color w:val="auto"/>
          <w:sz w:val="24"/>
          <w:highlight w:val="none"/>
        </w:rPr>
        <w:t>日 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2"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2"/>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2"/>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3"/>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2"/>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2"/>
        <w:rPr>
          <w:rFonts w:hint="eastAsia"/>
          <w:color w:val="auto"/>
          <w:highlight w:val="none"/>
          <w:lang w:val="en-US" w:eastAsia="zh-CN"/>
        </w:rPr>
      </w:pPr>
    </w:p>
    <w:p>
      <w:pPr>
        <w:pStyle w:val="2"/>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2"/>
        <w:rPr>
          <w:color w:val="auto"/>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2"/>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六、参加本次采购活动前三年内无行贿犯罪记录的承诺函</w:t>
      </w:r>
    </w:p>
    <w:p>
      <w:pPr>
        <w:pStyle w:val="2"/>
        <w:ind w:left="420" w:leftChars="200"/>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 xml:space="preserve">本单位 </w:t>
      </w:r>
      <w:r>
        <w:rPr>
          <w:rFonts w:hint="eastAsia"/>
          <w:color w:val="auto"/>
          <w:sz w:val="24"/>
          <w:highlight w:val="none"/>
          <w:u w:val="single"/>
        </w:rPr>
        <w:t xml:space="preserve">                       （供应商名称）</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）的政府采购活动</w:t>
      </w:r>
      <w:r>
        <w:rPr>
          <w:rFonts w:hint="eastAsia"/>
          <w:color w:val="auto"/>
          <w:sz w:val="24"/>
          <w:highlight w:val="none"/>
        </w:rPr>
        <w:t>，针对本单位在参加本次政府采购活动前三年内行贿犯罪情况作出如下承诺：</w:t>
      </w:r>
    </w:p>
    <w:p>
      <w:pPr>
        <w:spacing w:line="360" w:lineRule="auto"/>
        <w:ind w:firstLine="480"/>
        <w:jc w:val="left"/>
        <w:rPr>
          <w:color w:val="auto"/>
          <w:sz w:val="24"/>
          <w:highlight w:val="none"/>
        </w:rPr>
      </w:pPr>
      <w:r>
        <w:rPr>
          <w:rFonts w:hint="eastAsia"/>
          <w:color w:val="auto"/>
          <w:sz w:val="24"/>
          <w:highlight w:val="none"/>
        </w:rPr>
        <w:t>本单位、本单位法定代表人、主要负责人在参加本次采购活动前三年内无行贿犯罪记录。</w:t>
      </w:r>
    </w:p>
    <w:p>
      <w:pPr>
        <w:spacing w:line="360" w:lineRule="auto"/>
        <w:jc w:val="left"/>
        <w:rPr>
          <w:color w:val="auto"/>
          <w:sz w:val="24"/>
          <w:highlight w:val="none"/>
        </w:rPr>
      </w:pPr>
      <w:r>
        <w:rPr>
          <w:rFonts w:hint="eastAsia"/>
          <w:color w:val="auto"/>
          <w:sz w:val="24"/>
          <w:highlight w:val="none"/>
        </w:rPr>
        <w:t xml:space="preserve">    特此承诺。</w:t>
      </w:r>
    </w:p>
    <w:p>
      <w:pPr>
        <w:spacing w:line="360" w:lineRule="auto"/>
        <w:jc w:val="left"/>
        <w:rPr>
          <w:color w:val="auto"/>
          <w:sz w:val="24"/>
          <w:highlight w:val="none"/>
        </w:rPr>
      </w:pPr>
      <w:r>
        <w:rPr>
          <w:rFonts w:hint="eastAsia"/>
          <w:color w:val="auto"/>
          <w:sz w:val="24"/>
          <w:highlight w:val="none"/>
        </w:rPr>
        <w:t xml:space="preserve">    我公司对于以上填写的信息真实性负责。如有不实，本单位愿承担由此产生的一切法律责任和后果。</w:t>
      </w:r>
    </w:p>
    <w:p>
      <w:pPr>
        <w:ind w:firstLine="630"/>
        <w:jc w:val="left"/>
        <w:rPr>
          <w:color w:val="auto"/>
          <w:sz w:val="28"/>
          <w:szCs w:val="28"/>
          <w:highlight w:val="none"/>
        </w:rPr>
      </w:pPr>
    </w:p>
    <w:p>
      <w:pPr>
        <w:widowControl/>
        <w:spacing w:line="400" w:lineRule="atLeast"/>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400" w:lineRule="atLeast"/>
        <w:jc w:val="left"/>
        <w:rPr>
          <w:color w:val="auto"/>
          <w:sz w:val="24"/>
          <w:highlight w:val="none"/>
        </w:rPr>
      </w:pPr>
      <w:r>
        <w:rPr>
          <w:rFonts w:hint="eastAsia"/>
          <w:color w:val="auto"/>
          <w:sz w:val="24"/>
          <w:highlight w:val="none"/>
        </w:rPr>
        <w:t xml:space="preserve"> 磋商日期：XXXX</w:t>
      </w:r>
    </w:p>
    <w:p>
      <w:pPr>
        <w:pStyle w:val="2"/>
        <w:rPr>
          <w:color w:val="auto"/>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pStyle w:val="2"/>
        <w:rPr>
          <w:color w:val="auto"/>
          <w:sz w:val="24"/>
          <w:highlight w:val="none"/>
        </w:rPr>
      </w:pPr>
      <w:r>
        <w:rPr>
          <w:rFonts w:hint="eastAsia" w:ascii="黑体" w:hAnsi="黑体" w:eastAsia="黑体" w:cs="黑体"/>
          <w:b/>
          <w:bCs/>
          <w:color w:val="auto"/>
          <w:sz w:val="32"/>
          <w:szCs w:val="32"/>
          <w:highlight w:val="none"/>
        </w:rPr>
        <w:br w:type="page"/>
      </w:r>
      <w:bookmarkStart w:id="73" w:name="_Toc22904"/>
      <w:bookmarkStart w:id="74" w:name="_Toc4506"/>
      <w:bookmarkStart w:id="75" w:name="_Toc3055"/>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七、近三年在经营活动中没有重大违法违规记录的书面声明</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说明：其中重大违法</w:t>
      </w:r>
      <w:r>
        <w:rPr>
          <w:rFonts w:hint="eastAsia"/>
          <w:b/>
          <w:bCs/>
          <w:color w:val="auto"/>
          <w:sz w:val="24"/>
          <w:highlight w:val="none"/>
          <w:lang w:eastAsia="zh-CN"/>
        </w:rPr>
        <w:t>违规</w:t>
      </w:r>
      <w:r>
        <w:rPr>
          <w:rFonts w:hint="eastAsia"/>
          <w:b/>
          <w:bCs/>
          <w:color w:val="auto"/>
          <w:sz w:val="24"/>
          <w:highlight w:val="none"/>
        </w:rPr>
        <w:t>记录中的较大数额罚款的具体金额标准：50000.00元（四川省人民政府规定的行政处罚罚款听证标准金额）</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注：1、采购项目所属行业行政主管部门对较大数额罚款金额标准有明文规定的，从其规定；</w:t>
      </w: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2、四川省省外</w:t>
      </w:r>
      <w:r>
        <w:rPr>
          <w:rFonts w:hint="eastAsia"/>
          <w:b/>
          <w:bCs/>
          <w:color w:val="auto"/>
          <w:sz w:val="24"/>
          <w:highlight w:val="none"/>
          <w:lang w:eastAsia="zh-CN"/>
        </w:rPr>
        <w:t>供应商</w:t>
      </w:r>
      <w:r>
        <w:rPr>
          <w:rFonts w:hint="eastAsia"/>
          <w:b/>
          <w:bCs/>
          <w:color w:val="auto"/>
          <w:sz w:val="24"/>
          <w:highlight w:val="none"/>
        </w:rPr>
        <w:t>按所在地相关标准执行</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3、相关法律、法规、规范文件有新规的，从其规定。</w:t>
      </w:r>
    </w:p>
    <w:p>
      <w:pPr>
        <w:spacing w:line="360" w:lineRule="auto"/>
        <w:ind w:firstLine="480"/>
        <w:jc w:val="left"/>
        <w:rPr>
          <w:rFonts w:hint="eastAsia"/>
          <w:color w:val="auto"/>
          <w:sz w:val="24"/>
          <w:highlight w:val="none"/>
        </w:rPr>
      </w:pPr>
    </w:p>
    <w:p>
      <w:pPr>
        <w:pStyle w:val="2"/>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八、截至磋商截止日未被列入失信被执行人、重大税收违法案件当事人名单、政府采购严重违法违规失信行为记录名单的承诺函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color w:val="auto"/>
          <w:sz w:val="24"/>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致四川中科远洋工程项目管理有限公司：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w:t>
      </w:r>
      <w:r>
        <w:rPr>
          <w:rFonts w:hint="eastAsia" w:hAnsi="宋体" w:eastAsia="宋体" w:cs="宋体"/>
          <w:color w:val="auto"/>
          <w:sz w:val="24"/>
          <w:highlight w:val="none"/>
          <w:lang w:eastAsia="zh-CN"/>
        </w:rPr>
        <w:t>原</w:t>
      </w:r>
      <w:r>
        <w:rPr>
          <w:rFonts w:hint="eastAsia" w:asciiTheme="minorEastAsia" w:hAnsiTheme="minorEastAsia" w:cstheme="minorEastAsia"/>
          <w:color w:val="auto"/>
          <w:sz w:val="24"/>
          <w:highlight w:val="none"/>
        </w:rPr>
        <w:t>《四川省政府采购当事人诚信管理办法》川财采〔2015〕33号的相关规定，针对本单位的诚信情况作出以下承诺：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hAnsi="宋体" w:eastAsia="宋体" w:cs="宋体"/>
          <w:color w:val="auto"/>
          <w:sz w:val="24"/>
          <w:highlight w:val="none"/>
          <w:lang w:eastAsia="zh-CN"/>
        </w:rPr>
        <w:t>原</w:t>
      </w:r>
      <w:r>
        <w:rPr>
          <w:rFonts w:hint="eastAsia" w:asciiTheme="minorEastAsia" w:hAnsiTheme="minorEastAsia" w:cstheme="minorEastAsia"/>
          <w:color w:val="auto"/>
          <w:sz w:val="24"/>
          <w:highlight w:val="none"/>
        </w:rPr>
        <w:t>《四川省政府采购当事人诚信管理办法》（川财采[2015]33号）所规定的失信行为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 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2、供应商存在以上所述失信行为的，将按照第二章供应商须知附表的要求进行处理；</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4、供应商的失信行为受到行政处罚或司法惩处的，评审时不再对其以价格加成进行惩戒。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4"/>
        <w:bidi w:val="0"/>
        <w:rPr>
          <w:rFonts w:hint="eastAsia"/>
          <w:color w:val="auto"/>
          <w:lang w:eastAsia="zh-CN"/>
        </w:rPr>
      </w:pPr>
      <w:r>
        <w:rPr>
          <w:rFonts w:hint="eastAsia"/>
          <w:color w:val="auto"/>
          <w:lang w:val="en-US" w:eastAsia="zh-CN"/>
        </w:rPr>
        <w:t xml:space="preserve">十、 </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（若涉及）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份，联合体成员和招标人各执一份。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2"/>
        <w:rPr>
          <w:rFonts w:hint="eastAsia"/>
          <w:color w:val="auto"/>
          <w:highlight w:val="none"/>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p>
    <w:p>
      <w:pPr>
        <w:pStyle w:val="2"/>
        <w:rPr>
          <w:color w:val="auto"/>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2"/>
        <w:spacing w:line="360" w:lineRule="auto"/>
        <w:rPr>
          <w:color w:val="auto"/>
          <w:highlight w:val="none"/>
        </w:rPr>
      </w:pPr>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2"/>
        <w:spacing w:line="360" w:lineRule="auto"/>
        <w:rPr>
          <w:color w:val="auto"/>
          <w:highlight w:val="none"/>
        </w:rPr>
      </w:pPr>
    </w:p>
    <w:p>
      <w:pPr>
        <w:pStyle w:val="2"/>
        <w:spacing w:line="360" w:lineRule="auto"/>
        <w:rPr>
          <w:color w:val="auto"/>
          <w:highlight w:val="none"/>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3"/>
    </w:p>
    <w:p>
      <w:pPr>
        <w:spacing w:beforeLines="100" w:line="360" w:lineRule="auto"/>
        <w:rPr>
          <w:rFonts w:hAnsi="宋体" w:cs="宋体"/>
          <w:color w:val="auto"/>
          <w:sz w:val="24"/>
          <w:highlight w:val="none"/>
        </w:rPr>
      </w:pPr>
      <w:r>
        <w:rPr>
          <w:rFonts w:hint="eastAsia" w:hAnsi="宋体" w:cs="宋体"/>
          <w:color w:val="auto"/>
          <w:sz w:val="24"/>
          <w:highlight w:val="none"/>
        </w:rPr>
        <w:t>_____________（采购代理机构名称）：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hAnsi="宋体" w:eastAsia="宋体" w:cs="宋体"/>
          <w:color w:val="auto"/>
          <w:sz w:val="24"/>
          <w:highlight w:val="none"/>
          <w:lang w:eastAsia="zh-CN"/>
        </w:rPr>
        <w:t>原</w:t>
      </w:r>
      <w:r>
        <w:rPr>
          <w:rFonts w:hint="eastAsia" w:hAnsi="宋体" w:cs="宋体"/>
          <w:color w:val="auto"/>
          <w:sz w:val="24"/>
          <w:highlight w:val="none"/>
        </w:rPr>
        <w:t>《四川省政府采购当事人诚信管理办法》（川财采【2015】33号文件）对我方可能存在的失信行为进行的惩戒。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四、我方为本项目提交的响应文件正本一份，副本贰份，电子文档一份，用于磋商报价。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4"/>
      <w:bookmarkEnd w:id="75"/>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2"/>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bCs/>
          <w:color w:val="auto"/>
          <w:sz w:val="24"/>
          <w:highlight w:val="none"/>
        </w:rPr>
      </w:pPr>
      <w:r>
        <w:rPr>
          <w:rFonts w:hint="eastAsia"/>
          <w:bCs/>
          <w:color w:val="auto"/>
          <w:sz w:val="24"/>
          <w:highlight w:val="none"/>
        </w:rPr>
        <w:t>注：1. 报价应是最终用户验收合格后交付使用的总价。</w:t>
      </w:r>
    </w:p>
    <w:p>
      <w:pPr>
        <w:snapToGrid w:val="0"/>
        <w:spacing w:line="360" w:lineRule="auto"/>
        <w:rPr>
          <w:bCs/>
          <w:color w:val="auto"/>
          <w:sz w:val="24"/>
          <w:highlight w:val="none"/>
        </w:rPr>
      </w:pPr>
      <w:r>
        <w:rPr>
          <w:rFonts w:hint="eastAsia"/>
          <w:bCs/>
          <w:color w:val="auto"/>
          <w:sz w:val="24"/>
          <w:highlight w:val="none"/>
        </w:rPr>
        <w:t xml:space="preserve">    2.“报价一览表”为多页的，每页均需由法定代表人或授权代表签字并盖供应商印章。</w:t>
      </w:r>
    </w:p>
    <w:p>
      <w:pPr>
        <w:spacing w:line="360" w:lineRule="auto"/>
        <w:ind w:firstLine="480"/>
        <w:rPr>
          <w:bCs/>
          <w:color w:val="auto"/>
          <w:sz w:val="24"/>
          <w:highlight w:val="none"/>
        </w:rPr>
      </w:pPr>
      <w:r>
        <w:rPr>
          <w:rFonts w:hint="eastAsia"/>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6" w:name="_Toc1868"/>
      <w:bookmarkStart w:id="77" w:name="_Toc25301"/>
      <w:r>
        <w:rPr>
          <w:rFonts w:hint="eastAsia" w:hAnsi="宋体" w:eastAsia="宋体" w:cs="宋体"/>
          <w:b/>
          <w:bCs/>
          <w:color w:val="auto"/>
          <w:sz w:val="32"/>
          <w:szCs w:val="32"/>
          <w:highlight w:val="none"/>
        </w:rPr>
        <w:t>三、分项报价明细表</w:t>
      </w:r>
      <w:bookmarkEnd w:id="76"/>
      <w:bookmarkEnd w:id="77"/>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01"/>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683" w:type="dxa"/>
            <w:vAlign w:val="center"/>
          </w:tcPr>
          <w:p>
            <w:pPr>
              <w:snapToGrid w:val="0"/>
              <w:spacing w:line="360" w:lineRule="auto"/>
              <w:rPr>
                <w:rFonts w:hAnsi="宋体"/>
                <w:color w:val="auto"/>
                <w:sz w:val="24"/>
                <w:highlight w:val="none"/>
              </w:rPr>
            </w:pPr>
            <w:r>
              <w:rPr>
                <w:rFonts w:hint="eastAsia" w:hAnsi="宋体"/>
                <w:color w:val="auto"/>
                <w:sz w:val="24"/>
                <w:highlight w:val="none"/>
              </w:rPr>
              <w:t>序号</w:t>
            </w:r>
          </w:p>
        </w:tc>
        <w:tc>
          <w:tcPr>
            <w:tcW w:w="3301"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内容</w:t>
            </w:r>
          </w:p>
        </w:tc>
        <w:tc>
          <w:tcPr>
            <w:tcW w:w="2408" w:type="dxa"/>
            <w:vAlign w:val="center"/>
          </w:tcPr>
          <w:p>
            <w:pPr>
              <w:tabs>
                <w:tab w:val="left" w:pos="1088"/>
              </w:tabs>
              <w:snapToGrid w:val="0"/>
              <w:spacing w:line="360" w:lineRule="auto"/>
              <w:rPr>
                <w:rFonts w:hAnsi="宋体"/>
                <w:color w:val="auto"/>
                <w:sz w:val="24"/>
                <w:highlight w:val="none"/>
              </w:rPr>
            </w:pPr>
            <w:r>
              <w:rPr>
                <w:rFonts w:hint="eastAsia" w:hAnsi="宋体"/>
                <w:color w:val="auto"/>
                <w:sz w:val="24"/>
                <w:highlight w:val="none"/>
              </w:rPr>
              <w:t>单项价格(单位: 元)</w:t>
            </w:r>
          </w:p>
        </w:tc>
        <w:tc>
          <w:tcPr>
            <w:tcW w:w="1422" w:type="dxa"/>
            <w:vAlign w:val="center"/>
          </w:tcPr>
          <w:p>
            <w:pPr>
              <w:tabs>
                <w:tab w:val="left" w:pos="1088"/>
              </w:tabs>
              <w:snapToGrid w:val="0"/>
              <w:spacing w:line="360" w:lineRule="auto"/>
              <w:ind w:left="213"/>
              <w:jc w:val="center"/>
              <w:rPr>
                <w:rFonts w:hAnsi="宋体"/>
                <w:color w:val="auto"/>
                <w:sz w:val="24"/>
                <w:highlight w:val="none"/>
              </w:rPr>
            </w:pPr>
            <w:r>
              <w:rPr>
                <w:rFonts w:hint="eastAsia" w:hAnsi="宋体"/>
                <w:color w:val="auto"/>
                <w:sz w:val="24"/>
                <w:highlight w:val="none"/>
              </w:rPr>
              <w:t>数量</w:t>
            </w:r>
          </w:p>
        </w:tc>
        <w:tc>
          <w:tcPr>
            <w:tcW w:w="1461" w:type="dxa"/>
            <w:vAlign w:val="center"/>
          </w:tcPr>
          <w:p>
            <w:pPr>
              <w:tabs>
                <w:tab w:val="left" w:pos="1088"/>
              </w:tabs>
              <w:snapToGrid w:val="0"/>
              <w:spacing w:line="360" w:lineRule="auto"/>
              <w:jc w:val="center"/>
              <w:rPr>
                <w:rFonts w:hAnsi="宋体"/>
                <w:color w:val="auto"/>
                <w:sz w:val="24"/>
                <w:highlight w:val="none"/>
              </w:rPr>
            </w:pPr>
            <w:r>
              <w:rPr>
                <w:rFonts w:hint="eastAsia" w:hAnsi="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1</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2</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3</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Ansi="宋体"/>
                <w:color w:val="auto"/>
                <w:sz w:val="24"/>
                <w:highlight w:val="none"/>
              </w:rPr>
            </w:pPr>
            <w:r>
              <w:rPr>
                <w:rFonts w:hint="eastAsia" w:hAnsi="宋体"/>
                <w:color w:val="auto"/>
                <w:sz w:val="24"/>
                <w:highlight w:val="none"/>
              </w:rPr>
              <w:t>总价(元)</w:t>
            </w:r>
          </w:p>
        </w:tc>
        <w:tc>
          <w:tcPr>
            <w:tcW w:w="1461" w:type="dxa"/>
            <w:vAlign w:val="center"/>
          </w:tcPr>
          <w:p>
            <w:pPr>
              <w:snapToGrid w:val="0"/>
              <w:spacing w:line="360" w:lineRule="auto"/>
              <w:jc w:val="center"/>
              <w:rPr>
                <w:rFonts w:hAnsi="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color w:val="auto"/>
          <w:highlight w:val="none"/>
        </w:rPr>
      </w:pPr>
      <w:r>
        <w:rPr>
          <w:rFonts w:hint="eastAsia"/>
          <w:color w:val="auto"/>
          <w:sz w:val="24"/>
          <w:highlight w:val="none"/>
        </w:rPr>
        <w:t>注：1.“</w:t>
      </w:r>
      <w:r>
        <w:rPr>
          <w:rFonts w:hint="eastAsia"/>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8" w:name="_Toc3444"/>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bookmarkEnd w:id="78"/>
    <w:p>
      <w:pPr>
        <w:widowControl/>
        <w:spacing w:line="360" w:lineRule="auto"/>
        <w:ind w:firstLine="480"/>
        <w:rPr>
          <w:rFonts w:hint="eastAsia" w:ascii="宋体" w:hAnsi="宋体" w:eastAsia="宋体" w:cs="宋体"/>
          <w:color w:val="auto"/>
          <w:sz w:val="21"/>
          <w:szCs w:val="21"/>
          <w:lang w:eastAsia="zh-CN"/>
        </w:rPr>
      </w:pPr>
      <w:bookmarkStart w:id="79" w:name="_Toc468268136"/>
      <w:bookmarkStart w:id="80" w:name="_Toc468269858"/>
    </w:p>
    <w:p>
      <w:pPr>
        <w:pStyle w:val="4"/>
        <w:bidi w:val="0"/>
        <w:jc w:val="center"/>
        <w:rPr>
          <w:rFonts w:hint="eastAsia"/>
          <w:color w:val="auto"/>
          <w:lang w:val="en-US" w:eastAsia="zh-CN"/>
        </w:rPr>
      </w:pPr>
      <w:r>
        <w:rPr>
          <w:rFonts w:hint="eastAsia"/>
          <w:color w:val="auto"/>
          <w:lang w:val="en-US" w:eastAsia="zh-CN"/>
        </w:rPr>
        <w:t>四、中小企业声明函</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2、在政府采购活动中，监狱企业视同小型、微型企业，享受预留份额、评审中价格扣除等政府采购促进中小企业发展的政府采购政策。</w:t>
      </w:r>
    </w:p>
    <w:p>
      <w:pPr>
        <w:pStyle w:val="2"/>
        <w:rPr>
          <w:color w:val="auto"/>
          <w:sz w:val="24"/>
          <w:highlight w:val="non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2"/>
        <w:spacing w:line="360" w:lineRule="auto"/>
        <w:rPr>
          <w:b/>
          <w:bCs/>
          <w:color w:val="auto"/>
          <w:highlight w:val="none"/>
        </w:rPr>
      </w:pPr>
    </w:p>
    <w:p>
      <w:pPr>
        <w:pStyle w:val="2"/>
        <w:spacing w:line="360" w:lineRule="auto"/>
        <w:rPr>
          <w:color w:val="auto"/>
          <w:highlight w:val="none"/>
        </w:rPr>
      </w:pPr>
    </w:p>
    <w:p>
      <w:pPr>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rPr>
          <w:color w:val="auto"/>
          <w:highlight w:val="none"/>
        </w:rPr>
      </w:pPr>
    </w:p>
    <w:p>
      <w:pPr>
        <w:rPr>
          <w:rFonts w:hint="eastAsia" w:hAnsi="宋体" w:cs="宋体"/>
          <w:b/>
          <w:bCs/>
          <w:color w:val="auto"/>
          <w:sz w:val="32"/>
          <w:szCs w:val="32"/>
          <w:highlight w:val="none"/>
        </w:rPr>
      </w:pPr>
      <w:bookmarkStart w:id="81" w:name="_Toc7797"/>
      <w:r>
        <w:rPr>
          <w:rFonts w:hint="eastAsia" w:hAnsi="宋体" w:cs="宋体"/>
          <w:b/>
          <w:bCs/>
          <w:color w:val="auto"/>
          <w:sz w:val="32"/>
          <w:szCs w:val="32"/>
          <w:highlight w:val="none"/>
        </w:rPr>
        <w:br w:type="page"/>
      </w:r>
    </w:p>
    <w:p>
      <w:pPr>
        <w:pStyle w:val="4"/>
        <w:spacing w:line="360" w:lineRule="auto"/>
        <w:jc w:val="center"/>
        <w:rPr>
          <w:rFonts w:hint="eastAsia" w:ascii="宋体" w:hAnsi="宋体"/>
          <w:color w:val="auto"/>
          <w:spacing w:val="6"/>
          <w:highlight w:val="none"/>
        </w:rPr>
      </w:pPr>
      <w:r>
        <w:rPr>
          <w:rFonts w:hint="eastAsia" w:ascii="宋体" w:hAnsi="宋体"/>
          <w:color w:val="auto"/>
          <w:spacing w:val="6"/>
          <w:highlight w:val="none"/>
          <w:lang w:eastAsia="zh-CN"/>
        </w:rPr>
        <w:t>七、</w:t>
      </w:r>
      <w:r>
        <w:rPr>
          <w:rFonts w:hint="eastAsia" w:ascii="宋体" w:hAnsi="宋体"/>
          <w:color w:val="auto"/>
          <w:spacing w:val="6"/>
          <w:highlight w:val="none"/>
        </w:rPr>
        <w:t>本项目采购代理服务费响应承诺书</w:t>
      </w:r>
    </w:p>
    <w:p>
      <w:pPr>
        <w:pStyle w:val="13"/>
        <w:spacing w:after="0" w:line="360" w:lineRule="auto"/>
        <w:ind w:left="0" w:leftChars="0"/>
        <w:rPr>
          <w:rFonts w:hint="eastAsia" w:ascii="宋体"/>
          <w:color w:val="auto"/>
          <w:sz w:val="24"/>
          <w:highlight w:val="none"/>
          <w:u w:val="single"/>
        </w:rPr>
      </w:pPr>
    </w:p>
    <w:p>
      <w:pPr>
        <w:pStyle w:val="13"/>
        <w:spacing w:after="0" w:line="360" w:lineRule="auto"/>
        <w:ind w:left="0" w:leftChars="0"/>
        <w:rPr>
          <w:rFonts w:hint="eastAsia"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（采购代理机构名称）</w:t>
      </w:r>
    </w:p>
    <w:p>
      <w:pPr>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 xml:space="preserve">  我单位在参加本项目“</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”（项目名称）项目（项目编号：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）（包号：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活动中，</w:t>
      </w:r>
      <w:r>
        <w:rPr>
          <w:rFonts w:hint="eastAsia" w:ascii="宋体" w:hAnsi="宋体" w:cs="宋体"/>
          <w:color w:val="auto"/>
          <w:sz w:val="24"/>
          <w:highlight w:val="none"/>
        </w:rPr>
        <w:t>若我单位为本项目</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供应商，我方保证在领取</w:t>
      </w:r>
      <w:r>
        <w:rPr>
          <w:rFonts w:hint="eastAsia" w:ascii="宋体" w:hAnsi="宋体" w:cs="宋体"/>
          <w:color w:val="auto"/>
          <w:sz w:val="24"/>
          <w:highlight w:val="none"/>
          <w:lang w:eastAsia="zh-CN"/>
        </w:rPr>
        <w:t>成</w:t>
      </w:r>
      <w:r>
        <w:rPr>
          <w:rFonts w:hint="eastAsia" w:ascii="宋体" w:hAnsi="宋体" w:cs="宋体"/>
          <w:color w:val="auto"/>
          <w:sz w:val="24"/>
          <w:highlight w:val="none"/>
        </w:rPr>
        <w:t>交通知书前按采购文件规定或结果公告公示代理服务费金额，向贵公司即</w:t>
      </w:r>
      <w:r>
        <w:rPr>
          <w:rFonts w:hint="eastAsia" w:ascii="宋体" w:hAnsi="宋体" w:cs="宋体"/>
          <w:color w:val="auto"/>
          <w:sz w:val="24"/>
          <w:highlight w:val="none"/>
          <w:lang w:eastAsia="zh-CN"/>
        </w:rPr>
        <w:t>四川中科远洋工程项目管理有限公司</w:t>
      </w:r>
      <w:r>
        <w:rPr>
          <w:rFonts w:hint="eastAsia" w:ascii="宋体" w:hAnsi="宋体" w:cs="宋体"/>
          <w:color w:val="auto"/>
          <w:sz w:val="24"/>
          <w:highlight w:val="none"/>
        </w:rPr>
        <w:t>指定的银行账号以转账或以现金方式一次性支付约定的代理服务费用。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若因我方过错造成质疑、投诉或使项日重新开展政府采购活动的，我方愿意承担所造成的一切损失特此承诺！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sz w:val="24"/>
          <w:highlight w:val="none"/>
        </w:rPr>
      </w:pPr>
    </w:p>
    <w:p>
      <w:pPr>
        <w:rPr>
          <w:rFonts w:hint="eastAsia" w:ascii="宋体" w:hAnsi="宋体" w:cs="宋体"/>
          <w:color w:val="auto"/>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rPr>
          <w:rFonts w:hint="eastAsia" w:hAnsi="宋体" w:cs="宋体"/>
          <w:b/>
          <w:bCs/>
          <w:color w:val="auto"/>
          <w:sz w:val="32"/>
          <w:szCs w:val="32"/>
          <w:highlight w:val="none"/>
        </w:rPr>
      </w:pPr>
    </w:p>
    <w:p>
      <w:pPr>
        <w:widowControl/>
        <w:spacing w:line="360" w:lineRule="auto"/>
        <w:jc w:val="left"/>
        <w:rPr>
          <w:rFonts w:hint="eastAsia"/>
          <w:b/>
          <w:bCs/>
          <w:color w:val="auto"/>
          <w:sz w:val="24"/>
          <w:highlight w:val="none"/>
          <w:lang w:eastAsia="zh-CN"/>
        </w:rPr>
      </w:pPr>
      <w:r>
        <w:rPr>
          <w:rFonts w:hint="eastAsia"/>
          <w:b/>
          <w:bCs/>
          <w:color w:val="auto"/>
          <w:sz w:val="24"/>
          <w:highlight w:val="none"/>
          <w:lang w:eastAsia="zh-CN"/>
        </w:rPr>
        <w:t>注：领取成交通知书需提供的资料清单：</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①代理费转账凭证复印件；</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②成交单位领取成交通知书的介绍信原件以及经办人身份证复印件加盖单位鲜章；</w:t>
      </w:r>
    </w:p>
    <w:p>
      <w:pPr>
        <w:widowControl/>
        <w:spacing w:line="360" w:lineRule="auto"/>
        <w:jc w:val="left"/>
        <w:rPr>
          <w:rFonts w:hint="default"/>
          <w:b/>
          <w:bCs/>
          <w:color w:val="auto"/>
          <w:sz w:val="24"/>
          <w:highlight w:val="none"/>
          <w:lang w:val="en-US" w:eastAsia="zh-CN"/>
        </w:rPr>
      </w:pPr>
      <w:r>
        <w:rPr>
          <w:rFonts w:hint="eastAsia"/>
          <w:b/>
          <w:bCs/>
          <w:color w:val="auto"/>
          <w:sz w:val="24"/>
          <w:highlight w:val="none"/>
          <w:lang w:val="en-US" w:eastAsia="zh-CN"/>
        </w:rPr>
        <w:t xml:space="preserve">  </w:t>
      </w:r>
    </w:p>
    <w:p>
      <w:pPr>
        <w:widowControl/>
        <w:spacing w:line="360" w:lineRule="auto"/>
        <w:jc w:val="left"/>
        <w:rPr>
          <w:rFonts w:hint="eastAsia"/>
          <w:color w:val="auto"/>
          <w:sz w:val="24"/>
          <w:highlight w:val="none"/>
          <w:lang w:eastAsia="zh-CN"/>
        </w:rPr>
      </w:pPr>
    </w:p>
    <w:p>
      <w:pPr>
        <w:widowControl/>
        <w:spacing w:line="360" w:lineRule="auto"/>
        <w:jc w:val="left"/>
        <w:rPr>
          <w:rFonts w:hint="eastAsia"/>
          <w:color w:val="auto"/>
          <w:sz w:val="24"/>
          <w:highlight w:val="none"/>
        </w:rPr>
      </w:pPr>
      <w:r>
        <w:rPr>
          <w:rFonts w:hint="eastAsia"/>
          <w:color w:val="auto"/>
          <w:sz w:val="24"/>
          <w:highlight w:val="none"/>
        </w:rPr>
        <w:br w:type="page"/>
      </w: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eastAsia="zh-CN"/>
        </w:rPr>
        <w:t>八</w:t>
      </w:r>
      <w:r>
        <w:rPr>
          <w:rFonts w:hint="eastAsia" w:hAnsi="宋体" w:cs="宋体"/>
          <w:b/>
          <w:bCs/>
          <w:color w:val="auto"/>
          <w:sz w:val="32"/>
          <w:szCs w:val="32"/>
          <w:highlight w:val="none"/>
        </w:rPr>
        <w:t>、商务应答表</w:t>
      </w:r>
      <w:bookmarkEnd w:id="81"/>
    </w:p>
    <w:p>
      <w:pPr>
        <w:pStyle w:val="16"/>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注：1. 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技术要求的顺序逐条对应填写。</w:t>
      </w:r>
    </w:p>
    <w:p>
      <w:pPr>
        <w:widowControl/>
        <w:spacing w:line="360" w:lineRule="auto"/>
        <w:ind w:firstLine="480" w:firstLineChars="200"/>
        <w:jc w:val="left"/>
        <w:rPr>
          <w:rFonts w:hAnsi="宋体"/>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据实填写，不得虚假填写，否则将取消其投标或</w:t>
      </w:r>
      <w:r>
        <w:rPr>
          <w:rFonts w:hint="eastAsia" w:ascii="宋体" w:hAnsi="宋体" w:cs="宋体"/>
          <w:color w:val="auto"/>
          <w:sz w:val="24"/>
          <w:highlight w:val="none"/>
          <w:lang w:eastAsia="zh-CN"/>
        </w:rPr>
        <w:t>成交</w:t>
      </w:r>
      <w:r>
        <w:rPr>
          <w:rFonts w:hint="eastAsia" w:ascii="宋体" w:hAnsi="宋体" w:cs="宋体"/>
          <w:color w:val="auto"/>
          <w:sz w:val="24"/>
          <w:highlight w:val="none"/>
        </w:rPr>
        <w:t>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7"/>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7"/>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7"/>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7"/>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7"/>
              <w:snapToGrid w:val="0"/>
              <w:spacing w:line="360" w:lineRule="auto"/>
              <w:rPr>
                <w:rFonts w:hAnsi="宋体"/>
                <w:color w:val="auto"/>
                <w:highlight w:val="none"/>
              </w:rPr>
            </w:pPr>
          </w:p>
        </w:tc>
        <w:tc>
          <w:tcPr>
            <w:tcW w:w="2479" w:type="dxa"/>
          </w:tcPr>
          <w:p>
            <w:pPr>
              <w:pStyle w:val="57"/>
              <w:snapToGrid w:val="0"/>
              <w:spacing w:line="360" w:lineRule="auto"/>
              <w:rPr>
                <w:rFonts w:hAnsi="宋体"/>
                <w:color w:val="auto"/>
                <w:highlight w:val="none"/>
              </w:rPr>
            </w:pPr>
          </w:p>
        </w:tc>
        <w:tc>
          <w:tcPr>
            <w:tcW w:w="2291" w:type="dxa"/>
          </w:tcPr>
          <w:p>
            <w:pPr>
              <w:pStyle w:val="57"/>
              <w:snapToGrid w:val="0"/>
              <w:spacing w:line="360" w:lineRule="auto"/>
              <w:rPr>
                <w:rFonts w:hAnsi="宋体"/>
                <w:color w:val="auto"/>
                <w:highlight w:val="none"/>
              </w:rPr>
            </w:pPr>
          </w:p>
        </w:tc>
        <w:tc>
          <w:tcPr>
            <w:tcW w:w="2872" w:type="dxa"/>
          </w:tcPr>
          <w:p>
            <w:pPr>
              <w:pStyle w:val="57"/>
              <w:snapToGrid w:val="0"/>
              <w:spacing w:line="360" w:lineRule="auto"/>
              <w:rPr>
                <w:rFonts w:hAnsi="宋体"/>
                <w:color w:val="auto"/>
                <w:highlight w:val="none"/>
              </w:rPr>
            </w:pPr>
          </w:p>
        </w:tc>
      </w:tr>
    </w:tbl>
    <w:p>
      <w:pPr>
        <w:spacing w:line="360" w:lineRule="auto"/>
        <w:rPr>
          <w:rFonts w:ascii="宋体" w:hAnsi="宋体" w:cs="宋体"/>
          <w:color w:val="auto"/>
          <w:sz w:val="24"/>
          <w:highlight w:val="none"/>
        </w:rPr>
      </w:pPr>
      <w:r>
        <w:rPr>
          <w:rFonts w:hint="eastAsia" w:hAnsi="宋体"/>
          <w:color w:val="auto"/>
          <w:highlight w:val="none"/>
        </w:rPr>
        <w:t xml:space="preserve">    </w:t>
      </w:r>
      <w:r>
        <w:rPr>
          <w:rFonts w:hint="eastAsia" w:ascii="宋体" w:hAnsi="宋体" w:cs="宋体"/>
          <w:color w:val="auto"/>
          <w:sz w:val="24"/>
          <w:highlight w:val="none"/>
        </w:rPr>
        <w:t>注：1. 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技术要求的顺序逐条对应填写。</w:t>
      </w:r>
    </w:p>
    <w:p>
      <w:pPr>
        <w:widowControl/>
        <w:spacing w:line="360" w:lineRule="auto"/>
        <w:ind w:firstLine="960" w:firstLineChars="400"/>
        <w:jc w:val="left"/>
        <w:rPr>
          <w:rFonts w:hAnsi="宋体"/>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据实填写，不得虚假填写，否则将取消其投标或</w:t>
      </w:r>
      <w:r>
        <w:rPr>
          <w:rFonts w:hint="eastAsia" w:ascii="宋体" w:hAnsi="宋体" w:cs="宋体"/>
          <w:color w:val="auto"/>
          <w:sz w:val="24"/>
          <w:highlight w:val="none"/>
          <w:lang w:eastAsia="zh-CN"/>
        </w:rPr>
        <w:t>成交</w:t>
      </w:r>
      <w:r>
        <w:rPr>
          <w:rFonts w:hint="eastAsia" w:ascii="宋体" w:hAnsi="宋体" w:cs="宋体"/>
          <w:color w:val="auto"/>
          <w:sz w:val="24"/>
          <w:highlight w:val="none"/>
        </w:rPr>
        <w:t>资格。</w:t>
      </w:r>
    </w:p>
    <w:p>
      <w:pPr>
        <w:snapToGrid w:val="0"/>
        <w:spacing w:line="360" w:lineRule="auto"/>
        <w:ind w:firstLine="180" w:firstLineChars="75"/>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bookmarkStart w:id="82" w:name="_Toc30381"/>
      <w:bookmarkStart w:id="83" w:name="_Toc26007"/>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、供应商基本情况表</w:t>
      </w:r>
      <w:bookmarkEnd w:id="82"/>
      <w:bookmarkEnd w:id="83"/>
    </w:p>
    <w:tbl>
      <w:tblPr>
        <w:tblStyle w:val="22"/>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hAnsi="宋体" w:cs="Arial"/>
          <w:color w:val="auto"/>
          <w:sz w:val="24"/>
          <w:szCs w:val="24"/>
          <w:highlight w:val="none"/>
        </w:rPr>
      </w:pPr>
      <w:bookmarkStart w:id="84" w:name="_Toc26416"/>
      <w:bookmarkStart w:id="85" w:name="_Toc31838"/>
      <w:r>
        <w:rPr>
          <w:rFonts w:hint="eastAsia" w:ascii="宋体" w:hAnsi="宋体" w:eastAsia="宋体" w:cs="宋体"/>
          <w:color w:val="auto"/>
          <w:highlight w:val="none"/>
          <w:lang w:eastAsia="zh-CN"/>
        </w:rPr>
        <w:t>十一</w:t>
      </w:r>
      <w:r>
        <w:rPr>
          <w:rFonts w:hint="eastAsia" w:ascii="宋体" w:hAnsi="宋体" w:eastAsia="宋体" w:cs="宋体"/>
          <w:color w:val="auto"/>
          <w:highlight w:val="none"/>
        </w:rPr>
        <w:t>、供应商拟委任的项目负责人资历表</w:t>
      </w:r>
      <w:bookmarkEnd w:id="84"/>
      <w:bookmarkEnd w:id="85"/>
    </w:p>
    <w:p>
      <w:pPr>
        <w:spacing w:line="360" w:lineRule="auto"/>
        <w:rPr>
          <w:rFonts w:hAnsi="宋体" w:cs="Arial"/>
          <w:color w:val="auto"/>
          <w:sz w:val="24"/>
          <w:highlight w:val="none"/>
        </w:rPr>
      </w:pPr>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2"/>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ascii="宋体" w:hAnsi="宋体" w:eastAsia="宋体" w:cs="宋体"/>
          <w:color w:val="auto"/>
          <w:highlight w:val="none"/>
        </w:rPr>
      </w:pPr>
      <w:bookmarkStart w:id="86" w:name="_Toc9449"/>
      <w:bookmarkStart w:id="87" w:name="_Toc25781"/>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、供应商本项目管理、技术、其他人员情况表</w:t>
      </w:r>
      <w:bookmarkEnd w:id="86"/>
      <w:bookmarkEnd w:id="87"/>
    </w:p>
    <w:p>
      <w:pPr>
        <w:snapToGrid w:val="0"/>
        <w:spacing w:line="360" w:lineRule="auto"/>
        <w:rPr>
          <w:rFonts w:hAnsi="宋体" w:cs="Arial"/>
          <w:bCs/>
          <w:color w:val="auto"/>
          <w:sz w:val="24"/>
          <w:highlight w:val="none"/>
        </w:rPr>
      </w:pPr>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、供应商类似项目业绩一览表</w:t>
      </w:r>
    </w:p>
    <w:tbl>
      <w:tblPr>
        <w:tblStyle w:val="22"/>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2"/>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4"/>
        <w:pageBreakBefore/>
        <w:snapToGrid w:val="0"/>
        <w:spacing w:line="360" w:lineRule="auto"/>
        <w:jc w:val="center"/>
        <w:rPr>
          <w:rFonts w:ascii="宋体" w:hAnsi="宋体" w:eastAsia="宋体" w:cs="宋体"/>
          <w:color w:val="auto"/>
          <w:highlight w:val="none"/>
        </w:rPr>
      </w:pPr>
      <w:bookmarkStart w:id="88" w:name="_Toc553"/>
      <w:bookmarkStart w:id="89" w:name="_Toc17750"/>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bookmarkEnd w:id="88"/>
      <w:bookmarkEnd w:id="89"/>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2"/>
        <w:rPr>
          <w:rFonts w:hAnsi="宋体" w:cs="Arial"/>
          <w:color w:val="auto"/>
          <w:sz w:val="24"/>
          <w:highlight w:val="none"/>
        </w:rPr>
      </w:pPr>
    </w:p>
    <w:p>
      <w:pPr>
        <w:pStyle w:val="2"/>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2"/>
        <w:rPr>
          <w:b/>
          <w:bCs/>
          <w:color w:val="auto"/>
          <w:sz w:val="44"/>
          <w:szCs w:val="44"/>
          <w:highlight w:val="none"/>
        </w:rPr>
      </w:pPr>
    </w:p>
    <w:p>
      <w:pPr>
        <w:pStyle w:val="2"/>
        <w:rPr>
          <w:b/>
          <w:bCs/>
          <w:color w:val="auto"/>
          <w:sz w:val="44"/>
          <w:szCs w:val="44"/>
          <w:highlight w:val="none"/>
        </w:rPr>
      </w:pPr>
    </w:p>
    <w:p>
      <w:pPr>
        <w:pStyle w:val="2"/>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widowControl/>
        <w:spacing w:line="360" w:lineRule="auto"/>
        <w:jc w:val="left"/>
        <w:rPr>
          <w:color w:val="auto"/>
          <w:sz w:val="24"/>
          <w:highlight w:val="none"/>
        </w:rPr>
      </w:pPr>
    </w:p>
    <w:p>
      <w:pPr>
        <w:rPr>
          <w:color w:val="auto"/>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五</w:t>
      </w:r>
      <w:r>
        <w:rPr>
          <w:rFonts w:hint="eastAsia"/>
          <w:color w:val="auto"/>
          <w:highlight w:val="none"/>
        </w:rPr>
        <w:t xml:space="preserve"> 、其它供应商认为应该提供的相关材料</w:t>
      </w:r>
    </w:p>
    <w:p>
      <w:pPr>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4"/>
        <w:pageBreakBefore/>
        <w:snapToGrid w:val="0"/>
        <w:spacing w:line="360" w:lineRule="auto"/>
        <w:jc w:val="center"/>
        <w:rPr>
          <w:rFonts w:ascii="宋体" w:hAnsi="宋体" w:eastAsia="宋体" w:cs="宋体"/>
          <w:color w:val="auto"/>
          <w:highlight w:val="none"/>
        </w:rPr>
      </w:pPr>
      <w:bookmarkStart w:id="90" w:name="_Toc24383"/>
      <w:bookmarkStart w:id="91" w:name="_Toc10867"/>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、最终报价表</w:t>
      </w:r>
      <w:bookmarkEnd w:id="90"/>
      <w:bookmarkEnd w:id="91"/>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center"/>
        <w:rPr>
          <w:color w:val="auto"/>
          <w:sz w:val="24"/>
          <w:highlight w:val="none"/>
        </w:rPr>
      </w:pPr>
      <w:r>
        <w:rPr>
          <w:rFonts w:hint="eastAsia"/>
          <w:b/>
          <w:bCs/>
          <w:color w:val="auto"/>
          <w:sz w:val="72"/>
          <w:szCs w:val="72"/>
          <w:highlight w:val="none"/>
        </w:rPr>
        <w:t>最终报价表</w:t>
      </w:r>
      <w:r>
        <w:rPr>
          <w:rFonts w:hint="eastAsia"/>
          <w:color w:val="auto"/>
          <w:sz w:val="24"/>
          <w:highlight w:val="none"/>
        </w:rPr>
        <w:t>（封面）</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left"/>
        <w:rPr>
          <w:color w:val="auto"/>
          <w:sz w:val="32"/>
          <w:szCs w:val="32"/>
          <w:highlight w:val="none"/>
        </w:rPr>
      </w:pPr>
      <w:r>
        <w:rPr>
          <w:rFonts w:hint="eastAsia"/>
          <w:color w:val="auto"/>
          <w:sz w:val="28"/>
          <w:szCs w:val="28"/>
          <w:highlight w:val="none"/>
        </w:rPr>
        <w:t xml:space="preserve"> </w:t>
      </w:r>
      <w:r>
        <w:rPr>
          <w:rFonts w:hint="eastAsia"/>
          <w:color w:val="auto"/>
          <w:sz w:val="32"/>
          <w:szCs w:val="32"/>
          <w:highlight w:val="none"/>
        </w:rPr>
        <w:t xml:space="preserve"> 项 目 名 称：</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项</w:t>
      </w:r>
      <w:r>
        <w:rPr>
          <w:rFonts w:hint="eastAsia"/>
          <w:color w:val="auto"/>
          <w:sz w:val="32"/>
          <w:szCs w:val="32"/>
          <w:highlight w:val="none"/>
          <w:lang w:val="en-US" w:eastAsia="zh-CN"/>
        </w:rPr>
        <w:t xml:space="preserve"> </w:t>
      </w:r>
      <w:r>
        <w:rPr>
          <w:rFonts w:hint="eastAsia"/>
          <w:color w:val="auto"/>
          <w:sz w:val="32"/>
          <w:szCs w:val="32"/>
          <w:highlight w:val="none"/>
          <w:lang w:eastAsia="zh-CN"/>
        </w:rPr>
        <w:t>目</w:t>
      </w:r>
      <w:r>
        <w:rPr>
          <w:rFonts w:hint="eastAsia"/>
          <w:color w:val="auto"/>
          <w:sz w:val="32"/>
          <w:szCs w:val="32"/>
          <w:highlight w:val="none"/>
          <w:lang w:val="en-US" w:eastAsia="zh-CN"/>
        </w:rPr>
        <w:t xml:space="preserve"> </w:t>
      </w:r>
      <w:r>
        <w:rPr>
          <w:rFonts w:hint="eastAsia"/>
          <w:color w:val="auto"/>
          <w:sz w:val="32"/>
          <w:szCs w:val="32"/>
          <w:highlight w:val="none"/>
          <w:lang w:eastAsia="zh-CN"/>
        </w:rPr>
        <w:t>编</w:t>
      </w:r>
      <w:r>
        <w:rPr>
          <w:rFonts w:hint="eastAsia"/>
          <w:color w:val="auto"/>
          <w:sz w:val="32"/>
          <w:szCs w:val="32"/>
          <w:highlight w:val="none"/>
          <w:lang w:val="en-US" w:eastAsia="zh-CN"/>
        </w:rPr>
        <w:t xml:space="preserve"> </w:t>
      </w:r>
      <w:r>
        <w:rPr>
          <w:rFonts w:hint="eastAsia"/>
          <w:color w:val="auto"/>
          <w:sz w:val="32"/>
          <w:szCs w:val="32"/>
          <w:highlight w:val="none"/>
          <w:lang w:eastAsia="zh-CN"/>
        </w:rPr>
        <w:t>号</w:t>
      </w:r>
      <w:r>
        <w:rPr>
          <w:rFonts w:hint="eastAsia"/>
          <w:color w:val="auto"/>
          <w:sz w:val="32"/>
          <w:szCs w:val="32"/>
          <w:highlight w:val="none"/>
        </w:rPr>
        <w:t>：</w:t>
      </w:r>
      <w:r>
        <w:rPr>
          <w:rFonts w:hint="eastAsia"/>
          <w:color w:val="auto"/>
          <w:sz w:val="32"/>
          <w:szCs w:val="32"/>
          <w:highlight w:val="none"/>
          <w:u w:val="single"/>
        </w:rPr>
        <w:t xml:space="preserve">                                   </w:t>
      </w:r>
      <w:r>
        <w:rPr>
          <w:rFonts w:hint="eastAsia"/>
          <w:color w:val="auto"/>
          <w:sz w:val="32"/>
          <w:szCs w:val="32"/>
          <w:highlight w:val="non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供应商名称（签章）：</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磋</w:t>
      </w:r>
      <w:r>
        <w:rPr>
          <w:rFonts w:hint="eastAsia"/>
          <w:color w:val="auto"/>
          <w:sz w:val="32"/>
          <w:szCs w:val="32"/>
          <w:highlight w:val="none"/>
          <w:lang w:val="en-US" w:eastAsia="zh-CN"/>
        </w:rPr>
        <w:t xml:space="preserve"> </w:t>
      </w:r>
      <w:r>
        <w:rPr>
          <w:rFonts w:hint="eastAsia"/>
          <w:color w:val="auto"/>
          <w:sz w:val="32"/>
          <w:szCs w:val="32"/>
          <w:highlight w:val="none"/>
          <w:lang w:eastAsia="zh-CN"/>
        </w:rPr>
        <w:t>商</w:t>
      </w:r>
      <w:r>
        <w:rPr>
          <w:rFonts w:hint="eastAsia"/>
          <w:color w:val="auto"/>
          <w:sz w:val="32"/>
          <w:szCs w:val="32"/>
          <w:highlight w:val="none"/>
          <w:lang w:val="en-US" w:eastAsia="zh-CN"/>
        </w:rPr>
        <w:t xml:space="preserve"> </w:t>
      </w:r>
      <w:r>
        <w:rPr>
          <w:rFonts w:hint="eastAsia"/>
          <w:color w:val="auto"/>
          <w:sz w:val="32"/>
          <w:szCs w:val="32"/>
          <w:highlight w:val="none"/>
          <w:lang w:eastAsia="zh-CN"/>
        </w:rPr>
        <w:t>日</w:t>
      </w:r>
      <w:r>
        <w:rPr>
          <w:rFonts w:hint="eastAsia"/>
          <w:color w:val="auto"/>
          <w:sz w:val="32"/>
          <w:szCs w:val="32"/>
          <w:highlight w:val="none"/>
          <w:lang w:val="en-US" w:eastAsia="zh-CN"/>
        </w:rPr>
        <w:t xml:space="preserve"> </w:t>
      </w:r>
      <w:r>
        <w:rPr>
          <w:rFonts w:hint="eastAsia"/>
          <w:color w:val="auto"/>
          <w:sz w:val="32"/>
          <w:szCs w:val="32"/>
          <w:highlight w:val="none"/>
          <w:lang w:eastAsia="zh-CN"/>
        </w:rPr>
        <w:t>期</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rPr>
          <w:b/>
          <w:color w:val="auto"/>
          <w:sz w:val="52"/>
          <w:szCs w:val="52"/>
          <w:highlight w:val="none"/>
        </w:rPr>
      </w:pPr>
    </w:p>
    <w:tbl>
      <w:tblPr>
        <w:tblStyle w:val="22"/>
        <w:tblpPr w:leftFromText="180" w:rightFromText="180" w:vertAnchor="page" w:horzAnchor="page" w:tblpX="1220" w:tblpY="1503"/>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786"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 xml:space="preserve">最终报价表 </w:t>
            </w:r>
          </w:p>
          <w:p>
            <w:pPr>
              <w:spacing w:line="360" w:lineRule="auto"/>
              <w:ind w:right="31" w:rightChars="15"/>
              <w:rPr>
                <w:rFonts w:hint="eastAsia" w:eastAsiaTheme="minorEastAsia"/>
                <w:color w:val="auto"/>
                <w:sz w:val="24"/>
                <w:highlight w:val="none"/>
                <w:lang w:eastAsia="zh-CN"/>
              </w:rPr>
            </w:pPr>
            <w:r>
              <w:rPr>
                <w:rFonts w:hint="eastAsia"/>
                <w:color w:val="auto"/>
                <w:sz w:val="24"/>
                <w:highlight w:val="none"/>
                <w:lang w:eastAsia="zh-CN"/>
              </w:rPr>
              <w:t>四川中科远洋工程项目管理有限公司</w:t>
            </w:r>
            <w:r>
              <w:rPr>
                <w:color w:val="auto"/>
                <w:sz w:val="24"/>
                <w:highlight w:val="none"/>
              </w:rPr>
              <w:t>：</w:t>
            </w:r>
          </w:p>
          <w:p>
            <w:pPr>
              <w:spacing w:line="360" w:lineRule="auto"/>
              <w:ind w:right="31" w:rightChars="15"/>
              <w:rPr>
                <w:rFonts w:hAnsi="宋体" w:cs="宋体"/>
                <w:b/>
                <w:bCs/>
                <w:color w:val="auto"/>
                <w:sz w:val="24"/>
                <w:highlight w:val="none"/>
              </w:rPr>
            </w:pPr>
            <w:r>
              <w:rPr>
                <w:color w:val="auto"/>
                <w:sz w:val="24"/>
                <w:highlight w:val="none"/>
              </w:rPr>
              <w:t xml:space="preserve">    我公司（企业）认真阅读了</w:t>
            </w:r>
            <w:r>
              <w:rPr>
                <w:rFonts w:hint="eastAsia"/>
                <w:color w:val="auto"/>
                <w:sz w:val="24"/>
                <w:szCs w:val="24"/>
                <w:highlight w:val="none"/>
                <w:u w:color="FFFFFF" w:themeColor="background1"/>
                <w:lang w:eastAsia="zh-CN"/>
              </w:rPr>
              <w:t>彭州市文物保护管理所2021年10-12月文物勘探劳务服务采购项目（第二次）</w:t>
            </w:r>
            <w:r>
              <w:rPr>
                <w:rFonts w:hint="eastAsia"/>
                <w:b/>
                <w:bCs/>
                <w:color w:val="auto"/>
                <w:sz w:val="24"/>
                <w:highlight w:val="none"/>
              </w:rPr>
              <w:t>（</w:t>
            </w:r>
            <w:r>
              <w:rPr>
                <w:rFonts w:hint="eastAsia"/>
                <w:b/>
                <w:bCs/>
                <w:color w:val="auto"/>
                <w:sz w:val="24"/>
                <w:highlight w:val="none"/>
                <w:lang w:eastAsia="zh-CN"/>
              </w:rPr>
              <w:t>项目编号</w:t>
            </w:r>
            <w:r>
              <w:rPr>
                <w:rFonts w:hint="eastAsia"/>
                <w:b/>
                <w:bCs/>
                <w:color w:val="auto"/>
                <w:sz w:val="24"/>
                <w:highlight w:val="none"/>
              </w:rPr>
              <w:t>：</w:t>
            </w:r>
            <w:r>
              <w:rPr>
                <w:rFonts w:hint="eastAsia"/>
                <w:b/>
                <w:bCs/>
                <w:color w:val="auto"/>
                <w:sz w:val="24"/>
                <w:highlight w:val="none"/>
                <w:lang w:val="en-US" w:eastAsia="zh-CN"/>
              </w:rPr>
              <w:t xml:space="preserve">     </w:t>
            </w:r>
            <w:r>
              <w:rPr>
                <w:rFonts w:hint="eastAsia"/>
                <w:b/>
                <w:bCs/>
                <w:color w:val="auto"/>
                <w:sz w:val="24"/>
                <w:highlight w:val="none"/>
              </w:rPr>
              <w:t>）</w:t>
            </w:r>
            <w:r>
              <w:rPr>
                <w:color w:val="auto"/>
                <w:sz w:val="24"/>
                <w:highlight w:val="none"/>
              </w:rPr>
              <w:t>竞争性</w:t>
            </w:r>
            <w:r>
              <w:rPr>
                <w:rFonts w:hint="eastAsia"/>
                <w:color w:val="auto"/>
                <w:sz w:val="24"/>
                <w:highlight w:val="none"/>
              </w:rPr>
              <w:t>磋商</w:t>
            </w:r>
            <w:r>
              <w:rPr>
                <w:color w:val="auto"/>
                <w:sz w:val="24"/>
                <w:highlight w:val="none"/>
              </w:rPr>
              <w:t>文件的采购内容，并严格按</w:t>
            </w:r>
            <w:r>
              <w:rPr>
                <w:rFonts w:hint="eastAsia"/>
                <w:color w:val="auto"/>
                <w:sz w:val="24"/>
                <w:highlight w:val="none"/>
              </w:rPr>
              <w:t>竞争性磋商</w:t>
            </w:r>
            <w:r>
              <w:rPr>
                <w:color w:val="auto"/>
                <w:sz w:val="24"/>
                <w:highlight w:val="none"/>
              </w:rPr>
              <w:t>文件、修改补充文件中规定的要求以及技术参数，通过仔细核算，作出</w:t>
            </w:r>
            <w:r>
              <w:rPr>
                <w:rFonts w:hint="eastAsia"/>
                <w:color w:val="auto"/>
                <w:sz w:val="24"/>
                <w:highlight w:val="none"/>
              </w:rPr>
              <w:t>最终</w:t>
            </w:r>
            <w:r>
              <w:rPr>
                <w:color w:val="auto"/>
                <w:sz w:val="24"/>
                <w:highlight w:val="none"/>
              </w:rPr>
              <w:t>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总合计（人民币 元）</w:t>
            </w:r>
          </w:p>
        </w:tc>
      </w:tr>
      <w:tr>
        <w:tblPrEx>
          <w:tblCellMar>
            <w:top w:w="15" w:type="dxa"/>
            <w:left w:w="15" w:type="dxa"/>
            <w:bottom w:w="15" w:type="dxa"/>
            <w:right w:w="15" w:type="dxa"/>
          </w:tblCellMar>
        </w:tblPrEx>
        <w:trPr>
          <w:trHeight w:val="340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color w:val="auto"/>
                <w:sz w:val="24"/>
                <w:highlight w:val="none"/>
              </w:rPr>
            </w:pPr>
            <w:r>
              <w:rPr>
                <w:rFonts w:hint="eastAsia"/>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napToGrid w:val="0"/>
              <w:spacing w:line="360" w:lineRule="auto"/>
              <w:jc w:val="left"/>
              <w:rPr>
                <w:rFonts w:hint="eastAsia" w:eastAsiaTheme="minorEastAsia"/>
                <w:color w:val="auto"/>
                <w:sz w:val="24"/>
                <w:highlight w:val="none"/>
                <w:lang w:eastAsia="zh-CN"/>
              </w:rPr>
            </w:pPr>
            <w:r>
              <w:rPr>
                <w:rFonts w:hint="eastAsia"/>
                <w:color w:val="auto"/>
                <w:sz w:val="24"/>
                <w:highlight w:val="none"/>
              </w:rPr>
              <w:t>小写：</w:t>
            </w:r>
          </w:p>
          <w:p>
            <w:pPr>
              <w:pStyle w:val="2"/>
              <w:rPr>
                <w:rFonts w:hint="eastAsia"/>
                <w:color w:val="auto"/>
                <w:lang w:eastAsia="zh-CN"/>
              </w:rPr>
            </w:pPr>
          </w:p>
          <w:p>
            <w:pPr>
              <w:pStyle w:val="2"/>
              <w:spacing w:line="360" w:lineRule="auto"/>
              <w:rPr>
                <w:color w:val="auto"/>
                <w:sz w:val="24"/>
                <w:highlight w:val="none"/>
              </w:rPr>
            </w:pPr>
            <w:r>
              <w:rPr>
                <w:rFonts w:hint="eastAsia"/>
                <w:color w:val="auto"/>
                <w:sz w:val="24"/>
                <w:highlight w:val="none"/>
              </w:rPr>
              <w:t>大写：</w:t>
            </w:r>
          </w:p>
        </w:tc>
      </w:tr>
      <w:tr>
        <w:tblPrEx>
          <w:tblCellMar>
            <w:top w:w="15" w:type="dxa"/>
            <w:left w:w="15" w:type="dxa"/>
            <w:bottom w:w="15" w:type="dxa"/>
            <w:right w:w="15" w:type="dxa"/>
          </w:tblCellMar>
        </w:tblPrEx>
        <w:trPr>
          <w:trHeight w:val="1573"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w:t>
            </w:r>
            <w:r>
              <w:rPr>
                <w:color w:val="auto"/>
                <w:sz w:val="24"/>
                <w:highlight w:val="none"/>
              </w:rPr>
              <w:t>注：1、报价表必须填写完整</w:t>
            </w:r>
            <w:r>
              <w:rPr>
                <w:rFonts w:hint="eastAsia"/>
                <w:color w:val="auto"/>
                <w:sz w:val="24"/>
                <w:highlight w:val="none"/>
              </w:rPr>
              <w:t>；</w:t>
            </w:r>
            <w:r>
              <w:rPr>
                <w:color w:val="auto"/>
                <w:sz w:val="24"/>
                <w:highlight w:val="none"/>
              </w:rPr>
              <w:t>否则，视为无效响应报价</w:t>
            </w:r>
            <w:r>
              <w:rPr>
                <w:rFonts w:hint="eastAsia"/>
                <w:color w:val="auto"/>
                <w:sz w:val="24"/>
                <w:highlight w:val="none"/>
              </w:rPr>
              <w:t>。</w:t>
            </w:r>
          </w:p>
          <w:p>
            <w:pPr>
              <w:widowControl/>
              <w:snapToGrid w:val="0"/>
              <w:spacing w:line="360" w:lineRule="auto"/>
              <w:jc w:val="left"/>
              <w:textAlignment w:val="center"/>
              <w:rPr>
                <w:rFonts w:ascii="仿宋_GB2312" w:hAnsi="宋体" w:eastAsia="仿宋_GB2312" w:cs="仿宋_GB2312"/>
                <w:color w:val="auto"/>
                <w:sz w:val="24"/>
                <w:highlight w:val="none"/>
              </w:rPr>
            </w:pPr>
            <w:r>
              <w:rPr>
                <w:rFonts w:hint="eastAsia"/>
                <w:color w:val="auto"/>
                <w:sz w:val="24"/>
                <w:highlight w:val="none"/>
              </w:rPr>
              <w:t xml:space="preserve">     </w:t>
            </w:r>
            <w:r>
              <w:rPr>
                <w:color w:val="auto"/>
                <w:sz w:val="24"/>
                <w:highlight w:val="none"/>
              </w:rPr>
              <w:t>2、响应报价保留小数点后两位。</w:t>
            </w:r>
          </w:p>
        </w:tc>
      </w:tr>
      <w:tr>
        <w:tblPrEx>
          <w:tblCellMar>
            <w:top w:w="15" w:type="dxa"/>
            <w:left w:w="15" w:type="dxa"/>
            <w:bottom w:w="15" w:type="dxa"/>
            <w:right w:w="15" w:type="dxa"/>
          </w:tblCellMar>
        </w:tblPrEx>
        <w:trPr>
          <w:trHeight w:val="297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3"/>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9"/>
      <w:bookmarkEnd w:id="80"/>
      <w:bookmarkStart w:id="92" w:name="_Toc28106"/>
      <w:bookmarkStart w:id="93" w:name="_Toc28027"/>
      <w:bookmarkStart w:id="94" w:name="_Toc32172"/>
      <w:bookmarkStart w:id="95" w:name="_Toc28161"/>
      <w:bookmarkStart w:id="96" w:name="_Toc6426"/>
      <w:bookmarkStart w:id="97" w:name="_Toc4539"/>
      <w:bookmarkStart w:id="98" w:name="_Toc9096_WPSOffice_Level1"/>
      <w:bookmarkStart w:id="99" w:name="_Toc1472"/>
      <w:bookmarkStart w:id="100" w:name="_Toc28598"/>
      <w:r>
        <w:rPr>
          <w:rFonts w:hint="eastAsia"/>
          <w:bCs w:val="0"/>
          <w:color w:val="auto"/>
          <w:kern w:val="0"/>
          <w:sz w:val="36"/>
          <w:szCs w:val="36"/>
          <w:highlight w:val="none"/>
        </w:rPr>
        <w:t>第四章 供应商的资格、资质性及其他类似效力要求</w:t>
      </w:r>
      <w:bookmarkEnd w:id="92"/>
      <w:bookmarkEnd w:id="93"/>
      <w:bookmarkEnd w:id="94"/>
      <w:bookmarkEnd w:id="95"/>
      <w:bookmarkEnd w:id="96"/>
      <w:bookmarkEnd w:id="97"/>
      <w:bookmarkEnd w:id="98"/>
      <w:bookmarkEnd w:id="99"/>
      <w:bookmarkEnd w:id="100"/>
    </w:p>
    <w:p>
      <w:pPr>
        <w:numPr>
          <w:ilvl w:val="0"/>
          <w:numId w:val="4"/>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（一）《中华人民共和国政府采购法》第二十二条第一款第1项至第5项规定的条件：</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（二）法律、行政法规规定的其他条件：</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参加本次政府采购活动，供应商不存在与单位负责人为同一人或者存在直接控股、管理关系的其他供应商参与同一合同项下的政府采购活动的行为。</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参加本次政府采购活动，供应商不存在和其他供应商在同一合同项下的采购项目中，同时委托同一个自然人、同一家庭的人员、同一单位的人员作为代理人的行为。</w:t>
      </w:r>
    </w:p>
    <w:p>
      <w:pPr>
        <w:widowControl/>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为采购项目提供整体设计、规范编制或者项目管理、监理、检测等服务的供应商，不得再参加该采购项目的其他采购活动。</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供应商及其现任法定代表人、主要负责人不得具有行贿犯罪记录；</w:t>
      </w:r>
    </w:p>
    <w:p>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注：采购代理机构将通过“信用中国”（www.creditchina.gov.cn）、“中国政府采购网”（www.ccgp.gov.cn）等渠道查询供应商在递交响应文件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磋商时由供应商在响应文件中自行提供承诺函，格式自拟；</w:t>
      </w:r>
    </w:p>
    <w:p>
      <w:pPr>
        <w:widowControl/>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（三）根据采购项目提出的特殊条件：</w:t>
      </w:r>
      <w:r>
        <w:rPr>
          <w:rFonts w:hint="eastAsia" w:ascii="宋体" w:hAnsi="宋体" w:eastAsia="宋体" w:cs="宋体"/>
          <w:b/>
          <w:bCs/>
          <w:color w:val="auto"/>
          <w:sz w:val="24"/>
          <w:highlight w:val="none"/>
          <w:lang w:eastAsia="zh-CN"/>
        </w:rPr>
        <w:t>无</w:t>
      </w:r>
      <w:r>
        <w:rPr>
          <w:rFonts w:hint="eastAsia" w:ascii="宋体" w:hAnsi="宋体" w:eastAsia="宋体" w:cs="宋体"/>
          <w:color w:val="auto"/>
          <w:sz w:val="24"/>
          <w:highlight w:val="none"/>
          <w:lang w:eastAsia="zh-CN"/>
        </w:rPr>
        <w:t>。</w:t>
      </w:r>
    </w:p>
    <w:p>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（四）本项目不接受联合体投标。</w:t>
      </w:r>
    </w:p>
    <w:p>
      <w:pPr>
        <w:widowControl/>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widowControl/>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beforeLines="100" w:line="360" w:lineRule="auto"/>
        <w:jc w:val="both"/>
        <w:outlineLvl w:val="0"/>
        <w:rPr>
          <w:b/>
          <w:color w:val="auto"/>
          <w:sz w:val="36"/>
          <w:szCs w:val="36"/>
          <w:highlight w:val="none"/>
        </w:rPr>
      </w:pPr>
      <w:r>
        <w:rPr>
          <w:rFonts w:hint="eastAsia"/>
          <w:b/>
          <w:color w:val="auto"/>
          <w:sz w:val="36"/>
          <w:szCs w:val="36"/>
          <w:highlight w:val="none"/>
        </w:rPr>
        <w:br w:type="page"/>
      </w:r>
      <w:bookmarkStart w:id="101" w:name="_Toc12198"/>
      <w:bookmarkStart w:id="102" w:name="_Toc26833_WPSOffice_Level1"/>
      <w:bookmarkStart w:id="103" w:name="_Toc1519"/>
      <w:bookmarkStart w:id="104" w:name="_Toc19426"/>
      <w:bookmarkStart w:id="105" w:name="_Toc1490"/>
      <w:bookmarkStart w:id="106" w:name="_Toc10480"/>
      <w:bookmarkStart w:id="107" w:name="_Toc7553"/>
      <w:bookmarkStart w:id="108" w:name="_Toc12533"/>
      <w:bookmarkStart w:id="109" w:name="_Toc16188"/>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资格、资质性及其他类似效力要求的</w:t>
      </w:r>
      <w:r>
        <w:rPr>
          <w:rFonts w:hint="eastAsia"/>
          <w:b/>
          <w:color w:val="auto"/>
          <w:sz w:val="36"/>
          <w:szCs w:val="36"/>
          <w:highlight w:val="none"/>
        </w:rPr>
        <w:t>相关证明材料</w:t>
      </w:r>
      <w:bookmarkEnd w:id="101"/>
      <w:bookmarkEnd w:id="102"/>
      <w:bookmarkEnd w:id="103"/>
      <w:bookmarkEnd w:id="104"/>
      <w:bookmarkEnd w:id="105"/>
      <w:bookmarkEnd w:id="106"/>
      <w:bookmarkEnd w:id="107"/>
      <w:bookmarkEnd w:id="108"/>
      <w:bookmarkEnd w:id="109"/>
    </w:p>
    <w:p>
      <w:pPr>
        <w:numPr>
          <w:ilvl w:val="0"/>
          <w:numId w:val="5"/>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38"/>
        <w:ind w:firstLine="480"/>
        <w:rPr>
          <w:color w:val="auto"/>
          <w:sz w:val="24"/>
          <w:highlight w:val="none"/>
        </w:rPr>
      </w:pPr>
      <w:r>
        <w:rPr>
          <w:rFonts w:hint="eastAsia"/>
          <w:color w:val="auto"/>
          <w:sz w:val="24"/>
          <w:highlight w:val="none"/>
        </w:rPr>
        <w:t>1、</w:t>
      </w:r>
      <w:r>
        <w:rPr>
          <w:rFonts w:hint="eastAsia" w:asciiTheme="minorEastAsia" w:hAnsiTheme="minorEastAsia" w:cstheme="minorEastAsia"/>
          <w:color w:val="auto"/>
          <w:sz w:val="24"/>
          <w:highlight w:val="none"/>
        </w:rPr>
        <w:t>具有独立承担民事责任的能力</w:t>
      </w:r>
      <w:r>
        <w:rPr>
          <w:rFonts w:hint="eastAsia" w:asciiTheme="minorHAnsi" w:hAnsiTheme="minorHAnsi" w:eastAsiaTheme="minorEastAsia" w:cstheme="minorBidi"/>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tabs>
          <w:tab w:val="left" w:pos="7665"/>
        </w:tabs>
        <w:spacing w:line="360" w:lineRule="auto"/>
        <w:ind w:firstLine="480" w:firstLineChars="200"/>
        <w:rPr>
          <w:color w:val="auto"/>
          <w:highlight w:val="none"/>
        </w:rPr>
      </w:pPr>
      <w:r>
        <w:rPr>
          <w:rFonts w:hint="eastAsia"/>
          <w:color w:val="auto"/>
          <w:sz w:val="24"/>
          <w:highlight w:val="none"/>
        </w:rPr>
        <w:t>2、具备健全的财务会计制度的证明材料。｛注：①可提供201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年度经审计的财务报告复印件（包含审计报告和审计报告中所涉及的财务报表和报表附注），②也可提供201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供应商的财务报表复印件（至少包含资产负债表），③也可提供距文件递交截止日一年内银行出具的资信证明（复印件），④供应商注册时间至文件递交截止日不足一年的，也可提供在工商备案的公司章程（复印件）｝；</w:t>
      </w:r>
    </w:p>
    <w:p>
      <w:pPr>
        <w:tabs>
          <w:tab w:val="left" w:pos="7665"/>
        </w:tabs>
        <w:spacing w:line="360" w:lineRule="auto"/>
        <w:ind w:firstLine="480" w:firstLineChars="200"/>
        <w:rPr>
          <w:color w:val="auto"/>
          <w:sz w:val="24"/>
          <w:highlight w:val="none"/>
        </w:rPr>
      </w:pPr>
      <w:r>
        <w:rPr>
          <w:rFonts w:hint="eastAsia"/>
          <w:color w:val="auto"/>
          <w:sz w:val="24"/>
          <w:highlight w:val="none"/>
        </w:rPr>
        <w:t>3、提供具有良好商业信誉的证明材料（提供承诺)；</w:t>
      </w:r>
    </w:p>
    <w:p>
      <w:pPr>
        <w:tabs>
          <w:tab w:val="left" w:pos="7665"/>
        </w:tabs>
        <w:spacing w:line="360" w:lineRule="auto"/>
        <w:ind w:firstLine="480" w:firstLineChars="200"/>
        <w:rPr>
          <w:rFonts w:hAnsi="宋体"/>
          <w:color w:val="auto"/>
          <w:sz w:val="24"/>
          <w:highlight w:val="none"/>
        </w:rPr>
      </w:pPr>
      <w:r>
        <w:rPr>
          <w:rFonts w:hint="eastAsia"/>
          <w:color w:val="auto"/>
          <w:sz w:val="24"/>
          <w:highlight w:val="none"/>
        </w:rPr>
        <w:t>4、</w:t>
      </w:r>
      <w:r>
        <w:rPr>
          <w:rFonts w:hint="eastAsia" w:hAnsi="宋体"/>
          <w:color w:val="auto"/>
          <w:sz w:val="24"/>
          <w:highlight w:val="none"/>
        </w:rPr>
        <w:t>具有履行合同所必须的设备和专业技术能力</w:t>
      </w:r>
      <w:r>
        <w:rPr>
          <w:rFonts w:hint="eastAsia"/>
          <w:color w:val="auto"/>
          <w:sz w:val="24"/>
          <w:highlight w:val="none"/>
        </w:rPr>
        <w:t>的证明材料（提供承诺)</w:t>
      </w:r>
      <w:r>
        <w:rPr>
          <w:rFonts w:hint="eastAsia" w:hAnsi="宋体"/>
          <w:color w:val="auto"/>
          <w:sz w:val="24"/>
          <w:highlight w:val="none"/>
        </w:rPr>
        <w:t>；</w:t>
      </w:r>
    </w:p>
    <w:p>
      <w:pPr>
        <w:tabs>
          <w:tab w:val="left" w:pos="7665"/>
        </w:tabs>
        <w:spacing w:line="360" w:lineRule="auto"/>
        <w:ind w:firstLine="480" w:firstLineChars="200"/>
        <w:rPr>
          <w:color w:val="auto"/>
          <w:sz w:val="24"/>
          <w:highlight w:val="none"/>
        </w:rPr>
      </w:pPr>
      <w:r>
        <w:rPr>
          <w:rFonts w:hint="eastAsia"/>
          <w:color w:val="auto"/>
          <w:sz w:val="24"/>
          <w:highlight w:val="none"/>
        </w:rPr>
        <w:t>5、具有依法缴纳税收和社会保障资金的良好记录的证明材料（提供承诺）；</w:t>
      </w:r>
    </w:p>
    <w:p>
      <w:pPr>
        <w:tabs>
          <w:tab w:val="left" w:pos="7665"/>
        </w:tabs>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6、参加本次政府采购活动前三年内，在经营活动中没有重大违法违规记录的证明材料（提供承诺）</w:t>
      </w:r>
      <w:r>
        <w:rPr>
          <w:rFonts w:hint="eastAsia"/>
          <w:color w:val="auto"/>
          <w:sz w:val="24"/>
          <w:highlight w:val="none"/>
          <w:lang w:eastAsia="zh-CN"/>
        </w:rPr>
        <w:t>。</w:t>
      </w:r>
    </w:p>
    <w:p>
      <w:pPr>
        <w:spacing w:line="360" w:lineRule="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hAnsi="宋体"/>
          <w:b/>
          <w:bCs w:val="0"/>
          <w:color w:val="auto"/>
          <w:sz w:val="24"/>
          <w:highlight w:val="none"/>
        </w:rPr>
        <w:t>（</w:t>
      </w:r>
      <w:r>
        <w:rPr>
          <w:rFonts w:hint="eastAsia" w:hAnsi="宋体"/>
          <w:b/>
          <w:bCs w:val="0"/>
          <w:color w:val="auto"/>
          <w:sz w:val="24"/>
          <w:highlight w:val="none"/>
          <w:lang w:val="en-US" w:eastAsia="zh-CN"/>
        </w:rPr>
        <w:t>二</w:t>
      </w:r>
      <w:r>
        <w:rPr>
          <w:rFonts w:hint="eastAsia" w:hAnsi="宋体"/>
          <w:b/>
          <w:bCs w:val="0"/>
          <w:color w:val="auto"/>
          <w:sz w:val="24"/>
          <w:highlight w:val="none"/>
        </w:rPr>
        <w:t>）其他类似效力要求相关证明材料：</w:t>
      </w:r>
    </w:p>
    <w:p>
      <w:pPr>
        <w:tabs>
          <w:tab w:val="left" w:pos="7665"/>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、法定代表人及单位负责人身份证明材料复印件；</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法定代表人/单位负责人授权书原件及代理人身份证明材料复印件（注：①法定代表人/单位负责人授权书</w:t>
      </w:r>
      <w:r>
        <w:rPr>
          <w:rFonts w:hint="eastAsia" w:asciiTheme="minorEastAsia" w:hAnsiTheme="minorEastAsia" w:cstheme="minorEastAsia"/>
          <w:color w:val="auto"/>
          <w:sz w:val="24"/>
          <w:highlight w:val="none"/>
        </w:rPr>
        <w:t>原件需加盖公章；②如响应文件均由供应商法定代表人/单位负责人签字的且法定代表人/单位负责人本人参与磋商的，则</w:t>
      </w:r>
      <w:r>
        <w:rPr>
          <w:rFonts w:hint="eastAsia" w:asciiTheme="minorEastAsia" w:hAnsiTheme="minorEastAsia" w:cstheme="minorEastAsia"/>
          <w:color w:val="auto"/>
          <w:sz w:val="24"/>
          <w:highlight w:val="none"/>
          <w:lang w:eastAsia="zh-CN"/>
        </w:rPr>
        <w:t>需提供</w:t>
      </w:r>
      <w:r>
        <w:rPr>
          <w:rFonts w:hint="eastAsia" w:asciiTheme="minorEastAsia" w:hAnsiTheme="minorEastAsia" w:cstheme="minorEastAsia"/>
          <w:color w:val="auto"/>
          <w:sz w:val="24"/>
          <w:highlight w:val="none"/>
        </w:rPr>
        <w:t>法定代表人/单位负责人</w:t>
      </w:r>
      <w:r>
        <w:rPr>
          <w:rFonts w:hint="eastAsia" w:asciiTheme="minorEastAsia" w:hAnsiTheme="minorEastAsia" w:cstheme="minorEastAsia"/>
          <w:color w:val="auto"/>
          <w:sz w:val="24"/>
          <w:highlight w:val="none"/>
          <w:lang w:eastAsia="zh-CN"/>
        </w:rPr>
        <w:t>身份证明</w:t>
      </w:r>
      <w:r>
        <w:rPr>
          <w:rFonts w:hint="eastAsia" w:asciiTheme="minorEastAsia" w:hAnsiTheme="minorEastAsia" w:cstheme="minorEastAsia"/>
          <w:color w:val="auto"/>
          <w:sz w:val="24"/>
          <w:highlight w:val="none"/>
        </w:rPr>
        <w:t>）。</w:t>
      </w:r>
    </w:p>
    <w:p>
      <w:pPr>
        <w:tabs>
          <w:tab w:val="left" w:pos="7665"/>
        </w:tabs>
        <w:spacing w:line="360" w:lineRule="auto"/>
        <w:ind w:firstLine="480" w:firstLineChars="200"/>
        <w:rPr>
          <w:color w:val="auto"/>
          <w:highlight w:val="none"/>
        </w:rPr>
      </w:pPr>
      <w:r>
        <w:rPr>
          <w:rFonts w:hint="eastAsia"/>
          <w:color w:val="auto"/>
          <w:sz w:val="24"/>
          <w:highlight w:val="none"/>
          <w:lang w:val="en-US" w:eastAsia="zh-CN"/>
        </w:rPr>
        <w:t>2</w:t>
      </w:r>
      <w:r>
        <w:rPr>
          <w:rFonts w:hint="eastAsia"/>
          <w:color w:val="auto"/>
          <w:sz w:val="24"/>
          <w:highlight w:val="none"/>
        </w:rPr>
        <w:t>、供应商、供应商的法定代表人、主要负责人在参加本次政府采购活动前三年内无行贿犯罪记录承诺函。</w:t>
      </w:r>
    </w:p>
    <w:p>
      <w:pPr>
        <w:pStyle w:val="2"/>
        <w:spacing w:line="360" w:lineRule="auto"/>
        <w:ind w:firstLine="482" w:firstLineChars="200"/>
        <w:rPr>
          <w:color w:val="auto"/>
          <w:sz w:val="24"/>
          <w:highlight w:val="none"/>
        </w:rPr>
      </w:pPr>
      <w:r>
        <w:rPr>
          <w:rFonts w:hint="eastAsia" w:asciiTheme="minorEastAsia" w:hAnsiTheme="minorEastAsia" w:cstheme="minorEastAsia"/>
          <w:b/>
          <w:bCs/>
          <w:color w:val="auto"/>
          <w:sz w:val="24"/>
          <w:highlight w:val="none"/>
        </w:rPr>
        <w:t>注：以上要求的资料复印件（身份证明材料除外）均须加盖磋商单位公章（鲜章）。</w:t>
      </w:r>
    </w:p>
    <w:p>
      <w:pPr>
        <w:pStyle w:val="3"/>
        <w:pageBreakBefore/>
        <w:numPr>
          <w:ilvl w:val="0"/>
          <w:numId w:val="6"/>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10" w:name="_Toc18271"/>
      <w:bookmarkStart w:id="111" w:name="_Toc21158"/>
      <w:r>
        <w:rPr>
          <w:rFonts w:hint="eastAsia"/>
          <w:bCs w:val="0"/>
          <w:color w:val="auto"/>
          <w:kern w:val="2"/>
          <w:sz w:val="36"/>
          <w:szCs w:val="36"/>
          <w:highlight w:val="none"/>
        </w:rPr>
        <w:t xml:space="preserve">  </w:t>
      </w:r>
      <w:bookmarkEnd w:id="110"/>
      <w:bookmarkEnd w:id="111"/>
      <w:bookmarkStart w:id="112" w:name="_Toc13815"/>
      <w:bookmarkStart w:id="113" w:name="_Toc27306_WPSOffice_Level1"/>
      <w:bookmarkStart w:id="114" w:name="_Toc471287978"/>
      <w:bookmarkStart w:id="115" w:name="_Toc22950"/>
      <w:r>
        <w:rPr>
          <w:rFonts w:hint="eastAsia"/>
          <w:bCs w:val="0"/>
          <w:color w:val="auto"/>
          <w:kern w:val="2"/>
          <w:sz w:val="36"/>
          <w:szCs w:val="36"/>
          <w:highlight w:val="none"/>
        </w:rPr>
        <w:t>磋商项目及要求</w:t>
      </w:r>
      <w:bookmarkEnd w:id="112"/>
      <w:bookmarkEnd w:id="113"/>
      <w:bookmarkEnd w:id="114"/>
      <w:bookmarkEnd w:id="115"/>
    </w:p>
    <w:p>
      <w:pPr>
        <w:spacing w:line="360" w:lineRule="auto"/>
        <w:ind w:firstLine="480" w:firstLineChars="200"/>
        <w:rPr>
          <w:rFonts w:hint="eastAsia"/>
          <w:color w:val="auto"/>
          <w:sz w:val="24"/>
          <w:highlight w:val="none"/>
        </w:rPr>
      </w:pPr>
      <w:bookmarkStart w:id="116" w:name="PO_默认文件内容_27"/>
      <w:bookmarkStart w:id="117" w:name="_Toc10285"/>
      <w:bookmarkStart w:id="118" w:name="_Toc6383_WPSOffice_Level1"/>
      <w:r>
        <w:rPr>
          <w:rFonts w:hint="eastAsia"/>
          <w:color w:val="auto"/>
          <w:sz w:val="24"/>
          <w:highlight w:val="none"/>
        </w:rPr>
        <w:t>本章中标注“★”的条款为本次采购项目的实质性要求条款，供应商应全部满足，否则作无效响应处理。</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一、项目概述</w:t>
      </w:r>
    </w:p>
    <w:bookmarkEnd w:id="116"/>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彭州市文物保护管理所采购一家供应商负责为彭州市文物保护管理所提供文物勘探劳务服务。</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二、技术服务要求：</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2.1服务内容</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按照国家、省、市、区文物保护的相关要求，为彭州市文物保护管理所在开展的田野文物调查、勘探、文物抢救性发掘保护提供劳务服务。供应商须在彭州市文物保护管理文物勘探工作人员的技术指导下，对彭州市内的地下文物开展调查、勘探工作。在工地上人工挖掘 2.5×10 米的探沟，或 5×5 米的探方，挖掘深度一般为 0.5—2 米（具体深度由现场情况而定），以此来了解地下文物分布情况。本项目单项限价如下：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289"/>
        <w:gridCol w:w="2306"/>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序号</w:t>
            </w:r>
          </w:p>
        </w:tc>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服务项目</w:t>
            </w:r>
          </w:p>
        </w:tc>
        <w:tc>
          <w:tcPr>
            <w:tcW w:w="2491"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最高限价</w:t>
            </w:r>
          </w:p>
        </w:tc>
        <w:tc>
          <w:tcPr>
            <w:tcW w:w="2491"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w:t>
            </w:r>
          </w:p>
        </w:tc>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人工开挖土方</w:t>
            </w:r>
          </w:p>
        </w:tc>
        <w:tc>
          <w:tcPr>
            <w:tcW w:w="2491"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37元/立方米</w:t>
            </w:r>
          </w:p>
        </w:tc>
        <w:tc>
          <w:tcPr>
            <w:tcW w:w="2491" w:type="dxa"/>
            <w:noWrap w:val="0"/>
            <w:vAlign w:val="top"/>
          </w:tcPr>
          <w:p>
            <w:pPr>
              <w:spacing w:line="360" w:lineRule="auto"/>
              <w:ind w:firstLine="480" w:firstLineChars="200"/>
              <w:rPr>
                <w:rFonts w:hint="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w:t>
            </w:r>
          </w:p>
        </w:tc>
        <w:tc>
          <w:tcPr>
            <w:tcW w:w="2490"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人工费（点工）</w:t>
            </w:r>
          </w:p>
        </w:tc>
        <w:tc>
          <w:tcPr>
            <w:tcW w:w="2491" w:type="dxa"/>
            <w:noWrap w:val="0"/>
            <w:vAlign w:val="top"/>
          </w:tcPr>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125元/天/人</w:t>
            </w:r>
          </w:p>
        </w:tc>
        <w:tc>
          <w:tcPr>
            <w:tcW w:w="2491" w:type="dxa"/>
            <w:noWrap w:val="0"/>
            <w:vAlign w:val="top"/>
          </w:tcPr>
          <w:p>
            <w:pPr>
              <w:spacing w:line="360" w:lineRule="auto"/>
              <w:ind w:firstLine="480" w:firstLineChars="200"/>
              <w:rPr>
                <w:rFonts w:hint="eastAsia"/>
                <w:color w:val="auto"/>
                <w:sz w:val="24"/>
                <w:highlight w:val="none"/>
                <w:lang w:val="en-US" w:eastAsia="zh-CN"/>
              </w:rPr>
            </w:pPr>
          </w:p>
        </w:tc>
      </w:tr>
    </w:tbl>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2.2服务要求</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2.2.1由于文物发现具有突然性、紧迫性等特性，供应商在接到彭州市文物保护管理所工作任务通知后，须在30分钟内做出响应，并在响应后5小时内安排工人到达现场开展文物勘探工作。如三次及以上未按时响应或到场，彭州市文物保护管理所有权无条件解除合同。</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2.2.2文物勘探工作必须采用人工挖掘土方的方式，禁止用机械代替人工挖掘。挖掘工作量计量规则为：探沟深度1米及以内记1个修边铲底民工点工，1米以上记2个修边铲底民工点工，土方量照实收方。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2.2.3供应商工作人员要按照彭州市文物保护管理所文物勘探工作人员要求，对照探沟的布置、密度、大小规格进行规范作业。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2.2.4供应商工作人员除服从本单位的管理人员的管理而外，还应服从彭州市文物保护管理所文物勘探工作人员的安排和管理，如两者管理指令发生冲突，应以彭州市文物保护管理所下达的指令为准。</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2.2.5供应商工作人员在工作期间禁止酒后作业。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2.2.6供应商工作人员在地下文物勘探过程中发现文物后，应立即停工，保护好现场， 并及时向现场考古队员汇报，不得在未上报或未经允许的情况下擅自作业、破坏性作业，否则由此产生的文物损毁由投标人承担法律后果。</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2.2.7由于文物发现具有突然性、紧迫性等特性以及勘探，履行合同的时间、地点及作业方式由采购人根据文物埋藏地点的情况指定。</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2.2.8具体工作要求：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2.2.8.1开挖的探沟修边工作（待探沟挖掘后，供应商须根据彭州市文物保护管理所要求将探沟四个立面修平）；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2.2.8.2基建工地勘探中发现文物遗存需进行发掘清理（供应商须彭州市文物保护管理 所要求将遗存四周的土方进行清理，将墓葬上方覆土进行清理，协助彭州市文物保护管理所工作人员对遗存内的出土文物进行清理发掘。然后将墓葬清理干净，待彭州市文物保护管理所完成资料收集完成后对遗存进行解剖）；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2.2.8.3 其他抢救性的发掘清理（同以上2点一样）；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2.2.8.4 发掘出土器物的搬运（供应商须根据彭州市文物保护管理所要求将遗存文物搬 运至彭州市文物保护管理所存放）；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2.2.8.5 发掘出土器物的整理（供应商须配合彭州市文物保护管理所工作人员对出土的 文物进行分类、整理、清洗）。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2.2.9工具要求：供应商需自带锄头、洛阳铲、安全帽等工具进行作业。</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2.2.10应急要求：供应商需具有相应的应急措施，能根据现场具体情况，对发生的紧急事件做到及时响应及处理，保障文物勘探工作的顺利进行。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2.2.11供应商应对劳务人员在施工过程中的质量、进度、安全文明施工进行考核，并具有相应的考核内容。 </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2.2.12供应商负责本单位工作人员的人身安全和健康以及意外问题处置，并依法承担相关责任。</w:t>
      </w:r>
    </w:p>
    <w:p>
      <w:pPr>
        <w:spacing w:line="360" w:lineRule="auto"/>
        <w:ind w:firstLine="480" w:firstLineChars="200"/>
        <w:rPr>
          <w:rFonts w:hint="eastAsia"/>
          <w:color w:val="auto"/>
          <w:sz w:val="24"/>
          <w:highlight w:val="none"/>
          <w:lang w:eastAsia="zh-CN"/>
        </w:rPr>
      </w:pPr>
      <w:r>
        <w:rPr>
          <w:rFonts w:hint="eastAsia"/>
          <w:color w:val="auto"/>
          <w:sz w:val="24"/>
          <w:highlight w:val="none"/>
          <w:lang w:eastAsia="zh-CN"/>
        </w:rPr>
        <w:t>★三、商务要求</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（1）服务期限：合同签订之日起至本年度12月31日终止。</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（2）服务地点：彭州市。</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3）付款方式：本项目据实结算。服务期限内经彭州市文物保护管理所验收合格的文物勘探工作服务，由成交供应商编制文物勘探费用结算单经采购人审核后14日内，一次性向成交供应商支付该批服务的服务费。本项目最终结算总价不得超过采购预算。</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（4）报价要求：本项目报价为人民币报价，供应商的报价是供应商响应磋商项目要求的全部工作内容的价格体现，包括供应商完成本项目所需的一切费用。</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（5）验收方法和标准：按国家相关规定、行业标准及磋商文件要求、成交供应商的响应及服务承诺与合同约定标准进行验收。考核内容与标准在合同中细化。</w:t>
      </w:r>
    </w:p>
    <w:p>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6）履约验收：根据《财政部关于进一步加强政府采购需求和履约验收管理的指导意见》（财库〔2016〕205号）及参照四川省财政厅《四川省政府采购项目需求论证和履约验收管理办法》(川财采〔2015〕32号)的要求进行履约验收。</w:t>
      </w:r>
    </w:p>
    <w:p>
      <w:pPr>
        <w:spacing w:line="360" w:lineRule="auto"/>
        <w:ind w:firstLine="480" w:firstLineChars="200"/>
        <w:rPr>
          <w:rFonts w:hint="eastAsia" w:ascii="宋体" w:hAnsi="宋体" w:cs="宋体"/>
          <w:color w:val="auto"/>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p>
    <w:p>
      <w:pPr>
        <w:pStyle w:val="3"/>
        <w:pageBreakBefore/>
        <w:numPr>
          <w:ilvl w:val="0"/>
          <w:numId w:val="0"/>
        </w:numPr>
        <w:spacing w:beforeLines="50" w:line="360" w:lineRule="auto"/>
        <w:jc w:val="center"/>
        <w:rPr>
          <w:rFonts w:hAnsi="宋体"/>
          <w:color w:val="auto"/>
          <w:sz w:val="36"/>
          <w:szCs w:val="36"/>
          <w:highlight w:val="none"/>
        </w:rPr>
      </w:pPr>
      <w:bookmarkStart w:id="119" w:name="_Toc11880"/>
      <w:r>
        <w:rPr>
          <w:rFonts w:hint="eastAsia" w:hAnsi="宋体"/>
          <w:color w:val="auto"/>
          <w:sz w:val="36"/>
          <w:szCs w:val="36"/>
          <w:highlight w:val="none"/>
        </w:rPr>
        <w:t xml:space="preserve">第七章    </w:t>
      </w:r>
      <w:bookmarkStart w:id="120" w:name="_Toc6249"/>
      <w:bookmarkStart w:id="121" w:name="_Toc27426"/>
      <w:bookmarkStart w:id="122" w:name="_Toc14231"/>
      <w:bookmarkStart w:id="123" w:name="_Toc27004"/>
      <w:bookmarkStart w:id="124" w:name="_Toc29830"/>
      <w:r>
        <w:rPr>
          <w:rFonts w:hint="eastAsia" w:hAnsi="宋体"/>
          <w:color w:val="auto"/>
          <w:sz w:val="36"/>
          <w:szCs w:val="36"/>
          <w:highlight w:val="none"/>
        </w:rPr>
        <w:t>评审办法</w:t>
      </w:r>
      <w:bookmarkEnd w:id="117"/>
      <w:bookmarkEnd w:id="118"/>
      <w:bookmarkEnd w:id="119"/>
      <w:bookmarkEnd w:id="120"/>
      <w:bookmarkEnd w:id="121"/>
      <w:bookmarkEnd w:id="122"/>
      <w:bookmarkEnd w:id="123"/>
      <w:bookmarkEnd w:id="124"/>
    </w:p>
    <w:p>
      <w:pPr>
        <w:pStyle w:val="4"/>
        <w:spacing w:line="360" w:lineRule="auto"/>
        <w:ind w:firstLine="482" w:firstLineChars="200"/>
        <w:rPr>
          <w:rFonts w:ascii="宋体" w:hAnsi="宋体" w:eastAsia="宋体" w:cs="宋体"/>
          <w:color w:val="auto"/>
          <w:sz w:val="24"/>
          <w:szCs w:val="24"/>
          <w:highlight w:val="none"/>
        </w:rPr>
      </w:pPr>
      <w:bookmarkStart w:id="125" w:name="_Toc8574"/>
      <w:bookmarkStart w:id="126" w:name="_Toc32656"/>
      <w:r>
        <w:rPr>
          <w:rFonts w:hint="eastAsia" w:ascii="宋体" w:hAnsi="宋体" w:eastAsia="宋体" w:cs="宋体"/>
          <w:color w:val="auto"/>
          <w:sz w:val="24"/>
          <w:szCs w:val="24"/>
          <w:highlight w:val="none"/>
        </w:rPr>
        <w:t>1、总则</w:t>
      </w:r>
    </w:p>
    <w:p>
      <w:pPr>
        <w:spacing w:line="360" w:lineRule="auto"/>
        <w:ind w:firstLine="480" w:firstLineChars="200"/>
        <w:rPr>
          <w:color w:val="auto"/>
          <w:sz w:val="24"/>
          <w:highlight w:val="none"/>
        </w:rPr>
      </w:pPr>
      <w:r>
        <w:rPr>
          <w:rFonts w:hint="eastAsia"/>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color w:val="auto"/>
          <w:sz w:val="24"/>
          <w:highlight w:val="none"/>
        </w:rPr>
      </w:pPr>
      <w:r>
        <w:rPr>
          <w:rFonts w:hint="eastAsia"/>
          <w:color w:val="auto"/>
          <w:sz w:val="24"/>
          <w:highlight w:val="none"/>
        </w:rPr>
        <w:t>1.2 磋商工作由采购人/采购代理机构负责组织，具体磋商由采购人/采购代理机构依法组建的磋商小组负责。</w:t>
      </w:r>
    </w:p>
    <w:p>
      <w:pPr>
        <w:spacing w:line="360" w:lineRule="auto"/>
        <w:ind w:firstLine="480" w:firstLineChars="200"/>
        <w:rPr>
          <w:color w:val="auto"/>
          <w:sz w:val="24"/>
          <w:highlight w:val="none"/>
        </w:rPr>
      </w:pPr>
      <w:r>
        <w:rPr>
          <w:rFonts w:hint="eastAsia"/>
          <w:color w:val="auto"/>
          <w:sz w:val="24"/>
          <w:highlight w:val="none"/>
        </w:rPr>
        <w:t>1.3 磋商工作应遵循公平、公正、科学及择优的原则，并以相同的磋商程序和标准对待所有的供应商。</w:t>
      </w:r>
    </w:p>
    <w:p>
      <w:pPr>
        <w:spacing w:line="360" w:lineRule="auto"/>
        <w:ind w:firstLine="480" w:firstLineChars="200"/>
        <w:rPr>
          <w:color w:val="auto"/>
          <w:sz w:val="24"/>
          <w:highlight w:val="none"/>
        </w:rPr>
      </w:pPr>
      <w:r>
        <w:rPr>
          <w:rFonts w:hint="eastAsia"/>
          <w:color w:val="auto"/>
          <w:sz w:val="24"/>
          <w:highlight w:val="none"/>
        </w:rPr>
        <w:t>1.4 磋商小组按照磋商文件规定的磋商程序、评分方法和标准进行评审，并独立履行下列职责：</w:t>
      </w:r>
    </w:p>
    <w:p>
      <w:pPr>
        <w:spacing w:line="360" w:lineRule="auto"/>
        <w:ind w:firstLine="480" w:firstLineChars="200"/>
        <w:rPr>
          <w:color w:val="auto"/>
          <w:sz w:val="24"/>
          <w:highlight w:val="none"/>
        </w:rPr>
      </w:pPr>
      <w:r>
        <w:rPr>
          <w:rFonts w:hint="eastAsia"/>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80" w:firstLineChars="200"/>
        <w:rPr>
          <w:color w:val="auto"/>
          <w:sz w:val="24"/>
          <w:highlight w:val="none"/>
        </w:rPr>
      </w:pPr>
      <w:r>
        <w:rPr>
          <w:rFonts w:hint="eastAsia"/>
          <w:color w:val="auto"/>
          <w:sz w:val="24"/>
          <w:highlight w:val="none"/>
        </w:rPr>
        <w:t>（二）审查供应商响应文件是否满足磋商文件要求，并作出公正评价；</w:t>
      </w:r>
    </w:p>
    <w:p>
      <w:pPr>
        <w:spacing w:line="360" w:lineRule="auto"/>
        <w:ind w:firstLine="480" w:firstLineChars="200"/>
        <w:rPr>
          <w:color w:val="auto"/>
          <w:sz w:val="24"/>
          <w:highlight w:val="none"/>
        </w:rPr>
      </w:pPr>
      <w:r>
        <w:rPr>
          <w:rFonts w:hint="eastAsia"/>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color w:val="auto"/>
          <w:sz w:val="24"/>
          <w:highlight w:val="none"/>
        </w:rPr>
      </w:pPr>
      <w:r>
        <w:rPr>
          <w:rFonts w:hint="eastAsia"/>
          <w:color w:val="auto"/>
          <w:sz w:val="24"/>
          <w:highlight w:val="none"/>
        </w:rPr>
        <w:t>（四）推荐成交供应商，或者受采购人委托确定成交供应商；</w:t>
      </w:r>
    </w:p>
    <w:p>
      <w:pPr>
        <w:spacing w:line="360" w:lineRule="auto"/>
        <w:ind w:firstLine="480" w:firstLineChars="200"/>
        <w:rPr>
          <w:color w:val="auto"/>
          <w:sz w:val="24"/>
          <w:highlight w:val="none"/>
        </w:rPr>
      </w:pPr>
      <w:r>
        <w:rPr>
          <w:rFonts w:hint="eastAsia"/>
          <w:color w:val="auto"/>
          <w:sz w:val="24"/>
          <w:highlight w:val="none"/>
        </w:rPr>
        <w:t>（五）起草评审报告并进行签署；</w:t>
      </w:r>
    </w:p>
    <w:p>
      <w:pPr>
        <w:spacing w:line="360" w:lineRule="auto"/>
        <w:ind w:firstLine="480" w:firstLineChars="200"/>
        <w:rPr>
          <w:color w:val="auto"/>
          <w:sz w:val="24"/>
          <w:highlight w:val="none"/>
        </w:rPr>
      </w:pPr>
      <w:r>
        <w:rPr>
          <w:rFonts w:hint="eastAsia"/>
          <w:color w:val="auto"/>
          <w:sz w:val="24"/>
          <w:highlight w:val="none"/>
        </w:rPr>
        <w:t>（六）向采购人/采购代理机构、财政部门或者其他监督部门报告非法干预评审工作的行为；</w:t>
      </w:r>
    </w:p>
    <w:p>
      <w:pPr>
        <w:spacing w:line="360" w:lineRule="auto"/>
        <w:ind w:firstLine="480" w:firstLineChars="200"/>
        <w:rPr>
          <w:color w:val="auto"/>
          <w:sz w:val="24"/>
          <w:highlight w:val="none"/>
        </w:rPr>
      </w:pPr>
      <w:r>
        <w:rPr>
          <w:rFonts w:hint="eastAsia"/>
          <w:color w:val="auto"/>
          <w:sz w:val="24"/>
          <w:highlight w:val="none"/>
        </w:rPr>
        <w:t>（七）法律、法规和规章规定的其他职责。</w:t>
      </w:r>
    </w:p>
    <w:p>
      <w:pPr>
        <w:spacing w:line="360" w:lineRule="auto"/>
        <w:ind w:firstLine="482" w:firstLineChars="200"/>
        <w:rPr>
          <w:color w:val="auto"/>
          <w:highlight w:val="none"/>
        </w:rPr>
      </w:pPr>
      <w:r>
        <w:rPr>
          <w:rFonts w:hint="eastAsia"/>
          <w:b/>
          <w:bCs/>
          <w:color w:val="auto"/>
          <w:sz w:val="24"/>
          <w:highlight w:val="none"/>
        </w:rPr>
        <w:t>1.5 （</w:t>
      </w:r>
      <w:r>
        <w:rPr>
          <w:rFonts w:hint="eastAsia"/>
          <w:b/>
          <w:bCs/>
          <w:color w:val="auto"/>
          <w:sz w:val="24"/>
          <w:highlight w:val="none"/>
          <w:lang w:eastAsia="zh-CN"/>
        </w:rPr>
        <w:t>实质性要求</w:t>
      </w:r>
      <w:r>
        <w:rPr>
          <w:rFonts w:hint="eastAsia"/>
          <w:b/>
          <w:bCs/>
          <w:color w:val="auto"/>
          <w:sz w:val="24"/>
          <w:highlight w:val="none"/>
        </w:rPr>
        <w:t>）</w:t>
      </w:r>
      <w:r>
        <w:rPr>
          <w:rFonts w:hint="eastAsia"/>
          <w:color w:val="auto"/>
          <w:sz w:val="24"/>
          <w:highlight w:val="none"/>
        </w:rPr>
        <w:t>磋商过程独立、保密。供应商非法干预磋商过程的，其响应文件作无效处理。</w:t>
      </w:r>
    </w:p>
    <w:p>
      <w:pPr>
        <w:pStyle w:val="4"/>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2、磋商程序</w:t>
      </w:r>
    </w:p>
    <w:p>
      <w:pPr>
        <w:spacing w:line="360" w:lineRule="auto"/>
        <w:ind w:firstLine="480" w:firstLineChars="200"/>
        <w:rPr>
          <w:color w:val="auto"/>
          <w:sz w:val="24"/>
          <w:highlight w:val="none"/>
        </w:rPr>
      </w:pPr>
      <w:r>
        <w:rPr>
          <w:rFonts w:hint="eastAsia"/>
          <w:color w:val="auto"/>
          <w:sz w:val="24"/>
          <w:highlight w:val="none"/>
        </w:rPr>
        <w:t>2.1审查磋商文件和停止评审。</w:t>
      </w:r>
    </w:p>
    <w:p>
      <w:pPr>
        <w:spacing w:line="360" w:lineRule="auto"/>
        <w:ind w:firstLine="480" w:firstLineChars="200"/>
        <w:rPr>
          <w:color w:val="auto"/>
          <w:sz w:val="24"/>
          <w:highlight w:val="none"/>
        </w:rPr>
      </w:pPr>
      <w:r>
        <w:rPr>
          <w:rFonts w:hint="eastAsia"/>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2" w:firstLineChars="200"/>
        <w:rPr>
          <w:b/>
          <w:bCs/>
          <w:color w:val="auto"/>
          <w:sz w:val="24"/>
          <w:highlight w:val="none"/>
        </w:rPr>
      </w:pPr>
      <w:r>
        <w:rPr>
          <w:rFonts w:hint="eastAsia"/>
          <w:b/>
          <w:bCs/>
          <w:color w:val="auto"/>
          <w:sz w:val="24"/>
          <w:highlight w:val="none"/>
        </w:rPr>
        <w:t>2.1.2 本磋商文件有下列情形之一的，磋商小组应当停止评审：</w:t>
      </w:r>
    </w:p>
    <w:p>
      <w:pPr>
        <w:spacing w:line="360" w:lineRule="auto"/>
        <w:ind w:firstLine="480" w:firstLineChars="200"/>
        <w:rPr>
          <w:color w:val="auto"/>
          <w:sz w:val="24"/>
          <w:highlight w:val="none"/>
        </w:rPr>
      </w:pPr>
      <w:r>
        <w:rPr>
          <w:rFonts w:hint="eastAsia"/>
          <w:color w:val="auto"/>
          <w:sz w:val="24"/>
          <w:highlight w:val="none"/>
        </w:rPr>
        <w:t>（1）磋商文件的规定存在歧义、重大缺陷的；</w:t>
      </w:r>
    </w:p>
    <w:p>
      <w:pPr>
        <w:spacing w:line="360" w:lineRule="auto"/>
        <w:ind w:firstLine="480" w:firstLineChars="200"/>
        <w:rPr>
          <w:color w:val="auto"/>
          <w:sz w:val="24"/>
          <w:highlight w:val="none"/>
        </w:rPr>
      </w:pPr>
      <w:r>
        <w:rPr>
          <w:rFonts w:hint="eastAsia"/>
          <w:color w:val="auto"/>
          <w:sz w:val="24"/>
          <w:highlight w:val="none"/>
        </w:rPr>
        <w:t>（2）磋商文件明显以不合理条件对供应商实行差别待遇或者歧视待遇的；</w:t>
      </w:r>
    </w:p>
    <w:p>
      <w:pPr>
        <w:spacing w:line="360" w:lineRule="auto"/>
        <w:ind w:firstLine="480" w:firstLineChars="200"/>
        <w:rPr>
          <w:color w:val="auto"/>
          <w:sz w:val="24"/>
          <w:highlight w:val="none"/>
        </w:rPr>
      </w:pPr>
      <w:r>
        <w:rPr>
          <w:rFonts w:hint="eastAsia"/>
          <w:color w:val="auto"/>
          <w:sz w:val="24"/>
          <w:highlight w:val="none"/>
        </w:rPr>
        <w:t>（3）采购项目属于国家规定的优先、强制采购范围，但是磋商文件未依法体现优先、强制采购相关规定的；</w:t>
      </w:r>
    </w:p>
    <w:p>
      <w:pPr>
        <w:spacing w:line="360" w:lineRule="auto"/>
        <w:ind w:firstLine="480" w:firstLineChars="200"/>
        <w:rPr>
          <w:color w:val="auto"/>
          <w:sz w:val="24"/>
          <w:highlight w:val="none"/>
        </w:rPr>
      </w:pPr>
      <w:r>
        <w:rPr>
          <w:rFonts w:hint="eastAsia"/>
          <w:color w:val="auto"/>
          <w:sz w:val="24"/>
          <w:highlight w:val="none"/>
        </w:rPr>
        <w:t>（4）采购项目属于政府采购促进中小企业发展的范围，但是磋商文件未依法体现促进中小企业发展相关规定的；</w:t>
      </w:r>
    </w:p>
    <w:p>
      <w:pPr>
        <w:spacing w:line="360" w:lineRule="auto"/>
        <w:ind w:firstLine="480" w:firstLineChars="200"/>
        <w:rPr>
          <w:color w:val="auto"/>
          <w:sz w:val="24"/>
          <w:highlight w:val="none"/>
        </w:rPr>
      </w:pPr>
      <w:r>
        <w:rPr>
          <w:rFonts w:hint="eastAsia"/>
          <w:color w:val="auto"/>
          <w:sz w:val="24"/>
          <w:highlight w:val="none"/>
        </w:rPr>
        <w:t>（5）磋商文件将供应商的资格条件列为评分因素的；</w:t>
      </w:r>
    </w:p>
    <w:p>
      <w:pPr>
        <w:spacing w:line="360" w:lineRule="auto"/>
        <w:ind w:firstLine="480" w:firstLineChars="200"/>
        <w:rPr>
          <w:color w:val="auto"/>
          <w:sz w:val="24"/>
          <w:highlight w:val="none"/>
        </w:rPr>
      </w:pPr>
      <w:r>
        <w:rPr>
          <w:rFonts w:hint="eastAsia"/>
          <w:color w:val="auto"/>
          <w:sz w:val="24"/>
          <w:highlight w:val="none"/>
        </w:rPr>
        <w:t>（6）磋商文件载明的成交原则不合法的；</w:t>
      </w:r>
    </w:p>
    <w:p>
      <w:pPr>
        <w:spacing w:line="360" w:lineRule="auto"/>
        <w:ind w:firstLine="480" w:firstLineChars="200"/>
        <w:rPr>
          <w:color w:val="auto"/>
          <w:sz w:val="24"/>
          <w:highlight w:val="none"/>
        </w:rPr>
      </w:pPr>
      <w:r>
        <w:rPr>
          <w:rFonts w:hint="eastAsia"/>
          <w:color w:val="auto"/>
          <w:sz w:val="24"/>
          <w:highlight w:val="none"/>
        </w:rPr>
        <w:t>（7）磋商文件有违反国家其他有关强制性规定的情形。</w:t>
      </w:r>
    </w:p>
    <w:p>
      <w:pPr>
        <w:spacing w:line="360" w:lineRule="auto"/>
        <w:ind w:firstLine="480" w:firstLineChars="200"/>
        <w:rPr>
          <w:color w:val="auto"/>
          <w:sz w:val="24"/>
          <w:highlight w:val="none"/>
        </w:rPr>
      </w:pPr>
      <w:r>
        <w:rPr>
          <w:rFonts w:hint="eastAsia"/>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2" w:firstLineChars="200"/>
        <w:rPr>
          <w:b/>
          <w:bCs/>
          <w:color w:val="auto"/>
          <w:sz w:val="24"/>
          <w:highlight w:val="none"/>
        </w:rPr>
      </w:pPr>
      <w:r>
        <w:rPr>
          <w:rFonts w:hint="eastAsia"/>
          <w:b/>
          <w:bCs/>
          <w:color w:val="auto"/>
          <w:sz w:val="24"/>
          <w:highlight w:val="none"/>
        </w:rPr>
        <w:t>2.2 资格性审查。</w:t>
      </w:r>
    </w:p>
    <w:p>
      <w:pPr>
        <w:spacing w:line="360" w:lineRule="auto"/>
        <w:ind w:firstLine="480" w:firstLineChars="200"/>
        <w:rPr>
          <w:color w:val="auto"/>
          <w:sz w:val="24"/>
          <w:highlight w:val="none"/>
        </w:rPr>
      </w:pPr>
      <w:r>
        <w:rPr>
          <w:rFonts w:hint="eastAsia"/>
          <w:color w:val="auto"/>
          <w:sz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color w:val="auto"/>
          <w:sz w:val="24"/>
          <w:highlight w:val="none"/>
        </w:rPr>
      </w:pPr>
      <w:r>
        <w:rPr>
          <w:rFonts w:hint="eastAsia"/>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color w:val="auto"/>
          <w:sz w:val="24"/>
          <w:highlight w:val="none"/>
        </w:rPr>
      </w:pPr>
      <w:r>
        <w:rPr>
          <w:rFonts w:hint="eastAsia"/>
          <w:color w:val="auto"/>
          <w:sz w:val="24"/>
          <w:highlight w:val="none"/>
        </w:rPr>
        <w:t>2.2.3磋商小组应依据磋商文件规定的</w:t>
      </w:r>
      <w:r>
        <w:rPr>
          <w:rFonts w:hint="eastAsia"/>
          <w:b/>
          <w:color w:val="auto"/>
          <w:sz w:val="24"/>
          <w:highlight w:val="none"/>
          <w:lang w:eastAsia="zh-CN"/>
        </w:rPr>
        <w:t>实质性要求</w:t>
      </w:r>
      <w:r>
        <w:rPr>
          <w:rFonts w:hint="eastAsia"/>
          <w:color w:val="auto"/>
          <w:sz w:val="24"/>
          <w:highlight w:val="none"/>
        </w:rPr>
        <w:t>，对符合资格的响应文件进行有效性、完整性和响应程度审查，以确定参加磋商的供应商名单。</w:t>
      </w:r>
    </w:p>
    <w:p>
      <w:pPr>
        <w:spacing w:line="360" w:lineRule="auto"/>
        <w:ind w:firstLine="480" w:firstLineChars="200"/>
        <w:rPr>
          <w:color w:val="auto"/>
          <w:sz w:val="24"/>
          <w:highlight w:val="none"/>
        </w:rPr>
      </w:pPr>
      <w:r>
        <w:rPr>
          <w:rFonts w:hint="eastAsia"/>
          <w:color w:val="auto"/>
          <w:sz w:val="24"/>
          <w:highlight w:val="none"/>
        </w:rPr>
        <w:t>2.2.4采购人或者采购代理机构宣布未通过资格性审查的供应商名单时，应当告知供应商未通过审查的原因。</w:t>
      </w:r>
    </w:p>
    <w:p>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2.3 通过资格性审查的供应商不足</w:t>
      </w:r>
      <w:r>
        <w:rPr>
          <w:rFonts w:hint="eastAsia"/>
          <w:b/>
          <w:bCs/>
          <w:color w:val="auto"/>
          <w:sz w:val="21"/>
          <w:szCs w:val="21"/>
          <w:highlight w:val="none"/>
          <w:lang w:val="en-US" w:eastAsia="zh-CN"/>
        </w:rPr>
        <w:t>3家</w:t>
      </w:r>
      <w:r>
        <w:rPr>
          <w:rFonts w:hint="eastAsia"/>
          <w:b/>
          <w:bCs/>
          <w:color w:val="auto"/>
          <w:sz w:val="21"/>
          <w:szCs w:val="21"/>
          <w:highlight w:val="none"/>
        </w:rPr>
        <w:t>的，终止本次采购活动，并发布终止采购活动公告。</w:t>
      </w:r>
    </w:p>
    <w:p>
      <w:pPr>
        <w:spacing w:line="360" w:lineRule="auto"/>
        <w:ind w:firstLine="480" w:firstLineChars="200"/>
        <w:rPr>
          <w:rFonts w:hint="eastAsia"/>
          <w:color w:val="auto"/>
          <w:sz w:val="24"/>
          <w:highlight w:val="none"/>
          <w:lang w:val="zh-CN"/>
        </w:rPr>
      </w:pPr>
      <w:r>
        <w:rPr>
          <w:rFonts w:hint="eastAsia"/>
          <w:color w:val="auto"/>
          <w:sz w:val="24"/>
          <w:highlight w:val="none"/>
        </w:rPr>
        <w:t>2.3.1</w:t>
      </w:r>
      <w:r>
        <w:rPr>
          <w:rFonts w:hint="eastAsia"/>
          <w:color w:val="auto"/>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2.4磋商。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（1）响应文件正副本数量不足的；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（2）响应文件组成明显不符合采购文件的规定要求，影响评审委员会评判的；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（3）响应文件的语言、计量单位、知识产权、响应有效期等不符合采购文件的规定，影响磋商小组评判的；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（4）经最终磋商后，供应商的响应文件仍不能完全响应采购文件的</w:t>
      </w:r>
      <w:r>
        <w:rPr>
          <w:rFonts w:hint="eastAsia"/>
          <w:b/>
          <w:color w:val="auto"/>
          <w:sz w:val="24"/>
          <w:highlight w:val="none"/>
          <w:lang w:val="zh-CN"/>
        </w:rPr>
        <w:t>实质性要求</w:t>
      </w:r>
      <w:r>
        <w:rPr>
          <w:rFonts w:hint="eastAsia"/>
          <w:color w:val="auto"/>
          <w:sz w:val="24"/>
          <w:highlight w:val="none"/>
          <w:lang w:val="zh-CN"/>
        </w:rPr>
        <w:t>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5</w:t>
      </w:r>
      <w:r>
        <w:rPr>
          <w:rFonts w:hint="eastAsia"/>
          <w:color w:val="auto"/>
          <w:sz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6</w:t>
      </w:r>
      <w:r>
        <w:rPr>
          <w:rFonts w:hint="eastAsia"/>
          <w:color w:val="auto"/>
          <w:sz w:val="24"/>
          <w:highlight w:val="none"/>
          <w:lang w:val="zh-CN"/>
        </w:rPr>
        <w:t>）属于竞争性磋商文件中无效响应情形的。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2.5.3符合</w:t>
      </w:r>
      <w:bookmarkStart w:id="127" w:name="_Toc30986"/>
      <w:r>
        <w:rPr>
          <w:rFonts w:hint="eastAsia"/>
          <w:color w:val="auto"/>
          <w:sz w:val="24"/>
          <w:highlight w:val="none"/>
          <w:lang w:val="zh-CN"/>
        </w:rPr>
        <w:t>《政府采购竞争性磋商采购方式管理暂行办法财库》〔2014〕214号</w:t>
      </w:r>
      <w:bookmarkEnd w:id="127"/>
      <w:r>
        <w:rPr>
          <w:rFonts w:hint="eastAsia"/>
          <w:color w:val="auto"/>
          <w:sz w:val="24"/>
          <w:highlight w:val="none"/>
          <w:lang w:val="zh-CN"/>
        </w:rPr>
        <w:t>第三条第四项情形的，提交最后报价的供应商可以为2家。</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2.5.6报价如果出现下列不一致的，可按以下原则进行修改：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（三）单价金额小数点或者百分比有明显错位的，以总价为准，修正单价。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少数民族地区的供应商推荐顺序在非少数民族地区的供应商之前；评审得分且最后报价且技术指标分项得分均相同的，且均为少数民族地区的供应商并列；评审得分且最后报价且技术指标分项得分均相同的，且不能判定为少数民族地区的供应商并列。</w:t>
      </w:r>
      <w:r>
        <w:rPr>
          <w:rFonts w:hint="eastAsia"/>
          <w:b/>
          <w:bCs/>
          <w:color w:val="auto"/>
          <w:sz w:val="24"/>
          <w:highlight w:val="none"/>
          <w:lang w:val="zh-CN"/>
        </w:rPr>
        <w:t>（少数民族地区的供应商需提供属于少数民族地区企业的相关证明材料，或供应商注册地为少数民族地区。）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2.9采购组织单位现场复核评审结果。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（1）资格性审查认定错误的；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（2）分值汇总计算错误的；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（3）分项评分超出评分标准范围的；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（4）客观评分不一致的。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采购代理机构复核过程中，磋商小组成员不得离开评审现场。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2.9.2有下列情形之一的，不得现场修改评审结果：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（1）磋商小组已经出具磋商报告并且离开评审现场的；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（2）采购代理机构现场复核时，复核工作人员数量不足的；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（3）采购代理机构现场复核时，没有采购监督人员现场监督的；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（4）采购代理机构现场复核内容超出规定范围的；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（5）采购代理机构未提供书面建议的。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2.10编写磋商报告。磋商小组推荐成交候选供应商后，应向采购代理机构出具磋商报告。磋商报告应当包括以下主要内容：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（1）邀请供应商参加采购活动的具体方式和相关情况；</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（2）响应文件开启日期和地点；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（3）获取磋商文件的供应商名单和磋商小组成员名单；</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（5）提出的成交候选供应商的排序名单及理由。</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2.12供应商澄清、说明</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2.13终止磋商采购活动。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（1）因情况变化，不再符合规定的竞争性磋商采购方式适用情形的；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（2）出现影响采购公正的违法、违规行为的；</w:t>
      </w:r>
    </w:p>
    <w:p>
      <w:pPr>
        <w:spacing w:line="360" w:lineRule="auto"/>
        <w:ind w:firstLine="480" w:firstLineChars="200"/>
        <w:rPr>
          <w:rFonts w:ascii="仿宋" w:hAnsi="仿宋" w:eastAsia="仿宋"/>
          <w:color w:val="auto"/>
          <w:sz w:val="24"/>
        </w:rPr>
      </w:pPr>
      <w:r>
        <w:rPr>
          <w:rFonts w:hint="eastAsia"/>
          <w:color w:val="auto"/>
          <w:sz w:val="24"/>
          <w:highlight w:val="none"/>
          <w:lang w:val="zh-CN"/>
        </w:rPr>
        <w:t>（3）除本章2.3.1和2.5.3的情况外，在采购过程中符合要求的供应商或者报价未超过采购预算的供应商不足3家的。</w:t>
      </w:r>
    </w:p>
    <w:p>
      <w:pPr>
        <w:pStyle w:val="4"/>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3、综合评分</w:t>
      </w:r>
    </w:p>
    <w:p>
      <w:pPr>
        <w:spacing w:line="360" w:lineRule="auto"/>
        <w:ind w:firstLine="480" w:firstLineChars="200"/>
        <w:jc w:val="left"/>
        <w:rPr>
          <w:rFonts w:hint="eastAsia"/>
          <w:color w:val="auto"/>
          <w:sz w:val="24"/>
          <w:highlight w:val="none"/>
        </w:rPr>
      </w:pPr>
      <w:r>
        <w:rPr>
          <w:rFonts w:hint="eastAsia"/>
          <w:color w:val="auto"/>
          <w:sz w:val="24"/>
          <w:highlight w:val="none"/>
        </w:rPr>
        <w:t>3.1本次综合评分的因素是：</w:t>
      </w:r>
      <w:r>
        <w:rPr>
          <w:rFonts w:hint="eastAsia"/>
          <w:color w:val="auto"/>
          <w:sz w:val="24"/>
          <w:highlight w:val="none"/>
          <w:lang w:eastAsia="zh-CN"/>
        </w:rPr>
        <w:t>详见综合评分明细表</w:t>
      </w:r>
      <w:r>
        <w:rPr>
          <w:rFonts w:hint="eastAsia"/>
          <w:color w:val="auto"/>
          <w:sz w:val="24"/>
          <w:highlight w:val="none"/>
        </w:rPr>
        <w:t>。</w:t>
      </w:r>
    </w:p>
    <w:p>
      <w:pPr>
        <w:spacing w:line="360" w:lineRule="auto"/>
        <w:ind w:firstLine="480" w:firstLineChars="200"/>
        <w:jc w:val="left"/>
        <w:rPr>
          <w:color w:val="auto"/>
          <w:sz w:val="24"/>
          <w:highlight w:val="none"/>
        </w:rPr>
      </w:pPr>
      <w:r>
        <w:rPr>
          <w:rFonts w:hint="eastAsia"/>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0" w:firstLineChars="200"/>
        <w:rPr>
          <w:rFonts w:hint="eastAsia"/>
          <w:color w:val="auto"/>
          <w:sz w:val="24"/>
          <w:highlight w:val="none"/>
        </w:rPr>
      </w:pPr>
      <w:r>
        <w:rPr>
          <w:rFonts w:hint="eastAsia"/>
          <w:color w:val="auto"/>
          <w:sz w:val="24"/>
          <w:highlight w:val="none"/>
        </w:rPr>
        <w:t>3.2、综合评分明细表</w:t>
      </w:r>
      <w:bookmarkEnd w:id="125"/>
      <w:bookmarkEnd w:id="126"/>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3.2.1 评分办法</w:t>
      </w:r>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3.2.2 综合评分法</w:t>
      </w:r>
    </w:p>
    <w:tbl>
      <w:tblPr>
        <w:tblStyle w:val="22"/>
        <w:tblpPr w:leftFromText="180" w:rightFromText="180" w:vertAnchor="text" w:horzAnchor="page" w:tblpX="865" w:tblpY="318"/>
        <w:tblOverlap w:val="never"/>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02"/>
        <w:gridCol w:w="854"/>
        <w:gridCol w:w="877"/>
        <w:gridCol w:w="730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7" w:hRule="atLeast"/>
          <w:tblHeader/>
        </w:trPr>
        <w:tc>
          <w:tcPr>
            <w:tcW w:w="502"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54"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评审因素及权重</w:t>
            </w:r>
          </w:p>
        </w:tc>
        <w:tc>
          <w:tcPr>
            <w:tcW w:w="877"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c>
          <w:tcPr>
            <w:tcW w:w="7304"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753"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502"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4"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77"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人工开挖土方报价</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04" w:type="dxa"/>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以本次有效的人工开挖土方最低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报价为基准价，其价格分为满分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最终磋商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注：1.小微企业（监狱企业、残疾人福利单位视同小微企业）价格扣除：根据</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的规定，对小型和微型企业产品的价格给予10%的价格扣除，用扣除后的价格参与评标。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2.失信企业扣分：对记入诚信档案且在有效期内的失信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，在参加政府采购活动中直接从总分中扣除5分/次予以惩戒，</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失信行为惩戒实行无限制累加制，直到总分 100 分扣完为止。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应提供中小企业应提供《中小企业声明函》；残疾人福利性单位应提供《残疾人福利性单位声明函》。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为监狱企业的，提供由省级以上监狱管理局、戒毒管理局出具的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属于监狱企业的证明文件复印件。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注：残疾人福利性单位和监狱企业属于小型、微型企业的，不重复享受政策。</w:t>
            </w:r>
          </w:p>
        </w:tc>
        <w:tc>
          <w:tcPr>
            <w:tcW w:w="753"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共同评审类因素</w:t>
            </w:r>
          </w:p>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trPr>
        <w:tc>
          <w:tcPr>
            <w:tcW w:w="502" w:type="dxa"/>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54" w:type="dxa"/>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77"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人工费（点工）报价</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04" w:type="dxa"/>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以本次有效的</w:t>
            </w:r>
            <w:r>
              <w:rPr>
                <w:rFonts w:hint="eastAsia" w:ascii="宋体" w:hAnsi="宋体" w:eastAsia="宋体" w:cs="宋体"/>
                <w:color w:val="auto"/>
                <w:sz w:val="24"/>
                <w:szCs w:val="24"/>
                <w:highlight w:val="none"/>
                <w:lang w:eastAsia="zh-CN"/>
              </w:rPr>
              <w:t>人工费（点工）</w:t>
            </w:r>
            <w:r>
              <w:rPr>
                <w:rFonts w:hint="eastAsia" w:ascii="宋体" w:hAnsi="宋体" w:eastAsia="宋体" w:cs="宋体"/>
                <w:color w:val="auto"/>
                <w:sz w:val="24"/>
                <w:szCs w:val="24"/>
                <w:highlight w:val="none"/>
              </w:rPr>
              <w:t>最低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报价为基准价，其价格分为满分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最终磋商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注：1.小微企业（监狱企业、残疾人福利单位视同小微企业）价格扣除：根据</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的规</w:t>
            </w:r>
            <w:r>
              <w:rPr>
                <w:rFonts w:hint="eastAsia" w:ascii="宋体" w:hAnsi="宋体" w:eastAsia="宋体" w:cs="宋体"/>
                <w:color w:val="auto"/>
                <w:sz w:val="24"/>
                <w:szCs w:val="24"/>
                <w:highlight w:val="none"/>
                <w:lang w:val="zh-CN"/>
              </w:rPr>
              <w:t>定，</w:t>
            </w:r>
            <w:r>
              <w:rPr>
                <w:rFonts w:hint="eastAsia" w:ascii="宋体" w:hAnsi="宋体" w:eastAsia="宋体" w:cs="宋体"/>
                <w:color w:val="auto"/>
                <w:sz w:val="24"/>
                <w:szCs w:val="24"/>
                <w:highlight w:val="none"/>
              </w:rPr>
              <w:t>对小型和微型企业产品的价格给予10%的价格扣除，用扣除后的价格参与评标。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2.失信企业扣分：对记入诚信档案且在有效期内的失信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，在参加政府采购活动中直接从总分中扣除5分/次予以惩戒，</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失信行为惩戒实行无限制累加制，直到总分 100 分扣完为止。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应提供中小企业应提供《中小企业声明函》；残疾人福利性单位应提供《残疾人福利性单位声明函》。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为监狱企业的，提供由省级以上监狱管理局、戒毒管理局出具的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属于监狱企业的证明文件复印件。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注：残疾人福利性单位和监狱企业属于小型、微型企业的，不重复享受政策。</w:t>
            </w:r>
          </w:p>
        </w:tc>
        <w:tc>
          <w:tcPr>
            <w:tcW w:w="753" w:type="dxa"/>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rPr>
        <w:tc>
          <w:tcPr>
            <w:tcW w:w="502"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54"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77"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304" w:type="dxa"/>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拟派项目经理或项目负责人担任过类似项目经验的得6分。</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注：提供相关证明材料复印件加盖公章。</w:t>
            </w:r>
          </w:p>
        </w:tc>
        <w:tc>
          <w:tcPr>
            <w:tcW w:w="753"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共同评审类因素</w:t>
            </w:r>
          </w:p>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502" w:type="dxa"/>
            <w:vMerge w:val="continue"/>
            <w:tcBorders>
              <w:bottom w:val="single" w:color="auto"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54" w:type="dxa"/>
            <w:vMerge w:val="continue"/>
            <w:tcBorders>
              <w:bottom w:val="single" w:color="auto"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77" w:type="dxa"/>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7304" w:type="dxa"/>
            <w:shd w:val="clear" w:color="auto" w:fill="FFFFFF"/>
            <w:noWrap w:val="0"/>
            <w:tcMar>
              <w:top w:w="0" w:type="dxa"/>
              <w:left w:w="108" w:type="dxa"/>
              <w:bottom w:w="0" w:type="dxa"/>
              <w:right w:w="108" w:type="dxa"/>
            </w:tcMar>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2017年以来</w:t>
            </w:r>
            <w:r>
              <w:rPr>
                <w:rFonts w:hint="eastAsia" w:ascii="宋体" w:hAnsi="宋体" w:eastAsia="宋体" w:cs="宋体"/>
                <w:color w:val="auto"/>
                <w:sz w:val="24"/>
                <w:szCs w:val="24"/>
                <w:highlight w:val="none"/>
                <w:lang w:val="en-US" w:eastAsia="zh-CN"/>
              </w:rPr>
              <w:t>每具有1个类似业绩（提供人工文物勘探劳务服务或考古发掘项目劳务服务等）</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最多得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注：提供中标通知书（成交通知书）或合同复印件证明材料。</w:t>
            </w:r>
          </w:p>
        </w:tc>
        <w:tc>
          <w:tcPr>
            <w:tcW w:w="753" w:type="dxa"/>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3" w:hRule="atLeast"/>
        </w:trPr>
        <w:tc>
          <w:tcPr>
            <w:tcW w:w="502" w:type="dxa"/>
            <w:vMerge w:val="restart"/>
            <w:tcBorders>
              <w:top w:val="single" w:color="auto"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54" w:type="dxa"/>
            <w:vMerge w:val="restart"/>
            <w:tcBorders>
              <w:top w:val="single" w:color="auto"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877" w:type="dxa"/>
            <w:tcBorders>
              <w:top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项目管理方案</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730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供应商针对本项目所提供的</w:t>
            </w:r>
            <w:r>
              <w:rPr>
                <w:rFonts w:hint="eastAsia" w:ascii="宋体" w:hAnsi="宋体" w:eastAsia="宋体" w:cs="宋体"/>
                <w:color w:val="auto"/>
                <w:sz w:val="24"/>
                <w:szCs w:val="24"/>
                <w:lang w:val="en-US" w:eastAsia="zh-CN"/>
              </w:rPr>
              <w:t>项目管理方案（包含①项目管理机构设置、②岗位职责、③工作流程）</w:t>
            </w:r>
            <w:r>
              <w:rPr>
                <w:rFonts w:hint="eastAsia" w:ascii="宋体" w:hAnsi="宋体" w:eastAsia="宋体" w:cs="宋体"/>
                <w:bCs/>
                <w:color w:val="auto"/>
                <w:sz w:val="24"/>
                <w:szCs w:val="24"/>
              </w:rPr>
              <w:t>符合磋商文件要求，描述详尽且有利于</w:t>
            </w:r>
            <w:r>
              <w:rPr>
                <w:rFonts w:hint="eastAsia" w:ascii="宋体" w:hAnsi="宋体" w:eastAsia="宋体" w:cs="宋体"/>
                <w:color w:val="auto"/>
                <w:sz w:val="24"/>
                <w:szCs w:val="24"/>
              </w:rPr>
              <w:t>项目实施的得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分，每有一项缺项、漏项的扣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分；每有一项描述不完整，不满足实际情况的扣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分，直到扣完为止，未提供不得分。</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753" w:type="dxa"/>
            <w:vMerge w:val="restar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共同评审类因素</w:t>
            </w:r>
          </w:p>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3" w:hRule="atLeast"/>
        </w:trPr>
        <w:tc>
          <w:tcPr>
            <w:tcW w:w="502"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54"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77" w:type="dxa"/>
            <w:tcBorders>
              <w:top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勘探实施方案</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730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供应商针对本项目所提供的</w:t>
            </w:r>
            <w:r>
              <w:rPr>
                <w:rFonts w:hint="eastAsia" w:ascii="宋体" w:hAnsi="宋体" w:eastAsia="宋体" w:cs="宋体"/>
                <w:color w:val="auto"/>
                <w:sz w:val="24"/>
                <w:szCs w:val="24"/>
                <w:highlight w:val="none"/>
                <w:lang w:val="en-US" w:eastAsia="zh-CN"/>
              </w:rPr>
              <w:t>勘探实施方案（包含①勘探施工安排计划、②勘探技术要求、③质量保证措施、④勘探阶段重点注意事项⑤安全文明、环境保护管理措施）</w:t>
            </w:r>
            <w:r>
              <w:rPr>
                <w:rFonts w:hint="eastAsia" w:ascii="宋体" w:hAnsi="宋体" w:eastAsia="宋体" w:cs="宋体"/>
                <w:bCs/>
                <w:color w:val="auto"/>
                <w:sz w:val="24"/>
                <w:szCs w:val="24"/>
              </w:rPr>
              <w:t>符合磋商文件要求，描述详尽且有利于</w:t>
            </w:r>
            <w:r>
              <w:rPr>
                <w:rFonts w:hint="eastAsia" w:ascii="宋体" w:hAnsi="宋体" w:eastAsia="宋体" w:cs="宋体"/>
                <w:color w:val="auto"/>
                <w:sz w:val="24"/>
                <w:szCs w:val="24"/>
              </w:rPr>
              <w:t>项目实施的得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分，每有一项缺项、漏项的扣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分；每有一项描述不完整，不满足实际情况的扣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分，直到扣完为止，未提供不得分。</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753" w:type="dxa"/>
            <w:vMerge w:val="continue"/>
            <w:shd w:val="clear" w:color="auto" w:fill="FFFFFF"/>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trPr>
        <w:tc>
          <w:tcPr>
            <w:tcW w:w="502"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54"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77" w:type="dxa"/>
            <w:tcBorders>
              <w:top w:val="single" w:color="auto" w:sz="4" w:space="0"/>
              <w:bottom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文物保护方案</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730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供应商针对本项目所提供的</w:t>
            </w:r>
            <w:r>
              <w:rPr>
                <w:rFonts w:hint="eastAsia" w:ascii="宋体" w:hAnsi="宋体" w:eastAsia="宋体" w:cs="宋体"/>
                <w:color w:val="auto"/>
                <w:sz w:val="24"/>
                <w:szCs w:val="24"/>
                <w:highlight w:val="none"/>
                <w:lang w:val="en-US" w:eastAsia="zh-CN"/>
              </w:rPr>
              <w:t>文物保护方案（包含①施工前技术交底、②文物保护管理制度、③文物安全保护措施）</w:t>
            </w:r>
            <w:r>
              <w:rPr>
                <w:rFonts w:hint="eastAsia" w:ascii="宋体" w:hAnsi="宋体" w:eastAsia="宋体" w:cs="宋体"/>
                <w:bCs/>
                <w:color w:val="auto"/>
                <w:sz w:val="24"/>
                <w:szCs w:val="24"/>
              </w:rPr>
              <w:t>符合磋商文件要求，描述详尽且有利于</w:t>
            </w:r>
            <w:r>
              <w:rPr>
                <w:rFonts w:hint="eastAsia" w:ascii="宋体" w:hAnsi="宋体" w:eastAsia="宋体" w:cs="宋体"/>
                <w:color w:val="auto"/>
                <w:sz w:val="24"/>
                <w:szCs w:val="24"/>
              </w:rPr>
              <w:t>项目实施的得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分，每有一项缺项、漏项的扣</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分；每有一项描述不完整，不满足实际情况的扣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分，直到扣完为止，未提供不得分。</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753" w:type="dxa"/>
            <w:vMerge w:val="continue"/>
            <w:shd w:val="clear" w:color="auto" w:fill="FFFFFF"/>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502"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54" w:type="dxa"/>
            <w:vMerge w:val="continue"/>
            <w:shd w:val="clear" w:color="auto" w:fill="FFFFFF"/>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877" w:type="dxa"/>
            <w:tcBorders>
              <w:top w:val="single" w:color="auto" w:sz="4" w:space="0"/>
              <w:bottom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应急措施</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18分</w:t>
            </w:r>
          </w:p>
        </w:tc>
        <w:tc>
          <w:tcPr>
            <w:tcW w:w="730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供应商针对本项目所提供的</w:t>
            </w:r>
            <w:r>
              <w:rPr>
                <w:rFonts w:hint="eastAsia" w:ascii="宋体" w:hAnsi="宋体" w:eastAsia="宋体" w:cs="宋体"/>
                <w:color w:val="auto"/>
                <w:sz w:val="24"/>
                <w:szCs w:val="24"/>
                <w:highlight w:val="none"/>
                <w:lang w:val="en-US" w:eastAsia="zh-CN"/>
              </w:rPr>
              <w:t>应急措施方案（包含①人力变化及物资配备、②极端天气应对、③突发灾害事故处理）</w:t>
            </w:r>
            <w:r>
              <w:rPr>
                <w:rFonts w:hint="eastAsia" w:ascii="宋体" w:hAnsi="宋体" w:eastAsia="宋体" w:cs="宋体"/>
                <w:bCs/>
                <w:color w:val="auto"/>
                <w:sz w:val="24"/>
                <w:szCs w:val="24"/>
              </w:rPr>
              <w:t>符合磋商文件要求，描述详尽且有利于</w:t>
            </w:r>
            <w:r>
              <w:rPr>
                <w:rFonts w:hint="eastAsia" w:ascii="宋体" w:hAnsi="宋体" w:eastAsia="宋体" w:cs="宋体"/>
                <w:color w:val="auto"/>
                <w:sz w:val="24"/>
                <w:szCs w:val="24"/>
              </w:rPr>
              <w:t>项目实施的得</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分，每有一项缺项、漏项的扣</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分；每有一项描述不完整，不满足实际情况的扣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分，直到扣完为止，未提供不得分。</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753" w:type="dxa"/>
            <w:vMerge w:val="continue"/>
            <w:shd w:val="clear" w:color="auto" w:fill="FFFFFF"/>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highlight w:val="none"/>
              </w:rPr>
            </w:pPr>
          </w:p>
        </w:tc>
      </w:tr>
    </w:tbl>
    <w:p>
      <w:pPr>
        <w:spacing w:line="360" w:lineRule="auto"/>
        <w:ind w:firstLine="480" w:firstLineChars="200"/>
        <w:jc w:val="left"/>
        <w:rPr>
          <w:rFonts w:hAnsi="宋体"/>
          <w:b/>
          <w:bCs/>
          <w:color w:val="auto"/>
          <w:sz w:val="21"/>
          <w:szCs w:val="21"/>
          <w:highlight w:val="none"/>
        </w:rPr>
      </w:pPr>
      <w:r>
        <w:rPr>
          <w:rFonts w:hint="eastAsia"/>
          <w:color w:val="auto"/>
          <w:sz w:val="24"/>
          <w:highlight w:val="none"/>
        </w:rPr>
        <w:t>评分的取值按四舍五入法，保留小数点后两位。评分的取值按四舍五入法，保留小数点后两位</w:t>
      </w:r>
      <w:r>
        <w:rPr>
          <w:rFonts w:hint="eastAsia" w:hAnsi="宋体"/>
          <w:b/>
          <w:bCs/>
          <w:color w:val="auto"/>
          <w:sz w:val="21"/>
          <w:szCs w:val="21"/>
          <w:highlight w:val="none"/>
        </w:rPr>
        <w:t>。</w:t>
      </w:r>
    </w:p>
    <w:p>
      <w:pPr>
        <w:pStyle w:val="4"/>
        <w:spacing w:line="360" w:lineRule="auto"/>
        <w:ind w:firstLine="482" w:firstLineChars="200"/>
        <w:rPr>
          <w:rFonts w:ascii="宋体" w:hAnsi="宋体" w:eastAsia="宋体" w:cs="宋体"/>
          <w:bCs w:val="0"/>
          <w:color w:val="auto"/>
          <w:sz w:val="24"/>
          <w:szCs w:val="24"/>
          <w:highlight w:val="none"/>
        </w:rPr>
      </w:pPr>
      <w:bookmarkStart w:id="128" w:name="_Toc18643"/>
      <w:bookmarkStart w:id="129" w:name="_Toc29042"/>
      <w:r>
        <w:rPr>
          <w:rFonts w:hint="eastAsia" w:ascii="宋体" w:hAnsi="宋体" w:eastAsia="宋体" w:cs="宋体"/>
          <w:bCs w:val="0"/>
          <w:color w:val="auto"/>
          <w:sz w:val="24"/>
          <w:szCs w:val="24"/>
          <w:highlight w:val="none"/>
        </w:rPr>
        <w:t>4、</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8"/>
      <w:bookmarkEnd w:id="129"/>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4.2 按照政府采购法律法规和采购文件的规定要求对供应商的资格条件和供应商提供的产品价格、技术、服务等方面严格进行评判，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4.3 保守秘密。不得透露采购文件咨询情况，不得泄漏供应商的响应文件及知悉的商业秘密，不得向供应商透露评审情况。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4.4 </w:t>
      </w:r>
      <w:r>
        <w:rPr>
          <w:rFonts w:hAnsi="宋体"/>
          <w:color w:val="auto"/>
          <w:sz w:val="24"/>
          <w:highlight w:val="none"/>
        </w:rPr>
        <w:t>发现供应商在政府采购活动中有不正当竞争或恶意串通等违规行为，及时向政府采购评审工作的组织者或财政部门报告并加以制止</w:t>
      </w:r>
      <w:r>
        <w:rPr>
          <w:rFonts w:hint="eastAsia" w:hAnsi="宋体"/>
          <w:color w:val="auto"/>
          <w:sz w:val="24"/>
          <w:highlight w:val="none"/>
        </w:rPr>
        <w:t>。</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发现采购人、政府采购代理机构及其工作人员在政府采购活动中有干预评审、发表倾向性和歧视性言论、受贿或者接受供应商的其他好处及其他违法违规行为，及时向财政部门报告。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4.5 </w:t>
      </w:r>
      <w:r>
        <w:rPr>
          <w:rFonts w:hAnsi="宋体"/>
          <w:color w:val="auto"/>
          <w:sz w:val="24"/>
          <w:highlight w:val="none"/>
        </w:rPr>
        <w:t>解答有关方面对政府采购评审工作中有关问题的</w:t>
      </w:r>
      <w:r>
        <w:rPr>
          <w:rFonts w:hint="eastAsia" w:hAnsi="宋体"/>
          <w:color w:val="auto"/>
          <w:sz w:val="24"/>
          <w:highlight w:val="none"/>
        </w:rPr>
        <w:t>询问，配合采购人或者政府采购代理机构答复供应商质疑，配合财政部门的投诉处理工作等事宜。</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t xml:space="preserve">4.6 </w:t>
      </w:r>
      <w:r>
        <w:rPr>
          <w:rFonts w:hAnsi="宋体"/>
          <w:color w:val="auto"/>
          <w:sz w:val="24"/>
          <w:highlight w:val="none"/>
        </w:rPr>
        <w:t>法律、法规和规章规定的其他义务。</w:t>
      </w:r>
    </w:p>
    <w:p>
      <w:pPr>
        <w:widowControl/>
        <w:autoSpaceDE w:val="0"/>
        <w:autoSpaceDN w:val="0"/>
        <w:spacing w:line="360" w:lineRule="auto"/>
        <w:ind w:right="53" w:firstLine="480" w:firstLineChars="200"/>
        <w:textAlignment w:val="bottom"/>
        <w:rPr>
          <w:rFonts w:hAnsi="宋体"/>
          <w:color w:val="auto"/>
          <w:sz w:val="24"/>
          <w:highlight w:val="none"/>
        </w:rPr>
      </w:pPr>
    </w:p>
    <w:p>
      <w:pPr>
        <w:widowControl/>
        <w:autoSpaceDE w:val="0"/>
        <w:autoSpaceDN w:val="0"/>
        <w:spacing w:line="360" w:lineRule="auto"/>
        <w:ind w:right="53" w:firstLine="482" w:firstLineChars="200"/>
        <w:textAlignment w:val="bottom"/>
        <w:outlineLvl w:val="1"/>
        <w:rPr>
          <w:rFonts w:hAnsi="宋体"/>
          <w:b/>
          <w:color w:val="auto"/>
          <w:sz w:val="24"/>
          <w:highlight w:val="none"/>
        </w:rPr>
      </w:pPr>
      <w:bookmarkStart w:id="130" w:name="_Toc4780"/>
      <w:bookmarkStart w:id="131" w:name="_Toc13413"/>
      <w:r>
        <w:rPr>
          <w:rFonts w:hint="eastAsia" w:hAnsi="宋体" w:cs="宋体"/>
          <w:b/>
          <w:color w:val="auto"/>
          <w:sz w:val="24"/>
          <w:highlight w:val="none"/>
        </w:rPr>
        <w:t>5、评审专家在政府采购活动中应当遵守以下工作纪律：</w:t>
      </w:r>
      <w:bookmarkEnd w:id="130"/>
      <w:bookmarkEnd w:id="131"/>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5.1 应邀按时参加评审和咨询活动。遇特殊情况不能出席或途中遇阻不能按时参加评审或咨询的，应及时告知财政部门或者采购人或者政府采购代理机构，不得私自转托他人。</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5.2 </w:t>
      </w:r>
      <w:r>
        <w:rPr>
          <w:rFonts w:hAnsi="宋体"/>
          <w:color w:val="auto"/>
          <w:sz w:val="24"/>
          <w:highlight w:val="none"/>
        </w:rPr>
        <w:t>不得参加与自己有利害关系的政府采购项目的评审活动。对与自己有利害关系的评审项目，如受到邀请，应主动提出回避。财政部门、采购人或</w:t>
      </w:r>
      <w:r>
        <w:rPr>
          <w:rFonts w:hint="eastAsia" w:hAnsi="宋体"/>
          <w:color w:val="auto"/>
          <w:sz w:val="24"/>
          <w:highlight w:val="none"/>
        </w:rPr>
        <w:t>政府</w:t>
      </w:r>
      <w:r>
        <w:rPr>
          <w:rFonts w:hAnsi="宋体"/>
          <w:color w:val="auto"/>
          <w:sz w:val="24"/>
          <w:highlight w:val="none"/>
        </w:rPr>
        <w:t>采购代理机构也可要求该评审专家回避。</w:t>
      </w:r>
    </w:p>
    <w:p>
      <w:pPr>
        <w:widowControl/>
        <w:autoSpaceDE w:val="0"/>
        <w:autoSpaceDN w:val="0"/>
        <w:spacing w:line="360" w:lineRule="auto"/>
        <w:ind w:right="53" w:firstLine="480" w:firstLineChars="200"/>
        <w:textAlignment w:val="bottom"/>
        <w:rPr>
          <w:rFonts w:hAnsi="宋体"/>
          <w:color w:val="auto"/>
          <w:sz w:val="24"/>
          <w:highlight w:val="none"/>
        </w:rPr>
      </w:pPr>
      <w:r>
        <w:rPr>
          <w:rFonts w:hAnsi="宋体"/>
          <w:color w:val="auto"/>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w:t>
      </w:r>
      <w:r>
        <w:rPr>
          <w:rFonts w:hint="eastAsia" w:hAnsi="宋体"/>
          <w:color w:val="auto"/>
          <w:sz w:val="24"/>
          <w:highlight w:val="none"/>
        </w:rPr>
        <w:t>审</w:t>
      </w:r>
      <w:r>
        <w:rPr>
          <w:rFonts w:hAnsi="宋体"/>
          <w:color w:val="auto"/>
          <w:sz w:val="24"/>
          <w:highlight w:val="none"/>
        </w:rPr>
        <w:t>的情况。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3"/>
        <w:bidi w:val="0"/>
        <w:jc w:val="center"/>
        <w:rPr>
          <w:color w:val="auto"/>
          <w:highlight w:val="none"/>
        </w:rPr>
      </w:pPr>
      <w:bookmarkStart w:id="132" w:name="_Toc28814"/>
      <w:bookmarkStart w:id="133" w:name="_Toc23669"/>
      <w:bookmarkStart w:id="134" w:name="_Toc14305_WPSOffice_Level1"/>
      <w:bookmarkStart w:id="135" w:name="_Toc9426"/>
      <w:r>
        <w:rPr>
          <w:rFonts w:hint="eastAsia"/>
          <w:color w:val="auto"/>
          <w:highlight w:val="none"/>
        </w:rPr>
        <w:t xml:space="preserve">第八章  </w:t>
      </w:r>
      <w:bookmarkEnd w:id="132"/>
      <w:bookmarkEnd w:id="133"/>
      <w:bookmarkEnd w:id="134"/>
      <w:bookmarkStart w:id="136" w:name="_Toc30866_WPSOffice_Level1"/>
      <w:bookmarkStart w:id="137" w:name="_Toc13033_WPSOffice_Level1"/>
      <w:bookmarkStart w:id="138" w:name="_Toc22492"/>
      <w:r>
        <w:rPr>
          <w:rFonts w:hint="eastAsia"/>
          <w:color w:val="auto"/>
          <w:highlight w:val="none"/>
        </w:rPr>
        <w:t>政府采购项目</w:t>
      </w:r>
      <w:bookmarkEnd w:id="135"/>
      <w:bookmarkEnd w:id="136"/>
      <w:bookmarkEnd w:id="137"/>
      <w:bookmarkEnd w:id="138"/>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9" w:name="_Toc3861"/>
      <w:bookmarkStart w:id="140" w:name="_Toc6103"/>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adjustRightInd w:val="0"/>
        <w:snapToGrid w:val="0"/>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hint="eastAsia" w:hAnsi="宋体" w:cs="宋体"/>
          <w:b/>
          <w:bCs/>
          <w:color w:val="auto"/>
          <w:sz w:val="24"/>
          <w:highlight w:val="none"/>
          <w:u w:val="single" w:color="auto"/>
          <w:lang w:eastAsia="zh-CN"/>
        </w:rPr>
        <w:t>彭州市文物保护管理所2021年10-12月文物勘探劳务服务采购项目（第二次）</w:t>
      </w:r>
      <w:r>
        <w:rPr>
          <w:rFonts w:asciiTheme="minorEastAsia" w:hAnsiTheme="minorEastAsia" w:cstheme="minorEastAsia"/>
          <w:color w:val="auto"/>
          <w:sz w:val="24"/>
          <w:highlight w:val="none"/>
        </w:rPr>
        <w:t>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r>
        <w:rPr>
          <w:rFonts w:hint="eastAsia" w:ascii="宋体" w:hAnsi="宋体" w:cs="宋体"/>
          <w:b/>
          <w:bCs/>
          <w:color w:val="auto"/>
          <w:sz w:val="24"/>
          <w:highlight w:val="none"/>
          <w:lang w:eastAsia="zh-CN"/>
        </w:rPr>
        <w:t>（签订合同时根据磋商文件第六章及成交单位分项报价明细表拟定）</w:t>
      </w:r>
    </w:p>
    <w:tbl>
      <w:tblPr>
        <w:tblStyle w:val="22"/>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spacing w:line="360" w:lineRule="auto"/>
        <w:ind w:firstLine="480" w:firstLineChars="200"/>
        <w:rPr>
          <w:rFonts w:hint="eastAsia"/>
          <w:color w:val="auto"/>
          <w:sz w:val="24"/>
          <w:szCs w:val="24"/>
        </w:rPr>
      </w:pPr>
      <w:r>
        <w:rPr>
          <w:rFonts w:hint="eastAsia" w:ascii="宋体" w:hAnsi="宋体" w:cs="宋体"/>
          <w:color w:val="auto"/>
          <w:sz w:val="24"/>
          <w:highlight w:val="none"/>
        </w:rPr>
        <w:t>××××××</w:t>
      </w:r>
      <w:r>
        <w:rPr>
          <w:rFonts w:hint="eastAsia" w:ascii="宋体" w:hAnsi="宋体" w:cs="宋体"/>
          <w:color w:val="auto"/>
          <w:sz w:val="24"/>
          <w:highlight w:val="none"/>
          <w:lang w:eastAsia="zh-CN"/>
        </w:rPr>
        <w:t>（注：</w:t>
      </w:r>
      <w:r>
        <w:rPr>
          <w:rFonts w:hint="eastAsia" w:ascii="宋体" w:hAnsi="宋体" w:cs="宋体"/>
          <w:b/>
          <w:bCs/>
          <w:color w:val="auto"/>
          <w:sz w:val="24"/>
          <w:highlight w:val="none"/>
          <w:lang w:eastAsia="zh-CN"/>
        </w:rPr>
        <w:t>签订合同时根据招标文件第六章相关要求拟定。</w:t>
      </w:r>
      <w:r>
        <w:rPr>
          <w:rFonts w:hint="eastAsia" w:ascii="宋体" w:hAnsi="宋体" w:cs="宋体"/>
          <w:color w:val="auto"/>
          <w:sz w:val="24"/>
          <w:highlight w:val="none"/>
          <w:lang w:eastAsia="zh-CN"/>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eastAsia="zh-CN"/>
        </w:rPr>
        <w:t>（注：</w:t>
      </w:r>
      <w:r>
        <w:rPr>
          <w:rFonts w:hint="eastAsia" w:ascii="宋体" w:hAnsi="宋体" w:cs="宋体"/>
          <w:b/>
          <w:bCs/>
          <w:color w:val="auto"/>
          <w:sz w:val="24"/>
          <w:highlight w:val="none"/>
          <w:lang w:eastAsia="zh-CN"/>
        </w:rPr>
        <w:t>签订合同时根据招标文件及中标单位应答内容拟定。</w:t>
      </w:r>
      <w:r>
        <w:rPr>
          <w:rFonts w:hint="eastAsia" w:ascii="宋体" w:hAnsi="宋体" w:cs="宋体"/>
          <w:color w:val="auto"/>
          <w:sz w:val="24"/>
          <w:highlight w:val="none"/>
          <w:lang w:eastAsia="zh-CN"/>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spacing w:line="360" w:lineRule="auto"/>
        <w:ind w:left="426"/>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spacing w:line="360" w:lineRule="auto"/>
        <w:ind w:left="6" w:firstLine="420" w:firstLineChars="175"/>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的的款额向甲方偿付赔偿金，并须全额退还甲方已经付给乙方的服务款及其利息。</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2、甲方有权依据双方签订的考评办法对乙方提供的服务进行定期考评。当考评结果未达到标准时，有权依据考评办法约定的数额扣除。</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5、国家法律、法规所规定由甲方承担的其它责任。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5、国家法律、法规所规定由乙方承担的其它责任。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2、如因乙方工作人员在履行职务过程中的</w:t>
      </w:r>
      <w:r>
        <w:rPr>
          <w:rFonts w:hint="eastAsia" w:asciiTheme="minorEastAsia" w:hAnsiTheme="minorEastAsia" w:cstheme="minorEastAsia"/>
          <w:bCs/>
          <w:color w:val="auto"/>
          <w:sz w:val="24"/>
          <w:highlight w:val="none"/>
        </w:rPr>
        <w:t>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3、不可抗力事件延续天以上，双方应通过友好协商，确定是否继续履行合同。</w:t>
      </w:r>
    </w:p>
    <w:p>
      <w:pPr>
        <w:spacing w:line="360" w:lineRule="auto"/>
        <w:rPr>
          <w:rFonts w:asciiTheme="minorEastAsia" w:hAnsiTheme="minorEastAsia" w:cstheme="minorEastAsia"/>
          <w:b/>
          <w:color w:val="auto"/>
          <w:sz w:val="24"/>
          <w:highlight w:val="none"/>
        </w:rPr>
      </w:pPr>
      <w:bookmarkStart w:id="141" w:name="_Toc185395254"/>
      <w:bookmarkStart w:id="142" w:name="_Toc212019599"/>
      <w:bookmarkStart w:id="143" w:name="_Toc286993792"/>
      <w:bookmarkStart w:id="144" w:name="_Toc247334846"/>
      <w:bookmarkStart w:id="145" w:name="_Toc211911353"/>
      <w:bookmarkStart w:id="146" w:name="_Toc238984980"/>
      <w:bookmarkStart w:id="147" w:name="_Toc239568423"/>
      <w:bookmarkStart w:id="148" w:name="_Toc225654649"/>
      <w:bookmarkStart w:id="149" w:name="_Toc211854454"/>
      <w:bookmarkStart w:id="150" w:name="_Toc237145411"/>
      <w:bookmarkStart w:id="151" w:name="_Toc232492933"/>
      <w:bookmarkStart w:id="152" w:name="_Toc225244857"/>
      <w:bookmarkStart w:id="153" w:name="_Toc225670756"/>
      <w:bookmarkStart w:id="154" w:name="_Toc241833908"/>
      <w:bookmarkStart w:id="155" w:name="_Toc251768867"/>
      <w:bookmarkStart w:id="156" w:name="_Toc239233919"/>
      <w:r>
        <w:rPr>
          <w:rFonts w:hint="eastAsia" w:asciiTheme="minorEastAsia" w:hAnsiTheme="minorEastAsia" w:cstheme="minorEastAsia"/>
          <w:b/>
          <w:color w:val="auto"/>
          <w:sz w:val="24"/>
          <w:highlight w:val="none"/>
        </w:rPr>
        <w:t>十一、解决合同纠纷的方式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left="426"/>
        <w:rPr>
          <w:rFonts w:asciiTheme="minorEastAsia" w:hAnsiTheme="minorEastAsia" w:cstheme="minorEastAsia"/>
          <w:bCs/>
          <w:color w:val="auto"/>
          <w:sz w:val="24"/>
          <w:highlight w:val="none"/>
        </w:rPr>
      </w:pPr>
      <w:bookmarkStart w:id="157" w:name="_Toc211854455"/>
      <w:bookmarkStart w:id="158" w:name="_Toc241833909"/>
      <w:bookmarkStart w:id="159" w:name="_Toc282696231"/>
      <w:bookmarkStart w:id="160" w:name="_Toc251768868"/>
      <w:bookmarkStart w:id="161" w:name="_Toc239233920"/>
      <w:bookmarkStart w:id="162" w:name="_Toc286993793"/>
      <w:bookmarkStart w:id="163" w:name="_Toc283019219"/>
      <w:bookmarkStart w:id="164" w:name="_Toc211911354"/>
      <w:bookmarkStart w:id="165" w:name="_Toc247334847"/>
      <w:bookmarkStart w:id="166" w:name="_Toc225670757"/>
      <w:bookmarkStart w:id="167" w:name="_Toc232492934"/>
      <w:bookmarkStart w:id="168" w:name="_Toc225654650"/>
      <w:bookmarkStart w:id="169" w:name="_Toc239568424"/>
      <w:bookmarkStart w:id="170" w:name="_Toc185395255"/>
      <w:bookmarkStart w:id="171" w:name="_Toc212019600"/>
      <w:bookmarkStart w:id="172" w:name="_Toc238984981"/>
      <w:bookmarkStart w:id="173" w:name="_Toc237145412"/>
      <w:bookmarkStart w:id="174" w:name="_Toc225244858"/>
      <w:r>
        <w:rPr>
          <w:rFonts w:asciiTheme="minorEastAsia" w:hAnsiTheme="minorEastAsia" w:cstheme="minorEastAsia"/>
          <w:bCs/>
          <w:color w:val="auto"/>
          <w:sz w:val="24"/>
          <w:highlight w:val="none"/>
        </w:rPr>
        <w:t>1、合同履行期间,若双方发生争议，可协商或由有关部门调解解决，协商或调解不成的，由当事人依法维护其合法权益。</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Theme="minorEastAsia" w:hAnsiTheme="minorEastAsia" w:cstheme="minorEastAsia"/>
          <w:b/>
          <w:color w:val="auto"/>
          <w:sz w:val="24"/>
          <w:highlight w:val="none"/>
        </w:rPr>
        <w:t>其他</w:t>
      </w:r>
    </w:p>
    <w:p>
      <w:pPr>
        <w:tabs>
          <w:tab w:val="left" w:pos="0"/>
        </w:tabs>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1、合同经双方法定代表人或授权委托代理人签字并加盖单位公章后生效。</w:t>
      </w:r>
    </w:p>
    <w:p>
      <w:pPr>
        <w:tabs>
          <w:tab w:val="left" w:pos="0"/>
        </w:tabs>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2"/>
        <w:spacing w:line="360" w:lineRule="auto"/>
        <w:rPr>
          <w:rFonts w:hint="default" w:eastAsia="宋体"/>
          <w:color w:val="auto"/>
          <w:lang w:val="en-US" w:eastAsia="zh-CN"/>
        </w:rPr>
      </w:pPr>
      <w:r>
        <w:rPr>
          <w:rFonts w:hint="eastAsia" w:ascii="宋体" w:hAnsi="宋体" w:cs="宋体"/>
          <w:color w:val="auto"/>
          <w:sz w:val="24"/>
          <w:highlight w:val="none"/>
          <w:lang w:val="en-US" w:eastAsia="zh-CN"/>
        </w:rPr>
        <w:t xml:space="preserve">   3、本次合同签订涉及到的其他内容，例如履约验收清单详见附表。</w:t>
      </w:r>
    </w:p>
    <w:p>
      <w:pPr>
        <w:tabs>
          <w:tab w:val="left" w:pos="0"/>
        </w:tabs>
        <w:spacing w:line="360" w:lineRule="auto"/>
        <w:ind w:firstLine="240" w:firstLineChars="1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、本合同一式</w:t>
      </w:r>
      <w:r>
        <w:rPr>
          <w:rFonts w:ascii="宋体" w:hAnsi="宋体" w:cs="宋体"/>
          <w:color w:val="auto"/>
          <w:sz w:val="24"/>
          <w:highlight w:val="none"/>
          <w:u w:val="single"/>
        </w:rPr>
        <w:t xml:space="preserve">    </w:t>
      </w:r>
      <w:r>
        <w:rPr>
          <w:rFonts w:ascii="宋体" w:hAnsi="宋体" w:cs="宋体"/>
          <w:color w:val="auto"/>
          <w:sz w:val="24"/>
          <w:highlight w:val="none"/>
        </w:rPr>
        <w:t>份，甲方</w:t>
      </w:r>
      <w:r>
        <w:rPr>
          <w:rFonts w:ascii="宋体" w:hAnsi="宋体" w:cs="宋体"/>
          <w:color w:val="auto"/>
          <w:sz w:val="24"/>
          <w:highlight w:val="none"/>
          <w:u w:val="single"/>
        </w:rPr>
        <w:t xml:space="preserve">    </w:t>
      </w:r>
      <w:r>
        <w:rPr>
          <w:rFonts w:ascii="宋体" w:hAnsi="宋体" w:cs="宋体"/>
          <w:color w:val="auto"/>
          <w:sz w:val="24"/>
          <w:highlight w:val="none"/>
        </w:rPr>
        <w:t>份，乙方</w:t>
      </w:r>
      <w:r>
        <w:rPr>
          <w:rFonts w:ascii="宋体" w:hAnsi="宋体" w:cs="宋体"/>
          <w:color w:val="auto"/>
          <w:sz w:val="24"/>
          <w:highlight w:val="none"/>
          <w:u w:val="single"/>
        </w:rPr>
        <w:t xml:space="preserve">    </w:t>
      </w:r>
      <w:r>
        <w:rPr>
          <w:rFonts w:ascii="宋体" w:hAnsi="宋体" w:cs="宋体"/>
          <w:color w:val="auto"/>
          <w:sz w:val="24"/>
          <w:highlight w:val="none"/>
        </w:rPr>
        <w:t>份，政府采购代理机构</w:t>
      </w:r>
      <w:r>
        <w:rPr>
          <w:rFonts w:ascii="宋体" w:hAnsi="宋体" w:cs="宋体"/>
          <w:color w:val="auto"/>
          <w:sz w:val="24"/>
          <w:highlight w:val="none"/>
          <w:u w:val="single"/>
        </w:rPr>
        <w:t xml:space="preserve">    </w:t>
      </w:r>
      <w:r>
        <w:rPr>
          <w:rFonts w:ascii="宋体" w:hAnsi="宋体" w:cs="宋体"/>
          <w:color w:val="auto"/>
          <w:sz w:val="24"/>
          <w:highlight w:val="none"/>
        </w:rPr>
        <w:t>份，同级财政部门备案</w:t>
      </w:r>
      <w:r>
        <w:rPr>
          <w:rFonts w:ascii="宋体" w:hAnsi="宋体" w:cs="宋体"/>
          <w:color w:val="auto"/>
          <w:sz w:val="24"/>
          <w:highlight w:val="none"/>
          <w:u w:val="single"/>
        </w:rPr>
        <w:t xml:space="preserve">    </w:t>
      </w:r>
      <w:r>
        <w:rPr>
          <w:rFonts w:ascii="宋体" w:hAnsi="宋体" w:cs="宋体"/>
          <w:color w:val="auto"/>
          <w:sz w:val="24"/>
          <w:highlight w:val="none"/>
        </w:rPr>
        <w:t>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19"/>
        <w:widowControl/>
        <w:spacing w:beforeAutospacing="1" w:afterAutospacing="1"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64"/>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gridSpan w:val="3"/>
          </w:tcPr>
          <w:p>
            <w:pPr>
              <w:pStyle w:val="43"/>
              <w:spacing w:line="360" w:lineRule="auto"/>
              <w:jc w:val="center"/>
              <w:rPr>
                <w:rFonts w:hint="eastAsia" w:ascii="宋体" w:hAnsi="宋体" w:cs="宋体"/>
                <w:b/>
                <w:color w:val="auto"/>
                <w:vertAlign w:val="baseline"/>
                <w:lang w:eastAsia="zh-CN"/>
              </w:rPr>
            </w:pPr>
            <w:r>
              <w:rPr>
                <w:rFonts w:hint="eastAsia" w:ascii="宋体" w:hAnsi="宋体" w:cs="宋体"/>
                <w:b/>
                <w:color w:val="auto"/>
                <w:vertAlign w:val="baseline"/>
                <w:lang w:eastAsia="zh-CN"/>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3"/>
              <w:spacing w:line="360" w:lineRule="auto"/>
              <w:ind w:left="0" w:leftChars="0" w:firstLine="0" w:firstLineChars="0"/>
              <w:jc w:val="center"/>
              <w:rPr>
                <w:rFonts w:hint="eastAsia" w:ascii="宋体" w:hAnsi="宋体" w:cs="宋体"/>
                <w:b/>
                <w:color w:val="auto"/>
                <w:vertAlign w:val="baseline"/>
                <w:lang w:eastAsia="zh-CN"/>
              </w:rPr>
            </w:pPr>
            <w:r>
              <w:rPr>
                <w:rFonts w:hint="eastAsia" w:ascii="宋体" w:hAnsi="宋体" w:cs="宋体"/>
                <w:b/>
                <w:color w:val="auto"/>
                <w:vertAlign w:val="baseline"/>
                <w:lang w:eastAsia="zh-CN"/>
              </w:rPr>
              <w:t>序号</w:t>
            </w:r>
          </w:p>
        </w:tc>
        <w:tc>
          <w:tcPr>
            <w:tcW w:w="1264" w:type="dxa"/>
            <w:vAlign w:val="center"/>
          </w:tcPr>
          <w:p>
            <w:pPr>
              <w:pStyle w:val="43"/>
              <w:spacing w:line="360" w:lineRule="auto"/>
              <w:ind w:left="0" w:leftChars="0" w:firstLine="0" w:firstLineChars="0"/>
              <w:jc w:val="center"/>
              <w:rPr>
                <w:rFonts w:hint="eastAsia" w:ascii="宋体" w:hAnsi="宋体" w:cs="宋体"/>
                <w:b/>
                <w:color w:val="auto"/>
                <w:vertAlign w:val="baseline"/>
                <w:lang w:eastAsia="zh-CN"/>
              </w:rPr>
            </w:pPr>
            <w:r>
              <w:rPr>
                <w:rFonts w:hint="eastAsia" w:ascii="宋体" w:hAnsi="宋体" w:cs="宋体"/>
                <w:b/>
                <w:color w:val="auto"/>
                <w:vertAlign w:val="baseline"/>
                <w:lang w:eastAsia="zh-CN"/>
              </w:rPr>
              <w:t>名称</w:t>
            </w:r>
          </w:p>
        </w:tc>
        <w:tc>
          <w:tcPr>
            <w:tcW w:w="6890" w:type="dxa"/>
            <w:vAlign w:val="center"/>
          </w:tcPr>
          <w:p>
            <w:pPr>
              <w:pStyle w:val="43"/>
              <w:spacing w:line="360" w:lineRule="auto"/>
              <w:jc w:val="center"/>
              <w:rPr>
                <w:rFonts w:hint="eastAsia" w:ascii="宋体" w:hAnsi="宋体" w:cs="宋体"/>
                <w:b/>
                <w:color w:val="auto"/>
                <w:vertAlign w:val="baseline"/>
                <w:lang w:eastAsia="zh-CN"/>
              </w:rPr>
            </w:pPr>
            <w:r>
              <w:rPr>
                <w:rFonts w:hint="eastAsia" w:ascii="宋体" w:hAnsi="宋体" w:cs="宋体"/>
                <w:b/>
                <w:color w:val="auto"/>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3"/>
              <w:spacing w:line="360" w:lineRule="auto"/>
              <w:ind w:left="0" w:leftChars="0" w:firstLine="0" w:firstLineChars="0"/>
              <w:jc w:val="center"/>
              <w:rPr>
                <w:rFonts w:hint="default" w:ascii="宋体" w:hAnsi="宋体" w:cs="宋体"/>
                <w:b/>
                <w:color w:val="auto"/>
                <w:vertAlign w:val="baseline"/>
                <w:lang w:val="en-US" w:eastAsia="zh-CN"/>
              </w:rPr>
            </w:pPr>
            <w:r>
              <w:rPr>
                <w:rFonts w:hint="eastAsia" w:ascii="宋体" w:hAnsi="宋体" w:cs="宋体"/>
                <w:b/>
                <w:color w:val="auto"/>
                <w:vertAlign w:val="baseline"/>
                <w:lang w:val="en-US" w:eastAsia="zh-CN"/>
              </w:rPr>
              <w:t>1</w:t>
            </w:r>
          </w:p>
        </w:tc>
        <w:tc>
          <w:tcPr>
            <w:tcW w:w="1264" w:type="dxa"/>
            <w:vAlign w:val="center"/>
          </w:tcPr>
          <w:p>
            <w:pPr>
              <w:pStyle w:val="43"/>
              <w:spacing w:line="360" w:lineRule="auto"/>
              <w:ind w:left="0" w:leftChars="0" w:firstLine="0" w:firstLineChars="0"/>
              <w:jc w:val="center"/>
              <w:rPr>
                <w:rFonts w:hint="eastAsia" w:ascii="宋体" w:hAnsi="宋体" w:cs="宋体"/>
                <w:b/>
                <w:color w:val="auto"/>
                <w:vertAlign w:val="baseline"/>
                <w:lang w:eastAsia="zh-CN"/>
              </w:rPr>
            </w:pPr>
            <w:r>
              <w:rPr>
                <w:rFonts w:hint="eastAsia" w:ascii="宋体" w:hAnsi="宋体" w:cs="宋体"/>
                <w:b/>
                <w:color w:val="auto"/>
                <w:vertAlign w:val="baseline"/>
                <w:lang w:eastAsia="zh-CN"/>
              </w:rPr>
              <w:t>政府采购项目履约验收社会监督申请书</w:t>
            </w:r>
          </w:p>
        </w:tc>
        <w:tc>
          <w:tcPr>
            <w:tcW w:w="6890" w:type="dxa"/>
          </w:tcPr>
          <w:p>
            <w:pPr>
              <w:pStyle w:val="4"/>
              <w:spacing w:before="0" w:after="0" w:line="360" w:lineRule="auto"/>
              <w:ind w:firstLine="562" w:firstLineChars="200"/>
              <w:jc w:val="center"/>
              <w:rPr>
                <w:rFonts w:hint="eastAsia" w:ascii="宋体" w:hAnsi="宋体" w:eastAsia="宋体" w:cs="宋体"/>
                <w:color w:val="auto"/>
                <w:sz w:val="28"/>
                <w:szCs w:val="28"/>
              </w:rPr>
            </w:pPr>
            <w:bookmarkStart w:id="175" w:name="_Toc278_WPSOffice_Level1"/>
            <w:bookmarkStart w:id="176" w:name="_Toc8702"/>
            <w:bookmarkStart w:id="177" w:name="_Toc8050_WPSOffice_Level1"/>
            <w:r>
              <w:rPr>
                <w:rFonts w:hint="eastAsia" w:ascii="宋体" w:hAnsi="宋体" w:eastAsia="宋体" w:cs="宋体"/>
                <w:color w:val="auto"/>
                <w:sz w:val="28"/>
                <w:szCs w:val="28"/>
              </w:rPr>
              <w:t>政府采购项目履约验收社会监督申请书（格式）</w:t>
            </w:r>
            <w:bookmarkEnd w:id="175"/>
            <w:bookmarkEnd w:id="176"/>
            <w:bookmarkEnd w:id="177"/>
          </w:p>
          <w:p>
            <w:pPr>
              <w:pStyle w:val="43"/>
              <w:spacing w:line="360" w:lineRule="auto"/>
              <w:ind w:firstLine="480"/>
              <w:rPr>
                <w:rFonts w:hint="eastAsia" w:ascii="宋体" w:hAnsi="宋体" w:eastAsia="宋体" w:cs="宋体"/>
                <w:color w:val="auto"/>
              </w:rPr>
            </w:pPr>
          </w:p>
          <w:p>
            <w:pPr>
              <w:pStyle w:val="43"/>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××××（采购人、采购代理机构）：</w:t>
            </w:r>
          </w:p>
          <w:p>
            <w:pPr>
              <w:pStyle w:val="43"/>
              <w:spacing w:line="360" w:lineRule="auto"/>
              <w:ind w:firstLine="480"/>
              <w:rPr>
                <w:rFonts w:hint="eastAsia" w:ascii="宋体" w:hAnsi="宋体" w:eastAsia="宋体" w:cs="宋体"/>
                <w:color w:val="auto"/>
              </w:rPr>
            </w:pPr>
            <w:r>
              <w:rPr>
                <w:rFonts w:hint="eastAsia" w:ascii="宋体" w:hAnsi="宋体" w:eastAsia="宋体" w:cs="宋体"/>
                <w:color w:val="auto"/>
              </w:rPr>
              <w:t>本人××××（名称），系××××政府采购项目（未中标成交供应商/实际使用人或受益者/潜在供应商）/社会媒体。根据</w:t>
            </w:r>
            <w:r>
              <w:rPr>
                <w:rFonts w:hint="eastAsia" w:ascii="宋体" w:hAnsi="宋体" w:cs="宋体"/>
                <w:color w:val="auto"/>
                <w:sz w:val="24"/>
              </w:rPr>
              <w:t>《财政部关于进一步加强政府采购需求和履约验收管理的指导意见》</w:t>
            </w:r>
            <w:r>
              <w:rPr>
                <w:rFonts w:hint="eastAsia" w:ascii="宋体" w:hAnsi="宋体" w:eastAsia="宋体" w:cs="宋体"/>
                <w:color w:val="auto"/>
              </w:rPr>
              <w:t>的规定，我们拟对××××政府采购项目（采购编号：××××，第××包）履约验收情况进行社会监督，特向你单位提出申请。具体到场监督的人员为：×××、×××、×××等（×）人。</w:t>
            </w:r>
          </w:p>
          <w:p>
            <w:pPr>
              <w:pStyle w:val="43"/>
              <w:spacing w:line="360" w:lineRule="auto"/>
              <w:ind w:firstLine="480"/>
              <w:rPr>
                <w:rFonts w:hint="eastAsia" w:ascii="宋体" w:hAnsi="宋体" w:eastAsia="宋体" w:cs="宋体"/>
                <w:color w:val="auto"/>
              </w:rPr>
            </w:pPr>
            <w:r>
              <w:rPr>
                <w:rFonts w:hint="eastAsia" w:ascii="宋体" w:hAnsi="宋体" w:eastAsia="宋体" w:cs="宋体"/>
                <w:color w:val="auto"/>
              </w:rPr>
              <w:t>联系人：×××。</w:t>
            </w:r>
          </w:p>
          <w:p>
            <w:pPr>
              <w:pStyle w:val="43"/>
              <w:spacing w:line="360" w:lineRule="auto"/>
              <w:ind w:firstLine="480"/>
              <w:rPr>
                <w:rFonts w:hint="eastAsia" w:ascii="宋体" w:hAnsi="宋体" w:eastAsia="宋体" w:cs="宋体"/>
                <w:color w:val="auto"/>
              </w:rPr>
            </w:pPr>
            <w:r>
              <w:rPr>
                <w:rFonts w:hint="eastAsia" w:ascii="宋体" w:hAnsi="宋体" w:eastAsia="宋体" w:cs="宋体"/>
                <w:color w:val="auto"/>
              </w:rPr>
              <w:t>联系方式（邮编、地址和电话）：×××。</w:t>
            </w:r>
          </w:p>
          <w:p>
            <w:pPr>
              <w:pStyle w:val="43"/>
              <w:spacing w:line="360" w:lineRule="auto"/>
              <w:ind w:firstLine="480"/>
              <w:rPr>
                <w:rFonts w:hint="eastAsia" w:ascii="宋体" w:hAnsi="宋体" w:eastAsia="宋体" w:cs="宋体"/>
                <w:color w:val="auto"/>
              </w:rPr>
            </w:pPr>
            <w:r>
              <w:rPr>
                <w:rFonts w:hint="eastAsia" w:ascii="宋体" w:hAnsi="宋体" w:eastAsia="宋体" w:cs="宋体"/>
                <w:color w:val="auto"/>
              </w:rPr>
              <w:t>申请人：（自然人签字，法人或者其他组织盖单位公章）</w:t>
            </w:r>
          </w:p>
          <w:p>
            <w:pPr>
              <w:pStyle w:val="43"/>
              <w:spacing w:line="360" w:lineRule="auto"/>
              <w:jc w:val="center"/>
              <w:rPr>
                <w:rFonts w:hint="eastAsia" w:ascii="宋体" w:hAnsi="宋体" w:cs="宋体"/>
                <w:b/>
                <w:color w:val="auto"/>
                <w:vertAlign w:val="baseline"/>
                <w:lang w:eastAsia="zh-CN"/>
              </w:rPr>
            </w:pPr>
            <w:r>
              <w:rPr>
                <w:rFonts w:hint="eastAsia" w:ascii="宋体" w:hAnsi="宋体" w:cs="宋体"/>
                <w:color w:val="auto"/>
                <w:lang w:val="en-US" w:eastAsia="zh-CN"/>
              </w:rPr>
              <w:t xml:space="preserve">                         </w:t>
            </w:r>
            <w:r>
              <w:rPr>
                <w:rFonts w:hint="eastAsia" w:ascii="宋体" w:hAnsi="宋体" w:eastAsia="宋体" w:cs="宋体"/>
                <w:color w:val="auto"/>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3"/>
              <w:spacing w:line="360" w:lineRule="auto"/>
              <w:ind w:left="0" w:leftChars="0" w:firstLine="0" w:firstLineChars="0"/>
              <w:jc w:val="center"/>
              <w:rPr>
                <w:rFonts w:hint="default" w:ascii="宋体" w:hAnsi="宋体" w:cs="宋体"/>
                <w:b/>
                <w:color w:val="auto"/>
                <w:vertAlign w:val="baseline"/>
                <w:lang w:val="en-US" w:eastAsia="zh-CN"/>
              </w:rPr>
            </w:pPr>
            <w:r>
              <w:rPr>
                <w:rFonts w:hint="eastAsia" w:ascii="宋体" w:hAnsi="宋体" w:cs="宋体"/>
                <w:b/>
                <w:color w:val="auto"/>
                <w:vertAlign w:val="baseline"/>
                <w:lang w:val="en-US" w:eastAsia="zh-CN"/>
              </w:rPr>
              <w:t>2</w:t>
            </w:r>
          </w:p>
        </w:tc>
        <w:tc>
          <w:tcPr>
            <w:tcW w:w="1264" w:type="dxa"/>
            <w:vAlign w:val="center"/>
          </w:tcPr>
          <w:p>
            <w:pPr>
              <w:pStyle w:val="43"/>
              <w:spacing w:line="360" w:lineRule="auto"/>
              <w:ind w:left="0" w:leftChars="0" w:firstLine="0" w:firstLineChars="0"/>
              <w:jc w:val="center"/>
              <w:rPr>
                <w:rFonts w:hint="eastAsia" w:ascii="宋体" w:hAnsi="宋体" w:cs="宋体"/>
                <w:b/>
                <w:color w:val="auto"/>
                <w:vertAlign w:val="baseline"/>
                <w:lang w:val="en-US" w:eastAsia="zh-CN"/>
              </w:rPr>
            </w:pPr>
            <w:r>
              <w:rPr>
                <w:rFonts w:hint="eastAsia" w:ascii="宋体" w:hAnsi="宋体" w:cs="宋体"/>
                <w:b/>
                <w:color w:val="auto"/>
                <w:vertAlign w:val="baseline"/>
                <w:lang w:val="en-US" w:eastAsia="zh-CN"/>
              </w:rPr>
              <w:t>验收</w:t>
            </w:r>
          </w:p>
        </w:tc>
        <w:tc>
          <w:tcPr>
            <w:tcW w:w="6890" w:type="dxa"/>
          </w:tcPr>
          <w:p>
            <w:pPr>
              <w:spacing w:line="360" w:lineRule="auto"/>
              <w:rPr>
                <w:rFonts w:hint="eastAsia" w:ascii="宋体" w:hAnsi="宋体" w:eastAsia="宋体" w:cs="宋体"/>
                <w:color w:val="auto"/>
                <w:sz w:val="24"/>
              </w:rPr>
            </w:pPr>
            <w:bookmarkStart w:id="178" w:name="_Toc10957_WPSOffice_Level1"/>
            <w:bookmarkStart w:id="179" w:name="_Toc24599_WPSOffice_Level1"/>
            <w:r>
              <w:rPr>
                <w:rFonts w:hint="eastAsia" w:ascii="宋体" w:hAnsi="宋体" w:cs="宋体"/>
                <w:color w:val="auto"/>
                <w:sz w:val="24"/>
                <w:lang w:eastAsia="zh-CN"/>
              </w:rPr>
              <w:t>一、</w:t>
            </w:r>
            <w:r>
              <w:rPr>
                <w:rFonts w:hint="eastAsia" w:ascii="宋体" w:hAnsi="宋体" w:eastAsia="宋体" w:cs="宋体"/>
                <w:color w:val="auto"/>
                <w:sz w:val="24"/>
              </w:rPr>
              <w:t>验收程序：</w:t>
            </w:r>
            <w:bookmarkEnd w:id="178"/>
            <w:bookmarkEnd w:id="179"/>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先由采购人向我代理机构提出验收申请（出具验收申请函）</w:t>
            </w:r>
          </w:p>
          <w:p>
            <w:pPr>
              <w:numPr>
                <w:ilvl w:val="0"/>
                <w:numId w:val="7"/>
              </w:numPr>
              <w:spacing w:line="360" w:lineRule="auto"/>
              <w:rPr>
                <w:rFonts w:hint="eastAsia" w:ascii="宋体" w:hAnsi="宋体" w:eastAsia="宋体" w:cs="宋体"/>
                <w:color w:val="auto"/>
                <w:sz w:val="24"/>
              </w:rPr>
            </w:pPr>
            <w:r>
              <w:rPr>
                <w:rFonts w:hint="eastAsia" w:ascii="宋体" w:hAnsi="宋体" w:eastAsia="宋体" w:cs="宋体"/>
                <w:color w:val="auto"/>
                <w:sz w:val="24"/>
              </w:rPr>
              <w:t>业主方在验收前所需准备的资料：</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（项目招标文件、中标单位招标文件副本、验收签到表、验收报告（格式自定）、验收清单（如涉及工程量或隐藏工程量的须附报告和清单）、政府采购验收结算单、验收项目所需工具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3、业主在完善资料后通知我代理机构，由我代理机构协调安排验收时间及相关验收人员。(验收相关人员包括参与本项目的技术专家（查阅档案）、质检人员、采监、代理机构人员)</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4、验收时工作人员工作职责（组织签到、督促完善验收资料的填写及签字）。</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5、验收费用由业主承担。(验收专家费用表由业主提供)</w:t>
            </w:r>
          </w:p>
          <w:p>
            <w:pPr>
              <w:spacing w:line="360" w:lineRule="auto"/>
              <w:rPr>
                <w:rFonts w:hint="eastAsia" w:ascii="宋体" w:hAnsi="宋体" w:eastAsia="宋体" w:cs="宋体"/>
                <w:color w:val="auto"/>
                <w:sz w:val="24"/>
              </w:rPr>
            </w:pPr>
            <w:bookmarkStart w:id="180" w:name="_Toc22133_WPSOffice_Level1"/>
            <w:bookmarkStart w:id="181" w:name="_Toc20169_WPSOffice_Level1"/>
            <w:r>
              <w:rPr>
                <w:rFonts w:hint="eastAsia" w:ascii="宋体" w:hAnsi="宋体" w:cs="宋体"/>
                <w:color w:val="auto"/>
                <w:sz w:val="24"/>
                <w:lang w:eastAsia="zh-CN"/>
              </w:rPr>
              <w:t>二、</w:t>
            </w:r>
            <w:r>
              <w:rPr>
                <w:rFonts w:hint="eastAsia" w:ascii="宋体" w:hAnsi="宋体" w:eastAsia="宋体" w:cs="宋体"/>
                <w:color w:val="auto"/>
                <w:sz w:val="24"/>
              </w:rPr>
              <w:t>验收时业主所需提供资料：</w:t>
            </w:r>
            <w:bookmarkEnd w:id="180"/>
            <w:bookmarkEnd w:id="181"/>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项目招标文件、中标单位投标文件副本</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验收签到表</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验收报告、验收清单（如涉及工程量或隐藏工程量的须附报告和清单）、业主收货验收清单</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政府采购验收结算单</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验收项目所需工具</w:t>
            </w:r>
          </w:p>
          <w:p>
            <w:pPr>
              <w:pStyle w:val="43"/>
              <w:spacing w:line="360" w:lineRule="auto"/>
              <w:jc w:val="center"/>
              <w:rPr>
                <w:rFonts w:hint="eastAsia" w:ascii="宋体" w:hAnsi="宋体" w:cs="宋体"/>
                <w:b/>
                <w:color w:val="auto"/>
                <w:vertAlign w:val="baseline"/>
                <w:lang w:eastAsia="zh-CN"/>
              </w:rPr>
            </w:pPr>
            <w:r>
              <w:rPr>
                <w:rFonts w:hint="eastAsia" w:ascii="宋体" w:hAnsi="宋体" w:cs="宋体"/>
                <w:color w:val="auto"/>
                <w:sz w:val="24"/>
                <w:lang w:val="en-US" w:eastAsia="zh-CN"/>
              </w:rPr>
              <w:t xml:space="preserve">                          </w:t>
            </w:r>
            <w:r>
              <w:rPr>
                <w:rFonts w:hint="eastAsia" w:ascii="宋体" w:hAnsi="宋体" w:eastAsia="宋体" w:cs="宋体"/>
                <w:b/>
                <w:bCs/>
                <w:color w:val="auto"/>
                <w:sz w:val="24"/>
              </w:rPr>
              <w:t>验收费用由业主承担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43"/>
              <w:spacing w:line="360" w:lineRule="auto"/>
              <w:ind w:left="0" w:leftChars="0" w:firstLine="0" w:firstLineChars="0"/>
              <w:jc w:val="center"/>
              <w:rPr>
                <w:rFonts w:hint="default" w:ascii="宋体" w:hAnsi="宋体" w:cs="宋体"/>
                <w:b/>
                <w:color w:val="auto"/>
                <w:vertAlign w:val="baseline"/>
                <w:lang w:val="en-US" w:eastAsia="zh-CN"/>
              </w:rPr>
            </w:pPr>
            <w:r>
              <w:rPr>
                <w:rFonts w:hint="eastAsia" w:ascii="宋体" w:hAnsi="宋体" w:cs="宋体"/>
                <w:b/>
                <w:color w:val="auto"/>
                <w:vertAlign w:val="baseline"/>
                <w:lang w:val="en-US" w:eastAsia="zh-CN"/>
              </w:rPr>
              <w:t>3</w:t>
            </w:r>
          </w:p>
        </w:tc>
        <w:tc>
          <w:tcPr>
            <w:tcW w:w="1264" w:type="dxa"/>
            <w:vAlign w:val="center"/>
          </w:tcPr>
          <w:p>
            <w:pPr>
              <w:pStyle w:val="43"/>
              <w:spacing w:line="360" w:lineRule="auto"/>
              <w:ind w:left="0" w:leftChars="0" w:firstLine="0" w:firstLineChars="0"/>
              <w:jc w:val="center"/>
              <w:rPr>
                <w:rFonts w:hint="eastAsia" w:ascii="宋体" w:hAnsi="宋体" w:cs="宋体"/>
                <w:b/>
                <w:color w:val="auto"/>
                <w:vertAlign w:val="baseline"/>
                <w:lang w:val="en-US" w:eastAsia="zh-CN"/>
              </w:rPr>
            </w:pPr>
            <w:r>
              <w:rPr>
                <w:rFonts w:hint="eastAsia" w:ascii="宋体" w:hAnsi="宋体" w:cs="宋体"/>
                <w:b/>
                <w:color w:val="auto"/>
                <w:vertAlign w:val="baseline"/>
                <w:lang w:val="en-US" w:eastAsia="zh-CN"/>
              </w:rPr>
              <w:t>政府采购验收报告</w:t>
            </w:r>
          </w:p>
        </w:tc>
        <w:tc>
          <w:tcPr>
            <w:tcW w:w="6890" w:type="dxa"/>
          </w:tcPr>
          <w:tbl>
            <w:tblPr>
              <w:tblStyle w:val="22"/>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1135"/>
              <w:gridCol w:w="323"/>
              <w:gridCol w:w="1781"/>
              <w:gridCol w:w="3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000" w:type="pct"/>
                  <w:gridSpan w:val="6"/>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b/>
                      <w:bCs/>
                      <w:color w:val="auto"/>
                      <w:sz w:val="28"/>
                      <w:szCs w:val="28"/>
                    </w:rPr>
                    <w:t>政府采购验收报告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采购单位名称：</w:t>
                  </w:r>
                </w:p>
              </w:tc>
              <w:tc>
                <w:tcPr>
                  <w:tcW w:w="852" w:type="pct"/>
                  <w:noWrap w:val="0"/>
                  <w:vAlign w:val="center"/>
                </w:tcPr>
                <w:p>
                  <w:pPr>
                    <w:widowControl/>
                    <w:spacing w:line="360" w:lineRule="auto"/>
                    <w:jc w:val="center"/>
                    <w:rPr>
                      <w:rFonts w:hint="eastAsia" w:ascii="宋体" w:hAnsi="宋体" w:eastAsia="宋体" w:cs="宋体"/>
                      <w:color w:val="auto"/>
                      <w:kern w:val="0"/>
                      <w:sz w:val="24"/>
                    </w:rPr>
                  </w:pPr>
                </w:p>
              </w:tc>
              <w:tc>
                <w:tcPr>
                  <w:tcW w:w="1578" w:type="pct"/>
                  <w:gridSpan w:val="2"/>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中标供应商名称：</w:t>
                  </w:r>
                </w:p>
              </w:tc>
              <w:tc>
                <w:tcPr>
                  <w:tcW w:w="844" w:type="pct"/>
                  <w:gridSpan w:val="2"/>
                  <w:noWrap w:val="0"/>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项目名称及编号：</w:t>
                  </w:r>
                </w:p>
              </w:tc>
              <w:tc>
                <w:tcPr>
                  <w:tcW w:w="3275" w:type="pct"/>
                  <w:gridSpan w:val="5"/>
                  <w:noWrap w:val="0"/>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验收内容：</w:t>
                  </w:r>
                </w:p>
              </w:tc>
              <w:tc>
                <w:tcPr>
                  <w:tcW w:w="3275" w:type="pct"/>
                  <w:gridSpan w:val="5"/>
                  <w:noWrap w:val="0"/>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验收结论</w:t>
                  </w:r>
                </w:p>
              </w:tc>
              <w:tc>
                <w:tcPr>
                  <w:tcW w:w="3275" w:type="pct"/>
                  <w:gridSpan w:val="5"/>
                  <w:noWrap w:val="0"/>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验收小组签字 ：</w:t>
                  </w:r>
                </w:p>
              </w:tc>
              <w:tc>
                <w:tcPr>
                  <w:tcW w:w="1094" w:type="pct"/>
                  <w:gridSpan w:val="2"/>
                  <w:noWrap w:val="0"/>
                  <w:vAlign w:val="center"/>
                </w:tcPr>
                <w:p>
                  <w:pPr>
                    <w:widowControl/>
                    <w:spacing w:line="360" w:lineRule="auto"/>
                    <w:jc w:val="center"/>
                    <w:rPr>
                      <w:rFonts w:hint="eastAsia" w:ascii="宋体" w:hAnsi="宋体" w:eastAsia="宋体" w:cs="宋体"/>
                      <w:color w:val="auto"/>
                      <w:kern w:val="0"/>
                      <w:sz w:val="24"/>
                    </w:rPr>
                  </w:pPr>
                </w:p>
              </w:tc>
              <w:tc>
                <w:tcPr>
                  <w:tcW w:w="1363" w:type="pct"/>
                  <w:gridSpan w:val="2"/>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验收日期：</w:t>
                  </w:r>
                </w:p>
              </w:tc>
              <w:tc>
                <w:tcPr>
                  <w:tcW w:w="817" w:type="pct"/>
                  <w:noWrap w:val="0"/>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24" w:type="pct"/>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采购单位签章：</w:t>
                  </w:r>
                </w:p>
              </w:tc>
              <w:tc>
                <w:tcPr>
                  <w:tcW w:w="1094" w:type="pct"/>
                  <w:gridSpan w:val="2"/>
                  <w:noWrap w:val="0"/>
                  <w:vAlign w:val="center"/>
                </w:tcPr>
                <w:p>
                  <w:pPr>
                    <w:widowControl/>
                    <w:spacing w:line="360" w:lineRule="auto"/>
                    <w:jc w:val="center"/>
                    <w:rPr>
                      <w:rFonts w:hint="eastAsia" w:ascii="宋体" w:hAnsi="宋体" w:eastAsia="宋体" w:cs="宋体"/>
                      <w:color w:val="auto"/>
                      <w:kern w:val="0"/>
                      <w:sz w:val="24"/>
                    </w:rPr>
                  </w:pPr>
                </w:p>
              </w:tc>
              <w:tc>
                <w:tcPr>
                  <w:tcW w:w="1363" w:type="pct"/>
                  <w:gridSpan w:val="2"/>
                  <w:noWrap w:val="0"/>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验收日期：</w:t>
                  </w:r>
                </w:p>
              </w:tc>
              <w:tc>
                <w:tcPr>
                  <w:tcW w:w="817" w:type="pct"/>
                  <w:noWrap w:val="0"/>
                  <w:vAlign w:val="center"/>
                </w:tcPr>
                <w:p>
                  <w:pPr>
                    <w:widowControl/>
                    <w:spacing w:line="360" w:lineRule="auto"/>
                    <w:jc w:val="center"/>
                    <w:rPr>
                      <w:rFonts w:hint="eastAsia" w:ascii="宋体" w:hAnsi="宋体" w:eastAsia="宋体" w:cs="宋体"/>
                      <w:color w:val="auto"/>
                      <w:kern w:val="0"/>
                      <w:sz w:val="24"/>
                    </w:rPr>
                  </w:pPr>
                </w:p>
              </w:tc>
            </w:tr>
          </w:tbl>
          <w:p>
            <w:pPr>
              <w:pStyle w:val="43"/>
              <w:spacing w:line="360" w:lineRule="auto"/>
              <w:jc w:val="center"/>
              <w:rPr>
                <w:rFonts w:hint="eastAsia" w:ascii="宋体" w:hAnsi="宋体" w:cs="宋体"/>
                <w:b/>
                <w:color w:val="auto"/>
                <w:vertAlign w:val="baseline"/>
                <w:lang w:eastAsia="zh-CN"/>
              </w:rPr>
            </w:pPr>
          </w:p>
        </w:tc>
      </w:tr>
    </w:tbl>
    <w:p>
      <w:pPr>
        <w:pStyle w:val="19"/>
        <w:widowControl/>
        <w:spacing w:beforeAutospacing="1" w:afterAutospacing="1" w:line="360" w:lineRule="auto"/>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9"/>
    <w:bookmarkEnd w:id="140"/>
    <w:p>
      <w:pPr>
        <w:bidi w:val="0"/>
        <w:rPr>
          <w:rFonts w:hint="eastAsia" w:ascii="宋体" w:hAnsi="宋体" w:eastAsia="宋体" w:cs="宋体"/>
          <w:color w:val="auto"/>
          <w:sz w:val="28"/>
          <w:szCs w:val="28"/>
          <w:highlight w:val="none"/>
        </w:rPr>
      </w:pPr>
    </w:p>
    <w:p>
      <w:pPr>
        <w:rPr>
          <w:color w:val="auto"/>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auto"/>
          <w:spacing w:val="0"/>
          <w:sz w:val="28"/>
          <w:szCs w:val="28"/>
        </w:rPr>
      </w:pPr>
      <w:r>
        <w:rPr>
          <w:rFonts w:hint="eastAsia"/>
          <w:color w:val="auto"/>
          <w:sz w:val="28"/>
          <w:szCs w:val="28"/>
          <w:highlight w:val="none"/>
          <w:lang w:eastAsia="zh-CN"/>
        </w:rPr>
        <w:t>附件一</w:t>
      </w:r>
      <w:r>
        <w:rPr>
          <w:rFonts w:hint="eastAsia"/>
          <w:color w:val="auto"/>
          <w:sz w:val="28"/>
          <w:szCs w:val="28"/>
          <w:highlight w:val="none"/>
          <w:lang w:val="en-US" w:eastAsia="zh-CN"/>
        </w:rPr>
        <w:t xml:space="preserve"> </w:t>
      </w:r>
      <w:r>
        <w:rPr>
          <w:rFonts w:ascii="微软雅黑" w:hAnsi="微软雅黑" w:eastAsia="微软雅黑" w:cs="微软雅黑"/>
          <w:i w:val="0"/>
          <w:caps w:val="0"/>
          <w:color w:val="auto"/>
          <w:spacing w:val="0"/>
          <w:sz w:val="28"/>
          <w:szCs w:val="28"/>
          <w:shd w:val="clear" w:fill="FFFFFF"/>
        </w:rPr>
        <w:t>中小企业划分标准</w:t>
      </w:r>
    </w:p>
    <w:p>
      <w:pPr>
        <w:pStyle w:val="38"/>
        <w:spacing w:line="240" w:lineRule="auto"/>
        <w:rPr>
          <w:rFonts w:hint="eastAsia"/>
          <w:color w:val="auto"/>
          <w:highlight w:val="none"/>
          <w:lang w:eastAsia="zh-CN"/>
        </w:rPr>
      </w:pPr>
    </w:p>
    <w:p>
      <w:pPr>
        <w:pStyle w:val="38"/>
        <w:spacing w:line="240" w:lineRule="auto"/>
        <w:rPr>
          <w:rFonts w:hint="eastAsia"/>
          <w:color w:val="auto"/>
          <w:highlight w:val="none"/>
          <w:lang w:eastAsia="zh-CN"/>
        </w:rPr>
      </w:pPr>
      <w:r>
        <w:rPr>
          <w:color w:val="auto"/>
        </w:rP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 xml:space="preserve">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2" name="图片 2"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244E"/>
    <w:multiLevelType w:val="multilevel"/>
    <w:tmpl w:val="165D244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B84680"/>
    <w:multiLevelType w:val="singleLevel"/>
    <w:tmpl w:val="19B84680"/>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5BE92F"/>
    <w:multiLevelType w:val="singleLevel"/>
    <w:tmpl w:val="575BE92F"/>
    <w:lvl w:ilvl="0" w:tentative="0">
      <w:start w:val="6"/>
      <w:numFmt w:val="chineseCounting"/>
      <w:suff w:val="space"/>
      <w:lvlText w:val="第%1章"/>
      <w:lvlJc w:val="left"/>
    </w:lvl>
  </w:abstractNum>
  <w:abstractNum w:abstractNumId="4">
    <w:nsid w:val="59FAC499"/>
    <w:multiLevelType w:val="singleLevel"/>
    <w:tmpl w:val="59FAC499"/>
    <w:lvl w:ilvl="0" w:tentative="0">
      <w:start w:val="1"/>
      <w:numFmt w:val="chineseCounting"/>
      <w:suff w:val="nothing"/>
      <w:lvlText w:val="%1、"/>
      <w:lvlJc w:val="left"/>
    </w:lvl>
  </w:abstractNum>
  <w:abstractNum w:abstractNumId="5">
    <w:nsid w:val="59FAC4C6"/>
    <w:multiLevelType w:val="singleLevel"/>
    <w:tmpl w:val="59FAC4C6"/>
    <w:lvl w:ilvl="0" w:tentative="0">
      <w:start w:val="1"/>
      <w:numFmt w:val="chineseCounting"/>
      <w:suff w:val="nothing"/>
      <w:lvlText w:val="%1、"/>
      <w:lvlJc w:val="left"/>
    </w:lvl>
  </w:abstractNum>
  <w:abstractNum w:abstractNumId="6">
    <w:nsid w:val="5AE9275A"/>
    <w:multiLevelType w:val="singleLevel"/>
    <w:tmpl w:val="5AE9275A"/>
    <w:lvl w:ilvl="0" w:tentative="0">
      <w:start w:val="38"/>
      <w:numFmt w:val="decimal"/>
      <w:suff w:val="nothing"/>
      <w:lvlText w:val="%1."/>
      <w:lvlJc w:val="left"/>
    </w:lvl>
  </w:abstractNum>
  <w:abstractNum w:abstractNumId="7">
    <w:nsid w:val="7B525868"/>
    <w:multiLevelType w:val="multilevel"/>
    <w:tmpl w:val="7B52586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A0347"/>
    <w:rsid w:val="000572DB"/>
    <w:rsid w:val="0008232D"/>
    <w:rsid w:val="004E0680"/>
    <w:rsid w:val="0093532E"/>
    <w:rsid w:val="00E24400"/>
    <w:rsid w:val="00EC3934"/>
    <w:rsid w:val="00F243B7"/>
    <w:rsid w:val="01365727"/>
    <w:rsid w:val="019878A2"/>
    <w:rsid w:val="01C11FAD"/>
    <w:rsid w:val="01FF7358"/>
    <w:rsid w:val="02353133"/>
    <w:rsid w:val="02583EA6"/>
    <w:rsid w:val="02873592"/>
    <w:rsid w:val="03174412"/>
    <w:rsid w:val="038D4638"/>
    <w:rsid w:val="03C063C1"/>
    <w:rsid w:val="03E06A00"/>
    <w:rsid w:val="043308F5"/>
    <w:rsid w:val="04652461"/>
    <w:rsid w:val="04CE1AC6"/>
    <w:rsid w:val="04FB0376"/>
    <w:rsid w:val="05003375"/>
    <w:rsid w:val="0520663A"/>
    <w:rsid w:val="05221751"/>
    <w:rsid w:val="05286CEB"/>
    <w:rsid w:val="05793E7D"/>
    <w:rsid w:val="05BF0F70"/>
    <w:rsid w:val="05DD2887"/>
    <w:rsid w:val="068517FF"/>
    <w:rsid w:val="068D2EFE"/>
    <w:rsid w:val="069C6430"/>
    <w:rsid w:val="06AE71AB"/>
    <w:rsid w:val="06C6647D"/>
    <w:rsid w:val="072E4CFB"/>
    <w:rsid w:val="07440608"/>
    <w:rsid w:val="07646AA2"/>
    <w:rsid w:val="07776902"/>
    <w:rsid w:val="079C4CB3"/>
    <w:rsid w:val="07B105CD"/>
    <w:rsid w:val="07BF1EFE"/>
    <w:rsid w:val="07CC2CA2"/>
    <w:rsid w:val="07F90FE2"/>
    <w:rsid w:val="08481B56"/>
    <w:rsid w:val="08BF0E59"/>
    <w:rsid w:val="08D72C64"/>
    <w:rsid w:val="0976370F"/>
    <w:rsid w:val="097E00A2"/>
    <w:rsid w:val="09974E6E"/>
    <w:rsid w:val="09A647B3"/>
    <w:rsid w:val="09C765B8"/>
    <w:rsid w:val="0A066D5F"/>
    <w:rsid w:val="0A1B41C3"/>
    <w:rsid w:val="0A757460"/>
    <w:rsid w:val="0AAD2E17"/>
    <w:rsid w:val="0AD40054"/>
    <w:rsid w:val="0B451ABF"/>
    <w:rsid w:val="0B755210"/>
    <w:rsid w:val="0C5574D3"/>
    <w:rsid w:val="0C627430"/>
    <w:rsid w:val="0CD008E4"/>
    <w:rsid w:val="0CEC258B"/>
    <w:rsid w:val="0D601719"/>
    <w:rsid w:val="0D9139DE"/>
    <w:rsid w:val="0D953D20"/>
    <w:rsid w:val="0DB601B5"/>
    <w:rsid w:val="0DF4352F"/>
    <w:rsid w:val="0E1230D8"/>
    <w:rsid w:val="0E3E4E11"/>
    <w:rsid w:val="0E43042D"/>
    <w:rsid w:val="0E4C783B"/>
    <w:rsid w:val="0E4D2754"/>
    <w:rsid w:val="0EEA2EB3"/>
    <w:rsid w:val="0EF645D5"/>
    <w:rsid w:val="0F2410AB"/>
    <w:rsid w:val="0F511654"/>
    <w:rsid w:val="0F7D2AD6"/>
    <w:rsid w:val="0FA94019"/>
    <w:rsid w:val="0FE13C8C"/>
    <w:rsid w:val="0FEC4707"/>
    <w:rsid w:val="10337117"/>
    <w:rsid w:val="103E20DF"/>
    <w:rsid w:val="106C2FBC"/>
    <w:rsid w:val="10B9753A"/>
    <w:rsid w:val="10E44E55"/>
    <w:rsid w:val="10E613D9"/>
    <w:rsid w:val="10EC2060"/>
    <w:rsid w:val="10FB02F8"/>
    <w:rsid w:val="11384FA9"/>
    <w:rsid w:val="11514EC5"/>
    <w:rsid w:val="11552D14"/>
    <w:rsid w:val="118F095B"/>
    <w:rsid w:val="11AD2612"/>
    <w:rsid w:val="11D32CA8"/>
    <w:rsid w:val="11FB06BF"/>
    <w:rsid w:val="12202CBA"/>
    <w:rsid w:val="123F2FBB"/>
    <w:rsid w:val="129C699F"/>
    <w:rsid w:val="12AC5D1F"/>
    <w:rsid w:val="12AF022C"/>
    <w:rsid w:val="12B30EE2"/>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90719"/>
    <w:rsid w:val="15503929"/>
    <w:rsid w:val="15537580"/>
    <w:rsid w:val="159F2443"/>
    <w:rsid w:val="15A502B1"/>
    <w:rsid w:val="15D75E4D"/>
    <w:rsid w:val="16205E96"/>
    <w:rsid w:val="16457F30"/>
    <w:rsid w:val="16491AF0"/>
    <w:rsid w:val="16B73CA4"/>
    <w:rsid w:val="17000A45"/>
    <w:rsid w:val="17025538"/>
    <w:rsid w:val="174C678D"/>
    <w:rsid w:val="179E79C0"/>
    <w:rsid w:val="17CE1861"/>
    <w:rsid w:val="17DB0A56"/>
    <w:rsid w:val="184009E9"/>
    <w:rsid w:val="197C194C"/>
    <w:rsid w:val="199366BA"/>
    <w:rsid w:val="19DA5415"/>
    <w:rsid w:val="1A590C4C"/>
    <w:rsid w:val="1A696EB6"/>
    <w:rsid w:val="1A840BF5"/>
    <w:rsid w:val="1A9E5CA4"/>
    <w:rsid w:val="1AA309B6"/>
    <w:rsid w:val="1AAE2885"/>
    <w:rsid w:val="1ADE7895"/>
    <w:rsid w:val="1B040EED"/>
    <w:rsid w:val="1B096797"/>
    <w:rsid w:val="1B12287D"/>
    <w:rsid w:val="1BBA2FB9"/>
    <w:rsid w:val="1C09010A"/>
    <w:rsid w:val="1C2A0408"/>
    <w:rsid w:val="1C5B4B16"/>
    <w:rsid w:val="1C700BE1"/>
    <w:rsid w:val="1CA044CA"/>
    <w:rsid w:val="1CEE7A11"/>
    <w:rsid w:val="1CFB7415"/>
    <w:rsid w:val="1D497222"/>
    <w:rsid w:val="1D6A19E8"/>
    <w:rsid w:val="1D6F512E"/>
    <w:rsid w:val="1D7A1E1A"/>
    <w:rsid w:val="1D8A15EE"/>
    <w:rsid w:val="1DF713F5"/>
    <w:rsid w:val="1E147754"/>
    <w:rsid w:val="1E2B7012"/>
    <w:rsid w:val="1E3F275C"/>
    <w:rsid w:val="1EC91364"/>
    <w:rsid w:val="1EE4170A"/>
    <w:rsid w:val="1EE74AF9"/>
    <w:rsid w:val="1F0706C8"/>
    <w:rsid w:val="1F21067A"/>
    <w:rsid w:val="1F2C73C2"/>
    <w:rsid w:val="1F4B33AE"/>
    <w:rsid w:val="1F4D4C0B"/>
    <w:rsid w:val="1F5A5189"/>
    <w:rsid w:val="1F965DCE"/>
    <w:rsid w:val="203C39B2"/>
    <w:rsid w:val="205820BC"/>
    <w:rsid w:val="206B2911"/>
    <w:rsid w:val="206B397F"/>
    <w:rsid w:val="206F146B"/>
    <w:rsid w:val="209C5197"/>
    <w:rsid w:val="20A1192E"/>
    <w:rsid w:val="20F67B19"/>
    <w:rsid w:val="2111145C"/>
    <w:rsid w:val="2168368A"/>
    <w:rsid w:val="21E0714D"/>
    <w:rsid w:val="21E7439F"/>
    <w:rsid w:val="21F25E85"/>
    <w:rsid w:val="22405159"/>
    <w:rsid w:val="22C9287E"/>
    <w:rsid w:val="22ED3EA8"/>
    <w:rsid w:val="23104318"/>
    <w:rsid w:val="23204325"/>
    <w:rsid w:val="23461C94"/>
    <w:rsid w:val="238049A3"/>
    <w:rsid w:val="23B16CD9"/>
    <w:rsid w:val="23EF2CE3"/>
    <w:rsid w:val="240129CD"/>
    <w:rsid w:val="240C48AD"/>
    <w:rsid w:val="2449787D"/>
    <w:rsid w:val="24662AFE"/>
    <w:rsid w:val="246A1948"/>
    <w:rsid w:val="2498107D"/>
    <w:rsid w:val="24DF205D"/>
    <w:rsid w:val="25CA503C"/>
    <w:rsid w:val="25DC3647"/>
    <w:rsid w:val="26BD6583"/>
    <w:rsid w:val="270A2296"/>
    <w:rsid w:val="272252D5"/>
    <w:rsid w:val="278B3ED2"/>
    <w:rsid w:val="27BC7E95"/>
    <w:rsid w:val="27BD574E"/>
    <w:rsid w:val="27BF0F20"/>
    <w:rsid w:val="27DC2509"/>
    <w:rsid w:val="28017405"/>
    <w:rsid w:val="28086121"/>
    <w:rsid w:val="28092B19"/>
    <w:rsid w:val="28604D4E"/>
    <w:rsid w:val="28BB1AC6"/>
    <w:rsid w:val="28C927D1"/>
    <w:rsid w:val="28E35D66"/>
    <w:rsid w:val="293F1EF6"/>
    <w:rsid w:val="29915FF5"/>
    <w:rsid w:val="29951B7D"/>
    <w:rsid w:val="29A26AE2"/>
    <w:rsid w:val="29AF3ED8"/>
    <w:rsid w:val="29BE5A96"/>
    <w:rsid w:val="2A173122"/>
    <w:rsid w:val="2A393587"/>
    <w:rsid w:val="2A425E32"/>
    <w:rsid w:val="2A4F0998"/>
    <w:rsid w:val="2AC75D3D"/>
    <w:rsid w:val="2AD53448"/>
    <w:rsid w:val="2B015F70"/>
    <w:rsid w:val="2B0C6F5D"/>
    <w:rsid w:val="2B4E6591"/>
    <w:rsid w:val="2B6A3CAE"/>
    <w:rsid w:val="2BDC3479"/>
    <w:rsid w:val="2C616FC6"/>
    <w:rsid w:val="2C6C7D7B"/>
    <w:rsid w:val="2C6D6FF6"/>
    <w:rsid w:val="2C8C2729"/>
    <w:rsid w:val="2CD1529A"/>
    <w:rsid w:val="2D81051B"/>
    <w:rsid w:val="2DEF5FA0"/>
    <w:rsid w:val="2E1A7044"/>
    <w:rsid w:val="2E253AD8"/>
    <w:rsid w:val="2E6050DC"/>
    <w:rsid w:val="2E816717"/>
    <w:rsid w:val="2EA76294"/>
    <w:rsid w:val="2EC04431"/>
    <w:rsid w:val="2F1F1925"/>
    <w:rsid w:val="2F385194"/>
    <w:rsid w:val="2F6A55A8"/>
    <w:rsid w:val="2F6F5F6B"/>
    <w:rsid w:val="2F790E69"/>
    <w:rsid w:val="2F9F279C"/>
    <w:rsid w:val="2FAE6DEC"/>
    <w:rsid w:val="2FAF0120"/>
    <w:rsid w:val="2FB259EF"/>
    <w:rsid w:val="2FBA79EF"/>
    <w:rsid w:val="2FE47521"/>
    <w:rsid w:val="2FEA686E"/>
    <w:rsid w:val="3002020A"/>
    <w:rsid w:val="30142C54"/>
    <w:rsid w:val="302A738E"/>
    <w:rsid w:val="30FF519D"/>
    <w:rsid w:val="312F07F6"/>
    <w:rsid w:val="3167742D"/>
    <w:rsid w:val="326A41D4"/>
    <w:rsid w:val="326E7EAB"/>
    <w:rsid w:val="32733244"/>
    <w:rsid w:val="32EB2411"/>
    <w:rsid w:val="335A4A8C"/>
    <w:rsid w:val="33BA2663"/>
    <w:rsid w:val="33BE2E7B"/>
    <w:rsid w:val="33C26AC8"/>
    <w:rsid w:val="34014301"/>
    <w:rsid w:val="342A3EA0"/>
    <w:rsid w:val="343E79CA"/>
    <w:rsid w:val="346D73F7"/>
    <w:rsid w:val="34852C17"/>
    <w:rsid w:val="350051F3"/>
    <w:rsid w:val="352A5E40"/>
    <w:rsid w:val="35344AF8"/>
    <w:rsid w:val="35520407"/>
    <w:rsid w:val="355C33AF"/>
    <w:rsid w:val="357E1275"/>
    <w:rsid w:val="35C83D66"/>
    <w:rsid w:val="35C95DA9"/>
    <w:rsid w:val="35FA5E8A"/>
    <w:rsid w:val="367E6678"/>
    <w:rsid w:val="368047A3"/>
    <w:rsid w:val="368D480D"/>
    <w:rsid w:val="36A605BF"/>
    <w:rsid w:val="37245EB7"/>
    <w:rsid w:val="372F08BB"/>
    <w:rsid w:val="375F4D57"/>
    <w:rsid w:val="37966B5F"/>
    <w:rsid w:val="379E140D"/>
    <w:rsid w:val="37A25842"/>
    <w:rsid w:val="37AD5197"/>
    <w:rsid w:val="37D84318"/>
    <w:rsid w:val="380E708A"/>
    <w:rsid w:val="38BB0BAB"/>
    <w:rsid w:val="38D636DC"/>
    <w:rsid w:val="38DD1741"/>
    <w:rsid w:val="38E94576"/>
    <w:rsid w:val="39053AD8"/>
    <w:rsid w:val="394A707A"/>
    <w:rsid w:val="39AF680B"/>
    <w:rsid w:val="39C351C2"/>
    <w:rsid w:val="3A1115DB"/>
    <w:rsid w:val="3A1C614D"/>
    <w:rsid w:val="3A6406FA"/>
    <w:rsid w:val="3AA92C8F"/>
    <w:rsid w:val="3ABC572A"/>
    <w:rsid w:val="3ADD6FFD"/>
    <w:rsid w:val="3AF826EC"/>
    <w:rsid w:val="3B121FFB"/>
    <w:rsid w:val="3B1705E5"/>
    <w:rsid w:val="3BB1108F"/>
    <w:rsid w:val="3BDB204C"/>
    <w:rsid w:val="3BEE4D27"/>
    <w:rsid w:val="3BF7404B"/>
    <w:rsid w:val="3C177065"/>
    <w:rsid w:val="3C1D57EB"/>
    <w:rsid w:val="3C5924B3"/>
    <w:rsid w:val="3C596709"/>
    <w:rsid w:val="3C9827A5"/>
    <w:rsid w:val="3CD01240"/>
    <w:rsid w:val="3D080CCD"/>
    <w:rsid w:val="3D4B7589"/>
    <w:rsid w:val="3D751C31"/>
    <w:rsid w:val="3DAD3478"/>
    <w:rsid w:val="3DBB0A5F"/>
    <w:rsid w:val="3DD83005"/>
    <w:rsid w:val="3DE02F33"/>
    <w:rsid w:val="3DE0583A"/>
    <w:rsid w:val="3DFB0D0A"/>
    <w:rsid w:val="3E032FB2"/>
    <w:rsid w:val="3E143322"/>
    <w:rsid w:val="3E2149D7"/>
    <w:rsid w:val="3E861631"/>
    <w:rsid w:val="3E9015B5"/>
    <w:rsid w:val="3EAE1496"/>
    <w:rsid w:val="3F6500C5"/>
    <w:rsid w:val="3F767793"/>
    <w:rsid w:val="3FB403C6"/>
    <w:rsid w:val="3FCC64B1"/>
    <w:rsid w:val="40093CD4"/>
    <w:rsid w:val="401C3175"/>
    <w:rsid w:val="4020536E"/>
    <w:rsid w:val="40237A8B"/>
    <w:rsid w:val="40553470"/>
    <w:rsid w:val="40697C1F"/>
    <w:rsid w:val="407D6ADC"/>
    <w:rsid w:val="40947466"/>
    <w:rsid w:val="40C00F0D"/>
    <w:rsid w:val="413D19A1"/>
    <w:rsid w:val="416F738F"/>
    <w:rsid w:val="41795AD7"/>
    <w:rsid w:val="41882DA9"/>
    <w:rsid w:val="41B50E99"/>
    <w:rsid w:val="41CB42E7"/>
    <w:rsid w:val="41E2303A"/>
    <w:rsid w:val="41E9119F"/>
    <w:rsid w:val="42076478"/>
    <w:rsid w:val="420B756F"/>
    <w:rsid w:val="4230082E"/>
    <w:rsid w:val="423744DD"/>
    <w:rsid w:val="42576BA9"/>
    <w:rsid w:val="42996754"/>
    <w:rsid w:val="42A33DE7"/>
    <w:rsid w:val="42B61FA3"/>
    <w:rsid w:val="42DF612A"/>
    <w:rsid w:val="430D679F"/>
    <w:rsid w:val="431A1236"/>
    <w:rsid w:val="43336E53"/>
    <w:rsid w:val="438A5DDA"/>
    <w:rsid w:val="43B45E8C"/>
    <w:rsid w:val="43E72FFE"/>
    <w:rsid w:val="43FF1D68"/>
    <w:rsid w:val="443D7E6B"/>
    <w:rsid w:val="445123F7"/>
    <w:rsid w:val="44CA59DA"/>
    <w:rsid w:val="44CE0696"/>
    <w:rsid w:val="44E05B88"/>
    <w:rsid w:val="45243265"/>
    <w:rsid w:val="45443D52"/>
    <w:rsid w:val="45527199"/>
    <w:rsid w:val="45B209F1"/>
    <w:rsid w:val="45BA3459"/>
    <w:rsid w:val="45C93FC6"/>
    <w:rsid w:val="45CC0E59"/>
    <w:rsid w:val="45DA374F"/>
    <w:rsid w:val="45DC1AA8"/>
    <w:rsid w:val="45F53D27"/>
    <w:rsid w:val="46000B49"/>
    <w:rsid w:val="46427576"/>
    <w:rsid w:val="469D03B1"/>
    <w:rsid w:val="46A31049"/>
    <w:rsid w:val="46B70792"/>
    <w:rsid w:val="46C52059"/>
    <w:rsid w:val="475B6D46"/>
    <w:rsid w:val="477A1CC4"/>
    <w:rsid w:val="4794632E"/>
    <w:rsid w:val="47DA442E"/>
    <w:rsid w:val="48207F80"/>
    <w:rsid w:val="48491323"/>
    <w:rsid w:val="48770A79"/>
    <w:rsid w:val="48E735D2"/>
    <w:rsid w:val="48F31881"/>
    <w:rsid w:val="48FC03CA"/>
    <w:rsid w:val="49083AC7"/>
    <w:rsid w:val="494F5D5E"/>
    <w:rsid w:val="495434C1"/>
    <w:rsid w:val="495C4470"/>
    <w:rsid w:val="4965675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A46A91"/>
    <w:rsid w:val="4EBE34D3"/>
    <w:rsid w:val="4EC711FE"/>
    <w:rsid w:val="4EE22E7B"/>
    <w:rsid w:val="4EFE3743"/>
    <w:rsid w:val="4F191A8E"/>
    <w:rsid w:val="4F2C0E74"/>
    <w:rsid w:val="4FC2275A"/>
    <w:rsid w:val="4FFD1F31"/>
    <w:rsid w:val="50655525"/>
    <w:rsid w:val="50987C24"/>
    <w:rsid w:val="50B40F56"/>
    <w:rsid w:val="50B9348B"/>
    <w:rsid w:val="510C6CD7"/>
    <w:rsid w:val="51476FDF"/>
    <w:rsid w:val="515E01BB"/>
    <w:rsid w:val="51762084"/>
    <w:rsid w:val="519D50C1"/>
    <w:rsid w:val="51BD12C3"/>
    <w:rsid w:val="52153CEB"/>
    <w:rsid w:val="52271A21"/>
    <w:rsid w:val="523E4DFA"/>
    <w:rsid w:val="52511F34"/>
    <w:rsid w:val="525C3ACD"/>
    <w:rsid w:val="526454A1"/>
    <w:rsid w:val="528A0347"/>
    <w:rsid w:val="528A2886"/>
    <w:rsid w:val="52950909"/>
    <w:rsid w:val="52E84350"/>
    <w:rsid w:val="53030DC7"/>
    <w:rsid w:val="532A5629"/>
    <w:rsid w:val="5391633A"/>
    <w:rsid w:val="539D7A92"/>
    <w:rsid w:val="53B34DD5"/>
    <w:rsid w:val="53CA0C7C"/>
    <w:rsid w:val="543A5534"/>
    <w:rsid w:val="543A6F16"/>
    <w:rsid w:val="54682360"/>
    <w:rsid w:val="54841553"/>
    <w:rsid w:val="54CF21D8"/>
    <w:rsid w:val="54E63439"/>
    <w:rsid w:val="54FE26E2"/>
    <w:rsid w:val="55437D0D"/>
    <w:rsid w:val="55703A38"/>
    <w:rsid w:val="55705E40"/>
    <w:rsid w:val="557C3B1A"/>
    <w:rsid w:val="55FE4470"/>
    <w:rsid w:val="560641D5"/>
    <w:rsid w:val="56086E7A"/>
    <w:rsid w:val="560D5CFF"/>
    <w:rsid w:val="56830AEA"/>
    <w:rsid w:val="56C8472B"/>
    <w:rsid w:val="56D8462C"/>
    <w:rsid w:val="5745772D"/>
    <w:rsid w:val="581101B8"/>
    <w:rsid w:val="58404823"/>
    <w:rsid w:val="586F168C"/>
    <w:rsid w:val="58A845FF"/>
    <w:rsid w:val="58A932C4"/>
    <w:rsid w:val="58C63F3F"/>
    <w:rsid w:val="58CF38C7"/>
    <w:rsid w:val="58FF60FE"/>
    <w:rsid w:val="59112915"/>
    <w:rsid w:val="594B12C0"/>
    <w:rsid w:val="59851222"/>
    <w:rsid w:val="59ED5EA4"/>
    <w:rsid w:val="5A714CA5"/>
    <w:rsid w:val="5A907933"/>
    <w:rsid w:val="5ABF799F"/>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F35629"/>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ED27262"/>
    <w:rsid w:val="5F0A0E0A"/>
    <w:rsid w:val="5F2E5A0A"/>
    <w:rsid w:val="5F6A41A2"/>
    <w:rsid w:val="5F7B73CA"/>
    <w:rsid w:val="5FEE461B"/>
    <w:rsid w:val="607C279D"/>
    <w:rsid w:val="608875BC"/>
    <w:rsid w:val="60996615"/>
    <w:rsid w:val="60AD43AA"/>
    <w:rsid w:val="60DA69EE"/>
    <w:rsid w:val="60E11857"/>
    <w:rsid w:val="61116DF2"/>
    <w:rsid w:val="6129607F"/>
    <w:rsid w:val="61453BA5"/>
    <w:rsid w:val="614936C0"/>
    <w:rsid w:val="617F5845"/>
    <w:rsid w:val="61845F44"/>
    <w:rsid w:val="61F9494E"/>
    <w:rsid w:val="621144ED"/>
    <w:rsid w:val="623A1C58"/>
    <w:rsid w:val="62664474"/>
    <w:rsid w:val="62781F50"/>
    <w:rsid w:val="62C01BF3"/>
    <w:rsid w:val="62C727A8"/>
    <w:rsid w:val="62CC797C"/>
    <w:rsid w:val="62DC288F"/>
    <w:rsid w:val="6311406B"/>
    <w:rsid w:val="63AA6DB7"/>
    <w:rsid w:val="63E02B52"/>
    <w:rsid w:val="63E05458"/>
    <w:rsid w:val="63E25F14"/>
    <w:rsid w:val="63F55432"/>
    <w:rsid w:val="641679FF"/>
    <w:rsid w:val="641F4FF2"/>
    <w:rsid w:val="64824D2E"/>
    <w:rsid w:val="648914D3"/>
    <w:rsid w:val="6496097F"/>
    <w:rsid w:val="64D13B80"/>
    <w:rsid w:val="64F40EFD"/>
    <w:rsid w:val="6506620D"/>
    <w:rsid w:val="654A63C9"/>
    <w:rsid w:val="6554685F"/>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C2DE8"/>
    <w:rsid w:val="68D22C3A"/>
    <w:rsid w:val="68DF3E54"/>
    <w:rsid w:val="690944B2"/>
    <w:rsid w:val="692C6ED1"/>
    <w:rsid w:val="693F5C66"/>
    <w:rsid w:val="69586FC7"/>
    <w:rsid w:val="69683806"/>
    <w:rsid w:val="69863AC8"/>
    <w:rsid w:val="69DD380C"/>
    <w:rsid w:val="69E240B1"/>
    <w:rsid w:val="6A0A000D"/>
    <w:rsid w:val="6A366999"/>
    <w:rsid w:val="6A395C02"/>
    <w:rsid w:val="6A993404"/>
    <w:rsid w:val="6ACE78E6"/>
    <w:rsid w:val="6AD11CF6"/>
    <w:rsid w:val="6AD311E5"/>
    <w:rsid w:val="6B106207"/>
    <w:rsid w:val="6B3B169F"/>
    <w:rsid w:val="6B4D093D"/>
    <w:rsid w:val="6B737408"/>
    <w:rsid w:val="6BBD0670"/>
    <w:rsid w:val="6BF67F73"/>
    <w:rsid w:val="6BFA7EBC"/>
    <w:rsid w:val="6C022D08"/>
    <w:rsid w:val="6C1367AD"/>
    <w:rsid w:val="6C2C6344"/>
    <w:rsid w:val="6C7A6273"/>
    <w:rsid w:val="6C99017C"/>
    <w:rsid w:val="6CB4241B"/>
    <w:rsid w:val="6CF846C9"/>
    <w:rsid w:val="6D00300F"/>
    <w:rsid w:val="6D535020"/>
    <w:rsid w:val="6D5C0BDE"/>
    <w:rsid w:val="6D7B7781"/>
    <w:rsid w:val="6D8C3FA6"/>
    <w:rsid w:val="6D9132E1"/>
    <w:rsid w:val="6DAC2456"/>
    <w:rsid w:val="6DD03FD3"/>
    <w:rsid w:val="6DE554FF"/>
    <w:rsid w:val="6DE712F0"/>
    <w:rsid w:val="6E1F21ED"/>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CE1AB9"/>
    <w:rsid w:val="7051252D"/>
    <w:rsid w:val="70515FB1"/>
    <w:rsid w:val="707E1456"/>
    <w:rsid w:val="70F75597"/>
    <w:rsid w:val="713E5D7D"/>
    <w:rsid w:val="718467D2"/>
    <w:rsid w:val="71B2295B"/>
    <w:rsid w:val="721A69BE"/>
    <w:rsid w:val="72574356"/>
    <w:rsid w:val="72933209"/>
    <w:rsid w:val="72C62AF2"/>
    <w:rsid w:val="72FC0B51"/>
    <w:rsid w:val="73702D37"/>
    <w:rsid w:val="738C47D0"/>
    <w:rsid w:val="739A7A33"/>
    <w:rsid w:val="740D7492"/>
    <w:rsid w:val="74621F78"/>
    <w:rsid w:val="751212F5"/>
    <w:rsid w:val="75215015"/>
    <w:rsid w:val="754143B4"/>
    <w:rsid w:val="754E03EF"/>
    <w:rsid w:val="7572652B"/>
    <w:rsid w:val="75BE2B07"/>
    <w:rsid w:val="75FF4F04"/>
    <w:rsid w:val="765426F4"/>
    <w:rsid w:val="7676051E"/>
    <w:rsid w:val="7682689F"/>
    <w:rsid w:val="768B5928"/>
    <w:rsid w:val="768D3FAD"/>
    <w:rsid w:val="769277F9"/>
    <w:rsid w:val="76A7651C"/>
    <w:rsid w:val="76B202EE"/>
    <w:rsid w:val="76D84D0C"/>
    <w:rsid w:val="76E61E34"/>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D0EF3"/>
    <w:rsid w:val="7A207055"/>
    <w:rsid w:val="7A2349B5"/>
    <w:rsid w:val="7A2D75F1"/>
    <w:rsid w:val="7A843F55"/>
    <w:rsid w:val="7A9568FB"/>
    <w:rsid w:val="7A972630"/>
    <w:rsid w:val="7AAE42F2"/>
    <w:rsid w:val="7AB36FC1"/>
    <w:rsid w:val="7AD7114D"/>
    <w:rsid w:val="7AEE3904"/>
    <w:rsid w:val="7B1B1B72"/>
    <w:rsid w:val="7B4E7BA0"/>
    <w:rsid w:val="7B6C6515"/>
    <w:rsid w:val="7BA31C21"/>
    <w:rsid w:val="7BD708FF"/>
    <w:rsid w:val="7C121D39"/>
    <w:rsid w:val="7C2B4418"/>
    <w:rsid w:val="7C462FF1"/>
    <w:rsid w:val="7C6C5C09"/>
    <w:rsid w:val="7C8A71C0"/>
    <w:rsid w:val="7C8B0EF9"/>
    <w:rsid w:val="7CCA0B85"/>
    <w:rsid w:val="7D8E611F"/>
    <w:rsid w:val="7DB667E5"/>
    <w:rsid w:val="7DB87E27"/>
    <w:rsid w:val="7DCE03B6"/>
    <w:rsid w:val="7E001B56"/>
    <w:rsid w:val="7E04213D"/>
    <w:rsid w:val="7E0724FD"/>
    <w:rsid w:val="7E210FC1"/>
    <w:rsid w:val="7ED46B7D"/>
    <w:rsid w:val="7EE26360"/>
    <w:rsid w:val="7EF1488F"/>
    <w:rsid w:val="7F16542D"/>
    <w:rsid w:val="7F464F31"/>
    <w:rsid w:val="7F67091C"/>
    <w:rsid w:val="7F730575"/>
    <w:rsid w:val="7F8162FD"/>
    <w:rsid w:val="7F87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6"/>
    <w:unhideWhenUsed/>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Body Text 3"/>
    <w:basedOn w:val="1"/>
    <w:unhideWhenUsed/>
    <w:qFormat/>
    <w:uiPriority w:val="99"/>
    <w:pPr>
      <w:jc w:val="center"/>
    </w:pPr>
    <w:rPr>
      <w:rFonts w:hint="eastAsia" w:hAnsi="Symbol"/>
      <w:sz w:val="10"/>
    </w:rPr>
  </w:style>
  <w:style w:type="paragraph" w:styleId="11">
    <w:name w:val="Body Text Indent"/>
    <w:basedOn w:val="1"/>
    <w:qFormat/>
    <w:uiPriority w:val="0"/>
    <w:pPr>
      <w:ind w:firstLine="630"/>
    </w:pPr>
    <w:rPr>
      <w:sz w:val="32"/>
      <w:szCs w:val="20"/>
    </w:rPr>
  </w:style>
  <w:style w:type="paragraph" w:styleId="12">
    <w:name w:val="Plain Text"/>
    <w:basedOn w:val="1"/>
    <w:next w:val="1"/>
    <w:qFormat/>
    <w:uiPriority w:val="0"/>
    <w:pPr>
      <w:widowControl w:val="0"/>
      <w:jc w:val="both"/>
    </w:pPr>
    <w:rPr>
      <w:rFonts w:ascii="宋体" w:hAnsi="Courier New" w:cs="Courier New"/>
      <w:kern w:val="2"/>
      <w:sz w:val="21"/>
      <w:szCs w:val="21"/>
    </w:rPr>
  </w:style>
  <w:style w:type="paragraph" w:styleId="13">
    <w:name w:val="Body Text Indent 2"/>
    <w:basedOn w:val="1"/>
    <w:qFormat/>
    <w:uiPriority w:val="0"/>
    <w:pPr>
      <w:spacing w:line="480" w:lineRule="auto"/>
      <w:ind w:left="420" w:leftChars="200"/>
    </w:pPr>
  </w:style>
  <w:style w:type="paragraph" w:styleId="14">
    <w:name w:val="Balloon Text"/>
    <w:basedOn w:val="1"/>
    <w:link w:val="6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Body Text First Indent"/>
    <w:basedOn w:val="2"/>
    <w:qFormat/>
    <w:uiPriority w:val="0"/>
    <w:pPr>
      <w:ind w:firstLine="420" w:firstLineChars="100"/>
    </w:pPr>
  </w:style>
  <w:style w:type="paragraph" w:styleId="21">
    <w:name w:val="Body Text First Indent 2"/>
    <w:basedOn w:val="11"/>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qFormat/>
    <w:uiPriority w:val="0"/>
    <w:rPr>
      <w:color w:val="800080"/>
      <w:u w:val="none"/>
    </w:rPr>
  </w:style>
  <w:style w:type="character" w:styleId="27">
    <w:name w:val="Emphasis"/>
    <w:basedOn w:val="24"/>
    <w:qFormat/>
    <w:uiPriority w:val="0"/>
    <w:rPr>
      <w:i/>
    </w:rPr>
  </w:style>
  <w:style w:type="character" w:styleId="28">
    <w:name w:val="HTML Definition"/>
    <w:basedOn w:val="24"/>
    <w:qFormat/>
    <w:uiPriority w:val="0"/>
  </w:style>
  <w:style w:type="character" w:styleId="29">
    <w:name w:val="HTML Variable"/>
    <w:basedOn w:val="24"/>
    <w:qFormat/>
    <w:uiPriority w:val="0"/>
  </w:style>
  <w:style w:type="character" w:styleId="30">
    <w:name w:val="Hyperlink"/>
    <w:basedOn w:val="24"/>
    <w:qFormat/>
    <w:uiPriority w:val="0"/>
    <w:rPr>
      <w:color w:val="0000FF"/>
      <w:u w:val="none"/>
    </w:rPr>
  </w:style>
  <w:style w:type="character" w:styleId="31">
    <w:name w:val="HTML Code"/>
    <w:basedOn w:val="24"/>
    <w:qFormat/>
    <w:uiPriority w:val="0"/>
    <w:rPr>
      <w:rFonts w:ascii="Courier New" w:hAnsi="Courier New"/>
      <w:sz w:val="20"/>
    </w:rPr>
  </w:style>
  <w:style w:type="character" w:styleId="32">
    <w:name w:val="HTML Cite"/>
    <w:basedOn w:val="24"/>
    <w:qFormat/>
    <w:uiPriority w:val="0"/>
  </w:style>
  <w:style w:type="paragraph" w:customStyle="1" w:styleId="33">
    <w:name w:val="一级条标题"/>
    <w:basedOn w:val="34"/>
    <w:next w:val="1"/>
    <w:qFormat/>
    <w:uiPriority w:val="99"/>
    <w:pPr>
      <w:widowControl/>
      <w:ind w:left="420"/>
      <w:outlineLvl w:val="2"/>
    </w:pPr>
    <w:rPr>
      <w:rFonts w:ascii="黑体" w:hAnsi="Times New Roman" w:eastAsia="黑体" w:cs="黑体"/>
      <w:kern w:val="0"/>
      <w:szCs w:val="21"/>
    </w:rPr>
  </w:style>
  <w:style w:type="paragraph" w:customStyle="1" w:styleId="3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标题 5（有编号）（绿盟科技）"/>
    <w:basedOn w:val="1"/>
    <w:next w:val="36"/>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0">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1">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2">
    <w:name w:val="列出段落1"/>
    <w:basedOn w:val="1"/>
    <w:qFormat/>
    <w:uiPriority w:val="99"/>
    <w:pPr>
      <w:ind w:firstLine="420" w:firstLineChars="200"/>
    </w:pPr>
    <w:rPr>
      <w:rFonts w:eastAsia="宋体" w:cs="Times New Roman"/>
      <w:szCs w:val="22"/>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character" w:customStyle="1" w:styleId="44">
    <w:name w:val="font31"/>
    <w:qFormat/>
    <w:uiPriority w:val="0"/>
    <w:rPr>
      <w:rFonts w:hint="eastAsia" w:ascii="宋体" w:hAnsi="宋体" w:eastAsia="宋体" w:cs="宋体"/>
      <w:color w:val="000000"/>
      <w:sz w:val="21"/>
      <w:szCs w:val="21"/>
      <w:u w:val="none"/>
    </w:rPr>
  </w:style>
  <w:style w:type="character" w:customStyle="1" w:styleId="45">
    <w:name w:val="font111"/>
    <w:qFormat/>
    <w:uiPriority w:val="0"/>
    <w:rPr>
      <w:rFonts w:hint="default" w:ascii="Eʩ" w:hAnsi="Eʩ" w:eastAsia="Eʩ" w:cs="Eʩ"/>
      <w:color w:val="000000"/>
      <w:sz w:val="21"/>
      <w:szCs w:val="21"/>
      <w:u w:val="single"/>
    </w:rPr>
  </w:style>
  <w:style w:type="paragraph" w:customStyle="1" w:styleId="46">
    <w:name w:val="dd"/>
    <w:basedOn w:val="1"/>
    <w:qFormat/>
    <w:uiPriority w:val="0"/>
    <w:pPr>
      <w:jc w:val="left"/>
    </w:pPr>
    <w:rPr>
      <w:rFonts w:cs="Times New Roman"/>
      <w:kern w:val="0"/>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Body text|2 + 8.5 pt"/>
    <w:basedOn w:val="50"/>
    <w:semiHidden/>
    <w:unhideWhenUsed/>
    <w:qFormat/>
    <w:uiPriority w:val="0"/>
    <w:rPr>
      <w:color w:val="000000"/>
      <w:spacing w:val="10"/>
      <w:w w:val="100"/>
      <w:position w:val="0"/>
      <w:sz w:val="17"/>
      <w:szCs w:val="17"/>
      <w:lang w:val="zh-CN" w:eastAsia="zh-CN" w:bidi="zh-CN"/>
    </w:rPr>
  </w:style>
  <w:style w:type="character" w:customStyle="1" w:styleId="50">
    <w:name w:val="Body text|2_"/>
    <w:basedOn w:val="24"/>
    <w:link w:val="51"/>
    <w:qFormat/>
    <w:uiPriority w:val="0"/>
    <w:rPr>
      <w:rFonts w:ascii="PMingLiU" w:hAnsi="PMingLiU" w:eastAsia="PMingLiU" w:cs="PMingLiU"/>
      <w:spacing w:val="30"/>
      <w:sz w:val="30"/>
      <w:szCs w:val="30"/>
      <w:u w:val="none"/>
    </w:rPr>
  </w:style>
  <w:style w:type="paragraph" w:customStyle="1" w:styleId="51">
    <w:name w:val="Body text|22"/>
    <w:basedOn w:val="1"/>
    <w:link w:val="50"/>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2">
    <w:name w:val="Table Paragraph"/>
    <w:basedOn w:val="1"/>
    <w:qFormat/>
    <w:uiPriority w:val="1"/>
    <w:rPr>
      <w:rFonts w:ascii="新宋体" w:hAnsi="新宋体" w:eastAsia="新宋体" w:cs="新宋体"/>
      <w:szCs w:val="22"/>
      <w:lang w:val="zh-CN" w:bidi="zh-CN"/>
    </w:rPr>
  </w:style>
  <w:style w:type="paragraph" w:customStyle="1" w:styleId="53">
    <w:name w:val="p0"/>
    <w:basedOn w:val="1"/>
    <w:qFormat/>
    <w:uiPriority w:val="0"/>
    <w:pPr>
      <w:widowControl/>
    </w:pPr>
    <w:rPr>
      <w:rFonts w:ascii="Calibri" w:cs="宋体"/>
      <w:szCs w:val="21"/>
    </w:rPr>
  </w:style>
  <w:style w:type="paragraph" w:customStyle="1" w:styleId="54">
    <w:name w:val="列出段落2"/>
    <w:basedOn w:val="1"/>
    <w:qFormat/>
    <w:uiPriority w:val="34"/>
    <w:pPr>
      <w:ind w:firstLine="420" w:firstLineChars="200"/>
    </w:pPr>
    <w:rPr>
      <w:rFonts w:ascii="宋体" w:hAnsi="Times New Roman"/>
      <w:kern w:val="0"/>
      <w:sz w:val="34"/>
      <w:szCs w:val="20"/>
    </w:rPr>
  </w:style>
  <w:style w:type="paragraph" w:customStyle="1" w:styleId="55">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6">
    <w:name w:val="标题 3 Char"/>
    <w:link w:val="5"/>
    <w:qFormat/>
    <w:uiPriority w:val="0"/>
    <w:rPr>
      <w:b/>
      <w:bCs/>
      <w:sz w:val="32"/>
      <w:szCs w:val="32"/>
    </w:rPr>
  </w:style>
  <w:style w:type="paragraph" w:customStyle="1" w:styleId="57">
    <w:name w:val="表格"/>
    <w:basedOn w:val="1"/>
    <w:qFormat/>
    <w:uiPriority w:val="0"/>
    <w:pPr>
      <w:spacing w:line="400" w:lineRule="exact"/>
    </w:pPr>
    <w:rPr>
      <w:sz w:val="24"/>
    </w:rPr>
  </w:style>
  <w:style w:type="paragraph" w:customStyle="1" w:styleId="58">
    <w:name w:val="列出段落3"/>
    <w:basedOn w:val="1"/>
    <w:unhideWhenUsed/>
    <w:qFormat/>
    <w:uiPriority w:val="34"/>
    <w:pPr>
      <w:ind w:firstLine="420" w:firstLineChars="200"/>
    </w:pPr>
  </w:style>
  <w:style w:type="paragraph" w:customStyle="1" w:styleId="59">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60">
    <w:name w:val="readmail_locationtip1"/>
    <w:basedOn w:val="24"/>
    <w:qFormat/>
    <w:uiPriority w:val="0"/>
  </w:style>
  <w:style w:type="character" w:customStyle="1" w:styleId="61">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62">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3">
    <w:name w:val="font61"/>
    <w:basedOn w:val="24"/>
    <w:qFormat/>
    <w:uiPriority w:val="0"/>
    <w:rPr>
      <w:rFonts w:hint="eastAsia" w:ascii="宋体" w:hAnsi="宋体" w:eastAsia="宋体" w:cs="宋体"/>
      <w:color w:val="000000"/>
      <w:sz w:val="20"/>
      <w:szCs w:val="20"/>
      <w:u w:val="none"/>
    </w:rPr>
  </w:style>
  <w:style w:type="character" w:customStyle="1" w:styleId="64">
    <w:name w:val="font21"/>
    <w:basedOn w:val="24"/>
    <w:qFormat/>
    <w:uiPriority w:val="0"/>
    <w:rPr>
      <w:rFonts w:hint="eastAsia" w:ascii="宋体" w:hAnsi="宋体" w:eastAsia="宋体" w:cs="宋体"/>
      <w:color w:val="000000"/>
      <w:sz w:val="20"/>
      <w:szCs w:val="20"/>
      <w:u w:val="none"/>
      <w:vertAlign w:val="superscript"/>
    </w:rPr>
  </w:style>
  <w:style w:type="character" w:customStyle="1" w:styleId="65">
    <w:name w:val="font11"/>
    <w:basedOn w:val="24"/>
    <w:qFormat/>
    <w:uiPriority w:val="0"/>
    <w:rPr>
      <w:rFonts w:hint="eastAsia" w:ascii="宋体" w:hAnsi="宋体" w:eastAsia="宋体" w:cs="宋体"/>
      <w:color w:val="000000"/>
      <w:sz w:val="20"/>
      <w:szCs w:val="20"/>
      <w:u w:val="none"/>
    </w:rPr>
  </w:style>
  <w:style w:type="paragraph" w:styleId="66">
    <w:name w:val="List Paragraph"/>
    <w:basedOn w:val="1"/>
    <w:qFormat/>
    <w:uiPriority w:val="34"/>
    <w:pPr>
      <w:ind w:firstLine="420" w:firstLineChars="200"/>
    </w:pPr>
  </w:style>
  <w:style w:type="paragraph" w:customStyle="1" w:styleId="67">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8">
    <w:name w:val="img"/>
    <w:basedOn w:val="24"/>
    <w:qFormat/>
    <w:uiPriority w:val="0"/>
  </w:style>
  <w:style w:type="character" w:customStyle="1" w:styleId="69">
    <w:name w:val="img1"/>
    <w:basedOn w:val="24"/>
    <w:qFormat/>
    <w:uiPriority w:val="0"/>
  </w:style>
  <w:style w:type="paragraph" w:customStyle="1" w:styleId="70">
    <w:name w:val="Blockquote"/>
    <w:basedOn w:val="1"/>
    <w:qFormat/>
    <w:uiPriority w:val="0"/>
    <w:pPr>
      <w:ind w:left="360" w:right="360"/>
    </w:pPr>
    <w:rPr>
      <w:rFonts w:ascii="Times New Roman" w:hAnsi="Times New Roman" w:eastAsia="宋体"/>
    </w:rPr>
  </w:style>
  <w:style w:type="character" w:customStyle="1" w:styleId="71">
    <w:name w:val="NormalCharacter"/>
    <w:qFormat/>
    <w:uiPriority w:val="0"/>
    <w:rPr>
      <w:rFonts w:ascii="Times New Roman" w:hAnsi="Times New Roman" w:eastAsia="宋体" w:cs="Times New Roman"/>
    </w:rPr>
  </w:style>
  <w:style w:type="paragraph" w:customStyle="1" w:styleId="72">
    <w:name w:val="标"/>
    <w:basedOn w:val="1"/>
    <w:next w:val="5"/>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3">
    <w:name w:val="CM16"/>
    <w:basedOn w:val="37"/>
    <w:next w:val="37"/>
    <w:qFormat/>
    <w:uiPriority w:val="99"/>
    <w:pPr>
      <w:spacing w:line="478" w:lineRule="atLeast"/>
    </w:pPr>
    <w:rPr>
      <w:rFonts w:hAnsi="等线" w:cs="Times New Roman"/>
      <w:color w:val="auto"/>
    </w:rPr>
  </w:style>
  <w:style w:type="paragraph" w:customStyle="1" w:styleId="74">
    <w:name w:val="CM52"/>
    <w:basedOn w:val="37"/>
    <w:next w:val="37"/>
    <w:qFormat/>
    <w:uiPriority w:val="99"/>
    <w:pPr>
      <w:spacing w:line="480" w:lineRule="atLeast"/>
    </w:pPr>
    <w:rPr>
      <w:rFonts w:hAnsi="等线" w:cs="Times New Roman"/>
      <w:color w:val="auto"/>
    </w:rPr>
  </w:style>
  <w:style w:type="character" w:customStyle="1" w:styleId="75">
    <w:name w:val="font41"/>
    <w:qFormat/>
    <w:uiPriority w:val="0"/>
    <w:rPr>
      <w:rFonts w:hint="eastAsia" w:ascii="宋体" w:hAnsi="宋体" w:eastAsia="宋体" w:cs="宋体"/>
      <w:color w:val="000000"/>
      <w:sz w:val="18"/>
      <w:szCs w:val="18"/>
      <w:u w:val="none"/>
    </w:rPr>
  </w:style>
  <w:style w:type="paragraph" w:customStyle="1" w:styleId="76">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89</Pages>
  <Words>39245</Words>
  <Characters>41006</Characters>
  <Lines>260</Lines>
  <Paragraphs>73</Paragraphs>
  <TotalTime>18</TotalTime>
  <ScaleCrop>false</ScaleCrop>
  <LinksUpToDate>false</LinksUpToDate>
  <CharactersWithSpaces>43485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2018-03-26T03:41:00Z</dcterms:created>
  <dc:creator>Administrator</dc:creator>
  <cp:lastModifiedBy>WPS_1476620895</cp:lastModifiedBy>
  <cp:lastPrinted>2019-11-13T09:11:00Z</cp:lastPrinted>
  <dcterms:modified xsi:type="dcterms:W3CDTF">2021-10-21T08:56:00Z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6AF600345390469A8CB6BEAA7A4DF54C</vt:lpwstr>
  </property>
</Properties>
</file>