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4" w:rightChars="-39" w:firstLine="843" w:firstLineChars="300"/>
        <w:jc w:val="right"/>
        <w:rPr>
          <w:rFonts w:hint="eastAsia" w:ascii="宋体" w:hAnsi="宋体" w:eastAsia="宋体" w:cs="宋体"/>
          <w:b/>
          <w:color w:val="auto"/>
          <w:sz w:val="28"/>
          <w:szCs w:val="28"/>
          <w:highlight w:val="none"/>
          <w:lang w:val="en-US" w:eastAsia="zh-CN"/>
        </w:rPr>
      </w:pPr>
      <w:bookmarkStart w:id="0" w:name="_Toc22578"/>
      <w:bookmarkStart w:id="1" w:name="_Toc2592"/>
      <w:bookmarkStart w:id="2" w:name="_Toc23082"/>
      <w:bookmarkStart w:id="3" w:name="_Toc30413"/>
      <w:bookmarkStart w:id="4" w:name="_Toc26888"/>
      <w:bookmarkStart w:id="5" w:name="_Toc14001"/>
      <w:bookmarkStart w:id="6" w:name="_Toc16603"/>
      <w:bookmarkStart w:id="7" w:name="_Toc29736"/>
      <w:bookmarkStart w:id="8" w:name="_Toc16416"/>
      <w:bookmarkStart w:id="9" w:name="_Toc18604"/>
      <w:bookmarkStart w:id="10" w:name="_Toc517422487"/>
      <w:bookmarkStart w:id="11" w:name="_Toc517423515"/>
      <w:bookmarkStart w:id="12" w:name="_Toc358"/>
      <w:bookmarkStart w:id="13" w:name="_Toc9438763"/>
      <w:bookmarkStart w:id="14" w:name="_Toc26778"/>
      <w:bookmarkStart w:id="15" w:name="OLE_LINK18"/>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val="en-US" w:eastAsia="zh-CN"/>
        </w:rPr>
        <w:t>510182202100293</w:t>
      </w:r>
      <w:r>
        <w:rPr>
          <w:rFonts w:hint="eastAsia" w:ascii="宋体" w:hAnsi="宋体" w:eastAsia="宋体" w:cs="宋体"/>
          <w:b/>
          <w:color w:val="auto"/>
          <w:sz w:val="28"/>
          <w:szCs w:val="28"/>
          <w:highlight w:val="none"/>
          <w:lang w:val="zh-CN" w:eastAsia="en-US"/>
        </w:rPr>
        <w:t xml:space="preserve"> </w:t>
      </w:r>
    </w:p>
    <w:p>
      <w:pPr>
        <w:spacing w:line="240" w:lineRule="auto"/>
        <w:ind w:right="-94" w:rightChars="-39" w:firstLine="0" w:firstLineChars="0"/>
        <w:jc w:val="center"/>
        <w:rPr>
          <w:rFonts w:hint="eastAsia" w:ascii="宋体" w:hAnsi="宋体" w:eastAsia="宋体" w:cs="宋体"/>
          <w:b/>
          <w:color w:val="auto"/>
          <w:sz w:val="52"/>
          <w:szCs w:val="52"/>
          <w:highlight w:val="none"/>
          <w:lang w:val="en-US" w:eastAsia="zh-CN"/>
        </w:rPr>
      </w:pPr>
      <w:r>
        <w:rPr>
          <w:rFonts w:hint="eastAsia" w:cs="宋体"/>
          <w:b/>
          <w:color w:val="auto"/>
          <w:sz w:val="52"/>
          <w:szCs w:val="52"/>
          <w:highlight w:val="none"/>
          <w:lang w:val="en-US" w:eastAsia="zh-CN"/>
        </w:rPr>
        <w:t>彭州市人民医院中央空调清洗和维修保养服务采购项目（第二次）</w:t>
      </w:r>
    </w:p>
    <w:p>
      <w:pPr>
        <w:pStyle w:val="2"/>
        <w:ind w:left="0" w:leftChars="0" w:firstLine="0" w:firstLineChars="0"/>
        <w:jc w:val="center"/>
        <w:rPr>
          <w:rFonts w:hint="default" w:eastAsia="宋体"/>
          <w:lang w:val="en-US" w:eastAsia="zh-CN"/>
        </w:rPr>
      </w:pPr>
      <w:r>
        <w:rPr>
          <w:rFonts w:hint="eastAsia" w:ascii="宋体" w:hAnsi="宋体" w:eastAsia="宋体" w:cs="宋体"/>
          <w:b/>
          <w:color w:val="auto"/>
          <w:sz w:val="52"/>
          <w:szCs w:val="52"/>
          <w:highlight w:val="none"/>
          <w:lang w:val="en-US" w:eastAsia="zh-CN"/>
        </w:rPr>
        <w:t>02包</w:t>
      </w:r>
    </w:p>
    <w:p>
      <w:pPr>
        <w:spacing w:line="240" w:lineRule="auto"/>
        <w:ind w:right="-94" w:rightChars="-39" w:firstLine="0" w:firstLineChars="0"/>
        <w:jc w:val="center"/>
        <w:rPr>
          <w:rFonts w:hint="eastAsia" w:ascii="宋体" w:hAnsi="宋体" w:eastAsia="宋体" w:cs="宋体"/>
          <w:b/>
          <w:color w:val="auto"/>
          <w:sz w:val="52"/>
          <w:szCs w:val="52"/>
          <w:highlight w:val="none"/>
        </w:rPr>
      </w:pP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争</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性</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磋</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商</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文</w:t>
      </w:r>
    </w:p>
    <w:p>
      <w:pPr>
        <w:spacing w:line="240" w:lineRule="auto"/>
        <w:ind w:right="-94" w:rightChars="-39" w:firstLine="0" w:firstLineChars="0"/>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件</w:t>
      </w:r>
    </w:p>
    <w:p>
      <w:pPr>
        <w:pStyle w:val="29"/>
        <w:spacing w:after="0" w:line="360" w:lineRule="auto"/>
        <w:ind w:right="-94" w:rightChars="-39" w:firstLine="0" w:firstLineChars="0"/>
        <w:rPr>
          <w:rFonts w:hint="eastAsia" w:ascii="宋体" w:hAnsi="宋体" w:eastAsia="宋体" w:cs="宋体"/>
          <w:color w:val="auto"/>
          <w:highlight w:val="none"/>
        </w:rPr>
      </w:pPr>
    </w:p>
    <w:p>
      <w:pPr>
        <w:pStyle w:val="29"/>
        <w:spacing w:after="0" w:line="360" w:lineRule="auto"/>
        <w:ind w:right="-94" w:rightChars="-39" w:firstLine="0" w:firstLineChars="0"/>
        <w:rPr>
          <w:rFonts w:hint="eastAsia" w:ascii="宋体" w:hAnsi="宋体" w:eastAsia="宋体" w:cs="宋体"/>
          <w:color w:val="auto"/>
          <w:highlight w:val="none"/>
        </w:rPr>
      </w:pPr>
    </w:p>
    <w:p>
      <w:pPr>
        <w:spacing w:line="360" w:lineRule="auto"/>
        <w:ind w:right="-94" w:rightChars="-39" w:firstLine="0"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p>
    <w:p>
      <w:pPr>
        <w:spacing w:line="360" w:lineRule="auto"/>
        <w:ind w:right="-94" w:rightChars="-39" w:firstLine="0" w:firstLineChars="0"/>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彭州市人民医院</w:t>
      </w:r>
    </w:p>
    <w:p>
      <w:pPr>
        <w:spacing w:line="360" w:lineRule="auto"/>
        <w:ind w:right="-94" w:rightChars="-39"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w:t>
      </w:r>
      <w:r>
        <w:rPr>
          <w:rFonts w:hint="eastAsia" w:ascii="宋体" w:hAnsi="宋体" w:eastAsia="宋体" w:cs="宋体"/>
          <w:b/>
          <w:color w:val="auto"/>
          <w:sz w:val="32"/>
          <w:szCs w:val="32"/>
          <w:highlight w:val="none"/>
        </w:rPr>
        <w:t>四川至善工程项目管理有限公司</w:t>
      </w:r>
    </w:p>
    <w:p>
      <w:pPr>
        <w:spacing w:line="360" w:lineRule="auto"/>
        <w:ind w:right="-94" w:rightChars="-39" w:firstLine="0" w:firstLineChars="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（共同编制）</w:t>
      </w:r>
    </w:p>
    <w:p>
      <w:pPr>
        <w:spacing w:line="360" w:lineRule="auto"/>
        <w:ind w:right="-94" w:rightChars="-39" w:firstLine="0" w:firstLineChars="0"/>
        <w:jc w:val="center"/>
        <w:rPr>
          <w:rFonts w:hint="eastAsia" w:ascii="宋体" w:hAnsi="宋体" w:eastAsia="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560" w:header="1272" w:footer="992" w:gutter="0"/>
          <w:pgNumType w:start="1"/>
          <w:cols w:space="720" w:num="1"/>
          <w:docGrid w:linePitch="326" w:charSpace="0"/>
        </w:sectPr>
      </w:pPr>
      <w:r>
        <w:rPr>
          <w:rFonts w:hint="eastAsia" w:ascii="宋体" w:hAnsi="宋体" w:eastAsia="宋体" w:cs="宋体"/>
          <w:b/>
          <w:color w:val="auto"/>
          <w:sz w:val="32"/>
          <w:szCs w:val="32"/>
          <w:highlight w:val="none"/>
        </w:rPr>
        <w:t>2021年</w:t>
      </w:r>
      <w:r>
        <w:rPr>
          <w:rFonts w:hint="eastAsia" w:ascii="宋体" w:hAnsi="宋体" w:eastAsia="宋体" w:cs="宋体"/>
          <w:b/>
          <w:color w:val="auto"/>
          <w:sz w:val="32"/>
          <w:szCs w:val="32"/>
          <w:highlight w:val="none"/>
          <w:lang w:val="en-US" w:eastAsia="zh-CN"/>
        </w:rPr>
        <w:t>11</w:t>
      </w:r>
      <w:r>
        <w:rPr>
          <w:rFonts w:hint="eastAsia" w:ascii="宋体" w:hAnsi="宋体" w:eastAsia="宋体" w:cs="宋体"/>
          <w:b/>
          <w:color w:val="auto"/>
          <w:sz w:val="32"/>
          <w:szCs w:val="32"/>
          <w:highlight w:val="none"/>
        </w:rPr>
        <w:t>月</w:t>
      </w:r>
    </w:p>
    <w:p>
      <w:pPr>
        <w:pStyle w:val="42"/>
        <w:spacing w:line="360" w:lineRule="auto"/>
        <w:rPr>
          <w:rFonts w:hint="eastAsia" w:ascii="宋体" w:hAnsi="宋体" w:eastAsia="宋体" w:cs="宋体"/>
          <w:color w:val="auto"/>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xml:space="preserve">每家单位限 1 人参加本次磋商采购活动（建议为参加本项目采购活动的法定代表人（负责人）或授权代表），请参加本次磋商采购活动的人员做好相关疫情防控措施（戴好口罩，做好个人卫生、消毒等工作），自觉接受体温检测、磋商地点相关的防疫管控管理规定等。 </w:t>
      </w: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b/>
          <w:color w:val="auto"/>
          <w:szCs w:val="24"/>
          <w:highlight w:val="none"/>
        </w:rPr>
      </w:pPr>
    </w:p>
    <w:p>
      <w:pPr>
        <w:widowControl/>
        <w:spacing w:line="360" w:lineRule="auto"/>
        <w:ind w:firstLine="482"/>
        <w:jc w:val="left"/>
        <w:rPr>
          <w:rFonts w:hint="eastAsia" w:ascii="宋体" w:hAnsi="宋体" w:eastAsia="宋体" w:cs="宋体"/>
          <w:color w:val="auto"/>
          <w:szCs w:val="24"/>
          <w:highlight w:val="none"/>
        </w:rPr>
      </w:pPr>
      <w:r>
        <w:rPr>
          <w:rFonts w:hint="eastAsia" w:ascii="宋体" w:hAnsi="宋体" w:eastAsia="宋体" w:cs="宋体"/>
          <w:b/>
          <w:color w:val="auto"/>
          <w:szCs w:val="24"/>
          <w:highlight w:val="none"/>
        </w:rPr>
        <w:t>温馨提示</w:t>
      </w:r>
      <w:r>
        <w:rPr>
          <w:rFonts w:hint="eastAsia" w:ascii="宋体" w:hAnsi="宋体" w:eastAsia="宋体" w:cs="宋体"/>
          <w:color w:val="auto"/>
          <w:szCs w:val="24"/>
          <w:highlight w:val="none"/>
        </w:rPr>
        <w:t xml:space="preserve">： </w:t>
      </w:r>
    </w:p>
    <w:p>
      <w:pPr>
        <w:widowControl/>
        <w:spacing w:line="360" w:lineRule="auto"/>
        <w:ind w:firstLine="240" w:firstLineChars="1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①因磋商场所的疫情检查，建议参加现场采购活动的人员提前到场，留足时间。 </w:t>
      </w:r>
    </w:p>
    <w:p>
      <w:pPr>
        <w:widowControl/>
        <w:spacing w:line="360" w:lineRule="auto"/>
        <w:ind w:firstLine="240" w:firstLineChars="1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对于现场参加采购活动的人员须携带居民身份证，应按《四川省应对新型冠状病毒肺炎疫情应急指挥部》的要求。来自重点疫区、体温过高等，而不能进入响应文件递交地点，不能在响应文件递交截止前将响应文件递交的，其责任自负。</w:t>
      </w:r>
    </w:p>
    <w:p>
      <w:pPr>
        <w:spacing w:line="360" w:lineRule="auto"/>
        <w:ind w:firstLine="0" w:firstLineChars="0"/>
        <w:jc w:val="center"/>
        <w:rPr>
          <w:rFonts w:hint="eastAsia" w:ascii="宋体" w:hAnsi="宋体" w:eastAsia="宋体" w:cs="宋体"/>
          <w:color w:val="auto"/>
          <w:sz w:val="21"/>
          <w:highlight w:val="none"/>
        </w:rPr>
        <w:sectPr>
          <w:headerReference r:id="rId11" w:type="default"/>
          <w:footerReference r:id="rId12" w:type="default"/>
          <w:pgSz w:w="11906" w:h="16838"/>
          <w:pgMar w:top="1417" w:right="1800" w:bottom="1417" w:left="1800" w:header="567" w:footer="788" w:gutter="0"/>
          <w:pgNumType w:start="1"/>
          <w:cols w:space="0" w:num="1"/>
          <w:docGrid w:linePitch="326" w:charSpace="0"/>
        </w:sectPr>
      </w:pPr>
    </w:p>
    <w:sdt>
      <w:sdtPr>
        <w:rPr>
          <w:rFonts w:hint="eastAsia" w:ascii="宋体" w:hAnsi="宋体" w:eastAsia="宋体" w:cs="宋体"/>
          <w:b/>
          <w:bCs/>
          <w:color w:val="auto"/>
          <w:kern w:val="44"/>
          <w:sz w:val="21"/>
          <w:szCs w:val="44"/>
          <w:highlight w:val="none"/>
          <w:lang w:val="zh-CN"/>
        </w:rPr>
        <w:id w:val="147476025"/>
        <w:docPartObj>
          <w:docPartGallery w:val="Table of Contents"/>
          <w:docPartUnique/>
        </w:docPartObj>
      </w:sdtPr>
      <w:sdtEndPr>
        <w:rPr>
          <w:rFonts w:hint="eastAsia" w:ascii="宋体" w:hAnsi="宋体" w:eastAsia="宋体" w:cs="宋体"/>
          <w:b/>
          <w:bCs/>
          <w:color w:val="auto"/>
          <w:kern w:val="44"/>
          <w:sz w:val="28"/>
          <w:szCs w:val="28"/>
          <w:highlight w:val="none"/>
          <w:lang w:val="zh-CN"/>
        </w:rPr>
      </w:sdtEndPr>
      <w:sdtContent>
        <w:p>
          <w:pPr>
            <w:spacing w:line="360" w:lineRule="auto"/>
            <w:ind w:firstLine="0" w:firstLineChars="0"/>
            <w:jc w:val="center"/>
            <w:rPr>
              <w:rFonts w:hint="eastAsia" w:ascii="宋体" w:hAnsi="宋体" w:eastAsia="宋体" w:cs="宋体"/>
              <w:b/>
              <w:bCs/>
              <w:color w:val="auto"/>
              <w:sz w:val="32"/>
              <w:szCs w:val="32"/>
              <w:highlight w:val="none"/>
            </w:rPr>
          </w:pPr>
          <w:bookmarkStart w:id="16" w:name="_Toc22830"/>
          <w:bookmarkStart w:id="17" w:name="_Toc12113"/>
          <w:bookmarkStart w:id="18" w:name="_Toc26784"/>
          <w:bookmarkStart w:id="19" w:name="_Toc21263"/>
          <w:bookmarkStart w:id="20" w:name="_Toc18296"/>
          <w:bookmarkStart w:id="21" w:name="_Toc501712459"/>
          <w:bookmarkStart w:id="22" w:name="_Toc517422438"/>
          <w:bookmarkStart w:id="23" w:name="_Toc4122"/>
          <w:bookmarkStart w:id="24" w:name="_Toc28627"/>
          <w:bookmarkStart w:id="25" w:name="_Toc517423466"/>
          <w:bookmarkStart w:id="26" w:name="_Toc13002"/>
          <w:bookmarkStart w:id="27" w:name="_Toc26090"/>
          <w:bookmarkStart w:id="28" w:name="_Toc24096"/>
          <w:bookmarkStart w:id="29" w:name="_Toc4863"/>
          <w:bookmarkStart w:id="30" w:name="_Toc26330"/>
          <w:bookmarkStart w:id="31" w:name="_Toc448558685"/>
          <w:bookmarkStart w:id="32" w:name="_Toc8904"/>
          <w:bookmarkStart w:id="33" w:name="_Toc9438759"/>
          <w:r>
            <w:rPr>
              <w:rFonts w:hint="eastAsia" w:ascii="宋体" w:hAnsi="宋体" w:eastAsia="宋体" w:cs="宋体"/>
              <w:b/>
              <w:bCs/>
              <w:color w:val="auto"/>
              <w:sz w:val="32"/>
              <w:szCs w:val="32"/>
              <w:highlight w:val="none"/>
            </w:rPr>
            <w:t>目 录</w:t>
          </w:r>
        </w:p>
        <w:p>
          <w:pPr>
            <w:pStyle w:val="23"/>
            <w:tabs>
              <w:tab w:val="right" w:leader="dot" w:pos="8306"/>
            </w:tabs>
            <w:spacing w:line="360" w:lineRule="auto"/>
            <w:ind w:firstLine="700" w:firstLineChars="2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"_Toc9981"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  竞争性磋商邀请</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_Toc9981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  供应商须知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_Toc2263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  供应商资格条件要求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2</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"_Toc14406"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  供应商资格条件材料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3</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  采购项目技术、服务及其他商务要求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"_Toc25675"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  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5</w:t>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"_Toc17578"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eastAsia="宋体" w:cs="宋体"/>
              <w:bCs/>
              <w:color w:val="auto"/>
              <w:sz w:val="28"/>
              <w:szCs w:val="28"/>
              <w:highlight w:val="none"/>
            </w:rPr>
            <w:t>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_Toc17578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3"/>
            <w:tabs>
              <w:tab w:val="right" w:leader="dot" w:pos="8306"/>
            </w:tabs>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"_Toc31962"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第八章  </w:t>
          </w:r>
          <w:r>
            <w:rPr>
              <w:rFonts w:hint="eastAsia" w:ascii="宋体" w:hAnsi="宋体" w:eastAsia="宋体" w:cs="宋体"/>
              <w:bCs/>
              <w:color w:val="auto"/>
              <w:sz w:val="28"/>
              <w:szCs w:val="28"/>
              <w:highlight w:val="none"/>
            </w:rPr>
            <w:t>采购合同（样例）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1</w:t>
          </w:r>
        </w:p>
        <w:p>
          <w:pPr>
            <w:pStyle w:val="3"/>
            <w:spacing w:before="0" w:afterLines="50" w:line="360" w:lineRule="auto"/>
            <w:ind w:right="-94" w:rightChars="-39"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sdtContent>
    </w:sdt>
    <w:p>
      <w:pPr>
        <w:pStyle w:val="3"/>
        <w:spacing w:before="0" w:afterLines="50" w:line="360" w:lineRule="auto"/>
        <w:ind w:right="-94" w:rightChars="-39" w:firstLine="723" w:firstLineChars="200"/>
        <w:rPr>
          <w:rFonts w:hint="eastAsia" w:ascii="宋体" w:hAnsi="宋体" w:eastAsia="宋体" w:cs="宋体"/>
          <w:color w:val="auto"/>
          <w:highlight w:val="none"/>
        </w:rPr>
        <w:sectPr>
          <w:headerReference r:id="rId13" w:type="default"/>
          <w:pgSz w:w="11906" w:h="16838"/>
          <w:pgMar w:top="1417" w:right="1800" w:bottom="1417" w:left="1800" w:header="567" w:footer="788" w:gutter="0"/>
          <w:cols w:space="0" w:num="1"/>
          <w:docGrid w:linePitch="326" w:charSpace="0"/>
        </w:sectPr>
      </w:pPr>
      <w:bookmarkStart w:id="34" w:name="_Toc9981"/>
      <w:bookmarkStart w:id="35" w:name="_Toc12006354"/>
    </w:p>
    <w:p>
      <w:pPr>
        <w:pStyle w:val="3"/>
        <w:spacing w:before="0" w:afterLines="50" w:line="360" w:lineRule="auto"/>
        <w:ind w:right="-94" w:rightChars="-39" w:firstLine="723" w:firstLineChars="200"/>
        <w:rPr>
          <w:rFonts w:hint="eastAsia" w:ascii="宋体" w:hAnsi="宋体" w:eastAsia="宋体" w:cs="宋体"/>
          <w:color w:val="auto"/>
          <w:highlight w:val="none"/>
        </w:rPr>
      </w:pPr>
      <w:r>
        <w:rPr>
          <w:rFonts w:hint="eastAsia" w:ascii="宋体" w:hAnsi="宋体" w:eastAsia="宋体" w:cs="宋体"/>
          <w:color w:val="auto"/>
          <w:highlight w:val="none"/>
        </w:rPr>
        <w:t>第一章  竞争性磋商邀请</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360" w:lineRule="auto"/>
        <w:ind w:right="-94" w:rightChars="-39" w:firstLine="482"/>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四川至善工程项目管理有限公司</w:t>
      </w:r>
      <w:r>
        <w:rPr>
          <w:rFonts w:hint="eastAsia" w:ascii="宋体" w:hAnsi="宋体" w:eastAsia="宋体" w:cs="宋体"/>
          <w:b/>
          <w:bCs/>
          <w:color w:val="auto"/>
          <w:highlight w:val="none"/>
          <w:lang w:val="zh-CN"/>
        </w:rPr>
        <w:t>受</w:t>
      </w:r>
      <w:r>
        <w:rPr>
          <w:rFonts w:hint="eastAsia" w:ascii="宋体" w:hAnsi="宋体" w:eastAsia="宋体" w:cs="宋体"/>
          <w:b/>
          <w:bCs/>
          <w:color w:val="auto"/>
          <w:highlight w:val="none"/>
          <w:u w:val="single"/>
          <w:lang w:eastAsia="zh-CN"/>
        </w:rPr>
        <w:t>彭州市人民医院</w:t>
      </w:r>
      <w:r>
        <w:rPr>
          <w:rFonts w:hint="eastAsia" w:ascii="宋体" w:hAnsi="宋体" w:eastAsia="宋体" w:cs="宋体"/>
          <w:b/>
          <w:bCs/>
          <w:color w:val="auto"/>
          <w:highlight w:val="none"/>
          <w:lang w:val="zh-CN"/>
        </w:rPr>
        <w:t>委托，拟对</w:t>
      </w:r>
      <w:r>
        <w:rPr>
          <w:rFonts w:hint="eastAsia" w:ascii="宋体" w:hAnsi="宋体" w:eastAsia="宋体" w:cs="宋体"/>
          <w:b/>
          <w:bCs/>
          <w:color w:val="auto"/>
          <w:highlight w:val="none"/>
          <w:u w:val="single"/>
          <w:lang w:val="zh-CN"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color w:val="auto"/>
          <w:highlight w:val="none"/>
          <w:u w:val="single"/>
          <w:lang w:val="zh-CN"/>
        </w:rPr>
        <w:instrText xml:space="preserve">ADDIN CNKISM.UserStyle</w:instrText>
      </w:r>
      <w:r>
        <w:rPr>
          <w:rFonts w:hint="eastAsia" w:ascii="宋体" w:hAnsi="宋体" w:eastAsia="宋体" w:cs="宋体"/>
          <w:b/>
          <w:bCs/>
          <w:color w:val="auto"/>
          <w:highlight w:val="none"/>
          <w:u w:val="single"/>
          <w:lang w:val="zh-CN" w:eastAsia="en-US"/>
        </w:rPr>
        <w:fldChar w:fldCharType="end"/>
      </w:r>
      <w:r>
        <w:rPr>
          <w:rFonts w:hint="eastAsia" w:cs="宋体"/>
          <w:b/>
          <w:bCs/>
          <w:color w:val="auto"/>
          <w:highlight w:val="none"/>
          <w:u w:val="single"/>
          <w:lang w:val="zh-CN"/>
        </w:rPr>
        <w:t>彭州市人民医院中央空调清洗和维修保养服务采购项目（第二次）</w:t>
      </w:r>
      <w:r>
        <w:rPr>
          <w:rFonts w:hint="eastAsia" w:ascii="宋体" w:hAnsi="宋体" w:eastAsia="宋体" w:cs="宋体"/>
          <w:color w:val="auto"/>
          <w:highlight w:val="none"/>
          <w:lang w:val="zh-CN"/>
        </w:rPr>
        <w:t>以竞争性磋商方式进行采购，</w:t>
      </w:r>
      <w:r>
        <w:rPr>
          <w:rFonts w:hint="eastAsia" w:ascii="宋体" w:hAnsi="宋体" w:eastAsia="宋体" w:cs="宋体"/>
          <w:color w:val="auto"/>
          <w:highlight w:val="none"/>
        </w:rPr>
        <w:t>特</w:t>
      </w:r>
      <w:r>
        <w:rPr>
          <w:rFonts w:hint="eastAsia" w:ascii="宋体" w:hAnsi="宋体" w:eastAsia="宋体" w:cs="宋体"/>
          <w:color w:val="auto"/>
          <w:szCs w:val="28"/>
          <w:highlight w:val="none"/>
        </w:rPr>
        <w:t>邀请符合本次采购要求的供应商参加</w:t>
      </w:r>
      <w:r>
        <w:rPr>
          <w:rFonts w:hint="eastAsia" w:ascii="宋体" w:hAnsi="宋体" w:eastAsia="宋体" w:cs="宋体"/>
          <w:color w:val="auto"/>
          <w:highlight w:val="none"/>
        </w:rPr>
        <w:t>本项目的竞争性磋商</w:t>
      </w:r>
      <w:r>
        <w:rPr>
          <w:rFonts w:hint="eastAsia" w:ascii="宋体" w:hAnsi="宋体" w:eastAsia="宋体" w:cs="宋体"/>
          <w:color w:val="auto"/>
          <w:szCs w:val="28"/>
          <w:highlight w:val="none"/>
        </w:rPr>
        <w:t>。</w:t>
      </w:r>
    </w:p>
    <w:p>
      <w:pPr>
        <w:spacing w:afterLines="50" w:line="360" w:lineRule="auto"/>
        <w:ind w:right="-94" w:rightChars="-39"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一、采购项目基本情况</w:t>
      </w:r>
    </w:p>
    <w:p>
      <w:pPr>
        <w:spacing w:line="360" w:lineRule="auto"/>
        <w:ind w:right="-94" w:rightChars="-39" w:firstLine="480"/>
        <w:rPr>
          <w:rFonts w:hint="eastAsia" w:ascii="宋体" w:hAnsi="宋体" w:eastAsia="宋体" w:cs="宋体"/>
          <w:bCs/>
          <w:color w:val="auto"/>
          <w:highlight w:val="none"/>
          <w:lang w:val="zh-CN"/>
        </w:rPr>
      </w:pPr>
      <w:r>
        <w:rPr>
          <w:rFonts w:hint="eastAsia" w:ascii="宋体" w:hAnsi="宋体" w:eastAsia="宋体" w:cs="宋体"/>
          <w:bCs/>
          <w:color w:val="auto"/>
          <w:highlight w:val="none"/>
          <w:lang w:val="zh-CN"/>
        </w:rPr>
        <w:t>1.项目编号：</w:t>
      </w:r>
      <w:r>
        <w:rPr>
          <w:rFonts w:hint="eastAsia" w:ascii="宋体" w:hAnsi="宋体" w:eastAsia="宋体" w:cs="宋体"/>
          <w:bCs/>
          <w:color w:val="auto"/>
          <w:highlight w:val="none"/>
          <w:lang w:val="en-US" w:eastAsia="zh-CN"/>
        </w:rPr>
        <w:t>510182202100293</w:t>
      </w:r>
      <w:r>
        <w:rPr>
          <w:rFonts w:hint="eastAsia" w:ascii="宋体" w:hAnsi="宋体" w:eastAsia="宋体" w:cs="宋体"/>
          <w:bCs/>
          <w:color w:val="auto"/>
          <w:highlight w:val="none"/>
          <w:lang w:val="zh-CN" w:eastAsia="en-US"/>
        </w:rPr>
        <w:t xml:space="preserve"> </w:t>
      </w:r>
    </w:p>
    <w:p>
      <w:pPr>
        <w:spacing w:line="360" w:lineRule="auto"/>
        <w:ind w:right="-94" w:rightChars="-39" w:firstLine="480"/>
        <w:rPr>
          <w:rFonts w:hint="eastAsia" w:ascii="宋体" w:hAnsi="宋体" w:eastAsia="宋体" w:cs="宋体"/>
          <w:bCs/>
          <w:color w:val="auto"/>
          <w:highlight w:val="none"/>
          <w:lang w:val="zh-CN"/>
        </w:rPr>
      </w:pPr>
      <w:r>
        <w:rPr>
          <w:rFonts w:hint="eastAsia" w:ascii="宋体" w:hAnsi="宋体" w:eastAsia="宋体" w:cs="宋体"/>
          <w:color w:val="auto"/>
          <w:highlight w:val="none"/>
        </w:rPr>
        <w:t>2.项目名称：</w:t>
      </w:r>
      <w:r>
        <w:rPr>
          <w:rFonts w:hint="eastAsia" w:ascii="宋体" w:hAnsi="宋体" w:eastAsia="宋体" w:cs="宋体"/>
          <w:bCs/>
          <w:color w:val="auto"/>
          <w:highlight w:val="none"/>
          <w:lang w:val="zh-CN"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Cs/>
          <w:color w:val="auto"/>
          <w:highlight w:val="none"/>
          <w:lang w:val="zh-CN"/>
        </w:rPr>
        <w:instrText xml:space="preserve">ADDIN CNKISM.UserStyle</w:instrText>
      </w:r>
      <w:r>
        <w:rPr>
          <w:rFonts w:hint="eastAsia" w:ascii="宋体" w:hAnsi="宋体" w:eastAsia="宋体" w:cs="宋体"/>
          <w:bCs/>
          <w:color w:val="auto"/>
          <w:highlight w:val="none"/>
          <w:lang w:val="zh-CN" w:eastAsia="en-US"/>
        </w:rPr>
        <w:fldChar w:fldCharType="end"/>
      </w:r>
      <w:r>
        <w:rPr>
          <w:rFonts w:hint="eastAsia" w:cs="宋体"/>
          <w:bCs/>
          <w:color w:val="auto"/>
          <w:highlight w:val="none"/>
          <w:lang w:val="zh-CN"/>
        </w:rPr>
        <w:t>彭州市人民医院中央空调清洗和维修保养服务采购项目（第二次）</w:t>
      </w:r>
    </w:p>
    <w:p>
      <w:pPr>
        <w:spacing w:line="360" w:lineRule="auto"/>
        <w:ind w:right="-94" w:rightChars="-39" w:firstLine="480"/>
        <w:rPr>
          <w:rFonts w:hint="eastAsia" w:ascii="宋体" w:hAnsi="宋体" w:eastAsia="宋体" w:cs="宋体"/>
          <w:bCs/>
          <w:color w:val="auto"/>
          <w:highlight w:val="none"/>
          <w:lang w:eastAsia="zh-CN"/>
        </w:rPr>
      </w:pPr>
      <w:r>
        <w:rPr>
          <w:rFonts w:hint="eastAsia" w:ascii="宋体" w:hAnsi="宋体" w:eastAsia="宋体" w:cs="宋体"/>
          <w:color w:val="auto"/>
          <w:highlight w:val="none"/>
        </w:rPr>
        <w:t>3.采购人：</w:t>
      </w:r>
      <w:r>
        <w:rPr>
          <w:rFonts w:hint="eastAsia" w:ascii="宋体" w:hAnsi="宋体" w:eastAsia="宋体" w:cs="宋体"/>
          <w:bCs/>
          <w:color w:val="auto"/>
          <w:highlight w:val="none"/>
          <w:lang w:eastAsia="zh-CN"/>
        </w:rPr>
        <w:t>彭州市人民医院</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4.采购代理机构：四川至善工程项目管理有限公司</w:t>
      </w:r>
    </w:p>
    <w:p>
      <w:pPr>
        <w:spacing w:afterLines="50" w:line="360" w:lineRule="auto"/>
        <w:ind w:right="-94" w:rightChars="-39" w:firstLine="482"/>
        <w:rPr>
          <w:rFonts w:hint="eastAsia" w:ascii="宋体" w:hAnsi="宋体" w:eastAsia="宋体" w:cs="宋体"/>
          <w:color w:val="auto"/>
          <w:szCs w:val="22"/>
          <w:highlight w:val="none"/>
        </w:rPr>
      </w:pPr>
      <w:r>
        <w:rPr>
          <w:rFonts w:hint="eastAsia" w:ascii="宋体" w:hAnsi="宋体" w:eastAsia="宋体" w:cs="宋体"/>
          <w:b/>
          <w:bCs/>
          <w:color w:val="auto"/>
          <w:highlight w:val="none"/>
        </w:rPr>
        <w:t>二、资金情况</w:t>
      </w:r>
    </w:p>
    <w:p>
      <w:pPr>
        <w:spacing w:afterLines="50" w:line="360" w:lineRule="auto"/>
        <w:ind w:right="-94" w:rightChars="-39"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1.资金来源及金额：其他资金。预算金额：02包10万元/年。</w:t>
      </w:r>
    </w:p>
    <w:p>
      <w:pPr>
        <w:spacing w:afterLines="50" w:line="360" w:lineRule="auto"/>
        <w:ind w:right="-94" w:rightChars="-39"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2.服务期限：三年，合同一年一签，一年一审核。</w:t>
      </w:r>
    </w:p>
    <w:p>
      <w:pPr>
        <w:spacing w:afterLines="50" w:line="360" w:lineRule="auto"/>
        <w:ind w:right="-94" w:rightChars="-39" w:firstLine="482"/>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三、采购项目简介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bCs/>
          <w:color w:val="auto"/>
          <w:highlight w:val="none"/>
          <w:lang w:eastAsia="zh-CN"/>
        </w:rPr>
        <w:t>彭州市人民医院</w:t>
      </w:r>
      <w:r>
        <w:rPr>
          <w:rFonts w:hint="eastAsia" w:ascii="宋体" w:hAnsi="宋体" w:eastAsia="宋体" w:cs="宋体"/>
          <w:color w:val="auto"/>
          <w:highlight w:val="none"/>
        </w:rPr>
        <w:t>拟采用竞争性磋商方式</w:t>
      </w:r>
      <w:r>
        <w:rPr>
          <w:rFonts w:hint="eastAsia" w:ascii="宋体" w:hAnsi="宋体" w:eastAsia="宋体" w:cs="宋体"/>
          <w:color w:val="auto"/>
          <w:highlight w:val="none"/>
          <w:lang w:eastAsia="zh-CN"/>
        </w:rPr>
        <w:t>为各包件</w:t>
      </w:r>
      <w:r>
        <w:rPr>
          <w:rFonts w:hint="eastAsia" w:ascii="宋体" w:hAnsi="宋体" w:eastAsia="宋体" w:cs="宋体"/>
          <w:color w:val="auto"/>
          <w:highlight w:val="none"/>
        </w:rPr>
        <w:t>确定一名合法供应商为其提供</w:t>
      </w:r>
      <w:r>
        <w:rPr>
          <w:rFonts w:hint="eastAsia" w:ascii="宋体" w:hAnsi="宋体" w:eastAsia="宋体" w:cs="宋体"/>
          <w:b/>
          <w:bCs/>
          <w:color w:val="auto"/>
          <w:highlight w:val="none"/>
          <w:u w:val="single"/>
          <w:lang w:val="zh-CN" w:eastAsia="en-US"/>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color w:val="auto"/>
          <w:highlight w:val="none"/>
          <w:u w:val="single"/>
          <w:lang w:val="zh-CN"/>
        </w:rPr>
        <w:instrText xml:space="preserve">ADDIN CNKISM.UserStyle</w:instrText>
      </w:r>
      <w:r>
        <w:rPr>
          <w:rFonts w:hint="eastAsia" w:ascii="宋体" w:hAnsi="宋体" w:eastAsia="宋体" w:cs="宋体"/>
          <w:b/>
          <w:bCs/>
          <w:color w:val="auto"/>
          <w:highlight w:val="none"/>
          <w:u w:val="single"/>
          <w:lang w:val="zh-CN" w:eastAsia="en-US"/>
        </w:rPr>
        <w:fldChar w:fldCharType="end"/>
      </w:r>
      <w:r>
        <w:rPr>
          <w:rFonts w:hint="eastAsia" w:cs="宋体"/>
          <w:b/>
          <w:bCs/>
          <w:color w:val="auto"/>
          <w:highlight w:val="none"/>
          <w:u w:val="single"/>
          <w:lang w:val="zh-CN"/>
        </w:rPr>
        <w:t>彭州市人民医院中央空调清洗和维修保养服务采购项目（第二次）</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w:t>
      </w:r>
      <w:r>
        <w:rPr>
          <w:rFonts w:hint="eastAsia" w:ascii="宋体" w:hAnsi="宋体" w:eastAsia="宋体" w:cs="宋体"/>
          <w:b/>
          <w:color w:val="auto"/>
          <w:highlight w:val="none"/>
        </w:rPr>
        <w:t>详见磋商文件第五章）</w:t>
      </w:r>
    </w:p>
    <w:p>
      <w:pPr>
        <w:spacing w:afterLines="50" w:line="360" w:lineRule="auto"/>
        <w:ind w:right="-94" w:rightChars="-39" w:firstLine="482"/>
        <w:rPr>
          <w:rFonts w:hint="eastAsia" w:ascii="宋体" w:hAnsi="宋体" w:eastAsia="宋体" w:cs="宋体"/>
          <w:b/>
          <w:color w:val="auto"/>
          <w:highlight w:val="none"/>
          <w:shd w:val="clear" w:color="FFFFFF" w:fill="D9D9D9"/>
        </w:rPr>
      </w:pPr>
      <w:r>
        <w:rPr>
          <w:rFonts w:hint="eastAsia" w:ascii="宋体" w:hAnsi="宋体" w:eastAsia="宋体" w:cs="宋体"/>
          <w:b/>
          <w:color w:val="auto"/>
          <w:highlight w:val="none"/>
        </w:rPr>
        <w:t>四、供应商邀请方式</w:t>
      </w:r>
    </w:p>
    <w:p>
      <w:pPr>
        <w:spacing w:line="360" w:lineRule="auto"/>
        <w:ind w:right="-94" w:rightChars="-39" w:firstLine="480"/>
        <w:rPr>
          <w:rFonts w:hint="eastAsia" w:ascii="宋体" w:hAnsi="宋体" w:eastAsia="宋体" w:cs="宋体"/>
          <w:bCs/>
          <w:color w:val="auto"/>
          <w:szCs w:val="22"/>
          <w:highlight w:val="none"/>
        </w:rPr>
      </w:pPr>
      <w:r>
        <w:rPr>
          <w:rFonts w:hint="eastAsia" w:ascii="宋体" w:hAnsi="宋体" w:eastAsia="宋体" w:cs="宋体"/>
          <w:bCs/>
          <w:color w:val="auto"/>
          <w:szCs w:val="22"/>
          <w:highlight w:val="none"/>
        </w:rPr>
        <w:t>在</w:t>
      </w:r>
      <w:bookmarkStart w:id="36" w:name="OLE_LINK17"/>
      <w:bookmarkStart w:id="37" w:name="OLE_LINK31"/>
      <w:r>
        <w:rPr>
          <w:rFonts w:hint="eastAsia" w:ascii="宋体" w:hAnsi="宋体" w:eastAsia="宋体" w:cs="宋体"/>
          <w:b w:val="0"/>
          <w:i w:val="0"/>
          <w:caps w:val="0"/>
          <w:color w:val="auto"/>
          <w:spacing w:val="0"/>
          <w:w w:val="100"/>
          <w:sz w:val="24"/>
          <w:szCs w:val="21"/>
          <w:highlight w:val="none"/>
        </w:rPr>
        <w:t>四川政府采购网（http://www.ccgp-sichuan.gov.cn）</w:t>
      </w:r>
      <w:r>
        <w:rPr>
          <w:rFonts w:hint="eastAsia" w:ascii="宋体" w:hAnsi="宋体" w:eastAsia="宋体" w:cs="宋体"/>
          <w:bCs/>
          <w:color w:val="auto"/>
          <w:szCs w:val="22"/>
          <w:highlight w:val="none"/>
        </w:rPr>
        <w:t>上以发布公告形式邀请供应商。</w:t>
      </w:r>
    </w:p>
    <w:p>
      <w:pPr>
        <w:numPr>
          <w:ilvl w:val="0"/>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color w:val="auto"/>
          <w:szCs w:val="22"/>
          <w:highlight w:val="none"/>
        </w:rPr>
        <w:t>五、供应商参加本次采购活动应具备下列</w:t>
      </w:r>
      <w:r>
        <w:rPr>
          <w:rFonts w:hint="eastAsia" w:ascii="宋体" w:hAnsi="宋体" w:eastAsia="宋体" w:cs="宋体"/>
          <w:b/>
          <w:bCs/>
          <w:color w:val="auto"/>
          <w:kern w:val="0"/>
          <w:sz w:val="24"/>
          <w:szCs w:val="22"/>
          <w:highlight w:val="none"/>
        </w:rPr>
        <w:t>资格</w:t>
      </w:r>
      <w:r>
        <w:rPr>
          <w:rFonts w:hint="eastAsia" w:ascii="宋体" w:hAnsi="宋体" w:eastAsia="宋体" w:cs="宋体"/>
          <w:b/>
          <w:color w:val="auto"/>
          <w:szCs w:val="22"/>
          <w:highlight w:val="none"/>
        </w:rPr>
        <w:t>条件</w:t>
      </w:r>
      <w:r>
        <w:rPr>
          <w:rFonts w:hint="eastAsia" w:ascii="宋体" w:hAnsi="宋体" w:eastAsia="宋体" w:cs="宋体"/>
          <w:b/>
          <w:bCs/>
          <w:sz w:val="24"/>
          <w:szCs w:val="24"/>
          <w:lang w:val="en-US" w:eastAsia="zh-CN"/>
        </w:rPr>
        <w:t>（02包）</w:t>
      </w:r>
    </w:p>
    <w:bookmarkEnd w:id="36"/>
    <w:bookmarkEnd w:id="37"/>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（3）有依法缴纳税收和社会保障资金的良好记录</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（4）具有履行合同所必需的设备和专业技术能力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w:t>
      </w:r>
    </w:p>
    <w:p>
      <w:pPr>
        <w:spacing w:line="360" w:lineRule="auto"/>
        <w:ind w:right="-94" w:rightChars="-39"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lang w:eastAsia="zh-CN"/>
        </w:rPr>
        <w:t>参加本项目采购活动的供应商、现任法定代表人在前3年内不得具有行贿犯罪记录。</w:t>
      </w:r>
    </w:p>
    <w:p>
      <w:pPr>
        <w:widowControl/>
        <w:spacing w:line="360" w:lineRule="auto"/>
        <w:ind w:firstLine="241" w:firstLineChars="100"/>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lang w:val="en-US" w:eastAsia="zh-CN"/>
        </w:rPr>
        <w:t>二</w:t>
      </w: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rPr>
        <w:t>落实政府采购政策需满足的资格要求：</w:t>
      </w:r>
    </w:p>
    <w:p>
      <w:pPr>
        <w:spacing w:line="500" w:lineRule="exact"/>
        <w:ind w:firstLine="540" w:firstLineChars="225"/>
        <w:rPr>
          <w:rFonts w:hint="eastAsia" w:ascii="宋体" w:hAnsi="宋体" w:eastAsia="宋体" w:cs="宋体"/>
          <w:sz w:val="24"/>
        </w:rPr>
      </w:pPr>
      <w:r>
        <w:rPr>
          <w:rFonts w:hint="eastAsia" w:ascii="宋体" w:hAnsi="宋体" w:eastAsia="宋体" w:cs="宋体"/>
          <w:sz w:val="24"/>
        </w:rPr>
        <w:t>本项目专门面向中小企业采购(监狱企业、残疾人福利性单位均视同小微企业)，非中小企业参与的将视为无效响应。</w:t>
      </w:r>
    </w:p>
    <w:p>
      <w:pPr>
        <w:widowControl/>
        <w:numPr>
          <w:ilvl w:val="0"/>
          <w:numId w:val="3"/>
        </w:numPr>
        <w:spacing w:line="360" w:lineRule="auto"/>
        <w:ind w:firstLine="241" w:firstLineChars="1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kern w:val="0"/>
          <w:sz w:val="24"/>
          <w:szCs w:val="22"/>
          <w:highlight w:val="none"/>
        </w:rPr>
        <w:t>根据采购项目提出的特殊条件</w:t>
      </w:r>
      <w:r>
        <w:rPr>
          <w:rFonts w:hint="eastAsia" w:ascii="宋体" w:hAnsi="宋体" w:eastAsia="宋体" w:cs="宋体"/>
          <w:color w:val="auto"/>
          <w:kern w:val="0"/>
          <w:sz w:val="24"/>
          <w:szCs w:val="22"/>
          <w:highlight w:val="none"/>
        </w:rPr>
        <w:t>：</w:t>
      </w:r>
      <w:r>
        <w:rPr>
          <w:rFonts w:hint="eastAsia" w:ascii="宋体" w:hAnsi="宋体" w:eastAsia="宋体" w:cs="宋体"/>
          <w:b w:val="0"/>
          <w:bCs w:val="0"/>
          <w:color w:val="auto"/>
          <w:sz w:val="24"/>
          <w:szCs w:val="32"/>
          <w:highlight w:val="none"/>
          <w:lang w:val="en-US" w:eastAsia="zh-CN" w:bidi="ar-SA"/>
        </w:rPr>
        <w:t>无</w:t>
      </w:r>
    </w:p>
    <w:p>
      <w:pPr>
        <w:spacing w:line="500" w:lineRule="exact"/>
        <w:ind w:firstLine="241" w:firstLineChars="100"/>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其他类似效力要求：</w:t>
      </w:r>
    </w:p>
    <w:p>
      <w:pPr>
        <w:widowControl/>
        <w:numPr>
          <w:ilvl w:val="0"/>
          <w:numId w:val="0"/>
        </w:numPr>
        <w:spacing w:line="360" w:lineRule="auto"/>
        <w:ind w:firstLine="480" w:firstLineChars="2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val="0"/>
          <w:bCs w:val="0"/>
          <w:color w:val="auto"/>
          <w:sz w:val="24"/>
          <w:szCs w:val="32"/>
          <w:highlight w:val="none"/>
          <w:lang w:val="en-US" w:eastAsia="zh-CN" w:bidi="ar-SA"/>
        </w:rPr>
        <w:t>授权参加本次采购活动的供应商代表证明材料。</w:t>
      </w:r>
    </w:p>
    <w:p>
      <w:pPr>
        <w:widowControl/>
        <w:spacing w:afterLines="50" w:line="360" w:lineRule="auto"/>
        <w:ind w:right="-94" w:rightChars="-39" w:firstLine="482"/>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六、禁止参加本次采购活动的供应商</w:t>
      </w:r>
    </w:p>
    <w:p>
      <w:pPr>
        <w:widowControl/>
        <w:spacing w:afterLines="50" w:line="360" w:lineRule="auto"/>
        <w:ind w:right="-94" w:rightChars="-39" w:firstLine="480"/>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r>
        <w:rPr>
          <w:rFonts w:hint="eastAsia" w:ascii="宋体" w:hAnsi="宋体" w:eastAsia="宋体" w:cs="宋体"/>
          <w:color w:val="auto"/>
          <w:szCs w:val="24"/>
          <w:highlight w:val="none"/>
          <w:lang w:eastAsia="zh-CN"/>
        </w:rPr>
        <w:t>。</w:t>
      </w:r>
    </w:p>
    <w:p>
      <w:pPr>
        <w:widowControl/>
        <w:spacing w:afterLines="50" w:line="360" w:lineRule="auto"/>
        <w:ind w:right="-94" w:rightChars="-39" w:firstLine="482"/>
        <w:jc w:val="left"/>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七、磋商文件获取方式、时间、</w:t>
      </w:r>
      <w:r>
        <w:rPr>
          <w:rFonts w:hint="eastAsia" w:ascii="宋体" w:hAnsi="宋体" w:eastAsia="宋体" w:cs="宋体"/>
          <w:b/>
          <w:color w:val="auto"/>
          <w:szCs w:val="24"/>
          <w:highlight w:val="none"/>
        </w:rPr>
        <w:t>地点</w:t>
      </w:r>
      <w:r>
        <w:rPr>
          <w:rFonts w:hint="eastAsia" w:ascii="宋体" w:hAnsi="宋体" w:eastAsia="宋体" w:cs="宋体"/>
          <w:b/>
          <w:bCs/>
          <w:color w:val="auto"/>
          <w:szCs w:val="24"/>
          <w:highlight w:val="none"/>
        </w:rPr>
        <w:t>：</w:t>
      </w:r>
    </w:p>
    <w:p>
      <w:pPr>
        <w:widowControl/>
        <w:spacing w:afterLines="50" w:line="360" w:lineRule="auto"/>
        <w:ind w:right="-94" w:rightChars="-39" w:firstLine="491" w:firstLineChars="205"/>
        <w:jc w:val="left"/>
        <w:rPr>
          <w:rFonts w:hint="eastAsia" w:ascii="宋体" w:hAnsi="宋体" w:eastAsia="宋体" w:cs="宋体"/>
          <w:color w:val="auto"/>
          <w:szCs w:val="24"/>
          <w:highlight w:val="none"/>
        </w:rPr>
      </w:pPr>
      <w:r>
        <w:rPr>
          <w:rFonts w:hint="eastAsia" w:ascii="宋体" w:hAnsi="宋体" w:eastAsia="宋体" w:cs="宋体"/>
          <w:color w:val="auto"/>
          <w:highlight w:val="none"/>
          <w:lang w:val="en-US" w:eastAsia="zh-CN"/>
        </w:rPr>
        <w:t>磋商文件自</w:t>
      </w:r>
      <w:r>
        <w:rPr>
          <w:rFonts w:hint="eastAsia" w:ascii="宋体" w:hAnsi="宋体" w:eastAsia="宋体" w:cs="宋体"/>
          <w:color w:val="0000FF"/>
          <w:highlight w:val="none"/>
          <w:lang w:val="en-US" w:eastAsia="zh-CN"/>
        </w:rPr>
        <w:t>2021年</w:t>
      </w:r>
      <w:r>
        <w:rPr>
          <w:rFonts w:hint="eastAsia" w:cs="宋体"/>
          <w:color w:val="0000FF"/>
          <w:highlight w:val="none"/>
          <w:lang w:val="en-US" w:eastAsia="zh-CN"/>
        </w:rPr>
        <w:t>12</w:t>
      </w:r>
      <w:r>
        <w:rPr>
          <w:rFonts w:hint="eastAsia" w:ascii="宋体" w:hAnsi="宋体" w:eastAsia="宋体" w:cs="宋体"/>
          <w:color w:val="0000FF"/>
          <w:highlight w:val="none"/>
          <w:lang w:val="en-US" w:eastAsia="zh-CN"/>
        </w:rPr>
        <w:t xml:space="preserve">月 </w:t>
      </w:r>
      <w:r>
        <w:rPr>
          <w:rFonts w:hint="eastAsia" w:cs="宋体"/>
          <w:color w:val="0000FF"/>
          <w:highlight w:val="none"/>
          <w:lang w:val="en-US" w:eastAsia="zh-CN"/>
        </w:rPr>
        <w:t>6</w:t>
      </w:r>
      <w:r>
        <w:rPr>
          <w:rFonts w:hint="eastAsia" w:ascii="宋体" w:hAnsi="宋体" w:eastAsia="宋体" w:cs="宋体"/>
          <w:color w:val="0000FF"/>
          <w:highlight w:val="none"/>
          <w:lang w:val="en-US" w:eastAsia="zh-CN"/>
        </w:rPr>
        <w:t xml:space="preserve">日至2021年 </w:t>
      </w:r>
      <w:r>
        <w:rPr>
          <w:rFonts w:hint="eastAsia" w:cs="宋体"/>
          <w:color w:val="0000FF"/>
          <w:highlight w:val="none"/>
          <w:lang w:val="en-US" w:eastAsia="zh-CN"/>
        </w:rPr>
        <w:t>12</w:t>
      </w:r>
      <w:r>
        <w:rPr>
          <w:rFonts w:hint="eastAsia" w:ascii="宋体" w:hAnsi="宋体" w:eastAsia="宋体" w:cs="宋体"/>
          <w:color w:val="0000FF"/>
          <w:highlight w:val="none"/>
          <w:lang w:val="en-US" w:eastAsia="zh-CN"/>
        </w:rPr>
        <w:t xml:space="preserve"> 月</w:t>
      </w:r>
      <w:r>
        <w:rPr>
          <w:rFonts w:hint="eastAsia" w:cs="宋体"/>
          <w:color w:val="0000FF"/>
          <w:highlight w:val="none"/>
          <w:lang w:val="en-US" w:eastAsia="zh-CN"/>
        </w:rPr>
        <w:t>13</w:t>
      </w:r>
      <w:r>
        <w:rPr>
          <w:rFonts w:hint="eastAsia" w:ascii="宋体" w:hAnsi="宋体" w:eastAsia="宋体" w:cs="宋体"/>
          <w:color w:val="0000FF"/>
          <w:highlight w:val="none"/>
          <w:lang w:val="en-US" w:eastAsia="zh-CN"/>
        </w:rPr>
        <w:t xml:space="preserve"> 日</w:t>
      </w:r>
      <w:r>
        <w:rPr>
          <w:rFonts w:hint="eastAsia" w:ascii="宋体" w:hAnsi="宋体" w:eastAsia="宋体" w:cs="宋体"/>
          <w:color w:val="auto"/>
          <w:szCs w:val="24"/>
          <w:highlight w:val="none"/>
        </w:rPr>
        <w:t>09:00-12:00，14:00-17:00 (节假日除外)获取。</w:t>
      </w:r>
    </w:p>
    <w:p>
      <w:pPr>
        <w:widowControl/>
        <w:spacing w:afterLines="50" w:line="360" w:lineRule="auto"/>
        <w:ind w:right="-94" w:rightChars="-39" w:firstLine="491" w:firstLineChars="205"/>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供应商从“政府采购云平台”获取采购文件（网址：https://www.zcygov.cn）。登录“政府采购云平台”—项目采购—获取采购文件—申请获取采购文件。 提示： （1）本项目磋商文件免费获取，磋商资格不得转让。（2）供应商只有在“政府采购云平台”完成获取磋商文件申请并下载磋商文件后才视作依法参与本项目。如未在“政府采购云平台”内完成相关流程，引起的无效相应责任自负。（3）本项目报名平台为“政府采购云平台”，供应商参与本项目过程中凡涉及系统操作请详见《供应商政府采购项目电子交易操作指南》（操作指南以“政府采购云平台”网站发布为准）。</w:t>
      </w:r>
    </w:p>
    <w:p>
      <w:pPr>
        <w:widowControl/>
        <w:spacing w:afterLines="50" w:line="360" w:lineRule="auto"/>
        <w:ind w:right="-94" w:rightChars="-39" w:firstLine="482"/>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八、递交响应文件截止时间</w:t>
      </w:r>
      <w:r>
        <w:rPr>
          <w:rFonts w:hint="eastAsia" w:ascii="宋体" w:hAnsi="宋体" w:eastAsia="宋体" w:cs="宋体"/>
          <w:color w:val="auto"/>
          <w:szCs w:val="24"/>
          <w:highlight w:val="none"/>
          <w:lang w:eastAsia="zh-CN"/>
        </w:rPr>
        <w:t>：</w:t>
      </w:r>
      <w:r>
        <w:rPr>
          <w:rFonts w:hint="eastAsia" w:ascii="宋体" w:hAnsi="宋体" w:eastAsia="宋体" w:cs="宋体"/>
          <w:color w:val="0000FF"/>
          <w:szCs w:val="24"/>
          <w:highlight w:val="none"/>
          <w:lang w:eastAsia="zh-CN"/>
        </w:rPr>
        <w:t xml:space="preserve">2021年 </w:t>
      </w:r>
      <w:r>
        <w:rPr>
          <w:rFonts w:hint="eastAsia" w:cs="宋体"/>
          <w:color w:val="0000FF"/>
          <w:szCs w:val="24"/>
          <w:highlight w:val="none"/>
          <w:lang w:val="en-US" w:eastAsia="zh-CN"/>
        </w:rPr>
        <w:t xml:space="preserve">12 </w:t>
      </w:r>
      <w:r>
        <w:rPr>
          <w:rFonts w:hint="eastAsia" w:ascii="宋体" w:hAnsi="宋体" w:eastAsia="宋体" w:cs="宋体"/>
          <w:color w:val="0000FF"/>
          <w:szCs w:val="24"/>
          <w:highlight w:val="none"/>
          <w:lang w:eastAsia="zh-CN"/>
        </w:rPr>
        <w:t>月</w:t>
      </w:r>
      <w:r>
        <w:rPr>
          <w:rFonts w:hint="eastAsia" w:cs="宋体"/>
          <w:color w:val="0000FF"/>
          <w:szCs w:val="24"/>
          <w:highlight w:val="none"/>
          <w:lang w:val="en-US" w:eastAsia="zh-CN"/>
        </w:rPr>
        <w:t>17</w:t>
      </w:r>
      <w:r>
        <w:rPr>
          <w:rFonts w:hint="eastAsia" w:ascii="宋体" w:hAnsi="宋体" w:eastAsia="宋体" w:cs="宋体"/>
          <w:color w:val="0000FF"/>
          <w:szCs w:val="24"/>
          <w:highlight w:val="none"/>
          <w:lang w:val="en-US" w:eastAsia="zh-CN"/>
        </w:rPr>
        <w:t xml:space="preserve"> </w:t>
      </w:r>
      <w:r>
        <w:rPr>
          <w:rFonts w:hint="eastAsia" w:ascii="宋体" w:hAnsi="宋体" w:eastAsia="宋体" w:cs="宋体"/>
          <w:color w:val="0000FF"/>
          <w:szCs w:val="24"/>
          <w:highlight w:val="none"/>
          <w:lang w:eastAsia="zh-CN"/>
        </w:rPr>
        <w:t>日</w:t>
      </w:r>
      <w:r>
        <w:rPr>
          <w:rFonts w:hint="eastAsia" w:ascii="宋体" w:hAnsi="宋体" w:eastAsia="宋体" w:cs="宋体"/>
          <w:color w:val="0000FF"/>
          <w:szCs w:val="24"/>
          <w:highlight w:val="none"/>
          <w:lang w:val="en-US" w:eastAsia="zh-CN"/>
        </w:rPr>
        <w:t>10</w:t>
      </w:r>
      <w:r>
        <w:rPr>
          <w:rFonts w:hint="eastAsia" w:ascii="宋体" w:hAnsi="宋体" w:eastAsia="宋体" w:cs="宋体"/>
          <w:color w:val="0000FF"/>
          <w:szCs w:val="24"/>
          <w:highlight w:val="none"/>
          <w:lang w:eastAsia="zh-CN"/>
        </w:rPr>
        <w:t>:</w:t>
      </w:r>
      <w:r>
        <w:rPr>
          <w:rFonts w:hint="eastAsia" w:ascii="宋体" w:hAnsi="宋体" w:eastAsia="宋体" w:cs="宋体"/>
          <w:color w:val="0000FF"/>
          <w:szCs w:val="24"/>
          <w:highlight w:val="none"/>
          <w:lang w:val="en-US" w:eastAsia="zh-CN"/>
        </w:rPr>
        <w:t>3</w:t>
      </w:r>
      <w:r>
        <w:rPr>
          <w:rFonts w:hint="eastAsia" w:ascii="宋体" w:hAnsi="宋体" w:eastAsia="宋体" w:cs="宋体"/>
          <w:color w:val="auto"/>
          <w:szCs w:val="24"/>
          <w:highlight w:val="none"/>
          <w:lang w:eastAsia="zh-CN"/>
        </w:rPr>
        <w:t>0</w:t>
      </w:r>
      <w:r>
        <w:rPr>
          <w:rFonts w:hint="eastAsia" w:ascii="宋体" w:hAnsi="宋体" w:eastAsia="宋体" w:cs="宋体"/>
          <w:color w:val="auto"/>
          <w:szCs w:val="24"/>
          <w:highlight w:val="none"/>
        </w:rPr>
        <w:t>时(北京时间)。</w:t>
      </w:r>
    </w:p>
    <w:p>
      <w:pPr>
        <w:widowControl/>
        <w:spacing w:afterLines="50" w:line="360" w:lineRule="auto"/>
        <w:ind w:right="-94" w:rightChars="-39" w:firstLine="482"/>
        <w:jc w:val="left"/>
        <w:rPr>
          <w:rFonts w:hint="eastAsia" w:ascii="宋体" w:hAnsi="宋体" w:eastAsia="宋体" w:cs="宋体"/>
          <w:bCs/>
          <w:color w:val="auto"/>
          <w:szCs w:val="24"/>
          <w:highlight w:val="none"/>
        </w:rPr>
      </w:pPr>
      <w:r>
        <w:rPr>
          <w:rFonts w:hint="eastAsia" w:ascii="宋体" w:hAnsi="宋体" w:eastAsia="宋体" w:cs="宋体"/>
          <w:b/>
          <w:bCs/>
          <w:color w:val="auto"/>
          <w:szCs w:val="24"/>
          <w:highlight w:val="none"/>
        </w:rPr>
        <w:t>九、递交响应文件地址：</w:t>
      </w:r>
      <w:r>
        <w:rPr>
          <w:rFonts w:hint="eastAsia" w:ascii="宋体" w:hAnsi="宋体" w:eastAsia="宋体" w:cs="宋体"/>
          <w:bCs/>
          <w:color w:val="auto"/>
          <w:szCs w:val="24"/>
          <w:highlight w:val="none"/>
        </w:rPr>
        <w:t>四川至善工程项目管理有限公司</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成都市</w:t>
      </w:r>
      <w:r>
        <w:rPr>
          <w:rFonts w:hint="eastAsia" w:ascii="宋体" w:hAnsi="宋体" w:eastAsia="宋体" w:cs="宋体"/>
          <w:bCs/>
          <w:color w:val="auto"/>
          <w:szCs w:val="24"/>
          <w:highlight w:val="none"/>
        </w:rPr>
        <w:t>高新西区天目路77号保利新天地12栋2单元821室</w:t>
      </w:r>
      <w:r>
        <w:rPr>
          <w:rFonts w:hint="eastAsia" w:ascii="宋体" w:hAnsi="宋体" w:eastAsia="宋体" w:cs="宋体"/>
          <w:b/>
          <w:color w:val="auto"/>
          <w:szCs w:val="24"/>
          <w:highlight w:val="none"/>
        </w:rPr>
        <w:t>）开标室</w:t>
      </w:r>
      <w:r>
        <w:rPr>
          <w:rFonts w:hint="eastAsia" w:ascii="宋体" w:hAnsi="宋体" w:eastAsia="宋体" w:cs="宋体"/>
          <w:bCs/>
          <w:color w:val="auto"/>
          <w:szCs w:val="24"/>
          <w:highlight w:val="none"/>
        </w:rPr>
        <w:t>。</w:t>
      </w:r>
    </w:p>
    <w:p>
      <w:pPr>
        <w:widowControl/>
        <w:spacing w:afterLines="50" w:line="360" w:lineRule="auto"/>
        <w:ind w:right="-94" w:rightChars="-39" w:firstLine="491" w:firstLineChars="205"/>
        <w:jc w:val="left"/>
        <w:rPr>
          <w:rFonts w:hint="eastAsia" w:ascii="宋体" w:hAnsi="宋体" w:eastAsia="宋体" w:cs="宋体"/>
          <w:b/>
          <w:bCs/>
          <w:color w:val="auto"/>
          <w:szCs w:val="24"/>
          <w:highlight w:val="none"/>
        </w:rPr>
      </w:pPr>
      <w:r>
        <w:rPr>
          <w:rFonts w:hint="eastAsia" w:ascii="宋体" w:hAnsi="宋体" w:eastAsia="宋体" w:cs="宋体"/>
          <w:color w:val="auto"/>
          <w:szCs w:val="24"/>
          <w:highlight w:val="none"/>
        </w:rPr>
        <w:t>响应文件必须在磋商截止时间前送达磋商地点，逾期送达或密封和标注错误的响应文件，四川至善工程项目管理有限公司恕不接收，</w:t>
      </w:r>
      <w:r>
        <w:rPr>
          <w:rFonts w:hint="eastAsia" w:ascii="宋体" w:hAnsi="宋体" w:eastAsia="宋体" w:cs="宋体"/>
          <w:b/>
          <w:bCs/>
          <w:color w:val="auto"/>
          <w:szCs w:val="24"/>
          <w:highlight w:val="none"/>
        </w:rPr>
        <w:t>本次采购不接受邮寄的响应文件。</w:t>
      </w:r>
    </w:p>
    <w:p>
      <w:pPr>
        <w:spacing w:afterLines="50" w:line="360" w:lineRule="auto"/>
        <w:ind w:right="-94" w:rightChars="-39" w:firstLine="482"/>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十、</w:t>
      </w:r>
      <w:r>
        <w:rPr>
          <w:rFonts w:hint="eastAsia" w:ascii="宋体" w:hAnsi="宋体" w:eastAsia="宋体" w:cs="宋体"/>
          <w:b/>
          <w:color w:val="auto"/>
          <w:szCs w:val="24"/>
          <w:highlight w:val="none"/>
        </w:rPr>
        <w:t>响应文件开启时间：</w:t>
      </w:r>
      <w:r>
        <w:rPr>
          <w:rFonts w:hint="eastAsia" w:ascii="宋体" w:hAnsi="宋体" w:eastAsia="宋体" w:cs="宋体"/>
          <w:color w:val="0000FF"/>
          <w:szCs w:val="24"/>
          <w:highlight w:val="none"/>
        </w:rPr>
        <w:t xml:space="preserve">2021年 </w:t>
      </w:r>
      <w:r>
        <w:rPr>
          <w:rFonts w:hint="eastAsia" w:cs="宋体"/>
          <w:color w:val="0000FF"/>
          <w:szCs w:val="24"/>
          <w:highlight w:val="none"/>
          <w:lang w:val="en-US" w:eastAsia="zh-CN"/>
        </w:rPr>
        <w:t>12</w:t>
      </w:r>
      <w:r>
        <w:rPr>
          <w:rFonts w:hint="eastAsia" w:ascii="宋体" w:hAnsi="宋体" w:eastAsia="宋体" w:cs="宋体"/>
          <w:color w:val="0000FF"/>
          <w:szCs w:val="24"/>
          <w:highlight w:val="none"/>
        </w:rPr>
        <w:t xml:space="preserve"> 月</w:t>
      </w:r>
      <w:r>
        <w:rPr>
          <w:rFonts w:hint="eastAsia" w:cs="宋体"/>
          <w:color w:val="0000FF"/>
          <w:szCs w:val="24"/>
          <w:highlight w:val="none"/>
          <w:lang w:val="en-US" w:eastAsia="zh-CN"/>
        </w:rPr>
        <w:t>17</w:t>
      </w:r>
      <w:r>
        <w:rPr>
          <w:rFonts w:hint="eastAsia" w:ascii="宋体" w:hAnsi="宋体" w:eastAsia="宋体" w:cs="宋体"/>
          <w:color w:val="0000FF"/>
          <w:szCs w:val="24"/>
          <w:highlight w:val="none"/>
        </w:rPr>
        <w:t>日1</w:t>
      </w:r>
      <w:r>
        <w:rPr>
          <w:rFonts w:hint="eastAsia" w:ascii="宋体" w:hAnsi="宋体" w:eastAsia="宋体" w:cs="宋体"/>
          <w:color w:val="0000FF"/>
          <w:szCs w:val="24"/>
          <w:highlight w:val="none"/>
          <w:lang w:val="en-US" w:eastAsia="zh-CN"/>
        </w:rPr>
        <w:t>0</w:t>
      </w:r>
      <w:r>
        <w:rPr>
          <w:rFonts w:hint="eastAsia" w:ascii="宋体" w:hAnsi="宋体" w:eastAsia="宋体" w:cs="宋体"/>
          <w:color w:val="0000FF"/>
          <w:szCs w:val="24"/>
          <w:highlight w:val="none"/>
        </w:rPr>
        <w:t>:</w:t>
      </w:r>
      <w:bookmarkStart w:id="840" w:name="_GoBack"/>
      <w:bookmarkEnd w:id="840"/>
      <w:r>
        <w:rPr>
          <w:rFonts w:hint="eastAsia" w:ascii="宋体" w:hAnsi="宋体" w:eastAsia="宋体" w:cs="宋体"/>
          <w:color w:val="0000FF"/>
          <w:szCs w:val="24"/>
          <w:highlight w:val="none"/>
          <w:lang w:val="en-US" w:eastAsia="zh-CN"/>
        </w:rPr>
        <w:t>3</w:t>
      </w:r>
      <w:r>
        <w:rPr>
          <w:rFonts w:hint="eastAsia" w:ascii="宋体" w:hAnsi="宋体" w:eastAsia="宋体" w:cs="宋体"/>
          <w:color w:val="0000FF"/>
          <w:szCs w:val="24"/>
          <w:highlight w:val="none"/>
        </w:rPr>
        <w:t>0时（</w:t>
      </w:r>
      <w:r>
        <w:rPr>
          <w:rFonts w:hint="eastAsia" w:ascii="宋体" w:hAnsi="宋体" w:eastAsia="宋体" w:cs="宋体"/>
          <w:color w:val="auto"/>
          <w:szCs w:val="24"/>
          <w:highlight w:val="none"/>
        </w:rPr>
        <w:t>北京时间）在磋商地点开启。</w:t>
      </w:r>
    </w:p>
    <w:p>
      <w:pPr>
        <w:spacing w:afterLines="50" w:line="360" w:lineRule="auto"/>
        <w:ind w:right="-94" w:rightChars="-39" w:firstLine="489" w:firstLineChars="203"/>
        <w:rPr>
          <w:rFonts w:hint="eastAsia" w:ascii="宋体" w:hAnsi="宋体" w:eastAsia="宋体" w:cs="宋体"/>
          <w:b/>
          <w:bCs w:val="0"/>
          <w:color w:val="auto"/>
          <w:szCs w:val="24"/>
          <w:highlight w:val="none"/>
        </w:rPr>
      </w:pPr>
      <w:r>
        <w:rPr>
          <w:rFonts w:hint="eastAsia" w:ascii="宋体" w:hAnsi="宋体" w:eastAsia="宋体" w:cs="宋体"/>
          <w:b/>
          <w:color w:val="auto"/>
          <w:szCs w:val="24"/>
          <w:highlight w:val="none"/>
        </w:rPr>
        <w:t>十一、磋商地点：</w:t>
      </w:r>
      <w:r>
        <w:rPr>
          <w:rFonts w:hint="eastAsia" w:ascii="宋体" w:hAnsi="宋体" w:eastAsia="宋体" w:cs="宋体"/>
          <w:b/>
          <w:bCs w:val="0"/>
          <w:color w:val="auto"/>
          <w:szCs w:val="24"/>
          <w:highlight w:val="none"/>
        </w:rPr>
        <w:t>四川至善工程项目管理有限公司（</w:t>
      </w:r>
      <w:r>
        <w:rPr>
          <w:rFonts w:hint="eastAsia" w:ascii="宋体" w:hAnsi="宋体" w:eastAsia="宋体" w:cs="宋体"/>
          <w:b/>
          <w:bCs w:val="0"/>
          <w:color w:val="auto"/>
          <w:szCs w:val="24"/>
          <w:highlight w:val="none"/>
          <w:lang w:eastAsia="zh-CN"/>
        </w:rPr>
        <w:t>成都市</w:t>
      </w:r>
      <w:r>
        <w:rPr>
          <w:rFonts w:hint="eastAsia" w:ascii="宋体" w:hAnsi="宋体" w:eastAsia="宋体" w:cs="宋体"/>
          <w:b/>
          <w:bCs w:val="0"/>
          <w:color w:val="auto"/>
          <w:szCs w:val="24"/>
          <w:highlight w:val="none"/>
        </w:rPr>
        <w:t>高新西区天目路77号保利新天地12栋2单元821室）开标室。</w:t>
      </w:r>
    </w:p>
    <w:p>
      <w:pPr>
        <w:widowControl/>
        <w:spacing w:afterLines="50" w:line="360" w:lineRule="auto"/>
        <w:ind w:right="-94" w:rightChars="-39" w:firstLine="482"/>
        <w:jc w:val="left"/>
        <w:rPr>
          <w:rFonts w:hint="eastAsia" w:ascii="宋体" w:hAnsi="宋体" w:eastAsia="宋体" w:cs="宋体"/>
          <w:b/>
          <w:color w:val="auto"/>
          <w:szCs w:val="24"/>
          <w:highlight w:val="none"/>
        </w:rPr>
      </w:pPr>
      <w:r>
        <w:rPr>
          <w:rFonts w:hint="eastAsia" w:ascii="宋体" w:hAnsi="宋体" w:eastAsia="宋体" w:cs="宋体"/>
          <w:b/>
          <w:color w:val="auto"/>
          <w:highlight w:val="none"/>
        </w:rPr>
        <w:t>十二、</w:t>
      </w:r>
      <w:r>
        <w:rPr>
          <w:rFonts w:hint="eastAsia" w:ascii="宋体" w:hAnsi="宋体" w:eastAsia="宋体" w:cs="宋体"/>
          <w:b/>
          <w:color w:val="auto"/>
          <w:szCs w:val="24"/>
          <w:highlight w:val="none"/>
        </w:rPr>
        <w:t>联系方式：</w:t>
      </w:r>
    </w:p>
    <w:p>
      <w:pPr>
        <w:widowControl/>
        <w:spacing w:after="120" w:afterLines="50" w:line="360" w:lineRule="auto"/>
        <w:ind w:right="-94" w:rightChars="-39" w:firstLine="482"/>
        <w:jc w:val="left"/>
        <w:rPr>
          <w:rFonts w:hint="eastAsia"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rPr>
        <w:t>采 购 人：</w:t>
      </w:r>
      <w:r>
        <w:rPr>
          <w:rFonts w:hint="eastAsia" w:ascii="宋体" w:hAnsi="宋体" w:eastAsia="宋体" w:cs="宋体"/>
          <w:b/>
          <w:bCs/>
          <w:color w:val="auto"/>
          <w:szCs w:val="24"/>
          <w:highlight w:val="none"/>
          <w:lang w:eastAsia="zh-CN"/>
        </w:rPr>
        <w:t>彭州市人民医院</w:t>
      </w:r>
    </w:p>
    <w:p>
      <w:pPr>
        <w:tabs>
          <w:tab w:val="left" w:pos="1480"/>
        </w:tabs>
        <w:spacing w:line="360" w:lineRule="auto"/>
        <w:ind w:right="-94" w:rightChars="-39" w:firstLine="480" w:firstLineChars="200"/>
        <w:rPr>
          <w:rFonts w:hint="eastAsia" w:ascii="宋体" w:hAnsi="宋体" w:eastAsia="宋体" w:cs="宋体"/>
          <w:b w:val="0"/>
          <w:bCs w:val="0"/>
          <w:color w:val="auto"/>
          <w:szCs w:val="24"/>
          <w:highlight w:val="none"/>
          <w:u w:val="none"/>
          <w:lang w:eastAsia="zh-CN"/>
        </w:rPr>
      </w:pPr>
      <w:r>
        <w:rPr>
          <w:rFonts w:hint="eastAsia" w:ascii="宋体" w:hAnsi="宋体" w:eastAsia="宋体" w:cs="宋体"/>
          <w:color w:val="auto"/>
          <w:szCs w:val="24"/>
          <w:highlight w:val="none"/>
          <w:u w:val="none"/>
        </w:rPr>
        <w:t>通讯地址：</w:t>
      </w:r>
      <w:r>
        <w:rPr>
          <w:rFonts w:hint="eastAsia" w:ascii="宋体" w:hAnsi="宋体" w:eastAsia="宋体" w:cs="宋体"/>
          <w:b w:val="0"/>
          <w:bCs w:val="0"/>
          <w:color w:val="auto"/>
          <w:szCs w:val="24"/>
          <w:highlight w:val="none"/>
          <w:u w:val="none"/>
          <w:lang w:eastAsia="zh-CN"/>
        </w:rPr>
        <w:t>彭州市致和镇南三环路二段255号</w:t>
      </w:r>
    </w:p>
    <w:p>
      <w:pPr>
        <w:widowControl/>
        <w:spacing w:after="120" w:afterLines="50" w:line="360" w:lineRule="auto"/>
        <w:ind w:right="-94" w:rightChars="-39" w:firstLine="480"/>
        <w:jc w:val="left"/>
        <w:rPr>
          <w:rFonts w:hint="eastAsia" w:ascii="宋体" w:hAnsi="宋体" w:eastAsia="宋体" w:cs="宋体"/>
          <w:color w:val="auto"/>
          <w:szCs w:val="24"/>
          <w:highlight w:val="none"/>
          <w:u w:val="none"/>
          <w:lang w:eastAsia="zh-CN"/>
        </w:rPr>
      </w:pPr>
      <w:r>
        <w:rPr>
          <w:rFonts w:hint="eastAsia" w:ascii="宋体" w:hAnsi="宋体" w:eastAsia="宋体" w:cs="宋体"/>
          <w:color w:val="auto"/>
          <w:szCs w:val="24"/>
          <w:highlight w:val="none"/>
          <w:u w:val="none"/>
        </w:rPr>
        <w:t>联 系 人：</w:t>
      </w:r>
      <w:r>
        <w:rPr>
          <w:rFonts w:hint="eastAsia" w:ascii="宋体" w:hAnsi="宋体" w:eastAsia="宋体" w:cs="宋体"/>
          <w:color w:val="auto"/>
          <w:szCs w:val="24"/>
          <w:highlight w:val="none"/>
          <w:u w:val="none"/>
          <w:lang w:eastAsia="zh-CN"/>
        </w:rPr>
        <w:t>简老师</w:t>
      </w:r>
    </w:p>
    <w:p>
      <w:pPr>
        <w:widowControl/>
        <w:spacing w:after="120" w:afterLines="50" w:line="360" w:lineRule="auto"/>
        <w:ind w:right="-94" w:rightChars="-39" w:firstLine="480"/>
        <w:jc w:val="left"/>
        <w:rPr>
          <w:rFonts w:hint="eastAsia" w:ascii="宋体" w:hAnsi="宋体" w:eastAsia="宋体" w:cs="宋体"/>
          <w:b/>
          <w:bCs/>
          <w:color w:val="auto"/>
          <w:szCs w:val="24"/>
          <w:highlight w:val="none"/>
          <w:u w:val="none"/>
          <w:lang w:val="en-US" w:eastAsia="zh-CN"/>
        </w:rPr>
      </w:pPr>
      <w:r>
        <w:rPr>
          <w:rFonts w:hint="eastAsia" w:ascii="宋体" w:hAnsi="宋体" w:eastAsia="宋体" w:cs="宋体"/>
          <w:color w:val="auto"/>
          <w:szCs w:val="24"/>
          <w:highlight w:val="none"/>
          <w:u w:val="none"/>
        </w:rPr>
        <w:t>联系电话：028-86239786</w:t>
      </w:r>
    </w:p>
    <w:p>
      <w:pPr>
        <w:spacing w:line="500" w:lineRule="exact"/>
        <w:ind w:left="1203" w:leftChars="200" w:hanging="723" w:hangingChars="3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采购代理机构：四川至善工程项目管理有限公司</w:t>
      </w:r>
    </w:p>
    <w:p>
      <w:pPr>
        <w:spacing w:line="500" w:lineRule="exact"/>
        <w:ind w:left="1200" w:leftChars="200" w:hanging="720" w:hangingChars="3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地址：</w:t>
      </w:r>
      <w:r>
        <w:rPr>
          <w:rFonts w:hint="eastAsia" w:ascii="宋体" w:hAnsi="宋体" w:eastAsia="宋体" w:cs="宋体"/>
          <w:bCs/>
          <w:color w:val="auto"/>
          <w:szCs w:val="24"/>
          <w:highlight w:val="none"/>
          <w:lang w:eastAsia="zh-CN"/>
        </w:rPr>
        <w:t>成都市</w:t>
      </w:r>
      <w:r>
        <w:rPr>
          <w:rFonts w:hint="eastAsia" w:ascii="宋体" w:hAnsi="宋体" w:eastAsia="宋体" w:cs="宋体"/>
          <w:bCs/>
          <w:color w:val="auto"/>
          <w:szCs w:val="24"/>
          <w:highlight w:val="none"/>
        </w:rPr>
        <w:t>高新西区天目路77号保利新天地12栋2单元821室（第一办公区）</w:t>
      </w:r>
    </w:p>
    <w:p>
      <w:pPr>
        <w:spacing w:line="500" w:lineRule="exact"/>
        <w:ind w:left="1200" w:leftChars="500" w:firstLine="0" w:firstLineChars="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成都市环球中心S2区9层909室（第二办公区）</w:t>
      </w:r>
    </w:p>
    <w:p>
      <w:pPr>
        <w:spacing w:line="500" w:lineRule="exact"/>
        <w:ind w:left="1200" w:leftChars="200" w:hanging="720" w:hangingChars="3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邮  编：610000</w:t>
      </w:r>
    </w:p>
    <w:p>
      <w:pPr>
        <w:spacing w:line="500" w:lineRule="exact"/>
        <w:ind w:left="1200" w:leftChars="200" w:hanging="720" w:hangingChars="30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联系人：</w:t>
      </w:r>
      <w:bookmarkStart w:id="38" w:name="_Toc20180"/>
      <w:bookmarkStart w:id="39" w:name="_Toc31323"/>
      <w:bookmarkStart w:id="40" w:name="_Toc501712460"/>
      <w:bookmarkStart w:id="41" w:name="_Toc19401"/>
      <w:bookmarkStart w:id="42" w:name="_Toc21958"/>
      <w:bookmarkStart w:id="43" w:name="_Toc517423467"/>
      <w:bookmarkStart w:id="44" w:name="_Toc1206"/>
      <w:bookmarkStart w:id="45" w:name="_Toc32114"/>
      <w:bookmarkStart w:id="46" w:name="_Toc6687"/>
      <w:bookmarkStart w:id="47" w:name="_Toc21665"/>
      <w:bookmarkStart w:id="48" w:name="_Toc9895"/>
      <w:bookmarkStart w:id="49" w:name="_Toc448558686"/>
      <w:bookmarkStart w:id="50" w:name="_Toc2263"/>
      <w:bookmarkStart w:id="51" w:name="_Toc12006355"/>
      <w:bookmarkStart w:id="52" w:name="_Toc19683"/>
      <w:bookmarkStart w:id="53" w:name="_Toc12720"/>
      <w:bookmarkStart w:id="54" w:name="_Toc11159"/>
      <w:bookmarkStart w:id="55" w:name="_Toc517422439"/>
      <w:bookmarkStart w:id="56" w:name="_Toc21409"/>
      <w:bookmarkStart w:id="57" w:name="_Toc9438760"/>
      <w:r>
        <w:rPr>
          <w:rFonts w:hint="eastAsia" w:ascii="宋体" w:hAnsi="宋体" w:eastAsia="宋体" w:cs="宋体"/>
          <w:bCs/>
          <w:color w:val="auto"/>
          <w:szCs w:val="24"/>
          <w:highlight w:val="none"/>
          <w:lang w:eastAsia="zh-CN"/>
        </w:rPr>
        <w:t>汪老师</w:t>
      </w:r>
    </w:p>
    <w:p>
      <w:pPr>
        <w:spacing w:line="500" w:lineRule="exact"/>
        <w:ind w:left="1200" w:leftChars="200" w:hanging="720" w:hangingChars="300"/>
        <w:rPr>
          <w:rFonts w:hint="eastAsia" w:ascii="宋体" w:hAnsi="宋体" w:eastAsia="宋体" w:cs="宋体"/>
          <w:color w:val="auto"/>
          <w:highlight w:val="none"/>
        </w:rPr>
      </w:pPr>
      <w:r>
        <w:rPr>
          <w:rFonts w:hint="eastAsia" w:ascii="宋体" w:hAnsi="宋体" w:eastAsia="宋体" w:cs="宋体"/>
          <w:b w:val="0"/>
          <w:bCs/>
          <w:color w:val="auto"/>
          <w:szCs w:val="24"/>
          <w:highlight w:val="none"/>
        </w:rPr>
        <w:t>联系电话：</w:t>
      </w:r>
      <w:r>
        <w:rPr>
          <w:rFonts w:hint="eastAsia" w:ascii="宋体" w:hAnsi="宋体" w:eastAsia="宋体" w:cs="宋体"/>
          <w:bCs/>
          <w:color w:val="auto"/>
          <w:szCs w:val="24"/>
          <w:highlight w:val="none"/>
        </w:rPr>
        <w:t>028-6874</w:t>
      </w:r>
      <w:r>
        <w:rPr>
          <w:rFonts w:hint="eastAsia" w:ascii="宋体" w:hAnsi="宋体" w:eastAsia="宋体" w:cs="宋体"/>
          <w:color w:val="auto"/>
          <w:highlight w:val="none"/>
        </w:rPr>
        <w:t>2460</w:t>
      </w:r>
    </w:p>
    <w:p>
      <w:pPr>
        <w:spacing w:line="500" w:lineRule="exact"/>
        <w:ind w:left="1200" w:leftChars="200" w:hanging="720" w:hangingChars="300"/>
        <w:rPr>
          <w:rFonts w:hint="eastAsia" w:ascii="宋体" w:hAnsi="宋体" w:eastAsia="宋体" w:cs="宋体"/>
          <w:b w:val="0"/>
          <w:bCs/>
          <w:color w:val="auto"/>
          <w:szCs w:val="2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Lines="5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第二章  供应商须知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4"/>
        <w:keepNext w:val="0"/>
        <w:keepLines w:val="0"/>
        <w:spacing w:before="0" w:after="0" w:line="360" w:lineRule="auto"/>
        <w:ind w:right="-94" w:rightChars="-39"/>
        <w:rPr>
          <w:rFonts w:hint="eastAsia" w:ascii="宋体" w:hAnsi="宋体" w:eastAsia="宋体" w:cs="宋体"/>
          <w:color w:val="auto"/>
          <w:highlight w:val="none"/>
        </w:rPr>
      </w:pPr>
      <w:bookmarkStart w:id="58" w:name="_Toc26084"/>
      <w:bookmarkStart w:id="59" w:name="_Toc33"/>
      <w:bookmarkStart w:id="60" w:name="_Toc31696"/>
      <w:bookmarkStart w:id="61" w:name="_Toc517422440"/>
      <w:bookmarkStart w:id="62" w:name="_Toc18161"/>
      <w:bookmarkStart w:id="63" w:name="_Toc26637"/>
      <w:bookmarkStart w:id="64" w:name="_Toc517423468"/>
      <w:bookmarkStart w:id="65" w:name="_Toc28651"/>
      <w:bookmarkStart w:id="66" w:name="_Toc7919"/>
      <w:bookmarkStart w:id="67" w:name="_Toc5830"/>
      <w:bookmarkStart w:id="68" w:name="_Toc448558687"/>
      <w:bookmarkStart w:id="69" w:name="_Toc9795"/>
      <w:bookmarkStart w:id="70" w:name="_Toc14075"/>
      <w:r>
        <w:rPr>
          <w:rFonts w:hint="eastAsia" w:ascii="宋体" w:hAnsi="宋体" w:eastAsia="宋体" w:cs="宋体"/>
          <w:color w:val="auto"/>
          <w:highlight w:val="none"/>
        </w:rPr>
        <w:t>一、须知附表</w:t>
      </w:r>
      <w:bookmarkEnd w:id="58"/>
      <w:bookmarkEnd w:id="59"/>
      <w:bookmarkEnd w:id="60"/>
      <w:bookmarkEnd w:id="61"/>
      <w:bookmarkEnd w:id="62"/>
      <w:bookmarkEnd w:id="63"/>
      <w:bookmarkEnd w:id="64"/>
      <w:bookmarkEnd w:id="65"/>
      <w:bookmarkEnd w:id="66"/>
      <w:bookmarkEnd w:id="67"/>
      <w:bookmarkEnd w:id="68"/>
      <w:bookmarkEnd w:id="69"/>
      <w:bookmarkEnd w:id="70"/>
    </w:p>
    <w:tbl>
      <w:tblPr>
        <w:tblStyle w:val="30"/>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4"/>
        <w:gridCol w:w="2074"/>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074" w:type="dxa"/>
            <w:tcBorders>
              <w:tl2br w:val="nil"/>
              <w:tr2bl w:val="nil"/>
            </w:tcBorders>
            <w:vAlign w:val="center"/>
          </w:tcPr>
          <w:p>
            <w:pPr>
              <w:pStyle w:val="87"/>
              <w:spacing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条款名称</w:t>
            </w:r>
          </w:p>
        </w:tc>
        <w:tc>
          <w:tcPr>
            <w:tcW w:w="7474" w:type="dxa"/>
            <w:tcBorders>
              <w:tl2br w:val="nil"/>
              <w:tr2bl w:val="nil"/>
            </w:tcBorders>
            <w:vAlign w:val="center"/>
          </w:tcPr>
          <w:p>
            <w:pPr>
              <w:pStyle w:val="87"/>
              <w:spacing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kern w:val="2"/>
                <w:highlight w:val="none"/>
              </w:rPr>
              <w:t>1</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确定邀请磋商的供应商数量和方式</w:t>
            </w:r>
          </w:p>
        </w:tc>
        <w:tc>
          <w:tcPr>
            <w:tcW w:w="7474" w:type="dxa"/>
            <w:tcBorders>
              <w:tl2br w:val="nil"/>
              <w:tr2bl w:val="nil"/>
            </w:tcBorders>
            <w:vAlign w:val="center"/>
          </w:tcPr>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本次磋商的供应商数量：各包件不少于3家。</w:t>
            </w:r>
          </w:p>
          <w:p>
            <w:pPr>
              <w:spacing w:afterLines="50" w:line="360" w:lineRule="auto"/>
              <w:ind w:right="48" w:rightChars="20"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lang w:val="zh-CN"/>
              </w:rPr>
              <w:t>本次采购采取在《四川政府采购网》（http://www.ccgp-sichuan.gov.cn/）上以公告形式发布的方式邀请参加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的供应商</w:t>
            </w:r>
            <w:r>
              <w:rPr>
                <w:rFonts w:hint="eastAsia" w:ascii="宋体" w:hAnsi="宋体" w:eastAsia="宋体" w:cs="宋体"/>
                <w:color w:val="auto"/>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2</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采购预算</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tcPr>
          <w:p>
            <w:pPr>
              <w:spacing w:afterLines="50" w:line="360" w:lineRule="auto"/>
              <w:ind w:right="24" w:rightChars="10" w:firstLine="48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采购预算：</w:t>
            </w:r>
            <w:r>
              <w:rPr>
                <w:rFonts w:hint="eastAsia" w:ascii="宋体" w:hAnsi="宋体" w:eastAsia="宋体" w:cs="宋体"/>
                <w:sz w:val="24"/>
                <w:szCs w:val="24"/>
                <w:lang w:val="en-US" w:eastAsia="zh-CN"/>
              </w:rPr>
              <w:t>02包10万元/年。</w:t>
            </w:r>
          </w:p>
          <w:p>
            <w:pPr>
              <w:spacing w:afterLines="50" w:line="360" w:lineRule="auto"/>
              <w:ind w:right="24" w:rightChars="10"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服务期限：三年，合同一年一签，一年一审核。</w:t>
            </w:r>
          </w:p>
          <w:p>
            <w:pPr>
              <w:pStyle w:val="87"/>
              <w:spacing w:beforeLines="50" w:afterLines="50" w:line="360" w:lineRule="auto"/>
              <w:ind w:right="48" w:rightChars="20" w:firstLine="480" w:firstLineChars="2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3</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最高限价</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vAlign w:val="center"/>
          </w:tcPr>
          <w:p>
            <w:pPr>
              <w:spacing w:afterLines="50" w:line="360" w:lineRule="auto"/>
              <w:ind w:left="0" w:leftChars="0" w:right="24" w:rightChars="1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最高限价：</w:t>
            </w:r>
            <w:r>
              <w:rPr>
                <w:rFonts w:hint="eastAsia" w:ascii="宋体" w:hAnsi="宋体" w:eastAsia="宋体" w:cs="宋体"/>
                <w:sz w:val="24"/>
                <w:szCs w:val="24"/>
                <w:lang w:val="en-US" w:eastAsia="zh-CN"/>
              </w:rPr>
              <w:t>02包10万元/年。</w:t>
            </w:r>
          </w:p>
          <w:p>
            <w:pPr>
              <w:spacing w:afterLines="50" w:line="360" w:lineRule="auto"/>
              <w:ind w:left="0" w:leftChars="0" w:right="24" w:rightChars="1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服务期限：三年，合同一年一签，一年一审核。</w:t>
            </w:r>
          </w:p>
          <w:p>
            <w:pPr>
              <w:pStyle w:val="87"/>
              <w:spacing w:beforeLines="50" w:afterLines="50" w:line="360" w:lineRule="auto"/>
              <w:ind w:right="48" w:rightChars="20"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超过最高限价的报价无效。</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4</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联合体</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vAlign w:val="center"/>
          </w:tcPr>
          <w:p>
            <w:pPr>
              <w:pStyle w:val="87"/>
              <w:spacing w:beforeLines="50" w:afterLines="50" w:line="360" w:lineRule="auto"/>
              <w:ind w:right="48" w:rightChars="20" w:firstLine="482" w:firstLineChars="200"/>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不允许联合体磋商。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5</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低于成本价不正当</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竞争预防措施</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vAlign w:val="center"/>
          </w:tcPr>
          <w:p>
            <w:pPr>
              <w:pStyle w:val="87"/>
              <w:spacing w:beforeLines="50" w:afterLines="50" w:line="360" w:lineRule="auto"/>
              <w:ind w:right="48" w:rightChars="20"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在评标过程中，</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小组认为供应商的报价明显低于其他通过符合性审查供应商的报价，有可能影响产品质量或者不能诚信履约的，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会应当要求其在评标现场合理的时间内，提供成本构成书面说明，并提交相关证明材料。</w:t>
            </w:r>
          </w:p>
          <w:p>
            <w:pPr>
              <w:pStyle w:val="87"/>
              <w:spacing w:line="360" w:lineRule="auto"/>
              <w:ind w:right="48" w:rightChars="20"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87"/>
              <w:spacing w:line="360" w:lineRule="auto"/>
              <w:ind w:right="48" w:rightChars="20" w:firstLine="240" w:firstLineChars="1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87"/>
              <w:spacing w:beforeLines="50" w:afterLines="50" w:line="360" w:lineRule="auto"/>
              <w:ind w:right="48" w:rightChars="20" w:firstLine="240" w:firstLineChars="1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供应商提供书面说明后，磋商小组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6</w:t>
            </w:r>
          </w:p>
        </w:tc>
        <w:tc>
          <w:tcPr>
            <w:tcW w:w="2074" w:type="dxa"/>
            <w:tcBorders>
              <w:tl2br w:val="nil"/>
              <w:tr2bl w:val="nil"/>
            </w:tcBorders>
            <w:vAlign w:val="center"/>
          </w:tcPr>
          <w:p>
            <w:pPr>
              <w:pStyle w:val="87"/>
              <w:spacing w:beforeLines="50" w:afterLines="50" w:line="360" w:lineRule="auto"/>
              <w:ind w:right="-14" w:rightChars="-6"/>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失信企业报价加成或者扣分</w:t>
            </w:r>
          </w:p>
          <w:p>
            <w:pPr>
              <w:pStyle w:val="87"/>
              <w:spacing w:beforeLines="50" w:afterLines="50" w:line="360" w:lineRule="auto"/>
              <w:ind w:right="-14" w:rightChars="-6"/>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（实质性要求）</w:t>
            </w:r>
          </w:p>
        </w:tc>
        <w:tc>
          <w:tcPr>
            <w:tcW w:w="7474" w:type="dxa"/>
            <w:tcBorders>
              <w:tl2br w:val="nil"/>
              <w:tr2bl w:val="nil"/>
            </w:tcBorders>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一、失信企业报价加成</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参照《四川省政府采购当事人诚信管理办法》（川财采[2015]33号）记入诚信档案的且在有效期内的失信供应商，在参加采购活动中实行10%/次的报价加成、以加成后报价作为该供应商报价评审，且供应商失信行为惩戒实行无限制累加制，因其失信行为进行报价加成惩戒后报价超过采购预算的，其响应文件按照无效处理。供应商的失信行为受到行政处罚或司法惩处的，不得再对其以价格加成或扣分的方式进行惩戒。</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2.供应商参加采购活动时，应当就自己的诚信情况在响应文件中进行承诺。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7</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磋商情况公告</w:t>
            </w:r>
          </w:p>
        </w:tc>
        <w:tc>
          <w:tcPr>
            <w:tcW w:w="7474" w:type="dxa"/>
            <w:tcBorders>
              <w:tl2br w:val="nil"/>
              <w:tr2bl w:val="nil"/>
            </w:tcBorders>
            <w:vAlign w:val="center"/>
          </w:tcPr>
          <w:p>
            <w:pPr>
              <w:tabs>
                <w:tab w:val="left" w:pos="2160"/>
              </w:tabs>
              <w:snapToGrid w:val="0"/>
              <w:spacing w:before="0" w:beforeAutospacing="0" w:after="163" w:afterAutospacing="0" w:line="360" w:lineRule="auto"/>
              <w:ind w:right="-14" w:rightChars="0" w:firstLine="480" w:firstLineChars="200"/>
              <w:jc w:val="both"/>
              <w:textAlignment w:val="baseline"/>
              <w:rPr>
                <w:rFonts w:hint="eastAsia" w:ascii="宋体" w:hAnsi="宋体" w:eastAsia="宋体" w:cs="宋体"/>
                <w:b w:val="0"/>
                <w:i w:val="0"/>
                <w:caps w:val="0"/>
                <w:color w:val="auto"/>
                <w:spacing w:val="0"/>
                <w:w w:val="100"/>
                <w:sz w:val="20"/>
                <w:szCs w:val="24"/>
                <w:highlight w:val="none"/>
                <w:lang w:val="zh-CN" w:eastAsia="zh-CN" w:bidi="ar-SA"/>
              </w:rPr>
            </w:pPr>
            <w:r>
              <w:rPr>
                <w:rFonts w:hint="eastAsia" w:ascii="宋体" w:hAnsi="宋体" w:eastAsia="宋体" w:cs="宋体"/>
                <w:b w:val="0"/>
                <w:i w:val="0"/>
                <w:caps w:val="0"/>
                <w:color w:val="auto"/>
                <w:spacing w:val="0"/>
                <w:w w:val="100"/>
                <w:sz w:val="24"/>
                <w:szCs w:val="24"/>
                <w:highlight w:val="none"/>
                <w:lang w:val="zh-CN"/>
              </w:rPr>
              <w:t>供应商资格审查情况、符合性审查情况、磋商报告等在</w:t>
            </w:r>
            <w:r>
              <w:rPr>
                <w:rFonts w:hint="eastAsia" w:ascii="宋体" w:hAnsi="宋体" w:eastAsia="宋体" w:cs="宋体"/>
                <w:b/>
                <w:bCs/>
                <w:i w:val="0"/>
                <w:caps w:val="0"/>
                <w:color w:val="auto"/>
                <w:spacing w:val="0"/>
                <w:w w:val="100"/>
                <w:sz w:val="24"/>
                <w:szCs w:val="24"/>
                <w:highlight w:val="none"/>
              </w:rPr>
              <w:t>四川政府采购网</w:t>
            </w:r>
            <w:r>
              <w:rPr>
                <w:rFonts w:hint="eastAsia" w:ascii="宋体" w:hAnsi="宋体" w:eastAsia="宋体" w:cs="宋体"/>
                <w:b w:val="0"/>
                <w:i w:val="0"/>
                <w:caps w:val="0"/>
                <w:color w:val="auto"/>
                <w:spacing w:val="0"/>
                <w:w w:val="100"/>
                <w:sz w:val="24"/>
                <w:szCs w:val="24"/>
                <w:highlight w:val="none"/>
              </w:rPr>
              <w:t>（http://www.ccgp-sichuan.gov.cn）</w:t>
            </w:r>
            <w:r>
              <w:rPr>
                <w:rFonts w:hint="eastAsia" w:ascii="宋体" w:hAnsi="宋体" w:eastAsia="宋体" w:cs="宋体"/>
                <w:b w:val="0"/>
                <w:i w:val="0"/>
                <w:caps w:val="0"/>
                <w:color w:val="auto"/>
                <w:spacing w:val="0"/>
                <w:w w:val="100"/>
                <w:sz w:val="24"/>
                <w:szCs w:val="24"/>
                <w:highlight w:val="none"/>
                <w:lang w:val="zh-CN"/>
              </w:rPr>
              <w:t>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kern w:val="2"/>
                <w:highlight w:val="none"/>
              </w:rPr>
              <w:t>8</w:t>
            </w:r>
          </w:p>
        </w:tc>
        <w:tc>
          <w:tcPr>
            <w:tcW w:w="2074" w:type="dxa"/>
            <w:tcBorders>
              <w:tl2br w:val="nil"/>
              <w:tr2bl w:val="nil"/>
            </w:tcBorders>
            <w:vAlign w:val="center"/>
          </w:tcPr>
          <w:p>
            <w:pPr>
              <w:spacing w:afterLines="50" w:line="360" w:lineRule="auto"/>
              <w:ind w:right="48" w:rightChars="20"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szCs w:val="24"/>
                <w:highlight w:val="none"/>
                <w:lang w:val="zh-CN"/>
              </w:rPr>
              <w:t>国家规定的强制采购范围和有限采购范围(如涉及)</w:t>
            </w:r>
          </w:p>
        </w:tc>
        <w:tc>
          <w:tcPr>
            <w:tcW w:w="7474" w:type="dxa"/>
            <w:tcBorders>
              <w:tl2br w:val="nil"/>
              <w:tr2bl w:val="nil"/>
            </w:tcBorders>
            <w:vAlign w:val="center"/>
          </w:tcPr>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zh-CN"/>
              </w:rPr>
              <w:t>拟采购产品若属于强制采购节能产品的，供应商须按财库[2019]9号、财库[2019]19号、财政部2019第16号文规定，提供品目清单、认证证书、认证机构名录复制件盖供应商公章。拟采购产品属于优先采购节能产品或环境标志产品的，供应商按财库[2019]9号、财库[2019]19号、财库[2019]18号、财政部2019第16号文规定，提供品目清单、认证证书、认证机构名录复制件盖供应商公章。</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2.如涉及CCC认证产品的CCC认证证书在响应文件中可以不提供，供应商应承诺在成交通知书发出之日起30日内提供至采购人查验，未提供或不能提供的视为放弃成交。采购人将另行确定成交人或重新组织招标。</w:t>
            </w:r>
          </w:p>
          <w:p>
            <w:pPr>
              <w:spacing w:afterLines="50" w:line="360" w:lineRule="auto"/>
              <w:ind w:right="48" w:rightChars="2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3.无线局域网产品政府采购政策：本项目不适用。</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4</w:t>
            </w:r>
            <w:r>
              <w:rPr>
                <w:rFonts w:hint="eastAsia" w:ascii="宋体" w:hAnsi="宋体" w:eastAsia="宋体" w:cs="宋体"/>
                <w:color w:val="auto"/>
                <w:szCs w:val="24"/>
                <w:highlight w:val="none"/>
                <w:lang w:val="zh-CN"/>
              </w:rPr>
              <w:t>.落实小微企业（监狱企业、残疾人福利性单位）政策。</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5</w:t>
            </w:r>
            <w:r>
              <w:rPr>
                <w:rFonts w:hint="eastAsia" w:ascii="宋体" w:hAnsi="宋体" w:eastAsia="宋体" w:cs="宋体"/>
                <w:color w:val="auto"/>
                <w:szCs w:val="24"/>
                <w:highlight w:val="none"/>
                <w:lang w:val="zh-CN"/>
              </w:rPr>
              <w:t>.失信企业报价加成或者扣分。</w:t>
            </w:r>
          </w:p>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rPr>
              <w:t>6.</w:t>
            </w:r>
            <w:r>
              <w:rPr>
                <w:rFonts w:hint="eastAsia" w:ascii="宋体" w:hAnsi="宋体" w:eastAsia="宋体" w:cs="宋体"/>
                <w:color w:val="auto"/>
                <w:szCs w:val="24"/>
                <w:highlight w:val="none"/>
                <w:lang w:val="zh-CN"/>
              </w:rPr>
              <w:t>扶持少数民族或不发达地区。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highlight w:val="none"/>
              </w:rPr>
              <w:t>9</w:t>
            </w:r>
          </w:p>
        </w:tc>
        <w:tc>
          <w:tcPr>
            <w:tcW w:w="2074" w:type="dxa"/>
            <w:tcBorders>
              <w:tl2br w:val="nil"/>
              <w:tr2bl w:val="nil"/>
            </w:tcBorders>
            <w:vAlign w:val="center"/>
          </w:tcPr>
          <w:p>
            <w:pPr>
              <w:spacing w:beforeLines="50" w:afterLines="50" w:line="360" w:lineRule="auto"/>
              <w:ind w:right="-94" w:rightChars="-39" w:firstLine="48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磋商保证金</w:t>
            </w:r>
          </w:p>
        </w:tc>
        <w:tc>
          <w:tcPr>
            <w:tcW w:w="7474" w:type="dxa"/>
            <w:tcBorders>
              <w:tl2br w:val="nil"/>
              <w:tr2bl w:val="nil"/>
            </w:tcBorders>
            <w:vAlign w:val="center"/>
          </w:tcPr>
          <w:p>
            <w:pPr>
              <w:spacing w:beforeLines="50" w:afterLines="50" w:line="360" w:lineRule="auto"/>
              <w:ind w:right="48" w:rightChars="20"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本项目不缴纳磋商保证金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10</w:t>
            </w:r>
          </w:p>
        </w:tc>
        <w:tc>
          <w:tcPr>
            <w:tcW w:w="2074" w:type="dxa"/>
            <w:tcBorders>
              <w:tl2br w:val="nil"/>
              <w:tr2bl w:val="nil"/>
            </w:tcBorders>
            <w:vAlign w:val="center"/>
          </w:tcPr>
          <w:p>
            <w:pPr>
              <w:pStyle w:val="87"/>
              <w:spacing w:beforeLines="50" w:afterLines="50" w:line="360" w:lineRule="auto"/>
              <w:ind w:right="-94" w:rightChars="-39"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履约保证金</w:t>
            </w:r>
          </w:p>
        </w:tc>
        <w:tc>
          <w:tcPr>
            <w:tcW w:w="7474" w:type="dxa"/>
            <w:tcBorders>
              <w:tl2br w:val="nil"/>
              <w:tr2bl w:val="nil"/>
            </w:tcBorders>
            <w:vAlign w:val="center"/>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本项目不缴纳履约保证金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11</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磋商文件咨询</w:t>
            </w:r>
          </w:p>
        </w:tc>
        <w:tc>
          <w:tcPr>
            <w:tcW w:w="7474" w:type="dxa"/>
            <w:tcBorders>
              <w:tl2br w:val="nil"/>
              <w:tr2bl w:val="nil"/>
            </w:tcBorders>
            <w:vAlign w:val="center"/>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联系人：汪老师        联系电话：028-68742460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rPr>
              <w:t>12</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磋商过程、结果</w:t>
            </w:r>
          </w:p>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工作咨询</w:t>
            </w:r>
          </w:p>
        </w:tc>
        <w:tc>
          <w:tcPr>
            <w:tcW w:w="7474" w:type="dxa"/>
            <w:tcBorders>
              <w:tl2br w:val="nil"/>
              <w:tr2bl w:val="nil"/>
            </w:tcBorders>
            <w:vAlign w:val="center"/>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联系人：汪老师        联系电话：028-68742460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spacing w:beforeLines="50" w:afterLines="50" w:line="360" w:lineRule="auto"/>
              <w:ind w:right="-94" w:rightChars="-39"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13</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成交通知书领取</w:t>
            </w:r>
          </w:p>
        </w:tc>
        <w:tc>
          <w:tcPr>
            <w:tcW w:w="7474" w:type="dxa"/>
            <w:tcBorders>
              <w:tl2br w:val="nil"/>
              <w:tr2bl w:val="nil"/>
            </w:tcBorders>
            <w:vAlign w:val="center"/>
          </w:tcPr>
          <w:p>
            <w:pPr>
              <w:spacing w:afterLines="50" w:line="360" w:lineRule="auto"/>
              <w:ind w:right="48" w:rightChars="20" w:firstLine="480"/>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成交公告在</w:t>
            </w:r>
            <w:r>
              <w:rPr>
                <w:rFonts w:hint="eastAsia" w:ascii="宋体" w:hAnsi="宋体" w:eastAsia="宋体" w:cs="宋体"/>
                <w:bCs/>
                <w:color w:val="auto"/>
                <w:szCs w:val="22"/>
                <w:highlight w:val="none"/>
                <w:lang w:eastAsia="zh-CN"/>
              </w:rPr>
              <w:t>四川政府采购网</w:t>
            </w:r>
            <w:r>
              <w:rPr>
                <w:rFonts w:hint="eastAsia" w:ascii="宋体" w:hAnsi="宋体" w:eastAsia="宋体" w:cs="宋体"/>
                <w:color w:val="auto"/>
                <w:szCs w:val="24"/>
                <w:highlight w:val="none"/>
                <w:lang w:val="zh-CN"/>
              </w:rPr>
              <w:t>公告后，请成交供应商持介绍信（或授权委托书）、身份证原件及其复印件（加盖公章）到四川至善工程项目管理有限公司（</w:t>
            </w:r>
            <w:r>
              <w:rPr>
                <w:rFonts w:hint="eastAsia" w:ascii="宋体" w:hAnsi="宋体" w:eastAsia="宋体" w:cs="宋体"/>
                <w:color w:val="auto"/>
                <w:szCs w:val="24"/>
                <w:highlight w:val="none"/>
              </w:rPr>
              <w:t>成都市环球中心S2区9层909室</w:t>
            </w:r>
            <w:r>
              <w:rPr>
                <w:rFonts w:hint="eastAsia" w:ascii="宋体" w:hAnsi="宋体" w:eastAsia="宋体" w:cs="宋体"/>
                <w:color w:val="auto"/>
                <w:szCs w:val="24"/>
                <w:highlight w:val="none"/>
                <w:lang w:val="zh-CN"/>
              </w:rPr>
              <w:t>）领取成交通知书。</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联系人：汪老师。</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联系电话：028-68742460。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供应商询问</w:t>
            </w:r>
          </w:p>
        </w:tc>
        <w:tc>
          <w:tcPr>
            <w:tcW w:w="7474" w:type="dxa"/>
            <w:tcBorders>
              <w:tl2br w:val="nil"/>
              <w:tr2bl w:val="nil"/>
            </w:tcBorders>
          </w:tcPr>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根据委托代理协议约定，关于采购需求方面的询问由采购人负责答复，其他方面的询问由四川至善工程项目管理有限公司负责接收和处理。</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联系人：汪老师。</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联系电话：028-68742460。</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rPr>
              <w:t>成都市环球中心S2区9层909室</w:t>
            </w:r>
            <w:r>
              <w:rPr>
                <w:rFonts w:hint="eastAsia" w:ascii="宋体" w:hAnsi="宋体" w:eastAsia="宋体" w:cs="宋体"/>
                <w:color w:val="auto"/>
                <w:highlight w:val="none"/>
                <w:lang w:val="zh-CN"/>
              </w:rPr>
              <w:t>。</w:t>
            </w:r>
          </w:p>
          <w:p>
            <w:pPr>
              <w:pStyle w:val="87"/>
              <w:spacing w:beforeLines="50" w:afterLines="50" w:line="360" w:lineRule="auto"/>
              <w:ind w:right="48" w:rightChars="2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邮编：610000。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15</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供应商质疑</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1.对采购文件技术指标、参数、资质要求、评分办法的质疑由采购人负责答复或采购代理机构代为答复，对采购过程和采购结果的质疑由采购代理机构负责答复。</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提出质疑函的时限要求：供应商认为采购文件、采购过程、中标或者成交结果使自己的权益受到损害的，可以在知道或者应知其权益受到损害之日起7个工作日内，以书面形式向采购人、采购代理机构提出质疑，逾期提交不予受理。</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3.接收质疑函的方式：供应商在法定时间内以书面形式现场提交质疑函质疑时间：</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（1）对采购文件的质疑：为购买采购文件之日起七个工作日内；</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（2）采购过程的质疑：为各采购程序环节结束之日起七个工作日内；</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（3）对采购结果的质疑：为成交结果公告期限届满之日起七个工作日内。</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联系人：汪老师</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联系电话：028-68742460</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地址：</w:t>
            </w:r>
            <w:r>
              <w:rPr>
                <w:rFonts w:hint="eastAsia" w:ascii="宋体" w:hAnsi="宋体" w:eastAsia="宋体" w:cs="宋体"/>
                <w:b w:val="0"/>
                <w:i w:val="0"/>
                <w:caps w:val="0"/>
                <w:color w:val="auto"/>
                <w:spacing w:val="0"/>
                <w:w w:val="100"/>
                <w:sz w:val="24"/>
                <w:highlight w:val="none"/>
              </w:rPr>
              <w:t>成都市环球中心S2区9层909室</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邮编：610000</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注：1</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zh-CN"/>
              </w:rPr>
              <w:t>根据《中华人民共和国政府采购法》的规定，供应商质疑不得超出磋商文件、磋商过程、磋商结果的范围；且答复的内容不得涉及商业秘密。</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zh-CN"/>
              </w:rPr>
              <w:t>供应商针对同一采购程序环节的质疑应当在法定质疑期内一次性提出；</w:t>
            </w:r>
          </w:p>
          <w:p>
            <w:pPr>
              <w:pStyle w:val="87"/>
              <w:tabs>
                <w:tab w:val="left" w:pos="2160"/>
              </w:tabs>
              <w:snapToGrid w:val="0"/>
              <w:spacing w:before="163" w:beforeAutospacing="0" w:after="163" w:afterAutospacing="0" w:line="360" w:lineRule="auto"/>
              <w:ind w:right="-14" w:rightChars="0"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3</w:t>
            </w:r>
            <w:r>
              <w:rPr>
                <w:rFonts w:hint="eastAsia" w:ascii="宋体" w:hAnsi="宋体" w:eastAsia="宋体" w:cs="宋体"/>
                <w:b w:val="0"/>
                <w:i w:val="0"/>
                <w:caps w:val="0"/>
                <w:color w:val="auto"/>
                <w:spacing w:val="0"/>
                <w:w w:val="100"/>
                <w:sz w:val="24"/>
                <w:highlight w:val="none"/>
                <w:lang w:val="en-US" w:eastAsia="zh-CN"/>
              </w:rPr>
              <w:t>.</w:t>
            </w:r>
            <w:r>
              <w:rPr>
                <w:rFonts w:hint="eastAsia" w:ascii="宋体" w:hAnsi="宋体" w:eastAsia="宋体" w:cs="宋体"/>
                <w:b w:val="0"/>
                <w:i w:val="0"/>
                <w:caps w:val="0"/>
                <w:color w:val="auto"/>
                <w:spacing w:val="0"/>
                <w:w w:val="100"/>
                <w:sz w:val="24"/>
                <w:highlight w:val="none"/>
                <w:lang w:val="zh-CN"/>
              </w:rPr>
              <w:t>质疑必须以书面形式(原件)提出，以其他形式提出的质疑均不接受和回复。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16</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供应商投诉</w:t>
            </w:r>
          </w:p>
        </w:tc>
        <w:tc>
          <w:tcPr>
            <w:tcW w:w="7474" w:type="dxa"/>
            <w:tcBorders>
              <w:tl2br w:val="nil"/>
              <w:tr2bl w:val="nil"/>
            </w:tcBorders>
            <w:vAlign w:val="center"/>
          </w:tcPr>
          <w:p>
            <w:pPr>
              <w:spacing w:line="360" w:lineRule="auto"/>
              <w:ind w:left="0" w:leftChars="0" w:firstLine="0" w:firstLineChars="0"/>
              <w:jc w:val="left"/>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t>投诉受理单位</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zh-CN" w:eastAsia="zh-CN"/>
              </w:rPr>
              <w:t>彭州市财政局</w:t>
            </w:r>
          </w:p>
          <w:p>
            <w:pPr>
              <w:spacing w:line="360" w:lineRule="auto"/>
              <w:ind w:left="0" w:leftChars="0" w:firstLine="0" w:firstLineChars="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zh-CN" w:eastAsia="zh-CN"/>
              </w:rPr>
              <w:t>联系电话：028</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val="zh-CN" w:eastAsia="zh-CN"/>
              </w:rPr>
              <w:t>8388</w:t>
            </w:r>
            <w:r>
              <w:rPr>
                <w:rFonts w:hint="eastAsia" w:ascii="宋体" w:hAnsi="宋体" w:eastAsia="宋体" w:cs="宋体"/>
                <w:b/>
                <w:bCs/>
                <w:color w:val="auto"/>
                <w:sz w:val="24"/>
                <w:highlight w:val="none"/>
                <w:lang w:val="en-US" w:eastAsia="zh-CN"/>
              </w:rPr>
              <w:t>8323</w:t>
            </w:r>
          </w:p>
          <w:p>
            <w:pPr>
              <w:spacing w:line="360" w:lineRule="auto"/>
              <w:ind w:left="0" w:leftChars="0" w:firstLine="0" w:firstLineChars="0"/>
              <w:jc w:val="left"/>
              <w:rPr>
                <w:rFonts w:hint="eastAsia" w:ascii="宋体" w:hAnsi="宋体" w:eastAsia="宋体" w:cs="宋体"/>
                <w:b/>
                <w:bCs/>
                <w:i w:val="0"/>
                <w:caps w:val="0"/>
                <w:color w:val="auto"/>
                <w:spacing w:val="0"/>
                <w:w w:val="100"/>
                <w:sz w:val="24"/>
                <w:highlight w:val="none"/>
                <w:lang w:val="zh-CN" w:eastAsia="zh-CN"/>
              </w:rPr>
            </w:pPr>
            <w:r>
              <w:rPr>
                <w:rFonts w:hint="eastAsia" w:ascii="宋体" w:hAnsi="宋体" w:eastAsia="宋体" w:cs="宋体"/>
                <w:b/>
                <w:bCs/>
                <w:color w:val="auto"/>
                <w:sz w:val="24"/>
                <w:highlight w:val="none"/>
                <w:lang w:val="zh-CN" w:eastAsia="zh-CN"/>
              </w:rPr>
              <w:t>联系地址：彭州市牡丹大道北二段486号</w:t>
            </w:r>
          </w:p>
          <w:p>
            <w:pPr>
              <w:pStyle w:val="87"/>
              <w:tabs>
                <w:tab w:val="left" w:pos="2160"/>
              </w:tabs>
              <w:snapToGrid w:val="0"/>
              <w:spacing w:before="163" w:beforeAutospacing="0" w:after="163" w:afterAutospacing="0" w:line="360" w:lineRule="auto"/>
              <w:ind w:right="-14" w:rightChars="0" w:firstLine="240" w:firstLineChars="10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rPr>
              <w:t>注：供应商投诉应当有明确的请求和必要的证明材料。供应商投诉的事项不得超出已质疑事项的范围，须符合《政府采购质疑和投诉办法》财政部第 94 号令规定。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17</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color w:val="auto"/>
                <w:highlight w:val="none"/>
                <w:lang w:val="zh-CN"/>
              </w:rPr>
            </w:pPr>
            <w:r>
              <w:rPr>
                <w:rFonts w:hint="eastAsia" w:ascii="宋体" w:hAnsi="宋体" w:eastAsia="宋体" w:cs="宋体"/>
                <w:b w:val="0"/>
                <w:i w:val="0"/>
                <w:caps w:val="0"/>
                <w:color w:val="auto"/>
                <w:spacing w:val="0"/>
                <w:w w:val="100"/>
                <w:sz w:val="24"/>
                <w:highlight w:val="none"/>
                <w:lang w:val="zh-CN"/>
              </w:rPr>
              <w:t>政府采购合同备案</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firstLine="480" w:firstLineChars="200"/>
              <w:jc w:val="both"/>
              <w:textAlignment w:val="baseline"/>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rPr>
              <w:t>政府采购合同签订之日起2个工作日内，政府采购合同将在四川政府采购网公告；政府采购合同签订之日起</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个工作日内，政府采购合同将向采购项目同级财政部门备案。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bookmarkStart w:id="71" w:name="_Toc14566"/>
            <w:bookmarkStart w:id="72" w:name="_Toc30379"/>
            <w:bookmarkStart w:id="73" w:name="_Toc3228"/>
            <w:bookmarkStart w:id="74" w:name="_Toc17571"/>
            <w:bookmarkStart w:id="75" w:name="_Toc517422441"/>
            <w:bookmarkStart w:id="76" w:name="_Toc517423469"/>
            <w:bookmarkStart w:id="77" w:name="_Toc448558688"/>
            <w:bookmarkStart w:id="78" w:name="_Toc29926"/>
            <w:bookmarkStart w:id="79" w:name="_Toc3692"/>
            <w:bookmarkStart w:id="80" w:name="_Toc11072"/>
            <w:bookmarkStart w:id="81" w:name="_Toc19"/>
            <w:bookmarkStart w:id="82" w:name="_Toc15377"/>
            <w:bookmarkStart w:id="83" w:name="_Toc20999"/>
            <w:r>
              <w:rPr>
                <w:rFonts w:hint="eastAsia" w:ascii="宋体" w:hAnsi="宋体" w:eastAsia="宋体" w:cs="宋体"/>
                <w:color w:val="auto"/>
                <w:highlight w:val="none"/>
                <w:lang w:val="en-US" w:eastAsia="zh-CN"/>
              </w:rPr>
              <w:t>18</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所属行业</w:t>
            </w:r>
          </w:p>
        </w:tc>
        <w:tc>
          <w:tcPr>
            <w:tcW w:w="7474" w:type="dxa"/>
            <w:tcBorders>
              <w:tl2br w:val="nil"/>
              <w:tr2bl w:val="nil"/>
            </w:tcBorders>
            <w:vAlign w:val="center"/>
          </w:tcPr>
          <w:p>
            <w:pPr>
              <w:pStyle w:val="87"/>
              <w:spacing w:beforeLines="50" w:afterLines="50" w:line="360" w:lineRule="auto"/>
              <w:ind w:right="-94" w:rightChars="-39" w:firstLine="240" w:firstLineChars="1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1.本次项目招标代理服务费的收取以成本加合理利润的原则确定。</w:t>
            </w:r>
          </w:p>
          <w:p>
            <w:pPr>
              <w:pStyle w:val="87"/>
              <w:tabs>
                <w:tab w:val="left" w:pos="2160"/>
              </w:tabs>
              <w:snapToGrid w:val="0"/>
              <w:spacing w:before="163" w:beforeAutospacing="0" w:after="163" w:afterAutospacing="0" w:line="360" w:lineRule="auto"/>
              <w:ind w:right="-14" w:firstLine="480" w:firstLineChars="20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2.招标代理服务费由成交供应商在领取成交通知书前一次性向招标代理机构交纳。</w:t>
            </w:r>
          </w:p>
          <w:p>
            <w:pPr>
              <w:pStyle w:val="87"/>
              <w:spacing w:beforeLines="50" w:afterLines="50" w:line="360" w:lineRule="auto"/>
              <w:ind w:right="-94" w:rightChars="-39"/>
              <w:jc w:val="both"/>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zh-CN"/>
              </w:rPr>
              <w:t>收款单位：四川至善工程项目管理有限公司。</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行：中国工商银行成都犀浦支行。</w:t>
            </w:r>
            <w:r>
              <w:rPr>
                <w:rFonts w:hint="eastAsia" w:ascii="宋体" w:hAnsi="宋体" w:eastAsia="宋体" w:cs="宋体"/>
                <w:color w:val="auto"/>
                <w:sz w:val="24"/>
                <w:highlight w:val="none"/>
                <w:lang w:val="zh-CN"/>
              </w:rPr>
              <w:br w:type="textWrapping"/>
            </w:r>
            <w:r>
              <w:rPr>
                <w:rFonts w:hint="eastAsia" w:ascii="宋体" w:hAnsi="宋体" w:eastAsia="宋体" w:cs="宋体"/>
                <w:color w:val="auto"/>
                <w:sz w:val="24"/>
                <w:highlight w:val="none"/>
                <w:lang w:val="zh-CN"/>
              </w:rPr>
              <w:t>账</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号：4402 9410 0910 0146 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207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不发达地区和少数民族地区</w:t>
            </w:r>
          </w:p>
        </w:tc>
        <w:tc>
          <w:tcPr>
            <w:tcW w:w="7474" w:type="dxa"/>
            <w:tcBorders>
              <w:tl2br w:val="nil"/>
              <w:tr2bl w:val="nil"/>
            </w:tcBorders>
            <w:vAlign w:val="center"/>
          </w:tcPr>
          <w:p>
            <w:pPr>
              <w:pStyle w:val="87"/>
              <w:spacing w:beforeLines="50" w:afterLines="50" w:line="360" w:lineRule="auto"/>
              <w:ind w:right="-94" w:rightChars="-39"/>
              <w:jc w:val="both"/>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本项目体现政府采购扶持不发达地区和少数民族地区，在</w:t>
            </w:r>
            <w:r>
              <w:rPr>
                <w:rFonts w:hint="eastAsia" w:ascii="宋体" w:hAnsi="宋体" w:eastAsia="宋体" w:cs="宋体"/>
                <w:color w:val="auto"/>
                <w:highlight w:val="none"/>
                <w:lang w:val="zh-CN" w:eastAsia="zh-CN"/>
              </w:rPr>
              <w:t>得分</w:t>
            </w:r>
            <w:r>
              <w:rPr>
                <w:rFonts w:hint="eastAsia" w:ascii="宋体" w:hAnsi="宋体" w:eastAsia="宋体" w:cs="宋体"/>
                <w:color w:val="auto"/>
                <w:highlight w:val="none"/>
                <w:lang w:val="zh-CN"/>
              </w:rPr>
              <w:t>相同的情况下，优先选择不发达地区和少数民族地区为</w:t>
            </w:r>
            <w:r>
              <w:rPr>
                <w:rFonts w:hint="eastAsia" w:ascii="宋体" w:hAnsi="宋体" w:eastAsia="宋体" w:cs="宋体"/>
                <w:color w:val="auto"/>
                <w:highlight w:val="none"/>
                <w:lang w:val="zh-CN" w:eastAsia="zh-CN"/>
              </w:rPr>
              <w:t>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政采贷</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zh-CN"/>
              </w:rPr>
              <w:t>根据《四川省财政厅关于推进四川省政府采购供应商信用融资工作的通知》（川财采[2018]</w:t>
            </w:r>
            <w:r>
              <w:rPr>
                <w:rFonts w:hint="eastAsia" w:ascii="宋体" w:hAnsi="宋体" w:eastAsia="宋体" w:cs="宋体"/>
                <w:b w:val="0"/>
                <w:i w:val="0"/>
                <w:caps w:val="0"/>
                <w:color w:val="auto"/>
                <w:spacing w:val="0"/>
                <w:w w:val="100"/>
                <w:sz w:val="24"/>
                <w:highlight w:val="none"/>
                <w:lang w:val="en-US" w:eastAsia="zh-CN"/>
              </w:rPr>
              <w:t xml:space="preserve"> </w:t>
            </w:r>
            <w:r>
              <w:rPr>
                <w:rFonts w:hint="eastAsia" w:ascii="宋体" w:hAnsi="宋体" w:eastAsia="宋体" w:cs="宋体"/>
                <w:b w:val="0"/>
                <w:i w:val="0"/>
                <w:caps w:val="0"/>
                <w:color w:val="auto"/>
                <w:spacing w:val="0"/>
                <w:w w:val="100"/>
                <w:sz w:val="24"/>
                <w:highlight w:val="none"/>
                <w:lang w:val="zh-CN"/>
              </w:rPr>
              <w:t>123</w:t>
            </w:r>
            <w:r>
              <w:rPr>
                <w:rFonts w:hint="eastAsia" w:ascii="宋体" w:hAnsi="宋体" w:eastAsia="宋体" w:cs="宋体"/>
                <w:b w:val="0"/>
                <w:i w:val="0"/>
                <w:caps w:val="0"/>
                <w:color w:val="auto"/>
                <w:spacing w:val="0"/>
                <w:w w:val="100"/>
                <w:sz w:val="24"/>
                <w:highlight w:val="none"/>
                <w:lang w:val="en-US" w:eastAsia="zh-CN"/>
              </w:rPr>
              <w:t xml:space="preserve"> </w:t>
            </w:r>
            <w:r>
              <w:rPr>
                <w:rFonts w:hint="eastAsia" w:ascii="宋体" w:hAnsi="宋体" w:eastAsia="宋体" w:cs="宋体"/>
                <w:b w:val="0"/>
                <w:i w:val="0"/>
                <w:caps w:val="0"/>
                <w:color w:val="auto"/>
                <w:spacing w:val="0"/>
                <w:w w:val="100"/>
                <w:sz w:val="24"/>
                <w:highlight w:val="none"/>
                <w:lang w:val="zh-CN"/>
              </w:rPr>
              <w:t>号）、《成都市中小企业政府采购信用融资暂行办法》（成财采〔2019〕17 号）、《新津县支持中小企业政府采购信用融资实施方案（试行）》 （新财政〔2019〕21 号）等相关规定，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进口产品</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color w:val="auto"/>
                <w:sz w:val="24"/>
                <w:szCs w:val="24"/>
                <w:highlight w:val="none"/>
                <w:lang w:val="en-US" w:eastAsia="zh-CN"/>
              </w:rPr>
              <w:t>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合同分包</w:t>
            </w:r>
          </w:p>
        </w:tc>
        <w:tc>
          <w:tcPr>
            <w:tcW w:w="7474" w:type="dxa"/>
            <w:tcBorders>
              <w:tl2br w:val="nil"/>
              <w:tr2bl w:val="nil"/>
            </w:tcBorders>
            <w:vAlign w:val="center"/>
          </w:tcPr>
          <w:p>
            <w:pPr>
              <w:pStyle w:val="87"/>
              <w:tabs>
                <w:tab w:val="left" w:pos="2160"/>
              </w:tabs>
              <w:snapToGrid w:val="0"/>
              <w:spacing w:before="163" w:beforeAutospacing="0" w:after="163" w:afterAutospacing="0" w:line="360" w:lineRule="auto"/>
              <w:ind w:right="-14" w:rightChars="0"/>
              <w:jc w:val="both"/>
              <w:textAlignment w:val="baseline"/>
              <w:rPr>
                <w:rFonts w:hint="eastAsia" w:ascii="宋体" w:hAnsi="宋体" w:eastAsia="宋体" w:cs="宋体"/>
                <w:b w:val="0"/>
                <w:i w:val="0"/>
                <w:caps w:val="0"/>
                <w:color w:val="auto"/>
                <w:spacing w:val="0"/>
                <w:w w:val="100"/>
                <w:sz w:val="24"/>
                <w:highlight w:val="none"/>
                <w:lang w:val="zh-CN"/>
              </w:rPr>
            </w:pPr>
            <w:r>
              <w:rPr>
                <w:rFonts w:hint="eastAsia" w:ascii="宋体" w:hAnsi="宋体" w:eastAsia="宋体" w:cs="宋体"/>
                <w:b w:val="0"/>
                <w:i w:val="0"/>
                <w:caps w:val="0"/>
                <w:color w:val="auto"/>
                <w:spacing w:val="0"/>
                <w:w w:val="100"/>
                <w:sz w:val="24"/>
                <w:highlight w:val="none"/>
                <w:lang w:val="zh-CN"/>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24" w:type="dxa"/>
            <w:tcBorders>
              <w:tl2br w:val="nil"/>
              <w:tr2bl w:val="nil"/>
            </w:tcBorders>
            <w:vAlign w:val="center"/>
          </w:tcPr>
          <w:p>
            <w:pPr>
              <w:pStyle w:val="87"/>
              <w:spacing w:beforeLines="50" w:afterLines="50" w:line="360" w:lineRule="auto"/>
              <w:ind w:right="-94" w:rightChars="-39"/>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2074" w:type="dxa"/>
            <w:tcBorders>
              <w:tl2br w:val="nil"/>
              <w:tr2bl w:val="nil"/>
            </w:tcBorders>
            <w:vAlign w:val="center"/>
          </w:tcPr>
          <w:p>
            <w:pPr>
              <w:pStyle w:val="87"/>
              <w:snapToGrid w:val="0"/>
              <w:spacing w:before="0" w:beforeAutospacing="0" w:after="0" w:afterAutospacing="0" w:line="360" w:lineRule="auto"/>
              <w:ind w:right="-53" w:rightChars="0"/>
              <w:jc w:val="center"/>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en-US" w:eastAsia="zh-CN"/>
              </w:rPr>
              <w:t>其他</w:t>
            </w:r>
          </w:p>
        </w:tc>
        <w:tc>
          <w:tcPr>
            <w:tcW w:w="7474" w:type="dxa"/>
            <w:tcBorders>
              <w:tl2br w:val="nil"/>
              <w:tr2bl w:val="nil"/>
            </w:tcBorders>
            <w:vAlign w:val="center"/>
          </w:tcPr>
          <w:p>
            <w:pPr>
              <w:pStyle w:val="87"/>
              <w:snapToGrid w:val="0"/>
              <w:spacing w:before="0" w:beforeAutospacing="0" w:after="0" w:afterAutospacing="0" w:line="360" w:lineRule="auto"/>
              <w:ind w:right="-53" w:rightChars="0"/>
              <w:jc w:val="both"/>
              <w:textAlignment w:val="baseline"/>
              <w:rPr>
                <w:rFonts w:hint="eastAsia" w:ascii="宋体" w:hAnsi="宋体" w:eastAsia="宋体" w:cs="宋体"/>
                <w:b w:val="0"/>
                <w:i w:val="0"/>
                <w:caps w:val="0"/>
                <w:color w:val="auto"/>
                <w:spacing w:val="0"/>
                <w:w w:val="100"/>
                <w:sz w:val="24"/>
                <w:szCs w:val="24"/>
                <w:highlight w:val="none"/>
                <w:lang w:val="zh-CN" w:eastAsia="zh-CN" w:bidi="ar-SA"/>
              </w:rPr>
            </w:pPr>
            <w:r>
              <w:rPr>
                <w:rFonts w:hint="eastAsia" w:ascii="宋体" w:hAnsi="宋体" w:eastAsia="宋体" w:cs="宋体"/>
                <w:b w:val="0"/>
                <w:i w:val="0"/>
                <w:caps w:val="0"/>
                <w:color w:val="auto"/>
                <w:spacing w:val="0"/>
                <w:w w:val="100"/>
                <w:sz w:val="24"/>
                <w:highlight w:val="none"/>
                <w:lang w:val="en-US" w:eastAsia="zh-CN"/>
              </w:rPr>
              <w:t>供应商磋商须知附表与磋商文件其他描述不一致时，以供应商磋商须知附表为准。</w:t>
            </w:r>
          </w:p>
        </w:tc>
      </w:tr>
    </w:tbl>
    <w:p>
      <w:pPr>
        <w:ind w:left="48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spacing w:before="0" w:after="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二、总则</w:t>
      </w:r>
      <w:bookmarkEnd w:id="71"/>
      <w:bookmarkEnd w:id="72"/>
      <w:bookmarkEnd w:id="73"/>
      <w:bookmarkEnd w:id="74"/>
      <w:bookmarkEnd w:id="75"/>
      <w:bookmarkEnd w:id="76"/>
      <w:bookmarkEnd w:id="77"/>
      <w:bookmarkEnd w:id="78"/>
      <w:bookmarkEnd w:id="79"/>
      <w:bookmarkEnd w:id="80"/>
      <w:bookmarkEnd w:id="81"/>
      <w:bookmarkEnd w:id="82"/>
      <w:bookmarkEnd w:id="83"/>
    </w:p>
    <w:p>
      <w:pPr>
        <w:pStyle w:val="5"/>
        <w:spacing w:before="120" w:afterLines="50" w:line="360" w:lineRule="auto"/>
        <w:ind w:right="-94" w:rightChars="-39" w:firstLine="482"/>
        <w:rPr>
          <w:rFonts w:hint="eastAsia" w:ascii="宋体" w:hAnsi="宋体" w:eastAsia="宋体" w:cs="宋体"/>
          <w:color w:val="auto"/>
          <w:highlight w:val="none"/>
        </w:rPr>
      </w:pPr>
      <w:bookmarkStart w:id="84" w:name="_Toc5084"/>
      <w:bookmarkStart w:id="85" w:name="_Toc517422442"/>
      <w:bookmarkStart w:id="86" w:name="_Toc20762"/>
      <w:bookmarkStart w:id="87" w:name="_Toc3073"/>
      <w:bookmarkStart w:id="88" w:name="_Toc15449"/>
      <w:bookmarkStart w:id="89" w:name="_Toc517423470"/>
      <w:bookmarkStart w:id="90" w:name="_Toc9171"/>
      <w:bookmarkStart w:id="91" w:name="_Toc2"/>
      <w:bookmarkStart w:id="92" w:name="_Toc22331"/>
      <w:bookmarkStart w:id="93" w:name="_Toc26304"/>
      <w:bookmarkStart w:id="94" w:name="_Toc2181"/>
      <w:bookmarkStart w:id="95" w:name="_Toc18749"/>
      <w:r>
        <w:rPr>
          <w:rFonts w:hint="eastAsia" w:ascii="宋体" w:hAnsi="宋体" w:eastAsia="宋体" w:cs="宋体"/>
          <w:color w:val="auto"/>
          <w:highlight w:val="none"/>
        </w:rPr>
        <w:t>1.适用范围</w:t>
      </w:r>
      <w:bookmarkEnd w:id="84"/>
      <w:bookmarkEnd w:id="85"/>
      <w:bookmarkEnd w:id="86"/>
      <w:bookmarkEnd w:id="87"/>
      <w:bookmarkEnd w:id="88"/>
      <w:bookmarkEnd w:id="89"/>
      <w:bookmarkEnd w:id="90"/>
      <w:bookmarkEnd w:id="91"/>
      <w:bookmarkEnd w:id="92"/>
      <w:bookmarkEnd w:id="93"/>
      <w:bookmarkEnd w:id="94"/>
      <w:bookmarkEnd w:id="95"/>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1.1本磋商文件仅适用于本次磋商所叙述的服务采购。</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1.2</w:t>
      </w:r>
      <w:r>
        <w:rPr>
          <w:rFonts w:hint="eastAsia" w:ascii="宋体" w:hAnsi="宋体" w:eastAsia="宋体" w:cs="宋体"/>
          <w:color w:val="auto"/>
          <w:spacing w:val="-4"/>
          <w:szCs w:val="22"/>
          <w:highlight w:val="none"/>
        </w:rPr>
        <w:t>本磋商文件的解</w:t>
      </w:r>
      <w:r>
        <w:rPr>
          <w:rFonts w:hint="eastAsia" w:ascii="宋体" w:hAnsi="宋体" w:eastAsia="宋体" w:cs="宋体"/>
          <w:color w:val="auto"/>
          <w:spacing w:val="-4"/>
          <w:highlight w:val="none"/>
        </w:rPr>
        <w:t>释权归采购人和采购代理机构所有。</w:t>
      </w:r>
    </w:p>
    <w:p>
      <w:pPr>
        <w:pStyle w:val="5"/>
        <w:spacing w:before="120" w:afterLines="50" w:line="360" w:lineRule="auto"/>
        <w:ind w:right="-94" w:rightChars="-39" w:firstLine="482"/>
        <w:rPr>
          <w:rFonts w:hint="eastAsia" w:ascii="宋体" w:hAnsi="宋体" w:eastAsia="宋体" w:cs="宋体"/>
          <w:color w:val="auto"/>
          <w:highlight w:val="none"/>
        </w:rPr>
      </w:pPr>
      <w:bookmarkStart w:id="96" w:name="_Toc183582206"/>
      <w:bookmarkStart w:id="97" w:name="_Toc183682343"/>
      <w:bookmarkStart w:id="98" w:name="_Toc15917"/>
      <w:bookmarkStart w:id="99" w:name="_Toc317509232"/>
      <w:bookmarkStart w:id="100" w:name="_Toc31599"/>
      <w:bookmarkStart w:id="101" w:name="_Toc517423471"/>
      <w:bookmarkStart w:id="102" w:name="_Toc217446035"/>
      <w:bookmarkStart w:id="103" w:name="_Toc13932"/>
      <w:bookmarkStart w:id="104" w:name="_Toc32050"/>
      <w:bookmarkStart w:id="105" w:name="_Toc317509385"/>
      <w:bookmarkStart w:id="106" w:name="_Toc600"/>
      <w:bookmarkStart w:id="107" w:name="_Toc4095"/>
      <w:bookmarkStart w:id="108" w:name="_Toc6890"/>
      <w:bookmarkStart w:id="109" w:name="_Toc5394"/>
      <w:bookmarkStart w:id="110" w:name="_Toc17590"/>
      <w:bookmarkStart w:id="111" w:name="_Toc6540"/>
      <w:bookmarkStart w:id="112" w:name="_Toc325096467"/>
      <w:bookmarkStart w:id="113" w:name="_Toc4131"/>
      <w:bookmarkStart w:id="114" w:name="_Toc325464816"/>
      <w:bookmarkStart w:id="115" w:name="_Toc27250"/>
      <w:bookmarkStart w:id="116" w:name="_Toc21527"/>
      <w:bookmarkStart w:id="117" w:name="_Toc517422443"/>
      <w:r>
        <w:rPr>
          <w:rFonts w:hint="eastAsia" w:ascii="宋体" w:hAnsi="宋体" w:eastAsia="宋体" w:cs="宋体"/>
          <w:color w:val="auto"/>
          <w:highlight w:val="none"/>
        </w:rPr>
        <w:t xml:space="preserve">2. </w:t>
      </w:r>
      <w:bookmarkEnd w:id="96"/>
      <w:bookmarkEnd w:id="97"/>
      <w:r>
        <w:rPr>
          <w:rFonts w:hint="eastAsia" w:ascii="宋体" w:hAnsi="宋体" w:eastAsia="宋体" w:cs="宋体"/>
          <w:color w:val="auto"/>
          <w:highlight w:val="none"/>
        </w:rPr>
        <w:t>采购主体</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spacing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2.1 本次磋商的采购人是</w:t>
      </w:r>
      <w:r>
        <w:rPr>
          <w:rFonts w:hint="eastAsia" w:ascii="宋体" w:hAnsi="宋体" w:eastAsia="宋体" w:cs="宋体"/>
          <w:b/>
          <w:bCs/>
          <w:color w:val="auto"/>
          <w:spacing w:val="-4"/>
          <w:highlight w:val="none"/>
          <w:u w:val="single"/>
          <w:lang w:eastAsia="zh-CN"/>
        </w:rPr>
        <w:t>彭州市人民医院</w:t>
      </w:r>
      <w:r>
        <w:rPr>
          <w:rFonts w:hint="eastAsia" w:ascii="宋体" w:hAnsi="宋体" w:eastAsia="宋体" w:cs="宋体"/>
          <w:color w:val="auto"/>
          <w:spacing w:val="-4"/>
          <w:highlight w:val="none"/>
        </w:rPr>
        <w:t>；</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2.2本次磋商的采购代理机构是</w:t>
      </w:r>
      <w:r>
        <w:rPr>
          <w:rFonts w:hint="eastAsia" w:ascii="宋体" w:hAnsi="宋体" w:eastAsia="宋体" w:cs="宋体"/>
          <w:b/>
          <w:color w:val="auto"/>
          <w:spacing w:val="-4"/>
          <w:highlight w:val="none"/>
          <w:u w:val="single"/>
        </w:rPr>
        <w:t>四川至善工程项目管理有限公司</w:t>
      </w:r>
      <w:r>
        <w:rPr>
          <w:rFonts w:hint="eastAsia" w:ascii="宋体" w:hAnsi="宋体" w:eastAsia="宋体" w:cs="宋体"/>
          <w:color w:val="auto"/>
          <w:spacing w:val="-4"/>
          <w:highlight w:val="none"/>
        </w:rPr>
        <w:t>。</w:t>
      </w:r>
    </w:p>
    <w:p>
      <w:pPr>
        <w:pStyle w:val="5"/>
        <w:spacing w:before="120" w:afterLines="50" w:line="360" w:lineRule="auto"/>
        <w:ind w:right="-94" w:rightChars="-39" w:firstLine="482"/>
        <w:rPr>
          <w:rFonts w:hint="eastAsia" w:ascii="宋体" w:hAnsi="宋体" w:eastAsia="宋体" w:cs="宋体"/>
          <w:color w:val="auto"/>
          <w:highlight w:val="none"/>
        </w:rPr>
      </w:pPr>
      <w:bookmarkStart w:id="118" w:name="_Toc517422444"/>
      <w:bookmarkStart w:id="119" w:name="_Toc19676"/>
      <w:bookmarkStart w:id="120" w:name="_Toc7173"/>
      <w:bookmarkStart w:id="121" w:name="_Toc14078"/>
      <w:bookmarkStart w:id="122" w:name="_Toc4443"/>
      <w:bookmarkStart w:id="123" w:name="_Toc517423472"/>
      <w:bookmarkStart w:id="124" w:name="_Toc26728"/>
      <w:bookmarkStart w:id="125" w:name="_Toc16802"/>
      <w:bookmarkStart w:id="126" w:name="_Toc20896"/>
      <w:bookmarkStart w:id="127" w:name="_Toc29473"/>
      <w:bookmarkStart w:id="128" w:name="_Toc25121"/>
      <w:bookmarkStart w:id="129" w:name="_Toc5520"/>
      <w:bookmarkStart w:id="130" w:name="_Toc654"/>
      <w:bookmarkStart w:id="131" w:name="_Toc183582207"/>
      <w:bookmarkStart w:id="132" w:name="_Toc325464817"/>
      <w:bookmarkStart w:id="133" w:name="_Toc317509386"/>
      <w:bookmarkStart w:id="134" w:name="_Toc217446036"/>
      <w:bookmarkStart w:id="135" w:name="_Toc24747"/>
      <w:bookmarkStart w:id="136" w:name="_Toc217390843"/>
      <w:bookmarkStart w:id="137" w:name="_Toc317509233"/>
      <w:bookmarkStart w:id="138" w:name="_Toc183682344"/>
      <w:bookmarkStart w:id="139" w:name="_Toc325096468"/>
      <w:bookmarkStart w:id="140" w:name="_Toc11195"/>
      <w:r>
        <w:rPr>
          <w:rFonts w:hint="eastAsia" w:ascii="宋体" w:hAnsi="宋体" w:eastAsia="宋体" w:cs="宋体"/>
          <w:color w:val="auto"/>
          <w:highlight w:val="none"/>
        </w:rPr>
        <w:t>3. 合格供应商</w:t>
      </w:r>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eastAsia="宋体" w:cs="宋体"/>
          <w:color w:val="auto"/>
          <w:highlight w:val="none"/>
        </w:rPr>
        <w:t>（实质性要求）</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合格供应商应具备以下条件：</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3.1 具备法律法规和本采购文件规定的资格条件；</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3.2 不属于禁止参加本项目采购活动的供应商；</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3.3 按照规定获取了磋商文件，属于实质性参加采购活动的供应商。</w:t>
      </w:r>
      <w:bookmarkEnd w:id="130"/>
      <w:bookmarkEnd w:id="131"/>
      <w:bookmarkEnd w:id="132"/>
      <w:bookmarkEnd w:id="133"/>
      <w:bookmarkEnd w:id="134"/>
      <w:bookmarkEnd w:id="135"/>
      <w:bookmarkEnd w:id="136"/>
      <w:bookmarkEnd w:id="137"/>
      <w:bookmarkEnd w:id="138"/>
      <w:bookmarkEnd w:id="139"/>
      <w:bookmarkEnd w:id="140"/>
    </w:p>
    <w:p>
      <w:pPr>
        <w:pStyle w:val="5"/>
        <w:spacing w:before="120" w:afterLines="50" w:line="360" w:lineRule="auto"/>
        <w:ind w:right="-94" w:rightChars="-39" w:firstLine="482"/>
        <w:rPr>
          <w:rFonts w:hint="eastAsia" w:ascii="宋体" w:hAnsi="宋体" w:eastAsia="宋体" w:cs="宋体"/>
          <w:color w:val="auto"/>
          <w:highlight w:val="none"/>
        </w:rPr>
      </w:pPr>
      <w:bookmarkStart w:id="141" w:name="_Toc25074"/>
      <w:bookmarkStart w:id="142" w:name="_Toc18306"/>
      <w:bookmarkStart w:id="143" w:name="_Toc26287"/>
      <w:bookmarkStart w:id="144" w:name="_Toc517423473"/>
      <w:bookmarkStart w:id="145" w:name="_Toc21892"/>
      <w:bookmarkStart w:id="146" w:name="_Toc325096469"/>
      <w:bookmarkStart w:id="147" w:name="_Toc517422445"/>
      <w:bookmarkStart w:id="148" w:name="_Toc12366"/>
      <w:bookmarkStart w:id="149" w:name="_Toc317509234"/>
      <w:bookmarkStart w:id="150" w:name="_Toc17468"/>
      <w:bookmarkStart w:id="151" w:name="_Toc11962"/>
      <w:bookmarkStart w:id="152" w:name="_Toc317509387"/>
      <w:bookmarkStart w:id="153" w:name="_Toc217446037"/>
      <w:bookmarkStart w:id="154" w:name="_Toc13572"/>
      <w:bookmarkStart w:id="155" w:name="_Toc22025"/>
      <w:bookmarkStart w:id="156" w:name="_Toc26665"/>
      <w:bookmarkStart w:id="157" w:name="_Toc183682345"/>
      <w:bookmarkStart w:id="158" w:name="_Toc3473"/>
      <w:bookmarkStart w:id="159" w:name="_Toc22880"/>
      <w:bookmarkStart w:id="160" w:name="_Toc7364"/>
      <w:bookmarkStart w:id="161" w:name="_Toc183582208"/>
      <w:bookmarkStart w:id="162" w:name="_Toc325464818"/>
      <w:bookmarkStart w:id="163" w:name="_Toc385941213"/>
      <w:r>
        <w:rPr>
          <w:rFonts w:hint="eastAsia" w:ascii="宋体" w:hAnsi="宋体" w:eastAsia="宋体" w:cs="宋体"/>
          <w:color w:val="auto"/>
          <w:highlight w:val="none"/>
        </w:rPr>
        <w:t>4. 磋商费用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供应商应自行承担参加磋商活动的全部费用。</w:t>
      </w:r>
    </w:p>
    <w:p>
      <w:pPr>
        <w:pStyle w:val="5"/>
        <w:spacing w:before="120" w:afterLines="50" w:line="360" w:lineRule="auto"/>
        <w:ind w:right="-94" w:rightChars="-39" w:firstLine="482"/>
        <w:rPr>
          <w:rFonts w:hint="eastAsia" w:ascii="宋体" w:hAnsi="宋体" w:eastAsia="宋体" w:cs="宋体"/>
          <w:color w:val="auto"/>
          <w:highlight w:val="none"/>
        </w:rPr>
      </w:pPr>
      <w:bookmarkStart w:id="164" w:name="_Toc7988"/>
      <w:bookmarkStart w:id="165" w:name="_Toc2838"/>
      <w:bookmarkStart w:id="166" w:name="_Toc10452"/>
      <w:bookmarkStart w:id="167" w:name="_Toc27610"/>
      <w:bookmarkStart w:id="168" w:name="_Toc517423474"/>
      <w:bookmarkStart w:id="169" w:name="_Toc517422446"/>
      <w:bookmarkStart w:id="170" w:name="_Toc30137"/>
      <w:bookmarkStart w:id="171" w:name="_Toc5143"/>
      <w:bookmarkStart w:id="172" w:name="_Toc3563"/>
      <w:bookmarkStart w:id="173" w:name="_Toc4369"/>
      <w:bookmarkStart w:id="174" w:name="_Toc1696"/>
      <w:bookmarkStart w:id="175" w:name="_Toc13484"/>
      <w:r>
        <w:rPr>
          <w:rFonts w:hint="eastAsia" w:ascii="宋体" w:hAnsi="宋体" w:eastAsia="宋体" w:cs="宋体"/>
          <w:color w:val="auto"/>
          <w:highlight w:val="none"/>
        </w:rPr>
        <w:t>5.充分、公平竞争保障措施</w:t>
      </w:r>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eastAsia="宋体" w:cs="宋体"/>
          <w:color w:val="auto"/>
          <w:highlight w:val="none"/>
        </w:rPr>
        <w:t>（实质性要求）</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tabs>
          <w:tab w:val="left" w:pos="7665"/>
        </w:tabs>
        <w:spacing w:after="50" w:line="360" w:lineRule="auto"/>
        <w:ind w:right="-94" w:rightChars="-39" w:firstLine="464"/>
        <w:rPr>
          <w:rFonts w:hint="eastAsia" w:ascii="宋体" w:hAnsi="宋体" w:eastAsia="宋体" w:cs="宋体"/>
          <w:color w:val="auto"/>
          <w:spacing w:val="-4"/>
          <w:szCs w:val="22"/>
          <w:highlight w:val="none"/>
        </w:rPr>
      </w:pPr>
      <w:r>
        <w:rPr>
          <w:rFonts w:hint="eastAsia" w:ascii="宋体" w:hAnsi="宋体" w:eastAsia="宋体" w:cs="宋体"/>
          <w:color w:val="auto"/>
          <w:spacing w:val="-4"/>
          <w:szCs w:val="22"/>
          <w:highlight w:val="none"/>
        </w:rPr>
        <w:t>5.4提供相同品牌产品处理。提供相同品牌产品且通过资格审查的不同供应商参加同一合同项下采购项目的，按一家供应商计算，评审后得分最高的同品牌供应商获得成交供应商推荐资格；评审得分相同的，由采购人及采购人委托磋商小组自主采取公平、择优的方式确定一个供应商获得成交供应商推荐资格，其他同品牌供应商不作为成交供应商候选人。</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szCs w:val="22"/>
          <w:highlight w:val="none"/>
        </w:rPr>
        <w:t>非单一产品采购项目中，多家供应商提供的部分或所有核心产品品牌相同的，视为提供相同品牌产品。本采购项目核心产品为：</w:t>
      </w:r>
      <w:r>
        <w:rPr>
          <w:rFonts w:hint="eastAsia" w:ascii="宋体" w:hAnsi="宋体" w:eastAsia="宋体" w:cs="宋体"/>
          <w:b/>
          <w:color w:val="auto"/>
          <w:spacing w:val="-4"/>
          <w:szCs w:val="22"/>
          <w:highlight w:val="none"/>
          <w:u w:val="single"/>
        </w:rPr>
        <w:t xml:space="preserve">  //    （本项目不适用） </w:t>
      </w:r>
      <w:r>
        <w:rPr>
          <w:rFonts w:hint="eastAsia" w:ascii="宋体" w:hAnsi="宋体" w:eastAsia="宋体" w:cs="宋体"/>
          <w:b/>
          <w:color w:val="auto"/>
          <w:spacing w:val="-4"/>
          <w:highlight w:val="none"/>
          <w:u w:val="single"/>
        </w:rPr>
        <w:t xml:space="preserve">   </w:t>
      </w:r>
      <w:r>
        <w:rPr>
          <w:rFonts w:hint="eastAsia" w:ascii="宋体" w:hAnsi="宋体" w:eastAsia="宋体" w:cs="宋体"/>
          <w:color w:val="auto"/>
          <w:spacing w:val="-4"/>
          <w:highlight w:val="none"/>
        </w:rPr>
        <w:t>。</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5.5供应商实际控制人或者中高级管理人员，同时是采购代理机构工作人员，不得参与本项目采购活动。</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5.6同一母公司的两家以上的子公司只能组成联合体参加本项目同一合同项下的采购活动，不得以不同供应商身份同时参加本项目同一合同项下的采购活动。</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5.7供应商与采购代理机构存在关联关系，或者是采购代理机构的母公司或子公司，不得参加本项目采购活动。</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5.8回避。采购活动中，采购人员及相关人员与供应商有下列利害关系之一的，应当回避：</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（1）参加采购活动前3年内与供应商存在劳动关系；</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（2）参加采购活动前3年内担任供应商的董事、监事；</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（3）参加采购活动前3年内是供应商的控股股东或者实际控制人；</w:t>
      </w:r>
    </w:p>
    <w:p>
      <w:pPr>
        <w:tabs>
          <w:tab w:val="left" w:pos="7665"/>
        </w:tabs>
        <w:spacing w:after="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（4）与供应商的法定代表人或者负责人有夫妻、直系血亲、三代以内旁系血亲或者近姻亲关系；</w:t>
      </w:r>
    </w:p>
    <w:p>
      <w:pPr>
        <w:tabs>
          <w:tab w:val="left" w:pos="7665"/>
        </w:tabs>
        <w:spacing w:afterLines="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（5）与供应商有其他可能影响采购活动公平、公正进行的关系。</w:t>
      </w:r>
    </w:p>
    <w:p>
      <w:pPr>
        <w:tabs>
          <w:tab w:val="left" w:pos="7665"/>
        </w:tabs>
        <w:spacing w:afterLines="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tabs>
          <w:tab w:val="left" w:pos="7665"/>
        </w:tabs>
        <w:spacing w:afterLines="50" w:line="360" w:lineRule="auto"/>
        <w:ind w:right="-94" w:rightChars="-39" w:firstLine="464"/>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pacing w:before="120" w:afterLines="50" w:line="360" w:lineRule="auto"/>
        <w:ind w:right="-94" w:rightChars="-39" w:firstLine="482"/>
        <w:rPr>
          <w:rFonts w:hint="eastAsia" w:ascii="宋体" w:hAnsi="宋体" w:eastAsia="宋体" w:cs="宋体"/>
          <w:color w:val="auto"/>
          <w:highlight w:val="none"/>
        </w:rPr>
      </w:pPr>
      <w:bookmarkStart w:id="176" w:name="_Toc25774"/>
      <w:bookmarkStart w:id="177" w:name="_Toc517422447"/>
      <w:bookmarkStart w:id="178" w:name="_Toc517423475"/>
      <w:bookmarkStart w:id="179" w:name="_Toc4587"/>
      <w:bookmarkStart w:id="180" w:name="_Toc1018"/>
      <w:bookmarkStart w:id="181" w:name="_Toc21922"/>
      <w:bookmarkStart w:id="182" w:name="_Toc4113"/>
      <w:bookmarkStart w:id="183" w:name="_Toc29547"/>
      <w:bookmarkStart w:id="184" w:name="_Toc175"/>
      <w:bookmarkStart w:id="185" w:name="_Toc625"/>
      <w:bookmarkStart w:id="186" w:name="_Toc20988"/>
      <w:bookmarkStart w:id="187" w:name="_Toc17629"/>
      <w:r>
        <w:rPr>
          <w:rFonts w:hint="eastAsia" w:ascii="宋体" w:hAnsi="宋体" w:eastAsia="宋体" w:cs="宋体"/>
          <w:color w:val="auto"/>
          <w:highlight w:val="none"/>
        </w:rPr>
        <w:t>6.联合体竞争性磋商</w:t>
      </w:r>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color w:val="auto"/>
          <w:highlight w:val="none"/>
        </w:rPr>
        <w:t>（实质性要求）</w:t>
      </w:r>
    </w:p>
    <w:p>
      <w:pPr>
        <w:pStyle w:val="95"/>
        <w:spacing w:afterLines="50" w:line="360" w:lineRule="auto"/>
        <w:ind w:left="1" w:right="-94" w:rightChars="-39" w:firstLine="480"/>
        <w:rPr>
          <w:rFonts w:hint="eastAsia" w:ascii="宋体" w:hAnsi="宋体" w:eastAsia="宋体" w:cs="宋体"/>
          <w:color w:val="auto"/>
          <w:highlight w:val="none"/>
        </w:rPr>
      </w:pPr>
      <w:r>
        <w:rPr>
          <w:rFonts w:hint="eastAsia" w:ascii="宋体" w:hAnsi="宋体" w:eastAsia="宋体" w:cs="宋体"/>
          <w:color w:val="auto"/>
          <w:sz w:val="24"/>
          <w:highlight w:val="none"/>
        </w:rPr>
        <w:t>本项目</w:t>
      </w:r>
      <w:r>
        <w:rPr>
          <w:rFonts w:hint="eastAsia" w:ascii="宋体" w:hAnsi="宋体" w:eastAsia="宋体" w:cs="宋体"/>
          <w:b/>
          <w:color w:val="auto"/>
          <w:sz w:val="24"/>
          <w:highlight w:val="none"/>
        </w:rPr>
        <w:t>不接受</w:t>
      </w:r>
      <w:r>
        <w:rPr>
          <w:rFonts w:hint="eastAsia" w:ascii="宋体" w:hAnsi="宋体" w:eastAsia="宋体" w:cs="宋体"/>
          <w:color w:val="auto"/>
          <w:sz w:val="24"/>
          <w:highlight w:val="none"/>
        </w:rPr>
        <w:t>联合体参与采购活动。</w:t>
      </w:r>
      <w:bookmarkStart w:id="188" w:name="_Toc517423476"/>
      <w:bookmarkStart w:id="189" w:name="_Toc27530"/>
      <w:bookmarkStart w:id="190" w:name="_Toc17774"/>
      <w:bookmarkStart w:id="191" w:name="_Toc517422448"/>
      <w:bookmarkStart w:id="192" w:name="_Toc2507"/>
      <w:bookmarkStart w:id="193" w:name="_Toc200"/>
      <w:bookmarkStart w:id="194" w:name="_Toc3683"/>
      <w:bookmarkStart w:id="195" w:name="_Toc10280"/>
      <w:bookmarkStart w:id="196" w:name="_Toc23943"/>
      <w:bookmarkStart w:id="197" w:name="_Toc17171"/>
      <w:bookmarkStart w:id="198" w:name="_Toc19913"/>
      <w:bookmarkStart w:id="199" w:name="_Toc15122"/>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7.磋商保证金</w:t>
      </w:r>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0"/>
        <w:rPr>
          <w:rFonts w:hint="eastAsia" w:ascii="宋体" w:hAnsi="宋体" w:eastAsia="宋体" w:cs="宋体"/>
          <w:color w:val="auto"/>
          <w:highlight w:val="none"/>
        </w:rPr>
      </w:pPr>
      <w:bookmarkStart w:id="200" w:name="_Toc26138"/>
      <w:bookmarkStart w:id="201" w:name="_Toc31825"/>
      <w:bookmarkStart w:id="202" w:name="_Toc12405"/>
      <w:bookmarkStart w:id="203" w:name="_Toc3474"/>
      <w:bookmarkStart w:id="204" w:name="_Toc1164"/>
      <w:bookmarkStart w:id="205" w:name="_Toc6236"/>
      <w:bookmarkStart w:id="206" w:name="_Toc22909"/>
      <w:bookmarkStart w:id="207" w:name="_Toc517423477"/>
      <w:bookmarkStart w:id="208" w:name="_Toc517422449"/>
      <w:bookmarkStart w:id="209" w:name="_Toc2258"/>
      <w:bookmarkStart w:id="210" w:name="_Toc39"/>
      <w:bookmarkStart w:id="211" w:name="_Toc9061"/>
      <w:r>
        <w:rPr>
          <w:rFonts w:hint="eastAsia" w:ascii="宋体" w:hAnsi="宋体" w:eastAsia="宋体" w:cs="宋体"/>
          <w:color w:val="auto"/>
          <w:highlight w:val="none"/>
        </w:rPr>
        <w:t>本项目不缴纳磋商保证金</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8.响应文件有效期</w:t>
      </w:r>
      <w:bookmarkEnd w:id="200"/>
      <w:bookmarkEnd w:id="201"/>
      <w:bookmarkEnd w:id="202"/>
      <w:bookmarkEnd w:id="203"/>
      <w:bookmarkEnd w:id="204"/>
      <w:bookmarkEnd w:id="205"/>
      <w:bookmarkEnd w:id="206"/>
      <w:bookmarkEnd w:id="207"/>
      <w:bookmarkEnd w:id="208"/>
      <w:bookmarkEnd w:id="209"/>
      <w:bookmarkEnd w:id="210"/>
      <w:bookmarkEnd w:id="211"/>
      <w:r>
        <w:rPr>
          <w:rFonts w:hint="eastAsia" w:ascii="宋体" w:hAnsi="宋体" w:eastAsia="宋体" w:cs="宋体"/>
          <w:color w:val="auto"/>
          <w:highlight w:val="none"/>
        </w:rPr>
        <w:t>（实质性要求）</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本项目响应文件有效期为递交磋商响应文件截止之日起</w:t>
      </w:r>
      <w:r>
        <w:rPr>
          <w:rFonts w:hint="eastAsia" w:ascii="宋体" w:hAnsi="宋体" w:eastAsia="宋体" w:cs="宋体"/>
          <w:b/>
          <w:bCs/>
          <w:color w:val="auto"/>
          <w:highlight w:val="none"/>
        </w:rPr>
        <w:t>90天</w:t>
      </w:r>
      <w:r>
        <w:rPr>
          <w:rFonts w:hint="eastAsia" w:ascii="宋体" w:hAnsi="宋体" w:eastAsia="宋体" w:cs="宋体"/>
          <w:color w:val="auto"/>
          <w:highlight w:val="none"/>
        </w:rPr>
        <w:t>。供应商响应文件中必须载明响应文件有效期，响应文件中载明的响应文件有效期可以长于磋商文件规定的期限，但不得短于磋商文件规定的期限。否则，其响应文件将作为无效处理。</w:t>
      </w:r>
    </w:p>
    <w:bookmarkEnd w:id="163"/>
    <w:p>
      <w:pPr>
        <w:pStyle w:val="5"/>
        <w:spacing w:before="120" w:afterLines="50" w:line="360" w:lineRule="auto"/>
        <w:ind w:right="-94" w:rightChars="-39" w:firstLine="482"/>
        <w:rPr>
          <w:rFonts w:hint="eastAsia" w:ascii="宋体" w:hAnsi="宋体" w:eastAsia="宋体" w:cs="宋体"/>
          <w:color w:val="auto"/>
          <w:highlight w:val="none"/>
        </w:rPr>
      </w:pPr>
      <w:bookmarkStart w:id="212" w:name="_Toc15365"/>
      <w:bookmarkStart w:id="213" w:name="_Toc28319"/>
      <w:bookmarkStart w:id="214" w:name="_Toc517422450"/>
      <w:bookmarkStart w:id="215" w:name="_Toc30233"/>
      <w:bookmarkStart w:id="216" w:name="_Toc5967"/>
      <w:bookmarkStart w:id="217" w:name="_Toc22606"/>
      <w:bookmarkStart w:id="218" w:name="_Toc24104"/>
      <w:bookmarkStart w:id="219" w:name="_Toc4266"/>
      <w:bookmarkStart w:id="220" w:name="_Toc14772"/>
      <w:bookmarkStart w:id="221" w:name="_Toc337"/>
      <w:bookmarkStart w:id="222" w:name="_Toc28438"/>
      <w:bookmarkStart w:id="223" w:name="_Toc517423478"/>
      <w:bookmarkStart w:id="224" w:name="_Toc239648584"/>
      <w:r>
        <w:rPr>
          <w:rFonts w:hint="eastAsia" w:ascii="宋体" w:hAnsi="宋体" w:eastAsia="宋体" w:cs="宋体"/>
          <w:color w:val="auto"/>
          <w:highlight w:val="none"/>
        </w:rPr>
        <w:t>9.知识产权</w:t>
      </w:r>
      <w:bookmarkEnd w:id="212"/>
      <w:bookmarkEnd w:id="213"/>
      <w:bookmarkEnd w:id="214"/>
      <w:bookmarkEnd w:id="215"/>
      <w:bookmarkEnd w:id="216"/>
      <w:bookmarkEnd w:id="217"/>
      <w:bookmarkEnd w:id="218"/>
      <w:bookmarkEnd w:id="219"/>
      <w:bookmarkEnd w:id="220"/>
      <w:bookmarkEnd w:id="221"/>
      <w:bookmarkEnd w:id="222"/>
      <w:bookmarkEnd w:id="223"/>
      <w:r>
        <w:rPr>
          <w:rFonts w:hint="eastAsia" w:ascii="宋体" w:hAnsi="宋体" w:eastAsia="宋体" w:cs="宋体"/>
          <w:color w:val="auto"/>
          <w:highlight w:val="none"/>
        </w:rPr>
        <w:t>（实质性要求）</w:t>
      </w:r>
    </w:p>
    <w:p>
      <w:pPr>
        <w:pStyle w:val="16"/>
        <w:spacing w:afterLines="50" w:line="360" w:lineRule="auto"/>
        <w:ind w:right="-94" w:rightChars="-3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 </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eastAsia="宋体" w:cs="宋体"/>
          <w:color w:val="auto"/>
          <w:sz w:val="24"/>
          <w:highlight w:val="none"/>
        </w:rPr>
        <w:t>供应商</w:t>
      </w:r>
      <w:r>
        <w:rPr>
          <w:rFonts w:hint="eastAsia" w:ascii="宋体" w:hAnsi="宋体" w:eastAsia="宋体" w:cs="宋体"/>
          <w:color w:val="auto"/>
          <w:sz w:val="24"/>
          <w:szCs w:val="24"/>
          <w:highlight w:val="none"/>
        </w:rPr>
        <w:t>承担所有相关责任。</w:t>
      </w:r>
    </w:p>
    <w:p>
      <w:pPr>
        <w:pStyle w:val="16"/>
        <w:spacing w:afterLines="50" w:line="360" w:lineRule="auto"/>
        <w:ind w:right="-94" w:rightChars="-3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除非磋商文件特别规定，采购人享有本项目实施过程中产生的知识成果及知识产权。</w:t>
      </w:r>
    </w:p>
    <w:p>
      <w:pPr>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9.3 如采用供应商所不拥有的知识产权，则在报价中必须包括合法获取该知识产权的相关费用。 </w:t>
      </w:r>
    </w:p>
    <w:bookmarkEnd w:id="224"/>
    <w:p>
      <w:pPr>
        <w:pStyle w:val="4"/>
        <w:keepNext w:val="0"/>
        <w:keepLines w:val="0"/>
        <w:spacing w:before="0" w:after="0" w:line="360" w:lineRule="auto"/>
        <w:ind w:right="-94" w:rightChars="-39"/>
        <w:rPr>
          <w:rFonts w:hint="eastAsia" w:ascii="宋体" w:hAnsi="宋体" w:eastAsia="宋体" w:cs="宋体"/>
          <w:color w:val="auto"/>
          <w:highlight w:val="none"/>
        </w:rPr>
      </w:pPr>
      <w:bookmarkStart w:id="225" w:name="_Toc15913"/>
      <w:bookmarkStart w:id="226" w:name="_Toc32252"/>
      <w:bookmarkStart w:id="227" w:name="_Toc14735"/>
      <w:bookmarkStart w:id="228" w:name="_Toc24784"/>
      <w:bookmarkStart w:id="229" w:name="_Toc517423479"/>
      <w:bookmarkStart w:id="230" w:name="_Toc23485"/>
      <w:bookmarkStart w:id="231" w:name="_Toc517422451"/>
      <w:bookmarkStart w:id="232" w:name="_Toc30883"/>
      <w:bookmarkStart w:id="233" w:name="_Toc11789"/>
      <w:bookmarkStart w:id="234" w:name="_Toc31263"/>
      <w:bookmarkStart w:id="235" w:name="_Toc14962"/>
      <w:bookmarkStart w:id="236" w:name="_Toc32714"/>
      <w:r>
        <w:rPr>
          <w:rFonts w:hint="eastAsia" w:ascii="宋体" w:hAnsi="宋体" w:eastAsia="宋体" w:cs="宋体"/>
          <w:color w:val="auto"/>
          <w:highlight w:val="none"/>
        </w:rPr>
        <w:t>三、磋商文件</w:t>
      </w:r>
      <w:bookmarkEnd w:id="225"/>
      <w:bookmarkEnd w:id="226"/>
      <w:bookmarkEnd w:id="227"/>
      <w:bookmarkEnd w:id="228"/>
      <w:bookmarkEnd w:id="229"/>
      <w:bookmarkEnd w:id="230"/>
      <w:bookmarkEnd w:id="231"/>
      <w:bookmarkEnd w:id="232"/>
      <w:bookmarkEnd w:id="233"/>
      <w:bookmarkEnd w:id="234"/>
      <w:bookmarkEnd w:id="235"/>
      <w:bookmarkEnd w:id="236"/>
    </w:p>
    <w:p>
      <w:pPr>
        <w:pStyle w:val="5"/>
        <w:spacing w:before="120" w:afterLines="50" w:line="360" w:lineRule="auto"/>
        <w:ind w:right="-94" w:rightChars="-39" w:firstLine="482"/>
        <w:rPr>
          <w:rFonts w:hint="eastAsia" w:ascii="宋体" w:hAnsi="宋体" w:eastAsia="宋体" w:cs="宋体"/>
          <w:color w:val="auto"/>
          <w:highlight w:val="none"/>
          <w:lang w:val="en-US"/>
        </w:rPr>
      </w:pPr>
      <w:bookmarkStart w:id="237" w:name="_Toc29724"/>
      <w:bookmarkStart w:id="238" w:name="_Toc28529"/>
      <w:bookmarkStart w:id="239" w:name="_Toc26755"/>
      <w:bookmarkStart w:id="240" w:name="_Toc8312"/>
      <w:bookmarkStart w:id="241" w:name="_Toc12001"/>
      <w:bookmarkStart w:id="242" w:name="_Toc734"/>
      <w:bookmarkStart w:id="243" w:name="_Toc20809"/>
      <w:bookmarkStart w:id="244" w:name="_Toc517423480"/>
      <w:bookmarkStart w:id="245" w:name="_Toc27622"/>
      <w:bookmarkStart w:id="246" w:name="_Toc3737"/>
      <w:bookmarkStart w:id="247" w:name="_Toc517422452"/>
      <w:bookmarkStart w:id="248" w:name="_Toc11353"/>
      <w:r>
        <w:rPr>
          <w:rFonts w:hint="eastAsia" w:ascii="宋体" w:hAnsi="宋体" w:eastAsia="宋体" w:cs="宋体"/>
          <w:color w:val="auto"/>
          <w:highlight w:val="none"/>
          <w:lang w:val="en-US"/>
        </w:rPr>
        <w:t>10.</w:t>
      </w:r>
      <w:r>
        <w:rPr>
          <w:rFonts w:hint="eastAsia" w:ascii="宋体" w:hAnsi="宋体" w:eastAsia="宋体" w:cs="宋体"/>
          <w:color w:val="auto"/>
          <w:highlight w:val="none"/>
        </w:rPr>
        <w:t>磋商文件的构成</w:t>
      </w:r>
      <w:bookmarkEnd w:id="237"/>
      <w:bookmarkEnd w:id="238"/>
      <w:bookmarkEnd w:id="239"/>
      <w:bookmarkEnd w:id="240"/>
      <w:bookmarkEnd w:id="241"/>
      <w:bookmarkEnd w:id="242"/>
      <w:bookmarkEnd w:id="243"/>
      <w:bookmarkEnd w:id="244"/>
      <w:bookmarkEnd w:id="245"/>
      <w:bookmarkEnd w:id="246"/>
      <w:bookmarkEnd w:id="247"/>
      <w:bookmarkEnd w:id="248"/>
      <w:r>
        <w:rPr>
          <w:rFonts w:hint="eastAsia" w:ascii="宋体" w:hAnsi="宋体" w:eastAsia="宋体" w:cs="宋体"/>
          <w:color w:val="auto"/>
          <w:highlight w:val="none"/>
        </w:rPr>
        <w:t>（实质性要求）</w:t>
      </w:r>
    </w:p>
    <w:p>
      <w:pPr>
        <w:tabs>
          <w:tab w:val="left" w:pos="720"/>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b/>
          <w:bCs/>
          <w:color w:val="auto"/>
          <w:highlight w:val="none"/>
        </w:rPr>
        <w:t>.</w:t>
      </w:r>
      <w:r>
        <w:rPr>
          <w:rFonts w:hint="eastAsia" w:ascii="宋体" w:hAnsi="宋体" w:eastAsia="宋体" w:cs="宋体"/>
          <w:color w:val="auto"/>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b/>
          <w:bCs/>
          <w:color w:val="auto"/>
          <w:highlight w:val="none"/>
        </w:rPr>
        <w:t>.</w:t>
      </w:r>
      <w:r>
        <w:rPr>
          <w:rFonts w:hint="eastAsia" w:ascii="宋体" w:hAnsi="宋体" w:eastAsia="宋体" w:cs="宋体"/>
          <w:color w:val="auto"/>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spacing w:before="120" w:afterLines="50" w:line="360" w:lineRule="auto"/>
        <w:ind w:right="-94" w:rightChars="-39" w:firstLine="482"/>
        <w:rPr>
          <w:rFonts w:hint="eastAsia" w:ascii="宋体" w:hAnsi="宋体" w:eastAsia="宋体" w:cs="宋体"/>
          <w:color w:val="auto"/>
          <w:highlight w:val="none"/>
        </w:rPr>
      </w:pPr>
      <w:bookmarkStart w:id="249" w:name="_Toc2596"/>
      <w:bookmarkStart w:id="250" w:name="_Toc517422453"/>
      <w:bookmarkStart w:id="251" w:name="_Toc11122"/>
      <w:bookmarkStart w:id="252" w:name="_Toc21686"/>
      <w:bookmarkStart w:id="253" w:name="_Toc30398"/>
      <w:bookmarkStart w:id="254" w:name="_Toc11048"/>
      <w:bookmarkStart w:id="255" w:name="_Toc19247"/>
      <w:bookmarkStart w:id="256" w:name="_Toc4491"/>
      <w:bookmarkStart w:id="257" w:name="_Toc517423481"/>
      <w:bookmarkStart w:id="258" w:name="_Toc21077"/>
      <w:bookmarkStart w:id="259" w:name="_Toc31926"/>
      <w:bookmarkStart w:id="260" w:name="_Toc7162"/>
      <w:r>
        <w:rPr>
          <w:rFonts w:hint="eastAsia" w:ascii="宋体" w:hAnsi="宋体" w:eastAsia="宋体" w:cs="宋体"/>
          <w:color w:val="auto"/>
          <w:highlight w:val="none"/>
        </w:rPr>
        <w:t>11.磋商文件的澄清和修改</w:t>
      </w:r>
      <w:bookmarkEnd w:id="249"/>
      <w:bookmarkEnd w:id="250"/>
      <w:bookmarkEnd w:id="251"/>
      <w:bookmarkEnd w:id="252"/>
      <w:bookmarkEnd w:id="253"/>
      <w:bookmarkEnd w:id="254"/>
      <w:bookmarkEnd w:id="255"/>
      <w:bookmarkEnd w:id="256"/>
      <w:bookmarkEnd w:id="257"/>
      <w:bookmarkEnd w:id="258"/>
      <w:bookmarkEnd w:id="259"/>
      <w:bookmarkEnd w:id="260"/>
    </w:p>
    <w:p>
      <w:pPr>
        <w:tabs>
          <w:tab w:val="left" w:pos="720"/>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11.1 在递交响应文件截止时间前，采购人、采购代理机构可以对磋商文件进行澄清或者修改。</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11.2 采购代理机构对已发出的磋商文件进行澄清或者修改，应当以书面形式将澄清或者修改的内容通知所有购买了磋商文件的供应商，同时在</w:t>
      </w:r>
      <w:r>
        <w:rPr>
          <w:rFonts w:hint="eastAsia" w:ascii="宋体" w:hAnsi="宋体" w:eastAsia="宋体" w:cs="宋体"/>
          <w:bCs/>
          <w:color w:val="auto"/>
          <w:szCs w:val="22"/>
          <w:highlight w:val="none"/>
          <w:lang w:eastAsia="zh-CN"/>
        </w:rPr>
        <w:t>四川政府采购网发</w:t>
      </w:r>
      <w:r>
        <w:rPr>
          <w:rFonts w:hint="eastAsia" w:ascii="宋体" w:hAnsi="宋体" w:eastAsia="宋体" w:cs="宋体"/>
          <w:color w:val="auto"/>
          <w:szCs w:val="22"/>
          <w:highlight w:val="none"/>
        </w:rPr>
        <w:t>布更正公告。该澄清或者修改的内容为磋商文件的组成部分，澄清</w:t>
      </w:r>
      <w:r>
        <w:rPr>
          <w:rFonts w:hint="eastAsia" w:ascii="宋体" w:hAnsi="宋体" w:eastAsia="宋体" w:cs="宋体"/>
          <w:color w:val="auto"/>
          <w:highlight w:val="none"/>
        </w:rPr>
        <w:t>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11.3供应商认为采购人/采购代理机构需要对磋商文件进行澄清或者修改的，可以在递交响应文件截止时间5日前以书面形式向采购人/采购代理机构提出申请，由采购人/采购代理机构决定是否采纳供应商的申请事项。</w:t>
      </w:r>
    </w:p>
    <w:p>
      <w:pPr>
        <w:pStyle w:val="5"/>
        <w:spacing w:before="120" w:afterLines="50" w:line="360" w:lineRule="auto"/>
        <w:ind w:right="-94" w:rightChars="-39" w:firstLine="482"/>
        <w:rPr>
          <w:rFonts w:hint="eastAsia" w:ascii="宋体" w:hAnsi="宋体" w:eastAsia="宋体" w:cs="宋体"/>
          <w:color w:val="auto"/>
          <w:highlight w:val="none"/>
        </w:rPr>
      </w:pPr>
      <w:bookmarkStart w:id="261" w:name="_Toc6361"/>
      <w:bookmarkStart w:id="262" w:name="_Toc9962"/>
      <w:bookmarkStart w:id="263" w:name="_Toc517422454"/>
      <w:bookmarkStart w:id="264" w:name="_Toc517423482"/>
      <w:bookmarkStart w:id="265" w:name="_Toc5213"/>
      <w:bookmarkStart w:id="266" w:name="_Toc25579"/>
      <w:bookmarkStart w:id="267" w:name="_Toc26726"/>
      <w:bookmarkStart w:id="268" w:name="_Toc20018"/>
      <w:bookmarkStart w:id="269" w:name="_Toc8864"/>
      <w:bookmarkStart w:id="270" w:name="_Toc29456"/>
      <w:bookmarkStart w:id="271" w:name="_Toc23658"/>
      <w:bookmarkStart w:id="272" w:name="_Toc18140"/>
      <w:r>
        <w:rPr>
          <w:rFonts w:hint="eastAsia" w:ascii="宋体" w:hAnsi="宋体" w:eastAsia="宋体" w:cs="宋体"/>
          <w:color w:val="auto"/>
          <w:highlight w:val="none"/>
        </w:rPr>
        <w:t>12.答疑会和现场考察</w:t>
      </w:r>
      <w:bookmarkEnd w:id="261"/>
      <w:bookmarkEnd w:id="262"/>
      <w:bookmarkEnd w:id="263"/>
      <w:bookmarkEnd w:id="264"/>
      <w:bookmarkEnd w:id="265"/>
      <w:bookmarkEnd w:id="266"/>
      <w:bookmarkEnd w:id="267"/>
      <w:bookmarkEnd w:id="268"/>
      <w:bookmarkEnd w:id="269"/>
      <w:bookmarkEnd w:id="270"/>
      <w:bookmarkEnd w:id="271"/>
      <w:bookmarkEnd w:id="272"/>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12.1 根据采购项目和具体情况，采购人、采购代理机构认为有必要，可以在磋商文件提供期限截止后响应文件提交截止前，组织已获取磋商文件的潜在供应商现场考察或者召开答疑会。</w:t>
      </w:r>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after="50" w:line="360" w:lineRule="auto"/>
        <w:ind w:right="-94" w:rightChars="-39" w:firstLine="420" w:firstLineChars="175"/>
        <w:rPr>
          <w:rFonts w:hint="eastAsia" w:ascii="宋体" w:hAnsi="宋体" w:eastAsia="宋体" w:cs="宋体"/>
          <w:color w:val="auto"/>
          <w:highlight w:val="none"/>
        </w:rPr>
      </w:pPr>
      <w:r>
        <w:rPr>
          <w:rFonts w:hint="eastAsia" w:ascii="宋体" w:hAnsi="宋体" w:eastAsia="宋体" w:cs="宋体"/>
          <w:color w:val="auto"/>
          <w:highlight w:val="none"/>
        </w:rPr>
        <w:t>12.3 供应商考察现场或者参加答疑会所发生的一切费用由供应商自己承担。</w:t>
      </w:r>
    </w:p>
    <w:p>
      <w:pPr>
        <w:pStyle w:val="4"/>
        <w:keepNext w:val="0"/>
        <w:keepLines w:val="0"/>
        <w:spacing w:before="0" w:after="0" w:line="360" w:lineRule="auto"/>
        <w:ind w:right="-94" w:rightChars="-39"/>
        <w:rPr>
          <w:rFonts w:hint="eastAsia" w:ascii="宋体" w:hAnsi="宋体" w:eastAsia="宋体" w:cs="宋体"/>
          <w:color w:val="auto"/>
          <w:highlight w:val="none"/>
        </w:rPr>
      </w:pPr>
      <w:bookmarkStart w:id="273" w:name="_Toc31809"/>
      <w:bookmarkStart w:id="274" w:name="_Toc517422455"/>
      <w:bookmarkStart w:id="275" w:name="_Toc5773"/>
      <w:bookmarkStart w:id="276" w:name="_Toc26259"/>
      <w:bookmarkStart w:id="277" w:name="_Toc18182"/>
      <w:bookmarkStart w:id="278" w:name="_Toc16244"/>
      <w:bookmarkStart w:id="279" w:name="_Toc6684"/>
      <w:bookmarkStart w:id="280" w:name="_Toc6951"/>
      <w:bookmarkStart w:id="281" w:name="_Toc3872"/>
      <w:bookmarkStart w:id="282" w:name="_Toc25148"/>
      <w:bookmarkStart w:id="283" w:name="_Toc517423483"/>
      <w:bookmarkStart w:id="284" w:name="_Toc23752"/>
    </w:p>
    <w:p>
      <w:pPr>
        <w:pStyle w:val="4"/>
        <w:keepNext w:val="0"/>
        <w:keepLines w:val="0"/>
        <w:spacing w:before="0" w:after="0" w:line="360" w:lineRule="auto"/>
        <w:ind w:right="-94" w:rightChars="-39"/>
        <w:rPr>
          <w:rFonts w:hint="eastAsia" w:ascii="宋体" w:hAnsi="宋体" w:eastAsia="宋体" w:cs="宋体"/>
          <w:color w:val="auto"/>
          <w:highlight w:val="none"/>
        </w:rPr>
      </w:pPr>
    </w:p>
    <w:p>
      <w:pPr>
        <w:pStyle w:val="4"/>
        <w:keepNext w:val="0"/>
        <w:keepLines w:val="0"/>
        <w:spacing w:before="0" w:after="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四、响应文件</w:t>
      </w:r>
      <w:bookmarkEnd w:id="273"/>
      <w:bookmarkEnd w:id="274"/>
      <w:bookmarkEnd w:id="275"/>
      <w:bookmarkEnd w:id="276"/>
      <w:bookmarkEnd w:id="277"/>
      <w:bookmarkEnd w:id="278"/>
      <w:bookmarkEnd w:id="279"/>
      <w:bookmarkEnd w:id="280"/>
      <w:bookmarkEnd w:id="281"/>
      <w:bookmarkEnd w:id="282"/>
      <w:bookmarkEnd w:id="283"/>
      <w:bookmarkEnd w:id="284"/>
    </w:p>
    <w:p>
      <w:pPr>
        <w:pStyle w:val="5"/>
        <w:spacing w:before="120" w:afterLines="50" w:line="360" w:lineRule="auto"/>
        <w:ind w:right="-94" w:rightChars="-39" w:firstLine="482"/>
        <w:rPr>
          <w:rFonts w:hint="eastAsia" w:ascii="宋体" w:hAnsi="宋体" w:eastAsia="宋体" w:cs="宋体"/>
          <w:color w:val="auto"/>
          <w:highlight w:val="none"/>
        </w:rPr>
      </w:pPr>
      <w:bookmarkStart w:id="285" w:name="_Toc517423484"/>
      <w:bookmarkStart w:id="286" w:name="_Toc29567"/>
      <w:bookmarkStart w:id="287" w:name="_Toc23198"/>
      <w:bookmarkStart w:id="288" w:name="_Toc29959"/>
      <w:bookmarkStart w:id="289" w:name="_Toc3401"/>
      <w:bookmarkStart w:id="290" w:name="_Toc11055"/>
      <w:bookmarkStart w:id="291" w:name="_Toc22807"/>
      <w:bookmarkStart w:id="292" w:name="_Toc20904"/>
      <w:bookmarkStart w:id="293" w:name="_Toc517422456"/>
      <w:bookmarkStart w:id="294" w:name="_Toc25633"/>
      <w:bookmarkStart w:id="295" w:name="_Toc29093"/>
      <w:bookmarkStart w:id="296" w:name="_Toc32290"/>
      <w:r>
        <w:rPr>
          <w:rFonts w:hint="eastAsia" w:ascii="宋体" w:hAnsi="宋体" w:eastAsia="宋体" w:cs="宋体"/>
          <w:color w:val="auto"/>
          <w:highlight w:val="none"/>
        </w:rPr>
        <w:t>13.响应文件的组成</w:t>
      </w:r>
      <w:bookmarkEnd w:id="285"/>
      <w:bookmarkEnd w:id="286"/>
      <w:bookmarkEnd w:id="287"/>
      <w:bookmarkEnd w:id="288"/>
      <w:bookmarkEnd w:id="289"/>
      <w:bookmarkEnd w:id="290"/>
      <w:bookmarkEnd w:id="291"/>
      <w:bookmarkEnd w:id="292"/>
      <w:bookmarkEnd w:id="293"/>
      <w:bookmarkEnd w:id="294"/>
      <w:bookmarkEnd w:id="295"/>
      <w:bookmarkEnd w:id="296"/>
      <w:r>
        <w:rPr>
          <w:rFonts w:hint="eastAsia" w:ascii="宋体" w:hAnsi="宋体" w:eastAsia="宋体" w:cs="宋体"/>
          <w:color w:val="auto"/>
          <w:highlight w:val="none"/>
        </w:rPr>
        <w:t>（实质性要求）</w:t>
      </w:r>
    </w:p>
    <w:p>
      <w:pPr>
        <w:spacing w:afterLines="50" w:line="360" w:lineRule="auto"/>
        <w:ind w:left="2" w:leftChars="1"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供应商应按照磋商文件的规定和要求编制响应文件。供应商在成交后将成交项目的非主体、非关键性工作分包他人完成的，应当在响应文件中载明或磋商过程中澄清。供应商编写的响应文件应包括</w:t>
      </w:r>
      <w:r>
        <w:rPr>
          <w:rFonts w:hint="eastAsia" w:ascii="宋体" w:hAnsi="宋体" w:eastAsia="宋体" w:cs="宋体"/>
          <w:b/>
          <w:color w:val="auto"/>
          <w:highlight w:val="none"/>
        </w:rPr>
        <w:t>资格性响应文件和其他响应文件两部分</w:t>
      </w:r>
      <w:r>
        <w:rPr>
          <w:rFonts w:hint="eastAsia" w:ascii="宋体" w:hAnsi="宋体" w:eastAsia="宋体" w:cs="宋体"/>
          <w:color w:val="auto"/>
          <w:highlight w:val="none"/>
        </w:rPr>
        <w:t>。</w:t>
      </w:r>
    </w:p>
    <w:p>
      <w:pPr>
        <w:pStyle w:val="5"/>
        <w:spacing w:before="120" w:afterLines="50" w:line="360" w:lineRule="auto"/>
        <w:ind w:right="-94" w:rightChars="-39" w:firstLine="482"/>
        <w:rPr>
          <w:rFonts w:hint="eastAsia" w:ascii="宋体" w:hAnsi="宋体" w:eastAsia="宋体" w:cs="宋体"/>
          <w:color w:val="auto"/>
          <w:highlight w:val="none"/>
        </w:rPr>
      </w:pPr>
      <w:bookmarkStart w:id="297" w:name="_Toc31046"/>
      <w:bookmarkStart w:id="298" w:name="_Toc517422457"/>
      <w:bookmarkStart w:id="299" w:name="_Toc7918"/>
      <w:bookmarkStart w:id="300" w:name="_Toc25292"/>
      <w:bookmarkStart w:id="301" w:name="_Toc32021"/>
      <w:bookmarkStart w:id="302" w:name="_Toc26688"/>
      <w:bookmarkStart w:id="303" w:name="_Toc8927"/>
      <w:bookmarkStart w:id="304" w:name="_Toc12032"/>
      <w:bookmarkStart w:id="305" w:name="_Toc16339"/>
      <w:bookmarkStart w:id="306" w:name="_Toc12235"/>
      <w:bookmarkStart w:id="307" w:name="_Toc517423485"/>
      <w:bookmarkStart w:id="308" w:name="_Toc3037"/>
      <w:r>
        <w:rPr>
          <w:rFonts w:hint="eastAsia" w:ascii="宋体" w:hAnsi="宋体" w:eastAsia="宋体" w:cs="宋体"/>
          <w:color w:val="auto"/>
          <w:highlight w:val="none"/>
        </w:rPr>
        <w:t>14.响应文件的语言</w:t>
      </w:r>
      <w:bookmarkEnd w:id="297"/>
      <w:bookmarkEnd w:id="298"/>
      <w:bookmarkEnd w:id="299"/>
      <w:bookmarkEnd w:id="300"/>
      <w:bookmarkEnd w:id="301"/>
      <w:bookmarkEnd w:id="302"/>
      <w:bookmarkEnd w:id="303"/>
      <w:bookmarkEnd w:id="304"/>
      <w:bookmarkEnd w:id="305"/>
      <w:bookmarkEnd w:id="306"/>
      <w:bookmarkEnd w:id="307"/>
      <w:bookmarkEnd w:id="308"/>
      <w:r>
        <w:rPr>
          <w:rFonts w:hint="eastAsia" w:ascii="宋体" w:hAnsi="宋体" w:eastAsia="宋体" w:cs="宋体"/>
          <w:color w:val="auto"/>
          <w:highlight w:val="none"/>
        </w:rPr>
        <w:t>（实质性要求）</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14.1 供应商提交的响应文件以及供应商与采购人、采购代理机构就有关报价的所有来往书面文件均须使用中文。</w:t>
      </w:r>
      <w:r>
        <w:rPr>
          <w:rFonts w:hint="eastAsia" w:ascii="宋体" w:hAnsi="宋体" w:eastAsia="宋体" w:cs="宋体"/>
          <w:b/>
          <w:color w:val="auto"/>
          <w:highlight w:val="none"/>
        </w:rPr>
        <w:t>响应文件中如附有外文资料，必须逐一对应翻译成中文并加盖供应商公章后附在相关外文资料后面，否则，视为未提供该资料。</w:t>
      </w:r>
      <w:r>
        <w:rPr>
          <w:rFonts w:hint="eastAsia" w:ascii="宋体" w:hAnsi="宋体" w:eastAsia="宋体" w:cs="宋体"/>
          <w:color w:val="auto"/>
          <w:highlight w:val="none"/>
        </w:rPr>
        <w:t>（说明：对于供应商的法定代表人为外籍人士的，法定代表人的签字和护照、行业标准、国家标准、国际标准或行业认证等需要以非中文表述且不宜翻译为中文的除外。）</w:t>
      </w:r>
    </w:p>
    <w:p>
      <w:pPr>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14.2 翻译的中文资料与外文资料如果出现差异和矛盾，以中文为准。但不能故意错误翻译，否则</w:t>
      </w:r>
      <w:r>
        <w:rPr>
          <w:rFonts w:hint="eastAsia" w:ascii="宋体" w:hAnsi="宋体" w:eastAsia="宋体" w:cs="宋体"/>
          <w:color w:val="auto"/>
          <w:szCs w:val="22"/>
          <w:highlight w:val="none"/>
        </w:rPr>
        <w:t>，磋商小组可将其视为无效材料。</w:t>
      </w:r>
    </w:p>
    <w:p>
      <w:pPr>
        <w:pStyle w:val="5"/>
        <w:spacing w:before="120" w:afterLines="50" w:line="360" w:lineRule="auto"/>
        <w:ind w:right="-94" w:rightChars="-39" w:firstLine="482"/>
        <w:rPr>
          <w:rFonts w:hint="eastAsia" w:ascii="宋体" w:hAnsi="宋体" w:eastAsia="宋体" w:cs="宋体"/>
          <w:color w:val="auto"/>
          <w:highlight w:val="none"/>
        </w:rPr>
      </w:pPr>
      <w:bookmarkStart w:id="309" w:name="_Toc27951"/>
      <w:bookmarkStart w:id="310" w:name="_Toc2256"/>
      <w:bookmarkStart w:id="311" w:name="_Toc14188"/>
      <w:bookmarkStart w:id="312" w:name="_Toc22946"/>
      <w:bookmarkStart w:id="313" w:name="_Toc517423486"/>
      <w:bookmarkStart w:id="314" w:name="_Toc31111"/>
      <w:bookmarkStart w:id="315" w:name="_Toc30814"/>
      <w:bookmarkStart w:id="316" w:name="_Toc517422458"/>
      <w:bookmarkStart w:id="317" w:name="_Toc17184"/>
      <w:bookmarkStart w:id="318" w:name="_Toc30662"/>
      <w:bookmarkStart w:id="319" w:name="_Toc29932"/>
      <w:bookmarkStart w:id="320" w:name="_Toc14849"/>
      <w:r>
        <w:rPr>
          <w:rFonts w:hint="eastAsia" w:ascii="宋体" w:hAnsi="宋体" w:eastAsia="宋体" w:cs="宋体"/>
          <w:color w:val="auto"/>
          <w:highlight w:val="none"/>
        </w:rPr>
        <w:t>15.计量单位</w:t>
      </w:r>
      <w:bookmarkEnd w:id="309"/>
      <w:bookmarkEnd w:id="310"/>
      <w:bookmarkEnd w:id="311"/>
      <w:bookmarkEnd w:id="312"/>
      <w:bookmarkEnd w:id="313"/>
      <w:bookmarkEnd w:id="314"/>
      <w:bookmarkEnd w:id="315"/>
      <w:bookmarkEnd w:id="316"/>
      <w:bookmarkEnd w:id="317"/>
      <w:bookmarkEnd w:id="318"/>
      <w:bookmarkEnd w:id="319"/>
      <w:bookmarkEnd w:id="320"/>
      <w:r>
        <w:rPr>
          <w:rFonts w:hint="eastAsia" w:ascii="宋体" w:hAnsi="宋体" w:eastAsia="宋体" w:cs="宋体"/>
          <w:color w:val="auto"/>
          <w:highlight w:val="none"/>
        </w:rPr>
        <w:t>（实质性要求）</w:t>
      </w:r>
    </w:p>
    <w:p>
      <w:pPr>
        <w:spacing w:afterLines="50"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除磋商文件中另有规定外，本次采购项目所有合同项下的报价均采用国家法定的计量单位。</w:t>
      </w:r>
    </w:p>
    <w:p>
      <w:pPr>
        <w:pStyle w:val="5"/>
        <w:spacing w:before="120" w:afterLines="50" w:line="360" w:lineRule="auto"/>
        <w:ind w:right="-94" w:rightChars="-39" w:firstLine="482"/>
        <w:rPr>
          <w:rFonts w:hint="eastAsia" w:ascii="宋体" w:hAnsi="宋体" w:eastAsia="宋体" w:cs="宋体"/>
          <w:color w:val="auto"/>
          <w:highlight w:val="none"/>
        </w:rPr>
      </w:pPr>
      <w:bookmarkStart w:id="321" w:name="_Toc1766"/>
      <w:bookmarkStart w:id="322" w:name="_Toc19133"/>
      <w:bookmarkStart w:id="323" w:name="_Toc8427"/>
      <w:bookmarkStart w:id="324" w:name="_Toc19995"/>
      <w:bookmarkStart w:id="325" w:name="_Toc517423487"/>
      <w:bookmarkStart w:id="326" w:name="_Toc31842"/>
      <w:bookmarkStart w:id="327" w:name="_Toc517422459"/>
      <w:bookmarkStart w:id="328" w:name="_Toc26047"/>
      <w:bookmarkStart w:id="329" w:name="_Toc5484"/>
      <w:bookmarkStart w:id="330" w:name="_Toc25364"/>
      <w:bookmarkStart w:id="331" w:name="_Toc5282"/>
      <w:bookmarkStart w:id="332" w:name="_Toc3371"/>
      <w:r>
        <w:rPr>
          <w:rFonts w:hint="eastAsia" w:ascii="宋体" w:hAnsi="宋体" w:eastAsia="宋体" w:cs="宋体"/>
          <w:color w:val="auto"/>
          <w:highlight w:val="none"/>
        </w:rPr>
        <w:t>16. 报价部分</w:t>
      </w:r>
      <w:bookmarkEnd w:id="321"/>
      <w:bookmarkEnd w:id="322"/>
      <w:bookmarkEnd w:id="323"/>
      <w:bookmarkEnd w:id="324"/>
      <w:bookmarkEnd w:id="325"/>
      <w:bookmarkEnd w:id="326"/>
      <w:bookmarkEnd w:id="327"/>
      <w:bookmarkEnd w:id="328"/>
      <w:bookmarkEnd w:id="329"/>
      <w:bookmarkEnd w:id="330"/>
      <w:bookmarkEnd w:id="331"/>
      <w:bookmarkEnd w:id="332"/>
      <w:r>
        <w:rPr>
          <w:rFonts w:hint="eastAsia" w:ascii="宋体" w:hAnsi="宋体" w:eastAsia="宋体" w:cs="宋体"/>
          <w:color w:val="auto"/>
          <w:highlight w:val="none"/>
        </w:rPr>
        <w:t>（实质性要求）</w:t>
      </w:r>
    </w:p>
    <w:p>
      <w:pPr>
        <w:spacing w:afterLines="50"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bCs/>
          <w:color w:val="auto"/>
          <w:highlight w:val="none"/>
        </w:rPr>
        <w:t>供应商</w:t>
      </w:r>
      <w:r>
        <w:rPr>
          <w:rFonts w:hint="eastAsia" w:ascii="宋体" w:hAnsi="宋体" w:eastAsia="宋体" w:cs="宋体"/>
          <w:color w:val="auto"/>
          <w:highlight w:val="none"/>
        </w:rPr>
        <w:t>按照磋商文件要求填写的磋商报价表。本次磋商报价要求：</w:t>
      </w:r>
    </w:p>
    <w:p>
      <w:pPr>
        <w:pStyle w:val="92"/>
        <w:spacing w:afterLines="50" w:line="360" w:lineRule="auto"/>
        <w:ind w:right="-94" w:rightChars="-3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（1）所有报价货币一律以人民币报价。采购人不接受任何非人民币币种的报价。</w:t>
      </w:r>
    </w:p>
    <w:p>
      <w:pPr>
        <w:pStyle w:val="92"/>
        <w:spacing w:afterLines="50" w:line="360" w:lineRule="auto"/>
        <w:ind w:right="-94" w:rightChars="-39"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（2）本次磋商采购最后报价采用现场报价，通过资格审查的供应商按磋商小组要求进行报价。</w:t>
      </w:r>
    </w:p>
    <w:p>
      <w:pPr>
        <w:pStyle w:val="92"/>
        <w:spacing w:afterLines="50" w:line="360" w:lineRule="auto"/>
        <w:ind w:right="-94" w:rightChars="-39" w:firstLine="480"/>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供应商报价(包括最后报价)应为完成本竞争性磋商文件中所要求的</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val="zh-CN"/>
        </w:rPr>
        <w:t>所应包括内容的所有价格。</w:t>
      </w:r>
    </w:p>
    <w:p>
      <w:pPr>
        <w:pStyle w:val="92"/>
        <w:spacing w:afterLines="50" w:line="360" w:lineRule="auto"/>
        <w:ind w:right="-94" w:rightChars="-39"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（4）成交供应商的成交价是以最后报价表的报价为准</w:t>
      </w:r>
      <w:r>
        <w:rPr>
          <w:rFonts w:hint="eastAsia" w:ascii="宋体" w:hAnsi="宋体" w:eastAsia="宋体" w:cs="宋体"/>
          <w:b/>
          <w:bCs/>
          <w:color w:val="auto"/>
          <w:sz w:val="24"/>
          <w:highlight w:val="none"/>
        </w:rPr>
        <w:t>(在磋商现场由评审委员会通知现场报价，最后报价表格式详见第六章)，</w:t>
      </w:r>
      <w:r>
        <w:rPr>
          <w:rFonts w:hint="eastAsia" w:ascii="宋体" w:hAnsi="宋体" w:eastAsia="宋体" w:cs="宋体"/>
          <w:bCs/>
          <w:color w:val="auto"/>
          <w:sz w:val="24"/>
          <w:highlight w:val="none"/>
        </w:rPr>
        <w:t>并以此作为结算的依据。</w:t>
      </w:r>
    </w:p>
    <w:p>
      <w:pPr>
        <w:pStyle w:val="92"/>
        <w:spacing w:afterLines="50" w:line="360" w:lineRule="auto"/>
        <w:ind w:right="-94" w:rightChars="-3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（5）供应商提交的最后报价不得超过本项目采购控制价和报价函中的报价，否则将被作为无效响应文件处理。</w:t>
      </w:r>
    </w:p>
    <w:p>
      <w:pPr>
        <w:spacing w:afterLines="50" w:line="360" w:lineRule="auto"/>
        <w:ind w:left="2" w:leftChars="1" w:right="-94" w:rightChars="-39" w:firstLine="472" w:firstLineChars="197"/>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）供应商的失信行为受到行政处罚或司法惩处的，不得再对其以价格加成或扣分的方式进行惩戒。</w:t>
      </w:r>
    </w:p>
    <w:p>
      <w:pPr>
        <w:pStyle w:val="5"/>
        <w:spacing w:before="120" w:afterLines="50" w:line="360" w:lineRule="auto"/>
        <w:ind w:right="-94" w:rightChars="-39" w:firstLine="482"/>
        <w:rPr>
          <w:rFonts w:hint="eastAsia" w:ascii="宋体" w:hAnsi="宋体" w:eastAsia="宋体" w:cs="宋体"/>
          <w:color w:val="auto"/>
          <w:highlight w:val="none"/>
        </w:rPr>
      </w:pPr>
      <w:bookmarkStart w:id="333" w:name="_Toc27069"/>
      <w:bookmarkStart w:id="334" w:name="_Toc25204"/>
      <w:bookmarkStart w:id="335" w:name="_Toc16249"/>
      <w:bookmarkStart w:id="336" w:name="_Toc14064"/>
      <w:bookmarkStart w:id="337" w:name="_Toc3022"/>
      <w:bookmarkStart w:id="338" w:name="_Toc29489"/>
      <w:bookmarkStart w:id="339" w:name="_Toc745"/>
      <w:bookmarkStart w:id="340" w:name="_Toc32296"/>
      <w:bookmarkStart w:id="341" w:name="_Toc517422460"/>
      <w:bookmarkStart w:id="342" w:name="_Toc30200"/>
      <w:bookmarkStart w:id="343" w:name="_Toc517423488"/>
      <w:bookmarkStart w:id="344" w:name="_Toc5558"/>
      <w:r>
        <w:rPr>
          <w:rFonts w:hint="eastAsia" w:ascii="宋体" w:hAnsi="宋体" w:eastAsia="宋体" w:cs="宋体"/>
          <w:color w:val="auto"/>
          <w:highlight w:val="none"/>
        </w:rPr>
        <w:t>17.响应文件格式</w:t>
      </w:r>
      <w:bookmarkEnd w:id="333"/>
      <w:bookmarkEnd w:id="334"/>
      <w:bookmarkEnd w:id="335"/>
      <w:bookmarkEnd w:id="336"/>
      <w:bookmarkEnd w:id="337"/>
      <w:bookmarkEnd w:id="338"/>
      <w:bookmarkEnd w:id="339"/>
      <w:bookmarkEnd w:id="340"/>
      <w:bookmarkEnd w:id="341"/>
      <w:bookmarkEnd w:id="342"/>
      <w:bookmarkEnd w:id="343"/>
      <w:bookmarkEnd w:id="344"/>
    </w:p>
    <w:p>
      <w:pPr>
        <w:spacing w:afterLines="50" w:line="360" w:lineRule="auto"/>
        <w:ind w:left="2" w:leftChars="1" w:right="-94" w:rightChars="-39" w:firstLine="480"/>
        <w:rPr>
          <w:rFonts w:hint="eastAsia" w:ascii="宋体" w:hAnsi="宋体" w:eastAsia="宋体" w:cs="宋体"/>
          <w:bCs/>
          <w:color w:val="auto"/>
          <w:highlight w:val="none"/>
        </w:rPr>
      </w:pPr>
      <w:r>
        <w:rPr>
          <w:rFonts w:hint="eastAsia" w:ascii="宋体" w:hAnsi="宋体" w:eastAsia="宋体" w:cs="宋体"/>
          <w:bCs/>
          <w:color w:val="auto"/>
          <w:highlight w:val="none"/>
        </w:rPr>
        <w:t>17.1 供应商应执行磋商文件第六章的规定要求。</w:t>
      </w:r>
    </w:p>
    <w:p>
      <w:pPr>
        <w:spacing w:afterLines="50" w:line="360" w:lineRule="auto"/>
        <w:ind w:left="2" w:leftChars="1"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17.2 对于没有格式要求的磋商文件由供应商自行编写。</w:t>
      </w:r>
    </w:p>
    <w:p>
      <w:pPr>
        <w:pStyle w:val="5"/>
        <w:spacing w:before="120" w:afterLines="50" w:line="360" w:lineRule="auto"/>
        <w:ind w:right="-94" w:rightChars="-39" w:firstLine="482"/>
        <w:rPr>
          <w:rFonts w:hint="eastAsia" w:ascii="宋体" w:hAnsi="宋体" w:eastAsia="宋体" w:cs="宋体"/>
          <w:color w:val="auto"/>
          <w:kern w:val="0"/>
          <w:szCs w:val="22"/>
          <w:highlight w:val="none"/>
          <w:lang w:val="en-US"/>
        </w:rPr>
      </w:pPr>
      <w:bookmarkStart w:id="345" w:name="_Toc31297"/>
      <w:bookmarkStart w:id="346" w:name="_Toc517423489"/>
      <w:bookmarkStart w:id="347" w:name="_Toc11402"/>
      <w:bookmarkStart w:id="348" w:name="_Toc2669"/>
      <w:bookmarkStart w:id="349" w:name="_Toc3109"/>
      <w:bookmarkStart w:id="350" w:name="_Toc16447"/>
      <w:bookmarkStart w:id="351" w:name="_Toc7931"/>
      <w:bookmarkStart w:id="352" w:name="_Toc18518"/>
      <w:bookmarkStart w:id="353" w:name="_Toc29834"/>
      <w:bookmarkStart w:id="354" w:name="_Toc5107"/>
      <w:bookmarkStart w:id="355" w:name="_Toc517422461"/>
      <w:bookmarkStart w:id="356" w:name="_Toc13355"/>
      <w:r>
        <w:rPr>
          <w:rFonts w:hint="eastAsia" w:ascii="宋体" w:hAnsi="宋体" w:eastAsia="宋体" w:cs="宋体"/>
          <w:color w:val="auto"/>
          <w:highlight w:val="none"/>
        </w:rPr>
        <w:t>1</w:t>
      </w:r>
      <w:r>
        <w:rPr>
          <w:rFonts w:hint="eastAsia" w:ascii="宋体" w:hAnsi="宋体" w:eastAsia="宋体" w:cs="宋体"/>
          <w:color w:val="auto"/>
          <w:kern w:val="0"/>
          <w:szCs w:val="22"/>
          <w:highlight w:val="none"/>
          <w:lang w:val="en-US"/>
        </w:rPr>
        <w:t>8.响应文件的编制和签署</w:t>
      </w:r>
      <w:bookmarkEnd w:id="345"/>
      <w:bookmarkEnd w:id="346"/>
      <w:bookmarkEnd w:id="347"/>
      <w:bookmarkEnd w:id="348"/>
      <w:bookmarkEnd w:id="349"/>
      <w:bookmarkEnd w:id="350"/>
      <w:bookmarkEnd w:id="351"/>
      <w:bookmarkEnd w:id="352"/>
      <w:bookmarkEnd w:id="353"/>
      <w:bookmarkEnd w:id="354"/>
      <w:bookmarkEnd w:id="355"/>
      <w:bookmarkEnd w:id="356"/>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bookmarkStart w:id="357" w:name="_Toc13428"/>
      <w:bookmarkStart w:id="358" w:name="_Toc22099"/>
      <w:bookmarkStart w:id="359" w:name="_Toc32023"/>
      <w:bookmarkStart w:id="360" w:name="_Toc28145"/>
      <w:bookmarkStart w:id="361" w:name="_Toc24371"/>
      <w:bookmarkStart w:id="362" w:name="_Toc29732"/>
      <w:bookmarkStart w:id="363" w:name="_Toc9868"/>
      <w:bookmarkStart w:id="364" w:name="_Toc15231"/>
      <w:bookmarkStart w:id="365" w:name="_Toc23433"/>
      <w:bookmarkStart w:id="366" w:name="_Toc29092"/>
      <w:bookmarkStart w:id="367" w:name="_Toc517423490"/>
      <w:bookmarkStart w:id="368" w:name="_Toc517422462"/>
      <w:r>
        <w:rPr>
          <w:rFonts w:hint="eastAsia" w:ascii="宋体" w:hAnsi="宋体" w:eastAsia="宋体" w:cs="宋体"/>
          <w:b w:val="0"/>
          <w:i w:val="0"/>
          <w:caps w:val="0"/>
          <w:color w:val="auto"/>
          <w:spacing w:val="0"/>
          <w:w w:val="100"/>
          <w:sz w:val="24"/>
        </w:rPr>
        <w:t>18.1</w:t>
      </w:r>
      <w:r>
        <w:rPr>
          <w:rFonts w:hint="eastAsia" w:ascii="宋体" w:hAnsi="宋体" w:eastAsia="宋体" w:cs="宋体"/>
          <w:b/>
          <w:i w:val="0"/>
          <w:caps w:val="0"/>
          <w:color w:val="auto"/>
          <w:spacing w:val="0"/>
          <w:w w:val="100"/>
          <w:sz w:val="24"/>
        </w:rPr>
        <w:t>资格性响应文件正本1份副本2份</w:t>
      </w:r>
      <w:r>
        <w:rPr>
          <w:rFonts w:hint="eastAsia" w:ascii="宋体" w:hAnsi="宋体" w:eastAsia="宋体" w:cs="宋体"/>
          <w:b w:val="0"/>
          <w:i w:val="0"/>
          <w:caps w:val="0"/>
          <w:color w:val="auto"/>
          <w:spacing w:val="0"/>
          <w:w w:val="100"/>
          <w:sz w:val="24"/>
        </w:rPr>
        <w:t>，并在其封面上清楚地标明资格性响应文件、采购项目名称、采购项目编号、包件号及名称（若有）、供应商名称以及“正本”或“副本”字样。若正本和副本有不一致的内容，以正本书面响应文件为准。</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18.2</w:t>
      </w:r>
      <w:r>
        <w:rPr>
          <w:rFonts w:hint="eastAsia" w:ascii="宋体" w:hAnsi="宋体" w:eastAsia="宋体" w:cs="宋体"/>
          <w:b/>
          <w:i w:val="0"/>
          <w:caps w:val="0"/>
          <w:color w:val="auto"/>
          <w:spacing w:val="0"/>
          <w:w w:val="100"/>
          <w:sz w:val="24"/>
          <w:szCs w:val="22"/>
        </w:rPr>
        <w:t>其他响应</w:t>
      </w:r>
      <w:r>
        <w:rPr>
          <w:rFonts w:hint="eastAsia" w:ascii="宋体" w:hAnsi="宋体" w:eastAsia="宋体" w:cs="宋体"/>
          <w:b/>
          <w:i w:val="0"/>
          <w:caps w:val="0"/>
          <w:color w:val="auto"/>
          <w:spacing w:val="0"/>
          <w:w w:val="100"/>
          <w:sz w:val="24"/>
        </w:rPr>
        <w:t>文件正本1份副本2份</w:t>
      </w:r>
      <w:r>
        <w:rPr>
          <w:rFonts w:hint="eastAsia" w:ascii="宋体" w:hAnsi="宋体" w:eastAsia="宋体" w:cs="宋体"/>
          <w:b w:val="0"/>
          <w:i w:val="0"/>
          <w:caps w:val="0"/>
          <w:color w:val="auto"/>
          <w:spacing w:val="0"/>
          <w:w w:val="100"/>
          <w:sz w:val="24"/>
        </w:rPr>
        <w:t>，并在其封面上清楚地标明其他响应文件、采购项目名称、采购项目编号、包件号及名称（若有）、供应商名称以及“正本”或“副本”字样。若正本和副本有不一致的内容，以正本书面响应文件为准。</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18.3响应文件正本和副本均需在规定签章处签字和盖章。响应文件副本可采用正本的复印件</w:t>
      </w:r>
      <w:r>
        <w:rPr>
          <w:rFonts w:hint="eastAsia" w:ascii="宋体" w:hAnsi="宋体" w:eastAsia="宋体" w:cs="宋体"/>
          <w:b/>
          <w:i w:val="0"/>
          <w:caps w:val="0"/>
          <w:color w:val="auto"/>
          <w:spacing w:val="0"/>
          <w:w w:val="100"/>
          <w:sz w:val="24"/>
        </w:rPr>
        <w:t>。（本项目须提供电子文档，电子文档以U盘形式递交）</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18.4响应文件的打印和书写应清楚工整，任何行间插字、涂改或增删，必须由供应商的法定代表人或其授权代表签字并盖供应商公章。</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18.5</w:t>
      </w:r>
      <w:r>
        <w:rPr>
          <w:rFonts w:hint="eastAsia" w:ascii="宋体" w:hAnsi="宋体" w:eastAsia="宋体" w:cs="宋体"/>
          <w:b/>
          <w:i w:val="0"/>
          <w:caps w:val="0"/>
          <w:color w:val="auto"/>
          <w:spacing w:val="0"/>
          <w:w w:val="100"/>
          <w:sz w:val="24"/>
        </w:rPr>
        <w:t>（实质性要求）</w:t>
      </w:r>
      <w:r>
        <w:rPr>
          <w:rFonts w:hint="eastAsia" w:ascii="宋体" w:hAnsi="宋体" w:eastAsia="宋体" w:cs="宋体"/>
          <w:b w:val="0"/>
          <w:i w:val="0"/>
          <w:caps w:val="0"/>
          <w:color w:val="auto"/>
          <w:spacing w:val="0"/>
          <w:w w:val="100"/>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18.6响应文件正本和副本需要逐页编制目录和页码。</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18.7</w:t>
      </w:r>
      <w:r>
        <w:rPr>
          <w:rFonts w:hint="eastAsia" w:ascii="宋体" w:hAnsi="宋体" w:eastAsia="宋体" w:cs="宋体"/>
          <w:b/>
          <w:i w:val="0"/>
          <w:caps w:val="0"/>
          <w:color w:val="auto"/>
          <w:spacing w:val="0"/>
          <w:w w:val="100"/>
          <w:sz w:val="24"/>
        </w:rPr>
        <w:t>（实质性要求）</w:t>
      </w:r>
      <w:r>
        <w:rPr>
          <w:rFonts w:hint="eastAsia" w:ascii="宋体" w:hAnsi="宋体" w:eastAsia="宋体" w:cs="宋体"/>
          <w:b w:val="0"/>
          <w:i w:val="0"/>
          <w:caps w:val="0"/>
          <w:color w:val="auto"/>
          <w:spacing w:val="0"/>
          <w:w w:val="100"/>
          <w:sz w:val="24"/>
        </w:rPr>
        <w:t>响应文件正本和副本应当采用胶装方式装订成册，不得散装或者合页装订。</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18.8响应文件应根据磋商文件的要求制作，签署、盖章。（按照《四川省政府采购评审工作规程（修订）》规范）</w:t>
      </w:r>
    </w:p>
    <w:p>
      <w:pPr>
        <w:tabs>
          <w:tab w:val="left" w:pos="1080"/>
        </w:tabs>
        <w:snapToGrid w:val="0"/>
        <w:spacing w:before="0" w:beforeAutospacing="0" w:after="163" w:afterAutospacing="0" w:line="360" w:lineRule="auto"/>
        <w:ind w:right="-93" w:firstLine="460" w:firstLineChars="192"/>
        <w:jc w:val="both"/>
        <w:textAlignment w:val="baseline"/>
        <w:rPr>
          <w:rFonts w:hint="eastAsia" w:ascii="宋体" w:hAnsi="宋体" w:eastAsia="宋体" w:cs="宋体"/>
          <w:b w:val="0"/>
          <w:i w:val="0"/>
          <w:caps w:val="0"/>
          <w:color w:val="auto"/>
          <w:spacing w:val="0"/>
          <w:w w:val="100"/>
          <w:sz w:val="20"/>
        </w:rPr>
      </w:pPr>
      <w:r>
        <w:rPr>
          <w:rFonts w:hint="eastAsia" w:ascii="宋体" w:hAnsi="宋体" w:eastAsia="宋体" w:cs="宋体"/>
          <w:b w:val="0"/>
          <w:i w:val="0"/>
          <w:caps w:val="0"/>
          <w:color w:val="auto"/>
          <w:spacing w:val="0"/>
          <w:w w:val="100"/>
          <w:sz w:val="24"/>
        </w:rPr>
        <w:t>18.9响应文件统一用A4幅面纸印制，除另有规定外。</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19.响应文件的密封和标注</w:t>
      </w:r>
      <w:bookmarkEnd w:id="357"/>
      <w:bookmarkEnd w:id="358"/>
      <w:bookmarkEnd w:id="359"/>
      <w:bookmarkEnd w:id="360"/>
      <w:bookmarkEnd w:id="361"/>
      <w:bookmarkEnd w:id="362"/>
      <w:bookmarkEnd w:id="363"/>
      <w:bookmarkEnd w:id="364"/>
      <w:bookmarkEnd w:id="365"/>
      <w:r>
        <w:rPr>
          <w:rFonts w:hint="eastAsia" w:ascii="宋体" w:hAnsi="宋体" w:eastAsia="宋体" w:cs="宋体"/>
          <w:color w:val="auto"/>
          <w:highlight w:val="none"/>
        </w:rPr>
        <w:t>（不属于本项目磋商小组评审范畴，由采购代理机构在接收响应文件时及时处理）</w:t>
      </w:r>
      <w:bookmarkEnd w:id="366"/>
      <w:bookmarkEnd w:id="367"/>
      <w:bookmarkEnd w:id="368"/>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19.1 响应文件可以单独密封包装，也可以密封包装在一个密封袋内。</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19.2 响应文件密封袋的最外层应清楚地标明采购项目名称、采购项目编号、包件号及名称（若有）、供应商名称。</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19.3 所有外层密封袋的封口处应粘贴牢固。</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19.4 未按以上要求进行密封和标注的响应文件，采购代理机构将拒收或者在时间允许的范围内，要求修改完善后接收。</w:t>
      </w:r>
    </w:p>
    <w:p>
      <w:pPr>
        <w:pStyle w:val="5"/>
        <w:spacing w:before="120" w:afterLines="50" w:line="360" w:lineRule="auto"/>
        <w:ind w:right="-94" w:rightChars="-39" w:firstLine="482"/>
        <w:rPr>
          <w:rFonts w:hint="eastAsia" w:ascii="宋体" w:hAnsi="宋体" w:eastAsia="宋体" w:cs="宋体"/>
          <w:color w:val="auto"/>
          <w:highlight w:val="none"/>
        </w:rPr>
      </w:pPr>
      <w:bookmarkStart w:id="369" w:name="_Toc14954"/>
      <w:bookmarkStart w:id="370" w:name="_Toc26512"/>
      <w:bookmarkStart w:id="371" w:name="_Toc9510"/>
      <w:bookmarkStart w:id="372" w:name="_Toc13673"/>
      <w:bookmarkStart w:id="373" w:name="_Toc12976"/>
      <w:bookmarkStart w:id="374" w:name="_Toc14423"/>
      <w:bookmarkStart w:id="375" w:name="_Toc10757"/>
      <w:bookmarkStart w:id="376" w:name="_Toc517423491"/>
      <w:bookmarkStart w:id="377" w:name="_Toc517422463"/>
      <w:bookmarkStart w:id="378" w:name="_Toc13629"/>
      <w:bookmarkStart w:id="379" w:name="_Toc3641"/>
      <w:bookmarkStart w:id="380" w:name="_Toc15149"/>
      <w:r>
        <w:rPr>
          <w:rFonts w:hint="eastAsia" w:ascii="宋体" w:hAnsi="宋体" w:eastAsia="宋体" w:cs="宋体"/>
          <w:color w:val="auto"/>
          <w:highlight w:val="none"/>
        </w:rPr>
        <w:t>20.响应文件的递交</w:t>
      </w:r>
      <w:bookmarkEnd w:id="369"/>
      <w:bookmarkEnd w:id="370"/>
      <w:bookmarkEnd w:id="371"/>
      <w:bookmarkEnd w:id="372"/>
      <w:bookmarkEnd w:id="373"/>
      <w:bookmarkEnd w:id="374"/>
      <w:bookmarkEnd w:id="375"/>
      <w:bookmarkEnd w:id="376"/>
      <w:bookmarkEnd w:id="377"/>
      <w:bookmarkEnd w:id="378"/>
      <w:bookmarkEnd w:id="379"/>
      <w:bookmarkEnd w:id="380"/>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20.1 响应文件应于递交响应文件截止时间前送达指定地点，采购代理机构拒绝接收截止时间后送达的响应文件。</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20.2 采购代理机构将向通过资格审查的供应商发出磋商邀请；告知未通过资格审查的供应商未通过的原因。</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20.3 </w:t>
      </w:r>
      <w:r>
        <w:rPr>
          <w:rFonts w:hint="eastAsia" w:ascii="宋体" w:hAnsi="宋体" w:eastAsia="宋体" w:cs="宋体"/>
          <w:bCs/>
          <w:color w:val="auto"/>
          <w:highlight w:val="none"/>
        </w:rPr>
        <w:t>最后报价表</w:t>
      </w:r>
      <w:r>
        <w:rPr>
          <w:rFonts w:hint="eastAsia" w:ascii="宋体" w:hAnsi="宋体" w:eastAsia="宋体" w:cs="宋体"/>
          <w:color w:val="auto"/>
          <w:highlight w:val="none"/>
        </w:rPr>
        <w:t>在磋商后，磋商小组要求供应商进行最后报价时递交。</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20.4 本次采购不接收邮寄的响应文件。</w:t>
      </w:r>
    </w:p>
    <w:p>
      <w:pPr>
        <w:pStyle w:val="5"/>
        <w:spacing w:before="120" w:afterLines="50" w:line="360" w:lineRule="auto"/>
        <w:ind w:right="-94" w:rightChars="-39" w:firstLine="482"/>
        <w:rPr>
          <w:rFonts w:hint="eastAsia" w:ascii="宋体" w:hAnsi="宋体" w:eastAsia="宋体" w:cs="宋体"/>
          <w:color w:val="auto"/>
          <w:highlight w:val="none"/>
        </w:rPr>
      </w:pPr>
      <w:bookmarkStart w:id="381" w:name="_Toc13394"/>
      <w:bookmarkStart w:id="382" w:name="_Toc30953"/>
      <w:bookmarkStart w:id="383" w:name="_Toc26104"/>
      <w:bookmarkStart w:id="384" w:name="_Toc2855"/>
      <w:bookmarkStart w:id="385" w:name="_Toc20487"/>
      <w:bookmarkStart w:id="386" w:name="_Toc447"/>
      <w:bookmarkStart w:id="387" w:name="_Toc13718"/>
      <w:bookmarkStart w:id="388" w:name="_Toc15806"/>
      <w:bookmarkStart w:id="389" w:name="_Toc21214"/>
      <w:bookmarkStart w:id="390" w:name="_Toc517423492"/>
      <w:bookmarkStart w:id="391" w:name="_Toc13415"/>
      <w:bookmarkStart w:id="392" w:name="_Toc517422464"/>
      <w:bookmarkStart w:id="393" w:name="_Toc183682365"/>
      <w:bookmarkStart w:id="394" w:name="_Toc217446055"/>
      <w:bookmarkStart w:id="395" w:name="_Toc183582228"/>
      <w:r>
        <w:rPr>
          <w:rFonts w:hint="eastAsia" w:ascii="宋体" w:hAnsi="宋体" w:eastAsia="宋体" w:cs="宋体"/>
          <w:color w:val="auto"/>
          <w:highlight w:val="none"/>
        </w:rPr>
        <w:t>21.响应文件的修改和撤回</w:t>
      </w:r>
      <w:bookmarkEnd w:id="381"/>
      <w:bookmarkEnd w:id="382"/>
      <w:bookmarkEnd w:id="383"/>
      <w:bookmarkEnd w:id="384"/>
      <w:bookmarkEnd w:id="385"/>
      <w:bookmarkEnd w:id="386"/>
      <w:bookmarkEnd w:id="387"/>
      <w:bookmarkEnd w:id="388"/>
      <w:bookmarkEnd w:id="389"/>
      <w:r>
        <w:rPr>
          <w:rFonts w:hint="eastAsia" w:ascii="宋体" w:hAnsi="宋体" w:eastAsia="宋体" w:cs="宋体"/>
          <w:color w:val="auto"/>
          <w:highlight w:val="none"/>
        </w:rPr>
        <w:t>（补充、修改响应文件的密封和标注按照本章“19.响应文件的密封和标注”规定处理）</w:t>
      </w:r>
      <w:bookmarkEnd w:id="390"/>
      <w:bookmarkEnd w:id="391"/>
      <w:bookmarkEnd w:id="392"/>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21.2供应商对响应文件修改的书面材料或撤回的通知应该按规定进行编写、密封、标注和递送，并注明“修改响应文件”字样。</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21.3供应商不得在递交截止时间起至响应文件有效期期满前撤销其响应文件。否则其磋商保证金将按“第二部分供应商采购须知7”的相关规定被没收。</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21.4 响应文件中报价如果出现下列不一致的，可按以下原则进行修改：</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（一）大写金额和小写金额不一致的，以大写金额为准，但大写金额文字存在错误的，应当先对大写金额的文字错误进行澄清、说明或者更正，再行修正。</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（二）总价金额与按单价汇总金额不一致的，以单价金额计算结果为准，但单价或者单价汇总金额存在数字或者文字错误的，应当先对数字或者文字错误进行澄清、说明或者更正，再行修正。</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（三）单价金额小数点或者百分比有明显错位的，以总价为准，修正单价。</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1080"/>
        </w:tabs>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21.5供应商对其提交的响应文件的真实性、合法性承担法律责任。</w:t>
      </w:r>
      <w:bookmarkEnd w:id="393"/>
      <w:bookmarkEnd w:id="394"/>
      <w:bookmarkEnd w:id="395"/>
      <w:bookmarkStart w:id="396" w:name="_Toc1102"/>
      <w:bookmarkStart w:id="397" w:name="_Toc13602"/>
      <w:bookmarkStart w:id="398" w:name="_Toc2471"/>
      <w:bookmarkStart w:id="399" w:name="_Toc21468"/>
      <w:bookmarkStart w:id="400" w:name="_Toc517423493"/>
      <w:bookmarkStart w:id="401" w:name="_Toc5291"/>
      <w:bookmarkStart w:id="402" w:name="_Toc4009"/>
      <w:bookmarkStart w:id="403" w:name="_Toc25403"/>
      <w:bookmarkStart w:id="404" w:name="_Toc3348"/>
      <w:bookmarkStart w:id="405" w:name="_Toc15927"/>
      <w:bookmarkStart w:id="406" w:name="_Toc8962"/>
      <w:bookmarkStart w:id="407" w:name="_Toc517422465"/>
    </w:p>
    <w:p>
      <w:pPr>
        <w:pStyle w:val="4"/>
        <w:keepNext w:val="0"/>
        <w:keepLines w:val="0"/>
        <w:spacing w:before="240" w:after="24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五、评审</w:t>
      </w:r>
      <w:bookmarkEnd w:id="396"/>
      <w:bookmarkEnd w:id="397"/>
      <w:bookmarkEnd w:id="398"/>
      <w:bookmarkEnd w:id="399"/>
      <w:bookmarkEnd w:id="400"/>
      <w:bookmarkEnd w:id="401"/>
      <w:bookmarkEnd w:id="402"/>
      <w:bookmarkEnd w:id="403"/>
      <w:bookmarkEnd w:id="404"/>
      <w:bookmarkEnd w:id="405"/>
      <w:bookmarkEnd w:id="406"/>
      <w:bookmarkEnd w:id="407"/>
    </w:p>
    <w:p>
      <w:pPr>
        <w:pStyle w:val="5"/>
        <w:spacing w:before="120" w:afterLines="50" w:line="360" w:lineRule="auto"/>
        <w:ind w:right="-94" w:rightChars="-39" w:firstLine="482"/>
        <w:rPr>
          <w:rFonts w:hint="eastAsia" w:ascii="宋体" w:hAnsi="宋体" w:eastAsia="宋体" w:cs="宋体"/>
          <w:color w:val="auto"/>
          <w:highlight w:val="none"/>
        </w:rPr>
      </w:pPr>
      <w:bookmarkStart w:id="408" w:name="_Toc21761"/>
      <w:bookmarkStart w:id="409" w:name="_Toc517423494"/>
      <w:bookmarkStart w:id="410" w:name="_Toc1431"/>
      <w:bookmarkStart w:id="411" w:name="_Toc25785"/>
      <w:bookmarkStart w:id="412" w:name="_Toc19020"/>
      <w:bookmarkStart w:id="413" w:name="_Toc1647"/>
      <w:bookmarkStart w:id="414" w:name="_Toc517422466"/>
      <w:bookmarkStart w:id="415" w:name="_Toc26553"/>
      <w:bookmarkStart w:id="416" w:name="_Toc4842"/>
      <w:bookmarkStart w:id="417" w:name="_Toc22104"/>
      <w:bookmarkStart w:id="418" w:name="_Toc5736"/>
      <w:bookmarkStart w:id="419" w:name="_Toc13281"/>
      <w:r>
        <w:rPr>
          <w:rFonts w:hint="eastAsia" w:ascii="宋体" w:hAnsi="宋体" w:eastAsia="宋体" w:cs="宋体"/>
          <w:color w:val="auto"/>
          <w:highlight w:val="none"/>
        </w:rPr>
        <w:t>22.磋商小组的组建及其评审工作按照有关法律制度和本文件第七章的规定进行。</w:t>
      </w:r>
      <w:bookmarkEnd w:id="408"/>
      <w:bookmarkEnd w:id="409"/>
      <w:bookmarkEnd w:id="410"/>
      <w:bookmarkEnd w:id="411"/>
      <w:bookmarkEnd w:id="412"/>
      <w:bookmarkEnd w:id="413"/>
      <w:bookmarkEnd w:id="414"/>
      <w:bookmarkEnd w:id="415"/>
      <w:bookmarkEnd w:id="416"/>
      <w:bookmarkEnd w:id="417"/>
      <w:bookmarkEnd w:id="418"/>
      <w:bookmarkEnd w:id="419"/>
      <w:bookmarkStart w:id="420" w:name="_Toc13491"/>
      <w:bookmarkStart w:id="421" w:name="_Toc517422467"/>
      <w:bookmarkStart w:id="422" w:name="_Toc24271"/>
      <w:bookmarkStart w:id="423" w:name="_Toc19393"/>
      <w:bookmarkStart w:id="424" w:name="_Toc7243"/>
      <w:bookmarkStart w:id="425" w:name="_Toc12913"/>
      <w:bookmarkStart w:id="426" w:name="_Toc27188"/>
      <w:bookmarkStart w:id="427" w:name="_Toc16904"/>
      <w:bookmarkStart w:id="428" w:name="_Toc30917"/>
      <w:bookmarkStart w:id="429" w:name="_Toc6925"/>
      <w:bookmarkStart w:id="430" w:name="_Toc517423495"/>
      <w:bookmarkStart w:id="431" w:name="_Toc23502"/>
    </w:p>
    <w:p>
      <w:pPr>
        <w:pStyle w:val="4"/>
        <w:keepNext w:val="0"/>
        <w:keepLines w:val="0"/>
        <w:spacing w:before="0" w:after="0" w:line="360" w:lineRule="auto"/>
        <w:ind w:right="-94" w:rightChars="-39"/>
        <w:rPr>
          <w:rFonts w:hint="eastAsia" w:ascii="宋体" w:hAnsi="宋体" w:eastAsia="宋体" w:cs="宋体"/>
          <w:color w:val="auto"/>
          <w:highlight w:val="none"/>
        </w:rPr>
      </w:pPr>
      <w:r>
        <w:rPr>
          <w:rFonts w:hint="eastAsia" w:ascii="宋体" w:hAnsi="宋体" w:eastAsia="宋体" w:cs="宋体"/>
          <w:color w:val="auto"/>
          <w:highlight w:val="none"/>
        </w:rPr>
        <w:t>六、成交事项</w:t>
      </w:r>
      <w:bookmarkEnd w:id="420"/>
      <w:bookmarkEnd w:id="421"/>
      <w:bookmarkEnd w:id="422"/>
      <w:bookmarkEnd w:id="423"/>
      <w:bookmarkEnd w:id="424"/>
      <w:bookmarkEnd w:id="425"/>
      <w:bookmarkEnd w:id="426"/>
      <w:bookmarkEnd w:id="427"/>
      <w:bookmarkEnd w:id="428"/>
      <w:bookmarkEnd w:id="429"/>
      <w:bookmarkEnd w:id="430"/>
      <w:bookmarkEnd w:id="431"/>
    </w:p>
    <w:p>
      <w:pPr>
        <w:pStyle w:val="5"/>
        <w:spacing w:before="120" w:afterLines="50" w:line="360" w:lineRule="auto"/>
        <w:ind w:right="-94" w:rightChars="-39" w:firstLine="482"/>
        <w:rPr>
          <w:rFonts w:hint="eastAsia" w:ascii="宋体" w:hAnsi="宋体" w:eastAsia="宋体" w:cs="宋体"/>
          <w:color w:val="auto"/>
          <w:highlight w:val="none"/>
        </w:rPr>
      </w:pPr>
      <w:bookmarkStart w:id="432" w:name="_Toc5827"/>
      <w:bookmarkStart w:id="433" w:name="_Toc17484"/>
      <w:bookmarkStart w:id="434" w:name="_Toc6821"/>
      <w:bookmarkStart w:id="435" w:name="_Toc24114"/>
      <w:bookmarkStart w:id="436" w:name="_Toc31880"/>
      <w:bookmarkStart w:id="437" w:name="_Toc13472"/>
      <w:bookmarkStart w:id="438" w:name="_Toc517423496"/>
      <w:bookmarkStart w:id="439" w:name="_Toc517422468"/>
      <w:bookmarkStart w:id="440" w:name="_Toc16162"/>
      <w:bookmarkStart w:id="441" w:name="_Toc28976"/>
      <w:bookmarkStart w:id="442" w:name="_Toc15420"/>
      <w:bookmarkStart w:id="443" w:name="_Toc417"/>
      <w:r>
        <w:rPr>
          <w:rFonts w:hint="eastAsia" w:ascii="宋体" w:hAnsi="宋体" w:eastAsia="宋体" w:cs="宋体"/>
          <w:color w:val="auto"/>
          <w:highlight w:val="none"/>
        </w:rPr>
        <w:t>23.确定成交供应商</w:t>
      </w:r>
      <w:bookmarkEnd w:id="432"/>
      <w:bookmarkEnd w:id="433"/>
      <w:bookmarkEnd w:id="434"/>
      <w:bookmarkEnd w:id="435"/>
      <w:bookmarkEnd w:id="436"/>
      <w:bookmarkEnd w:id="437"/>
      <w:bookmarkEnd w:id="438"/>
      <w:bookmarkEnd w:id="439"/>
      <w:bookmarkEnd w:id="440"/>
      <w:bookmarkEnd w:id="441"/>
      <w:bookmarkEnd w:id="442"/>
      <w:bookmarkEnd w:id="443"/>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44" w:name="_Toc30704"/>
      <w:bookmarkStart w:id="445" w:name="_Toc17522"/>
      <w:bookmarkStart w:id="446" w:name="_Toc17638"/>
      <w:r>
        <w:rPr>
          <w:rFonts w:hint="eastAsia" w:ascii="宋体" w:hAnsi="宋体" w:eastAsia="宋体" w:cs="宋体"/>
          <w:color w:val="auto"/>
          <w:highlight w:val="none"/>
        </w:rPr>
        <w:t>采购人将按磋商小组推荐的成交候选供应商顺序确定成交供应商。</w:t>
      </w:r>
      <w:bookmarkEnd w:id="444"/>
      <w:bookmarkEnd w:id="445"/>
      <w:bookmarkEnd w:id="446"/>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47" w:name="_Toc6184"/>
      <w:bookmarkStart w:id="448" w:name="_Toc2280"/>
      <w:bookmarkStart w:id="449" w:name="_Toc20855"/>
      <w:r>
        <w:rPr>
          <w:rFonts w:hint="eastAsia" w:ascii="宋体" w:hAnsi="宋体" w:eastAsia="宋体" w:cs="宋体"/>
          <w:color w:val="auto"/>
          <w:highlight w:val="none"/>
        </w:rPr>
        <w:t>23.1采购代理机构自评审结束后</w:t>
      </w:r>
      <w:r>
        <w:rPr>
          <w:rFonts w:hint="eastAsia" w:ascii="宋体" w:hAnsi="宋体" w:eastAsia="宋体" w:cs="宋体"/>
          <w:b/>
          <w:bCs/>
          <w:color w:val="auto"/>
          <w:highlight w:val="none"/>
        </w:rPr>
        <w:t>2个工作日</w:t>
      </w:r>
      <w:r>
        <w:rPr>
          <w:rFonts w:hint="eastAsia" w:ascii="宋体" w:hAnsi="宋体" w:eastAsia="宋体" w:cs="宋体"/>
          <w:color w:val="auto"/>
          <w:highlight w:val="none"/>
        </w:rPr>
        <w:t>内将磋商报告及有关资料送交采购人确定成交供应商。</w:t>
      </w:r>
      <w:bookmarkEnd w:id="447"/>
      <w:bookmarkEnd w:id="448"/>
      <w:bookmarkEnd w:id="449"/>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0" w:name="_Toc1864"/>
      <w:bookmarkStart w:id="451" w:name="_Toc6362"/>
      <w:bookmarkStart w:id="452" w:name="_Toc9621"/>
      <w:r>
        <w:rPr>
          <w:rFonts w:hint="eastAsia" w:ascii="宋体" w:hAnsi="宋体" w:eastAsia="宋体" w:cs="宋体"/>
          <w:color w:val="auto"/>
          <w:highlight w:val="none"/>
        </w:rPr>
        <w:t>23.2采购人收到磋商报告及有关资料后，将在</w:t>
      </w:r>
      <w:r>
        <w:rPr>
          <w:rFonts w:hint="eastAsia" w:ascii="宋体" w:hAnsi="宋体" w:eastAsia="宋体" w:cs="宋体"/>
          <w:b/>
          <w:bCs/>
          <w:color w:val="auto"/>
          <w:highlight w:val="none"/>
        </w:rPr>
        <w:t>5个工作日</w:t>
      </w:r>
      <w:r>
        <w:rPr>
          <w:rFonts w:hint="eastAsia" w:ascii="宋体" w:hAnsi="宋体" w:eastAsia="宋体" w:cs="宋体"/>
          <w:color w:val="auto"/>
          <w:highlight w:val="none"/>
        </w:rPr>
        <w:t>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450"/>
      <w:bookmarkEnd w:id="451"/>
      <w:bookmarkEnd w:id="452"/>
      <w:r>
        <w:rPr>
          <w:rFonts w:hint="eastAsia" w:ascii="宋体" w:hAnsi="宋体" w:eastAsia="宋体" w:cs="宋体"/>
          <w:color w:val="auto"/>
          <w:highlight w:val="none"/>
        </w:rPr>
        <w:t>评审得分且最后报价且项目实施方案得分均相同的优先选择少数民族或不发达地区的供应商（以提供不发达地区企业或供应商注册地为少数民族地区的相关证明材料为准）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3" w:name="_Toc20437"/>
      <w:bookmarkStart w:id="454" w:name="_Toc3579"/>
      <w:bookmarkStart w:id="455" w:name="_Toc27361"/>
      <w:r>
        <w:rPr>
          <w:rFonts w:hint="eastAsia" w:ascii="宋体" w:hAnsi="宋体" w:eastAsia="宋体" w:cs="宋体"/>
          <w:color w:val="auto"/>
          <w:highlight w:val="none"/>
        </w:rPr>
        <w:t>23.3采购人确定成交供应商过程中，发现成交候选供应商有下列情形之一的，应当不予确定其为成交供应商：</w:t>
      </w:r>
      <w:bookmarkEnd w:id="453"/>
      <w:bookmarkEnd w:id="454"/>
      <w:bookmarkEnd w:id="455"/>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6" w:name="_Toc28137"/>
      <w:bookmarkStart w:id="457" w:name="_Toc21741"/>
      <w:bookmarkStart w:id="458" w:name="_Toc29529"/>
      <w:r>
        <w:rPr>
          <w:rFonts w:hint="eastAsia" w:ascii="宋体" w:hAnsi="宋体" w:eastAsia="宋体" w:cs="宋体"/>
          <w:color w:val="auto"/>
          <w:highlight w:val="none"/>
        </w:rPr>
        <w:t>（1）发现成交候选供应商存在禁止参加本项目采购活动的违法行为的；</w:t>
      </w:r>
      <w:bookmarkEnd w:id="456"/>
      <w:bookmarkEnd w:id="457"/>
      <w:bookmarkEnd w:id="458"/>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59" w:name="_Toc1998"/>
      <w:bookmarkStart w:id="460" w:name="_Toc6666"/>
      <w:bookmarkStart w:id="461" w:name="_Toc25703"/>
      <w:r>
        <w:rPr>
          <w:rFonts w:hint="eastAsia" w:ascii="宋体" w:hAnsi="宋体" w:eastAsia="宋体" w:cs="宋体"/>
          <w:color w:val="auto"/>
          <w:highlight w:val="none"/>
        </w:rPr>
        <w:t>（2）成交候选供应商因不可抗力，不能继续参加采购活动；</w:t>
      </w:r>
      <w:bookmarkEnd w:id="459"/>
      <w:bookmarkEnd w:id="460"/>
      <w:bookmarkEnd w:id="461"/>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62" w:name="_Toc347"/>
      <w:bookmarkStart w:id="463" w:name="_Toc32673"/>
      <w:bookmarkStart w:id="464" w:name="_Toc6152"/>
      <w:r>
        <w:rPr>
          <w:rFonts w:hint="eastAsia" w:ascii="宋体" w:hAnsi="宋体" w:eastAsia="宋体" w:cs="宋体"/>
          <w:color w:val="auto"/>
          <w:highlight w:val="none"/>
        </w:rPr>
        <w:t>（3）成交候选供应商无偿赠与或者低于成本价竞争；</w:t>
      </w:r>
      <w:bookmarkEnd w:id="462"/>
      <w:bookmarkEnd w:id="463"/>
      <w:bookmarkEnd w:id="464"/>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65" w:name="_Toc9360"/>
      <w:bookmarkStart w:id="466" w:name="_Toc27559"/>
      <w:bookmarkStart w:id="467" w:name="_Toc8696"/>
      <w:r>
        <w:rPr>
          <w:rFonts w:hint="eastAsia" w:ascii="宋体" w:hAnsi="宋体" w:eastAsia="宋体" w:cs="宋体"/>
          <w:color w:val="auto"/>
          <w:highlight w:val="none"/>
        </w:rPr>
        <w:t>（4）成交候选供应商提供虚假材料；</w:t>
      </w:r>
      <w:bookmarkEnd w:id="465"/>
      <w:bookmarkEnd w:id="466"/>
      <w:bookmarkEnd w:id="467"/>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68" w:name="_Toc11247"/>
      <w:bookmarkStart w:id="469" w:name="_Toc25087"/>
      <w:bookmarkStart w:id="470" w:name="_Toc5474"/>
      <w:r>
        <w:rPr>
          <w:rFonts w:hint="eastAsia" w:ascii="宋体" w:hAnsi="宋体" w:eastAsia="宋体" w:cs="宋体"/>
          <w:color w:val="auto"/>
          <w:highlight w:val="none"/>
        </w:rPr>
        <w:t>（5）成交候选供应商恶意串通。</w:t>
      </w:r>
      <w:bookmarkEnd w:id="468"/>
      <w:bookmarkEnd w:id="469"/>
      <w:bookmarkEnd w:id="470"/>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71" w:name="_Toc13617"/>
      <w:bookmarkStart w:id="472" w:name="_Toc20418"/>
      <w:bookmarkStart w:id="473" w:name="_Toc16859"/>
      <w:r>
        <w:rPr>
          <w:rFonts w:hint="eastAsia" w:ascii="宋体" w:hAnsi="宋体" w:eastAsia="宋体" w:cs="宋体"/>
          <w:color w:val="auto"/>
          <w:highlight w:val="none"/>
        </w:rPr>
        <w:t>成交候选供应商有本条情形之一的，采购人可以确定后一位成交候选供应商为成交供应商，依次类推。无法确定成交供应商的，应当重新组织采购。</w:t>
      </w:r>
      <w:bookmarkEnd w:id="471"/>
      <w:bookmarkEnd w:id="472"/>
      <w:bookmarkEnd w:id="473"/>
    </w:p>
    <w:p>
      <w:pPr>
        <w:pStyle w:val="5"/>
        <w:spacing w:before="120" w:afterLines="50" w:line="360" w:lineRule="auto"/>
        <w:ind w:right="-94" w:rightChars="-39" w:firstLine="482"/>
        <w:rPr>
          <w:rFonts w:hint="eastAsia" w:ascii="宋体" w:hAnsi="宋体" w:eastAsia="宋体" w:cs="宋体"/>
          <w:color w:val="auto"/>
          <w:highlight w:val="none"/>
        </w:rPr>
      </w:pPr>
      <w:bookmarkStart w:id="474" w:name="_Toc12073"/>
      <w:bookmarkStart w:id="475" w:name="_Toc12530"/>
      <w:bookmarkStart w:id="476" w:name="_Toc4513"/>
      <w:bookmarkStart w:id="477" w:name="_Toc517422470"/>
      <w:bookmarkStart w:id="478" w:name="_Toc12600"/>
      <w:bookmarkStart w:id="479" w:name="_Toc3634"/>
      <w:bookmarkStart w:id="480" w:name="_Toc517423498"/>
      <w:bookmarkStart w:id="481" w:name="_Toc11233"/>
      <w:bookmarkStart w:id="482" w:name="_Toc3715"/>
      <w:bookmarkStart w:id="483" w:name="_Toc9282"/>
      <w:bookmarkStart w:id="484" w:name="_Toc19351"/>
      <w:bookmarkStart w:id="485" w:name="_Toc11976"/>
      <w:r>
        <w:rPr>
          <w:rFonts w:hint="eastAsia" w:ascii="宋体" w:hAnsi="宋体" w:eastAsia="宋体" w:cs="宋体"/>
          <w:color w:val="auto"/>
          <w:highlight w:val="none"/>
        </w:rPr>
        <w:t>24.成交结果</w:t>
      </w:r>
      <w:bookmarkEnd w:id="474"/>
      <w:bookmarkEnd w:id="475"/>
      <w:bookmarkEnd w:id="476"/>
      <w:bookmarkEnd w:id="477"/>
      <w:bookmarkEnd w:id="478"/>
      <w:bookmarkEnd w:id="479"/>
      <w:bookmarkEnd w:id="480"/>
      <w:bookmarkEnd w:id="481"/>
      <w:bookmarkEnd w:id="482"/>
      <w:bookmarkEnd w:id="483"/>
      <w:bookmarkEnd w:id="484"/>
      <w:bookmarkEnd w:id="485"/>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486" w:name="_Toc29778"/>
      <w:bookmarkStart w:id="487" w:name="_Toc21448"/>
      <w:bookmarkStart w:id="488" w:name="_Toc1862"/>
      <w:r>
        <w:rPr>
          <w:rFonts w:hint="eastAsia" w:ascii="宋体" w:hAnsi="宋体" w:eastAsia="宋体" w:cs="宋体"/>
          <w:color w:val="auto"/>
          <w:highlight w:val="none"/>
        </w:rPr>
        <w:t>24.1采购人确定成交供应商后，将及时书面通知采购代理机构，发出成交通知书并发布成交结果公告。</w:t>
      </w:r>
      <w:bookmarkEnd w:id="486"/>
      <w:bookmarkEnd w:id="487"/>
      <w:bookmarkEnd w:id="488"/>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24.2成交供应商应当及时领取成交通知书。</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24.3成交供应商不能及时领取成交通知书，采购代理机构应当通过邮寄、快递等方式将项目成交通知书送达成交供应商。</w:t>
      </w:r>
    </w:p>
    <w:p>
      <w:pPr>
        <w:pStyle w:val="5"/>
        <w:spacing w:before="120" w:afterLines="50" w:line="360" w:lineRule="auto"/>
        <w:ind w:right="-94" w:rightChars="-39" w:firstLine="482"/>
        <w:rPr>
          <w:rFonts w:hint="eastAsia" w:ascii="宋体" w:hAnsi="宋体" w:eastAsia="宋体" w:cs="宋体"/>
          <w:color w:val="auto"/>
          <w:highlight w:val="none"/>
        </w:rPr>
      </w:pPr>
      <w:bookmarkStart w:id="489" w:name="_Toc517423499"/>
      <w:bookmarkStart w:id="490" w:name="_Toc20505"/>
      <w:bookmarkStart w:id="491" w:name="_Toc11510"/>
      <w:bookmarkStart w:id="492" w:name="_Toc27494"/>
      <w:bookmarkStart w:id="493" w:name="_Toc936"/>
      <w:bookmarkStart w:id="494" w:name="_Toc32301"/>
      <w:bookmarkStart w:id="495" w:name="_Toc517422471"/>
      <w:bookmarkStart w:id="496" w:name="_Toc6548"/>
      <w:bookmarkStart w:id="497" w:name="_Toc28947"/>
      <w:bookmarkStart w:id="498" w:name="_Toc7610"/>
      <w:bookmarkStart w:id="499" w:name="_Toc2198"/>
      <w:bookmarkStart w:id="500" w:name="_Toc12609"/>
      <w:r>
        <w:rPr>
          <w:rFonts w:hint="eastAsia" w:ascii="宋体" w:hAnsi="宋体" w:eastAsia="宋体" w:cs="宋体"/>
          <w:color w:val="auto"/>
          <w:highlight w:val="none"/>
        </w:rPr>
        <w:t>25.成交通知书</w:t>
      </w:r>
      <w:bookmarkEnd w:id="489"/>
      <w:bookmarkEnd w:id="490"/>
      <w:bookmarkEnd w:id="491"/>
      <w:bookmarkEnd w:id="492"/>
      <w:bookmarkEnd w:id="493"/>
      <w:bookmarkEnd w:id="494"/>
      <w:bookmarkEnd w:id="495"/>
      <w:bookmarkEnd w:id="496"/>
      <w:bookmarkEnd w:id="497"/>
      <w:bookmarkEnd w:id="498"/>
      <w:bookmarkEnd w:id="499"/>
      <w:bookmarkEnd w:id="500"/>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01" w:name="_Toc18624"/>
      <w:bookmarkStart w:id="502" w:name="_Toc489"/>
      <w:bookmarkStart w:id="503" w:name="_Toc19086"/>
      <w:r>
        <w:rPr>
          <w:rFonts w:hint="eastAsia" w:ascii="宋体" w:hAnsi="宋体" w:eastAsia="宋体" w:cs="宋体"/>
          <w:color w:val="auto"/>
          <w:highlight w:val="none"/>
        </w:rPr>
        <w:t>25.1成交通知书为签订采购合同的依据之一，是合同的有效组成部分。</w:t>
      </w:r>
      <w:bookmarkEnd w:id="501"/>
      <w:bookmarkEnd w:id="502"/>
      <w:bookmarkEnd w:id="503"/>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04" w:name="_Toc3367"/>
      <w:bookmarkStart w:id="505" w:name="_Toc17502"/>
      <w:bookmarkStart w:id="506" w:name="_Toc20497"/>
      <w:r>
        <w:rPr>
          <w:rFonts w:hint="eastAsia" w:ascii="宋体" w:hAnsi="宋体" w:eastAsia="宋体" w:cs="宋体"/>
          <w:color w:val="auto"/>
          <w:highlight w:val="none"/>
        </w:rPr>
        <w:t>25.2成交通知书对采购人和成交供应商均具有法律效力。成交通知书发出后，采购人无正当理由改变成交结果，或者成交供应商无正当理由放弃成交的，将承担相应的法律责任。</w:t>
      </w:r>
      <w:bookmarkEnd w:id="504"/>
      <w:bookmarkEnd w:id="505"/>
      <w:bookmarkEnd w:id="506"/>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07" w:name="_Toc17393"/>
      <w:bookmarkStart w:id="508" w:name="_Toc17950"/>
      <w:bookmarkStart w:id="509" w:name="_Toc2684"/>
      <w:r>
        <w:rPr>
          <w:rFonts w:hint="eastAsia" w:ascii="宋体" w:hAnsi="宋体" w:eastAsia="宋体" w:cs="宋体"/>
          <w:color w:val="auto"/>
          <w:highlight w:val="none"/>
        </w:rPr>
        <w:t>25.3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bookmarkEnd w:id="507"/>
      <w:bookmarkEnd w:id="508"/>
      <w:bookmarkEnd w:id="509"/>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26.行贿犯罪档案查询</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26.1根据《最高人民检察院关于行贿犯罪档案查询工作的规定》和《关于在政府采购活动中全面开展行贿犯罪档案查询的通知》（川检会[2016]5号）的要求，采购人确定成交供应商期间，采购人将向人民检察院查询成交候选供应商单位及其现任法定代表人、主要负责人是否存在行贿犯罪记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26.2成交候选供应商单位及其现任法定代表人、主要负责人若存在行贿犯罪记录的，成交后未签订采购合同的，将认定成交无效；成交后签订采购合同未履行的，将认定成交无效，同时撤销采购合同；成交后签订采购合同且已经履行的，将认定活动违法，由相关当事人承担赔偿责任。</w:t>
      </w:r>
    </w:p>
    <w:p>
      <w:pPr>
        <w:pStyle w:val="4"/>
        <w:keepNext w:val="0"/>
        <w:keepLines w:val="0"/>
        <w:spacing w:before="0" w:after="0" w:line="360" w:lineRule="auto"/>
        <w:ind w:right="-94" w:rightChars="-39"/>
        <w:rPr>
          <w:rFonts w:hint="eastAsia" w:ascii="宋体" w:hAnsi="宋体" w:eastAsia="宋体" w:cs="宋体"/>
          <w:color w:val="auto"/>
          <w:highlight w:val="none"/>
        </w:rPr>
      </w:pPr>
      <w:bookmarkStart w:id="510" w:name="_Toc172"/>
      <w:bookmarkStart w:id="511" w:name="_Toc16934"/>
      <w:bookmarkStart w:id="512" w:name="_Toc20117"/>
      <w:bookmarkStart w:id="513" w:name="_Toc11475"/>
      <w:bookmarkStart w:id="514" w:name="_Toc24730"/>
      <w:bookmarkStart w:id="515" w:name="_Toc7389"/>
      <w:bookmarkStart w:id="516" w:name="_Toc5018"/>
      <w:bookmarkStart w:id="517" w:name="_Toc8353"/>
      <w:bookmarkStart w:id="518" w:name="_Toc13998"/>
      <w:bookmarkStart w:id="519" w:name="_Toc517423500"/>
      <w:bookmarkStart w:id="520" w:name="_Toc8293"/>
      <w:bookmarkStart w:id="521" w:name="_Toc517422472"/>
      <w:r>
        <w:rPr>
          <w:rFonts w:hint="eastAsia" w:ascii="宋体" w:hAnsi="宋体" w:eastAsia="宋体" w:cs="宋体"/>
          <w:color w:val="auto"/>
          <w:highlight w:val="none"/>
        </w:rPr>
        <w:t>七、合同事项</w:t>
      </w:r>
      <w:bookmarkEnd w:id="510"/>
      <w:bookmarkEnd w:id="511"/>
      <w:bookmarkEnd w:id="512"/>
      <w:bookmarkEnd w:id="513"/>
      <w:bookmarkEnd w:id="514"/>
      <w:bookmarkEnd w:id="515"/>
      <w:bookmarkEnd w:id="516"/>
      <w:bookmarkEnd w:id="517"/>
      <w:bookmarkEnd w:id="518"/>
      <w:bookmarkEnd w:id="519"/>
      <w:bookmarkEnd w:id="520"/>
      <w:bookmarkEnd w:id="521"/>
    </w:p>
    <w:p>
      <w:pPr>
        <w:pStyle w:val="5"/>
        <w:spacing w:before="120" w:afterLines="50" w:line="360" w:lineRule="auto"/>
        <w:ind w:right="-94" w:rightChars="-39" w:firstLine="482"/>
        <w:rPr>
          <w:rFonts w:hint="eastAsia" w:ascii="宋体" w:hAnsi="宋体" w:eastAsia="宋体" w:cs="宋体"/>
          <w:color w:val="auto"/>
          <w:highlight w:val="none"/>
        </w:rPr>
      </w:pPr>
      <w:bookmarkStart w:id="522" w:name="_Toc101338364"/>
      <w:bookmarkStart w:id="523" w:name="_Toc20022"/>
      <w:bookmarkStart w:id="524" w:name="_Toc101174151"/>
      <w:bookmarkStart w:id="525" w:name="_Toc209847069"/>
      <w:bookmarkStart w:id="526" w:name="_Toc18776"/>
      <w:bookmarkStart w:id="527" w:name="_Toc517423501"/>
      <w:bookmarkStart w:id="528" w:name="_Toc16669"/>
      <w:bookmarkStart w:id="529" w:name="_Toc11192"/>
      <w:bookmarkStart w:id="530" w:name="_Toc14153"/>
      <w:bookmarkStart w:id="531" w:name="_Toc430773927"/>
      <w:bookmarkStart w:id="532" w:name="_Toc30687"/>
      <w:bookmarkStart w:id="533" w:name="_Toc101250646"/>
      <w:bookmarkStart w:id="534" w:name="_Toc6739"/>
      <w:bookmarkStart w:id="535" w:name="_Toc997"/>
      <w:bookmarkStart w:id="536" w:name="_Toc517422473"/>
      <w:bookmarkStart w:id="537" w:name="_Toc8261"/>
      <w:bookmarkStart w:id="538" w:name="_Toc17902"/>
      <w:r>
        <w:rPr>
          <w:rFonts w:hint="eastAsia" w:ascii="宋体" w:hAnsi="宋体" w:eastAsia="宋体" w:cs="宋体"/>
          <w:color w:val="auto"/>
          <w:highlight w:val="none"/>
        </w:rPr>
        <w:t>27.签订合同</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27.1 成交供应商应在成交通知书发出之日起</w:t>
      </w:r>
      <w:r>
        <w:rPr>
          <w:rFonts w:hint="eastAsia" w:ascii="宋体" w:hAnsi="宋体" w:eastAsia="宋体" w:cs="宋体"/>
          <w:b/>
          <w:bCs/>
          <w:color w:val="auto"/>
          <w:highlight w:val="none"/>
        </w:rPr>
        <w:t>三十日</w:t>
      </w:r>
      <w:r>
        <w:rPr>
          <w:rFonts w:hint="eastAsia" w:ascii="宋体" w:hAnsi="宋体" w:eastAsia="宋体" w:cs="宋体"/>
          <w:color w:val="auto"/>
          <w:highlight w:val="none"/>
        </w:rPr>
        <w:t>内与采购人签订采购合同。由于成交供应商的原因逾期未与采购人签订采购合同的，将视为放弃成交，取消其成交资格并将按相关规定进行处理。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27.2 磋商文件、成交供应商的响应文件及双方确认的澄清文件等，均为有法律约束力的合同组成部分。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27.4 成交供应商因不可抗力原因不能履行采购合同或放弃成交的，采购人可以与排在成交供应商之后第一位的成交候选人签订采购合同，以此类推。</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27.5竞争性磋商文件、成交供应商提交的响应文件、磋商中的最后报价、成交供应商承诺书、成交通知书等均称为有法律约束力的合同组成内容。</w:t>
      </w:r>
    </w:p>
    <w:p>
      <w:pPr>
        <w:pStyle w:val="5"/>
        <w:spacing w:before="120" w:afterLines="50" w:line="360" w:lineRule="auto"/>
        <w:ind w:right="-94" w:rightChars="-39" w:firstLine="482"/>
        <w:rPr>
          <w:rFonts w:hint="eastAsia" w:ascii="宋体" w:hAnsi="宋体" w:eastAsia="宋体" w:cs="宋体"/>
          <w:color w:val="auto"/>
          <w:highlight w:val="none"/>
        </w:rPr>
      </w:pPr>
      <w:bookmarkStart w:id="539" w:name="_Toc28538"/>
      <w:bookmarkStart w:id="540" w:name="_Toc1245"/>
      <w:bookmarkStart w:id="541" w:name="_Toc3317"/>
      <w:bookmarkStart w:id="542" w:name="_Toc517422474"/>
      <w:bookmarkStart w:id="543" w:name="_Toc517423502"/>
      <w:bookmarkStart w:id="544" w:name="_Toc5210"/>
      <w:bookmarkStart w:id="545" w:name="_Toc4661"/>
      <w:bookmarkStart w:id="546" w:name="_Toc22594"/>
      <w:bookmarkStart w:id="547" w:name="_Toc14853"/>
      <w:bookmarkStart w:id="548" w:name="_Toc22525"/>
      <w:bookmarkStart w:id="549" w:name="_Toc10350"/>
      <w:bookmarkStart w:id="550" w:name="_Toc12264"/>
      <w:r>
        <w:rPr>
          <w:rFonts w:hint="eastAsia" w:ascii="宋体" w:hAnsi="宋体" w:eastAsia="宋体" w:cs="宋体"/>
          <w:color w:val="auto"/>
          <w:highlight w:val="none"/>
        </w:rPr>
        <w:t>28.合同分包</w:t>
      </w:r>
      <w:bookmarkEnd w:id="539"/>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color w:val="auto"/>
          <w:highlight w:val="none"/>
        </w:rPr>
        <w:t>（实质性要求）</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bookmarkStart w:id="551" w:name="_Toc20302"/>
      <w:bookmarkStart w:id="552" w:name="_Toc25127"/>
      <w:bookmarkStart w:id="553" w:name="_Toc24637"/>
      <w:bookmarkStart w:id="554" w:name="_Toc14089"/>
      <w:bookmarkStart w:id="555" w:name="_Toc517423503"/>
      <w:bookmarkStart w:id="556" w:name="_Toc10892"/>
      <w:bookmarkStart w:id="557" w:name="_Toc517422475"/>
      <w:bookmarkStart w:id="558" w:name="_Toc32698"/>
      <w:bookmarkStart w:id="559" w:name="_Toc15784"/>
      <w:bookmarkStart w:id="560" w:name="_Toc26539"/>
      <w:bookmarkStart w:id="561" w:name="_Toc5923"/>
      <w:bookmarkStart w:id="562" w:name="_Toc11698"/>
      <w:r>
        <w:rPr>
          <w:rFonts w:hint="eastAsia" w:ascii="宋体" w:hAnsi="宋体" w:eastAsia="宋体" w:cs="宋体"/>
          <w:color w:val="auto"/>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分包履行合同的部分应当为采购项目的非主体、非关键性工作，不属于成交供应商的主要合同义务。</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28.2 采购合同实行分包履行的，成交供应商就采购项目和分包项目向采购人负责，分包供应商就分包项目承担责任。</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28.3 中小企业</w:t>
      </w:r>
      <w:r>
        <w:rPr>
          <w:rFonts w:hint="eastAsia" w:ascii="宋体" w:hAnsi="宋体" w:eastAsia="宋体" w:cs="宋体"/>
          <w:color w:val="auto"/>
          <w:szCs w:val="24"/>
          <w:highlight w:val="none"/>
          <w:lang w:val="zh-CN"/>
        </w:rPr>
        <w:t>根据《政府采购促进中小企业发展暂行办法》（财库[20</w:t>
      </w:r>
      <w:r>
        <w:rPr>
          <w:rFonts w:hint="eastAsia" w:ascii="宋体" w:hAnsi="宋体" w:eastAsia="宋体" w:cs="宋体"/>
          <w:color w:val="auto"/>
          <w:szCs w:val="24"/>
          <w:highlight w:val="none"/>
        </w:rPr>
        <w:t>20</w:t>
      </w:r>
      <w:r>
        <w:rPr>
          <w:rFonts w:hint="eastAsia" w:ascii="宋体" w:hAnsi="宋体" w:eastAsia="宋体" w:cs="宋体"/>
          <w:color w:val="auto"/>
          <w:szCs w:val="24"/>
          <w:highlight w:val="none"/>
          <w:lang w:val="zh-CN"/>
        </w:rPr>
        <w:t>]</w:t>
      </w:r>
      <w:r>
        <w:rPr>
          <w:rFonts w:hint="eastAsia" w:ascii="宋体" w:hAnsi="宋体" w:eastAsia="宋体" w:cs="宋体"/>
          <w:color w:val="auto"/>
          <w:szCs w:val="24"/>
          <w:highlight w:val="none"/>
        </w:rPr>
        <w:t>46</w:t>
      </w:r>
      <w:r>
        <w:rPr>
          <w:rFonts w:hint="eastAsia" w:ascii="宋体" w:hAnsi="宋体" w:eastAsia="宋体" w:cs="宋体"/>
          <w:color w:val="auto"/>
          <w:szCs w:val="24"/>
          <w:highlight w:val="none"/>
          <w:lang w:val="zh-CN"/>
        </w:rPr>
        <w:t>号）</w:t>
      </w:r>
      <w:r>
        <w:rPr>
          <w:rFonts w:hint="eastAsia" w:ascii="宋体" w:hAnsi="宋体" w:eastAsia="宋体" w:cs="宋体"/>
          <w:color w:val="auto"/>
          <w:highlight w:val="none"/>
        </w:rPr>
        <w:t>的政策获取采购合同后，小型、微型企业不得分包或转包给大型、中型企业，中型企业不得分包或转包给大型企业。</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29.合同转包</w:t>
      </w:r>
      <w:bookmarkEnd w:id="551"/>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color w:val="auto"/>
          <w:highlight w:val="none"/>
        </w:rPr>
        <w:t>（实质性要求）</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成交供应商转包的，视同拒绝履行采购合同义务，将依法追究法律责任。</w:t>
      </w:r>
    </w:p>
    <w:p>
      <w:pPr>
        <w:pStyle w:val="5"/>
        <w:spacing w:before="120" w:afterLines="50" w:line="360" w:lineRule="auto"/>
        <w:ind w:right="-94" w:rightChars="-39" w:firstLine="482"/>
        <w:rPr>
          <w:rFonts w:hint="eastAsia" w:ascii="宋体" w:hAnsi="宋体" w:eastAsia="宋体" w:cs="宋体"/>
          <w:color w:val="auto"/>
          <w:highlight w:val="none"/>
        </w:rPr>
      </w:pPr>
      <w:bookmarkStart w:id="563" w:name="_Toc8391"/>
      <w:bookmarkStart w:id="564" w:name="_Toc517422476"/>
      <w:bookmarkStart w:id="565" w:name="_Toc517423504"/>
      <w:bookmarkStart w:id="566" w:name="_Toc18440"/>
      <w:bookmarkStart w:id="567" w:name="_Toc12345"/>
      <w:bookmarkStart w:id="568" w:name="_Toc3173"/>
      <w:bookmarkStart w:id="569" w:name="_Toc30071"/>
      <w:bookmarkStart w:id="570" w:name="_Toc12537"/>
      <w:bookmarkStart w:id="571" w:name="_Toc27917"/>
      <w:bookmarkStart w:id="572" w:name="_Toc15088"/>
      <w:bookmarkStart w:id="573" w:name="_Toc10713"/>
      <w:bookmarkStart w:id="574" w:name="_Toc4714"/>
      <w:r>
        <w:rPr>
          <w:rFonts w:hint="eastAsia" w:ascii="宋体" w:hAnsi="宋体" w:eastAsia="宋体" w:cs="宋体"/>
          <w:color w:val="auto"/>
          <w:highlight w:val="none"/>
        </w:rPr>
        <w:t>30.补充合同</w:t>
      </w:r>
      <w:bookmarkEnd w:id="563"/>
      <w:bookmarkEnd w:id="564"/>
      <w:bookmarkEnd w:id="565"/>
      <w:bookmarkEnd w:id="566"/>
      <w:bookmarkEnd w:id="567"/>
      <w:bookmarkEnd w:id="568"/>
      <w:bookmarkEnd w:id="569"/>
      <w:bookmarkEnd w:id="570"/>
      <w:bookmarkEnd w:id="571"/>
      <w:bookmarkEnd w:id="572"/>
      <w:bookmarkEnd w:id="573"/>
      <w:bookmarkEnd w:id="574"/>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pStyle w:val="5"/>
        <w:spacing w:before="120" w:afterLines="50" w:line="360" w:lineRule="auto"/>
        <w:ind w:right="-94" w:rightChars="-39" w:firstLine="482"/>
        <w:rPr>
          <w:rFonts w:hint="eastAsia" w:ascii="宋体" w:hAnsi="宋体" w:eastAsia="宋体" w:cs="宋体"/>
          <w:color w:val="auto"/>
          <w:highlight w:val="none"/>
        </w:rPr>
      </w:pPr>
      <w:bookmarkStart w:id="575" w:name="_Toc13931"/>
      <w:bookmarkStart w:id="576" w:name="_Toc30027"/>
      <w:bookmarkStart w:id="577" w:name="_Toc16031"/>
      <w:bookmarkStart w:id="578" w:name="_Toc30249"/>
      <w:bookmarkStart w:id="579" w:name="_Toc9390"/>
      <w:bookmarkStart w:id="580" w:name="_Toc22149"/>
      <w:bookmarkStart w:id="581" w:name="_Toc517422477"/>
      <w:bookmarkStart w:id="582" w:name="_Toc517423505"/>
      <w:bookmarkStart w:id="583" w:name="_Toc6006"/>
      <w:bookmarkStart w:id="584" w:name="_Toc49"/>
      <w:bookmarkStart w:id="585" w:name="_Toc726"/>
      <w:bookmarkStart w:id="586" w:name="_Toc21917"/>
      <w:r>
        <w:rPr>
          <w:rFonts w:hint="eastAsia" w:ascii="宋体" w:hAnsi="宋体" w:eastAsia="宋体" w:cs="宋体"/>
          <w:color w:val="auto"/>
          <w:highlight w:val="none"/>
          <w:lang w:val="en-US"/>
        </w:rPr>
        <w:t>31.</w:t>
      </w:r>
      <w:r>
        <w:rPr>
          <w:rFonts w:hint="eastAsia" w:ascii="宋体" w:hAnsi="宋体" w:eastAsia="宋体" w:cs="宋体"/>
          <w:color w:val="auto"/>
          <w:highlight w:val="none"/>
        </w:rPr>
        <w:t>履约保证金</w:t>
      </w:r>
      <w:bookmarkEnd w:id="575"/>
      <w:bookmarkEnd w:id="576"/>
      <w:bookmarkEnd w:id="577"/>
      <w:bookmarkEnd w:id="578"/>
      <w:bookmarkEnd w:id="579"/>
      <w:bookmarkEnd w:id="580"/>
      <w:bookmarkEnd w:id="581"/>
      <w:bookmarkEnd w:id="582"/>
      <w:bookmarkEnd w:id="583"/>
      <w:bookmarkEnd w:id="584"/>
      <w:bookmarkEnd w:id="585"/>
      <w:bookmarkEnd w:id="586"/>
    </w:p>
    <w:p>
      <w:pPr>
        <w:pStyle w:val="5"/>
        <w:spacing w:before="120" w:afterLines="50" w:line="360" w:lineRule="auto"/>
        <w:ind w:right="-94" w:rightChars="-39" w:firstLine="480"/>
        <w:rPr>
          <w:rFonts w:hint="eastAsia" w:ascii="宋体" w:hAnsi="宋体" w:eastAsia="宋体" w:cs="宋体"/>
          <w:b w:val="0"/>
          <w:bCs w:val="0"/>
          <w:color w:val="auto"/>
          <w:highlight w:val="none"/>
          <w:lang w:eastAsia="zh-CN"/>
        </w:rPr>
      </w:pPr>
      <w:bookmarkStart w:id="587" w:name="_Toc18538"/>
      <w:bookmarkStart w:id="588" w:name="_Toc517423506"/>
      <w:bookmarkStart w:id="589" w:name="_Toc29059"/>
      <w:bookmarkStart w:id="590" w:name="_Toc17745"/>
      <w:bookmarkStart w:id="591" w:name="_Toc21130"/>
      <w:bookmarkStart w:id="592" w:name="_Toc16810"/>
      <w:bookmarkStart w:id="593" w:name="_Toc5417"/>
      <w:bookmarkStart w:id="594" w:name="_Toc1412"/>
      <w:bookmarkStart w:id="595" w:name="_Toc28325"/>
      <w:bookmarkStart w:id="596" w:name="_Toc517422478"/>
      <w:bookmarkStart w:id="597" w:name="_Toc30007"/>
      <w:bookmarkStart w:id="598" w:name="_Toc14487"/>
      <w:r>
        <w:rPr>
          <w:rFonts w:hint="eastAsia" w:ascii="宋体" w:hAnsi="宋体" w:eastAsia="宋体" w:cs="宋体"/>
          <w:b w:val="0"/>
          <w:bCs w:val="0"/>
          <w:color w:val="auto"/>
          <w:highlight w:val="none"/>
        </w:rPr>
        <w:t xml:space="preserve"> </w:t>
      </w:r>
      <w:r>
        <w:rPr>
          <w:rFonts w:hint="eastAsia" w:ascii="宋体" w:hAnsi="宋体" w:eastAsia="宋体" w:cs="宋体"/>
          <w:b w:val="0"/>
          <w:bCs w:val="0"/>
          <w:color w:val="auto"/>
          <w:highlight w:val="none"/>
          <w:lang w:val="en-US"/>
        </w:rPr>
        <w:t xml:space="preserve"> </w:t>
      </w:r>
      <w:r>
        <w:rPr>
          <w:rFonts w:hint="eastAsia" w:ascii="宋体" w:hAnsi="宋体" w:eastAsia="宋体" w:cs="宋体"/>
          <w:b w:val="0"/>
          <w:bCs w:val="0"/>
          <w:color w:val="auto"/>
          <w:highlight w:val="none"/>
          <w:lang w:val="en-US" w:eastAsia="zh-CN"/>
        </w:rPr>
        <w:t>本项目不收取履约保证金</w:t>
      </w:r>
    </w:p>
    <w:p>
      <w:pPr>
        <w:pStyle w:val="5"/>
        <w:spacing w:before="120" w:afterLines="50" w:line="360" w:lineRule="auto"/>
        <w:ind w:right="-94" w:rightChars="-39" w:firstLine="482"/>
        <w:rPr>
          <w:rFonts w:hint="eastAsia" w:ascii="宋体" w:hAnsi="宋体" w:eastAsia="宋体" w:cs="宋体"/>
          <w:color w:val="auto"/>
          <w:highlight w:val="none"/>
        </w:rPr>
      </w:pPr>
      <w:r>
        <w:rPr>
          <w:rFonts w:hint="eastAsia" w:ascii="宋体" w:hAnsi="宋体" w:eastAsia="宋体" w:cs="宋体"/>
          <w:color w:val="auto"/>
          <w:highlight w:val="none"/>
        </w:rPr>
        <w:t>32.履行合同</w:t>
      </w:r>
      <w:bookmarkEnd w:id="587"/>
      <w:bookmarkEnd w:id="588"/>
      <w:bookmarkEnd w:id="589"/>
      <w:bookmarkEnd w:id="590"/>
      <w:bookmarkEnd w:id="591"/>
      <w:bookmarkEnd w:id="592"/>
      <w:bookmarkEnd w:id="593"/>
      <w:bookmarkEnd w:id="594"/>
      <w:bookmarkEnd w:id="595"/>
      <w:bookmarkEnd w:id="596"/>
      <w:bookmarkEnd w:id="597"/>
      <w:bookmarkEnd w:id="598"/>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32.1 成交供应商与采购人签订合同后，合同双方应严格执行合同条款，履行合同规定的义务，保证合同的顺利完成。</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32.2 在合同履行过程中，如发生合同纠纷，合同双方应按照《中华人民共和国民法典》的有关规定进行处理。</w:t>
      </w:r>
    </w:p>
    <w:p>
      <w:pPr>
        <w:pStyle w:val="5"/>
        <w:spacing w:before="120" w:afterLines="50" w:line="360" w:lineRule="auto"/>
        <w:ind w:right="-94" w:rightChars="-39" w:firstLine="482"/>
        <w:rPr>
          <w:rFonts w:hint="eastAsia" w:ascii="宋体" w:hAnsi="宋体" w:eastAsia="宋体" w:cs="宋体"/>
          <w:color w:val="auto"/>
          <w:highlight w:val="none"/>
        </w:rPr>
      </w:pPr>
      <w:bookmarkStart w:id="599" w:name="_Toc24728"/>
      <w:bookmarkStart w:id="600" w:name="_Toc517423507"/>
      <w:bookmarkStart w:id="601" w:name="_Toc17848"/>
      <w:bookmarkStart w:id="602" w:name="_Toc83"/>
      <w:bookmarkStart w:id="603" w:name="_Toc13974"/>
      <w:bookmarkStart w:id="604" w:name="_Toc2267"/>
      <w:bookmarkStart w:id="605" w:name="_Toc9583"/>
      <w:bookmarkStart w:id="606" w:name="_Toc517422479"/>
      <w:bookmarkStart w:id="607" w:name="_Toc7684"/>
      <w:bookmarkStart w:id="608" w:name="_Toc16283"/>
      <w:bookmarkStart w:id="609" w:name="_Toc15214"/>
      <w:bookmarkStart w:id="610" w:name="_Toc26652"/>
      <w:r>
        <w:rPr>
          <w:rFonts w:hint="eastAsia" w:ascii="宋体" w:hAnsi="宋体" w:eastAsia="宋体" w:cs="宋体"/>
          <w:color w:val="auto"/>
          <w:highlight w:val="none"/>
        </w:rPr>
        <w:t>33</w:t>
      </w:r>
      <w:r>
        <w:rPr>
          <w:rFonts w:hint="eastAsia" w:ascii="宋体" w:hAnsi="宋体" w:eastAsia="宋体" w:cs="宋体"/>
          <w:bCs w:val="0"/>
          <w:color w:val="auto"/>
          <w:highlight w:val="none"/>
        </w:rPr>
        <w:t>.验收</w:t>
      </w:r>
      <w:bookmarkEnd w:id="599"/>
      <w:bookmarkEnd w:id="600"/>
      <w:bookmarkEnd w:id="601"/>
      <w:bookmarkEnd w:id="602"/>
      <w:bookmarkEnd w:id="603"/>
      <w:bookmarkEnd w:id="604"/>
      <w:bookmarkEnd w:id="605"/>
      <w:bookmarkEnd w:id="606"/>
      <w:bookmarkEnd w:id="607"/>
      <w:bookmarkEnd w:id="608"/>
      <w:bookmarkEnd w:id="609"/>
      <w:bookmarkEnd w:id="610"/>
      <w:bookmarkStart w:id="611" w:name="_Toc374"/>
      <w:bookmarkStart w:id="612" w:name="_Toc11621"/>
      <w:bookmarkStart w:id="613" w:name="_Toc31534"/>
      <w:bookmarkStart w:id="614" w:name="_Toc16236"/>
      <w:bookmarkStart w:id="615" w:name="_Toc30058"/>
      <w:bookmarkStart w:id="616" w:name="_Toc517423508"/>
      <w:bookmarkStart w:id="617" w:name="_Toc28708"/>
      <w:bookmarkStart w:id="618" w:name="_Toc13549"/>
      <w:bookmarkStart w:id="619" w:name="_Toc26803"/>
      <w:bookmarkStart w:id="620" w:name="_Toc3515"/>
      <w:bookmarkStart w:id="621" w:name="_Toc7593"/>
      <w:bookmarkStart w:id="622" w:name="_Toc517422480"/>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验收要求：</w:t>
      </w:r>
      <w:r>
        <w:rPr>
          <w:rFonts w:hint="eastAsia" w:ascii="宋体" w:hAnsi="宋体" w:eastAsia="宋体" w:cs="宋体"/>
          <w:sz w:val="24"/>
        </w:rPr>
        <w:t>成交</w:t>
      </w:r>
      <w:r>
        <w:rPr>
          <w:rFonts w:hint="eastAsia" w:ascii="宋体" w:hAnsi="宋体" w:eastAsia="宋体" w:cs="宋体"/>
          <w:sz w:val="24"/>
          <w:lang w:eastAsia="zh-CN"/>
        </w:rPr>
        <w:t>供应商</w:t>
      </w:r>
      <w:r>
        <w:rPr>
          <w:rFonts w:hint="eastAsia" w:ascii="宋体" w:hAnsi="宋体" w:eastAsia="宋体" w:cs="宋体"/>
          <w:sz w:val="24"/>
        </w:rPr>
        <w:t>与采购人应严格按照《财政部关于进一步加强政府采购需求和履约验收管理的指导意见》（财库〔2016〕205 号）)的要求进行验收。</w:t>
      </w:r>
    </w:p>
    <w:p>
      <w:pPr>
        <w:pStyle w:val="5"/>
        <w:spacing w:before="120" w:afterLines="50" w:line="360" w:lineRule="auto"/>
        <w:ind w:right="-94" w:rightChars="-39" w:firstLine="482"/>
        <w:rPr>
          <w:rFonts w:hint="eastAsia" w:ascii="宋体" w:hAnsi="宋体" w:eastAsia="宋体" w:cs="宋体"/>
          <w:color w:val="auto"/>
          <w:szCs w:val="22"/>
          <w:highlight w:val="none"/>
        </w:rPr>
      </w:pPr>
      <w:r>
        <w:rPr>
          <w:rFonts w:hint="eastAsia" w:ascii="宋体" w:hAnsi="宋体" w:eastAsia="宋体" w:cs="宋体"/>
          <w:color w:val="auto"/>
          <w:highlight w:val="none"/>
        </w:rPr>
        <w:t>34</w:t>
      </w:r>
      <w:r>
        <w:rPr>
          <w:rFonts w:hint="eastAsia" w:ascii="宋体" w:hAnsi="宋体" w:eastAsia="宋体" w:cs="宋体"/>
          <w:color w:val="auto"/>
          <w:szCs w:val="22"/>
          <w:highlight w:val="none"/>
          <w:lang w:val="en-US"/>
        </w:rPr>
        <w:t>.</w:t>
      </w:r>
      <w:bookmarkEnd w:id="611"/>
      <w:bookmarkEnd w:id="612"/>
      <w:bookmarkEnd w:id="613"/>
      <w:bookmarkEnd w:id="614"/>
      <w:bookmarkEnd w:id="615"/>
      <w:bookmarkEnd w:id="616"/>
      <w:bookmarkEnd w:id="617"/>
      <w:bookmarkEnd w:id="618"/>
      <w:bookmarkEnd w:id="619"/>
      <w:bookmarkEnd w:id="620"/>
      <w:bookmarkEnd w:id="621"/>
      <w:bookmarkEnd w:id="622"/>
      <w:r>
        <w:rPr>
          <w:rFonts w:hint="eastAsia" w:ascii="宋体" w:hAnsi="宋体" w:eastAsia="宋体" w:cs="宋体"/>
          <w:color w:val="auto"/>
          <w:szCs w:val="22"/>
          <w:highlight w:val="none"/>
        </w:rPr>
        <w:t>付款方式</w:t>
      </w:r>
    </w:p>
    <w:p>
      <w:pPr>
        <w:pStyle w:val="2"/>
        <w:ind w:firstLine="480"/>
        <w:rPr>
          <w:rFonts w:hint="eastAsia" w:ascii="宋体" w:hAnsi="宋体" w:eastAsia="宋体" w:cs="宋体"/>
          <w:bCs/>
          <w:color w:val="auto"/>
          <w:sz w:val="24"/>
          <w:szCs w:val="22"/>
          <w:highlight w:val="none"/>
        </w:rPr>
      </w:pPr>
      <w:r>
        <w:rPr>
          <w:rFonts w:hint="eastAsia" w:ascii="宋体" w:hAnsi="宋体" w:eastAsia="宋体" w:cs="宋体"/>
          <w:color w:val="auto"/>
          <w:kern w:val="0"/>
          <w:sz w:val="24"/>
          <w:szCs w:val="22"/>
          <w:highlight w:val="none"/>
          <w:lang w:val="en-US"/>
        </w:rPr>
        <w:t>本项目按采购合同支付，具体支付方式详见第五章商务要求。</w:t>
      </w:r>
    </w:p>
    <w:p>
      <w:pPr>
        <w:pStyle w:val="4"/>
        <w:keepNext w:val="0"/>
        <w:keepLines w:val="0"/>
        <w:spacing w:before="0" w:after="0" w:line="360" w:lineRule="auto"/>
        <w:ind w:right="-94" w:rightChars="-39"/>
        <w:rPr>
          <w:rFonts w:hint="eastAsia" w:ascii="宋体" w:hAnsi="宋体" w:eastAsia="宋体" w:cs="宋体"/>
          <w:color w:val="auto"/>
          <w:highlight w:val="none"/>
        </w:rPr>
      </w:pPr>
      <w:bookmarkStart w:id="623" w:name="_Toc9283"/>
      <w:bookmarkStart w:id="624" w:name="_Toc16425"/>
      <w:bookmarkStart w:id="625" w:name="_Toc7674"/>
      <w:bookmarkStart w:id="626" w:name="_Toc5988"/>
      <w:bookmarkStart w:id="627" w:name="_Toc9677"/>
      <w:bookmarkStart w:id="628" w:name="_Toc23766"/>
      <w:bookmarkStart w:id="629" w:name="_Toc32344"/>
      <w:bookmarkStart w:id="630" w:name="_Toc18558"/>
      <w:bookmarkStart w:id="631" w:name="_Toc9135"/>
      <w:bookmarkStart w:id="632" w:name="_Toc18124"/>
      <w:bookmarkStart w:id="633" w:name="_Toc517422481"/>
      <w:bookmarkStart w:id="634" w:name="_Toc517423509"/>
      <w:r>
        <w:rPr>
          <w:rFonts w:hint="eastAsia" w:ascii="宋体" w:hAnsi="宋体" w:eastAsia="宋体" w:cs="宋体"/>
          <w:color w:val="auto"/>
          <w:highlight w:val="none"/>
        </w:rPr>
        <w:t>八、磋商纪律要求</w:t>
      </w:r>
      <w:bookmarkEnd w:id="623"/>
      <w:bookmarkEnd w:id="624"/>
      <w:bookmarkEnd w:id="625"/>
      <w:bookmarkEnd w:id="626"/>
      <w:bookmarkEnd w:id="627"/>
      <w:bookmarkEnd w:id="628"/>
      <w:bookmarkEnd w:id="629"/>
      <w:bookmarkEnd w:id="630"/>
      <w:bookmarkEnd w:id="631"/>
      <w:bookmarkEnd w:id="632"/>
      <w:bookmarkEnd w:id="633"/>
      <w:bookmarkEnd w:id="634"/>
    </w:p>
    <w:p>
      <w:pPr>
        <w:pStyle w:val="5"/>
        <w:spacing w:before="120" w:afterLines="50" w:line="360" w:lineRule="auto"/>
        <w:ind w:right="-94" w:rightChars="-39" w:firstLine="482"/>
        <w:rPr>
          <w:rFonts w:hint="eastAsia" w:ascii="宋体" w:hAnsi="宋体" w:eastAsia="宋体" w:cs="宋体"/>
          <w:color w:val="auto"/>
          <w:highlight w:val="none"/>
        </w:rPr>
      </w:pPr>
      <w:bookmarkStart w:id="635" w:name="_Toc21531"/>
      <w:bookmarkStart w:id="636" w:name="_Toc9305"/>
      <w:bookmarkStart w:id="637" w:name="_Toc26441"/>
      <w:bookmarkStart w:id="638" w:name="_Toc13474"/>
      <w:bookmarkStart w:id="639" w:name="_Toc27123"/>
      <w:bookmarkStart w:id="640" w:name="_Toc19451"/>
      <w:bookmarkStart w:id="641" w:name="_Toc517423510"/>
      <w:bookmarkStart w:id="642" w:name="_Toc14140"/>
      <w:bookmarkStart w:id="643" w:name="_Toc517422482"/>
      <w:bookmarkStart w:id="644" w:name="_Toc14655"/>
      <w:bookmarkStart w:id="645" w:name="_Toc12502"/>
      <w:bookmarkStart w:id="646" w:name="_Toc30975"/>
      <w:r>
        <w:rPr>
          <w:rFonts w:hint="eastAsia" w:ascii="宋体" w:hAnsi="宋体" w:eastAsia="宋体" w:cs="宋体"/>
          <w:color w:val="auto"/>
          <w:highlight w:val="none"/>
        </w:rPr>
        <w:t>35.供应商不得具有的情形</w:t>
      </w:r>
      <w:bookmarkEnd w:id="635"/>
      <w:bookmarkEnd w:id="636"/>
      <w:bookmarkEnd w:id="637"/>
      <w:bookmarkEnd w:id="638"/>
      <w:bookmarkEnd w:id="639"/>
      <w:bookmarkEnd w:id="640"/>
      <w:bookmarkEnd w:id="641"/>
      <w:bookmarkEnd w:id="642"/>
      <w:bookmarkEnd w:id="643"/>
      <w:bookmarkEnd w:id="644"/>
      <w:bookmarkEnd w:id="645"/>
      <w:bookmarkEnd w:id="646"/>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供应商参加本项目磋商不得有下列情形：</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（1）提供虚假材料谋取成交；</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（2）采取不正当手段诋毁、排挤其他供应商；</w:t>
      </w:r>
    </w:p>
    <w:p>
      <w:pPr>
        <w:tabs>
          <w:tab w:val="left" w:pos="1080"/>
        </w:tabs>
        <w:spacing w:after="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（3）与采购人、采购代理机构、或其他供应商恶意串通；</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（4）向采购人、采购代理机构、磋商小组成员行贿或者提供其他不正当利益；</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（5）在磋商过程中与采购人、采购代理机构进行协商；</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（6）成交后无正当理由拒不与采购人签订采购合同；</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（7）未按照磋商文件确定的事项签订采购合同；</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（8）将采购合同转包或者违规分包；</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（9）提供假冒伪劣材料；</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（10）擅自变更、中止或者终止采购合同；</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供应商有上述情形的，按照规定追究法律责任，具备（1）-（10）条情形之一的，同时将取消被确认为成交供应商的资格或者认定成交无效。</w:t>
      </w:r>
    </w:p>
    <w:p>
      <w:pPr>
        <w:pStyle w:val="4"/>
        <w:keepNext w:val="0"/>
        <w:keepLines w:val="0"/>
        <w:numPr>
          <w:ilvl w:val="0"/>
          <w:numId w:val="4"/>
        </w:numPr>
        <w:spacing w:before="0" w:after="0" w:line="360" w:lineRule="auto"/>
        <w:ind w:right="-94" w:rightChars="-39"/>
        <w:rPr>
          <w:rFonts w:hint="eastAsia" w:ascii="宋体" w:hAnsi="宋体" w:eastAsia="宋体" w:cs="宋体"/>
          <w:color w:val="auto"/>
          <w:highlight w:val="none"/>
        </w:rPr>
      </w:pPr>
      <w:bookmarkStart w:id="647" w:name="_Toc32091"/>
      <w:bookmarkStart w:id="648" w:name="_Toc517423511"/>
      <w:bookmarkStart w:id="649" w:name="_Toc27415"/>
      <w:bookmarkStart w:id="650" w:name="_Toc517422483"/>
      <w:bookmarkStart w:id="651" w:name="_Toc24785"/>
      <w:bookmarkStart w:id="652" w:name="_Toc26056"/>
      <w:bookmarkStart w:id="653" w:name="_Toc22340"/>
      <w:bookmarkStart w:id="654" w:name="_Toc6878"/>
      <w:bookmarkStart w:id="655" w:name="_Toc2904"/>
      <w:bookmarkStart w:id="656" w:name="_Toc11745"/>
      <w:bookmarkStart w:id="657" w:name="_Toc19349"/>
      <w:bookmarkStart w:id="658" w:name="_Toc27101"/>
      <w:r>
        <w:rPr>
          <w:rFonts w:hint="eastAsia" w:ascii="宋体" w:hAnsi="宋体" w:eastAsia="宋体" w:cs="宋体"/>
          <w:color w:val="auto"/>
          <w:highlight w:val="none"/>
        </w:rPr>
        <w:t>询问、质疑和投诉</w:t>
      </w:r>
      <w:bookmarkEnd w:id="647"/>
      <w:bookmarkEnd w:id="648"/>
      <w:bookmarkEnd w:id="649"/>
      <w:bookmarkEnd w:id="650"/>
      <w:bookmarkEnd w:id="651"/>
      <w:bookmarkEnd w:id="652"/>
      <w:bookmarkEnd w:id="653"/>
      <w:bookmarkEnd w:id="654"/>
      <w:bookmarkEnd w:id="655"/>
      <w:bookmarkEnd w:id="656"/>
      <w:bookmarkEnd w:id="657"/>
      <w:bookmarkEnd w:id="658"/>
      <w:bookmarkStart w:id="659" w:name="_Toc21700"/>
      <w:bookmarkStart w:id="660" w:name="_Toc519690191"/>
    </w:p>
    <w:p>
      <w:pPr>
        <w:tabs>
          <w:tab w:val="left" w:pos="1080"/>
        </w:tabs>
        <w:spacing w:afterLines="50" w:line="360" w:lineRule="auto"/>
        <w:ind w:right="-94" w:rightChars="-39" w:firstLine="460" w:firstLineChars="192"/>
        <w:rPr>
          <w:rFonts w:hint="eastAsia" w:ascii="宋体" w:hAnsi="宋体" w:eastAsia="宋体" w:cs="宋体"/>
          <w:color w:val="auto"/>
          <w:highlight w:val="none"/>
        </w:rPr>
      </w:pPr>
      <w:r>
        <w:rPr>
          <w:rFonts w:hint="eastAsia" w:ascii="宋体" w:hAnsi="宋体" w:eastAsia="宋体" w:cs="宋体"/>
          <w:color w:val="auto"/>
          <w:highlight w:val="none"/>
        </w:rPr>
        <w:t>36.询问、质疑、投诉的接收和处理参照《中华人民共和国政府采购法》《中华人民共和国政府采购法实施条例》《财政部关于加强政府采购供应商投诉受理审查工作的通知》《政府采购质疑和投诉办法（财政部令第 94 号）》和四川省的有关规定办理（详细规定请在四川政府采购网政策法规模块查询）。</w:t>
      </w:r>
      <w:bookmarkEnd w:id="659"/>
      <w:bookmarkEnd w:id="660"/>
    </w:p>
    <w:p>
      <w:pPr>
        <w:pStyle w:val="4"/>
        <w:spacing w:line="360" w:lineRule="auto"/>
        <w:ind w:right="-94" w:rightChars="-39"/>
        <w:rPr>
          <w:rFonts w:hint="eastAsia" w:ascii="宋体" w:hAnsi="宋体" w:eastAsia="宋体" w:cs="宋体"/>
          <w:color w:val="auto"/>
          <w:sz w:val="24"/>
          <w:highlight w:val="none"/>
        </w:rPr>
      </w:pPr>
      <w:bookmarkStart w:id="661" w:name="_Toc17169"/>
      <w:bookmarkStart w:id="662" w:name="_Toc23728"/>
      <w:bookmarkStart w:id="663" w:name="_Toc6085"/>
      <w:bookmarkStart w:id="664" w:name="_Toc517423513"/>
      <w:bookmarkStart w:id="665" w:name="_Toc14726"/>
      <w:bookmarkStart w:id="666" w:name="_Toc5434"/>
      <w:bookmarkStart w:id="667" w:name="_Toc29704"/>
      <w:bookmarkStart w:id="668" w:name="_Toc20599"/>
      <w:bookmarkStart w:id="669" w:name="_Toc12072"/>
      <w:bookmarkStart w:id="670" w:name="_Toc21073"/>
      <w:bookmarkStart w:id="671" w:name="_Toc15712"/>
      <w:bookmarkStart w:id="672" w:name="_Toc2632"/>
      <w:bookmarkStart w:id="673" w:name="_Toc517422485"/>
      <w:bookmarkStart w:id="674" w:name="_Toc28608"/>
      <w:bookmarkStart w:id="675" w:name="_Toc12416"/>
      <w:bookmarkStart w:id="676" w:name="_Toc24254"/>
      <w:bookmarkStart w:id="677" w:name="_Toc29557"/>
      <w:r>
        <w:rPr>
          <w:rFonts w:hint="eastAsia" w:ascii="宋体" w:hAnsi="宋体" w:eastAsia="宋体" w:cs="宋体"/>
          <w:color w:val="auto"/>
          <w:highlight w:val="none"/>
        </w:rPr>
        <w:t>十、其  他</w:t>
      </w:r>
      <w:bookmarkEnd w:id="661"/>
      <w:bookmarkEnd w:id="662"/>
      <w:bookmarkEnd w:id="663"/>
    </w:p>
    <w:p>
      <w:pPr>
        <w:tabs>
          <w:tab w:val="left" w:pos="1080"/>
        </w:tabs>
        <w:spacing w:afterLines="50" w:line="360" w:lineRule="auto"/>
        <w:ind w:right="-94" w:rightChars="-39" w:firstLine="460" w:firstLineChars="192"/>
        <w:rPr>
          <w:rFonts w:hint="eastAsia" w:ascii="宋体" w:hAnsi="宋体" w:eastAsia="宋体" w:cs="宋体"/>
          <w:color w:val="auto"/>
          <w:szCs w:val="22"/>
          <w:highlight w:val="none"/>
        </w:rPr>
      </w:pPr>
      <w:r>
        <w:rPr>
          <w:rFonts w:hint="eastAsia" w:ascii="宋体" w:hAnsi="宋体" w:eastAsia="宋体" w:cs="宋体"/>
          <w:color w:val="auto"/>
          <w:szCs w:val="22"/>
          <w:highlight w:val="none"/>
        </w:rPr>
        <w:t>37.本磋商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1080"/>
        </w:tabs>
        <w:spacing w:afterLines="50" w:line="360" w:lineRule="auto"/>
        <w:ind w:right="-94" w:rightChars="-39" w:firstLine="460" w:firstLineChars="192"/>
        <w:rPr>
          <w:rFonts w:hint="eastAsia" w:ascii="宋体" w:hAnsi="宋体" w:eastAsia="宋体" w:cs="宋体"/>
          <w:color w:val="auto"/>
          <w:szCs w:val="22"/>
          <w:highlight w:val="none"/>
        </w:rPr>
      </w:pPr>
      <w:r>
        <w:rPr>
          <w:rFonts w:hint="eastAsia" w:ascii="宋体" w:hAnsi="宋体" w:eastAsia="宋体" w:cs="宋体"/>
          <w:color w:val="auto"/>
          <w:szCs w:val="22"/>
          <w:highlight w:val="none"/>
        </w:rPr>
        <w:t>38.</w:t>
      </w:r>
      <w:r>
        <w:rPr>
          <w:rFonts w:hint="eastAsia" w:ascii="宋体" w:hAnsi="宋体" w:eastAsia="宋体" w:cs="宋体"/>
          <w:b/>
          <w:color w:val="auto"/>
          <w:highlight w:val="none"/>
        </w:rPr>
        <w:t>（实质性要求）</w:t>
      </w:r>
      <w:r>
        <w:rPr>
          <w:rFonts w:hint="eastAsia" w:ascii="宋体" w:hAnsi="宋体" w:eastAsia="宋体" w:cs="宋体"/>
          <w:color w:val="auto"/>
          <w:szCs w:val="22"/>
          <w:highlight w:val="none"/>
        </w:rPr>
        <w:t>国家或行业主管部门对供应商和采购产品的技术标准、质量标准和资格资质条件等有强制性规定的，必须符合其要求。</w:t>
      </w:r>
    </w:p>
    <w:p>
      <w:pPr>
        <w:spacing w:line="360" w:lineRule="auto"/>
        <w:ind w:right="-94" w:rightChars="-39" w:firstLine="480"/>
        <w:rPr>
          <w:rFonts w:hint="eastAsia" w:ascii="宋体" w:hAnsi="宋体" w:eastAsia="宋体" w:cs="宋体"/>
          <w:color w:val="auto"/>
          <w:highlight w:val="none"/>
        </w:rPr>
      </w:pPr>
      <w:bookmarkStart w:id="678" w:name="_Toc12006356"/>
      <w:bookmarkStart w:id="679" w:name="_Toc9438761"/>
      <w:bookmarkStart w:id="680" w:name="_Toc17951"/>
    </w:p>
    <w:p>
      <w:pPr>
        <w:spacing w:line="360" w:lineRule="auto"/>
        <w:ind w:right="-94" w:rightChars="-39" w:firstLine="0" w:firstLineChars="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Lines="50" w:line="360" w:lineRule="auto"/>
        <w:ind w:right="-94" w:rightChars="-39"/>
        <w:rPr>
          <w:rFonts w:hint="eastAsia" w:ascii="宋体" w:hAnsi="宋体" w:eastAsia="宋体" w:cs="宋体"/>
          <w:color w:val="auto"/>
          <w:highlight w:val="none"/>
        </w:rPr>
      </w:pPr>
      <w:bookmarkStart w:id="681" w:name="_Toc14406"/>
      <w:r>
        <w:rPr>
          <w:rFonts w:hint="eastAsia" w:ascii="宋体" w:hAnsi="宋体" w:eastAsia="宋体" w:cs="宋体"/>
          <w:color w:val="auto"/>
          <w:highlight w:val="none"/>
        </w:rPr>
        <w:t>第三章  供应商资格条件要求</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numPr>
          <w:ilvl w:val="0"/>
          <w:numId w:val="0"/>
        </w:numPr>
        <w:rPr>
          <w:rFonts w:hint="eastAsia" w:ascii="宋体" w:hAnsi="宋体" w:eastAsia="宋体" w:cs="宋体"/>
          <w:b/>
          <w:bCs/>
          <w:sz w:val="24"/>
          <w:szCs w:val="24"/>
          <w:lang w:val="en-US" w:eastAsia="zh-CN"/>
        </w:rPr>
      </w:pPr>
      <w:bookmarkStart w:id="682" w:name="_Toc23026"/>
      <w:r>
        <w:rPr>
          <w:rFonts w:hint="eastAsia" w:ascii="宋体" w:hAnsi="宋体" w:eastAsia="宋体" w:cs="宋体"/>
          <w:b/>
          <w:color w:val="auto"/>
          <w:sz w:val="24"/>
          <w:szCs w:val="24"/>
          <w:highlight w:val="none"/>
        </w:rPr>
        <w:t>一、参加磋商的供应商应具备下列资格条件：</w:t>
      </w:r>
      <w:bookmarkEnd w:id="682"/>
      <w:r>
        <w:rPr>
          <w:rFonts w:hint="eastAsia" w:ascii="宋体" w:hAnsi="宋体" w:eastAsia="宋体" w:cs="宋体"/>
          <w:b/>
          <w:bCs/>
          <w:sz w:val="24"/>
          <w:szCs w:val="24"/>
          <w:lang w:val="en-US" w:eastAsia="zh-CN"/>
        </w:rPr>
        <w:t>（02包）</w:t>
      </w:r>
    </w:p>
    <w:p>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（一）《中华人民共和国政府采购法》第二十二条第1项至第</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项规定的条件：</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（1）具有独立承担民事责任的能力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（3）有依法缴纳税收和社会保障资金的良好记录</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（4）具有履行合同所必需的设备和专业技术能力</w:t>
      </w:r>
    </w:p>
    <w:p>
      <w:pPr>
        <w:spacing w:after="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（5）参加本次政府采购活动前三年内，在经营活动中没有重大违法记录</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w:t>
      </w:r>
    </w:p>
    <w:p>
      <w:pPr>
        <w:spacing w:line="360" w:lineRule="auto"/>
        <w:ind w:right="-94" w:rightChars="-39"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lang w:eastAsia="zh-CN"/>
        </w:rPr>
        <w:t>参加本项目采购活动的供应商、现任法定代表人在前3年内不得具有行贿犯罪记录。</w:t>
      </w:r>
    </w:p>
    <w:p>
      <w:pPr>
        <w:widowControl/>
        <w:spacing w:line="360" w:lineRule="auto"/>
        <w:ind w:firstLine="241" w:firstLineChars="100"/>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lang w:val="en-US" w:eastAsia="zh-CN"/>
        </w:rPr>
        <w:t>二</w:t>
      </w: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rPr>
        <w:t>落实政府采购政策需满足的资格要求：</w:t>
      </w:r>
    </w:p>
    <w:p>
      <w:pPr>
        <w:spacing w:line="500" w:lineRule="exact"/>
        <w:ind w:firstLine="540" w:firstLineChars="225"/>
        <w:rPr>
          <w:rFonts w:hint="eastAsia" w:ascii="宋体" w:hAnsi="宋体" w:eastAsia="宋体" w:cs="宋体"/>
          <w:sz w:val="24"/>
        </w:rPr>
      </w:pPr>
      <w:r>
        <w:rPr>
          <w:rFonts w:hint="eastAsia" w:ascii="宋体" w:hAnsi="宋体" w:eastAsia="宋体" w:cs="宋体"/>
          <w:sz w:val="24"/>
        </w:rPr>
        <w:t>本项目专门面向中小企业采购(监狱企业、残疾人福利性单位均视同小微企业)，非中小企业参与的将视为无效响应。</w:t>
      </w:r>
    </w:p>
    <w:p>
      <w:pPr>
        <w:widowControl/>
        <w:numPr>
          <w:ilvl w:val="0"/>
          <w:numId w:val="3"/>
        </w:numPr>
        <w:spacing w:line="360" w:lineRule="auto"/>
        <w:ind w:firstLine="241" w:firstLineChars="1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kern w:val="0"/>
          <w:sz w:val="24"/>
          <w:szCs w:val="22"/>
          <w:highlight w:val="none"/>
        </w:rPr>
        <w:t>根据采购项目提出的特殊条件</w:t>
      </w:r>
      <w:r>
        <w:rPr>
          <w:rFonts w:hint="eastAsia" w:ascii="宋体" w:hAnsi="宋体" w:eastAsia="宋体" w:cs="宋体"/>
          <w:color w:val="auto"/>
          <w:kern w:val="0"/>
          <w:sz w:val="24"/>
          <w:szCs w:val="22"/>
          <w:highlight w:val="none"/>
        </w:rPr>
        <w:t>：</w:t>
      </w:r>
      <w:r>
        <w:rPr>
          <w:rFonts w:hint="eastAsia" w:ascii="宋体" w:hAnsi="宋体" w:eastAsia="宋体" w:cs="宋体"/>
          <w:b w:val="0"/>
          <w:bCs w:val="0"/>
          <w:color w:val="auto"/>
          <w:sz w:val="24"/>
          <w:szCs w:val="32"/>
          <w:highlight w:val="none"/>
          <w:lang w:val="en-US" w:eastAsia="zh-CN" w:bidi="ar-SA"/>
        </w:rPr>
        <w:t>无</w:t>
      </w:r>
    </w:p>
    <w:p>
      <w:pPr>
        <w:spacing w:line="500" w:lineRule="exact"/>
        <w:ind w:firstLine="241" w:firstLineChars="100"/>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其他类似效力要求：</w:t>
      </w:r>
    </w:p>
    <w:p>
      <w:pPr>
        <w:widowControl/>
        <w:numPr>
          <w:ilvl w:val="0"/>
          <w:numId w:val="0"/>
        </w:numPr>
        <w:spacing w:line="360" w:lineRule="auto"/>
        <w:ind w:firstLine="480" w:firstLineChars="2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val="0"/>
          <w:bCs w:val="0"/>
          <w:color w:val="auto"/>
          <w:sz w:val="24"/>
          <w:szCs w:val="32"/>
          <w:highlight w:val="none"/>
          <w:lang w:val="en-US" w:eastAsia="zh-CN" w:bidi="ar-SA"/>
        </w:rPr>
        <w:t>授权参加本次采购活动的供应商代表证明材料。</w:t>
      </w:r>
    </w:p>
    <w:p>
      <w:pPr>
        <w:pStyle w:val="85"/>
        <w:spacing w:afterLines="50"/>
        <w:ind w:right="-94" w:rightChars="-39" w:firstLine="422"/>
        <w:rPr>
          <w:rFonts w:hint="eastAsia" w:ascii="宋体" w:hAnsi="宋体" w:eastAsia="宋体" w:cs="宋体"/>
          <w:b/>
          <w:color w:val="auto"/>
          <w:sz w:val="21"/>
          <w:highlight w:val="none"/>
        </w:rPr>
      </w:pPr>
    </w:p>
    <w:p>
      <w:pPr>
        <w:pStyle w:val="85"/>
        <w:spacing w:afterLines="50"/>
        <w:ind w:right="-94" w:rightChars="-39" w:firstLine="422"/>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注：1. 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pStyle w:val="85"/>
        <w:spacing w:afterLines="50"/>
        <w:ind w:right="-94" w:rightChars="-39" w:firstLine="422"/>
        <w:rPr>
          <w:rFonts w:hint="eastAsia" w:ascii="宋体" w:hAnsi="宋体" w:eastAsia="宋体" w:cs="宋体"/>
          <w:color w:val="auto"/>
          <w:highlight w:val="none"/>
        </w:rPr>
      </w:pPr>
      <w:r>
        <w:rPr>
          <w:rFonts w:hint="eastAsia" w:ascii="宋体" w:hAnsi="宋体" w:eastAsia="宋体" w:cs="宋体"/>
          <w:b/>
          <w:color w:val="auto"/>
          <w:sz w:val="21"/>
          <w:szCs w:val="21"/>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r>
        <w:rPr>
          <w:rFonts w:hint="eastAsia" w:ascii="宋体" w:hAnsi="宋体" w:eastAsia="宋体" w:cs="宋体"/>
          <w:color w:val="auto"/>
          <w:highlight w:val="none"/>
        </w:rPr>
        <w:br w:type="page"/>
      </w:r>
      <w:bookmarkStart w:id="683" w:name="_Toc517422486"/>
      <w:bookmarkStart w:id="684" w:name="_Toc28615"/>
      <w:bookmarkStart w:id="685" w:name="_Toc7910"/>
      <w:bookmarkStart w:id="686" w:name="_Toc24898"/>
      <w:bookmarkStart w:id="687" w:name="_Toc1475"/>
      <w:bookmarkStart w:id="688" w:name="_Toc12006357"/>
      <w:bookmarkStart w:id="689" w:name="_Toc24353"/>
      <w:bookmarkStart w:id="690" w:name="_Toc29662"/>
      <w:bookmarkStart w:id="691" w:name="_Toc9734"/>
      <w:bookmarkStart w:id="692" w:name="_Toc21432"/>
      <w:bookmarkStart w:id="693" w:name="_Toc23200"/>
      <w:bookmarkStart w:id="694" w:name="_Toc15457"/>
      <w:bookmarkStart w:id="695" w:name="_Toc15207"/>
      <w:bookmarkStart w:id="696" w:name="_Toc9438762"/>
      <w:bookmarkStart w:id="697" w:name="_Toc6722"/>
    </w:p>
    <w:p>
      <w:pPr>
        <w:pStyle w:val="3"/>
        <w:spacing w:before="0" w:afterLines="50" w:line="360" w:lineRule="auto"/>
        <w:ind w:right="-94" w:rightChars="-39"/>
        <w:rPr>
          <w:rFonts w:hint="eastAsia" w:ascii="宋体" w:hAnsi="宋体" w:eastAsia="宋体" w:cs="宋体"/>
          <w:b w:val="0"/>
          <w:bCs w:val="0"/>
          <w:color w:val="auto"/>
          <w:highlight w:val="none"/>
        </w:rPr>
      </w:pPr>
      <w:r>
        <w:rPr>
          <w:rFonts w:hint="eastAsia" w:ascii="宋体" w:hAnsi="宋体" w:eastAsia="宋体" w:cs="宋体"/>
          <w:color w:val="auto"/>
          <w:highlight w:val="none"/>
        </w:rPr>
        <w:t xml:space="preserve">第四章  </w:t>
      </w:r>
      <w:bookmarkStart w:id="698" w:name="_Toc517423514"/>
      <w:bookmarkStart w:id="699" w:name="_Toc14821"/>
      <w:r>
        <w:rPr>
          <w:rFonts w:hint="eastAsia" w:ascii="宋体" w:hAnsi="宋体" w:eastAsia="宋体" w:cs="宋体"/>
          <w:color w:val="auto"/>
          <w:highlight w:val="none"/>
        </w:rPr>
        <w:t>供应商资格证明材料</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ind w:firstLine="482"/>
        <w:rPr>
          <w:rFonts w:hint="eastAsia" w:ascii="宋体" w:hAnsi="宋体" w:eastAsia="宋体" w:cs="宋体"/>
          <w:b/>
          <w:color w:val="auto"/>
          <w:highlight w:val="none"/>
          <w:lang w:eastAsia="zh-CN"/>
        </w:rPr>
      </w:pPr>
      <w:r>
        <w:rPr>
          <w:rFonts w:hint="eastAsia" w:ascii="宋体" w:hAnsi="宋体" w:eastAsia="宋体" w:cs="宋体"/>
          <w:b/>
          <w:color w:val="auto"/>
          <w:highlight w:val="none"/>
        </w:rPr>
        <w:t>一、参加磋商的供应商应具备下列资格条件：</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02包</w:t>
      </w:r>
      <w:r>
        <w:rPr>
          <w:rFonts w:hint="eastAsia" w:ascii="宋体" w:hAnsi="宋体" w:eastAsia="宋体" w:cs="宋体"/>
          <w:b/>
          <w:color w:val="auto"/>
          <w:highlight w:val="none"/>
          <w:lang w:eastAsia="zh-CN"/>
        </w:rPr>
        <w:t>）</w:t>
      </w:r>
    </w:p>
    <w:p>
      <w:pPr>
        <w:spacing w:afterLines="50" w:line="360" w:lineRule="auto"/>
        <w:ind w:right="-94" w:rightChars="-39"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（一）《中华人民共和国政府采购法》第二十二条第1-5项规定的条件：</w:t>
      </w:r>
    </w:p>
    <w:p>
      <w:pPr>
        <w:spacing w:line="360" w:lineRule="auto"/>
        <w:ind w:left="0" w:leftChars="0" w:right="-94" w:rightChars="-39"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lang w:val="zh-CN"/>
        </w:rPr>
        <w:t>具有独立承担民事责任的能力：</w:t>
      </w:r>
      <w:r>
        <w:rPr>
          <w:rFonts w:hint="eastAsia" w:ascii="宋体" w:hAnsi="宋体" w:eastAsia="宋体" w:cs="宋体"/>
          <w:color w:val="auto"/>
          <w:highlight w:val="none"/>
        </w:rPr>
        <w:t>（注：①供应商若为企业法人：提供“统一社会信用代码营业执照”；未换证的提供“营业执照、税务登记证、组织机构代码证”；②若为事业单位：提供“统一社会信用代码法人登记证书”；未换证的提交“事业法人登记证书、组织机构代码证”；③若为其他组织：提供“对应主管部门颁发的准许执业证明文件或营业执照”；④若为自然人：提供“身份证复印件”。⑤非独立法人分支机构参加需提供具有独立法人资格的总公司针对本项目的授权书原件，并提供“统一社会信用代码营业执照”；未换证的提供“营业执照、税务登记证、组织机构代码证”）（注：①在有效期内；②具有独立法人资格；③复印件加盖公章）；</w:t>
      </w:r>
    </w:p>
    <w:p>
      <w:pPr>
        <w:spacing w:before="120" w:line="360" w:lineRule="auto"/>
        <w:ind w:right="-94" w:rightChars="-39"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2.具有良好的商业信誉和健全的财务会计制度：</w:t>
      </w:r>
    </w:p>
    <w:p>
      <w:pPr>
        <w:spacing w:after="50" w:line="360" w:lineRule="auto"/>
        <w:ind w:right="-94" w:rightChars="-39" w:firstLine="24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（1）具有良好的商业信誉的证明材料：</w:t>
      </w:r>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提供具有良好的商业信誉承诺函</w:t>
      </w:r>
      <w:r>
        <w:rPr>
          <w:rFonts w:hint="eastAsia" w:ascii="宋体" w:hAnsi="宋体" w:eastAsia="宋体" w:cs="宋体"/>
          <w:color w:val="auto"/>
          <w:highlight w:val="none"/>
          <w:lang w:eastAsia="zh-CN"/>
        </w:rPr>
        <w:t>原件</w:t>
      </w:r>
      <w:r>
        <w:rPr>
          <w:rFonts w:hint="eastAsia" w:ascii="宋体" w:hAnsi="宋体" w:eastAsia="宋体" w:cs="宋体"/>
          <w:color w:val="auto"/>
          <w:highlight w:val="none"/>
        </w:rPr>
        <w:t>；</w:t>
      </w:r>
    </w:p>
    <w:p>
      <w:pPr>
        <w:spacing w:after="50" w:line="360" w:lineRule="auto"/>
        <w:ind w:right="-94" w:rightChars="-39" w:firstLine="24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（2）具有健全的财务会计制度的证明材料：</w:t>
      </w:r>
    </w:p>
    <w:p>
      <w:pPr>
        <w:spacing w:after="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①可提供2019年度或2020年度经审计的财务报告复印件；②也可提供2019年度或2020年度供应商内部的财务报表复印件；③也可提供距文件递交截止日一年内银行出具的资信证明</w:t>
      </w:r>
      <w:r>
        <w:rPr>
          <w:rFonts w:hint="eastAsia" w:ascii="宋体" w:hAnsi="宋体" w:eastAsia="宋体" w:cs="宋体"/>
          <w:color w:val="auto"/>
          <w:highlight w:val="none"/>
          <w:lang w:eastAsia="zh-CN"/>
        </w:rPr>
        <w:t>复印件</w:t>
      </w:r>
      <w:r>
        <w:rPr>
          <w:rFonts w:hint="eastAsia" w:ascii="宋体" w:hAnsi="宋体" w:eastAsia="宋体" w:cs="宋体"/>
          <w:color w:val="auto"/>
          <w:highlight w:val="none"/>
        </w:rPr>
        <w:t>；④供应商注册时间至文件递交截止日不足一年的，也可提供在工商备案的公司章程</w:t>
      </w:r>
      <w:r>
        <w:rPr>
          <w:rFonts w:hint="eastAsia" w:ascii="宋体" w:hAnsi="宋体" w:eastAsia="宋体" w:cs="宋体"/>
          <w:color w:val="auto"/>
          <w:highlight w:val="none"/>
          <w:lang w:eastAsia="zh-CN"/>
        </w:rPr>
        <w:t>复印件；</w:t>
      </w:r>
    </w:p>
    <w:p>
      <w:pPr>
        <w:spacing w:afterLines="50" w:line="360" w:lineRule="auto"/>
        <w:ind w:right="-94" w:rightChars="-39" w:firstLine="482"/>
        <w:rPr>
          <w:rFonts w:hint="eastAsia" w:ascii="宋体" w:hAnsi="宋体" w:eastAsia="宋体" w:cs="宋体"/>
          <w:b/>
          <w:bCs/>
          <w:color w:val="auto"/>
          <w:szCs w:val="22"/>
          <w:highlight w:val="none"/>
          <w:lang w:val="zh-CN"/>
        </w:rPr>
      </w:pPr>
      <w:r>
        <w:rPr>
          <w:rFonts w:hint="eastAsia" w:ascii="宋体" w:hAnsi="宋体" w:eastAsia="宋体" w:cs="宋体"/>
          <w:b/>
          <w:bCs/>
          <w:color w:val="auto"/>
          <w:szCs w:val="22"/>
          <w:highlight w:val="none"/>
        </w:rPr>
        <w:t>3.</w:t>
      </w:r>
      <w:r>
        <w:rPr>
          <w:rFonts w:hint="eastAsia" w:ascii="宋体" w:hAnsi="宋体" w:eastAsia="宋体" w:cs="宋体"/>
          <w:b/>
          <w:bCs/>
          <w:color w:val="auto"/>
          <w:szCs w:val="22"/>
          <w:highlight w:val="none"/>
          <w:lang w:val="zh-CN"/>
        </w:rPr>
        <w:t>具有履行合同所必需的设备和专业技术能力；</w:t>
      </w:r>
    </w:p>
    <w:p>
      <w:pPr>
        <w:spacing w:afterLines="50" w:line="360" w:lineRule="auto"/>
        <w:ind w:right="-94" w:rightChars="-39"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提供具有履行合同所必需的设备和专业技术能力的</w:t>
      </w:r>
      <w:r>
        <w:rPr>
          <w:rFonts w:hint="eastAsia" w:ascii="宋体" w:hAnsi="宋体" w:eastAsia="宋体" w:cs="宋体"/>
          <w:color w:val="auto"/>
          <w:highlight w:val="none"/>
        </w:rPr>
        <w:t>证明材料（</w:t>
      </w:r>
      <w:r>
        <w:rPr>
          <w:rFonts w:hint="eastAsia" w:ascii="宋体" w:hAnsi="宋体" w:eastAsia="宋体" w:cs="宋体"/>
          <w:color w:val="auto"/>
          <w:szCs w:val="24"/>
          <w:highlight w:val="none"/>
        </w:rPr>
        <w:t>供应商需提供相关证明材料或承诺函</w:t>
      </w:r>
      <w:r>
        <w:rPr>
          <w:rFonts w:hint="eastAsia" w:ascii="宋体" w:hAnsi="宋体" w:eastAsia="宋体" w:cs="宋体"/>
          <w:color w:val="auto"/>
          <w:szCs w:val="24"/>
          <w:highlight w:val="none"/>
          <w:lang w:eastAsia="zh-CN"/>
        </w:rPr>
        <w:t>原件</w:t>
      </w:r>
      <w:r>
        <w:rPr>
          <w:rFonts w:hint="eastAsia" w:ascii="宋体" w:hAnsi="宋体" w:eastAsia="宋体" w:cs="宋体"/>
          <w:color w:val="auto"/>
          <w:szCs w:val="24"/>
          <w:highlight w:val="none"/>
        </w:rPr>
        <w:t>）；</w:t>
      </w:r>
    </w:p>
    <w:p>
      <w:pPr>
        <w:spacing w:afterLines="50" w:line="360" w:lineRule="auto"/>
        <w:ind w:right="-94" w:rightChars="-39" w:firstLine="482"/>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4.</w:t>
      </w:r>
      <w:r>
        <w:rPr>
          <w:rFonts w:hint="eastAsia" w:ascii="宋体" w:hAnsi="宋体" w:eastAsia="宋体" w:cs="宋体"/>
          <w:b/>
          <w:bCs/>
          <w:color w:val="auto"/>
          <w:highlight w:val="none"/>
          <w:lang w:val="zh-CN"/>
        </w:rPr>
        <w:t>有依法缴纳税收和社会保障资金的良好记录：</w:t>
      </w:r>
    </w:p>
    <w:p>
      <w:pPr>
        <w:spacing w:line="360" w:lineRule="auto"/>
        <w:ind w:right="-94" w:rightChars="-39" w:firstLine="720" w:firstLineChars="300"/>
        <w:rPr>
          <w:rFonts w:hint="eastAsia" w:ascii="宋体" w:hAnsi="宋体" w:eastAsia="宋体" w:cs="宋体"/>
          <w:color w:val="auto"/>
          <w:highlight w:val="none"/>
          <w:lang w:val="zh-CN"/>
        </w:rPr>
      </w:pPr>
      <w:r>
        <w:rPr>
          <w:rFonts w:hint="eastAsia" w:ascii="宋体" w:hAnsi="宋体" w:eastAsia="宋体" w:cs="宋体"/>
          <w:color w:val="auto"/>
          <w:szCs w:val="24"/>
          <w:highlight w:val="none"/>
        </w:rPr>
        <w:t>提供202</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年至今任意3个月依法缴纳税收和社会保障资金的证明材料（</w:t>
      </w:r>
      <w:r>
        <w:rPr>
          <w:rFonts w:hint="eastAsia" w:ascii="宋体" w:hAnsi="宋体" w:eastAsia="宋体" w:cs="宋体"/>
          <w:color w:val="auto"/>
          <w:szCs w:val="24"/>
          <w:highlight w:val="none"/>
          <w:lang w:eastAsia="zh-CN"/>
        </w:rPr>
        <w:t>提供相关证明材料或承诺函原件</w:t>
      </w:r>
      <w:r>
        <w:rPr>
          <w:rFonts w:hint="eastAsia" w:ascii="宋体" w:hAnsi="宋体" w:eastAsia="宋体" w:cs="宋体"/>
          <w:color w:val="auto"/>
          <w:szCs w:val="24"/>
          <w:highlight w:val="none"/>
        </w:rPr>
        <w:t>）</w:t>
      </w:r>
      <w:r>
        <w:rPr>
          <w:rFonts w:hint="eastAsia" w:ascii="宋体" w:hAnsi="宋体" w:eastAsia="宋体" w:cs="宋体"/>
          <w:color w:val="auto"/>
          <w:highlight w:val="none"/>
          <w:lang w:val="zh-CN"/>
        </w:rPr>
        <w:t>；</w:t>
      </w:r>
    </w:p>
    <w:p>
      <w:pPr>
        <w:spacing w:before="120" w:line="360" w:lineRule="auto"/>
        <w:ind w:right="-94" w:rightChars="-39" w:firstLine="482"/>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5.参加本项目采购活动的供应商三年内，在经营活动中没有重大违法记录</w:t>
      </w:r>
    </w:p>
    <w:p>
      <w:pPr>
        <w:spacing w:afterLines="50" w:line="360" w:lineRule="auto"/>
        <w:ind w:right="-94" w:rightChars="-39" w:firstLine="480"/>
        <w:rPr>
          <w:rFonts w:hint="eastAsia" w:ascii="宋体" w:hAnsi="宋体" w:eastAsia="宋体" w:cs="宋体"/>
          <w:b/>
          <w:color w:val="auto"/>
          <w:szCs w:val="22"/>
          <w:highlight w:val="none"/>
        </w:rPr>
      </w:pPr>
      <w:r>
        <w:rPr>
          <w:rFonts w:hint="eastAsia" w:ascii="宋体" w:hAnsi="宋体" w:eastAsia="宋体" w:cs="宋体"/>
          <w:color w:val="auto"/>
          <w:szCs w:val="24"/>
          <w:highlight w:val="none"/>
        </w:rPr>
        <w:t>提供相关证明材料或承诺</w:t>
      </w:r>
      <w:r>
        <w:rPr>
          <w:rFonts w:hint="eastAsia" w:ascii="宋体" w:hAnsi="宋体" w:eastAsia="宋体" w:cs="宋体"/>
          <w:color w:val="auto"/>
          <w:szCs w:val="24"/>
          <w:highlight w:val="none"/>
          <w:lang w:eastAsia="zh-CN"/>
        </w:rPr>
        <w:t>原件</w:t>
      </w:r>
      <w:r>
        <w:rPr>
          <w:rFonts w:hint="eastAsia" w:ascii="宋体" w:hAnsi="宋体" w:eastAsia="宋体" w:cs="宋体"/>
          <w:color w:val="auto"/>
          <w:szCs w:val="24"/>
          <w:highlight w:val="none"/>
        </w:rPr>
        <w:t>。</w:t>
      </w:r>
    </w:p>
    <w:p>
      <w:pPr>
        <w:spacing w:after="12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法律、行政法规规定的其他条件</w:t>
      </w:r>
      <w:r>
        <w:rPr>
          <w:rFonts w:hint="eastAsia" w:ascii="宋体" w:hAnsi="宋体" w:eastAsia="宋体" w:cs="宋体"/>
          <w:color w:val="auto"/>
          <w:sz w:val="24"/>
          <w:szCs w:val="24"/>
          <w:highlight w:val="none"/>
          <w:lang w:eastAsia="zh-CN"/>
        </w:rPr>
        <w:t>；</w:t>
      </w:r>
    </w:p>
    <w:p>
      <w:pPr>
        <w:spacing w:line="360" w:lineRule="auto"/>
        <w:ind w:right="-94" w:rightChars="-39"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lang w:eastAsia="zh-CN"/>
        </w:rPr>
        <w:t>参加本项目采购活动的供应商、现任法定代表人在前3年内不得具有行贿犯罪记录。</w:t>
      </w:r>
      <w:r>
        <w:rPr>
          <w:rFonts w:hint="eastAsia" w:ascii="宋体" w:hAnsi="宋体" w:eastAsia="宋体" w:cs="宋体"/>
          <w:color w:val="auto"/>
          <w:sz w:val="24"/>
          <w:szCs w:val="24"/>
          <w:highlight w:val="none"/>
          <w:lang w:val="en-US" w:eastAsia="zh-CN"/>
        </w:rPr>
        <w:t>（提供承诺函原件）</w:t>
      </w:r>
    </w:p>
    <w:p>
      <w:pPr>
        <w:widowControl/>
        <w:spacing w:line="360" w:lineRule="auto"/>
        <w:ind w:firstLine="241" w:firstLineChars="100"/>
        <w:jc w:val="left"/>
        <w:rPr>
          <w:rFonts w:hint="eastAsia" w:ascii="宋体" w:hAnsi="宋体" w:eastAsia="宋体" w:cs="宋体"/>
          <w:b/>
          <w:bCs/>
          <w:color w:val="auto"/>
          <w:kern w:val="0"/>
          <w:sz w:val="24"/>
          <w:szCs w:val="22"/>
          <w:highlight w:val="none"/>
        </w:rPr>
      </w:pP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lang w:val="en-US" w:eastAsia="zh-CN"/>
        </w:rPr>
        <w:t>二</w:t>
      </w:r>
      <w:r>
        <w:rPr>
          <w:rFonts w:hint="eastAsia" w:ascii="宋体" w:hAnsi="宋体" w:eastAsia="宋体" w:cs="宋体"/>
          <w:b/>
          <w:bCs/>
          <w:color w:val="auto"/>
          <w:kern w:val="0"/>
          <w:sz w:val="24"/>
          <w:szCs w:val="22"/>
          <w:highlight w:val="none"/>
          <w:lang w:eastAsia="zh-CN"/>
        </w:rPr>
        <w:t>）</w:t>
      </w:r>
      <w:r>
        <w:rPr>
          <w:rFonts w:hint="eastAsia" w:ascii="宋体" w:hAnsi="宋体" w:eastAsia="宋体" w:cs="宋体"/>
          <w:b/>
          <w:bCs/>
          <w:color w:val="auto"/>
          <w:kern w:val="0"/>
          <w:sz w:val="24"/>
          <w:szCs w:val="22"/>
          <w:highlight w:val="none"/>
        </w:rPr>
        <w:t>落实政府采购政策需满足的资格要求：</w:t>
      </w:r>
    </w:p>
    <w:p>
      <w:pPr>
        <w:spacing w:line="5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sz w:val="24"/>
        </w:rPr>
        <w:t>本项目专门面向中小企业采购(监狱企业、残疾人福利性单位均视同小微企业)，非中小企业参与的将视为无效响应</w:t>
      </w:r>
      <w:r>
        <w:rPr>
          <w:rFonts w:hint="eastAsia" w:cs="宋体" w:asciiTheme="majorEastAsia" w:hAnsiTheme="majorEastAsia" w:eastAsiaTheme="majorEastAsia"/>
          <w:sz w:val="24"/>
        </w:rPr>
        <w:t>（可提供中小企业声明函、残疾人福利性单位声明函或监狱企业证明文件，格式详见第</w:t>
      </w:r>
      <w:r>
        <w:rPr>
          <w:rFonts w:hint="eastAsia" w:cs="宋体" w:asciiTheme="majorEastAsia" w:hAnsiTheme="majorEastAsia" w:eastAsiaTheme="majorEastAsia"/>
          <w:sz w:val="24"/>
          <w:lang w:eastAsia="zh-CN"/>
        </w:rPr>
        <w:t>六</w:t>
      </w:r>
      <w:r>
        <w:rPr>
          <w:rFonts w:hint="eastAsia" w:cs="宋体" w:asciiTheme="majorEastAsia" w:hAnsiTheme="majorEastAsia" w:eastAsiaTheme="majorEastAsia"/>
          <w:sz w:val="24"/>
        </w:rPr>
        <w:t>章）</w:t>
      </w:r>
    </w:p>
    <w:p>
      <w:pPr>
        <w:widowControl/>
        <w:numPr>
          <w:ilvl w:val="0"/>
          <w:numId w:val="0"/>
        </w:numPr>
        <w:spacing w:line="360" w:lineRule="auto"/>
        <w:ind w:firstLine="241" w:firstLineChars="100"/>
        <w:jc w:val="left"/>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kern w:val="0"/>
          <w:sz w:val="24"/>
          <w:szCs w:val="22"/>
          <w:highlight w:val="none"/>
          <w:lang w:eastAsia="zh-CN"/>
        </w:rPr>
        <w:t>（三）</w:t>
      </w:r>
      <w:r>
        <w:rPr>
          <w:rFonts w:hint="eastAsia" w:ascii="宋体" w:hAnsi="宋体" w:eastAsia="宋体" w:cs="宋体"/>
          <w:b/>
          <w:bCs/>
          <w:color w:val="auto"/>
          <w:kern w:val="0"/>
          <w:sz w:val="24"/>
          <w:szCs w:val="22"/>
          <w:highlight w:val="none"/>
        </w:rPr>
        <w:t>根据采购项目提出的特殊条件</w:t>
      </w:r>
      <w:r>
        <w:rPr>
          <w:rFonts w:hint="eastAsia" w:ascii="宋体" w:hAnsi="宋体" w:eastAsia="宋体" w:cs="宋体"/>
          <w:color w:val="auto"/>
          <w:kern w:val="0"/>
          <w:sz w:val="24"/>
          <w:szCs w:val="22"/>
          <w:highlight w:val="none"/>
        </w:rPr>
        <w:t>：</w:t>
      </w:r>
      <w:r>
        <w:rPr>
          <w:rFonts w:hint="eastAsia" w:ascii="宋体" w:hAnsi="宋体" w:eastAsia="宋体" w:cs="宋体"/>
          <w:b w:val="0"/>
          <w:bCs w:val="0"/>
          <w:color w:val="auto"/>
          <w:sz w:val="24"/>
          <w:szCs w:val="32"/>
          <w:highlight w:val="none"/>
          <w:lang w:val="en-US" w:eastAsia="zh-CN" w:bidi="ar-SA"/>
        </w:rPr>
        <w:t>无</w:t>
      </w:r>
    </w:p>
    <w:p>
      <w:pPr>
        <w:spacing w:line="500" w:lineRule="exact"/>
        <w:ind w:firstLine="241" w:firstLineChars="100"/>
        <w:rPr>
          <w:rFonts w:hint="eastAsia" w:ascii="宋体" w:hAnsi="宋体" w:eastAsia="宋体" w:cs="宋体"/>
          <w:b w:val="0"/>
          <w:bCs w:val="0"/>
          <w:color w:val="auto"/>
          <w:sz w:val="24"/>
          <w:szCs w:val="32"/>
          <w:highlight w:val="none"/>
          <w:lang w:val="en-US" w:eastAsia="zh-CN" w:bidi="ar-SA"/>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四</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其他类似效力要求：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.法定代表人身份证明材料复印件。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.法定代表人授权书原件及代理人身份证明材料复印件（注：①法定代表人授权书原件需加盖公章；②如响应文件均由供应商法定代表人签字的且法定代表人本人参与磋商的，则可不提供。）</w:t>
      </w:r>
    </w:p>
    <w:p>
      <w:pPr>
        <w:pStyle w:val="2"/>
        <w:ind w:right="-94" w:rightChars="-39" w:firstLine="480"/>
        <w:rPr>
          <w:rFonts w:hint="eastAsia" w:ascii="宋体" w:hAnsi="宋体" w:eastAsia="宋体" w:cs="宋体"/>
          <w:color w:val="auto"/>
          <w:sz w:val="24"/>
          <w:highlight w:val="none"/>
        </w:rPr>
      </w:pPr>
    </w:p>
    <w:p>
      <w:pPr>
        <w:pStyle w:val="2"/>
        <w:ind w:right="-94" w:rightChars="-3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right="-94" w:rightChars="-39" w:firstLine="960" w:firstLineChars="4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2.本章要求提供的相关证明材料应当结合采购项目具体情况和供应商的组织机构性质确定，不得一概而论。</w:t>
      </w:r>
    </w:p>
    <w:p>
      <w:pPr>
        <w:widowControl/>
        <w:spacing w:line="360" w:lineRule="auto"/>
        <w:ind w:right="-94" w:rightChars="-39" w:firstLine="0" w:firstLineChars="0"/>
        <w:jc w:val="left"/>
        <w:rPr>
          <w:rFonts w:hint="eastAsia" w:ascii="宋体" w:hAnsi="宋体" w:eastAsia="宋体" w:cs="宋体"/>
          <w:b/>
          <w:bCs/>
          <w:i/>
          <w:color w:val="auto"/>
          <w:kern w:val="44"/>
          <w:sz w:val="36"/>
          <w:szCs w:val="44"/>
          <w:highlight w:val="none"/>
          <w:lang w:val="zh-CN"/>
        </w:rPr>
      </w:pPr>
      <w:r>
        <w:rPr>
          <w:rFonts w:hint="eastAsia" w:ascii="宋体" w:hAnsi="宋体" w:eastAsia="宋体" w:cs="宋体"/>
          <w:i/>
          <w:color w:val="auto"/>
          <w:highlight w:val="none"/>
        </w:rPr>
        <w:br w:type="page"/>
      </w:r>
    </w:p>
    <w:p>
      <w:pPr>
        <w:pStyle w:val="5"/>
        <w:pageBreakBefore w:val="0"/>
        <w:kinsoku/>
        <w:wordWrap/>
        <w:overflowPunct/>
        <w:topLinePunct w:val="0"/>
        <w:autoSpaceDE/>
        <w:autoSpaceDN/>
        <w:bidi w:val="0"/>
        <w:spacing w:line="360" w:lineRule="auto"/>
        <w:ind w:left="0" w:leftChars="0" w:firstLine="0" w:firstLineChars="0"/>
        <w:jc w:val="center"/>
        <w:textAlignment w:val="auto"/>
        <w:rPr>
          <w:rFonts w:hint="eastAsia" w:ascii="宋体" w:hAnsi="宋体" w:eastAsia="宋体" w:cs="宋体"/>
          <w:b/>
          <w:bCs/>
          <w:color w:val="auto"/>
          <w:spacing w:val="-11"/>
          <w:kern w:val="44"/>
          <w:sz w:val="36"/>
          <w:szCs w:val="44"/>
          <w:highlight w:val="none"/>
          <w:lang w:val="en-US" w:eastAsia="zh-CN" w:bidi="ar-SA"/>
        </w:rPr>
      </w:pPr>
      <w:bookmarkStart w:id="700" w:name="_Toc8302"/>
      <w:bookmarkStart w:id="701" w:name="_Toc12006358"/>
      <w:r>
        <w:rPr>
          <w:rFonts w:hint="eastAsia" w:ascii="宋体" w:hAnsi="宋体" w:eastAsia="宋体" w:cs="宋体"/>
          <w:b/>
          <w:bCs/>
          <w:color w:val="auto"/>
          <w:kern w:val="44"/>
          <w:sz w:val="36"/>
          <w:szCs w:val="44"/>
          <w:highlight w:val="none"/>
          <w:lang w:val="zh-CN" w:eastAsia="zh-CN" w:bidi="ar-SA"/>
        </w:rPr>
        <w:t xml:space="preserve">第五章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700"/>
      <w:bookmarkEnd w:id="701"/>
      <w:bookmarkStart w:id="702" w:name="_Toc517422494"/>
      <w:bookmarkStart w:id="703" w:name="_Toc31484"/>
      <w:bookmarkStart w:id="704" w:name="_Toc9110"/>
      <w:bookmarkStart w:id="705" w:name="_Toc517423522"/>
      <w:bookmarkStart w:id="706" w:name="_Toc709"/>
      <w:bookmarkStart w:id="707" w:name="_Toc9438764"/>
      <w:bookmarkStart w:id="708" w:name="_Toc12006359"/>
      <w:bookmarkStart w:id="709" w:name="_Toc30388"/>
      <w:bookmarkStart w:id="710" w:name="_Toc25675"/>
      <w:bookmarkStart w:id="711" w:name="_Toc15842"/>
      <w:bookmarkStart w:id="712" w:name="_Toc27190"/>
      <w:bookmarkStart w:id="713" w:name="_Toc24164"/>
      <w:bookmarkStart w:id="714" w:name="_Toc7630"/>
      <w:r>
        <w:rPr>
          <w:rFonts w:hint="eastAsia" w:ascii="宋体" w:hAnsi="宋体" w:eastAsia="宋体" w:cs="宋体"/>
          <w:b/>
          <w:bCs/>
          <w:color w:val="auto"/>
          <w:spacing w:val="-11"/>
          <w:kern w:val="44"/>
          <w:sz w:val="36"/>
          <w:szCs w:val="44"/>
          <w:highlight w:val="none"/>
          <w:lang w:val="en-US" w:eastAsia="zh-CN" w:bidi="ar-SA"/>
        </w:rPr>
        <w:t>采购项目技术、服务内容条款及其他商务要求</w:t>
      </w:r>
    </w:p>
    <w:p>
      <w:pPr>
        <w:pStyle w:val="2"/>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一、项目概述</w:t>
      </w:r>
    </w:p>
    <w:p>
      <w:pPr>
        <w:pStyle w:val="2"/>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项目简介：</w:t>
      </w:r>
      <w:r>
        <w:rPr>
          <w:rFonts w:hint="eastAsia" w:ascii="宋体" w:hAnsi="宋体" w:eastAsia="宋体" w:cs="宋体"/>
          <w:color w:val="auto"/>
          <w:sz w:val="24"/>
          <w:szCs w:val="24"/>
          <w:lang w:val="zh-CN" w:eastAsia="zh-CN" w:bidi="ar-SA"/>
        </w:rPr>
        <w:t>彭州市人民医院中央空调清洗和维修保养服务采购项目（第二次）</w:t>
      </w:r>
    </w:p>
    <w:p>
      <w:pPr>
        <w:pStyle w:val="2"/>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二、 技术要求及服务清单</w:t>
      </w:r>
    </w:p>
    <w:p>
      <w:pPr>
        <w:ind w:left="0" w:leftChars="0" w:firstLine="241" w:firstLineChars="100"/>
        <w:jc w:val="left"/>
        <w:rPr>
          <w:rFonts w:hint="eastAsia" w:ascii="宋体" w:hAnsi="宋体" w:eastAsia="宋体" w:cs="宋体"/>
          <w:color w:val="auto"/>
          <w:sz w:val="24"/>
          <w:szCs w:val="24"/>
          <w:lang w:val="en-US" w:eastAsia="zh-CN" w:bidi="ar-SA"/>
        </w:rPr>
      </w:pPr>
      <w:r>
        <w:rPr>
          <w:rFonts w:hint="eastAsia" w:ascii="宋体" w:hAnsi="宋体" w:eastAsia="宋体" w:cs="宋体"/>
          <w:b/>
          <w:bCs/>
          <w:color w:val="000000"/>
          <w:kern w:val="0"/>
          <w:sz w:val="24"/>
          <w:szCs w:val="24"/>
          <w:lang w:val="en-US" w:eastAsia="zh-CN" w:bidi="ar"/>
        </w:rPr>
        <w:t xml:space="preserve">02包 </w:t>
      </w:r>
    </w:p>
    <w:p>
      <w:pPr>
        <w:pStyle w:val="6"/>
        <w:bidi w:val="0"/>
        <w:rPr>
          <w:rFonts w:hint="eastAsia" w:ascii="宋体" w:hAnsi="宋体" w:eastAsia="宋体" w:cs="宋体"/>
          <w:lang w:val="en-US" w:eastAsia="zh-CN"/>
        </w:rPr>
      </w:pPr>
      <w:r>
        <w:rPr>
          <w:rFonts w:hint="eastAsia" w:ascii="宋体" w:hAnsi="宋体" w:eastAsia="宋体" w:cs="宋体"/>
          <w:lang w:val="en-US" w:eastAsia="zh-CN"/>
        </w:rPr>
        <w:t>（一）服务内容：</w:t>
      </w:r>
    </w:p>
    <w:p>
      <w:pPr>
        <w:pStyle w:val="81"/>
        <w:ind w:left="855" w:firstLine="0" w:firstLineChars="0"/>
        <w:rPr>
          <w:rFonts w:hint="eastAsia" w:ascii="宋体" w:hAnsi="宋体" w:eastAsia="宋体" w:cs="宋体"/>
          <w:sz w:val="24"/>
          <w:szCs w:val="24"/>
        </w:rPr>
      </w:pPr>
      <w:r>
        <w:rPr>
          <w:rFonts w:hint="eastAsia" w:ascii="宋体" w:hAnsi="宋体" w:eastAsia="宋体" w:cs="宋体"/>
          <w:sz w:val="24"/>
          <w:szCs w:val="24"/>
        </w:rPr>
        <w:t>1、设备维护及维修技术规范</w:t>
      </w:r>
    </w:p>
    <w:p>
      <w:pPr>
        <w:pStyle w:val="81"/>
        <w:ind w:left="855"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供应商</w:t>
      </w:r>
      <w:r>
        <w:rPr>
          <w:rFonts w:hint="eastAsia" w:ascii="宋体" w:hAnsi="宋体" w:eastAsia="宋体" w:cs="宋体"/>
          <w:sz w:val="24"/>
          <w:szCs w:val="24"/>
        </w:rPr>
        <w:t>应提供CPU</w:t>
      </w:r>
      <w:r>
        <w:rPr>
          <w:rFonts w:hint="eastAsia" w:ascii="宋体" w:hAnsi="宋体" w:eastAsia="宋体" w:cs="宋体"/>
          <w:color w:val="000000"/>
          <w:sz w:val="24"/>
          <w:szCs w:val="24"/>
        </w:rPr>
        <w:t>的控制程序的维护，能自动分别进入制冷\采暖转换，自动改变燃气耗量。</w:t>
      </w:r>
    </w:p>
    <w:p>
      <w:pPr>
        <w:pStyle w:val="81"/>
        <w:ind w:left="855"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1.2供应商</w:t>
      </w:r>
      <w:r>
        <w:rPr>
          <w:rFonts w:hint="eastAsia" w:ascii="宋体" w:hAnsi="宋体" w:eastAsia="宋体" w:cs="宋体"/>
          <w:sz w:val="24"/>
          <w:szCs w:val="24"/>
        </w:rPr>
        <w:t>应提供维保设备及调试检测设备清单；</w:t>
      </w:r>
    </w:p>
    <w:p>
      <w:pPr>
        <w:pStyle w:val="81"/>
        <w:ind w:left="855"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提供设备制冷、采暖各工况的运行参数点数据，以保障基础数据作为后续维保的参照依据。</w:t>
      </w:r>
    </w:p>
    <w:p>
      <w:pPr>
        <w:pStyle w:val="81"/>
        <w:ind w:left="85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整机气密性检修技术要求：</w:t>
      </w:r>
    </w:p>
    <w:p>
      <w:pPr>
        <w:pStyle w:val="81"/>
        <w:ind w:left="855"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（1）机组正压气密性检查。正压检测保压不低于12小时，且压力变化不得高于大气压对应的压力变化值</w:t>
      </w:r>
      <w:r>
        <w:rPr>
          <w:rFonts w:hint="eastAsia" w:ascii="宋体" w:hAnsi="宋体" w:eastAsia="宋体" w:cs="宋体"/>
          <w:color w:val="000000"/>
          <w:sz w:val="24"/>
          <w:szCs w:val="24"/>
          <w:lang w:eastAsia="zh-CN"/>
        </w:rPr>
        <w:t>。</w:t>
      </w:r>
    </w:p>
    <w:p>
      <w:pPr>
        <w:pStyle w:val="81"/>
        <w:ind w:left="85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）机组真空气密性检查。真空检测保压不低于24小时，且压力变化不得高于大气压对应的压力变化值；24小时后压力不得有变化。</w:t>
      </w:r>
    </w:p>
    <w:p>
      <w:pPr>
        <w:pStyle w:val="81"/>
        <w:ind w:left="85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直燃机的燃烧器燃烧排气含O2量及CO含量检测并调整，达到排放标准。检测值02含量低于8%；CO含量低于2ppm。一年一次烟道清理。</w:t>
      </w:r>
    </w:p>
    <w:p>
      <w:pPr>
        <w:pStyle w:val="81"/>
        <w:ind w:left="855"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溶液定期取样分析（1次/年）</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（原化工部制冷用溴化锂溶液标准）</w:t>
      </w:r>
    </w:p>
    <w:p>
      <w:pPr>
        <w:pStyle w:val="81"/>
        <w:ind w:left="855"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1.7控制程序调整设定输入及校正，每年两次。</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11"/>
        <w:gridCol w:w="3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jc w:val="center"/>
              <w:rPr>
                <w:rFonts w:hint="eastAsia" w:ascii="宋体" w:hAnsi="宋体" w:eastAsia="宋体" w:cs="宋体"/>
                <w:sz w:val="24"/>
                <w:szCs w:val="24"/>
              </w:rPr>
            </w:pPr>
            <w:r>
              <w:rPr>
                <w:rFonts w:hint="eastAsia" w:ascii="宋体" w:hAnsi="宋体" w:eastAsia="宋体" w:cs="宋体"/>
                <w:sz w:val="24"/>
                <w:szCs w:val="24"/>
              </w:rPr>
              <w:t>项       目</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jc w:val="center"/>
              <w:rPr>
                <w:rFonts w:hint="eastAsia" w:ascii="宋体" w:hAnsi="宋体" w:eastAsia="宋体" w:cs="宋体"/>
                <w:sz w:val="24"/>
                <w:szCs w:val="24"/>
              </w:rPr>
            </w:pPr>
            <w:r>
              <w:rPr>
                <w:rFonts w:hint="eastAsia" w:ascii="宋体" w:hAnsi="宋体" w:eastAsia="宋体" w:cs="宋体"/>
                <w:sz w:val="24"/>
                <w:szCs w:val="24"/>
              </w:rPr>
              <w:t>原化工部标准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溴化锂含量（%）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≥50</w:t>
            </w:r>
            <w:r>
              <w:rPr>
                <w:rFonts w:hint="eastAsia" w:ascii="宋体" w:hAnsi="宋体" w:eastAsia="宋体" w:cs="宋体"/>
                <w:b/>
                <w:bCs/>
                <w:sz w:val="24"/>
                <w:szCs w:val="24"/>
              </w:rPr>
              <w:t>.</w:t>
            </w: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PH值</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
                <w:bCs/>
                <w:sz w:val="24"/>
                <w:szCs w:val="24"/>
              </w:rPr>
              <w:t>.</w:t>
            </w: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10</w:t>
            </w:r>
            <w:r>
              <w:rPr>
                <w:rFonts w:hint="eastAsia" w:ascii="宋体" w:hAnsi="宋体" w:eastAsia="宋体" w:cs="宋体"/>
                <w:b/>
                <w:bCs/>
                <w:sz w:val="24"/>
                <w:szCs w:val="24"/>
              </w:rPr>
              <w:t>.</w:t>
            </w:r>
            <w:r>
              <w:rPr>
                <w:rFonts w:hint="eastAsia"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铬酸锂含量（%）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2-0</w:t>
            </w:r>
            <w:r>
              <w:rPr>
                <w:rFonts w:hint="eastAsia" w:ascii="宋体" w:hAnsi="宋体" w:eastAsia="宋体" w:cs="宋体"/>
                <w:b/>
                <w:bCs/>
                <w:sz w:val="24"/>
                <w:szCs w:val="24"/>
              </w:rPr>
              <w:t>.</w:t>
            </w: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氯化物含量（%）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硫酸盐含量（%）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铵盐含量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溴酸盐含量（%）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钾和钠含量（%）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钙含量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镁含量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铁含量    （%）</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41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碳酸盐含量（%）</w:t>
            </w:r>
          </w:p>
        </w:tc>
        <w:tc>
          <w:tcPr>
            <w:tcW w:w="36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660" w:lineRule="exact"/>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b/>
                <w:bCs/>
                <w:sz w:val="24"/>
                <w:szCs w:val="24"/>
              </w:rPr>
              <w:t>.</w:t>
            </w:r>
            <w:r>
              <w:rPr>
                <w:rFonts w:hint="eastAsia" w:ascii="宋体" w:hAnsi="宋体" w:eastAsia="宋体" w:cs="宋体"/>
                <w:sz w:val="24"/>
                <w:szCs w:val="24"/>
              </w:rPr>
              <w:t>04</w:t>
            </w:r>
          </w:p>
        </w:tc>
      </w:tr>
    </w:tbl>
    <w:p>
      <w:pPr>
        <w:pStyle w:val="81"/>
        <w:ind w:left="855" w:firstLine="0" w:firstLineChars="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主板断电程序保护测试。</w:t>
      </w:r>
    </w:p>
    <w:p>
      <w:pPr>
        <w:pStyle w:val="2"/>
        <w:numPr>
          <w:ilvl w:val="0"/>
          <w:numId w:val="0"/>
        </w:numPr>
        <w:rPr>
          <w:rFonts w:hint="eastAsia" w:ascii="宋体" w:hAnsi="宋体" w:eastAsia="宋体" w:cs="宋体"/>
          <w:color w:val="auto"/>
          <w:lang w:val="en-US" w:eastAsia="zh-CN"/>
        </w:rPr>
      </w:pPr>
      <w:r>
        <w:rPr>
          <w:rFonts w:hint="eastAsia" w:ascii="宋体" w:hAnsi="宋体" w:eastAsia="宋体" w:cs="宋体"/>
          <w:color w:val="auto"/>
          <w:lang w:val="en-US" w:eastAsia="zh-CN"/>
        </w:rPr>
        <w:t>（二）服务清单</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532"/>
        <w:gridCol w:w="1098"/>
        <w:gridCol w:w="568"/>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50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序号</w:t>
            </w:r>
          </w:p>
        </w:tc>
        <w:tc>
          <w:tcPr>
            <w:tcW w:w="2532"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维保项目名称</w:t>
            </w:r>
          </w:p>
        </w:tc>
        <w:tc>
          <w:tcPr>
            <w:tcW w:w="109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数量</w:t>
            </w:r>
          </w:p>
        </w:tc>
        <w:tc>
          <w:tcPr>
            <w:tcW w:w="568"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单位</w:t>
            </w:r>
          </w:p>
        </w:tc>
        <w:tc>
          <w:tcPr>
            <w:tcW w:w="4482" w:type="dxa"/>
            <w:vMerge w:val="restart"/>
            <w:noWrap w:val="0"/>
            <w:vAlign w:val="center"/>
          </w:tcPr>
          <w:p>
            <w:pPr>
              <w:spacing w:line="44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产品型号∑TX-0560KCX3</w:t>
            </w:r>
          </w:p>
          <w:p>
            <w:pPr>
              <w:spacing w:line="440" w:lineRule="exact"/>
              <w:jc w:val="center"/>
              <w:rPr>
                <w:rFonts w:hint="eastAsia" w:ascii="宋体" w:hAnsi="宋体" w:eastAsia="宋体" w:cs="宋体"/>
                <w:bCs/>
                <w:sz w:val="24"/>
              </w:rPr>
            </w:pPr>
            <w:r>
              <w:rPr>
                <w:rFonts w:hint="eastAsia" w:ascii="宋体" w:hAnsi="宋体" w:eastAsia="宋体" w:cs="宋体"/>
                <w:bCs/>
                <w:sz w:val="24"/>
                <w:highlight w:val="none"/>
                <w:lang w:val="en-US" w:eastAsia="zh-CN"/>
              </w:rPr>
              <w:t>（城南医院）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2532"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制冷期切换检查</w:t>
            </w:r>
          </w:p>
        </w:tc>
        <w:tc>
          <w:tcPr>
            <w:tcW w:w="109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3</w:t>
            </w:r>
          </w:p>
        </w:tc>
        <w:tc>
          <w:tcPr>
            <w:tcW w:w="56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台</w:t>
            </w:r>
          </w:p>
        </w:tc>
        <w:tc>
          <w:tcPr>
            <w:tcW w:w="4482" w:type="dxa"/>
            <w:vMerge w:val="continue"/>
            <w:noWrap w:val="0"/>
            <w:vAlign w:val="center"/>
          </w:tcPr>
          <w:p>
            <w:pPr>
              <w:spacing w:line="440" w:lineRule="exact"/>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2</w:t>
            </w:r>
          </w:p>
        </w:tc>
        <w:tc>
          <w:tcPr>
            <w:tcW w:w="2532"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制冷期运行检查</w:t>
            </w:r>
          </w:p>
        </w:tc>
        <w:tc>
          <w:tcPr>
            <w:tcW w:w="109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3</w:t>
            </w:r>
          </w:p>
        </w:tc>
        <w:tc>
          <w:tcPr>
            <w:tcW w:w="56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台</w:t>
            </w:r>
          </w:p>
        </w:tc>
        <w:tc>
          <w:tcPr>
            <w:tcW w:w="4482" w:type="dxa"/>
            <w:vMerge w:val="continue"/>
            <w:noWrap w:val="0"/>
            <w:vAlign w:val="center"/>
          </w:tcPr>
          <w:p>
            <w:pPr>
              <w:spacing w:line="440" w:lineRule="exact"/>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3</w:t>
            </w:r>
          </w:p>
        </w:tc>
        <w:tc>
          <w:tcPr>
            <w:tcW w:w="2532"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供暖期切换检查</w:t>
            </w:r>
          </w:p>
        </w:tc>
        <w:tc>
          <w:tcPr>
            <w:tcW w:w="109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3</w:t>
            </w:r>
          </w:p>
        </w:tc>
        <w:tc>
          <w:tcPr>
            <w:tcW w:w="56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台</w:t>
            </w:r>
          </w:p>
        </w:tc>
        <w:tc>
          <w:tcPr>
            <w:tcW w:w="4482" w:type="dxa"/>
            <w:vMerge w:val="continue"/>
            <w:noWrap w:val="0"/>
            <w:vAlign w:val="center"/>
          </w:tcPr>
          <w:p>
            <w:pPr>
              <w:spacing w:line="440" w:lineRule="exact"/>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4</w:t>
            </w:r>
          </w:p>
        </w:tc>
        <w:tc>
          <w:tcPr>
            <w:tcW w:w="2532"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供暖期运行检查</w:t>
            </w:r>
          </w:p>
        </w:tc>
        <w:tc>
          <w:tcPr>
            <w:tcW w:w="109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3</w:t>
            </w:r>
          </w:p>
        </w:tc>
        <w:tc>
          <w:tcPr>
            <w:tcW w:w="56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台</w:t>
            </w:r>
          </w:p>
        </w:tc>
        <w:tc>
          <w:tcPr>
            <w:tcW w:w="4482" w:type="dxa"/>
            <w:vMerge w:val="continue"/>
            <w:noWrap w:val="0"/>
            <w:vAlign w:val="center"/>
          </w:tcPr>
          <w:p>
            <w:pPr>
              <w:spacing w:line="440" w:lineRule="exact"/>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5</w:t>
            </w:r>
          </w:p>
        </w:tc>
        <w:tc>
          <w:tcPr>
            <w:tcW w:w="2532"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传热烟管清洁保</w:t>
            </w:r>
          </w:p>
        </w:tc>
        <w:tc>
          <w:tcPr>
            <w:tcW w:w="109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3</w:t>
            </w:r>
          </w:p>
        </w:tc>
        <w:tc>
          <w:tcPr>
            <w:tcW w:w="568"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台</w:t>
            </w:r>
          </w:p>
        </w:tc>
        <w:tc>
          <w:tcPr>
            <w:tcW w:w="4482" w:type="dxa"/>
            <w:vMerge w:val="continue"/>
            <w:noWrap w:val="0"/>
            <w:vAlign w:val="center"/>
          </w:tcPr>
          <w:p>
            <w:pPr>
              <w:spacing w:line="440" w:lineRule="exact"/>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5"/>
            <w:noWrap w:val="0"/>
            <w:vAlign w:val="top"/>
          </w:tcPr>
          <w:p>
            <w:pPr>
              <w:numPr>
                <w:ilvl w:val="0"/>
                <w:numId w:val="0"/>
              </w:numPr>
              <w:spacing w:line="440" w:lineRule="exact"/>
              <w:rPr>
                <w:rStyle w:val="116"/>
                <w:rFonts w:hint="eastAsia" w:ascii="宋体" w:hAnsi="宋体" w:eastAsia="宋体" w:cs="宋体"/>
                <w:color w:val="auto"/>
                <w:highlight w:val="none"/>
                <w:lang w:val="en-US" w:eastAsia="zh-CN" w:bidi="ar"/>
              </w:rPr>
            </w:pPr>
            <w:r>
              <w:rPr>
                <w:rFonts w:hint="eastAsia" w:ascii="宋体" w:hAnsi="宋体" w:eastAsia="宋体" w:cs="宋体"/>
                <w:b/>
                <w:sz w:val="24"/>
              </w:rPr>
              <w:t>注</w:t>
            </w:r>
            <w:r>
              <w:rPr>
                <w:rFonts w:hint="eastAsia" w:ascii="宋体" w:hAnsi="宋体" w:eastAsia="宋体" w:cs="宋体"/>
                <w:b/>
                <w:sz w:val="24"/>
                <w:lang w:eastAsia="zh-CN"/>
              </w:rPr>
              <w:t>：</w:t>
            </w:r>
            <w:r>
              <w:rPr>
                <w:rStyle w:val="116"/>
                <w:rFonts w:hint="eastAsia" w:ascii="宋体" w:hAnsi="宋体" w:eastAsia="宋体" w:cs="宋体"/>
                <w:color w:val="auto"/>
                <w:highlight w:val="none"/>
                <w:lang w:val="en-US" w:eastAsia="zh-CN" w:bidi="ar"/>
              </w:rPr>
              <w:t>1、包括缓蚀剂的分析、检查。</w:t>
            </w:r>
          </w:p>
          <w:p>
            <w:pPr>
              <w:keepNext w:val="0"/>
              <w:keepLines w:val="0"/>
              <w:widowControl/>
              <w:suppressLineNumbers w:val="0"/>
              <w:ind w:left="307" w:leftChars="128" w:firstLine="0" w:firstLineChars="0"/>
              <w:jc w:val="left"/>
              <w:textAlignment w:val="top"/>
              <w:rPr>
                <w:rStyle w:val="116"/>
                <w:rFonts w:hint="eastAsia" w:ascii="宋体" w:hAnsi="宋体" w:eastAsia="宋体" w:cs="宋体"/>
                <w:color w:val="auto"/>
                <w:highlight w:val="none"/>
                <w:lang w:val="en-US" w:eastAsia="zh-CN" w:bidi="ar"/>
              </w:rPr>
            </w:pPr>
            <w:r>
              <w:rPr>
                <w:rStyle w:val="116"/>
                <w:rFonts w:hint="eastAsia" w:ascii="宋体" w:hAnsi="宋体" w:eastAsia="宋体" w:cs="宋体"/>
                <w:color w:val="auto"/>
                <w:highlight w:val="none"/>
                <w:lang w:val="en-US" w:eastAsia="zh-CN" w:bidi="ar"/>
              </w:rPr>
              <w:t>2、现有设备日常的维护、保养、维修的费用单次金额≤500元的费用由供应商承担（详见附件1），＞500元由采购人承担。</w:t>
            </w:r>
          </w:p>
          <w:p>
            <w:pPr>
              <w:keepNext w:val="0"/>
              <w:keepLines w:val="0"/>
              <w:widowControl/>
              <w:suppressLineNumbers w:val="0"/>
              <w:ind w:left="307" w:leftChars="128" w:firstLine="0" w:firstLineChars="0"/>
              <w:jc w:val="left"/>
              <w:textAlignment w:val="top"/>
              <w:rPr>
                <w:rFonts w:hint="eastAsia" w:ascii="宋体" w:hAnsi="宋体" w:eastAsia="宋体" w:cs="宋体"/>
                <w:bCs/>
                <w:sz w:val="24"/>
              </w:rPr>
            </w:pPr>
            <w:r>
              <w:rPr>
                <w:rStyle w:val="116"/>
                <w:rFonts w:hint="eastAsia" w:ascii="宋体" w:hAnsi="宋体" w:eastAsia="宋体" w:cs="宋体"/>
                <w:color w:val="auto"/>
                <w:highlight w:val="none"/>
                <w:lang w:val="en-US" w:eastAsia="zh-CN" w:bidi="ar"/>
              </w:rPr>
              <w:t>3、由于院内现有空调设备老化，确需更换或新安装设备及材料单次金额≤500元的费用由供应商承担（详见附件1），＞500元由采购人承担。</w:t>
            </w:r>
          </w:p>
        </w:tc>
      </w:tr>
    </w:tbl>
    <w:p>
      <w:pPr>
        <w:ind w:left="0" w:leftChars="0" w:firstLine="0" w:firstLineChars="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left="307" w:leftChars="128" w:firstLine="0" w:firstLineChars="0"/>
        <w:jc w:val="left"/>
        <w:textAlignment w:val="top"/>
        <w:rPr>
          <w:rStyle w:val="116"/>
          <w:rFonts w:hint="eastAsia" w:ascii="宋体" w:hAnsi="宋体" w:eastAsia="宋体" w:cs="宋体"/>
          <w:i w:val="0"/>
          <w:color w:val="auto"/>
          <w:highlight w:val="none"/>
          <w:lang w:val="en-US" w:eastAsia="zh-CN" w:bidi="ar"/>
        </w:rPr>
      </w:pPr>
      <w:r>
        <w:rPr>
          <w:rStyle w:val="116"/>
          <w:rFonts w:hint="eastAsia" w:ascii="宋体" w:hAnsi="宋体" w:eastAsia="宋体" w:cs="宋体"/>
          <w:i w:val="0"/>
          <w:color w:val="auto"/>
          <w:highlight w:val="none"/>
          <w:lang w:val="en-US" w:eastAsia="zh-CN" w:bidi="ar"/>
        </w:rPr>
        <w:t>附件1：清单（供应商承担）</w:t>
      </w:r>
    </w:p>
    <w:tbl>
      <w:tblPr>
        <w:tblStyle w:val="30"/>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443"/>
        <w:gridCol w:w="2371"/>
        <w:gridCol w:w="119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序号</w:t>
            </w:r>
          </w:p>
        </w:tc>
        <w:tc>
          <w:tcPr>
            <w:tcW w:w="1443"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品名</w:t>
            </w:r>
          </w:p>
        </w:tc>
        <w:tc>
          <w:tcPr>
            <w:tcW w:w="237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配件名称及规格</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数量（件）</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036" w:type="dxa"/>
            <w:gridSpan w:val="5"/>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1" w:type="dxa"/>
            <w:vMerge w:val="restart"/>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443" w:type="dxa"/>
            <w:vMerge w:val="restart"/>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运行盘（智能盘）</w:t>
            </w: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电池</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1" w:type="dxa"/>
            <w:vMerge w:val="continue"/>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1443" w:type="dxa"/>
            <w:vMerge w:val="continue"/>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热敏电阻PB3FC-43-S1</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1" w:type="dxa"/>
            <w:vMerge w:val="continue"/>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1443" w:type="dxa"/>
            <w:vMerge w:val="continue"/>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热敏电阻PT3FC-51F-S1</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1" w:type="dxa"/>
            <w:vMerge w:val="continue"/>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1443" w:type="dxa"/>
            <w:vMerge w:val="continue"/>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热敏电阻PT3FC-312-S1</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36" w:type="dxa"/>
            <w:gridSpan w:val="5"/>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阀类、接头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1" w:type="dxa"/>
            <w:vMerge w:val="restart"/>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2</w:t>
            </w:r>
          </w:p>
        </w:tc>
        <w:tc>
          <w:tcPr>
            <w:tcW w:w="1443" w:type="dxa"/>
            <w:vMerge w:val="restart"/>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真空阀阀杆</w:t>
            </w: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DN10</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1" w:type="dxa"/>
            <w:vMerge w:val="continue"/>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1443" w:type="dxa"/>
            <w:vMerge w:val="continue"/>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角阀O型密封圈</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1" w:type="dxa"/>
            <w:vMerge w:val="continue"/>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c>
          <w:tcPr>
            <w:tcW w:w="1443"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燃烧器配件</w:t>
            </w:r>
          </w:p>
        </w:tc>
        <w:tc>
          <w:tcPr>
            <w:tcW w:w="2371" w:type="dxa"/>
            <w:noWrap w:val="0"/>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火焰检测器</w:t>
            </w:r>
          </w:p>
        </w:tc>
        <w:tc>
          <w:tcPr>
            <w:tcW w:w="1190"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r>
              <w:rPr>
                <w:rFonts w:hint="eastAsia" w:ascii="宋体" w:hAnsi="宋体" w:eastAsia="宋体" w:cs="宋体"/>
                <w:i w:val="0"/>
                <w:color w:val="000000"/>
                <w:sz w:val="20"/>
                <w:szCs w:val="20"/>
                <w:u w:val="none"/>
                <w:lang w:val="en-US" w:eastAsia="zh-CN" w:bidi="ar-SA"/>
              </w:rPr>
              <w:t>1</w:t>
            </w:r>
          </w:p>
        </w:tc>
        <w:tc>
          <w:tcPr>
            <w:tcW w:w="1121" w:type="dxa"/>
            <w:noWrap w:val="0"/>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lang w:val="en-US" w:eastAsia="zh-CN" w:bidi="ar-SA"/>
              </w:rPr>
            </w:pPr>
          </w:p>
        </w:tc>
      </w:tr>
    </w:tbl>
    <w:p>
      <w:pPr>
        <w:autoSpaceDE w:val="0"/>
        <w:autoSpaceDN w:val="0"/>
        <w:adjustRightInd w:val="0"/>
        <w:spacing w:line="360" w:lineRule="auto"/>
        <w:ind w:left="0" w:leftChars="0" w:firstLine="241" w:firstLineChars="1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 02包  商务要求（实质性要求）</w:t>
      </w:r>
    </w:p>
    <w:p>
      <w:pPr>
        <w:spacing w:line="360" w:lineRule="auto"/>
        <w:ind w:left="0" w:leftChars="0" w:firstLine="240" w:firstLineChars="100"/>
        <w:rPr>
          <w:rFonts w:hint="eastAsia" w:ascii="宋体" w:hAnsi="宋体" w:eastAsia="宋体" w:cs="宋体"/>
          <w:bCs/>
          <w:color w:val="auto"/>
          <w:sz w:val="24"/>
        </w:rPr>
      </w:pPr>
      <w:r>
        <w:rPr>
          <w:rFonts w:hint="eastAsia" w:ascii="宋体" w:hAnsi="宋体" w:eastAsia="宋体" w:cs="宋体"/>
          <w:bCs/>
          <w:color w:val="000000"/>
          <w:sz w:val="24"/>
        </w:rPr>
        <w:t>1、</w:t>
      </w:r>
      <w:r>
        <w:rPr>
          <w:rFonts w:hint="eastAsia" w:ascii="宋体" w:hAnsi="宋体" w:eastAsia="宋体" w:cs="宋体"/>
          <w:bCs/>
          <w:color w:val="auto"/>
          <w:sz w:val="24"/>
          <w:lang w:eastAsia="zh-CN"/>
        </w:rPr>
        <w:t>服务</w:t>
      </w:r>
      <w:r>
        <w:rPr>
          <w:rFonts w:hint="eastAsia" w:ascii="宋体" w:hAnsi="宋体" w:eastAsia="宋体" w:cs="宋体"/>
          <w:bCs/>
          <w:color w:val="auto"/>
          <w:sz w:val="24"/>
        </w:rPr>
        <w:t>时间、地点</w:t>
      </w:r>
    </w:p>
    <w:p>
      <w:pPr>
        <w:spacing w:line="360" w:lineRule="auto"/>
        <w:ind w:firstLine="480" w:firstLineChars="200"/>
        <w:rPr>
          <w:rFonts w:hint="eastAsia" w:ascii="宋体" w:hAnsi="宋体" w:eastAsia="宋体" w:cs="宋体"/>
          <w:color w:val="auto"/>
          <w:sz w:val="24"/>
          <w:szCs w:val="22"/>
          <w:lang w:eastAsia="zh-CN"/>
        </w:rPr>
      </w:pPr>
      <w:r>
        <w:rPr>
          <w:rFonts w:hint="eastAsia" w:ascii="宋体" w:hAnsi="宋体" w:eastAsia="宋体" w:cs="宋体"/>
          <w:color w:val="auto"/>
          <w:sz w:val="24"/>
        </w:rPr>
        <w:t>1.1、</w:t>
      </w:r>
      <w:r>
        <w:rPr>
          <w:rFonts w:hint="eastAsia" w:ascii="宋体" w:hAnsi="宋体" w:eastAsia="宋体" w:cs="宋体"/>
          <w:color w:val="auto"/>
          <w:sz w:val="24"/>
          <w:szCs w:val="24"/>
          <w:highlight w:val="none"/>
          <w:lang w:val="en-US" w:eastAsia="zh-CN"/>
        </w:rPr>
        <w:t>服务期限：三年，合同一年一签，一年一审核。</w:t>
      </w:r>
    </w:p>
    <w:p>
      <w:pPr>
        <w:ind w:firstLine="480" w:firstLineChars="200"/>
        <w:rPr>
          <w:rFonts w:hint="eastAsia" w:ascii="宋体" w:hAnsi="宋体" w:eastAsia="宋体" w:cs="宋体"/>
          <w:color w:val="auto"/>
          <w:sz w:val="24"/>
          <w:szCs w:val="22"/>
          <w:lang w:eastAsia="zh-CN"/>
        </w:rPr>
      </w:pPr>
      <w:r>
        <w:rPr>
          <w:rFonts w:hint="eastAsia" w:ascii="宋体" w:hAnsi="宋体" w:eastAsia="宋体" w:cs="宋体"/>
          <w:color w:val="auto"/>
          <w:sz w:val="24"/>
        </w:rPr>
        <w:t>1.2、</w:t>
      </w:r>
      <w:r>
        <w:rPr>
          <w:rFonts w:hint="eastAsia" w:ascii="宋体" w:hAnsi="宋体" w:eastAsia="宋体" w:cs="宋体"/>
          <w:color w:val="auto"/>
          <w:sz w:val="24"/>
          <w:lang w:eastAsia="zh-CN"/>
        </w:rPr>
        <w:t>服务</w:t>
      </w:r>
      <w:r>
        <w:rPr>
          <w:rFonts w:hint="eastAsia" w:ascii="宋体" w:hAnsi="宋体" w:eastAsia="宋体" w:cs="宋体"/>
          <w:color w:val="auto"/>
          <w:sz w:val="24"/>
        </w:rPr>
        <w:t>地点:</w:t>
      </w:r>
      <w:r>
        <w:rPr>
          <w:rFonts w:hint="eastAsia" w:ascii="宋体" w:hAnsi="宋体" w:eastAsia="宋体" w:cs="宋体"/>
          <w:color w:val="auto"/>
          <w:sz w:val="24"/>
          <w:szCs w:val="22"/>
        </w:rPr>
        <w:t xml:space="preserve"> 彭州市人民</w:t>
      </w:r>
      <w:r>
        <w:rPr>
          <w:rFonts w:hint="eastAsia" w:ascii="宋体" w:hAnsi="宋体" w:eastAsia="宋体" w:cs="宋体"/>
          <w:color w:val="auto"/>
          <w:sz w:val="24"/>
          <w:szCs w:val="22"/>
          <w:lang w:eastAsia="zh-CN"/>
        </w:rPr>
        <w:t>医院（</w:t>
      </w:r>
      <w:r>
        <w:rPr>
          <w:rFonts w:hint="eastAsia" w:ascii="宋体" w:hAnsi="宋体" w:eastAsia="宋体" w:cs="宋体"/>
          <w:color w:val="auto"/>
          <w:sz w:val="24"/>
          <w:szCs w:val="22"/>
          <w:lang w:val="en-US" w:eastAsia="zh-CN"/>
        </w:rPr>
        <w:t>城南院区</w:t>
      </w:r>
      <w:r>
        <w:rPr>
          <w:rFonts w:hint="eastAsia" w:ascii="宋体" w:hAnsi="宋体" w:eastAsia="宋体" w:cs="宋体"/>
          <w:color w:val="auto"/>
          <w:sz w:val="24"/>
          <w:szCs w:val="22"/>
          <w:lang w:eastAsia="zh-CN"/>
        </w:rPr>
        <w:t>）</w:t>
      </w:r>
    </w:p>
    <w:p>
      <w:pPr>
        <w:pStyle w:val="12"/>
        <w:snapToGrid w:val="0"/>
        <w:spacing w:before="0" w:beforeAutospacing="0" w:after="0" w:afterAutospacing="0" w:line="360" w:lineRule="auto"/>
        <w:ind w:left="0" w:leftChars="0" w:firstLine="240" w:firstLineChars="100"/>
        <w:jc w:val="both"/>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2、付款方式：</w:t>
      </w:r>
      <w:r>
        <w:rPr>
          <w:rFonts w:hint="eastAsia" w:ascii="宋体" w:hAnsi="宋体" w:eastAsia="宋体" w:cs="宋体"/>
          <w:color w:val="auto"/>
          <w:sz w:val="24"/>
          <w:highlight w:val="none"/>
          <w:lang w:eastAsia="zh-CN"/>
        </w:rPr>
        <w:t>签订采购合同后，采购人在</w:t>
      </w:r>
      <w:r>
        <w:rPr>
          <w:rFonts w:hint="eastAsia" w:ascii="宋体" w:hAnsi="宋体" w:eastAsia="宋体" w:cs="宋体"/>
          <w:color w:val="auto"/>
          <w:sz w:val="24"/>
          <w:highlight w:val="none"/>
        </w:rPr>
        <w:t>收到等额合法有效票据</w:t>
      </w:r>
      <w:r>
        <w:rPr>
          <w:rFonts w:hint="eastAsia" w:ascii="宋体" w:hAnsi="宋体" w:eastAsia="宋体" w:cs="宋体"/>
          <w:color w:val="auto"/>
          <w:sz w:val="24"/>
          <w:highlight w:val="none"/>
          <w:lang w:val="en-US" w:eastAsia="zh-CN"/>
        </w:rPr>
        <w:t>后15日内</w:t>
      </w:r>
      <w:r>
        <w:rPr>
          <w:rFonts w:hint="eastAsia" w:ascii="宋体" w:hAnsi="宋体" w:eastAsia="宋体" w:cs="宋体"/>
          <w:color w:val="auto"/>
          <w:sz w:val="24"/>
          <w:highlight w:val="none"/>
          <w:lang w:eastAsia="zh-CN"/>
        </w:rPr>
        <w:t>向成交供应商预付合同总金额的</w:t>
      </w:r>
      <w:r>
        <w:rPr>
          <w:rFonts w:hint="eastAsia" w:ascii="宋体" w:hAnsi="宋体" w:eastAsia="宋体" w:cs="宋体"/>
          <w:color w:val="auto"/>
          <w:sz w:val="24"/>
          <w:highlight w:val="none"/>
          <w:lang w:val="en-US" w:eastAsia="zh-CN"/>
        </w:rPr>
        <w:t>30%启动资金；6个月后采购人</w:t>
      </w:r>
      <w:r>
        <w:rPr>
          <w:rFonts w:hint="eastAsia" w:ascii="宋体" w:hAnsi="宋体" w:eastAsia="宋体" w:cs="宋体"/>
          <w:color w:val="auto"/>
          <w:sz w:val="24"/>
          <w:highlight w:val="none"/>
        </w:rPr>
        <w:t>收到等额合法有效票据</w:t>
      </w:r>
      <w:r>
        <w:rPr>
          <w:rFonts w:hint="eastAsia" w:ascii="宋体" w:hAnsi="宋体" w:eastAsia="宋体" w:cs="宋体"/>
          <w:color w:val="auto"/>
          <w:sz w:val="24"/>
          <w:highlight w:val="none"/>
          <w:lang w:val="en-US" w:eastAsia="zh-CN"/>
        </w:rPr>
        <w:t>后支付至合同总金额的50%；再6个月后采购人</w:t>
      </w:r>
      <w:r>
        <w:rPr>
          <w:rFonts w:hint="eastAsia" w:ascii="宋体" w:hAnsi="宋体" w:eastAsia="宋体" w:cs="宋体"/>
          <w:color w:val="auto"/>
          <w:sz w:val="24"/>
          <w:highlight w:val="none"/>
        </w:rPr>
        <w:t>收到等额合法有效票据</w:t>
      </w:r>
      <w:r>
        <w:rPr>
          <w:rFonts w:hint="eastAsia" w:ascii="宋体" w:hAnsi="宋体" w:eastAsia="宋体" w:cs="宋体"/>
          <w:color w:val="auto"/>
          <w:sz w:val="24"/>
          <w:highlight w:val="none"/>
          <w:lang w:val="en-US" w:eastAsia="zh-CN"/>
        </w:rPr>
        <w:t>后支付至合同总金额的100%。</w:t>
      </w:r>
    </w:p>
    <w:p>
      <w:pPr>
        <w:autoSpaceDE w:val="0"/>
        <w:autoSpaceDN w:val="0"/>
        <w:adjustRightInd w:val="0"/>
        <w:spacing w:line="360" w:lineRule="auto"/>
        <w:ind w:left="0" w:leftChars="0" w:firstLine="240" w:firstLineChars="100"/>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验收标准：成交</w:t>
      </w:r>
      <w:r>
        <w:rPr>
          <w:rFonts w:hint="eastAsia" w:ascii="宋体" w:hAnsi="宋体" w:eastAsia="宋体" w:cs="宋体"/>
          <w:sz w:val="24"/>
          <w:lang w:eastAsia="zh-CN"/>
        </w:rPr>
        <w:t>供应商</w:t>
      </w:r>
      <w:r>
        <w:rPr>
          <w:rFonts w:hint="eastAsia" w:ascii="宋体" w:hAnsi="宋体" w:eastAsia="宋体" w:cs="宋体"/>
          <w:sz w:val="24"/>
        </w:rPr>
        <w:t>与采购人应严格按照《财政部关于进一步加强政府采购需求和履约验收管理的指导意见》（财库〔2016〕205 号）)的要求进行验收。</w:t>
      </w:r>
    </w:p>
    <w:p>
      <w:pPr>
        <w:autoSpaceDE w:val="0"/>
        <w:autoSpaceDN w:val="0"/>
        <w:adjustRightInd w:val="0"/>
        <w:spacing w:line="360" w:lineRule="auto"/>
        <w:ind w:left="0" w:leftChars="0" w:firstLine="240" w:firstLineChars="1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供应商所报价格应包含设备的安装、调试、操作、维修、保养</w:t>
      </w:r>
      <w:r>
        <w:rPr>
          <w:rFonts w:hint="eastAsia" w:ascii="宋体" w:hAnsi="宋体" w:eastAsia="宋体" w:cs="宋体"/>
          <w:sz w:val="24"/>
          <w:lang w:eastAsia="zh-CN"/>
        </w:rPr>
        <w:t>、人工费、税金</w:t>
      </w:r>
      <w:r>
        <w:rPr>
          <w:rFonts w:hint="eastAsia" w:ascii="宋体" w:hAnsi="宋体" w:eastAsia="宋体" w:cs="宋体"/>
          <w:sz w:val="24"/>
        </w:rPr>
        <w:t>等全部价格，采购人将不再支付其他额外费用。</w:t>
      </w:r>
    </w:p>
    <w:p>
      <w:pPr>
        <w:numPr>
          <w:ilvl w:val="0"/>
          <w:numId w:val="0"/>
        </w:numPr>
        <w:spacing w:line="360" w:lineRule="auto"/>
        <w:ind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5、本项目因设备老旧耗能较高，若因采购人节能改造确需进行设备更换而导致无法进行维保服务，签订的采购合同自动终止，采购人不承担任何违约责任。（供应商单独提供承诺函原件）</w:t>
      </w:r>
    </w:p>
    <w:p>
      <w:pPr>
        <w:spacing w:line="360" w:lineRule="auto"/>
        <w:ind w:firstLine="723" w:firstLineChars="30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四、02包  售后服务 </w:t>
      </w:r>
    </w:p>
    <w:p>
      <w:pPr>
        <w:spacing w:line="360" w:lineRule="auto"/>
        <w:rPr>
          <w:rFonts w:hint="eastAsia" w:ascii="宋体" w:hAnsi="宋体" w:eastAsia="宋体" w:cs="宋体"/>
          <w:color w:val="auto"/>
          <w:sz w:val="24"/>
        </w:rPr>
      </w:pPr>
      <w:r>
        <w:rPr>
          <w:rFonts w:hint="eastAsia" w:ascii="宋体" w:hAnsi="宋体" w:eastAsia="宋体" w:cs="宋体"/>
          <w:sz w:val="24"/>
          <w:lang w:val="en-US" w:eastAsia="zh-CN"/>
        </w:rPr>
        <w:t>1</w:t>
      </w:r>
      <w:r>
        <w:rPr>
          <w:rFonts w:hint="eastAsia" w:ascii="宋体" w:hAnsi="宋体" w:eastAsia="宋体" w:cs="宋体"/>
          <w:sz w:val="24"/>
          <w:lang w:eastAsia="zh-CN"/>
        </w:rPr>
        <w:t>、例</w:t>
      </w:r>
      <w:r>
        <w:rPr>
          <w:rFonts w:hint="eastAsia" w:ascii="宋体" w:hAnsi="宋体" w:eastAsia="宋体" w:cs="宋体"/>
          <w:sz w:val="24"/>
        </w:rPr>
        <w:t>行巡查巡检。每月开展一次巡查巡检，对因更换产品</w:t>
      </w:r>
      <w:r>
        <w:rPr>
          <w:rFonts w:hint="eastAsia" w:ascii="宋体" w:hAnsi="宋体" w:eastAsia="宋体" w:cs="宋体"/>
          <w:color w:val="auto"/>
          <w:sz w:val="24"/>
        </w:rPr>
        <w:t>发现的</w:t>
      </w:r>
      <w:r>
        <w:rPr>
          <w:rFonts w:hint="eastAsia" w:ascii="宋体" w:hAnsi="宋体" w:eastAsia="宋体" w:cs="宋体"/>
          <w:color w:val="auto"/>
          <w:sz w:val="24"/>
          <w:lang w:eastAsia="zh-CN"/>
        </w:rPr>
        <w:t>空调</w:t>
      </w:r>
      <w:r>
        <w:rPr>
          <w:rFonts w:hint="eastAsia" w:ascii="宋体" w:hAnsi="宋体" w:eastAsia="宋体" w:cs="宋体"/>
          <w:color w:val="auto"/>
          <w:sz w:val="24"/>
        </w:rPr>
        <w:t>运行故障和隐患及时维修和排除</w:t>
      </w:r>
      <w:r>
        <w:rPr>
          <w:rFonts w:hint="eastAsia" w:ascii="宋体" w:hAnsi="宋体" w:eastAsia="宋体" w:cs="宋体"/>
          <w:color w:val="auto"/>
          <w:sz w:val="24"/>
          <w:lang w:eastAsia="zh-CN"/>
        </w:rPr>
        <w:t>，</w:t>
      </w:r>
      <w:r>
        <w:rPr>
          <w:rFonts w:hint="eastAsia" w:ascii="宋体" w:hAnsi="宋体" w:eastAsia="宋体" w:cs="宋体"/>
          <w:color w:val="auto"/>
          <w:sz w:val="24"/>
        </w:rPr>
        <w:t>同时建立巡查巡检记录台账，经</w:t>
      </w:r>
      <w:r>
        <w:rPr>
          <w:rFonts w:hint="eastAsia" w:ascii="宋体" w:hAnsi="宋体" w:eastAsia="宋体" w:cs="宋体"/>
          <w:color w:val="auto"/>
          <w:sz w:val="24"/>
          <w:lang w:eastAsia="zh-CN"/>
        </w:rPr>
        <w:t>维修人员</w:t>
      </w:r>
      <w:r>
        <w:rPr>
          <w:rFonts w:hint="eastAsia" w:ascii="宋体" w:hAnsi="宋体" w:eastAsia="宋体" w:cs="宋体"/>
          <w:color w:val="auto"/>
          <w:sz w:val="24"/>
        </w:rPr>
        <w:t>签字确认备查。</w:t>
      </w:r>
    </w:p>
    <w:p>
      <w:pPr>
        <w:spacing w:line="360" w:lineRule="auto"/>
        <w:rPr>
          <w:rFonts w:hint="eastAsia" w:ascii="宋体" w:hAnsi="宋体" w:eastAsia="宋体" w:cs="宋体"/>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rPr>
        <w:t>紧急排障维修服务。在服务期内，涉及成交供应商安装或因更换产品出现的</w:t>
      </w:r>
      <w:r>
        <w:rPr>
          <w:rFonts w:hint="eastAsia" w:ascii="宋体" w:hAnsi="宋体" w:eastAsia="宋体" w:cs="宋体"/>
          <w:color w:val="auto"/>
          <w:sz w:val="24"/>
          <w:lang w:eastAsia="zh-CN"/>
        </w:rPr>
        <w:t>空调</w:t>
      </w:r>
      <w:r>
        <w:rPr>
          <w:rFonts w:hint="eastAsia" w:ascii="宋体" w:hAnsi="宋体" w:eastAsia="宋体" w:cs="宋体"/>
          <w:color w:val="auto"/>
          <w:sz w:val="24"/>
        </w:rPr>
        <w:t>故障，供应商接到通知</w:t>
      </w:r>
      <w:r>
        <w:rPr>
          <w:rFonts w:hint="eastAsia" w:ascii="宋体" w:hAnsi="宋体" w:eastAsia="宋体" w:cs="宋体"/>
          <w:color w:val="auto"/>
          <w:sz w:val="24"/>
          <w:lang w:val="en-US" w:eastAsia="zh-CN"/>
        </w:rPr>
        <w:t>2</w:t>
      </w:r>
      <w:r>
        <w:rPr>
          <w:rFonts w:hint="eastAsia" w:ascii="宋体" w:hAnsi="宋体" w:eastAsia="宋体" w:cs="宋体"/>
          <w:color w:val="auto"/>
          <w:sz w:val="24"/>
        </w:rPr>
        <w:t>小时内指派专业技术人赶到现场，24小时内检</w:t>
      </w:r>
      <w:r>
        <w:rPr>
          <w:rFonts w:hint="eastAsia" w:ascii="宋体" w:hAnsi="宋体" w:eastAsia="宋体" w:cs="宋体"/>
          <w:sz w:val="24"/>
        </w:rPr>
        <w:t>修排除故障。对影响整个系统的大故障，要求维修人员加班加点，尽快排除故障，恢复设备系统正常运行；遇特殊情况（如无备件）不能及时修复时，应经</w:t>
      </w:r>
      <w:r>
        <w:rPr>
          <w:rFonts w:hint="eastAsia" w:ascii="宋体" w:hAnsi="宋体" w:eastAsia="宋体" w:cs="宋体"/>
          <w:sz w:val="24"/>
          <w:lang w:eastAsia="zh-CN"/>
        </w:rPr>
        <w:t>采购人</w:t>
      </w:r>
      <w:r>
        <w:rPr>
          <w:rFonts w:hint="eastAsia" w:ascii="宋体" w:hAnsi="宋体" w:eastAsia="宋体" w:cs="宋体"/>
          <w:sz w:val="24"/>
        </w:rPr>
        <w:t>同意并采取应急措施；维修人员在排除故障恢复正常运行后，建立台账，经</w:t>
      </w:r>
      <w:r>
        <w:rPr>
          <w:rFonts w:hint="eastAsia" w:ascii="宋体" w:hAnsi="宋体" w:eastAsia="宋体" w:cs="宋体"/>
          <w:sz w:val="24"/>
          <w:lang w:eastAsia="zh-CN"/>
        </w:rPr>
        <w:t>维修人员</w:t>
      </w:r>
      <w:r>
        <w:rPr>
          <w:rFonts w:hint="eastAsia" w:ascii="宋体" w:hAnsi="宋体" w:eastAsia="宋体" w:cs="宋体"/>
          <w:sz w:val="24"/>
        </w:rPr>
        <w:t>签字确认备查。</w:t>
      </w:r>
    </w:p>
    <w:p>
      <w:pPr>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、质保要求</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szCs w:val="22"/>
        </w:rPr>
        <w:t>质保期：</w:t>
      </w:r>
      <w:r>
        <w:rPr>
          <w:rFonts w:hint="eastAsia" w:ascii="宋体" w:hAnsi="宋体" w:eastAsia="宋体" w:cs="宋体"/>
          <w:sz w:val="24"/>
          <w:szCs w:val="22"/>
          <w:lang w:val="en-US" w:eastAsia="zh-CN"/>
        </w:rPr>
        <w:t>1</w:t>
      </w:r>
      <w:r>
        <w:rPr>
          <w:rFonts w:hint="eastAsia" w:ascii="宋体" w:hAnsi="宋体" w:eastAsia="宋体" w:cs="宋体"/>
          <w:sz w:val="24"/>
          <w:szCs w:val="22"/>
        </w:rPr>
        <w:t>年</w:t>
      </w:r>
      <w:r>
        <w:rPr>
          <w:rFonts w:hint="eastAsia" w:ascii="宋体" w:hAnsi="宋体" w:eastAsia="宋体" w:cs="宋体"/>
          <w:sz w:val="24"/>
          <w:szCs w:val="22"/>
          <w:lang w:eastAsia="zh-CN"/>
        </w:rPr>
        <w:t>（验收合格之日起计算），</w:t>
      </w:r>
      <w:r>
        <w:rPr>
          <w:rFonts w:hint="eastAsia" w:ascii="宋体" w:hAnsi="宋体" w:eastAsia="宋体" w:cs="宋体"/>
          <w:sz w:val="24"/>
          <w:szCs w:val="22"/>
        </w:rPr>
        <w:t>维修更换产品提供</w:t>
      </w:r>
      <w:r>
        <w:rPr>
          <w:rFonts w:hint="eastAsia" w:ascii="宋体" w:hAnsi="宋体" w:eastAsia="宋体" w:cs="宋体"/>
          <w:sz w:val="24"/>
          <w:szCs w:val="22"/>
          <w:lang w:eastAsia="zh-CN"/>
        </w:rPr>
        <w:t>一</w:t>
      </w:r>
      <w:r>
        <w:rPr>
          <w:rFonts w:hint="eastAsia" w:ascii="宋体" w:hAnsi="宋体" w:eastAsia="宋体" w:cs="宋体"/>
          <w:sz w:val="24"/>
          <w:szCs w:val="22"/>
        </w:rPr>
        <w:t>年质量保证，</w:t>
      </w:r>
      <w:r>
        <w:rPr>
          <w:rFonts w:hint="eastAsia" w:ascii="宋体" w:hAnsi="宋体" w:eastAsia="宋体" w:cs="宋体"/>
          <w:sz w:val="24"/>
        </w:rPr>
        <w:t>除产品另有约定的以各产品要求为准，最终以合同约定为准，质保期内包含维修费用和上门费等一切因产品问题造成的费用。</w:t>
      </w:r>
    </w:p>
    <w:p>
      <w:pPr>
        <w:spacing w:line="360" w:lineRule="auto"/>
        <w:ind w:right="-94" w:rightChars="-39" w:firstLine="482" w:firstLineChars="200"/>
        <w:jc w:val="left"/>
        <w:rPr>
          <w:rFonts w:hint="eastAsia" w:ascii="宋体" w:hAnsi="宋体" w:eastAsia="宋体" w:cs="宋体"/>
          <w:b/>
          <w:bCs w:val="0"/>
          <w:kern w:val="0"/>
          <w:sz w:val="24"/>
        </w:rPr>
      </w:pPr>
      <w:r>
        <w:rPr>
          <w:rFonts w:hint="eastAsia" w:ascii="宋体" w:hAnsi="宋体" w:eastAsia="宋体" w:cs="宋体"/>
          <w:b/>
          <w:bCs w:val="0"/>
          <w:kern w:val="0"/>
          <w:sz w:val="24"/>
          <w:lang w:val="en-US" w:eastAsia="zh-CN"/>
        </w:rPr>
        <w:t>备注：其他未尽事宜，由采购人与成交供应商另行协商解决。</w:t>
      </w:r>
    </w:p>
    <w:p>
      <w:pPr>
        <w:numPr>
          <w:ilvl w:val="0"/>
          <w:numId w:val="0"/>
        </w:numPr>
        <w:rPr>
          <w:rFonts w:hint="eastAsia" w:ascii="宋体" w:hAnsi="宋体" w:eastAsia="宋体" w:cs="宋体"/>
          <w:b/>
          <w:bCs/>
          <w:sz w:val="24"/>
          <w:szCs w:val="24"/>
          <w:lang w:val="en-US" w:eastAsia="zh-CN"/>
        </w:rPr>
      </w:pPr>
    </w:p>
    <w:p>
      <w:pPr>
        <w:rPr>
          <w:rFonts w:hint="eastAsia" w:ascii="宋体" w:hAnsi="宋体" w:eastAsia="宋体" w:cs="宋体"/>
          <w:b/>
          <w:bCs/>
          <w:color w:val="auto"/>
          <w:kern w:val="2"/>
          <w:sz w:val="28"/>
          <w:szCs w:val="28"/>
          <w:highlight w:val="none"/>
          <w:lang w:val="zh-TW" w:eastAsia="zh-CN" w:bidi="ar-SA"/>
        </w:rPr>
      </w:pPr>
      <w:r>
        <w:rPr>
          <w:rFonts w:hint="eastAsia" w:ascii="宋体" w:hAnsi="宋体" w:eastAsia="宋体" w:cs="宋体"/>
          <w:b/>
          <w:bCs/>
          <w:color w:val="auto"/>
          <w:kern w:val="2"/>
          <w:sz w:val="28"/>
          <w:szCs w:val="28"/>
          <w:highlight w:val="none"/>
          <w:lang w:val="zh-TW" w:eastAsia="zh-CN" w:bidi="ar-SA"/>
        </w:rPr>
        <w:br w:type="page"/>
      </w:r>
    </w:p>
    <w:p>
      <w:pPr>
        <w:ind w:left="0" w:leftChars="0" w:firstLine="2530" w:firstLineChars="900"/>
        <w:rPr>
          <w:rFonts w:hint="eastAsia" w:ascii="宋体" w:hAnsi="宋体" w:eastAsia="宋体" w:cs="宋体"/>
          <w:b/>
          <w:bCs/>
          <w:color w:val="auto"/>
          <w:kern w:val="2"/>
          <w:sz w:val="28"/>
          <w:szCs w:val="28"/>
          <w:highlight w:val="none"/>
          <w:lang w:val="zh-TW" w:eastAsia="zh-CN" w:bidi="ar-SA"/>
        </w:rPr>
      </w:pPr>
      <w:r>
        <w:rPr>
          <w:rFonts w:hint="eastAsia" w:ascii="宋体" w:hAnsi="宋体" w:eastAsia="宋体" w:cs="宋体"/>
          <w:b/>
          <w:bCs/>
          <w:color w:val="auto"/>
          <w:kern w:val="2"/>
          <w:sz w:val="28"/>
          <w:szCs w:val="28"/>
          <w:highlight w:val="none"/>
          <w:lang w:val="zh-TW" w:eastAsia="zh-CN" w:bidi="ar-SA"/>
        </w:rPr>
        <w:t>第六章  响应文件格式</w:t>
      </w:r>
      <w:bookmarkEnd w:id="702"/>
      <w:bookmarkEnd w:id="703"/>
      <w:bookmarkEnd w:id="704"/>
      <w:bookmarkEnd w:id="705"/>
      <w:bookmarkEnd w:id="706"/>
      <w:bookmarkEnd w:id="707"/>
      <w:bookmarkEnd w:id="708"/>
      <w:bookmarkEnd w:id="709"/>
      <w:bookmarkEnd w:id="710"/>
      <w:bookmarkEnd w:id="711"/>
      <w:bookmarkEnd w:id="712"/>
      <w:bookmarkEnd w:id="713"/>
      <w:bookmarkEnd w:id="714"/>
    </w:p>
    <w:p>
      <w:pPr>
        <w:pStyle w:val="12"/>
        <w:spacing w:afterLines="50" w:line="360" w:lineRule="auto"/>
        <w:ind w:right="-94" w:rightChars="-39" w:firstLine="480"/>
        <w:rPr>
          <w:rFonts w:hint="eastAsia" w:ascii="宋体" w:hAnsi="宋体" w:eastAsia="宋体" w:cs="宋体"/>
          <w:color w:val="auto"/>
          <w:highlight w:val="none"/>
        </w:rPr>
      </w:pPr>
    </w:p>
    <w:p>
      <w:pPr>
        <w:pStyle w:val="12"/>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一、本章所制响应文件格式，除格式中明确将该格式作为实质性要求的，一律不具有强制性。</w:t>
      </w:r>
    </w:p>
    <w:p>
      <w:pPr>
        <w:pStyle w:val="12"/>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二、本章所制响应文件格式有关表格中的备注栏，由供应商根据自身响应情况作解释性说明，不作为必填项。</w:t>
      </w:r>
    </w:p>
    <w:p>
      <w:pPr>
        <w:pStyle w:val="12"/>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三、本章所制响应文件格式中需要填写的相关内容事项，可能会与本采购项目无关，在不改变响应文件原义、不影响本项目采购需求的情况下，供应商可以不予填写，但应当注明。</w:t>
      </w:r>
    </w:p>
    <w:p>
      <w:pPr>
        <w:tabs>
          <w:tab w:val="left" w:pos="7665"/>
        </w:tabs>
        <w:spacing w:line="360" w:lineRule="auto"/>
        <w:ind w:right="-94" w:rightChars="-39" w:firstLine="482"/>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br w:type="textWrapping"/>
      </w:r>
    </w:p>
    <w:p>
      <w:pPr>
        <w:tabs>
          <w:tab w:val="left" w:pos="7665"/>
        </w:tabs>
        <w:spacing w:line="360" w:lineRule="auto"/>
        <w:ind w:right="-94" w:rightChars="-39" w:firstLine="482"/>
        <w:rPr>
          <w:rFonts w:hint="eastAsia" w:ascii="宋体" w:hAnsi="宋体" w:eastAsia="宋体" w:cs="宋体"/>
          <w:color w:val="auto"/>
          <w:highlight w:val="none"/>
        </w:rPr>
      </w:pPr>
      <w:r>
        <w:rPr>
          <w:rFonts w:hint="eastAsia" w:ascii="宋体" w:hAnsi="宋体" w:eastAsia="宋体" w:cs="宋体"/>
          <w:b/>
          <w:color w:val="auto"/>
          <w:highlight w:val="none"/>
          <w:lang w:val="zh-CN"/>
        </w:rPr>
        <w:br w:type="page"/>
      </w:r>
      <w:bookmarkStart w:id="715" w:name="_Toc12006360"/>
      <w:bookmarkStart w:id="716" w:name="_Toc9438765"/>
      <w:bookmarkStart w:id="717" w:name="_Toc517422515"/>
      <w:bookmarkStart w:id="718" w:name="_Toc15468"/>
      <w:bookmarkStart w:id="719" w:name="_Toc18194"/>
      <w:bookmarkStart w:id="720" w:name="_Toc22070"/>
      <w:bookmarkStart w:id="721" w:name="_Toc9917"/>
      <w:bookmarkStart w:id="722" w:name="_Toc2871"/>
      <w:bookmarkStart w:id="723" w:name="_Toc32618"/>
      <w:bookmarkStart w:id="724" w:name="_Toc14353"/>
      <w:bookmarkStart w:id="725" w:name="_Toc28688"/>
      <w:bookmarkStart w:id="726" w:name="_Toc517423543"/>
      <w:r>
        <w:rPr>
          <w:rFonts w:hint="eastAsia" w:ascii="宋体" w:hAnsi="宋体" w:eastAsia="宋体" w:cs="宋体"/>
          <w:color w:val="auto"/>
          <w:highlight w:val="none"/>
        </w:rPr>
        <w:t>响应文件封面格式</w:t>
      </w:r>
    </w:p>
    <w:p>
      <w:pPr>
        <w:spacing w:line="360" w:lineRule="auto"/>
        <w:ind w:right="-94" w:rightChars="-39" w:firstLine="480"/>
        <w:rPr>
          <w:rFonts w:hint="eastAsia" w:ascii="宋体" w:hAnsi="宋体" w:eastAsia="宋体" w:cs="宋体"/>
          <w:bCs/>
          <w:color w:val="auto"/>
          <w:szCs w:val="21"/>
          <w:highlight w:val="none"/>
        </w:rPr>
      </w:pPr>
      <w:r>
        <w:rPr>
          <w:rFonts w:hint="eastAsia" w:ascii="宋体" w:hAnsi="宋体" w:eastAsia="宋体" w:cs="宋体"/>
          <w:color w:val="auto"/>
          <w:szCs w:val="22"/>
          <w:highlight w:val="none"/>
        </w:rPr>
        <mc:AlternateContent>
          <mc:Choice Requires="wps">
            <w:drawing>
              <wp:anchor distT="0" distB="0" distL="114300" distR="114300" simplePos="0" relativeHeight="251661312"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19" name="矩形 19"/>
                <wp:cNvGraphicFramePr/>
                <a:graphic xmlns:a="http://schemas.openxmlformats.org/drawingml/2006/main">
                  <a:graphicData uri="http://schemas.microsoft.com/office/word/2010/wordprocessingShape">
                    <wps:wsp>
                      <wps:cNvSpPr/>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rFonts w:ascii="黑体" w:eastAsia="黑体"/>
                                <w:b/>
                                <w:sz w:val="28"/>
                                <w:szCs w:val="28"/>
                              </w:rPr>
                            </w:pPr>
                            <w:r>
                              <w:rPr>
                                <w:rFonts w:hint="eastAsia" w:ascii="黑体" w:eastAsia="黑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30.95pt;width:89.55pt;z-index:251661312;mso-width-relative:page;mso-height-relative:page;" fillcolor="#FFFFFF" filled="t" stroked="t" coordsize="21600,21600" o:gfxdata="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cXNW1wAAAAkBAAAPAAAAAAAA&#10;AAEAIAAAACIAAABkcnMvZG93bnJldi54bWxQSwECFAAUAAAACACHTuJA6s15mhMCAABTBAAADgAA&#10;AAAAAAABACAAAAAmAQAAZHJzL2Uyb0RvYy54bWxQSwUGAAAAAAYABgBZAQAAqwUAAAAA&#10;">
                <v:fill on="t" focussize="0,0"/>
                <v:stroke color="#000000" joinstyle="miter"/>
                <v:imagedata o:title=""/>
                <o:lock v:ext="edit" aspectratio="f"/>
                <v:textbox style="mso-fit-shape-to-text:t;">
                  <w:txbxContent>
                    <w:p>
                      <w:pPr>
                        <w:ind w:firstLine="0" w:firstLineChars="0"/>
                        <w:rPr>
                          <w:rFonts w:ascii="黑体" w:eastAsia="黑体"/>
                          <w:b/>
                          <w:sz w:val="28"/>
                          <w:szCs w:val="28"/>
                        </w:rPr>
                      </w:pPr>
                      <w:r>
                        <w:rPr>
                          <w:rFonts w:hint="eastAsia" w:ascii="黑体" w:eastAsia="黑体"/>
                          <w:b/>
                          <w:sz w:val="28"/>
                          <w:szCs w:val="28"/>
                        </w:rPr>
                        <w:t>正本或副本</w:t>
                      </w:r>
                    </w:p>
                  </w:txbxContent>
                </v:textbox>
              </v:rect>
            </w:pict>
          </mc:Fallback>
        </mc:AlternateContent>
      </w: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jc w:val="right"/>
        <w:rPr>
          <w:rFonts w:hint="eastAsia" w:ascii="宋体" w:hAnsi="宋体" w:eastAsia="宋体" w:cs="宋体"/>
          <w:color w:val="auto"/>
          <w:highlight w:val="none"/>
        </w:rPr>
      </w:pPr>
    </w:p>
    <w:p>
      <w:pPr>
        <w:pStyle w:val="4"/>
        <w:spacing w:line="360" w:lineRule="auto"/>
        <w:ind w:right="-94" w:rightChars="-39"/>
        <w:rPr>
          <w:rFonts w:hint="eastAsia" w:ascii="宋体" w:hAnsi="宋体" w:eastAsia="宋体" w:cs="宋体"/>
          <w:color w:val="auto"/>
          <w:highlight w:val="none"/>
        </w:rPr>
      </w:pPr>
      <w:bookmarkStart w:id="727" w:name="_Toc31774"/>
      <w:bookmarkStart w:id="728" w:name="_Toc13243"/>
      <w:bookmarkStart w:id="729" w:name="_Toc517423523"/>
      <w:bookmarkStart w:id="730" w:name="_Toc30609"/>
      <w:bookmarkStart w:id="731" w:name="_Toc27"/>
      <w:bookmarkStart w:id="732" w:name="_Toc22497"/>
      <w:bookmarkStart w:id="733" w:name="_Toc6917"/>
      <w:bookmarkStart w:id="734" w:name="_Toc25606"/>
      <w:bookmarkStart w:id="735" w:name="_Toc517422495"/>
      <w:r>
        <w:rPr>
          <w:rFonts w:hint="eastAsia" w:ascii="宋体" w:hAnsi="宋体" w:eastAsia="宋体" w:cs="宋体"/>
          <w:color w:val="auto"/>
          <w:highlight w:val="none"/>
        </w:rPr>
        <w:t>资格性响应文件</w:t>
      </w:r>
      <w:bookmarkEnd w:id="727"/>
      <w:bookmarkEnd w:id="728"/>
      <w:bookmarkEnd w:id="729"/>
      <w:bookmarkEnd w:id="730"/>
      <w:bookmarkEnd w:id="731"/>
      <w:bookmarkEnd w:id="732"/>
      <w:bookmarkEnd w:id="733"/>
      <w:bookmarkEnd w:id="734"/>
      <w:bookmarkEnd w:id="735"/>
    </w:p>
    <w:p>
      <w:pPr>
        <w:spacing w:line="360" w:lineRule="auto"/>
        <w:ind w:right="-94" w:rightChars="-39" w:firstLine="2712"/>
        <w:jc w:val="center"/>
        <w:rPr>
          <w:rFonts w:hint="eastAsia" w:ascii="宋体" w:hAnsi="宋体" w:eastAsia="宋体" w:cs="宋体"/>
          <w:color w:val="auto"/>
          <w:spacing w:val="78"/>
          <w:sz w:val="120"/>
          <w:szCs w:val="120"/>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default" w:ascii="宋体" w:hAnsi="宋体" w:eastAsia="宋体" w:cs="宋体"/>
          <w:b/>
          <w:bCs/>
          <w:color w:val="auto"/>
          <w:sz w:val="32"/>
          <w:szCs w:val="32"/>
          <w:highlight w:val="none"/>
          <w:u w:val="single"/>
          <w:lang w:val="en-US" w:eastAsia="zh-CN"/>
        </w:rPr>
      </w:pPr>
      <w:r>
        <w:rPr>
          <w:rFonts w:hint="eastAsia" w:cs="宋体"/>
          <w:b/>
          <w:bCs/>
          <w:color w:val="auto"/>
          <w:sz w:val="32"/>
          <w:szCs w:val="32"/>
          <w:highlight w:val="none"/>
          <w:lang w:eastAsia="zh-CN"/>
        </w:rPr>
        <w:t>包号：</w:t>
      </w:r>
      <w:r>
        <w:rPr>
          <w:rFonts w:hint="eastAsia" w:cs="宋体"/>
          <w:b/>
          <w:bCs/>
          <w:color w:val="auto"/>
          <w:sz w:val="32"/>
          <w:szCs w:val="32"/>
          <w:highlight w:val="none"/>
          <w:u w:val="single"/>
          <w:lang w:val="en-US" w:eastAsia="zh-CN"/>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88" w:firstLineChars="68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tabs>
          <w:tab w:val="left" w:pos="900"/>
        </w:tabs>
        <w:spacing w:line="360" w:lineRule="auto"/>
        <w:ind w:right="-94" w:rightChars="-39" w:firstLine="64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Style w:val="5"/>
        <w:spacing w:line="360" w:lineRule="auto"/>
        <w:ind w:right="-94" w:rightChars="-39" w:firstLine="0" w:firstLineChars="0"/>
        <w:jc w:val="center"/>
        <w:rPr>
          <w:rFonts w:hint="eastAsia" w:ascii="宋体" w:hAnsi="宋体" w:eastAsia="宋体" w:cs="宋体"/>
          <w:color w:val="auto"/>
          <w:sz w:val="32"/>
          <w:highlight w:val="none"/>
        </w:rPr>
      </w:pPr>
      <w:bookmarkStart w:id="736" w:name="_Toc17362"/>
      <w:bookmarkStart w:id="737" w:name="_Toc11032"/>
      <w:bookmarkStart w:id="738" w:name="_Toc517422496"/>
      <w:bookmarkStart w:id="739" w:name="_Toc11612"/>
      <w:bookmarkStart w:id="740" w:name="_Toc3900"/>
      <w:bookmarkStart w:id="741" w:name="_Toc31811"/>
      <w:bookmarkStart w:id="742" w:name="_Toc517423524"/>
      <w:bookmarkStart w:id="743" w:name="_Toc15547"/>
      <w:bookmarkStart w:id="744" w:name="_Toc22318"/>
      <w:r>
        <w:rPr>
          <w:rFonts w:hint="eastAsia" w:ascii="宋体" w:hAnsi="宋体" w:eastAsia="宋体" w:cs="宋体"/>
          <w:color w:val="auto"/>
          <w:sz w:val="32"/>
          <w:highlight w:val="none"/>
        </w:rPr>
        <w:t>一、法定代表人授权书</w:t>
      </w:r>
      <w:bookmarkEnd w:id="736"/>
      <w:bookmarkEnd w:id="737"/>
      <w:bookmarkEnd w:id="738"/>
      <w:bookmarkEnd w:id="739"/>
      <w:bookmarkEnd w:id="740"/>
      <w:bookmarkEnd w:id="741"/>
      <w:bookmarkEnd w:id="742"/>
      <w:bookmarkEnd w:id="743"/>
      <w:bookmarkEnd w:id="744"/>
    </w:p>
    <w:p>
      <w:pPr>
        <w:spacing w:line="360" w:lineRule="auto"/>
        <w:ind w:right="-94" w:rightChars="-39"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本授权声明：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（法定代表人姓名、职务）授权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（被授权人姓名、职务）为我方参加“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包号：</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）磋商采购活动的合法代表，以我方名义全权处理该项目有关磋商、报价、签订合同以及执行合同等一切事宜。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spacing w:line="360" w:lineRule="auto"/>
        <w:ind w:right="-94" w:rightChars="-39" w:firstLine="480"/>
        <w:rPr>
          <w:rFonts w:hint="eastAsia" w:ascii="宋体" w:hAnsi="宋体" w:eastAsia="宋体" w:cs="宋体"/>
          <w:color w:val="auto"/>
          <w:highlight w:val="none"/>
        </w:rPr>
      </w:pPr>
    </w:p>
    <w:p>
      <w:pPr>
        <w:wordWrap w:val="0"/>
        <w:topLinePunct/>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附：法定代表人和被授权人身份证复印件正反面</w:t>
      </w:r>
      <w:r>
        <w:rPr>
          <w:rFonts w:hint="eastAsia" w:ascii="宋体" w:hAnsi="宋体" w:eastAsia="宋体" w:cs="宋体"/>
          <w:b/>
          <w:bCs/>
          <w:color w:val="auto"/>
          <w:highlight w:val="none"/>
        </w:rPr>
        <w:t>(供应商的法定代表人为外籍人士的，则提供护照复印件)</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法定代表人（签字或加盖个人签名章）：</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被授权人签字：</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rPr>
          <w:rFonts w:hint="eastAsia" w:ascii="宋体" w:hAnsi="宋体" w:eastAsia="宋体" w:cs="宋体"/>
          <w:color w:val="auto"/>
          <w:sz w:val="32"/>
          <w:highlight w:val="none"/>
        </w:rPr>
      </w:pPr>
    </w:p>
    <w:p>
      <w:pPr>
        <w:spacing w:line="360" w:lineRule="auto"/>
        <w:ind w:right="-94" w:rightChars="-39" w:firstLine="643"/>
        <w:jc w:val="center"/>
        <w:rPr>
          <w:rFonts w:hint="eastAsia" w:ascii="宋体" w:hAnsi="宋体" w:eastAsia="宋体" w:cs="宋体"/>
          <w:b/>
          <w:color w:val="auto"/>
          <w:sz w:val="32"/>
          <w:szCs w:val="32"/>
          <w:highlight w:val="none"/>
        </w:rPr>
      </w:pPr>
    </w:p>
    <w:p>
      <w:pPr>
        <w:pStyle w:val="5"/>
        <w:spacing w:line="360" w:lineRule="auto"/>
        <w:ind w:right="-94" w:rightChars="-39" w:firstLineChars="0"/>
        <w:jc w:val="center"/>
        <w:rPr>
          <w:rFonts w:hint="eastAsia" w:ascii="宋体" w:hAnsi="宋体" w:eastAsia="宋体" w:cs="宋体"/>
          <w:color w:val="auto"/>
          <w:highlight w:val="none"/>
        </w:rPr>
      </w:pPr>
      <w:bookmarkStart w:id="745" w:name="_Toc29454"/>
      <w:bookmarkStart w:id="746" w:name="_Toc13273"/>
      <w:bookmarkStart w:id="747" w:name="_Toc517423525"/>
      <w:bookmarkStart w:id="748" w:name="_Toc21365"/>
      <w:bookmarkStart w:id="749" w:name="_Toc13395"/>
      <w:bookmarkStart w:id="750" w:name="_Toc517422497"/>
      <w:bookmarkStart w:id="751" w:name="_Toc3616"/>
      <w:bookmarkStart w:id="752" w:name="_Toc16520"/>
      <w:bookmarkStart w:id="753" w:name="_Toc10096"/>
      <w:bookmarkStart w:id="754" w:name="_Toc13994"/>
      <w:bookmarkStart w:id="755" w:name="_Toc5249"/>
      <w:bookmarkStart w:id="756" w:name="_Toc1094"/>
      <w:r>
        <w:rPr>
          <w:rFonts w:hint="eastAsia" w:ascii="宋体" w:hAnsi="宋体" w:eastAsia="宋体" w:cs="宋体"/>
          <w:color w:val="auto"/>
          <w:sz w:val="32"/>
          <w:highlight w:val="none"/>
        </w:rPr>
        <w:t>二、</w:t>
      </w:r>
      <w:bookmarkStart w:id="757" w:name="_Toc312417261"/>
      <w:bookmarkStart w:id="758" w:name="_Toc318658791"/>
      <w:r>
        <w:rPr>
          <w:rFonts w:hint="eastAsia" w:ascii="宋体" w:hAnsi="宋体" w:eastAsia="宋体" w:cs="宋体"/>
          <w:color w:val="auto"/>
          <w:sz w:val="32"/>
          <w:highlight w:val="none"/>
        </w:rPr>
        <w:t>法定代表人身份证明书</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pPr>
        <w:spacing w:line="360" w:lineRule="auto"/>
        <w:ind w:right="-94" w:rightChars="-39"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360" w:lineRule="auto"/>
        <w:ind w:right="-94" w:rightChars="-39"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 xml:space="preserve">                               </w:t>
      </w:r>
    </w:p>
    <w:p>
      <w:pPr>
        <w:spacing w:line="360" w:lineRule="auto"/>
        <w:ind w:right="-94" w:rightChars="-39" w:firstLine="960" w:firstLineChars="400"/>
        <w:rPr>
          <w:rFonts w:hint="eastAsia" w:ascii="宋体" w:hAnsi="宋体" w:eastAsia="宋体" w:cs="宋体"/>
          <w:color w:val="auto"/>
          <w:highlight w:val="none"/>
          <w:u w:val="singl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性 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 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 务:</w:t>
      </w:r>
      <w:r>
        <w:rPr>
          <w:rFonts w:hint="eastAsia" w:ascii="宋体" w:hAnsi="宋体" w:eastAsia="宋体" w:cs="宋体"/>
          <w:color w:val="auto"/>
          <w:highlight w:val="none"/>
          <w:u w:val="single"/>
        </w:rPr>
        <w:t xml:space="preserve">        </w:t>
      </w:r>
    </w:p>
    <w:p>
      <w:pPr>
        <w:spacing w:line="360" w:lineRule="auto"/>
        <w:ind w:right="-94" w:rightChars="-39" w:firstLine="936" w:firstLineChars="39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的法定代表人。</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spacing w:line="360" w:lineRule="auto"/>
        <w:ind w:right="-94" w:rightChars="-39" w:firstLine="480"/>
        <w:rPr>
          <w:rFonts w:hint="eastAsia" w:ascii="宋体" w:hAnsi="宋体" w:eastAsia="宋体" w:cs="宋体"/>
          <w:color w:val="auto"/>
          <w:highlight w:val="none"/>
        </w:rPr>
      </w:pPr>
    </w:p>
    <w:p>
      <w:pPr>
        <w:wordWrap w:val="0"/>
        <w:topLinePunct/>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附：法定代表人身份证复印件正反面</w:t>
      </w:r>
      <w:r>
        <w:rPr>
          <w:rFonts w:hint="eastAsia" w:ascii="宋体" w:hAnsi="宋体" w:eastAsia="宋体" w:cs="宋体"/>
          <w:b/>
          <w:bCs/>
          <w:color w:val="auto"/>
          <w:highlight w:val="none"/>
        </w:rPr>
        <w:t>(供应商的法定代表人为外籍人士的，则提供护照复印件)</w:t>
      </w:r>
    </w:p>
    <w:p>
      <w:pPr>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spacing w:line="360" w:lineRule="auto"/>
        <w:ind w:right="-94" w:rightChars="-39" w:firstLine="480"/>
        <w:jc w:val="left"/>
        <w:rPr>
          <w:rFonts w:hint="eastAsia" w:ascii="宋体" w:hAnsi="宋体" w:eastAsia="宋体" w:cs="宋体"/>
          <w:color w:val="auto"/>
          <w:szCs w:val="24"/>
          <w:highlight w:val="none"/>
        </w:rPr>
      </w:pPr>
    </w:p>
    <w:p>
      <w:pPr>
        <w:pStyle w:val="5"/>
        <w:spacing w:line="360" w:lineRule="auto"/>
        <w:ind w:right="-94" w:rightChars="-39" w:firstLine="48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59" w:name="_Toc32462"/>
      <w:bookmarkStart w:id="760" w:name="_Toc517423526"/>
      <w:bookmarkStart w:id="761" w:name="_Toc28499"/>
      <w:bookmarkStart w:id="762" w:name="_Toc31127"/>
      <w:bookmarkStart w:id="763" w:name="_Toc19123"/>
      <w:bookmarkStart w:id="764" w:name="_Toc5916"/>
      <w:bookmarkStart w:id="765" w:name="_Toc25462"/>
      <w:bookmarkStart w:id="766" w:name="_Toc29749"/>
      <w:bookmarkStart w:id="767" w:name="_Toc517422498"/>
      <w:r>
        <w:rPr>
          <w:rFonts w:hint="eastAsia" w:ascii="宋体" w:hAnsi="宋体" w:eastAsia="宋体" w:cs="宋体"/>
          <w:color w:val="auto"/>
          <w:sz w:val="32"/>
          <w:highlight w:val="none"/>
        </w:rPr>
        <w:t>三、承诺函</w:t>
      </w:r>
      <w:bookmarkEnd w:id="759"/>
      <w:bookmarkEnd w:id="760"/>
      <w:bookmarkEnd w:id="761"/>
      <w:bookmarkEnd w:id="762"/>
      <w:bookmarkEnd w:id="763"/>
      <w:bookmarkEnd w:id="764"/>
      <w:bookmarkEnd w:id="765"/>
      <w:bookmarkEnd w:id="766"/>
      <w:bookmarkEnd w:id="767"/>
    </w:p>
    <w:p>
      <w:pPr>
        <w:spacing w:line="360" w:lineRule="auto"/>
        <w:ind w:right="-94" w:rightChars="-39"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我方作为本次采购项目的供应商，根据磋商文件要求，现郑重承诺及声明如下：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1.具有独立承担民事责任能力；</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3.具有履行合同所必须的设备和专业技术能力；</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5.参加采购活动前三年内，在经营活动中没有重大违法记录，遵守相关的法律和法规供应商成立不足三年的，从成立之日起计算)；</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8.参加本次采购活动，不存在与单位负责人为同一人或者存在直接控股、管理关系的其他供应商参与同一合同项下的采购活动的行为。</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9.参加本次采购活动前我方未对本次采购项目提供过整体设计、规范编制或者项目管理、监理、检测等服务。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10.参加本次采购活动，不存在同一母公司的两家以上的子公司以不同供应商身份同时参加本项目同一合同项下的采购活动的情形。</w:t>
      </w: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11.参加本次采购活动，不存在和其他供应商在同一合同项下的采购项目中，同时委托同一个自然人、同一家庭的人员、同一单位的人员作为代理人的行为。</w:t>
      </w:r>
    </w:p>
    <w:p>
      <w:pPr>
        <w:spacing w:line="360" w:lineRule="auto"/>
        <w:ind w:right="-94" w:rightChars="-39"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12.如记入诚信档案的失信行为，将在磋商文件中全面如实反映。</w:t>
      </w:r>
    </w:p>
    <w:p>
      <w:pPr>
        <w:spacing w:line="360" w:lineRule="auto"/>
        <w:ind w:right="-94" w:rightChars="-39"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.响应文件中提供的能够给予采购单位带来优惠、好处的任何材料资料和技术、服务、商务等响应承诺情况都是真实的、有效的、合法的。</w:t>
      </w:r>
    </w:p>
    <w:p>
      <w:pPr>
        <w:spacing w:line="360" w:lineRule="auto"/>
        <w:ind w:right="-94" w:rightChars="-39" w:firstLine="480"/>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 xml:space="preserve">14.若我方成交，我方承诺按照本磋商文件约定支付招标代理服务费，否则视为虚假应标并承担由此带来的一切后果。 </w:t>
      </w: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我方对上述承诺的内容事项真实性、合法性负责。如经查实上述承诺的内容事项存在虚假，我方自愿接受以提供虚假材料谋取成交所带来的所有法律责任。</w:t>
      </w:r>
    </w:p>
    <w:p>
      <w:pPr>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p>
    <w:p>
      <w:pPr>
        <w:keepNext/>
        <w:keepLines/>
        <w:spacing w:beforeLines="100" w:afterLines="100" w:line="360" w:lineRule="auto"/>
        <w:ind w:right="-94" w:rightChars="-39" w:firstLine="643"/>
        <w:jc w:val="center"/>
        <w:rPr>
          <w:rStyle w:val="47"/>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pStyle w:val="5"/>
        <w:numPr>
          <w:ilvl w:val="0"/>
          <w:numId w:val="5"/>
        </w:numPr>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bookmarkStart w:id="768" w:name="_Toc28065"/>
      <w:bookmarkStart w:id="769" w:name="_Toc21592"/>
      <w:bookmarkStart w:id="770" w:name="_Toc13154"/>
      <w:bookmarkStart w:id="771" w:name="_Toc22312"/>
      <w:bookmarkStart w:id="772" w:name="_Toc10643"/>
      <w:bookmarkStart w:id="773" w:name="_Toc24809"/>
      <w:bookmarkStart w:id="774" w:name="_Toc517423527"/>
      <w:bookmarkStart w:id="775" w:name="_Toc517422499"/>
      <w:bookmarkStart w:id="776" w:name="_Toc24804"/>
      <w:r>
        <w:rPr>
          <w:rFonts w:hint="eastAsia" w:ascii="宋体" w:hAnsi="宋体" w:eastAsia="宋体" w:cs="宋体"/>
          <w:color w:val="auto"/>
          <w:sz w:val="32"/>
          <w:highlight w:val="none"/>
        </w:rPr>
        <w:t>其他资格性证明文件（</w:t>
      </w:r>
      <w:bookmarkEnd w:id="768"/>
      <w:bookmarkEnd w:id="769"/>
      <w:bookmarkEnd w:id="770"/>
      <w:bookmarkEnd w:id="771"/>
      <w:bookmarkEnd w:id="772"/>
      <w:bookmarkEnd w:id="773"/>
      <w:r>
        <w:rPr>
          <w:rFonts w:hint="eastAsia" w:ascii="宋体" w:hAnsi="宋体" w:eastAsia="宋体" w:cs="宋体"/>
          <w:color w:val="auto"/>
          <w:sz w:val="32"/>
          <w:highlight w:val="none"/>
        </w:rPr>
        <w:t>详见磋商文件第四章）</w:t>
      </w:r>
      <w:bookmarkEnd w:id="774"/>
      <w:bookmarkEnd w:id="775"/>
    </w:p>
    <w:p>
      <w:pPr>
        <w:pStyle w:val="5"/>
        <w:numPr>
          <w:ilvl w:val="0"/>
          <w:numId w:val="0"/>
        </w:numPr>
        <w:spacing w:line="360" w:lineRule="auto"/>
        <w:ind w:right="-94" w:rightChars="-39"/>
        <w:jc w:val="center"/>
        <w:rPr>
          <w:rFonts w:hint="eastAsia" w:ascii="宋体" w:hAnsi="宋体" w:eastAsia="宋体" w:cs="宋体"/>
          <w:color w:val="auto"/>
          <w:highlight w:val="none"/>
        </w:rPr>
        <w:sectPr>
          <w:footerReference r:id="rId14" w:type="default"/>
          <w:pgSz w:w="11906" w:h="16838"/>
          <w:pgMar w:top="1417" w:right="1800" w:bottom="1417" w:left="1800" w:header="567" w:footer="788" w:gutter="0"/>
          <w:pgNumType w:fmt="decimal" w:start="1"/>
          <w:cols w:space="0" w:num="1"/>
          <w:docGrid w:linePitch="326" w:charSpace="0"/>
        </w:sectPr>
      </w:pPr>
      <w:r>
        <w:rPr>
          <w:rFonts w:hint="eastAsia" w:ascii="宋体" w:hAnsi="宋体" w:eastAsia="宋体" w:cs="宋体"/>
          <w:b w:val="0"/>
          <w:bCs w:val="0"/>
          <w:color w:val="auto"/>
          <w:sz w:val="32"/>
          <w:highlight w:val="none"/>
          <w:lang w:eastAsia="zh-CN"/>
        </w:rPr>
        <w:t>格式自拟</w:t>
      </w:r>
      <w:r>
        <w:rPr>
          <w:rFonts w:hint="eastAsia" w:ascii="宋体" w:hAnsi="宋体" w:eastAsia="宋体" w:cs="宋体"/>
          <w:color w:val="auto"/>
          <w:sz w:val="32"/>
          <w:highlight w:val="none"/>
        </w:rPr>
        <w:br w:type="page"/>
      </w:r>
      <w:bookmarkEnd w:id="776"/>
    </w:p>
    <w:p>
      <w:pPr>
        <w:pStyle w:val="5"/>
        <w:tabs>
          <w:tab w:val="left" w:pos="440"/>
        </w:tabs>
        <w:spacing w:line="360" w:lineRule="auto"/>
        <w:ind w:left="955" w:leftChars="398" w:right="1037" w:rightChars="432" w:firstLine="0" w:firstLineChars="0"/>
        <w:jc w:val="center"/>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val="en-US" w:eastAsia="zh-CN"/>
        </w:rPr>
        <w:t>五、</w:t>
      </w:r>
      <w:r>
        <w:rPr>
          <w:rFonts w:hint="eastAsia" w:ascii="宋体" w:hAnsi="宋体" w:eastAsia="宋体" w:cs="宋体"/>
          <w:color w:val="auto"/>
          <w:sz w:val="32"/>
          <w:highlight w:val="none"/>
          <w:lang w:val="en-US"/>
        </w:rPr>
        <w:t>中小企业声明函</w:t>
      </w:r>
      <w:r>
        <w:rPr>
          <w:rFonts w:hint="eastAsia" w:ascii="宋体" w:hAnsi="宋体" w:eastAsia="宋体" w:cs="宋体"/>
          <w:color w:val="auto"/>
          <w:sz w:val="32"/>
          <w:highlight w:val="none"/>
          <w:lang w:val="en-US" w:eastAsia="zh-CN"/>
        </w:rPr>
        <w:t>（工程、服务）</w:t>
      </w:r>
    </w:p>
    <w:p>
      <w:pPr>
        <w:keepNext w:val="0"/>
        <w:keepLines w:val="0"/>
        <w:pageBreakBefore w:val="0"/>
        <w:widowControl/>
        <w:tabs>
          <w:tab w:val="left" w:pos="440"/>
        </w:tabs>
        <w:kinsoku/>
        <w:wordWrap/>
        <w:overflowPunct/>
        <w:topLinePunct w:val="0"/>
        <w:autoSpaceDE/>
        <w:autoSpaceDN/>
        <w:bidi w:val="0"/>
        <w:adjustRightInd/>
        <w:snapToGrid/>
        <w:spacing w:before="100" w:beforeAutospacing="1" w:after="100" w:afterAutospacing="1" w:line="360" w:lineRule="auto"/>
        <w:ind w:left="0" w:leftChars="0" w:right="-334" w:rightChars="-139"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szCs w:val="24"/>
          <w:highlight w:val="none"/>
        </w:rPr>
        <w:t>办法》（财库[20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号）的规定，本公司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lang w:val="en-US" w:eastAsia="zh-CN"/>
        </w:rPr>
        <w:t>参加</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rPr>
        <w:t>_的____</w:t>
      </w:r>
      <w:r>
        <w:rPr>
          <w:rFonts w:hint="eastAsia" w:ascii="宋体" w:hAnsi="宋体" w:eastAsia="宋体" w:cs="宋体"/>
          <w:color w:val="auto"/>
          <w:sz w:val="24"/>
          <w:szCs w:val="24"/>
          <w:highlight w:val="none"/>
          <w:u w:val="single"/>
        </w:rPr>
        <w:t>__</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en-US" w:eastAsia="zh-CN"/>
        </w:rPr>
        <w:t>采购活动，工程的施工单位全部为符合政策要求的中小企业</w:t>
      </w:r>
      <w:r>
        <w:rPr>
          <w:rFonts w:hint="eastAsia" w:ascii="宋体" w:hAnsi="宋体" w:eastAsia="宋体" w:cs="宋体"/>
          <w:color w:val="auto"/>
          <w:sz w:val="24"/>
          <w:szCs w:val="24"/>
          <w:highlight w:val="none"/>
        </w:rPr>
        <w:t>（或者：服务全部由符合政策要求的中小企业承接</w:t>
      </w:r>
      <w:r>
        <w:rPr>
          <w:rFonts w:hint="eastAsia" w:ascii="宋体" w:hAnsi="宋体" w:eastAsia="宋体" w:cs="宋体"/>
          <w:color w:val="auto"/>
          <w:sz w:val="24"/>
          <w:szCs w:val="24"/>
          <w:highlight w:val="none"/>
          <w:lang w:val="en-US" w:eastAsia="zh-CN"/>
        </w:rPr>
        <w:t>）。相关企业（含联合体中的中小企业、签订分包意向协议的中小企业）的具体情况如下：</w:t>
      </w:r>
    </w:p>
    <w:p>
      <w:pPr>
        <w:keepNext w:val="0"/>
        <w:keepLines w:val="0"/>
        <w:pageBreakBefore w:val="0"/>
        <w:tabs>
          <w:tab w:val="left" w:pos="440"/>
        </w:tabs>
        <w:kinsoku/>
        <w:wordWrap/>
        <w:overflowPunct/>
        <w:topLinePunct w:val="0"/>
        <w:autoSpaceDE/>
        <w:autoSpaceDN/>
        <w:bidi w:val="0"/>
        <w:adjustRightInd/>
        <w:snapToGrid/>
        <w:spacing w:line="360" w:lineRule="auto"/>
        <w:ind w:left="0" w:leftChars="0" w:right="-334" w:rightChars="-139"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1.______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承建（承接）企业为</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，从业人员______人，营业收入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______万元，资产总额</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rPr>
        <w:t>______（中型</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、小型</w:t>
      </w: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、微型企业）。</w:t>
      </w:r>
    </w:p>
    <w:p>
      <w:pPr>
        <w:keepNext w:val="0"/>
        <w:keepLines w:val="0"/>
        <w:pageBreakBefore w:val="0"/>
        <w:tabs>
          <w:tab w:val="left" w:pos="440"/>
        </w:tabs>
        <w:kinsoku/>
        <w:wordWrap/>
        <w:overflowPunct/>
        <w:topLinePunct w:val="0"/>
        <w:autoSpaceDE/>
        <w:autoSpaceDN/>
        <w:bidi w:val="0"/>
        <w:adjustRightInd/>
        <w:snapToGrid/>
        <w:spacing w:line="360" w:lineRule="auto"/>
        <w:ind w:left="0" w:leftChars="0" w:right="-334" w:rightChars="-139"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.__</w:t>
      </w:r>
      <w:r>
        <w:rPr>
          <w:rFonts w:hint="eastAsia" w:ascii="宋体" w:hAnsi="宋体" w:eastAsia="宋体" w:cs="宋体"/>
          <w:color w:val="auto"/>
          <w:sz w:val="24"/>
          <w:szCs w:val="24"/>
          <w:highlight w:val="none"/>
          <w:u w:val="single"/>
        </w:rPr>
        <w:t>____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标的名称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属于</w:t>
      </w:r>
      <w:r>
        <w:rPr>
          <w:rFonts w:hint="eastAsia" w:ascii="宋体" w:hAnsi="宋体" w:eastAsia="宋体" w:cs="宋体"/>
          <w:color w:val="auto"/>
          <w:sz w:val="24"/>
          <w:szCs w:val="24"/>
          <w:highlight w:val="none"/>
        </w:rPr>
        <w:t>______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采购文件中明确的所属行业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承建（承接）企业为</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企业名称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，从业人员______人，营业收入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______万元，资产总额</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______万元，</w:t>
      </w:r>
      <w:r>
        <w:rPr>
          <w:rFonts w:hint="eastAsia" w:ascii="宋体" w:hAnsi="宋体" w:eastAsia="宋体" w:cs="宋体"/>
          <w:color w:val="auto"/>
          <w:sz w:val="24"/>
          <w:szCs w:val="24"/>
          <w:highlight w:val="none"/>
          <w:lang w:val="en-US" w:eastAsia="zh-CN"/>
        </w:rPr>
        <w:t>属于</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w:t>
      </w:r>
      <w:r>
        <w:rPr>
          <w:rFonts w:hint="eastAsia" w:ascii="宋体" w:hAnsi="宋体" w:eastAsia="宋体" w:cs="宋体"/>
          <w:color w:val="auto"/>
          <w:sz w:val="24"/>
          <w:szCs w:val="24"/>
          <w:highlight w:val="none"/>
          <w:u w:val="single"/>
          <w:lang w:val="en-US" w:eastAsia="zh-CN"/>
        </w:rPr>
        <w:t>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val="en-US" w:eastAsia="zh-CN"/>
        </w:rPr>
        <w:t>企业</w:t>
      </w:r>
      <w:r>
        <w:rPr>
          <w:rFonts w:hint="eastAsia" w:ascii="宋体" w:hAnsi="宋体" w:eastAsia="宋体" w:cs="宋体"/>
          <w:color w:val="auto"/>
          <w:sz w:val="24"/>
          <w:szCs w:val="24"/>
          <w:highlight w:val="none"/>
          <w:u w:val="single"/>
        </w:rPr>
        <w:t>、微型企业）</w:t>
      </w:r>
      <w:r>
        <w:rPr>
          <w:rFonts w:hint="eastAsia" w:ascii="宋体" w:hAnsi="宋体" w:eastAsia="宋体" w:cs="宋体"/>
          <w:color w:val="auto"/>
          <w:sz w:val="24"/>
          <w:szCs w:val="24"/>
          <w:highlight w:val="none"/>
        </w:rPr>
        <w:t>。</w:t>
      </w:r>
    </w:p>
    <w:p>
      <w:pPr>
        <w:pStyle w:val="42"/>
        <w:tabs>
          <w:tab w:val="left" w:pos="440"/>
        </w:tabs>
        <w:spacing w:line="360" w:lineRule="auto"/>
        <w:ind w:left="955" w:leftChars="398" w:right="-334" w:rightChars="-139"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pPr>
        <w:tabs>
          <w:tab w:val="left" w:pos="440"/>
        </w:tabs>
        <w:spacing w:line="360" w:lineRule="auto"/>
        <w:ind w:left="0" w:leftChars="0" w:right="-334" w:rightChars="-139"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以上企业，不属于大企业的分支机构，不存在控股股东为大企业的情形，也不存在与大企业的负责人为同一人的情形。</w:t>
      </w:r>
    </w:p>
    <w:p>
      <w:pPr>
        <w:tabs>
          <w:tab w:val="left" w:pos="440"/>
        </w:tabs>
        <w:spacing w:line="360" w:lineRule="auto"/>
        <w:ind w:right="-334" w:rightChars="-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的真实性负责。如有虚假，将依法承担相应责任。</w:t>
      </w:r>
    </w:p>
    <w:p>
      <w:pPr>
        <w:tabs>
          <w:tab w:val="left" w:pos="440"/>
        </w:tabs>
        <w:adjustRightInd w:val="0"/>
        <w:spacing w:line="360" w:lineRule="auto"/>
        <w:ind w:left="955" w:leftChars="398" w:right="-334" w:rightChars="-139" w:firstLine="0" w:firstLineChars="0"/>
        <w:jc w:val="left"/>
        <w:rPr>
          <w:rFonts w:hint="eastAsia" w:ascii="宋体" w:hAnsi="宋体" w:eastAsia="宋体" w:cs="宋体"/>
          <w:color w:val="auto"/>
          <w:sz w:val="24"/>
          <w:szCs w:val="24"/>
          <w:highlight w:val="none"/>
        </w:rPr>
      </w:pPr>
    </w:p>
    <w:p>
      <w:pPr>
        <w:tabs>
          <w:tab w:val="left" w:pos="440"/>
        </w:tabs>
        <w:adjustRightInd w:val="0"/>
        <w:spacing w:line="360" w:lineRule="auto"/>
        <w:ind w:left="955" w:leftChars="398" w:right="-334" w:rightChars="-13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企业</w:t>
      </w:r>
      <w:r>
        <w:rPr>
          <w:rFonts w:hint="eastAsia" w:ascii="宋体" w:hAnsi="宋体" w:eastAsia="宋体" w:cs="宋体"/>
          <w:color w:val="auto"/>
          <w:sz w:val="24"/>
          <w:szCs w:val="24"/>
          <w:highlight w:val="none"/>
        </w:rPr>
        <w:t>名称（盖章）：</w:t>
      </w:r>
    </w:p>
    <w:p>
      <w:pPr>
        <w:tabs>
          <w:tab w:val="left" w:pos="440"/>
        </w:tabs>
        <w:adjustRightInd w:val="0"/>
        <w:spacing w:line="360" w:lineRule="auto"/>
        <w:ind w:left="955" w:leftChars="398" w:right="-334" w:rightChars="-139" w:firstLine="2160" w:firstLineChars="9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w:t>
      </w:r>
    </w:p>
    <w:p>
      <w:pPr>
        <w:pStyle w:val="42"/>
        <w:keepNext w:val="0"/>
        <w:keepLines w:val="0"/>
        <w:pageBreakBefore w:val="0"/>
        <w:widowControl w:val="0"/>
        <w:tabs>
          <w:tab w:val="left" w:pos="440"/>
        </w:tabs>
        <w:kinsoku/>
        <w:wordWrap/>
        <w:overflowPunct/>
        <w:topLinePunct w:val="0"/>
        <w:bidi w:val="0"/>
        <w:snapToGrid/>
        <w:spacing w:line="360" w:lineRule="auto"/>
        <w:ind w:left="955" w:leftChars="398" w:right="-334" w:rightChars="-139" w:firstLine="0" w:firstLineChars="0"/>
        <w:textAlignment w:val="auto"/>
        <w:rPr>
          <w:rFonts w:hint="eastAsia" w:ascii="宋体" w:hAnsi="宋体" w:eastAsia="宋体" w:cs="宋体"/>
          <w:color w:val="auto"/>
          <w:kern w:val="0"/>
          <w:sz w:val="21"/>
          <w:szCs w:val="20"/>
          <w:highlight w:val="none"/>
        </w:rPr>
      </w:pPr>
    </w:p>
    <w:p>
      <w:pPr>
        <w:pStyle w:val="42"/>
        <w:keepNext w:val="0"/>
        <w:keepLines w:val="0"/>
        <w:pageBreakBefore w:val="0"/>
        <w:widowControl w:val="0"/>
        <w:tabs>
          <w:tab w:val="left" w:pos="440"/>
        </w:tabs>
        <w:kinsoku/>
        <w:wordWrap/>
        <w:overflowPunct/>
        <w:topLinePunct w:val="0"/>
        <w:bidi w:val="0"/>
        <w:snapToGrid/>
        <w:spacing w:line="360" w:lineRule="auto"/>
        <w:ind w:left="955" w:leftChars="398" w:right="-334" w:rightChars="-139" w:firstLine="0" w:firstLineChars="0"/>
        <w:textAlignment w:val="auto"/>
        <w:rPr>
          <w:rFonts w:hint="eastAsia" w:ascii="宋体" w:hAnsi="宋体" w:eastAsia="宋体" w:cs="宋体"/>
          <w:color w:val="auto"/>
          <w:kern w:val="0"/>
          <w:sz w:val="21"/>
          <w:szCs w:val="20"/>
          <w:highlight w:val="none"/>
          <w:lang w:val="zh-CN" w:eastAsia="zh-CN" w:bidi="ar-SA"/>
        </w:rPr>
      </w:pPr>
      <w:r>
        <w:rPr>
          <w:rFonts w:hint="eastAsia" w:ascii="宋体" w:hAnsi="宋体" w:eastAsia="宋体" w:cs="宋体"/>
          <w:color w:val="auto"/>
          <w:kern w:val="0"/>
          <w:sz w:val="21"/>
          <w:szCs w:val="20"/>
          <w:highlight w:val="none"/>
        </w:rPr>
        <w:t>注：</w:t>
      </w:r>
      <w:r>
        <w:rPr>
          <w:rFonts w:hint="eastAsia" w:ascii="宋体" w:hAnsi="宋体" w:eastAsia="宋体" w:cs="宋体"/>
          <w:color w:val="auto"/>
          <w:kern w:val="0"/>
          <w:sz w:val="21"/>
          <w:szCs w:val="20"/>
          <w:highlight w:val="none"/>
          <w:lang w:val="en-US" w:eastAsia="zh-CN"/>
        </w:rPr>
        <w:t>1.</w:t>
      </w:r>
      <w:r>
        <w:rPr>
          <w:rFonts w:hint="eastAsia" w:ascii="宋体" w:hAnsi="宋体" w:eastAsia="宋体" w:cs="宋体"/>
          <w:color w:val="auto"/>
          <w:kern w:val="0"/>
          <w:sz w:val="21"/>
          <w:szCs w:val="20"/>
          <w:highlight w:val="none"/>
          <w:lang w:val="zh-CN" w:eastAsia="zh-CN" w:bidi="ar-SA"/>
        </w:rPr>
        <w:t>从业人员、营业收入、资产总额填报上一年度数据，无上一年度数据的新成立企业可不填报。</w:t>
      </w:r>
    </w:p>
    <w:p>
      <w:pPr>
        <w:rPr>
          <w:rFonts w:hint="eastAsia" w:ascii="宋体" w:hAnsi="宋体" w:eastAsia="宋体" w:cs="宋体"/>
          <w:color w:val="auto"/>
          <w:kern w:val="0"/>
          <w:sz w:val="21"/>
          <w:szCs w:val="20"/>
          <w:highlight w:val="none"/>
          <w:lang w:val="zh-CN" w:eastAsia="zh-CN" w:bidi="ar-SA"/>
        </w:rPr>
      </w:pPr>
    </w:p>
    <w:p>
      <w:pPr>
        <w:pStyle w:val="2"/>
        <w:rPr>
          <w:rFonts w:hint="eastAsia" w:ascii="宋体" w:hAnsi="宋体" w:eastAsia="宋体" w:cs="宋体"/>
          <w:color w:val="auto"/>
          <w:kern w:val="0"/>
          <w:sz w:val="21"/>
          <w:szCs w:val="20"/>
          <w:highlight w:val="none"/>
          <w:lang w:val="zh-CN" w:eastAsia="zh-CN" w:bidi="ar-SA"/>
        </w:rPr>
      </w:pPr>
    </w:p>
    <w:p>
      <w:pPr>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br w:type="page"/>
      </w:r>
    </w:p>
    <w:p>
      <w:pPr>
        <w:pStyle w:val="5"/>
        <w:spacing w:line="360" w:lineRule="auto"/>
        <w:ind w:right="-94" w:rightChars="-39" w:firstLine="1285" w:firstLineChars="400"/>
        <w:jc w:val="both"/>
        <w:rPr>
          <w:rFonts w:hint="eastAsia" w:ascii="宋体" w:hAnsi="宋体" w:eastAsia="宋体" w:cs="宋体"/>
          <w:color w:val="auto"/>
          <w:sz w:val="32"/>
          <w:highlight w:val="none"/>
          <w:lang w:val="en-US"/>
        </w:rPr>
      </w:pPr>
      <w:r>
        <w:rPr>
          <w:rFonts w:hint="eastAsia" w:ascii="宋体" w:hAnsi="宋体" w:eastAsia="宋体" w:cs="宋体"/>
          <w:color w:val="auto"/>
          <w:sz w:val="32"/>
          <w:highlight w:val="none"/>
          <w:lang w:val="en-US" w:eastAsia="zh-CN"/>
        </w:rPr>
        <w:t>六</w:t>
      </w:r>
      <w:r>
        <w:rPr>
          <w:rFonts w:hint="eastAsia" w:ascii="宋体" w:hAnsi="宋体" w:eastAsia="宋体" w:cs="宋体"/>
          <w:color w:val="auto"/>
          <w:sz w:val="32"/>
          <w:highlight w:val="none"/>
          <w:lang w:val="en-US"/>
        </w:rPr>
        <w:t>、监狱企业证明文件（如适用）</w:t>
      </w: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bCs/>
          <w:color w:val="auto"/>
          <w:highlight w:val="none"/>
        </w:rPr>
      </w:pPr>
      <w:r>
        <w:rPr>
          <w:rFonts w:hint="eastAsia" w:ascii="宋体" w:hAnsi="宋体" w:eastAsia="宋体" w:cs="宋体"/>
          <w:bCs/>
          <w:color w:val="auto"/>
          <w:highlight w:val="none"/>
        </w:rPr>
        <w:t>监狱企业参加政府采购活动时，应当提供由省级以上监狱管理局、戒毒管理局（含新疆生产建设兵团）出具的属于监狱企业的证明文件。</w:t>
      </w:r>
    </w:p>
    <w:p>
      <w:pPr>
        <w:spacing w:line="360" w:lineRule="auto"/>
        <w:ind w:right="-94" w:rightChars="-39" w:firstLine="480"/>
        <w:rPr>
          <w:rFonts w:hint="eastAsia" w:ascii="宋体" w:hAnsi="宋体" w:eastAsia="宋体" w:cs="宋体"/>
          <w:bCs/>
          <w:color w:val="auto"/>
          <w:highlight w:val="none"/>
        </w:rPr>
      </w:pPr>
    </w:p>
    <w:p>
      <w:pPr>
        <w:pStyle w:val="2"/>
        <w:ind w:right="-94" w:rightChars="-39" w:firstLine="640"/>
        <w:rPr>
          <w:rFonts w:hint="eastAsia" w:ascii="宋体" w:hAnsi="宋体" w:eastAsia="宋体" w:cs="宋体"/>
          <w:color w:val="auto"/>
          <w:highlight w:val="none"/>
        </w:rPr>
      </w:pPr>
    </w:p>
    <w:p>
      <w:pPr>
        <w:pStyle w:val="2"/>
        <w:ind w:right="-94" w:rightChars="-39" w:firstLine="640"/>
        <w:rPr>
          <w:rFonts w:hint="eastAsia" w:ascii="宋体" w:hAnsi="宋体" w:eastAsia="宋体" w:cs="宋体"/>
          <w:color w:val="auto"/>
          <w:highlight w:val="none"/>
        </w:rPr>
      </w:pPr>
    </w:p>
    <w:p>
      <w:pPr>
        <w:pStyle w:val="2"/>
        <w:ind w:right="-94" w:rightChars="-39" w:firstLine="480"/>
        <w:rPr>
          <w:rFonts w:hint="eastAsia" w:ascii="宋体" w:hAnsi="宋体" w:eastAsia="宋体" w:cs="宋体"/>
          <w:color w:val="auto"/>
          <w:kern w:val="0"/>
          <w:sz w:val="24"/>
          <w:szCs w:val="20"/>
          <w:highlight w:val="none"/>
        </w:rPr>
      </w:pPr>
    </w:p>
    <w:p>
      <w:pPr>
        <w:pStyle w:val="2"/>
        <w:ind w:right="-94" w:rightChars="-39"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注：1、在政府采购活动中，监狱企业视同小型、微型企业，享受评审中价格扣除等促进中小企业发展的政府采购政策。</w:t>
      </w:r>
    </w:p>
    <w:p>
      <w:pPr>
        <w:pStyle w:val="2"/>
        <w:ind w:right="-94" w:rightChars="-39"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2、供应商为非监狱企业可不提供此证明，不影响磋商文件的有效性。</w:t>
      </w: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rPr>
        <w:br w:type="page"/>
      </w:r>
      <w:r>
        <w:rPr>
          <w:rFonts w:hint="eastAsia" w:ascii="宋体" w:hAnsi="宋体" w:eastAsia="宋体" w:cs="宋体"/>
          <w:color w:val="auto"/>
          <w:sz w:val="32"/>
          <w:highlight w:val="none"/>
          <w:lang w:val="en-US" w:eastAsia="zh-CN"/>
        </w:rPr>
        <w:t>七</w:t>
      </w:r>
      <w:r>
        <w:rPr>
          <w:rFonts w:hint="eastAsia" w:ascii="宋体" w:hAnsi="宋体" w:eastAsia="宋体" w:cs="宋体"/>
          <w:color w:val="auto"/>
          <w:sz w:val="32"/>
          <w:highlight w:val="none"/>
          <w:lang w:val="en-US"/>
        </w:rPr>
        <w:t>、残疾人福利性单位声明函（如适用）</w:t>
      </w:r>
    </w:p>
    <w:p>
      <w:pPr>
        <w:spacing w:line="360" w:lineRule="auto"/>
        <w:ind w:right="-94" w:rightChars="-39" w:firstLine="626"/>
        <w:rPr>
          <w:rFonts w:hint="eastAsia" w:ascii="宋体" w:hAnsi="宋体" w:eastAsia="宋体" w:cs="宋体"/>
          <w:b/>
          <w:color w:val="auto"/>
          <w:spacing w:val="6"/>
          <w:sz w:val="30"/>
          <w:szCs w:val="30"/>
          <w:highlight w:val="none"/>
        </w:rPr>
      </w:pPr>
    </w:p>
    <w:p>
      <w:pPr>
        <w:spacing w:line="360" w:lineRule="auto"/>
        <w:ind w:right="-94" w:rightChars="-39"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我方郑重声明，根据《财政部 民政部 中国残疾人联合会关于促进残疾人就业政府采购政策的通知》（财库</w:t>
      </w:r>
      <w:r>
        <w:rPr>
          <w:rFonts w:hint="eastAsia" w:ascii="宋体" w:hAnsi="宋体" w:eastAsia="宋体" w:cs="宋体"/>
          <w:color w:val="auto"/>
          <w:highlight w:val="none"/>
        </w:rPr>
        <w:t>〔2017〕 141</w:t>
      </w:r>
      <w:r>
        <w:rPr>
          <w:rFonts w:hint="eastAsia" w:ascii="宋体" w:hAnsi="宋体" w:eastAsia="宋体" w:cs="宋体"/>
          <w:color w:val="auto"/>
          <w:spacing w:val="6"/>
          <w:highlight w:val="none"/>
        </w:rPr>
        <w:t>号）的规定，我方为符合条件的残疾人福利性单位，且我方参加</w:t>
      </w:r>
      <w:r>
        <w:rPr>
          <w:rFonts w:hint="eastAsia" w:ascii="宋体" w:hAnsi="宋体" w:eastAsia="宋体" w:cs="宋体"/>
          <w:color w:val="auto"/>
          <w:szCs w:val="24"/>
          <w:highlight w:val="none"/>
        </w:rPr>
        <w:t>_____</w:t>
      </w:r>
      <w:r>
        <w:rPr>
          <w:rFonts w:hint="eastAsia" w:ascii="宋体" w:hAnsi="宋体" w:eastAsia="宋体" w:cs="宋体"/>
          <w:color w:val="auto"/>
          <w:spacing w:val="6"/>
          <w:highlight w:val="none"/>
        </w:rPr>
        <w:t>单位的</w:t>
      </w:r>
      <w:r>
        <w:rPr>
          <w:rFonts w:hint="eastAsia" w:ascii="宋体" w:hAnsi="宋体" w:eastAsia="宋体" w:cs="宋体"/>
          <w:color w:val="auto"/>
          <w:szCs w:val="24"/>
          <w:highlight w:val="none"/>
        </w:rPr>
        <w:t>_____</w:t>
      </w:r>
      <w:r>
        <w:rPr>
          <w:rFonts w:hint="eastAsia" w:ascii="宋体" w:hAnsi="宋体" w:eastAsia="宋体" w:cs="宋体"/>
          <w:color w:val="auto"/>
          <w:spacing w:val="6"/>
          <w:highlight w:val="none"/>
        </w:rPr>
        <w:t>项目采购活动提供我方制造的货物（由我方承担工程/提供服务），或者提供其他残疾人福利性单位制造的货物（不包括使用非残疾人福利性单位注册商标的货物）。</w:t>
      </w:r>
    </w:p>
    <w:p>
      <w:pPr>
        <w:spacing w:line="360" w:lineRule="auto"/>
        <w:ind w:right="-94" w:rightChars="-39"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我方对上述声明的真实性负责。如有虚假，将依法承担相应责任。</w:t>
      </w:r>
    </w:p>
    <w:p>
      <w:pPr>
        <w:spacing w:line="360" w:lineRule="auto"/>
        <w:ind w:right="-94" w:rightChars="-39" w:firstLine="624"/>
        <w:rPr>
          <w:rFonts w:hint="eastAsia" w:ascii="宋体" w:hAnsi="宋体" w:eastAsia="宋体" w:cs="宋体"/>
          <w:color w:val="auto"/>
          <w:spacing w:val="6"/>
          <w:sz w:val="30"/>
          <w:szCs w:val="30"/>
          <w:highlight w:val="none"/>
        </w:rPr>
      </w:pPr>
    </w:p>
    <w:p>
      <w:pPr>
        <w:spacing w:line="360" w:lineRule="auto"/>
        <w:ind w:right="-94" w:rightChars="-39" w:firstLine="624"/>
        <w:rPr>
          <w:rFonts w:hint="eastAsia" w:ascii="宋体" w:hAnsi="宋体" w:eastAsia="宋体" w:cs="宋体"/>
          <w:color w:val="auto"/>
          <w:spacing w:val="6"/>
          <w:sz w:val="30"/>
          <w:szCs w:val="30"/>
          <w:highlight w:val="none"/>
        </w:rPr>
      </w:pPr>
    </w:p>
    <w:p>
      <w:pPr>
        <w:widowControl/>
        <w:spacing w:line="360" w:lineRule="auto"/>
        <w:ind w:right="-94" w:rightChars="-39" w:firstLine="624"/>
        <w:jc w:val="left"/>
        <w:rPr>
          <w:rFonts w:hint="eastAsia" w:ascii="宋体" w:hAnsi="宋体" w:eastAsia="宋体" w:cs="宋体"/>
          <w:color w:val="auto"/>
          <w:highlight w:val="none"/>
        </w:rPr>
      </w:pPr>
      <w:r>
        <w:rPr>
          <w:rFonts w:hint="eastAsia" w:ascii="宋体" w:hAnsi="宋体" w:eastAsia="宋体" w:cs="宋体"/>
          <w:color w:val="auto"/>
          <w:spacing w:val="6"/>
          <w:sz w:val="30"/>
          <w:szCs w:val="30"/>
          <w:highlight w:val="none"/>
        </w:rPr>
        <w:t xml:space="preserve">             </w:t>
      </w: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p>
    <w:p>
      <w:pPr>
        <w:widowControl/>
        <w:spacing w:line="360" w:lineRule="auto"/>
        <w:ind w:right="-94" w:rightChars="-39" w:firstLine="48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utoSpaceDE w:val="0"/>
        <w:autoSpaceDN w:val="0"/>
        <w:adjustRightInd w:val="0"/>
        <w:spacing w:line="360" w:lineRule="auto"/>
        <w:ind w:right="-94" w:rightChars="-39" w:firstLine="480"/>
        <w:rPr>
          <w:rFonts w:hint="eastAsia" w:ascii="宋体" w:hAnsi="宋体" w:eastAsia="宋体" w:cs="宋体"/>
          <w:color w:val="auto"/>
          <w:highlight w:val="none"/>
          <w:u w:val="singl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480"/>
        <w:rPr>
          <w:rFonts w:hint="eastAsia" w:ascii="宋体" w:hAnsi="宋体" w:eastAsia="宋体" w:cs="宋体"/>
          <w:bCs/>
          <w:color w:val="auto"/>
          <w:szCs w:val="30"/>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autoSpaceDE w:val="0"/>
        <w:autoSpaceDN w:val="0"/>
        <w:adjustRightInd w:val="0"/>
        <w:spacing w:line="360" w:lineRule="auto"/>
        <w:ind w:right="-94" w:rightChars="-39" w:firstLine="0" w:firstLineChars="0"/>
        <w:rPr>
          <w:rFonts w:hint="eastAsia" w:ascii="宋体" w:hAnsi="宋体" w:eastAsia="宋体" w:cs="宋体"/>
          <w:color w:val="auto"/>
          <w:highlight w:val="none"/>
        </w:rPr>
      </w:pPr>
    </w:p>
    <w:p>
      <w:pPr>
        <w:spacing w:line="360" w:lineRule="auto"/>
        <w:ind w:right="-94" w:rightChars="-39"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注：1、残疾人福利性单位视同小型、微型企业，享受预留份额、评审中价格扣除等促进中小企业发展的政府采购政策。残疾人福利性单位属于小型、微型企业的，不重复享受政策。</w:t>
      </w:r>
    </w:p>
    <w:p>
      <w:pPr>
        <w:spacing w:line="360" w:lineRule="auto"/>
        <w:ind w:right="-94" w:rightChars="-39"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2、供应商为非残疾人福利性单位的，可不提供此声明。</w:t>
      </w:r>
    </w:p>
    <w:p>
      <w:pPr>
        <w:rPr>
          <w:rFonts w:hint="eastAsia" w:ascii="宋体" w:hAnsi="宋体" w:eastAsia="宋体" w:cs="宋体"/>
          <w:color w:val="auto"/>
          <w:kern w:val="0"/>
          <w:sz w:val="21"/>
          <w:szCs w:val="20"/>
          <w:highlight w:val="none"/>
          <w:lang w:val="zh-CN" w:eastAsia="zh-CN" w:bidi="ar-SA"/>
        </w:rPr>
      </w:pPr>
    </w:p>
    <w:p>
      <w:pPr>
        <w:pStyle w:val="2"/>
        <w:rPr>
          <w:rFonts w:hint="eastAsia" w:ascii="宋体" w:hAnsi="宋体" w:eastAsia="宋体" w:cs="宋体"/>
          <w:color w:val="auto"/>
          <w:highlight w:val="none"/>
          <w:lang w:val="zh-CN" w:eastAsia="zh-CN"/>
        </w:rPr>
      </w:pPr>
    </w:p>
    <w:p>
      <w:pPr>
        <w:tabs>
          <w:tab w:val="left" w:pos="7665"/>
        </w:tabs>
        <w:spacing w:line="360" w:lineRule="auto"/>
        <w:ind w:right="-94" w:rightChars="-39" w:firstLine="48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7665"/>
        </w:tabs>
        <w:spacing w:line="360" w:lineRule="auto"/>
        <w:ind w:right="-94" w:rightChars="-39" w:firstLine="480"/>
        <w:rPr>
          <w:rFonts w:hint="eastAsia" w:ascii="宋体" w:hAnsi="宋体" w:eastAsia="宋体" w:cs="宋体"/>
          <w:color w:val="auto"/>
          <w:highlight w:val="none"/>
        </w:rPr>
      </w:pPr>
    </w:p>
    <w:p>
      <w:pPr>
        <w:tabs>
          <w:tab w:val="left" w:pos="7665"/>
        </w:tabs>
        <w:spacing w:line="360" w:lineRule="auto"/>
        <w:ind w:right="-94" w:rightChars="-39" w:firstLine="480"/>
        <w:rPr>
          <w:rFonts w:hint="eastAsia" w:ascii="宋体" w:hAnsi="宋体" w:eastAsia="宋体" w:cs="宋体"/>
          <w:color w:val="auto"/>
          <w:highlight w:val="none"/>
        </w:rPr>
      </w:pPr>
    </w:p>
    <w:p>
      <w:pPr>
        <w:tabs>
          <w:tab w:val="left" w:pos="7665"/>
        </w:tabs>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响应文件封面格式</w:t>
      </w:r>
    </w:p>
    <w:p>
      <w:pPr>
        <w:spacing w:line="360" w:lineRule="auto"/>
        <w:ind w:right="-94" w:rightChars="-39" w:firstLine="480"/>
        <w:rPr>
          <w:rFonts w:hint="eastAsia" w:ascii="宋体" w:hAnsi="宋体" w:eastAsia="宋体" w:cs="宋体"/>
          <w:bCs/>
          <w:color w:val="auto"/>
          <w:szCs w:val="21"/>
          <w:highlight w:val="none"/>
        </w:rPr>
      </w:pPr>
      <w:r>
        <w:rPr>
          <w:rFonts w:hint="eastAsia" w:ascii="宋体" w:hAnsi="宋体" w:eastAsia="宋体" w:cs="宋体"/>
          <w:color w:val="auto"/>
          <w:szCs w:val="22"/>
          <w:highlight w:val="none"/>
        </w:rPr>
        <mc:AlternateContent>
          <mc:Choice Requires="wps">
            <w:drawing>
              <wp:anchor distT="0" distB="0" distL="114300" distR="114300" simplePos="0" relativeHeight="251662336" behindDoc="0" locked="0" layoutInCell="1" allowOverlap="1">
                <wp:simplePos x="0" y="0"/>
                <wp:positionH relativeFrom="column">
                  <wp:posOffset>4055745</wp:posOffset>
                </wp:positionH>
                <wp:positionV relativeFrom="paragraph">
                  <wp:posOffset>169545</wp:posOffset>
                </wp:positionV>
                <wp:extent cx="1137285" cy="393065"/>
                <wp:effectExtent l="4445" t="4445" r="20320" b="21590"/>
                <wp:wrapNone/>
                <wp:docPr id="18" name="矩形 18"/>
                <wp:cNvGraphicFramePr/>
                <a:graphic xmlns:a="http://schemas.openxmlformats.org/drawingml/2006/main">
                  <a:graphicData uri="http://schemas.microsoft.com/office/word/2010/wordprocessingShape">
                    <wps:wsp>
                      <wps:cNvSpPr/>
                      <wps:spPr>
                        <a:xfrm>
                          <a:off x="0" y="0"/>
                          <a:ext cx="1137285" cy="393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rFonts w:ascii="黑体" w:eastAsia="黑体"/>
                                <w:b/>
                                <w:sz w:val="28"/>
                                <w:szCs w:val="28"/>
                              </w:rPr>
                            </w:pPr>
                            <w:r>
                              <w:rPr>
                                <w:rFonts w:hint="eastAsia" w:ascii="黑体" w:eastAsia="黑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30.95pt;width:89.55pt;z-index:251662336;mso-width-relative:page;mso-height-relative:page;" fillcolor="#FFFFFF" filled="t" stroked="t" coordsize="21600,21600" o:gfxdata="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cXNW1wAAAAkBAAAPAAAAAAAA&#10;AAEAIAAAACIAAABkcnMvZG93bnJldi54bWxQSwECFAAUAAAACACHTuJACDHTbRMCAABTBAAADgAA&#10;AAAAAAABACAAAAAmAQAAZHJzL2Uyb0RvYy54bWxQSwUGAAAAAAYABgBZAQAAqwUAAAAA&#10;">
                <v:fill on="t" focussize="0,0"/>
                <v:stroke color="#000000" joinstyle="miter"/>
                <v:imagedata o:title=""/>
                <o:lock v:ext="edit" aspectratio="f"/>
                <v:textbox style="mso-fit-shape-to-text:t;">
                  <w:txbxContent>
                    <w:p>
                      <w:pPr>
                        <w:ind w:firstLine="0" w:firstLineChars="0"/>
                        <w:rPr>
                          <w:rFonts w:ascii="黑体" w:eastAsia="黑体"/>
                          <w:b/>
                          <w:sz w:val="28"/>
                          <w:szCs w:val="28"/>
                        </w:rPr>
                      </w:pPr>
                      <w:r>
                        <w:rPr>
                          <w:rFonts w:hint="eastAsia" w:ascii="黑体" w:eastAsia="黑体"/>
                          <w:b/>
                          <w:sz w:val="28"/>
                          <w:szCs w:val="28"/>
                        </w:rPr>
                        <w:t>正本或副本</w:t>
                      </w:r>
                    </w:p>
                  </w:txbxContent>
                </v:textbox>
              </v:rect>
            </w:pict>
          </mc:Fallback>
        </mc:AlternateContent>
      </w: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rPr>
          <w:rFonts w:hint="eastAsia" w:ascii="宋体" w:hAnsi="宋体" w:eastAsia="宋体" w:cs="宋体"/>
          <w:bCs/>
          <w:color w:val="auto"/>
          <w:szCs w:val="21"/>
          <w:highlight w:val="none"/>
        </w:rPr>
      </w:pPr>
    </w:p>
    <w:p>
      <w:pPr>
        <w:spacing w:line="360" w:lineRule="auto"/>
        <w:ind w:right="-94" w:rightChars="-39" w:firstLine="480"/>
        <w:jc w:val="right"/>
        <w:rPr>
          <w:rFonts w:hint="eastAsia" w:ascii="宋体" w:hAnsi="宋体" w:eastAsia="宋体" w:cs="宋体"/>
          <w:color w:val="auto"/>
          <w:highlight w:val="none"/>
        </w:rPr>
      </w:pPr>
    </w:p>
    <w:p>
      <w:pPr>
        <w:pStyle w:val="4"/>
        <w:spacing w:line="360" w:lineRule="auto"/>
        <w:ind w:right="-94" w:rightChars="-39"/>
        <w:rPr>
          <w:rFonts w:hint="eastAsia" w:ascii="宋体" w:hAnsi="宋体" w:eastAsia="宋体" w:cs="宋体"/>
          <w:color w:val="auto"/>
          <w:highlight w:val="none"/>
        </w:rPr>
      </w:pPr>
      <w:bookmarkStart w:id="777" w:name="_Toc20053"/>
      <w:bookmarkStart w:id="778" w:name="_Toc14926"/>
      <w:bookmarkStart w:id="779" w:name="_Toc10186"/>
      <w:bookmarkStart w:id="780" w:name="_Toc517423528"/>
      <w:bookmarkStart w:id="781" w:name="_Toc12449"/>
      <w:bookmarkStart w:id="782" w:name="_Toc24579"/>
      <w:bookmarkStart w:id="783" w:name="_Toc517422500"/>
      <w:bookmarkStart w:id="784" w:name="_Toc4147"/>
      <w:bookmarkStart w:id="785" w:name="_Toc5812"/>
      <w:r>
        <w:rPr>
          <w:rFonts w:hint="eastAsia" w:ascii="宋体" w:hAnsi="宋体" w:eastAsia="宋体" w:cs="宋体"/>
          <w:color w:val="auto"/>
          <w:highlight w:val="none"/>
        </w:rPr>
        <w:t>其他响应文件</w:t>
      </w:r>
      <w:bookmarkEnd w:id="777"/>
      <w:bookmarkEnd w:id="778"/>
      <w:bookmarkEnd w:id="779"/>
      <w:bookmarkEnd w:id="780"/>
      <w:bookmarkEnd w:id="781"/>
      <w:bookmarkEnd w:id="782"/>
      <w:bookmarkEnd w:id="783"/>
      <w:bookmarkEnd w:id="784"/>
      <w:bookmarkEnd w:id="785"/>
    </w:p>
    <w:p>
      <w:pPr>
        <w:spacing w:line="360" w:lineRule="auto"/>
        <w:ind w:right="-94" w:rightChars="-39" w:firstLine="2712"/>
        <w:jc w:val="center"/>
        <w:rPr>
          <w:rFonts w:hint="eastAsia" w:ascii="宋体" w:hAnsi="宋体" w:eastAsia="宋体" w:cs="宋体"/>
          <w:color w:val="auto"/>
          <w:spacing w:val="78"/>
          <w:sz w:val="120"/>
          <w:szCs w:val="120"/>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68" w:firstLineChars="675"/>
        <w:rPr>
          <w:rFonts w:hint="default" w:ascii="宋体" w:hAnsi="宋体" w:eastAsia="宋体" w:cs="宋体"/>
          <w:b/>
          <w:bCs/>
          <w:color w:val="auto"/>
          <w:sz w:val="32"/>
          <w:szCs w:val="32"/>
          <w:highlight w:val="none"/>
          <w:u w:val="single"/>
          <w:lang w:val="en-US" w:eastAsia="zh-CN"/>
        </w:rPr>
      </w:pPr>
      <w:r>
        <w:rPr>
          <w:rFonts w:hint="eastAsia" w:cs="宋体"/>
          <w:b/>
          <w:bCs/>
          <w:color w:val="auto"/>
          <w:sz w:val="32"/>
          <w:szCs w:val="32"/>
          <w:highlight w:val="none"/>
          <w:lang w:eastAsia="zh-CN"/>
        </w:rPr>
        <w:t>包号：</w:t>
      </w:r>
      <w:r>
        <w:rPr>
          <w:rFonts w:hint="eastAsia" w:cs="宋体"/>
          <w:b/>
          <w:bCs/>
          <w:color w:val="auto"/>
          <w:sz w:val="32"/>
          <w:szCs w:val="32"/>
          <w:highlight w:val="none"/>
          <w:u w:val="single"/>
          <w:lang w:val="en-US" w:eastAsia="zh-CN"/>
        </w:rPr>
        <w:t xml:space="preserve">                        </w:t>
      </w: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rPr>
      </w:pPr>
    </w:p>
    <w:p>
      <w:pPr>
        <w:spacing w:line="360" w:lineRule="auto"/>
        <w:ind w:right="-94" w:rightChars="-39" w:firstLine="2168" w:firstLineChars="675"/>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p>
    <w:p>
      <w:pPr>
        <w:spacing w:line="360" w:lineRule="auto"/>
        <w:ind w:right="-94" w:rightChars="-39" w:firstLine="2188" w:firstLineChars="68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pStyle w:val="5"/>
        <w:spacing w:line="360" w:lineRule="auto"/>
        <w:ind w:right="-94" w:rightChars="-39" w:firstLine="0" w:firstLineChars="0"/>
        <w:jc w:val="center"/>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br w:type="page"/>
      </w:r>
      <w:bookmarkStart w:id="786" w:name="_Toc517422501"/>
      <w:bookmarkStart w:id="787" w:name="_Toc12103"/>
      <w:bookmarkStart w:id="788" w:name="_Toc25507"/>
      <w:bookmarkStart w:id="789" w:name="_Toc28925"/>
      <w:bookmarkStart w:id="790" w:name="_Toc27974"/>
      <w:bookmarkStart w:id="791" w:name="_Toc29853"/>
      <w:bookmarkStart w:id="792" w:name="_Toc25958"/>
      <w:bookmarkStart w:id="793" w:name="_Toc29370"/>
      <w:bookmarkStart w:id="794" w:name="_Toc517423529"/>
      <w:r>
        <w:rPr>
          <w:rFonts w:hint="eastAsia" w:ascii="宋体" w:hAnsi="宋体" w:eastAsia="宋体" w:cs="宋体"/>
          <w:color w:val="auto"/>
          <w:sz w:val="32"/>
          <w:highlight w:val="none"/>
        </w:rPr>
        <w:t>一、供应商基本情况表</w:t>
      </w:r>
      <w:bookmarkEnd w:id="786"/>
      <w:bookmarkEnd w:id="787"/>
      <w:bookmarkEnd w:id="788"/>
      <w:bookmarkEnd w:id="789"/>
      <w:bookmarkEnd w:id="790"/>
      <w:bookmarkEnd w:id="791"/>
      <w:bookmarkEnd w:id="792"/>
      <w:bookmarkEnd w:id="793"/>
      <w:bookmarkEnd w:id="794"/>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供应商名称</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注册地址</w:t>
            </w:r>
          </w:p>
        </w:tc>
        <w:tc>
          <w:tcPr>
            <w:tcW w:w="4680" w:type="dxa"/>
            <w:gridSpan w:val="6"/>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邮政编码</w:t>
            </w:r>
          </w:p>
        </w:tc>
        <w:tc>
          <w:tcPr>
            <w:tcW w:w="162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w:t>
            </w:r>
          </w:p>
        </w:tc>
        <w:tc>
          <w:tcPr>
            <w:tcW w:w="108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p>
        </w:tc>
        <w:tc>
          <w:tcPr>
            <w:tcW w:w="3600" w:type="dxa"/>
            <w:gridSpan w:val="5"/>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62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08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传真</w:t>
            </w:r>
          </w:p>
        </w:tc>
        <w:tc>
          <w:tcPr>
            <w:tcW w:w="3600" w:type="dxa"/>
            <w:gridSpan w:val="5"/>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网址</w:t>
            </w:r>
          </w:p>
        </w:tc>
        <w:tc>
          <w:tcPr>
            <w:tcW w:w="162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组织结构</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w:t>
            </w:r>
          </w:p>
        </w:tc>
        <w:tc>
          <w:tcPr>
            <w:tcW w:w="126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技术负责人</w:t>
            </w:r>
          </w:p>
        </w:tc>
        <w:tc>
          <w:tcPr>
            <w:tcW w:w="1260" w:type="dxa"/>
            <w:gridSpan w:val="2"/>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技术职称</w:t>
            </w: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26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p>
        </w:tc>
        <w:tc>
          <w:tcPr>
            <w:tcW w:w="126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5040" w:type="dxa"/>
            <w:gridSpan w:val="8"/>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企业资质等级</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restart"/>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其中</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r>
              <w:rPr>
                <w:rFonts w:hint="eastAsia" w:ascii="宋体" w:hAnsi="宋体" w:eastAsia="宋体" w:cs="宋体"/>
                <w:color w:val="auto"/>
                <w:sz w:val="21"/>
                <w:szCs w:val="21"/>
                <w:highlight w:val="none"/>
              </w:rPr>
              <w:t>号</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高级职称人员</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注册资金</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中级职称人员</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初级职称人员</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账号</w:t>
            </w:r>
          </w:p>
        </w:tc>
        <w:tc>
          <w:tcPr>
            <w:tcW w:w="252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2"/>
            <w:vMerge w:val="continue"/>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技工</w:t>
            </w:r>
          </w:p>
        </w:tc>
        <w:tc>
          <w:tcPr>
            <w:tcW w:w="1680" w:type="dxa"/>
            <w:gridSpan w:val="3"/>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经营范围</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c>
          <w:tcPr>
            <w:tcW w:w="7560" w:type="dxa"/>
            <w:gridSpan w:val="11"/>
            <w:vAlign w:val="center"/>
          </w:tcPr>
          <w:p>
            <w:pPr>
              <w:autoSpaceDE w:val="0"/>
              <w:autoSpaceDN w:val="0"/>
              <w:adjustRightInd w:val="0"/>
              <w:spacing w:line="360" w:lineRule="auto"/>
              <w:ind w:right="-94" w:rightChars="-39" w:firstLine="0" w:firstLineChars="0"/>
              <w:jc w:val="center"/>
              <w:rPr>
                <w:rFonts w:hint="eastAsia" w:ascii="宋体" w:hAnsi="宋体" w:eastAsia="宋体" w:cs="宋体"/>
                <w:bCs/>
                <w:color w:val="auto"/>
                <w:sz w:val="21"/>
                <w:szCs w:val="21"/>
                <w:highlight w:val="none"/>
              </w:rPr>
            </w:pPr>
          </w:p>
        </w:tc>
      </w:tr>
    </w:tbl>
    <w:p>
      <w:pPr>
        <w:adjustRightInd w:val="0"/>
        <w:spacing w:line="360" w:lineRule="auto"/>
        <w:ind w:right="-94" w:rightChars="-39" w:firstLine="480"/>
        <w:jc w:val="left"/>
        <w:rPr>
          <w:rFonts w:hint="eastAsia" w:ascii="宋体" w:hAnsi="宋体" w:eastAsia="宋体" w:cs="宋体"/>
          <w:color w:val="auto"/>
          <w:highlight w:val="none"/>
        </w:rPr>
      </w:pPr>
    </w:p>
    <w:p>
      <w:pPr>
        <w:adjustRightInd w:val="0"/>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adjustRightInd w:val="0"/>
        <w:spacing w:line="360" w:lineRule="auto"/>
        <w:ind w:right="-94" w:rightChars="-39" w:firstLine="480"/>
        <w:jc w:val="left"/>
        <w:rPr>
          <w:rFonts w:hint="eastAsia" w:ascii="宋体" w:hAnsi="宋体" w:eastAsia="宋体" w:cs="宋体"/>
          <w:bCs/>
          <w:color w:val="auto"/>
          <w:highlight w:val="none"/>
        </w:rPr>
      </w:pPr>
      <w:r>
        <w:rPr>
          <w:rFonts w:hint="eastAsia" w:ascii="宋体" w:hAnsi="宋体" w:eastAsia="宋体" w:cs="宋体"/>
          <w:bCs/>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bCs/>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highlight w:val="none"/>
        </w:rPr>
        <w:br w:type="page"/>
      </w:r>
      <w:bookmarkStart w:id="795" w:name="_Toc517423530"/>
      <w:bookmarkStart w:id="796" w:name="_Toc18454"/>
      <w:bookmarkStart w:id="797" w:name="_Toc21051"/>
      <w:bookmarkStart w:id="798" w:name="_Toc30350"/>
      <w:bookmarkStart w:id="799" w:name="_Toc22871"/>
      <w:bookmarkStart w:id="800" w:name="_Toc8466"/>
      <w:bookmarkStart w:id="801" w:name="_Toc517422502"/>
      <w:bookmarkStart w:id="802" w:name="_Toc727"/>
      <w:bookmarkStart w:id="803" w:name="_Toc29936"/>
      <w:r>
        <w:rPr>
          <w:rFonts w:hint="eastAsia" w:ascii="宋体" w:hAnsi="宋体" w:eastAsia="宋体" w:cs="宋体"/>
          <w:color w:val="auto"/>
          <w:sz w:val="32"/>
          <w:highlight w:val="none"/>
        </w:rPr>
        <w:t>二、报价函</w:t>
      </w:r>
      <w:bookmarkEnd w:id="795"/>
      <w:bookmarkEnd w:id="796"/>
      <w:bookmarkEnd w:id="797"/>
      <w:bookmarkEnd w:id="798"/>
      <w:bookmarkEnd w:id="799"/>
      <w:bookmarkEnd w:id="800"/>
      <w:bookmarkEnd w:id="801"/>
      <w:bookmarkEnd w:id="802"/>
      <w:bookmarkEnd w:id="803"/>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spacing w:line="360" w:lineRule="auto"/>
        <w:ind w:right="-94" w:rightChars="-39" w:firstLine="480"/>
        <w:jc w:val="left"/>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1.我方全面研究了“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”项目磋商文件（项目编号：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cs="宋体"/>
          <w:color w:val="auto"/>
          <w:highlight w:val="none"/>
          <w:u w:val="single"/>
          <w:lang w:eastAsia="zh-CN"/>
        </w:rPr>
        <w:t>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），决定参加贵单位组织的本项目磋商采购。</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2.我方自愿按照磋商文件规定的各项要求向采购人提供所需服务，</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报价为人民币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3.一旦我方成交，我方将严格履行采购合同规定的责任和义务。</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4.我方同意本磋商文件对我方可能存在的失信行为进行惩戒。</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5.我方为本项目提交的响应文件正本1份，副本2份。</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6.我方愿意提供贵单位可能另外要求的，与磋商报价有关的文件资料，并保证我方已提供和将要提供的文件资料是真实、准确的。</w:t>
      </w:r>
    </w:p>
    <w:p>
      <w:pPr>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7.本次磋商，我方递交的响应文件有效期为</w:t>
      </w:r>
      <w:r>
        <w:rPr>
          <w:rFonts w:hint="eastAsia" w:ascii="宋体" w:hAnsi="宋体" w:eastAsia="宋体" w:cs="宋体"/>
          <w:color w:val="auto"/>
          <w:szCs w:val="21"/>
          <w:highlight w:val="none"/>
          <w:lang w:val="zh-CN"/>
        </w:rPr>
        <w:t>递交响应文件截止之日起</w:t>
      </w:r>
      <w:r>
        <w:rPr>
          <w:rFonts w:hint="eastAsia" w:ascii="宋体" w:hAnsi="宋体" w:eastAsia="宋体" w:cs="宋体"/>
          <w:b/>
          <w:bCs/>
          <w:color w:val="auto"/>
          <w:szCs w:val="21"/>
          <w:highlight w:val="none"/>
        </w:rPr>
        <w:t>90</w:t>
      </w:r>
      <w:r>
        <w:rPr>
          <w:rFonts w:hint="eastAsia" w:ascii="宋体" w:hAnsi="宋体" w:eastAsia="宋体" w:cs="宋体"/>
          <w:color w:val="auto"/>
          <w:szCs w:val="21"/>
          <w:highlight w:val="none"/>
          <w:lang w:val="zh-CN"/>
        </w:rPr>
        <w:t>天。</w:t>
      </w:r>
    </w:p>
    <w:p>
      <w:pPr>
        <w:adjustRightInd w:val="0"/>
        <w:spacing w:line="360" w:lineRule="auto"/>
        <w:ind w:right="-94" w:rightChars="-39" w:firstLine="480"/>
        <w:jc w:val="left"/>
        <w:rPr>
          <w:rFonts w:hint="eastAsia" w:ascii="宋体" w:hAnsi="宋体" w:eastAsia="宋体" w:cs="宋体"/>
          <w:color w:val="auto"/>
          <w:highlight w:val="none"/>
        </w:rPr>
      </w:pPr>
    </w:p>
    <w:p>
      <w:pPr>
        <w:adjustRightInd w:val="0"/>
        <w:spacing w:line="360" w:lineRule="auto"/>
        <w:ind w:right="-94" w:rightChars="-39" w:firstLine="480"/>
        <w:jc w:val="left"/>
        <w:rPr>
          <w:rFonts w:hint="eastAsia" w:ascii="宋体" w:hAnsi="宋体" w:eastAsia="宋体" w:cs="宋体"/>
          <w:color w:val="auto"/>
          <w:highlight w:val="none"/>
        </w:rPr>
      </w:pPr>
    </w:p>
    <w:p>
      <w:pPr>
        <w:adjustRightInd w:val="0"/>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spacing w:line="360" w:lineRule="auto"/>
        <w:ind w:right="-94" w:rightChars="-39" w:firstLine="470" w:firstLineChars="196"/>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5"/>
        <w:spacing w:line="360" w:lineRule="auto"/>
        <w:ind w:right="-94" w:rightChars="-39" w:firstLine="0" w:firstLineChars="0"/>
        <w:jc w:val="center"/>
        <w:rPr>
          <w:rFonts w:hint="eastAsia" w:ascii="宋体" w:hAnsi="宋体" w:eastAsia="宋体" w:cs="宋体"/>
          <w:color w:val="auto"/>
          <w:highlight w:val="none"/>
        </w:rPr>
        <w:sectPr>
          <w:pgSz w:w="11906" w:h="16838"/>
          <w:pgMar w:top="1417" w:right="1800" w:bottom="1417" w:left="1800" w:header="567" w:footer="788" w:gutter="0"/>
          <w:pgNumType w:fmt="decimal"/>
          <w:cols w:space="0" w:num="1"/>
          <w:docGrid w:linePitch="326" w:charSpace="0"/>
        </w:sectPr>
      </w:pPr>
      <w:r>
        <w:rPr>
          <w:rFonts w:hint="eastAsia" w:ascii="宋体" w:hAnsi="宋体" w:eastAsia="宋体" w:cs="宋体"/>
          <w:color w:val="auto"/>
          <w:highlight w:val="none"/>
        </w:rPr>
        <w:br w:type="page"/>
      </w:r>
      <w:bookmarkStart w:id="804" w:name="_Toc16652"/>
      <w:bookmarkStart w:id="805" w:name="_Toc517423542"/>
      <w:bookmarkStart w:id="806" w:name="_Toc517422514"/>
    </w:p>
    <w:bookmarkEnd w:id="804"/>
    <w:bookmarkEnd w:id="805"/>
    <w:bookmarkEnd w:id="806"/>
    <w:p>
      <w:pPr>
        <w:numPr>
          <w:ilvl w:val="0"/>
          <w:numId w:val="6"/>
        </w:numPr>
        <w:snapToGrid w:val="0"/>
        <w:spacing w:before="0" w:beforeAutospacing="0" w:after="0" w:afterAutospacing="0" w:line="460" w:lineRule="exact"/>
        <w:ind w:firstLine="643" w:firstLineChars="200"/>
        <w:jc w:val="center"/>
        <w:textAlignment w:val="baseline"/>
        <w:rPr>
          <w:rFonts w:hint="eastAsia" w:ascii="宋体" w:hAnsi="宋体" w:eastAsia="宋体" w:cs="宋体"/>
          <w:b/>
          <w:i w:val="0"/>
          <w:caps w:val="0"/>
          <w:color w:val="auto"/>
          <w:spacing w:val="0"/>
          <w:w w:val="100"/>
          <w:sz w:val="32"/>
          <w:szCs w:val="32"/>
          <w:highlight w:val="none"/>
        </w:rPr>
      </w:pPr>
      <w:r>
        <w:rPr>
          <w:rFonts w:hint="eastAsia" w:ascii="宋体" w:hAnsi="宋体" w:eastAsia="宋体" w:cs="宋体"/>
          <w:b/>
          <w:i w:val="0"/>
          <w:caps w:val="0"/>
          <w:color w:val="auto"/>
          <w:spacing w:val="0"/>
          <w:w w:val="100"/>
          <w:sz w:val="32"/>
          <w:szCs w:val="32"/>
          <w:highlight w:val="none"/>
        </w:rPr>
        <w:t>报价明细表</w:t>
      </w:r>
    </w:p>
    <w:p>
      <w:pPr>
        <w:pStyle w:val="15"/>
        <w:snapToGrid w:val="0"/>
        <w:spacing w:before="0" w:beforeAutospacing="0" w:after="0" w:afterAutospacing="0" w:line="460" w:lineRule="exact"/>
        <w:ind w:firstLine="480" w:firstLineChars="200"/>
        <w:jc w:val="both"/>
        <w:textAlignment w:val="baseline"/>
        <w:rPr>
          <w:rFonts w:hint="eastAsia" w:ascii="宋体" w:hAnsi="宋体" w:eastAsia="宋体" w:cs="宋体"/>
          <w:b w:val="0"/>
          <w:i w:val="0"/>
          <w:caps w:val="0"/>
          <w:color w:val="auto"/>
          <w:spacing w:val="0"/>
          <w:w w:val="100"/>
          <w:sz w:val="24"/>
          <w:highlight w:val="none"/>
        </w:rPr>
      </w:pPr>
    </w:p>
    <w:p>
      <w:pPr>
        <w:rPr>
          <w:rFonts w:hint="eastAsia" w:ascii="宋体" w:hAnsi="宋体" w:eastAsia="宋体" w:cs="宋体"/>
          <w:b w:val="0"/>
          <w:i w:val="0"/>
          <w:caps w:val="0"/>
          <w:color w:val="auto"/>
          <w:spacing w:val="0"/>
          <w:w w:val="100"/>
          <w:sz w:val="24"/>
          <w:highlight w:val="none"/>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项目名称</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项目编号</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lang w:val="en-US" w:eastAsia="zh-CN"/>
              </w:rPr>
            </w:pPr>
            <w:r>
              <w:rPr>
                <w:rFonts w:hint="eastAsia" w:cs="宋体"/>
                <w:b w:val="0"/>
                <w:i w:val="0"/>
                <w:caps w:val="0"/>
                <w:color w:val="auto"/>
                <w:spacing w:val="0"/>
                <w:w w:val="10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96" w:type="dxa"/>
            <w:noWrap w:val="0"/>
            <w:vAlign w:val="center"/>
          </w:tcPr>
          <w:p>
            <w:pPr>
              <w:pStyle w:val="12"/>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lang w:eastAsia="zh-CN"/>
              </w:rPr>
            </w:pPr>
            <w:r>
              <w:rPr>
                <w:rFonts w:hint="eastAsia" w:cs="宋体"/>
                <w:b w:val="0"/>
                <w:i w:val="0"/>
                <w:caps w:val="0"/>
                <w:color w:val="auto"/>
                <w:spacing w:val="0"/>
                <w:w w:val="100"/>
                <w:sz w:val="28"/>
                <w:szCs w:val="28"/>
                <w:lang w:eastAsia="zh-CN"/>
              </w:rPr>
              <w:t>包号</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996" w:type="dxa"/>
            <w:noWrap w:val="0"/>
            <w:vAlign w:val="center"/>
          </w:tcPr>
          <w:p>
            <w:pPr>
              <w:pStyle w:val="12"/>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kern w:val="0"/>
                <w:sz w:val="28"/>
                <w:szCs w:val="28"/>
                <w:lang w:val="en-US" w:eastAsia="zh-CN" w:bidi="ar"/>
              </w:rPr>
            </w:pPr>
            <w:r>
              <w:rPr>
                <w:rFonts w:hint="eastAsia" w:ascii="宋体" w:hAnsi="宋体" w:eastAsia="宋体" w:cs="宋体"/>
                <w:b w:val="0"/>
                <w:i w:val="0"/>
                <w:caps w:val="0"/>
                <w:color w:val="auto"/>
                <w:spacing w:val="0"/>
                <w:w w:val="100"/>
                <w:kern w:val="0"/>
                <w:sz w:val="28"/>
                <w:szCs w:val="28"/>
                <w:lang w:val="en-US" w:eastAsia="zh-CN" w:bidi="ar"/>
              </w:rPr>
              <w:t>服务周期</w:t>
            </w:r>
          </w:p>
        </w:tc>
        <w:tc>
          <w:tcPr>
            <w:tcW w:w="6526" w:type="dxa"/>
            <w:noWrap w:val="0"/>
            <w:vAlign w:val="top"/>
          </w:tcPr>
          <w:p>
            <w:pPr>
              <w:pStyle w:val="12"/>
              <w:snapToGrid w:val="0"/>
              <w:spacing w:before="0" w:beforeAutospacing="0" w:after="0" w:afterAutospacing="0" w:line="460" w:lineRule="exact"/>
              <w:ind w:firstLine="560" w:firstLineChars="200"/>
              <w:jc w:val="both"/>
              <w:textAlignment w:val="baseline"/>
              <w:rPr>
                <w:rFonts w:hint="eastAsia" w:ascii="宋体" w:hAnsi="宋体" w:eastAsia="宋体" w:cs="宋体"/>
                <w:b w:val="0"/>
                <w:i w:val="0"/>
                <w:cap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sz w:val="28"/>
                <w:szCs w:val="28"/>
              </w:rPr>
            </w:pPr>
            <w:r>
              <w:rPr>
                <w:rFonts w:hint="eastAsia" w:ascii="宋体" w:hAnsi="宋体" w:eastAsia="宋体" w:cs="宋体"/>
                <w:b w:val="0"/>
                <w:i w:val="0"/>
                <w:caps w:val="0"/>
                <w:color w:val="auto"/>
                <w:spacing w:val="0"/>
                <w:w w:val="100"/>
                <w:kern w:val="0"/>
                <w:sz w:val="28"/>
                <w:szCs w:val="28"/>
                <w:lang w:val="en-US" w:eastAsia="zh-CN" w:bidi="ar"/>
              </w:rPr>
              <w:t>采购应答价</w:t>
            </w:r>
          </w:p>
          <w:p>
            <w:pPr>
              <w:pStyle w:val="12"/>
              <w:snapToGrid w:val="0"/>
              <w:spacing w:before="0" w:beforeAutospacing="0" w:after="0" w:afterAutospacing="0" w:line="460" w:lineRule="exact"/>
              <w:ind w:firstLine="560" w:firstLineChars="200"/>
              <w:jc w:val="center"/>
              <w:textAlignment w:val="baseline"/>
              <w:rPr>
                <w:rFonts w:hint="eastAsia" w:ascii="宋体" w:hAnsi="宋体" w:eastAsia="宋体" w:cs="宋体"/>
                <w:b w:val="0"/>
                <w:i w:val="0"/>
                <w:caps w:val="0"/>
                <w:color w:val="auto"/>
                <w:spacing w:val="0"/>
                <w:w w:val="100"/>
                <w:sz w:val="28"/>
                <w:szCs w:val="28"/>
              </w:rPr>
            </w:pPr>
          </w:p>
        </w:tc>
        <w:tc>
          <w:tcPr>
            <w:tcW w:w="6526" w:type="dxa"/>
            <w:noWrap w:val="0"/>
            <w:vAlign w:val="top"/>
          </w:tcPr>
          <w:p>
            <w:pPr>
              <w:keepLines w:val="0"/>
              <w:widowControl/>
              <w:suppressLineNumbers w:val="0"/>
              <w:snapToGrid w:val="0"/>
              <w:spacing w:before="0" w:beforeAutospacing="0" w:after="0" w:afterAutospacing="0" w:line="460" w:lineRule="exact"/>
              <w:ind w:left="0" w:leftChars="0" w:firstLine="0" w:firstLineChars="0"/>
              <w:jc w:val="left"/>
              <w:textAlignment w:val="baseline"/>
              <w:rPr>
                <w:rFonts w:hint="eastAsia" w:ascii="宋体" w:hAnsi="宋体" w:eastAsia="宋体" w:cs="宋体"/>
                <w:b w:val="0"/>
                <w:i w:val="0"/>
                <w:caps w:val="0"/>
                <w:color w:val="auto"/>
                <w:spacing w:val="0"/>
                <w:w w:val="1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noWrap w:val="0"/>
            <w:vAlign w:val="center"/>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kern w:val="0"/>
                <w:sz w:val="28"/>
                <w:szCs w:val="28"/>
                <w:lang w:val="en-US" w:eastAsia="zh-CN" w:bidi="ar"/>
              </w:rPr>
            </w:pPr>
            <w:r>
              <w:rPr>
                <w:rFonts w:hint="eastAsia" w:ascii="宋体" w:hAnsi="宋体" w:eastAsia="宋体" w:cs="宋体"/>
                <w:b w:val="0"/>
                <w:i w:val="0"/>
                <w:caps w:val="0"/>
                <w:color w:val="auto"/>
                <w:spacing w:val="0"/>
                <w:w w:val="100"/>
                <w:kern w:val="0"/>
                <w:sz w:val="28"/>
                <w:szCs w:val="28"/>
                <w:lang w:val="en-US" w:eastAsia="zh-CN" w:bidi="ar"/>
              </w:rPr>
              <w:t>其他</w:t>
            </w:r>
          </w:p>
        </w:tc>
        <w:tc>
          <w:tcPr>
            <w:tcW w:w="6526" w:type="dxa"/>
            <w:noWrap w:val="0"/>
            <w:vAlign w:val="top"/>
          </w:tcPr>
          <w:p>
            <w:pPr>
              <w:keepLines w:val="0"/>
              <w:widowControl/>
              <w:suppressLineNumbers w:val="0"/>
              <w:snapToGrid w:val="0"/>
              <w:spacing w:before="0" w:beforeAutospacing="0" w:after="0" w:afterAutospacing="0" w:line="460" w:lineRule="exact"/>
              <w:ind w:left="0" w:leftChars="0" w:firstLine="0" w:firstLineChars="0"/>
              <w:jc w:val="both"/>
              <w:textAlignment w:val="baseline"/>
              <w:rPr>
                <w:rFonts w:hint="eastAsia" w:ascii="宋体" w:hAnsi="宋体" w:eastAsia="宋体" w:cs="宋体"/>
                <w:b w:val="0"/>
                <w:i w:val="0"/>
                <w:caps w:val="0"/>
                <w:color w:val="auto"/>
                <w:spacing w:val="0"/>
                <w:w w:val="100"/>
                <w:kern w:val="0"/>
                <w:sz w:val="28"/>
                <w:szCs w:val="28"/>
                <w:lang w:val="en-US" w:eastAsia="zh-CN" w:bidi="ar"/>
              </w:rPr>
            </w:pPr>
          </w:p>
        </w:tc>
      </w:tr>
    </w:tbl>
    <w:p>
      <w:pPr>
        <w:pStyle w:val="12"/>
        <w:spacing w:line="400" w:lineRule="exact"/>
        <w:ind w:firstLine="480"/>
        <w:rPr>
          <w:rFonts w:hint="eastAsia" w:ascii="宋体" w:hAnsi="宋体" w:eastAsia="宋体" w:cs="宋体"/>
          <w:color w:val="auto"/>
          <w:sz w:val="24"/>
          <w:highlight w:val="none"/>
        </w:rPr>
      </w:pPr>
    </w:p>
    <w:p>
      <w:pPr>
        <w:autoSpaceDE w:val="0"/>
        <w:autoSpaceDN w:val="0"/>
        <w:adjustRightInd w:val="0"/>
        <w:spacing w:line="360" w:lineRule="auto"/>
        <w:ind w:left="0" w:leftChars="0" w:firstLine="240" w:firstLineChars="100"/>
        <w:jc w:val="left"/>
        <w:rPr>
          <w:rFonts w:hint="eastAsia" w:ascii="宋体" w:hAnsi="宋体" w:eastAsia="宋体" w:cs="宋体"/>
          <w:sz w:val="24"/>
        </w:rPr>
      </w:pPr>
      <w:r>
        <w:rPr>
          <w:rFonts w:hint="eastAsia" w:ascii="宋体" w:hAnsi="宋体" w:eastAsia="宋体" w:cs="宋体"/>
          <w:sz w:val="24"/>
          <w:lang w:eastAsia="zh-CN"/>
        </w:rPr>
        <w:t>注：</w:t>
      </w:r>
      <w:r>
        <w:rPr>
          <w:rFonts w:hint="eastAsia" w:ascii="宋体" w:hAnsi="宋体" w:eastAsia="宋体" w:cs="宋体"/>
          <w:sz w:val="24"/>
        </w:rPr>
        <w:t>供应商所报价格应包含设备的安装、调试、操作、维修、保养</w:t>
      </w:r>
      <w:r>
        <w:rPr>
          <w:rFonts w:hint="eastAsia" w:ascii="宋体" w:hAnsi="宋体" w:eastAsia="宋体" w:cs="宋体"/>
          <w:sz w:val="24"/>
          <w:lang w:eastAsia="zh-CN"/>
        </w:rPr>
        <w:t>、人工费、税金</w:t>
      </w:r>
      <w:r>
        <w:rPr>
          <w:rFonts w:hint="eastAsia" w:ascii="宋体" w:hAnsi="宋体" w:eastAsia="宋体" w:cs="宋体"/>
          <w:sz w:val="24"/>
        </w:rPr>
        <w:t>等全部价格，采购人将不再支付其他额外费用。</w:t>
      </w: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rPr>
          <w:rFonts w:hint="eastAsia" w:ascii="宋体" w:hAnsi="宋体" w:eastAsia="宋体" w:cs="宋体"/>
          <w:color w:val="auto"/>
          <w:highlight w:val="none"/>
          <w:lang w:eastAsia="zh-CN"/>
        </w:rPr>
        <w:sectPr>
          <w:pgSz w:w="11906" w:h="16838"/>
          <w:pgMar w:top="1417" w:right="1800" w:bottom="1417" w:left="1800" w:header="567" w:footer="788" w:gutter="0"/>
          <w:pgNumType w:fmt="decimal"/>
          <w:cols w:space="0" w:num="1"/>
          <w:docGrid w:linePitch="326" w:charSpace="0"/>
        </w:sectPr>
      </w:pP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sz w:val="32"/>
          <w:szCs w:val="28"/>
          <w:highlight w:val="none"/>
          <w:lang w:eastAsia="zh-CN"/>
        </w:rPr>
        <w:t>四</w:t>
      </w:r>
      <w:r>
        <w:rPr>
          <w:rFonts w:hint="eastAsia" w:ascii="宋体" w:hAnsi="宋体" w:eastAsia="宋体" w:cs="宋体"/>
          <w:color w:val="auto"/>
          <w:sz w:val="32"/>
          <w:szCs w:val="28"/>
          <w:highlight w:val="none"/>
        </w:rPr>
        <w:t>、</w:t>
      </w:r>
      <w:r>
        <w:rPr>
          <w:rFonts w:hint="eastAsia" w:ascii="宋体" w:hAnsi="宋体" w:eastAsia="宋体" w:cs="宋体"/>
          <w:color w:val="auto"/>
          <w:sz w:val="32"/>
          <w:highlight w:val="none"/>
          <w:lang w:val="en-US"/>
        </w:rPr>
        <w:t>服务要求应答表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spacing w:line="360" w:lineRule="auto"/>
        <w:ind w:right="-94" w:rightChars="-39" w:firstLine="480"/>
        <w:rPr>
          <w:rFonts w:hint="eastAsia" w:eastAsia="宋体"/>
          <w:lang w:eastAsia="zh-CN"/>
        </w:rPr>
      </w:pPr>
      <w:r>
        <w:rPr>
          <w:rFonts w:hint="eastAsia" w:ascii="宋体" w:hAnsi="宋体" w:eastAsia="宋体" w:cs="宋体"/>
          <w:color w:val="auto"/>
          <w:highlight w:val="none"/>
          <w:lang w:eastAsia="zh-CN"/>
        </w:rPr>
        <w:t>包号：</w:t>
      </w:r>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02"/>
        <w:gridCol w:w="254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50"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3002"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采购文件要求</w:t>
            </w:r>
          </w:p>
        </w:tc>
        <w:tc>
          <w:tcPr>
            <w:tcW w:w="2546"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响应文件响应</w:t>
            </w:r>
          </w:p>
        </w:tc>
        <w:tc>
          <w:tcPr>
            <w:tcW w:w="2546"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50" w:type="dxa"/>
          </w:tcPr>
          <w:p>
            <w:pPr>
              <w:spacing w:line="360" w:lineRule="auto"/>
              <w:ind w:right="-94" w:rightChars="-39" w:firstLine="420"/>
              <w:jc w:val="center"/>
              <w:rPr>
                <w:rFonts w:hint="eastAsia" w:ascii="宋体" w:hAnsi="宋体" w:eastAsia="宋体" w:cs="宋体"/>
                <w:color w:val="auto"/>
                <w:sz w:val="21"/>
                <w:highlight w:val="none"/>
              </w:rPr>
            </w:pPr>
          </w:p>
        </w:tc>
        <w:tc>
          <w:tcPr>
            <w:tcW w:w="3002"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c>
          <w:tcPr>
            <w:tcW w:w="2546" w:type="dxa"/>
          </w:tcPr>
          <w:p>
            <w:pPr>
              <w:spacing w:line="360" w:lineRule="auto"/>
              <w:ind w:right="-94" w:rightChars="-39" w:firstLine="420"/>
              <w:jc w:val="center"/>
              <w:rPr>
                <w:rFonts w:hint="eastAsia" w:ascii="宋体" w:hAnsi="宋体" w:eastAsia="宋体" w:cs="宋体"/>
                <w:color w:val="auto"/>
                <w:sz w:val="21"/>
                <w:highlight w:val="none"/>
              </w:rPr>
            </w:pPr>
          </w:p>
        </w:tc>
      </w:tr>
    </w:tbl>
    <w:p>
      <w:pPr>
        <w:spacing w:line="360" w:lineRule="auto"/>
        <w:ind w:right="-94" w:rightChars="-39" w:firstLine="482"/>
        <w:rPr>
          <w:rFonts w:hint="eastAsia" w:ascii="宋体" w:hAnsi="宋体" w:eastAsia="宋体" w:cs="宋体"/>
          <w:b/>
          <w:color w:val="auto"/>
          <w:highlight w:val="none"/>
        </w:rPr>
      </w:pP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注：1、本表只填写响应文件中与磋商文件有偏离（包括正偏离和负偏离）的内容，响应文件中技术服务条款响应与磋商文件要求完全一致的，可以不用在此表中列出。</w:t>
      </w:r>
    </w:p>
    <w:p>
      <w:pPr>
        <w:adjustRightInd w:val="0"/>
        <w:spacing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2、供应商不得虚假填写，否则一切责任由供应商承担</w:t>
      </w: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spacing w:line="360" w:lineRule="auto"/>
        <w:ind w:right="-94" w:rightChars="-39" w:firstLine="0" w:firstLineChars="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lang w:val="en-US" w:eastAsia="zh-CN"/>
        </w:rPr>
        <w:t>五</w:t>
      </w:r>
      <w:r>
        <w:rPr>
          <w:rFonts w:hint="eastAsia" w:ascii="宋体" w:hAnsi="宋体" w:eastAsia="宋体" w:cs="宋体"/>
          <w:color w:val="auto"/>
          <w:sz w:val="32"/>
          <w:highlight w:val="none"/>
          <w:lang w:val="en-US"/>
        </w:rPr>
        <w:t>、商务应答表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spacing w:line="360" w:lineRule="auto"/>
        <w:ind w:right="-94" w:rightChars="-39"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包号：</w:t>
      </w:r>
    </w:p>
    <w:tbl>
      <w:tblPr>
        <w:tblStyle w:val="3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853"/>
        <w:gridCol w:w="241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87"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序号</w:t>
            </w:r>
          </w:p>
        </w:tc>
        <w:tc>
          <w:tcPr>
            <w:tcW w:w="2853"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采购文件要求</w:t>
            </w:r>
          </w:p>
        </w:tc>
        <w:tc>
          <w:tcPr>
            <w:tcW w:w="2419"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响应文件响应</w:t>
            </w:r>
          </w:p>
        </w:tc>
        <w:tc>
          <w:tcPr>
            <w:tcW w:w="2419" w:type="dxa"/>
            <w:vAlign w:val="center"/>
          </w:tcPr>
          <w:p>
            <w:pPr>
              <w:autoSpaceDE w:val="0"/>
              <w:autoSpaceDN w:val="0"/>
              <w:adjustRightInd w:val="0"/>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87" w:type="dxa"/>
          </w:tcPr>
          <w:p>
            <w:pPr>
              <w:spacing w:line="360" w:lineRule="auto"/>
              <w:ind w:right="-94" w:rightChars="-39" w:firstLine="480"/>
              <w:jc w:val="center"/>
              <w:rPr>
                <w:rFonts w:hint="eastAsia" w:ascii="宋体" w:hAnsi="宋体" w:eastAsia="宋体" w:cs="宋体"/>
                <w:color w:val="auto"/>
                <w:highlight w:val="none"/>
              </w:rPr>
            </w:pPr>
          </w:p>
        </w:tc>
        <w:tc>
          <w:tcPr>
            <w:tcW w:w="2853"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c>
          <w:tcPr>
            <w:tcW w:w="2419" w:type="dxa"/>
          </w:tcPr>
          <w:p>
            <w:pPr>
              <w:spacing w:line="360" w:lineRule="auto"/>
              <w:ind w:right="-94" w:rightChars="-39" w:firstLine="480"/>
              <w:jc w:val="center"/>
              <w:rPr>
                <w:rFonts w:hint="eastAsia" w:ascii="宋体" w:hAnsi="宋体" w:eastAsia="宋体" w:cs="宋体"/>
                <w:color w:val="auto"/>
                <w:highlight w:val="none"/>
              </w:rPr>
            </w:pPr>
          </w:p>
        </w:tc>
      </w:tr>
    </w:tbl>
    <w:p>
      <w:pPr>
        <w:spacing w:line="360" w:lineRule="auto"/>
        <w:ind w:right="-94" w:rightChars="-39" w:firstLine="482"/>
        <w:rPr>
          <w:rFonts w:hint="eastAsia" w:ascii="宋体" w:hAnsi="宋体" w:eastAsia="宋体" w:cs="宋体"/>
          <w:b/>
          <w:color w:val="auto"/>
          <w:highlight w:val="none"/>
        </w:rPr>
      </w:pPr>
    </w:p>
    <w:p>
      <w:pPr>
        <w:pStyle w:val="2"/>
        <w:ind w:right="-94" w:rightChars="-39" w:firstLine="480"/>
        <w:rPr>
          <w:rFonts w:hint="eastAsia" w:ascii="宋体" w:hAnsi="宋体" w:eastAsia="宋体" w:cs="宋体"/>
          <w:color w:val="auto"/>
          <w:kern w:val="0"/>
          <w:sz w:val="24"/>
          <w:szCs w:val="22"/>
          <w:highlight w:val="none"/>
          <w:lang w:val="en-US"/>
        </w:rPr>
      </w:pPr>
      <w:r>
        <w:rPr>
          <w:rFonts w:hint="eastAsia" w:ascii="宋体" w:hAnsi="宋体" w:eastAsia="宋体" w:cs="宋体"/>
          <w:color w:val="auto"/>
          <w:kern w:val="0"/>
          <w:sz w:val="24"/>
          <w:szCs w:val="22"/>
          <w:highlight w:val="none"/>
          <w:lang w:val="en-US"/>
        </w:rPr>
        <w:t>注：1、本表只填写响应文件中与磋商文件有偏离（包括正偏离和负偏离）的内容，响应文件中商务条款响应与磋商文件要求完全一致的，可以不用在此表中列出。如有偏离条款，请将偏离条款逐条应答，未明确偏离的条款，均视为默认接受，供应商不得因为未作答而拒不接受。</w:t>
      </w:r>
    </w:p>
    <w:p>
      <w:pPr>
        <w:pStyle w:val="2"/>
        <w:ind w:right="-94" w:rightChars="-39" w:firstLine="480"/>
        <w:rPr>
          <w:rFonts w:hint="eastAsia" w:ascii="宋体" w:hAnsi="宋体" w:eastAsia="宋体" w:cs="宋体"/>
          <w:color w:val="auto"/>
          <w:kern w:val="0"/>
          <w:sz w:val="24"/>
          <w:szCs w:val="22"/>
          <w:highlight w:val="none"/>
          <w:lang w:val="en-US"/>
        </w:rPr>
      </w:pPr>
      <w:r>
        <w:rPr>
          <w:rFonts w:hint="eastAsia" w:ascii="宋体" w:hAnsi="宋体" w:eastAsia="宋体" w:cs="宋体"/>
          <w:color w:val="auto"/>
          <w:kern w:val="0"/>
          <w:sz w:val="24"/>
          <w:szCs w:val="22"/>
          <w:highlight w:val="none"/>
          <w:lang w:val="en-US"/>
        </w:rPr>
        <w:t>2、供应商不得虚假响应，否则一切责任由供应商承担。</w:t>
      </w:r>
    </w:p>
    <w:p>
      <w:pPr>
        <w:pStyle w:val="2"/>
        <w:ind w:right="-94" w:rightChars="-39" w:firstLine="420"/>
        <w:rPr>
          <w:rFonts w:hint="eastAsia" w:ascii="宋体" w:hAnsi="宋体" w:eastAsia="宋体" w:cs="宋体"/>
          <w:color w:val="auto"/>
          <w:kern w:val="0"/>
          <w:sz w:val="21"/>
          <w:szCs w:val="20"/>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pStyle w:val="19"/>
        <w:tabs>
          <w:tab w:val="left" w:pos="0"/>
        </w:tabs>
        <w:spacing w:line="360" w:lineRule="auto"/>
        <w:ind w:left="480" w:right="-94" w:rightChars="-39" w:firstLine="480"/>
        <w:jc w:val="center"/>
        <w:rPr>
          <w:rFonts w:hint="eastAsia" w:ascii="宋体" w:hAnsi="宋体" w:eastAsia="宋体" w:cs="宋体"/>
          <w:color w:val="auto"/>
          <w:highlight w:val="none"/>
        </w:rPr>
      </w:pPr>
    </w:p>
    <w:p>
      <w:pPr>
        <w:pStyle w:val="19"/>
        <w:tabs>
          <w:tab w:val="left" w:pos="0"/>
        </w:tabs>
        <w:spacing w:line="360" w:lineRule="auto"/>
        <w:ind w:left="480" w:right="-94" w:rightChars="-39" w:firstLine="480"/>
        <w:jc w:val="center"/>
        <w:rPr>
          <w:rFonts w:hint="eastAsia" w:ascii="宋体" w:hAnsi="宋体" w:eastAsia="宋体" w:cs="宋体"/>
          <w:color w:val="auto"/>
          <w:highlight w:val="none"/>
        </w:rPr>
      </w:pPr>
    </w:p>
    <w:p>
      <w:pPr>
        <w:adjustRightInd w:val="0"/>
        <w:spacing w:line="360" w:lineRule="auto"/>
        <w:ind w:right="-94" w:rightChars="-39" w:firstLine="560"/>
        <w:jc w:val="left"/>
        <w:rPr>
          <w:rFonts w:hint="eastAsia" w:ascii="宋体" w:hAnsi="宋体" w:eastAsia="宋体" w:cs="宋体"/>
          <w:color w:val="auto"/>
          <w:sz w:val="28"/>
          <w:highlight w:val="none"/>
        </w:rPr>
        <w:sectPr>
          <w:pgSz w:w="11906" w:h="16838"/>
          <w:pgMar w:top="1417" w:right="1800" w:bottom="1417" w:left="1800" w:header="567" w:footer="788" w:gutter="0"/>
          <w:pgNumType w:fmt="decimal"/>
          <w:cols w:space="0" w:num="1"/>
          <w:docGrid w:linePitch="326" w:charSpace="0"/>
        </w:sectPr>
      </w:pPr>
    </w:p>
    <w:p>
      <w:pPr>
        <w:widowControl/>
        <w:spacing w:line="360" w:lineRule="auto"/>
        <w:ind w:right="-94" w:rightChars="-39" w:firstLine="2249" w:firstLineChars="700"/>
        <w:jc w:val="left"/>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lang w:val="en-US" w:eastAsia="zh-CN"/>
        </w:rPr>
        <w:t>六</w:t>
      </w:r>
      <w:r>
        <w:rPr>
          <w:rFonts w:hint="eastAsia" w:ascii="宋体" w:hAnsi="宋体" w:eastAsia="宋体" w:cs="宋体"/>
          <w:b/>
          <w:bCs/>
          <w:color w:val="auto"/>
          <w:sz w:val="32"/>
          <w:highlight w:val="none"/>
          <w:lang w:val="en-US"/>
        </w:rPr>
        <w:t>、供应</w:t>
      </w:r>
      <w:r>
        <w:rPr>
          <w:rFonts w:hint="eastAsia" w:ascii="宋体" w:hAnsi="宋体" w:eastAsia="宋体" w:cs="宋体"/>
          <w:b/>
          <w:bCs/>
          <w:color w:val="auto"/>
          <w:sz w:val="32"/>
          <w:highlight w:val="none"/>
        </w:rPr>
        <w:t>商类似项目业绩一览表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spacing w:line="360" w:lineRule="auto"/>
        <w:ind w:right="-94" w:rightChars="-39"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包号：</w:t>
      </w: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年份</w:t>
            </w:r>
          </w:p>
        </w:tc>
        <w:tc>
          <w:tcPr>
            <w:tcW w:w="1439" w:type="dxa"/>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用户名称</w:t>
            </w:r>
          </w:p>
        </w:tc>
        <w:tc>
          <w:tcPr>
            <w:tcW w:w="1319" w:type="dxa"/>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项目名称</w:t>
            </w:r>
          </w:p>
        </w:tc>
        <w:tc>
          <w:tcPr>
            <w:tcW w:w="1160" w:type="dxa"/>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完成时间</w:t>
            </w:r>
          </w:p>
        </w:tc>
        <w:tc>
          <w:tcPr>
            <w:tcW w:w="1421" w:type="dxa"/>
            <w:gridSpan w:val="2"/>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合同金额</w:t>
            </w:r>
          </w:p>
        </w:tc>
        <w:tc>
          <w:tcPr>
            <w:tcW w:w="1614" w:type="dxa"/>
            <w:gridSpan w:val="2"/>
            <w:tcBorders>
              <w:right w:val="single" w:color="auto" w:sz="4" w:space="0"/>
            </w:tcBorders>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是否通过验收</w:t>
            </w:r>
          </w:p>
        </w:tc>
        <w:tc>
          <w:tcPr>
            <w:tcW w:w="1387" w:type="dxa"/>
            <w:gridSpan w:val="2"/>
            <w:tcBorders>
              <w:left w:val="single" w:color="auto" w:sz="4" w:space="0"/>
            </w:tcBorders>
            <w:vAlign w:val="center"/>
          </w:tcPr>
          <w:p>
            <w:pPr>
              <w:spacing w:line="360" w:lineRule="auto"/>
              <w:ind w:right="-94" w:rightChars="-39" w:firstLine="0" w:firstLineChars="0"/>
              <w:jc w:val="center"/>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439"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319"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160"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415" w:type="dxa"/>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605" w:type="dxa"/>
            <w:gridSpan w:val="2"/>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392" w:type="dxa"/>
            <w:gridSpan w:val="2"/>
            <w:tcBorders>
              <w:lef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rPr>
                <w:rFonts w:hint="eastAsia" w:ascii="宋体" w:hAnsi="宋体" w:eastAsia="宋体" w:cs="宋体"/>
                <w:color w:val="auto"/>
                <w:highlight w:val="none"/>
              </w:rPr>
            </w:pPr>
          </w:p>
        </w:tc>
        <w:tc>
          <w:tcPr>
            <w:tcW w:w="1439" w:type="dxa"/>
            <w:vAlign w:val="center"/>
          </w:tcPr>
          <w:p>
            <w:pPr>
              <w:spacing w:line="360" w:lineRule="auto"/>
              <w:ind w:right="-94" w:rightChars="-39" w:firstLine="480"/>
              <w:rPr>
                <w:rFonts w:hint="eastAsia" w:ascii="宋体" w:hAnsi="宋体" w:eastAsia="宋体" w:cs="宋体"/>
                <w:color w:val="auto"/>
                <w:highlight w:val="none"/>
              </w:rPr>
            </w:pPr>
          </w:p>
        </w:tc>
        <w:tc>
          <w:tcPr>
            <w:tcW w:w="1319" w:type="dxa"/>
            <w:vAlign w:val="center"/>
          </w:tcPr>
          <w:p>
            <w:pPr>
              <w:spacing w:line="360" w:lineRule="auto"/>
              <w:ind w:right="-94" w:rightChars="-39" w:firstLine="480"/>
              <w:rPr>
                <w:rFonts w:hint="eastAsia" w:ascii="宋体" w:hAnsi="宋体" w:eastAsia="宋体" w:cs="宋体"/>
                <w:color w:val="auto"/>
                <w:highlight w:val="none"/>
              </w:rPr>
            </w:pPr>
          </w:p>
        </w:tc>
        <w:tc>
          <w:tcPr>
            <w:tcW w:w="1160" w:type="dxa"/>
            <w:vAlign w:val="center"/>
          </w:tcPr>
          <w:p>
            <w:pPr>
              <w:spacing w:line="360" w:lineRule="auto"/>
              <w:ind w:right="-94" w:rightChars="-39" w:firstLine="480"/>
              <w:rPr>
                <w:rFonts w:hint="eastAsia" w:ascii="宋体" w:hAnsi="宋体" w:eastAsia="宋体" w:cs="宋体"/>
                <w:color w:val="auto"/>
                <w:highlight w:val="none"/>
              </w:rPr>
            </w:pPr>
          </w:p>
        </w:tc>
        <w:tc>
          <w:tcPr>
            <w:tcW w:w="1421" w:type="dxa"/>
            <w:gridSpan w:val="2"/>
            <w:tcBorders>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614" w:type="dxa"/>
            <w:gridSpan w:val="2"/>
            <w:tcBorders>
              <w:left w:val="single" w:color="auto" w:sz="4" w:space="0"/>
              <w:righ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left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left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bottom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39"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19"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160" w:type="dxa"/>
            <w:tcBorders>
              <w:top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421" w:type="dxa"/>
            <w:gridSpan w:val="2"/>
            <w:tcBorders>
              <w:top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614" w:type="dxa"/>
            <w:gridSpan w:val="2"/>
            <w:tcBorders>
              <w:top w:val="single" w:color="auto" w:sz="4" w:space="0"/>
              <w:left w:val="single" w:color="auto" w:sz="4" w:space="0"/>
              <w:righ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c>
          <w:tcPr>
            <w:tcW w:w="1387" w:type="dxa"/>
            <w:gridSpan w:val="2"/>
            <w:tcBorders>
              <w:top w:val="single" w:color="auto" w:sz="4" w:space="0"/>
              <w:left w:val="single" w:color="auto" w:sz="4" w:space="0"/>
            </w:tcBorders>
            <w:vAlign w:val="center"/>
          </w:tcPr>
          <w:p>
            <w:pPr>
              <w:spacing w:line="360" w:lineRule="auto"/>
              <w:ind w:right="-94" w:rightChars="-39" w:firstLine="480"/>
              <w:jc w:val="center"/>
              <w:rPr>
                <w:rFonts w:hint="eastAsia" w:ascii="宋体" w:hAnsi="宋体" w:eastAsia="宋体" w:cs="宋体"/>
                <w:color w:val="auto"/>
                <w:highlight w:val="none"/>
              </w:rPr>
            </w:pPr>
          </w:p>
        </w:tc>
      </w:tr>
    </w:tbl>
    <w:p>
      <w:pPr>
        <w:pStyle w:val="2"/>
        <w:ind w:right="-94" w:rightChars="-39"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注：供应商（仅限于供应商自己的）以上业绩需提供有关书面证明材料。如未涉及的内容，用“/”表示。</w:t>
      </w:r>
    </w:p>
    <w:p>
      <w:pPr>
        <w:tabs>
          <w:tab w:val="left" w:pos="555"/>
          <w:tab w:val="left" w:pos="2214"/>
          <w:tab w:val="left" w:pos="3774"/>
          <w:tab w:val="left" w:pos="4854"/>
          <w:tab w:val="left" w:pos="5934"/>
          <w:tab w:val="left" w:pos="7014"/>
          <w:tab w:val="left" w:pos="8214"/>
          <w:tab w:val="left" w:pos="10134"/>
          <w:tab w:val="left" w:pos="11124"/>
        </w:tabs>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240" w:firstLineChars="10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line="360" w:lineRule="auto"/>
        <w:ind w:right="-94" w:rightChars="-39"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60" w:lineRule="auto"/>
        <w:ind w:right="-94" w:rightChars="-39" w:firstLine="480"/>
        <w:jc w:val="left"/>
        <w:rPr>
          <w:rFonts w:hint="eastAsia" w:ascii="宋体" w:hAnsi="宋体" w:eastAsia="宋体" w:cs="宋体"/>
          <w:color w:val="auto"/>
          <w:highlight w:val="none"/>
        </w:rPr>
      </w:pPr>
    </w:p>
    <w:p>
      <w:pPr>
        <w:pStyle w:val="5"/>
        <w:spacing w:line="360" w:lineRule="auto"/>
        <w:ind w:right="-94" w:rightChars="-39"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highlight w:val="none"/>
          <w:lang w:eastAsia="zh-CN"/>
        </w:rPr>
        <w:t>七</w:t>
      </w:r>
      <w:r>
        <w:rPr>
          <w:rFonts w:hint="eastAsia" w:ascii="宋体" w:hAnsi="宋体" w:eastAsia="宋体" w:cs="宋体"/>
          <w:color w:val="auto"/>
          <w:sz w:val="32"/>
          <w:highlight w:val="none"/>
        </w:rPr>
        <w:t>、服务方案</w:t>
      </w:r>
    </w:p>
    <w:p>
      <w:pPr>
        <w:spacing w:before="120" w:line="360" w:lineRule="auto"/>
        <w:ind w:left="480" w:right="-94" w:rightChars="-39" w:firstLine="480"/>
        <w:contextualSpacing/>
        <w:rPr>
          <w:rFonts w:hint="eastAsia" w:ascii="宋体" w:hAnsi="宋体" w:eastAsia="宋体" w:cs="宋体"/>
          <w:color w:val="auto"/>
          <w:highlight w:val="none"/>
        </w:rPr>
      </w:pPr>
      <w:r>
        <w:rPr>
          <w:rFonts w:hint="eastAsia" w:ascii="宋体" w:hAnsi="宋体" w:eastAsia="宋体" w:cs="宋体"/>
          <w:color w:val="auto"/>
          <w:highlight w:val="none"/>
        </w:rPr>
        <w:t>注：由供应商自行编写（格式不限）。</w:t>
      </w:r>
    </w:p>
    <w:p>
      <w:pPr>
        <w:spacing w:line="360" w:lineRule="auto"/>
        <w:ind w:right="-94" w:rightChars="-39" w:firstLine="643"/>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5"/>
        <w:spacing w:line="360" w:lineRule="auto"/>
        <w:ind w:right="-94" w:rightChars="-39" w:firstLineChars="0"/>
        <w:jc w:val="center"/>
        <w:rPr>
          <w:rFonts w:hint="eastAsia" w:ascii="宋体" w:hAnsi="宋体" w:eastAsia="宋体" w:cs="宋体"/>
          <w:color w:val="auto"/>
          <w:highlight w:val="none"/>
        </w:rPr>
      </w:pPr>
      <w:r>
        <w:rPr>
          <w:rFonts w:hint="eastAsia" w:ascii="宋体" w:hAnsi="宋体" w:eastAsia="宋体" w:cs="宋体"/>
          <w:color w:val="auto"/>
          <w:sz w:val="32"/>
          <w:highlight w:val="none"/>
          <w:lang w:eastAsia="zh-CN"/>
        </w:rPr>
        <w:t>八</w:t>
      </w:r>
      <w:r>
        <w:rPr>
          <w:rFonts w:hint="eastAsia" w:ascii="宋体" w:hAnsi="宋体" w:eastAsia="宋体" w:cs="宋体"/>
          <w:color w:val="auto"/>
          <w:sz w:val="32"/>
          <w:highlight w:val="none"/>
        </w:rPr>
        <w:t>、供应商本项目管理、服务人员情况表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spacing w:line="360" w:lineRule="auto"/>
        <w:ind w:right="-94" w:rightChars="-39" w:firstLine="48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包号：</w:t>
      </w:r>
    </w:p>
    <w:tbl>
      <w:tblPr>
        <w:tblStyle w:val="30"/>
        <w:tblpPr w:leftFromText="180" w:rightFromText="180" w:vertAnchor="text" w:horzAnchor="page" w:tblpX="1291" w:tblpY="72"/>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052"/>
        <w:gridCol w:w="1052"/>
        <w:gridCol w:w="1052"/>
        <w:gridCol w:w="1052"/>
        <w:gridCol w:w="1227"/>
        <w:gridCol w:w="877"/>
        <w:gridCol w:w="105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常住地</w:t>
            </w:r>
          </w:p>
        </w:tc>
        <w:tc>
          <w:tcPr>
            <w:tcW w:w="4209" w:type="dxa"/>
            <w:gridSpan w:val="4"/>
            <w:vAlign w:val="center"/>
          </w:tcPr>
          <w:p>
            <w:pPr>
              <w:spacing w:line="360" w:lineRule="auto"/>
              <w:ind w:right="-94" w:rightChars="-39"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227"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7"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052"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053" w:type="dxa"/>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vAlign w:val="center"/>
          </w:tcPr>
          <w:p>
            <w:pPr>
              <w:spacing w:line="360" w:lineRule="auto"/>
              <w:ind w:right="-94" w:rightChars="-39" w:firstLine="420"/>
              <w:jc w:val="center"/>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restart"/>
            <w:vAlign w:val="center"/>
          </w:tcPr>
          <w:p>
            <w:pPr>
              <w:spacing w:line="360" w:lineRule="auto"/>
              <w:ind w:right="-94" w:rightChars="-39"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售后服务人员</w:t>
            </w: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52" w:type="dxa"/>
            <w:vMerge w:val="continue"/>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22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877"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2" w:type="dxa"/>
          </w:tcPr>
          <w:p>
            <w:pPr>
              <w:spacing w:line="360" w:lineRule="auto"/>
              <w:ind w:right="-94" w:rightChars="-39" w:firstLine="420"/>
              <w:jc w:val="left"/>
              <w:rPr>
                <w:rFonts w:hint="eastAsia" w:ascii="宋体" w:hAnsi="宋体" w:eastAsia="宋体" w:cs="宋体"/>
                <w:color w:val="auto"/>
                <w:sz w:val="21"/>
                <w:szCs w:val="21"/>
                <w:highlight w:val="none"/>
              </w:rPr>
            </w:pPr>
          </w:p>
        </w:tc>
        <w:tc>
          <w:tcPr>
            <w:tcW w:w="1053" w:type="dxa"/>
          </w:tcPr>
          <w:p>
            <w:pPr>
              <w:spacing w:line="360" w:lineRule="auto"/>
              <w:ind w:right="-94" w:rightChars="-39" w:firstLine="420"/>
              <w:jc w:val="left"/>
              <w:rPr>
                <w:rFonts w:hint="eastAsia" w:ascii="宋体" w:hAnsi="宋体" w:eastAsia="宋体" w:cs="宋体"/>
                <w:color w:val="auto"/>
                <w:sz w:val="21"/>
                <w:szCs w:val="21"/>
                <w:highlight w:val="none"/>
              </w:rPr>
            </w:pPr>
          </w:p>
        </w:tc>
      </w:tr>
    </w:tbl>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spacing w:line="360" w:lineRule="auto"/>
        <w:ind w:right="-94" w:rightChars="-39" w:firstLine="480"/>
        <w:rPr>
          <w:rFonts w:hint="eastAsia" w:ascii="宋体" w:hAnsi="宋体" w:eastAsia="宋体" w:cs="宋体"/>
          <w:color w:val="auto"/>
          <w:highlight w:val="none"/>
        </w:rPr>
      </w:pPr>
    </w:p>
    <w:p>
      <w:pPr>
        <w:autoSpaceDE w:val="0"/>
        <w:autoSpaceDN w:val="0"/>
        <w:adjustRightInd w:val="0"/>
        <w:spacing w:line="360" w:lineRule="auto"/>
        <w:ind w:right="-94" w:rightChars="-39" w:firstLine="0" w:firstLineChars="0"/>
        <w:jc w:val="left"/>
        <w:rPr>
          <w:rFonts w:hint="eastAsia" w:ascii="宋体" w:hAnsi="宋体" w:eastAsia="宋体" w:cs="宋体"/>
          <w:color w:val="auto"/>
          <w:highlight w:val="none"/>
        </w:rPr>
      </w:pPr>
    </w:p>
    <w:p>
      <w:pPr>
        <w:autoSpaceDE w:val="0"/>
        <w:autoSpaceDN w:val="0"/>
        <w:adjustRightInd w:val="0"/>
        <w:spacing w:line="360" w:lineRule="auto"/>
        <w:ind w:right="-94" w:rightChars="-39" w:firstLine="0" w:firstLineChars="0"/>
        <w:jc w:val="left"/>
        <w:rPr>
          <w:rFonts w:hint="eastAsia" w:ascii="宋体" w:hAnsi="宋体" w:eastAsia="宋体" w:cs="宋体"/>
          <w:color w:val="auto"/>
          <w:highlight w:val="none"/>
        </w:rPr>
      </w:pPr>
    </w:p>
    <w:p>
      <w:pPr>
        <w:autoSpaceDE w:val="0"/>
        <w:autoSpaceDN w:val="0"/>
        <w:adjustRightInd w:val="0"/>
        <w:spacing w:afterLines="50" w:line="360" w:lineRule="auto"/>
        <w:ind w:right="-94" w:rightChars="-39"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供应商名称（盖单位公章）：</w:t>
      </w:r>
      <w:r>
        <w:rPr>
          <w:rFonts w:hint="eastAsia" w:ascii="宋体" w:hAnsi="宋体" w:eastAsia="宋体" w:cs="宋体"/>
          <w:color w:val="auto"/>
          <w:highlight w:val="none"/>
          <w:u w:val="single"/>
        </w:rPr>
        <w:t xml:space="preserve">                     </w:t>
      </w:r>
    </w:p>
    <w:p>
      <w:pPr>
        <w:autoSpaceDE w:val="0"/>
        <w:autoSpaceDN w:val="0"/>
        <w:adjustRightInd w:val="0"/>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法定代表人或授权代表（签字或加盖个人签名章）：</w:t>
      </w:r>
      <w:r>
        <w:rPr>
          <w:rFonts w:hint="eastAsia" w:ascii="宋体" w:hAnsi="宋体" w:eastAsia="宋体" w:cs="宋体"/>
          <w:color w:val="auto"/>
          <w:highlight w:val="none"/>
          <w:u w:val="single"/>
        </w:rPr>
        <w:t xml:space="preserve">           </w:t>
      </w:r>
    </w:p>
    <w:p>
      <w:pPr>
        <w:autoSpaceDE w:val="0"/>
        <w:autoSpaceDN w:val="0"/>
        <w:adjustRightInd w:val="0"/>
        <w:spacing w:afterLines="50"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日 </w:t>
      </w:r>
    </w:p>
    <w:p>
      <w:pPr>
        <w:spacing w:line="360" w:lineRule="auto"/>
        <w:ind w:right="-94" w:rightChars="-39" w:firstLine="470" w:firstLineChars="196"/>
        <w:rPr>
          <w:rFonts w:hint="eastAsia" w:ascii="宋体" w:hAnsi="宋体" w:eastAsia="宋体" w:cs="宋体"/>
          <w:color w:val="auto"/>
          <w:highlight w:val="none"/>
        </w:rPr>
      </w:pPr>
    </w:p>
    <w:p>
      <w:pPr>
        <w:spacing w:line="360" w:lineRule="auto"/>
        <w:ind w:right="-94" w:rightChars="-39" w:firstLine="480"/>
        <w:jc w:val="center"/>
        <w:rPr>
          <w:rFonts w:hint="eastAsia" w:ascii="宋体" w:hAnsi="宋体" w:eastAsia="宋体" w:cs="宋体"/>
          <w:color w:val="auto"/>
          <w:highlight w:val="none"/>
        </w:rPr>
      </w:pPr>
    </w:p>
    <w:p>
      <w:pPr>
        <w:widowControl/>
        <w:spacing w:line="360" w:lineRule="auto"/>
        <w:ind w:firstLine="480"/>
        <w:jc w:val="left"/>
        <w:rPr>
          <w:rFonts w:hint="eastAsia" w:ascii="宋体" w:hAnsi="宋体" w:eastAsia="宋体" w:cs="宋体"/>
          <w:color w:val="auto"/>
          <w:highlight w:val="none"/>
          <w:lang w:val="en-US" w:eastAsia="zh-CN"/>
        </w:rPr>
        <w:sectPr>
          <w:headerReference r:id="rId15" w:type="default"/>
          <w:footerReference r:id="rId16" w:type="default"/>
          <w:type w:val="continuous"/>
          <w:pgSz w:w="11850" w:h="16783"/>
          <w:pgMar w:top="1440" w:right="1800" w:bottom="1440" w:left="1800" w:header="851" w:footer="992" w:gutter="0"/>
          <w:pgNumType w:fmt="decimal"/>
          <w:cols w:space="720" w:num="1"/>
          <w:docGrid w:linePitch="312" w:charSpace="0"/>
        </w:sectPr>
      </w:pPr>
      <w:bookmarkStart w:id="807" w:name="_Toc10271"/>
      <w:bookmarkStart w:id="808" w:name="_Toc21721"/>
      <w:bookmarkStart w:id="809" w:name="_Toc27819"/>
      <w:bookmarkStart w:id="810" w:name="_Toc517423533"/>
      <w:bookmarkStart w:id="811" w:name="_Toc1403"/>
      <w:bookmarkStart w:id="812" w:name="_Toc517422505"/>
      <w:bookmarkStart w:id="813" w:name="_Toc21307"/>
      <w:bookmarkStart w:id="814" w:name="_Toc31947"/>
      <w:bookmarkStart w:id="815" w:name="_Toc16380"/>
    </w:p>
    <w:bookmarkEnd w:id="807"/>
    <w:bookmarkEnd w:id="808"/>
    <w:bookmarkEnd w:id="809"/>
    <w:bookmarkEnd w:id="810"/>
    <w:bookmarkEnd w:id="811"/>
    <w:bookmarkEnd w:id="812"/>
    <w:bookmarkEnd w:id="813"/>
    <w:bookmarkEnd w:id="814"/>
    <w:bookmarkEnd w:id="815"/>
    <w:p>
      <w:pPr>
        <w:pStyle w:val="5"/>
        <w:spacing w:line="360" w:lineRule="auto"/>
        <w:ind w:right="-94" w:rightChars="-39" w:firstLine="0" w:firstLineChars="0"/>
        <w:jc w:val="center"/>
        <w:rPr>
          <w:rFonts w:hint="eastAsia" w:ascii="宋体" w:hAnsi="宋体" w:eastAsia="宋体" w:cs="宋体"/>
          <w:color w:val="auto"/>
          <w:sz w:val="32"/>
          <w:szCs w:val="28"/>
          <w:highlight w:val="none"/>
        </w:rPr>
      </w:pPr>
      <w:bookmarkStart w:id="816" w:name="_Toc29285"/>
      <w:r>
        <w:rPr>
          <w:rFonts w:hint="eastAsia" w:ascii="宋体" w:hAnsi="宋体" w:eastAsia="宋体" w:cs="宋体"/>
          <w:color w:val="auto"/>
          <w:sz w:val="32"/>
          <w:highlight w:val="none"/>
          <w:lang w:val="en-US" w:eastAsia="zh-CN"/>
        </w:rPr>
        <w:t>九</w:t>
      </w:r>
      <w:r>
        <w:rPr>
          <w:rFonts w:hint="eastAsia" w:ascii="宋体" w:hAnsi="宋体" w:eastAsia="宋体" w:cs="宋体"/>
          <w:color w:val="auto"/>
          <w:sz w:val="32"/>
          <w:highlight w:val="none"/>
        </w:rPr>
        <w:t>、</w:t>
      </w:r>
      <w:bookmarkEnd w:id="816"/>
      <w:bookmarkStart w:id="817" w:name="_Toc517422513"/>
      <w:bookmarkStart w:id="818" w:name="_Toc517423541"/>
      <w:bookmarkStart w:id="819" w:name="_Toc24566"/>
      <w:r>
        <w:rPr>
          <w:rFonts w:hint="eastAsia" w:ascii="宋体" w:hAnsi="宋体" w:eastAsia="宋体" w:cs="宋体"/>
          <w:color w:val="auto"/>
          <w:sz w:val="32"/>
          <w:highlight w:val="none"/>
        </w:rPr>
        <w:t>其他相关资料</w:t>
      </w:r>
      <w:bookmarkEnd w:id="817"/>
      <w:bookmarkEnd w:id="818"/>
      <w:bookmarkEnd w:id="819"/>
    </w:p>
    <w:p>
      <w:pPr>
        <w:spacing w:line="360" w:lineRule="auto"/>
        <w:ind w:right="-94" w:rightChars="-39" w:firstLine="56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(格式不限)</w:t>
      </w:r>
    </w:p>
    <w:p>
      <w:pPr>
        <w:spacing w:line="360" w:lineRule="auto"/>
        <w:ind w:right="-94" w:rightChars="-39" w:firstLine="560"/>
        <w:rPr>
          <w:rFonts w:hint="eastAsia" w:ascii="宋体" w:hAnsi="宋体" w:eastAsia="宋体" w:cs="宋体"/>
          <w:color w:val="auto"/>
          <w:highlight w:val="none"/>
        </w:rPr>
      </w:pPr>
      <w:r>
        <w:rPr>
          <w:rFonts w:hint="eastAsia" w:ascii="宋体" w:hAnsi="宋体" w:eastAsia="宋体" w:cs="宋体"/>
          <w:color w:val="auto"/>
          <w:sz w:val="28"/>
          <w:szCs w:val="28"/>
          <w:highlight w:val="none"/>
        </w:rPr>
        <w:br w:type="page"/>
      </w:r>
    </w:p>
    <w:p>
      <w:pPr>
        <w:spacing w:line="360" w:lineRule="auto"/>
        <w:ind w:right="-94" w:rightChars="-39" w:firstLine="0" w:firstLineChars="0"/>
        <w:outlineLvl w:val="1"/>
        <w:rPr>
          <w:rFonts w:hint="eastAsia" w:ascii="宋体" w:hAnsi="宋体" w:eastAsia="宋体" w:cs="宋体"/>
          <w:b/>
          <w:bCs/>
          <w:color w:val="auto"/>
          <w:sz w:val="28"/>
          <w:szCs w:val="28"/>
          <w:highlight w:val="none"/>
        </w:rPr>
      </w:pPr>
      <w:bookmarkStart w:id="820" w:name="_Toc20446"/>
      <w:r>
        <w:rPr>
          <w:rFonts w:hint="eastAsia" w:ascii="宋体" w:hAnsi="宋体" w:eastAsia="宋体" w:cs="宋体"/>
          <w:color w:val="auto"/>
          <w:highlight w:val="none"/>
        </w:rPr>
        <w:t>附件一：</w:t>
      </w:r>
      <w:r>
        <w:rPr>
          <w:rFonts w:hint="eastAsia" w:ascii="宋体" w:hAnsi="宋体" w:eastAsia="宋体" w:cs="宋体"/>
          <w:color w:val="auto"/>
          <w:sz w:val="28"/>
          <w:szCs w:val="28"/>
          <w:highlight w:val="none"/>
        </w:rPr>
        <w:t>最终报价表</w:t>
      </w:r>
      <w:r>
        <w:rPr>
          <w:rFonts w:hint="eastAsia" w:ascii="宋体" w:hAnsi="宋体" w:eastAsia="宋体" w:cs="宋体"/>
          <w:b/>
          <w:bCs/>
          <w:color w:val="auto"/>
          <w:sz w:val="28"/>
          <w:szCs w:val="28"/>
          <w:highlight w:val="none"/>
        </w:rPr>
        <w:t>（此表为现场报价使用）</w:t>
      </w:r>
      <w:bookmarkEnd w:id="820"/>
    </w:p>
    <w:tbl>
      <w:tblPr>
        <w:tblStyle w:val="30"/>
        <w:tblpPr w:leftFromText="180" w:rightFromText="180" w:vertAnchor="text" w:horzAnchor="page" w:tblpX="1202" w:tblpY="170"/>
        <w:tblOverlap w:val="never"/>
        <w:tblW w:w="9750" w:type="dxa"/>
        <w:tblInd w:w="0" w:type="dxa"/>
        <w:tblLayout w:type="fixed"/>
        <w:tblCellMar>
          <w:top w:w="15" w:type="dxa"/>
          <w:left w:w="15" w:type="dxa"/>
          <w:bottom w:w="15" w:type="dxa"/>
          <w:right w:w="15" w:type="dxa"/>
        </w:tblCellMar>
      </w:tblPr>
      <w:tblGrid>
        <w:gridCol w:w="3103"/>
        <w:gridCol w:w="2457"/>
        <w:gridCol w:w="4190"/>
      </w:tblGrid>
      <w:tr>
        <w:tblPrEx>
          <w:tblCellMar>
            <w:top w:w="15" w:type="dxa"/>
            <w:left w:w="15" w:type="dxa"/>
            <w:bottom w:w="15" w:type="dxa"/>
            <w:right w:w="15" w:type="dxa"/>
          </w:tblCellMar>
        </w:tblPrEx>
        <w:trPr>
          <w:trHeight w:val="3431"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94" w:rightChars="-39" w:firstLine="0" w:firstLineChars="0"/>
              <w:jc w:val="center"/>
              <w:textAlignment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最终报价表</w:t>
            </w:r>
          </w:p>
          <w:p>
            <w:pPr>
              <w:spacing w:line="360" w:lineRule="auto"/>
              <w:ind w:right="-94" w:rightChars="-39"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四川至善工程项目管理有限公司：</w:t>
            </w:r>
          </w:p>
          <w:p>
            <w:pPr>
              <w:spacing w:line="360" w:lineRule="auto"/>
              <w:ind w:right="-94" w:rightChars="-39" w:firstLine="0" w:firstLineChars="0"/>
              <w:rPr>
                <w:rFonts w:hint="eastAsia" w:ascii="宋体" w:hAnsi="宋体" w:eastAsia="宋体" w:cs="宋体"/>
                <w:color w:val="auto"/>
                <w:szCs w:val="22"/>
                <w:highlight w:val="none"/>
                <w:u w:val="single"/>
              </w:rPr>
            </w:pPr>
            <w:r>
              <w:rPr>
                <w:rFonts w:hint="eastAsia" w:ascii="宋体" w:hAnsi="宋体" w:eastAsia="宋体" w:cs="宋体"/>
                <w:color w:val="auto"/>
                <w:szCs w:val="24"/>
                <w:highlight w:val="none"/>
              </w:rPr>
              <w:t xml:space="preserve">    我公司（企业）认真阅读了</w:t>
            </w:r>
            <w:r>
              <w:rPr>
                <w:rFonts w:hint="eastAsia" w:ascii="宋体" w:hAnsi="宋体" w:eastAsia="宋体" w:cs="宋体"/>
                <w:color w:val="auto"/>
                <w:highlight w:val="none"/>
                <w:u w:val="single"/>
              </w:rPr>
              <w:t xml:space="preserve">                                   </w:t>
            </w:r>
            <w:r>
              <w:rPr>
                <w:rFonts w:hint="eastAsia" w:ascii="宋体" w:hAnsi="宋体" w:eastAsia="宋体" w:cs="宋体"/>
                <w:color w:val="auto"/>
                <w:szCs w:val="24"/>
                <w:highlight w:val="none"/>
              </w:rPr>
              <w:t>（项目编号：</w:t>
            </w:r>
            <w:r>
              <w:rPr>
                <w:rFonts w:hint="eastAsia" w:ascii="宋体" w:hAnsi="宋体" w:eastAsia="宋体" w:cs="宋体"/>
                <w:color w:val="auto"/>
                <w:szCs w:val="22"/>
                <w:highlight w:val="none"/>
                <w:u w:val="single"/>
              </w:rPr>
              <w:t xml:space="preserve">     </w:t>
            </w:r>
          </w:p>
          <w:p>
            <w:pPr>
              <w:spacing w:line="360" w:lineRule="auto"/>
              <w:ind w:right="-94" w:rightChars="-39" w:firstLine="0" w:firstLineChars="0"/>
              <w:rPr>
                <w:rFonts w:hint="eastAsia" w:ascii="宋体" w:hAnsi="宋体" w:eastAsia="宋体" w:cs="宋体"/>
                <w:color w:val="auto"/>
                <w:szCs w:val="24"/>
                <w:highlight w:val="none"/>
              </w:rPr>
            </w:pPr>
            <w:r>
              <w:rPr>
                <w:rFonts w:hint="eastAsia" w:ascii="宋体" w:hAnsi="宋体" w:eastAsia="宋体" w:cs="宋体"/>
                <w:color w:val="auto"/>
                <w:szCs w:val="22"/>
                <w:highlight w:val="none"/>
                <w:u w:val="single"/>
              </w:rPr>
              <w:t xml:space="preserve">       </w:t>
            </w:r>
            <w:r>
              <w:rPr>
                <w:rFonts w:hint="eastAsia" w:cs="宋体"/>
                <w:color w:val="auto"/>
                <w:szCs w:val="22"/>
                <w:highlight w:val="none"/>
                <w:u w:val="single"/>
                <w:lang w:eastAsia="zh-CN"/>
              </w:rPr>
              <w:t>包号：</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4"/>
                <w:highlight w:val="none"/>
              </w:rPr>
              <w:t>）竞争性磋商文件的采购内容，并严格按竞争性磋商文件、修改补充文件中规定的要求以及技术参数，通过仔细核算，作出如下最终报价：</w:t>
            </w:r>
          </w:p>
        </w:tc>
      </w:tr>
      <w:tr>
        <w:tblPrEx>
          <w:tblCellMar>
            <w:top w:w="15" w:type="dxa"/>
            <w:left w:w="15" w:type="dxa"/>
            <w:bottom w:w="15" w:type="dxa"/>
            <w:right w:w="15" w:type="dxa"/>
          </w:tblCellMar>
        </w:tblPrEx>
        <w:trPr>
          <w:trHeight w:val="663" w:hRule="atLeast"/>
        </w:trPr>
        <w:tc>
          <w:tcPr>
            <w:tcW w:w="3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具体要求</w:t>
            </w:r>
          </w:p>
        </w:tc>
        <w:tc>
          <w:tcPr>
            <w:tcW w:w="419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48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总价</w:t>
            </w:r>
            <w:r>
              <w:rPr>
                <w:rFonts w:hint="eastAsia" w:ascii="宋体" w:hAnsi="宋体" w:eastAsia="宋体" w:cs="宋体"/>
                <w:color w:val="auto"/>
                <w:szCs w:val="24"/>
                <w:highlight w:val="none"/>
              </w:rPr>
              <w:t>（人民币元）</w:t>
            </w:r>
          </w:p>
        </w:tc>
      </w:tr>
      <w:tr>
        <w:tblPrEx>
          <w:tblCellMar>
            <w:top w:w="15" w:type="dxa"/>
            <w:left w:w="15" w:type="dxa"/>
            <w:bottom w:w="15" w:type="dxa"/>
            <w:right w:w="15" w:type="dxa"/>
          </w:tblCellMar>
        </w:tblPrEx>
        <w:trPr>
          <w:trHeight w:val="2606" w:hRule="atLeast"/>
        </w:trPr>
        <w:tc>
          <w:tcPr>
            <w:tcW w:w="310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2"/>
                <w:highlight w:val="none"/>
              </w:rPr>
              <w:t xml:space="preserve">      </w:t>
            </w:r>
          </w:p>
        </w:tc>
        <w:tc>
          <w:tcPr>
            <w:tcW w:w="24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94" w:rightChars="-39"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完全响应竞争性磋商文件要求（详见竞争性磋</w:t>
            </w:r>
          </w:p>
          <w:p>
            <w:pPr>
              <w:snapToGrid w:val="0"/>
              <w:spacing w:line="360" w:lineRule="auto"/>
              <w:ind w:right="-94" w:rightChars="-39" w:firstLine="0" w:firstLineChars="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商响应文件）</w:t>
            </w:r>
          </w:p>
        </w:tc>
        <w:tc>
          <w:tcPr>
            <w:tcW w:w="4190" w:type="dxa"/>
            <w:tcBorders>
              <w:top w:val="single" w:color="auto" w:sz="4" w:space="0"/>
              <w:left w:val="single" w:color="auto" w:sz="4" w:space="0"/>
              <w:bottom w:val="single" w:color="auto" w:sz="4" w:space="0"/>
              <w:right w:val="single" w:color="auto" w:sz="4" w:space="0"/>
            </w:tcBorders>
          </w:tcPr>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小写：</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rPr>
              <w:br w:type="textWrapping"/>
            </w:r>
          </w:p>
          <w:p>
            <w:pPr>
              <w:snapToGrid w:val="0"/>
              <w:spacing w:line="360" w:lineRule="auto"/>
              <w:ind w:right="-94" w:rightChars="-39" w:firstLine="48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大写：</w:t>
            </w:r>
            <w:r>
              <w:rPr>
                <w:rFonts w:hint="eastAsia" w:ascii="宋体" w:hAnsi="宋体" w:eastAsia="宋体" w:cs="宋体"/>
                <w:color w:val="auto"/>
                <w:szCs w:val="24"/>
                <w:highlight w:val="none"/>
                <w:u w:val="single"/>
              </w:rPr>
              <w:t xml:space="preserve">                      </w:t>
            </w:r>
          </w:p>
        </w:tc>
      </w:tr>
      <w:tr>
        <w:tblPrEx>
          <w:tblCellMar>
            <w:top w:w="15" w:type="dxa"/>
            <w:left w:w="15" w:type="dxa"/>
            <w:bottom w:w="15" w:type="dxa"/>
            <w:right w:w="15" w:type="dxa"/>
          </w:tblCellMar>
        </w:tblPrEx>
        <w:trPr>
          <w:trHeight w:val="1887"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94" w:rightChars="-39" w:firstLine="48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注：</w:t>
            </w:r>
          </w:p>
          <w:p>
            <w:pPr>
              <w:widowControl/>
              <w:snapToGrid w:val="0"/>
              <w:spacing w:line="360" w:lineRule="auto"/>
              <w:ind w:right="-94" w:rightChars="-39" w:firstLine="960" w:firstLineChars="40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1、报价表必须逐一填写完整；否则，视为无效响应报价。</w:t>
            </w:r>
          </w:p>
          <w:p>
            <w:pPr>
              <w:widowControl/>
              <w:snapToGrid w:val="0"/>
              <w:spacing w:line="360" w:lineRule="auto"/>
              <w:ind w:right="-94" w:rightChars="-39" w:firstLine="48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2、响应报价保留小数点后两位。</w:t>
            </w:r>
          </w:p>
          <w:p>
            <w:pPr>
              <w:widowControl/>
              <w:snapToGrid w:val="0"/>
              <w:spacing w:line="360" w:lineRule="auto"/>
              <w:ind w:right="-94" w:rightChars="-39" w:firstLine="48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 xml:space="preserve">    3、</w:t>
            </w:r>
            <w:r>
              <w:rPr>
                <w:rFonts w:hint="eastAsia" w:ascii="宋体" w:hAnsi="宋体" w:eastAsia="宋体" w:cs="宋体"/>
                <w:color w:val="auto"/>
                <w:highlight w:val="none"/>
                <w:lang w:val="en-US" w:eastAsia="zh-CN"/>
              </w:rPr>
              <w:t>最终报价不超过第一轮报价。</w:t>
            </w:r>
          </w:p>
          <w:p>
            <w:pPr>
              <w:widowControl/>
              <w:snapToGrid w:val="0"/>
              <w:spacing w:line="360" w:lineRule="auto"/>
              <w:ind w:right="-94" w:rightChars="-39" w:firstLine="48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w:t>
            </w:r>
            <w:r>
              <w:rPr>
                <w:rFonts w:hint="eastAsia" w:ascii="宋体" w:hAnsi="宋体" w:eastAsia="宋体" w:cs="宋体"/>
                <w:color w:val="auto"/>
                <w:highlight w:val="none"/>
                <w:lang w:eastAsia="zh-CN"/>
              </w:rPr>
              <w:t>此报价是最终用户验收合格后据实结算的依据。</w:t>
            </w:r>
          </w:p>
        </w:tc>
      </w:tr>
      <w:tr>
        <w:tblPrEx>
          <w:tblCellMar>
            <w:top w:w="15" w:type="dxa"/>
            <w:left w:w="15" w:type="dxa"/>
            <w:bottom w:w="15" w:type="dxa"/>
            <w:right w:w="15" w:type="dxa"/>
          </w:tblCellMar>
        </w:tblPrEx>
        <w:trPr>
          <w:trHeight w:val="2446"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供应商名称：</w:t>
            </w:r>
            <w:r>
              <w:rPr>
                <w:rFonts w:hint="eastAsia" w:ascii="宋体" w:hAnsi="宋体" w:eastAsia="宋体" w:cs="宋体"/>
                <w:color w:val="auto"/>
                <w:szCs w:val="24"/>
                <w:highlight w:val="none"/>
                <w:u w:val="single"/>
              </w:rPr>
              <w:t xml:space="preserve">                                       </w:t>
            </w:r>
          </w:p>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法定代表人或授权代表</w:t>
            </w:r>
            <w:r>
              <w:rPr>
                <w:rFonts w:hint="eastAsia" w:ascii="宋体" w:hAnsi="宋体" w:eastAsia="宋体" w:cs="宋体"/>
                <w:color w:val="auto"/>
                <w:highlight w:val="none"/>
              </w:rPr>
              <w:t>（签字）</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联系电话：</w:t>
            </w:r>
            <w:r>
              <w:rPr>
                <w:rFonts w:hint="eastAsia" w:ascii="宋体" w:hAnsi="宋体" w:eastAsia="宋体" w:cs="宋体"/>
                <w:color w:val="auto"/>
                <w:szCs w:val="24"/>
                <w:highlight w:val="none"/>
                <w:u w:val="single"/>
              </w:rPr>
              <w:t xml:space="preserve">                                         </w:t>
            </w:r>
          </w:p>
          <w:p>
            <w:pPr>
              <w:widowControl/>
              <w:snapToGrid w:val="0"/>
              <w:spacing w:line="360" w:lineRule="auto"/>
              <w:ind w:right="-94" w:rightChars="-39" w:firstLine="480"/>
              <w:jc w:val="left"/>
              <w:textAlignment w:val="center"/>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磋商日期：</w:t>
            </w:r>
            <w:r>
              <w:rPr>
                <w:rFonts w:hint="eastAsia" w:ascii="宋体" w:hAnsi="宋体" w:eastAsia="宋体" w:cs="宋体"/>
                <w:color w:val="auto"/>
                <w:szCs w:val="24"/>
                <w:highlight w:val="none"/>
                <w:u w:val="single"/>
              </w:rPr>
              <w:t xml:space="preserve">                                         </w:t>
            </w:r>
          </w:p>
        </w:tc>
      </w:tr>
    </w:tbl>
    <w:p>
      <w:pPr>
        <w:spacing w:line="360" w:lineRule="auto"/>
        <w:ind w:right="-94" w:rightChars="-39" w:firstLine="482"/>
        <w:rPr>
          <w:rFonts w:hint="eastAsia" w:ascii="宋体" w:hAnsi="宋体" w:eastAsia="宋体" w:cs="宋体"/>
          <w:color w:val="auto"/>
          <w:highlight w:val="none"/>
        </w:rPr>
      </w:pPr>
      <w:r>
        <w:rPr>
          <w:rFonts w:hint="eastAsia" w:ascii="宋体" w:hAnsi="宋体" w:eastAsia="宋体" w:cs="宋体"/>
          <w:b/>
          <w:color w:val="auto"/>
          <w:szCs w:val="24"/>
          <w:highlight w:val="none"/>
        </w:rPr>
        <w:t>注：本报价表不需要附在响应文件里，持空白页至磋商现场根据实际需要填写（现场填写），盖企业公章或法定代表人或授权代表签字确认。</w:t>
      </w:r>
    </w:p>
    <w:p>
      <w:pPr>
        <w:pStyle w:val="3"/>
        <w:keepNext w:val="0"/>
        <w:keepLines w:val="0"/>
        <w:spacing w:before="260" w:after="260" w:line="360" w:lineRule="auto"/>
        <w:ind w:right="-94" w:rightChars="-39" w:firstLine="723"/>
        <w:rPr>
          <w:rFonts w:hint="eastAsia" w:ascii="宋体" w:hAnsi="宋体" w:eastAsia="宋体" w:cs="宋体"/>
          <w:color w:val="auto"/>
          <w:sz w:val="24"/>
          <w:szCs w:val="24"/>
          <w:highlight w:val="none"/>
        </w:rPr>
      </w:pPr>
      <w:bookmarkStart w:id="821" w:name="_Toc17578"/>
      <w:r>
        <w:rPr>
          <w:rFonts w:hint="eastAsia" w:ascii="宋体" w:hAnsi="宋体" w:eastAsia="宋体" w:cs="宋体"/>
          <w:color w:val="auto"/>
          <w:highlight w:val="none"/>
        </w:rPr>
        <w:t xml:space="preserve">第七章  </w:t>
      </w:r>
      <w:bookmarkEnd w:id="15"/>
      <w:bookmarkEnd w:id="715"/>
      <w:bookmarkEnd w:id="716"/>
      <w:bookmarkEnd w:id="717"/>
      <w:bookmarkEnd w:id="718"/>
      <w:bookmarkEnd w:id="719"/>
      <w:bookmarkEnd w:id="720"/>
      <w:bookmarkEnd w:id="721"/>
      <w:bookmarkEnd w:id="722"/>
      <w:bookmarkEnd w:id="723"/>
      <w:bookmarkEnd w:id="724"/>
      <w:bookmarkEnd w:id="725"/>
      <w:bookmarkEnd w:id="726"/>
      <w:bookmarkStart w:id="822" w:name="_Toc12006361"/>
      <w:bookmarkStart w:id="823" w:name="_Toc9438766"/>
      <w:r>
        <w:rPr>
          <w:rStyle w:val="98"/>
          <w:rFonts w:hint="eastAsia" w:ascii="宋体" w:hAnsi="宋体" w:eastAsia="宋体" w:cs="宋体"/>
          <w:color w:val="auto"/>
          <w:highlight w:val="none"/>
        </w:rPr>
        <w:t>评审方法</w:t>
      </w:r>
      <w:bookmarkEnd w:id="821"/>
      <w:bookmarkStart w:id="824" w:name="_Toc101338358"/>
      <w:bookmarkStart w:id="825" w:name="_Toc101250640"/>
      <w:bookmarkStart w:id="826" w:name="_Toc209847065"/>
      <w:bookmarkStart w:id="827" w:name="_Toc101174146"/>
      <w:bookmarkStart w:id="828" w:name="_Toc430773924"/>
    </w:p>
    <w:p>
      <w:pPr>
        <w:pStyle w:val="4"/>
        <w:keepNext w:val="0"/>
        <w:keepLines w:val="0"/>
        <w:spacing w:before="0" w:after="0" w:line="360" w:lineRule="auto"/>
        <w:ind w:right="-94" w:rightChars="-39" w:firstLine="472" w:firstLineChars="196"/>
        <w:jc w:val="both"/>
        <w:rPr>
          <w:rFonts w:hint="eastAsia" w:ascii="宋体" w:hAnsi="宋体" w:eastAsia="宋体" w:cs="宋体"/>
          <w:color w:val="auto"/>
          <w:sz w:val="24"/>
          <w:szCs w:val="24"/>
          <w:highlight w:val="none"/>
        </w:rPr>
      </w:pPr>
      <w:bookmarkStart w:id="829" w:name="_Toc6261"/>
      <w:bookmarkStart w:id="830" w:name="_Toc9167"/>
      <w:bookmarkStart w:id="831" w:name="_Toc20982"/>
      <w:r>
        <w:rPr>
          <w:rFonts w:hint="eastAsia" w:ascii="宋体" w:hAnsi="宋体" w:eastAsia="宋体" w:cs="宋体"/>
          <w:color w:val="auto"/>
          <w:sz w:val="24"/>
          <w:szCs w:val="24"/>
          <w:highlight w:val="none"/>
        </w:rPr>
        <w:t>1.总则</w:t>
      </w:r>
      <w:bookmarkEnd w:id="829"/>
      <w:bookmarkEnd w:id="830"/>
      <w:bookmarkEnd w:id="831"/>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1.1 根据《中华人民共和国政府采购法》、《中华人民共和国政府采购法实施条例》、《政府采购竞争性磋商采购方式管理暂行办法》等法律制度，结合本采购项目特点制定本磋商方法。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1.2 磋商工作由采购人及采购代理机构负责组织，具体磋商由采购人及采购代理机构依法组建的磋商小组负责。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1.3 磋商工作应遵循公平、公正、科学及择优的原则，并以相同的磋商程序和标准对待所有的供应商。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1.4 磋商小组按照磋商文件规定的磋商程序、评分方法和标准进行评审，并独立履行下列职责：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（一）熟悉和理解磋商文件，确定磋商文件内容是否违反国家有关强制性规定或者磋商文件存在歧义、重大缺陷，根据需要书面要求采购人、采购代理机构对磋商文件作出解释；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（二）审查供应商响应文件是否满足磋商文件要求，并作出公正评价；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（三）根据需要要求供应商对响应文件中含义不明确、同类问题表述不一致或者有明显文字和计算错误的内容等作出必要的澄清、说明或者更正；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（四）推荐成交供应商，或者受采购人委托确定成交供应商；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（五）起草评审报告并进行签署；</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（六）向采购人及采购代理机构、财政部门或者其他监督部门报告非法干预评审工作的行为；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（七）法律、法规和规章规定的其他职责。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1.5 （实质性要求）磋商过程独立、保密。供应商非法干预磋商过程的，其响应文件作无效处理。</w:t>
      </w:r>
    </w:p>
    <w:p>
      <w:pPr>
        <w:pStyle w:val="4"/>
        <w:keepNext w:val="0"/>
        <w:keepLines w:val="0"/>
        <w:spacing w:before="0" w:after="0" w:line="360" w:lineRule="auto"/>
        <w:ind w:right="-94" w:rightChars="-39" w:firstLine="472" w:firstLineChars="196"/>
        <w:jc w:val="both"/>
        <w:rPr>
          <w:rFonts w:hint="eastAsia" w:ascii="宋体" w:hAnsi="宋体" w:eastAsia="宋体" w:cs="宋体"/>
          <w:color w:val="auto"/>
          <w:sz w:val="24"/>
          <w:szCs w:val="24"/>
          <w:highlight w:val="none"/>
        </w:rPr>
      </w:pPr>
      <w:bookmarkStart w:id="832" w:name="_Toc14333"/>
      <w:bookmarkStart w:id="833" w:name="_Toc30930"/>
      <w:bookmarkStart w:id="834" w:name="_Toc20118"/>
      <w:r>
        <w:rPr>
          <w:rFonts w:hint="eastAsia" w:ascii="宋体" w:hAnsi="宋体" w:eastAsia="宋体" w:cs="宋体"/>
          <w:color w:val="auto"/>
          <w:sz w:val="24"/>
          <w:szCs w:val="24"/>
          <w:highlight w:val="none"/>
        </w:rPr>
        <w:t>2.磋商程序</w:t>
      </w:r>
      <w:bookmarkEnd w:id="832"/>
      <w:bookmarkEnd w:id="833"/>
      <w:bookmarkEnd w:id="834"/>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2.1审查磋商文件和停止评审。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2.1.1 磋商小组正式评审前，应当对磋商文件进行熟悉和理解，内容主要包括磋商文件中供应商资格条件要求、采购项目技术、服务和商务要求、磋商办法和标准、政府采购政策要求以及采购合同主要条款等。</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 本磋商文件有下列情形之一的，磋商小组应当停止评审：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（1）磋商文件的规定存在歧义、重大缺陷的；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（2）磋商文件明显以不合理条件对供应商实行差别待遇或者歧视待遇的；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（3）采购项目属于国家规定的优先、强制采购范围，但是磋商文件未依法体现优先、强制采购相关规定的；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（4）采购项目属于政府采购促进中小企业发展的范围，但是磋商文件未依法体现促进中小企业发展相关规定的；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（5）磋商文件将供应商的资格条件列为评分因素的；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（6）磋商文件载明的成交原则不合法的；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（7）磋商文件有违反国家其他有关强制性规定的情形。</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2.1.3 出现本条2.1.2规定应当停止评审情形的，磋商小组应当向采购人书面说明情况。除本条规定的情形外，磋商小组不得以任何方式和理由停止评审。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2.2资格性审查。</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2.2.2资格性审查结束后，磋商小组应当出具资格性审查报告，没有通过资格审查的供应商，磋商小组应当在资格审查报告中说明原因。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2.2.3磋商小组应依据磋商文件规定的实质性要求，对符合资格的响应文件进行有效性、完整性和响应程度审查，以确定参加磋商的供应商名单。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2.2.4采购人或者采购代理机构宣布未通过资格性审查的供应商名单时，应当告知供应商未通过审查的原因。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2.3 通过资格性审查的供应商不足3家的，终止本次采购活动，并发布终止采购活动公告。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2.4磋商。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2.4.2每轮磋商开始前，磋商小组应根据磋商文件的规定，并结合各供应商的响应文件拟定磋商内容。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2.4.4对磋商文件作出的实质性变动是磋商文件的有效组成部分，磋商小组应当及时以书面形式同时通知所有参加磋商的供应商。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2.4.6磋商过程中，磋商的任何一方不得透露与磋商有关的其他供应商的技术资料、价格和其他信息。</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2.4.7磋商过程中，磋商小组发现或者知晓供应商存在违法、违纪行为的，磋商小组应当将该供应商响应文件作无效处理，不允许其提交最后报价。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2.4.8磋商完成后，磋商小组应出具磋商情况记录表，磋商情况记录表需包含磋商内容、磋商意见、实质性变动内容等。   </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2.5最后报价。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2.5.1磋商文件能够详细列明采购标的的技术、服务要求的，磋商结束后，磋商小组应当要求所有实质性响应的供应商在规定时间内提交最后报价，提交最后报价的供应商</w:t>
      </w:r>
      <w:r>
        <w:rPr>
          <w:rFonts w:hint="eastAsia" w:ascii="宋体" w:hAnsi="宋体" w:eastAsia="宋体" w:cs="宋体"/>
          <w:b/>
          <w:bCs/>
          <w:color w:val="auto"/>
          <w:highlight w:val="none"/>
        </w:rPr>
        <w:t>不得少于3家</w:t>
      </w:r>
      <w:r>
        <w:rPr>
          <w:rFonts w:hint="eastAsia" w:ascii="宋体" w:hAnsi="宋体" w:eastAsia="宋体" w:cs="宋体"/>
          <w:color w:val="auto"/>
          <w:highlight w:val="none"/>
        </w:rPr>
        <w:t>（符合市场竞争不充分的科研项目,以及需要扶持的科技成果转化项目以及财库(2015) 124 号文规定情形的，可为2家）。或磋商文件不能详细列明采购标的的技术、服务要求，需经磋商由供应商提供最终设计方案或解决方案的，磋商结束后，磋商小组应当按照少数服从多数的原则投票</w:t>
      </w:r>
      <w:r>
        <w:rPr>
          <w:rFonts w:hint="eastAsia" w:ascii="宋体" w:hAnsi="宋体" w:eastAsia="宋体" w:cs="宋体"/>
          <w:b/>
          <w:bCs/>
          <w:color w:val="auto"/>
          <w:highlight w:val="none"/>
        </w:rPr>
        <w:t>推荐3家</w:t>
      </w:r>
      <w:r>
        <w:rPr>
          <w:rFonts w:hint="eastAsia" w:ascii="宋体" w:hAnsi="宋体" w:eastAsia="宋体" w:cs="宋体"/>
          <w:color w:val="auto"/>
          <w:highlight w:val="none"/>
        </w:rPr>
        <w:t>（符合市场竞争不充分的科研项目,以及需要扶持的科技成果转化项目以及财库(2015) 124 号文规定情形的，可为2家）以上供应商的设计方案或者解决方案，并要求其在规定时间内提交最后报价。</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2.5.3供应商最后报价应当由法定代表人/主要负责人/本人或其授权代表签字确认或加盖公章。最后报价是供应商响应文件的有效组成部分。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2.6比较与评价。由磋商小组采用综合评分法对提交最后报价的供应商的响应文件和最后报价进行综合评分，具体要求详见本章综合评分部分。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2.7推荐成交候选供应商。磋商小组应当根据综合评分情况，按照评审得分由高到低顺序</w:t>
      </w:r>
      <w:r>
        <w:rPr>
          <w:rFonts w:hint="eastAsia" w:ascii="宋体" w:hAnsi="宋体" w:eastAsia="宋体" w:cs="宋体"/>
          <w:b/>
          <w:bCs/>
          <w:color w:val="auto"/>
          <w:highlight w:val="none"/>
        </w:rPr>
        <w:t>推荐3家</w:t>
      </w:r>
      <w:r>
        <w:rPr>
          <w:rFonts w:hint="eastAsia" w:ascii="宋体" w:hAnsi="宋体" w:eastAsia="宋体" w:cs="宋体"/>
          <w:color w:val="auto"/>
          <w:highlight w:val="none"/>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2.9采购组织单位现场复核评审结果。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2.9.1评审结果汇总完成后，磋商小组拟出具磋商评审报告前，采购人及采购代理机构应当组织2名以上的本单位工作人员，在采购现场监督人员的监督之下，依据有关的法律制度和磋商文件对评审结果进行复核，出具复核报告，存在下列情形之一的，采购人及采购代理机构应当根据情况书面建议磋商小组现场修改评审结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（1）资格性审查认定错误的；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（2）分值汇总计算错误的；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（3）分项评分超出评分标准范围的；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（4）客观评分不一致的。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存在本条上述情形的，由磋商小组自主决定是否采纳采购人及采购代理机构的书面建议，并承担独立评审责任。磋商小组采纳采购人及采购代理机构书面建议的，应当按照规定现场修改评审结果或者重新评审，并在磋商报告中详细记载有关事宜；不采纳采购人及采购代理机构书面建议的，应当书面说明理由。采购人及采购代理机构书面建议未被磋商小组采纳的，应当按照规定程序要求继续组织实施采购活动，不得擅自中止采购活动。采购人及采购代理机构认为磋商小组评审结果不合法的，应当书面报告采购项目同级财政部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采购人及采购代理机构复核过程中，磋商小组成员不得离开评审现场。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2.9.2有下列情形之一的，不得现场修改评审结果：</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（1）磋商小组已经出具磋商报告并且离开评审现场的；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（2）采购人及采购代理机构现场复核时，复核工作人员数量不足的；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（3）采购人及采购代理机构现场复核时，没有采购监督人员现场监督的；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（4）采购人及采购代理机构现场复核内容超出规定范围的；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（5）采购人及采购代理机构未提供书面建议的。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2.10编写磋商报告。磋商小组推荐成交候选供应商后，应向采购人及采购代理机构出具磋商报告。磋商报告应当包括以下主要内容：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（1）邀请供应商参加采购活动的具体方式和相关情况；</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（2）响应文件开启日期和地点；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（3）获取磋商文件的供应商名单和磋商小组成员名单；</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（4）评审情况记录和说明，包括对供应商的资格审查情况、供应商响应文件审查情况、磋商情况、报价情况等；</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（5）提出的成交候选供应商的排序名单及理由。</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2.12供应商澄清、说明</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2.13终止磋商采购活动。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（1）因情况变化，不再符合规定的竞争性磋商采购方式适用情形的；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（3）在采购过程中符合要求的供应商或者报价未超过采购预算的供应商不足3家的。</w:t>
      </w:r>
    </w:p>
    <w:p>
      <w:pPr>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3.综合评分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3.1本次综合评分的因素是：详见综合评分明细表。</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和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3.3综合评分明细表</w:t>
      </w:r>
    </w:p>
    <w:p>
      <w:pPr>
        <w:spacing w:line="360" w:lineRule="auto"/>
        <w:ind w:right="-94" w:rightChars="-39" w:firstLine="480"/>
        <w:rPr>
          <w:rFonts w:hint="eastAsia" w:ascii="宋体" w:hAnsi="宋体" w:eastAsia="宋体" w:cs="宋体"/>
          <w:b/>
          <w:bCs/>
          <w:color w:val="auto"/>
          <w:highlight w:val="none"/>
        </w:rPr>
      </w:pPr>
      <w:r>
        <w:rPr>
          <w:rFonts w:hint="eastAsia" w:ascii="宋体" w:hAnsi="宋体" w:eastAsia="宋体" w:cs="宋体"/>
          <w:color w:val="auto"/>
          <w:highlight w:val="none"/>
        </w:rPr>
        <w:t>3.3.1综合评分明细表的制定以科学合理、降低评委会自由裁量权为原则。</w:t>
      </w:r>
    </w:p>
    <w:p>
      <w:pPr>
        <w:spacing w:line="360" w:lineRule="auto"/>
        <w:ind w:right="-94" w:rightChars="-39"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3.3.2综合评分明细表</w:t>
      </w:r>
    </w:p>
    <w:p>
      <w:pPr>
        <w:pStyle w:val="109"/>
        <w:spacing w:line="360" w:lineRule="auto"/>
        <w:ind w:left="-323" w:firstLineChars="0"/>
        <w:rPr>
          <w:rFonts w:hint="eastAsia" w:ascii="宋体" w:hAnsi="宋体" w:eastAsia="宋体" w:cs="宋体"/>
          <w:color w:val="auto"/>
          <w:highlight w:val="none"/>
        </w:rPr>
      </w:pPr>
      <w:r>
        <w:rPr>
          <w:rFonts w:hint="eastAsia" w:ascii="宋体" w:hAnsi="宋体" w:eastAsia="宋体" w:cs="宋体"/>
          <w:color w:val="auto"/>
          <w:highlight w:val="none"/>
        </w:rPr>
        <w:t>综合评分明细表的制定以科学合理、降低评委会自由裁量权为原则。</w:t>
      </w:r>
    </w:p>
    <w:p>
      <w:pPr>
        <w:pStyle w:val="109"/>
        <w:spacing w:line="360" w:lineRule="auto"/>
        <w:ind w:left="-323" w:firstLineChars="0"/>
        <w:rPr>
          <w:rFonts w:hint="eastAsia" w:ascii="宋体" w:hAnsi="宋体" w:eastAsia="宋体" w:cs="宋体"/>
          <w:color w:val="auto"/>
          <w:highlight w:val="none"/>
        </w:rPr>
      </w:pPr>
      <w:r>
        <w:rPr>
          <w:rFonts w:hint="eastAsia" w:ascii="宋体" w:hAnsi="宋体" w:eastAsia="宋体" w:cs="宋体"/>
          <w:color w:val="auto"/>
          <w:highlight w:val="none"/>
        </w:rPr>
        <w:t>综合评分明细表</w:t>
      </w:r>
    </w:p>
    <w:p>
      <w:pPr>
        <w:tabs>
          <w:tab w:val="left" w:pos="1018"/>
        </w:tabs>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02包</w:t>
      </w:r>
    </w:p>
    <w:tbl>
      <w:tblPr>
        <w:tblStyle w:val="30"/>
        <w:tblpPr w:leftFromText="180" w:rightFromText="180" w:vertAnchor="text" w:horzAnchor="page" w:tblpX="896" w:tblpY="10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446"/>
        <w:gridCol w:w="930"/>
        <w:gridCol w:w="613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bookmarkStart w:id="835" w:name="_Toc479347054"/>
            <w:bookmarkStart w:id="836" w:name="_Toc476133677"/>
            <w:bookmarkStart w:id="837" w:name="_Toc473103440"/>
            <w:r>
              <w:rPr>
                <w:rFonts w:hint="eastAsia" w:ascii="宋体" w:hAnsi="宋体" w:eastAsia="宋体" w:cs="宋体"/>
                <w:color w:val="000000"/>
                <w:sz w:val="24"/>
                <w:szCs w:val="22"/>
              </w:rPr>
              <w:t>序号</w:t>
            </w:r>
          </w:p>
        </w:tc>
        <w:tc>
          <w:tcPr>
            <w:tcW w:w="1446"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评分因素及权重</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分值</w:t>
            </w:r>
          </w:p>
        </w:tc>
        <w:tc>
          <w:tcPr>
            <w:tcW w:w="6135"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评分标准</w:t>
            </w:r>
          </w:p>
        </w:tc>
        <w:tc>
          <w:tcPr>
            <w:tcW w:w="1560"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1</w:t>
            </w:r>
          </w:p>
        </w:tc>
        <w:tc>
          <w:tcPr>
            <w:tcW w:w="1446"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rPr>
              <w:t>报价</w:t>
            </w:r>
            <w:r>
              <w:rPr>
                <w:rFonts w:hint="eastAsia" w:ascii="宋体" w:hAnsi="宋体" w:eastAsia="宋体" w:cs="宋体"/>
                <w:color w:val="000000"/>
                <w:sz w:val="24"/>
                <w:szCs w:val="22"/>
                <w:lang w:val="en-US" w:eastAsia="zh-CN"/>
              </w:rPr>
              <w:t>20</w:t>
            </w:r>
            <w:r>
              <w:rPr>
                <w:rFonts w:hint="eastAsia" w:ascii="宋体" w:hAnsi="宋体" w:eastAsia="宋体" w:cs="宋体"/>
                <w:color w:val="000000"/>
                <w:sz w:val="24"/>
                <w:szCs w:val="22"/>
              </w:rPr>
              <w:t>%</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rPr>
            </w:pPr>
            <w:r>
              <w:rPr>
                <w:rFonts w:hint="eastAsia" w:ascii="宋体" w:hAnsi="宋体" w:eastAsia="宋体" w:cs="宋体"/>
                <w:color w:val="000000"/>
                <w:sz w:val="24"/>
                <w:szCs w:val="22"/>
                <w:lang w:val="en-US" w:eastAsia="zh-CN"/>
              </w:rPr>
              <w:t>20</w:t>
            </w:r>
            <w:r>
              <w:rPr>
                <w:rFonts w:hint="eastAsia" w:ascii="宋体" w:hAnsi="宋体" w:eastAsia="宋体" w:cs="宋体"/>
                <w:color w:val="000000"/>
                <w:sz w:val="24"/>
                <w:szCs w:val="22"/>
              </w:rPr>
              <w:t>分</w:t>
            </w:r>
          </w:p>
        </w:tc>
        <w:tc>
          <w:tcPr>
            <w:tcW w:w="6135" w:type="dxa"/>
            <w:noWrap w:val="0"/>
            <w:vAlign w:val="center"/>
          </w:tcPr>
          <w:p>
            <w:pPr>
              <w:numPr>
                <w:ilvl w:val="0"/>
                <w:numId w:val="0"/>
              </w:numPr>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满足磋商文件要求且响应价格最低的响应报价为基准价，其价格分为满分。其他供应商的价格分统一按照下列公式计算：报价得分=(基准价／报价)×20%×100。</w:t>
            </w:r>
          </w:p>
          <w:p>
            <w:pPr>
              <w:numPr>
                <w:ilvl w:val="0"/>
                <w:numId w:val="0"/>
              </w:numPr>
              <w:ind w:leftChars="0"/>
              <w:rPr>
                <w:rFonts w:hint="eastAsia" w:ascii="宋体" w:hAnsi="宋体" w:eastAsia="宋体" w:cs="宋体"/>
              </w:rPr>
            </w:pPr>
            <w:r>
              <w:rPr>
                <w:rFonts w:hint="eastAsia" w:ascii="宋体" w:hAnsi="宋体" w:eastAsia="宋体" w:cs="宋体"/>
                <w:color w:val="auto"/>
                <w:sz w:val="24"/>
                <w:szCs w:val="24"/>
                <w:lang w:val="en-US" w:eastAsia="zh-CN"/>
              </w:rPr>
              <w:t>注：对供应商的失信行为给予10%/次的报价累加加成，加成后的报价超过预算的，视为无效响应文件。</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2</w:t>
            </w:r>
          </w:p>
        </w:tc>
        <w:tc>
          <w:tcPr>
            <w:tcW w:w="1446" w:type="dxa"/>
            <w:noWrap w:val="0"/>
            <w:vAlign w:val="center"/>
          </w:tcPr>
          <w:p>
            <w:pPr>
              <w:spacing w:line="400" w:lineRule="exact"/>
              <w:ind w:left="0" w:leftChars="0" w:firstLine="0" w:firstLineChars="0"/>
              <w:jc w:val="both"/>
              <w:rPr>
                <w:rFonts w:hint="eastAsia" w:ascii="宋体" w:hAnsi="宋体" w:eastAsia="宋体" w:cs="宋体"/>
                <w:color w:val="auto"/>
                <w:sz w:val="24"/>
                <w:lang w:val="en-US" w:eastAsia="zh-CN" w:bidi="ar-SA"/>
              </w:rPr>
            </w:pPr>
            <w:r>
              <w:rPr>
                <w:rFonts w:hint="eastAsia" w:ascii="宋体" w:hAnsi="宋体" w:eastAsia="宋体" w:cs="宋体"/>
                <w:color w:val="auto"/>
                <w:sz w:val="24"/>
              </w:rPr>
              <w:t>维修维保服务方案</w:t>
            </w:r>
            <w:r>
              <w:rPr>
                <w:rFonts w:hint="eastAsia" w:ascii="宋体" w:hAnsi="宋体" w:eastAsia="宋体" w:cs="宋体"/>
                <w:color w:val="auto"/>
                <w:sz w:val="24"/>
                <w:lang w:val="en-US" w:eastAsia="zh-CN"/>
              </w:rPr>
              <w:t>18</w:t>
            </w:r>
            <w:r>
              <w:rPr>
                <w:rFonts w:hint="eastAsia" w:ascii="宋体" w:hAnsi="宋体" w:eastAsia="宋体" w:cs="宋体"/>
                <w:color w:val="auto"/>
                <w:sz w:val="24"/>
              </w:rPr>
              <w:t>%</w:t>
            </w:r>
          </w:p>
        </w:tc>
        <w:tc>
          <w:tcPr>
            <w:tcW w:w="930" w:type="dxa"/>
            <w:noWrap w:val="0"/>
            <w:vAlign w:val="center"/>
          </w:tcPr>
          <w:p>
            <w:pPr>
              <w:spacing w:line="400" w:lineRule="exact"/>
              <w:ind w:left="0" w:leftChars="0" w:firstLine="0" w:firstLineChars="0"/>
              <w:jc w:val="both"/>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rPr>
              <w:t>18</w:t>
            </w:r>
            <w:r>
              <w:rPr>
                <w:rFonts w:hint="eastAsia" w:ascii="宋体" w:hAnsi="宋体" w:eastAsia="宋体" w:cs="宋体"/>
                <w:color w:val="auto"/>
                <w:sz w:val="24"/>
              </w:rPr>
              <w:t>分</w:t>
            </w:r>
          </w:p>
        </w:tc>
        <w:tc>
          <w:tcPr>
            <w:tcW w:w="6135" w:type="dxa"/>
            <w:noWrap w:val="0"/>
            <w:vAlign w:val="center"/>
          </w:tcPr>
          <w:p>
            <w:pPr>
              <w:numPr>
                <w:ilvl w:val="0"/>
                <w:numId w:val="0"/>
              </w:numPr>
              <w:ind w:leftChars="0"/>
              <w:rPr>
                <w:rFonts w:hint="eastAsia" w:ascii="宋体" w:hAnsi="宋体" w:eastAsia="宋体" w:cs="宋体"/>
                <w:color w:val="auto"/>
                <w:sz w:val="24"/>
                <w:lang w:val="en-US" w:eastAsia="zh-CN" w:bidi="ar-SA"/>
              </w:rPr>
            </w:pPr>
            <w:r>
              <w:rPr>
                <w:rFonts w:hint="eastAsia" w:ascii="宋体" w:hAnsi="宋体" w:eastAsia="宋体" w:cs="宋体"/>
                <w:color w:val="auto"/>
                <w:sz w:val="24"/>
              </w:rPr>
              <w:t>供应商提供</w:t>
            </w:r>
            <w:r>
              <w:rPr>
                <w:rFonts w:hint="eastAsia" w:ascii="宋体" w:hAnsi="宋体" w:eastAsia="宋体" w:cs="宋体"/>
                <w:color w:val="auto"/>
                <w:sz w:val="24"/>
                <w:lang w:val="en-US" w:eastAsia="zh-CN"/>
              </w:rPr>
              <w:t>完整的</w:t>
            </w:r>
            <w:r>
              <w:rPr>
                <w:rFonts w:hint="eastAsia" w:ascii="宋体" w:hAnsi="宋体" w:eastAsia="宋体" w:cs="宋体"/>
                <w:color w:val="auto"/>
                <w:sz w:val="24"/>
              </w:rPr>
              <w:t>维修维保服务方案（包括1.项目服务流程</w:t>
            </w: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sz w:val="24"/>
              </w:rPr>
              <w:t>材料和构件供应计划</w:t>
            </w:r>
            <w:r>
              <w:rPr>
                <w:rFonts w:hint="eastAsia" w:ascii="宋体" w:hAnsi="宋体" w:eastAsia="宋体" w:cs="宋体"/>
                <w:color w:val="auto"/>
                <w:sz w:val="24"/>
                <w:lang w:eastAsia="zh-CN"/>
              </w:rPr>
              <w:t>；</w:t>
            </w:r>
            <w:r>
              <w:rPr>
                <w:rFonts w:hint="eastAsia" w:ascii="宋体" w:hAnsi="宋体" w:eastAsia="宋体" w:cs="宋体"/>
                <w:color w:val="auto"/>
                <w:sz w:val="24"/>
              </w:rPr>
              <w:t>3.组织措施</w:t>
            </w:r>
            <w:r>
              <w:rPr>
                <w:rFonts w:hint="eastAsia" w:ascii="宋体" w:hAnsi="宋体" w:eastAsia="宋体" w:cs="宋体"/>
                <w:color w:val="auto"/>
                <w:sz w:val="24"/>
                <w:lang w:eastAsia="zh-CN"/>
              </w:rPr>
              <w:t>；</w:t>
            </w:r>
            <w:r>
              <w:rPr>
                <w:rFonts w:hint="eastAsia" w:ascii="宋体" w:hAnsi="宋体" w:eastAsia="宋体" w:cs="宋体"/>
                <w:color w:val="auto"/>
                <w:sz w:val="24"/>
              </w:rPr>
              <w:t>4.技术措施</w:t>
            </w:r>
            <w:r>
              <w:rPr>
                <w:rFonts w:hint="eastAsia" w:ascii="宋体" w:hAnsi="宋体" w:eastAsia="宋体" w:cs="宋体"/>
                <w:color w:val="auto"/>
                <w:sz w:val="24"/>
                <w:lang w:eastAsia="zh-CN"/>
              </w:rPr>
              <w:t>；</w:t>
            </w:r>
            <w:r>
              <w:rPr>
                <w:rFonts w:hint="eastAsia" w:ascii="宋体" w:hAnsi="宋体" w:eastAsia="宋体" w:cs="宋体"/>
                <w:color w:val="auto"/>
                <w:sz w:val="24"/>
              </w:rPr>
              <w:t>5.巡检方案</w:t>
            </w:r>
            <w:r>
              <w:rPr>
                <w:rFonts w:hint="eastAsia" w:ascii="宋体" w:hAnsi="宋体" w:eastAsia="宋体" w:cs="宋体"/>
                <w:color w:val="auto"/>
                <w:sz w:val="24"/>
                <w:lang w:eastAsia="zh-CN"/>
              </w:rPr>
              <w:t>；</w:t>
            </w:r>
            <w:r>
              <w:rPr>
                <w:rFonts w:hint="eastAsia" w:ascii="宋体" w:hAnsi="宋体" w:eastAsia="宋体" w:cs="宋体"/>
                <w:color w:val="auto"/>
                <w:sz w:val="24"/>
              </w:rPr>
              <w:t>6.服务质量保证措施）</w:t>
            </w:r>
            <w:r>
              <w:rPr>
                <w:rFonts w:hint="eastAsia" w:ascii="宋体" w:hAnsi="宋体" w:eastAsia="宋体" w:cs="宋体"/>
                <w:color w:val="auto"/>
                <w:sz w:val="24"/>
                <w:szCs w:val="24"/>
                <w:lang w:val="en-US" w:eastAsia="zh-CN"/>
              </w:rPr>
              <w:t>得18分；每缺失一项扣3分；每有一处具有缺陷（缺陷是指：存在不适用项目实际情况的情形、凭空编造、内容前后不一致、前后逻辑错误、涉及的规范及标准错误、地点区域错误、套用其他无关内容、不符合采购需求等）的扣1.5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3</w:t>
            </w:r>
          </w:p>
        </w:tc>
        <w:tc>
          <w:tcPr>
            <w:tcW w:w="1446" w:type="dxa"/>
            <w:noWrap w:val="0"/>
            <w:vAlign w:val="center"/>
          </w:tcPr>
          <w:p>
            <w:pPr>
              <w:spacing w:line="400" w:lineRule="exact"/>
              <w:ind w:left="0" w:leftChars="0" w:firstLine="0" w:firstLineChars="0"/>
              <w:jc w:val="both"/>
              <w:rPr>
                <w:rFonts w:hint="eastAsia" w:ascii="宋体" w:hAnsi="宋体" w:eastAsia="宋体" w:cs="宋体"/>
                <w:color w:val="auto"/>
                <w:sz w:val="24"/>
                <w:lang w:val="en-US" w:eastAsia="zh-CN" w:bidi="ar-SA"/>
              </w:rPr>
            </w:pPr>
            <w:r>
              <w:rPr>
                <w:rFonts w:hint="eastAsia" w:ascii="宋体" w:hAnsi="宋体" w:eastAsia="宋体" w:cs="宋体"/>
                <w:color w:val="auto"/>
                <w:sz w:val="24"/>
              </w:rPr>
              <w:t>应急方案</w:t>
            </w:r>
            <w:r>
              <w:rPr>
                <w:rFonts w:hint="eastAsia" w:ascii="宋体" w:hAnsi="宋体" w:eastAsia="宋体" w:cs="宋体"/>
                <w:color w:val="auto"/>
                <w:sz w:val="24"/>
                <w:lang w:val="en-US" w:eastAsia="zh-CN"/>
              </w:rPr>
              <w:t>16</w:t>
            </w:r>
            <w:r>
              <w:rPr>
                <w:rFonts w:hint="eastAsia" w:ascii="宋体" w:hAnsi="宋体" w:eastAsia="宋体" w:cs="宋体"/>
                <w:color w:val="auto"/>
                <w:sz w:val="24"/>
              </w:rPr>
              <w:t>%</w:t>
            </w:r>
          </w:p>
        </w:tc>
        <w:tc>
          <w:tcPr>
            <w:tcW w:w="930" w:type="dxa"/>
            <w:noWrap w:val="0"/>
            <w:vAlign w:val="center"/>
          </w:tcPr>
          <w:p>
            <w:pPr>
              <w:spacing w:line="400" w:lineRule="exact"/>
              <w:ind w:left="0" w:leftChars="0" w:firstLine="0" w:firstLineChars="0"/>
              <w:jc w:val="both"/>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rPr>
              <w:t>16</w:t>
            </w:r>
            <w:r>
              <w:rPr>
                <w:rFonts w:hint="eastAsia" w:ascii="宋体" w:hAnsi="宋体" w:eastAsia="宋体" w:cs="宋体"/>
                <w:color w:val="auto"/>
                <w:sz w:val="24"/>
              </w:rPr>
              <w:t>分</w:t>
            </w:r>
          </w:p>
        </w:tc>
        <w:tc>
          <w:tcPr>
            <w:tcW w:w="6135" w:type="dxa"/>
            <w:noWrap w:val="0"/>
            <w:vAlign w:val="center"/>
          </w:tcPr>
          <w:p>
            <w:pPr>
              <w:numPr>
                <w:ilvl w:val="0"/>
                <w:numId w:val="0"/>
              </w:numPr>
              <w:ind w:leftChars="0"/>
              <w:rPr>
                <w:rFonts w:hint="eastAsia" w:ascii="宋体" w:hAnsi="宋体" w:eastAsia="宋体" w:cs="宋体"/>
                <w:color w:val="auto"/>
                <w:sz w:val="24"/>
                <w:lang w:val="en-US" w:eastAsia="zh-CN" w:bidi="ar-SA"/>
              </w:rPr>
            </w:pPr>
            <w:r>
              <w:rPr>
                <w:rFonts w:hint="eastAsia" w:ascii="宋体" w:hAnsi="宋体" w:eastAsia="宋体" w:cs="宋体"/>
                <w:color w:val="auto"/>
                <w:sz w:val="24"/>
              </w:rPr>
              <w:t>供应商提供</w:t>
            </w:r>
            <w:r>
              <w:rPr>
                <w:rFonts w:hint="eastAsia" w:ascii="宋体" w:hAnsi="宋体" w:eastAsia="宋体" w:cs="宋体"/>
                <w:color w:val="auto"/>
                <w:sz w:val="24"/>
                <w:lang w:val="en-US" w:eastAsia="zh-CN"/>
              </w:rPr>
              <w:t>完整的</w:t>
            </w:r>
            <w:r>
              <w:rPr>
                <w:rFonts w:hint="eastAsia" w:ascii="宋体" w:hAnsi="宋体" w:eastAsia="宋体" w:cs="宋体"/>
                <w:color w:val="auto"/>
                <w:sz w:val="24"/>
              </w:rPr>
              <w:t>应急方案（包括1.应急组成人员、2.事故发生后的应急措施、3.应急响应时间、4.</w:t>
            </w:r>
            <w:r>
              <w:rPr>
                <w:rFonts w:hint="eastAsia" w:ascii="宋体" w:hAnsi="宋体" w:eastAsia="宋体" w:cs="宋体"/>
                <w:sz w:val="24"/>
                <w:szCs w:val="22"/>
              </w:rPr>
              <w:t>应急预案</w:t>
            </w:r>
            <w:r>
              <w:rPr>
                <w:rFonts w:hint="eastAsia" w:ascii="宋体" w:hAnsi="宋体" w:eastAsia="宋体" w:cs="宋体"/>
                <w:color w:val="auto"/>
                <w:sz w:val="24"/>
              </w:rPr>
              <w:t>）</w:t>
            </w:r>
            <w:r>
              <w:rPr>
                <w:rFonts w:hint="eastAsia" w:ascii="宋体" w:hAnsi="宋体" w:eastAsia="宋体" w:cs="宋体"/>
                <w:color w:val="auto"/>
                <w:sz w:val="24"/>
                <w:szCs w:val="24"/>
                <w:lang w:val="en-US" w:eastAsia="zh-CN"/>
              </w:rPr>
              <w:t>得16分；每缺失一项扣4分；每有一处具有缺陷（缺陷是指：存在不适用项目实际情况的情形、凭空编造、内容前后不一致、前后逻辑错误、涉及的规范及标准错误、地点区域错误、套用其他无关内容、不符合采购需求等）的扣2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4</w:t>
            </w:r>
          </w:p>
        </w:tc>
        <w:tc>
          <w:tcPr>
            <w:tcW w:w="1446" w:type="dxa"/>
            <w:noWrap w:val="0"/>
            <w:vAlign w:val="center"/>
          </w:tcPr>
          <w:p>
            <w:pPr>
              <w:spacing w:line="400" w:lineRule="exact"/>
              <w:ind w:left="0" w:leftChars="0" w:firstLine="0" w:firstLineChars="0"/>
              <w:jc w:val="both"/>
              <w:rPr>
                <w:rFonts w:hint="eastAsia" w:ascii="宋体" w:hAnsi="宋体" w:eastAsia="宋体" w:cs="宋体"/>
                <w:color w:val="auto"/>
                <w:sz w:val="24"/>
                <w:lang w:val="en-US" w:eastAsia="zh-CN" w:bidi="ar-SA"/>
              </w:rPr>
            </w:pPr>
            <w:r>
              <w:rPr>
                <w:rFonts w:hint="eastAsia" w:ascii="宋体" w:hAnsi="宋体" w:eastAsia="宋体" w:cs="宋体"/>
                <w:color w:val="auto"/>
                <w:sz w:val="24"/>
              </w:rPr>
              <w:t>安全作业保障方案</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p>
        </w:tc>
        <w:tc>
          <w:tcPr>
            <w:tcW w:w="930" w:type="dxa"/>
            <w:noWrap w:val="0"/>
            <w:vAlign w:val="center"/>
          </w:tcPr>
          <w:p>
            <w:pPr>
              <w:spacing w:line="400" w:lineRule="exact"/>
              <w:ind w:left="0" w:leftChars="0" w:firstLine="0" w:firstLineChars="0"/>
              <w:jc w:val="both"/>
              <w:rPr>
                <w:rFonts w:hint="eastAsia" w:ascii="宋体" w:hAnsi="宋体" w:eastAsia="宋体" w:cs="宋体"/>
                <w:color w:val="auto"/>
                <w:sz w:val="24"/>
                <w:lang w:val="en-US" w:eastAsia="zh-CN" w:bidi="ar-SA"/>
              </w:rPr>
            </w:pPr>
            <w:r>
              <w:rPr>
                <w:rFonts w:hint="eastAsia" w:ascii="宋体" w:hAnsi="宋体" w:eastAsia="宋体" w:cs="宋体"/>
                <w:color w:val="auto"/>
                <w:sz w:val="24"/>
                <w:lang w:val="en-US" w:eastAsia="zh-CN"/>
              </w:rPr>
              <w:t>9</w:t>
            </w:r>
            <w:r>
              <w:rPr>
                <w:rFonts w:hint="eastAsia" w:ascii="宋体" w:hAnsi="宋体" w:eastAsia="宋体" w:cs="宋体"/>
                <w:color w:val="auto"/>
                <w:sz w:val="24"/>
              </w:rPr>
              <w:t>分</w:t>
            </w:r>
          </w:p>
        </w:tc>
        <w:tc>
          <w:tcPr>
            <w:tcW w:w="6135" w:type="dxa"/>
            <w:noWrap w:val="0"/>
            <w:vAlign w:val="center"/>
          </w:tcPr>
          <w:p>
            <w:pPr>
              <w:numPr>
                <w:ilvl w:val="0"/>
                <w:numId w:val="0"/>
              </w:numPr>
              <w:ind w:leftChars="0"/>
              <w:rPr>
                <w:rFonts w:hint="eastAsia" w:ascii="宋体" w:hAnsi="宋体" w:eastAsia="宋体" w:cs="宋体"/>
                <w:color w:val="auto"/>
                <w:sz w:val="24"/>
                <w:lang w:val="en-US" w:eastAsia="zh-CN" w:bidi="ar-SA"/>
              </w:rPr>
            </w:pPr>
            <w:r>
              <w:rPr>
                <w:rFonts w:hint="eastAsia" w:ascii="宋体" w:hAnsi="宋体" w:eastAsia="宋体" w:cs="宋体"/>
                <w:color w:val="auto"/>
                <w:sz w:val="24"/>
              </w:rPr>
              <w:t>供应商提供</w:t>
            </w:r>
            <w:r>
              <w:rPr>
                <w:rFonts w:hint="eastAsia" w:ascii="宋体" w:hAnsi="宋体" w:eastAsia="宋体" w:cs="宋体"/>
                <w:color w:val="auto"/>
                <w:sz w:val="24"/>
                <w:lang w:val="en-US" w:eastAsia="zh-CN"/>
              </w:rPr>
              <w:t>完整的</w:t>
            </w:r>
            <w:r>
              <w:rPr>
                <w:rFonts w:hint="eastAsia" w:ascii="宋体" w:hAnsi="宋体" w:eastAsia="宋体" w:cs="宋体"/>
                <w:color w:val="auto"/>
                <w:sz w:val="24"/>
              </w:rPr>
              <w:t>安全作业保障方案（包括1.安全文明措施、2.安全管理及设施、3.安全维护及现场秩序保障</w:t>
            </w:r>
            <w:r>
              <w:rPr>
                <w:rFonts w:hint="eastAsia" w:ascii="宋体" w:hAnsi="宋体" w:eastAsia="宋体" w:cs="宋体"/>
                <w:color w:val="auto"/>
                <w:sz w:val="24"/>
                <w:lang w:eastAsia="zh-CN"/>
              </w:rPr>
              <w:t>）</w:t>
            </w:r>
            <w:r>
              <w:rPr>
                <w:rFonts w:hint="eastAsia" w:ascii="宋体" w:hAnsi="宋体" w:eastAsia="宋体" w:cs="宋体"/>
                <w:color w:val="auto"/>
                <w:sz w:val="24"/>
                <w:szCs w:val="24"/>
                <w:lang w:val="en-US" w:eastAsia="zh-CN"/>
              </w:rPr>
              <w:t>得9分；每缺失一项扣3分；每有一处具有缺陷（缺陷是指：存在不适用项目实际情况的情形、凭空编造、内容前后不一致、前后逻辑错误、涉及的规范及标准错误、地点区域错误、套用其他无关内容、不符合采购需求等）的扣1.5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rPr>
              <w:t>5</w:t>
            </w:r>
          </w:p>
        </w:tc>
        <w:tc>
          <w:tcPr>
            <w:tcW w:w="1446" w:type="dxa"/>
            <w:noWrap w:val="0"/>
            <w:vAlign w:val="center"/>
          </w:tcPr>
          <w:p>
            <w:pPr>
              <w:ind w:left="0" w:leftChars="0" w:firstLine="0" w:firstLineChars="0"/>
              <w:rPr>
                <w:rFonts w:hint="eastAsia" w:ascii="宋体" w:hAnsi="宋体" w:eastAsia="宋体" w:cs="宋体"/>
                <w:sz w:val="24"/>
                <w:szCs w:val="22"/>
                <w:lang w:val="en-US" w:eastAsia="zh-CN"/>
              </w:rPr>
            </w:pPr>
            <w:r>
              <w:rPr>
                <w:rFonts w:hint="eastAsia" w:ascii="宋体" w:hAnsi="宋体" w:eastAsia="宋体" w:cs="宋体"/>
                <w:sz w:val="24"/>
                <w:szCs w:val="22"/>
              </w:rPr>
              <w:t>售后服务10%</w:t>
            </w:r>
          </w:p>
        </w:tc>
        <w:tc>
          <w:tcPr>
            <w:tcW w:w="930" w:type="dxa"/>
            <w:noWrap w:val="0"/>
            <w:vAlign w:val="center"/>
          </w:tcPr>
          <w:p>
            <w:pPr>
              <w:ind w:left="0" w:leftChars="0" w:firstLine="0" w:firstLineChars="0"/>
              <w:rPr>
                <w:rFonts w:hint="eastAsia" w:ascii="宋体" w:hAnsi="宋体" w:eastAsia="宋体" w:cs="宋体"/>
                <w:sz w:val="24"/>
                <w:szCs w:val="22"/>
                <w:lang w:val="en-US" w:eastAsia="zh-CN"/>
              </w:rPr>
            </w:pPr>
            <w:r>
              <w:rPr>
                <w:rFonts w:hint="eastAsia" w:ascii="宋体" w:hAnsi="宋体" w:eastAsia="宋体" w:cs="宋体"/>
                <w:sz w:val="24"/>
                <w:szCs w:val="22"/>
              </w:rPr>
              <w:t>10分</w:t>
            </w:r>
          </w:p>
        </w:tc>
        <w:tc>
          <w:tcPr>
            <w:tcW w:w="6135" w:type="dxa"/>
            <w:noWrap w:val="0"/>
            <w:vAlign w:val="center"/>
          </w:tcPr>
          <w:p>
            <w:pPr>
              <w:ind w:left="0" w:leftChars="0" w:firstLine="0" w:firstLineChars="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eastAsia="宋体" w:cs="宋体"/>
                <w:sz w:val="24"/>
                <w:szCs w:val="22"/>
              </w:rPr>
              <w:t>供应商</w:t>
            </w:r>
            <w:r>
              <w:rPr>
                <w:rFonts w:hint="eastAsia" w:ascii="宋体" w:hAnsi="宋体" w:eastAsia="宋体" w:cs="宋体"/>
                <w:sz w:val="24"/>
                <w:szCs w:val="22"/>
                <w:lang w:val="en-US" w:eastAsia="zh-CN"/>
              </w:rPr>
              <w:t>提供完整</w:t>
            </w:r>
            <w:r>
              <w:rPr>
                <w:rFonts w:hint="eastAsia" w:ascii="宋体" w:hAnsi="宋体" w:eastAsia="宋体" w:cs="宋体"/>
                <w:sz w:val="24"/>
                <w:szCs w:val="22"/>
              </w:rPr>
              <w:t>的售后服务方案</w:t>
            </w:r>
            <w:r>
              <w:rPr>
                <w:rFonts w:hint="eastAsia" w:ascii="宋体" w:hAnsi="宋体" w:eastAsia="宋体" w:cs="宋体"/>
                <w:sz w:val="24"/>
                <w:szCs w:val="22"/>
                <w:lang w:eastAsia="zh-CN"/>
              </w:rPr>
              <w:t>（</w:t>
            </w:r>
            <w:r>
              <w:rPr>
                <w:rFonts w:hint="eastAsia" w:ascii="宋体" w:hAnsi="宋体" w:eastAsia="宋体" w:cs="宋体"/>
                <w:sz w:val="24"/>
                <w:szCs w:val="22"/>
              </w:rPr>
              <w:t>包括</w:t>
            </w:r>
            <w:r>
              <w:rPr>
                <w:rFonts w:hint="eastAsia" w:ascii="宋体" w:hAnsi="宋体" w:eastAsia="宋体" w:cs="宋体"/>
                <w:sz w:val="24"/>
                <w:szCs w:val="22"/>
                <w:lang w:val="en-US" w:eastAsia="zh-CN"/>
              </w:rPr>
              <w:t>1.</w:t>
            </w:r>
            <w:r>
              <w:rPr>
                <w:rFonts w:hint="eastAsia" w:ascii="宋体" w:hAnsi="宋体" w:eastAsia="宋体" w:cs="宋体"/>
                <w:sz w:val="24"/>
                <w:szCs w:val="22"/>
              </w:rPr>
              <w:t>日常巡检方案</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2.</w:t>
            </w:r>
            <w:r>
              <w:rPr>
                <w:rFonts w:hint="eastAsia" w:ascii="宋体" w:hAnsi="宋体" w:eastAsia="宋体" w:cs="宋体"/>
                <w:sz w:val="24"/>
                <w:szCs w:val="22"/>
              </w:rPr>
              <w:t>定期保养方案</w:t>
            </w:r>
            <w:r>
              <w:rPr>
                <w:rFonts w:hint="eastAsia" w:ascii="宋体" w:hAnsi="宋体" w:eastAsia="宋体" w:cs="宋体"/>
                <w:sz w:val="24"/>
                <w:szCs w:val="22"/>
                <w:lang w:val="en-US" w:eastAsia="zh-CN"/>
              </w:rPr>
              <w:t>、3.</w:t>
            </w:r>
            <w:r>
              <w:rPr>
                <w:rFonts w:hint="eastAsia" w:ascii="宋体" w:hAnsi="宋体" w:eastAsia="宋体" w:cs="宋体"/>
                <w:sz w:val="24"/>
                <w:szCs w:val="22"/>
              </w:rPr>
              <w:t>故障排除方案</w:t>
            </w:r>
            <w:r>
              <w:rPr>
                <w:rFonts w:hint="eastAsia" w:ascii="宋体" w:hAnsi="宋体" w:eastAsia="宋体" w:cs="宋体"/>
                <w:sz w:val="24"/>
                <w:szCs w:val="22"/>
                <w:lang w:eastAsia="zh-CN"/>
              </w:rPr>
              <w:t>、</w:t>
            </w:r>
            <w:r>
              <w:rPr>
                <w:rFonts w:hint="eastAsia" w:ascii="宋体" w:hAnsi="宋体" w:eastAsia="宋体" w:cs="宋体"/>
                <w:sz w:val="24"/>
                <w:szCs w:val="22"/>
                <w:lang w:val="en-US" w:eastAsia="zh-CN"/>
              </w:rPr>
              <w:t>4.</w:t>
            </w:r>
            <w:r>
              <w:rPr>
                <w:rFonts w:hint="eastAsia" w:ascii="宋体" w:hAnsi="宋体" w:eastAsia="宋体" w:cs="宋体"/>
                <w:sz w:val="24"/>
                <w:szCs w:val="22"/>
              </w:rPr>
              <w:t>人员培训计划</w:t>
            </w:r>
            <w:r>
              <w:rPr>
                <w:rFonts w:hint="eastAsia" w:ascii="宋体" w:hAnsi="宋体" w:eastAsia="宋体" w:cs="宋体"/>
                <w:sz w:val="24"/>
                <w:szCs w:val="22"/>
                <w:lang w:eastAsia="zh-CN"/>
              </w:rPr>
              <w:t>）</w:t>
            </w:r>
            <w:r>
              <w:rPr>
                <w:rFonts w:hint="eastAsia" w:ascii="宋体" w:hAnsi="宋体" w:eastAsia="宋体" w:cs="宋体"/>
                <w:color w:val="auto"/>
                <w:sz w:val="24"/>
                <w:szCs w:val="24"/>
                <w:lang w:val="en-US" w:eastAsia="zh-CN"/>
              </w:rPr>
              <w:t>得10分。每缺失一项扣2.5分；每有一处具有缺陷（缺陷是指：存在不适用项目实际情况的情形、凭空编造、内容前后不一致、前后逻辑错误、涉及的规范及标准错误、地点区域错误、套用其他无关内容、不符合采购需求等）的扣1.25分，扣完为止。</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rPr>
              <w:t>6</w:t>
            </w:r>
          </w:p>
        </w:tc>
        <w:tc>
          <w:tcPr>
            <w:tcW w:w="1446" w:type="dxa"/>
            <w:noWrap w:val="0"/>
            <w:vAlign w:val="center"/>
          </w:tcPr>
          <w:p>
            <w:pPr>
              <w:spacing w:line="400" w:lineRule="exact"/>
              <w:ind w:left="0" w:leftChars="0" w:firstLine="0" w:firstLineChars="0"/>
              <w:jc w:val="center"/>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履约能力</w:t>
            </w:r>
            <w:r>
              <w:rPr>
                <w:rFonts w:hint="eastAsia" w:ascii="宋体" w:hAnsi="宋体" w:eastAsia="宋体" w:cs="宋体"/>
                <w:color w:val="000000"/>
                <w:sz w:val="24"/>
                <w:szCs w:val="22"/>
                <w:lang w:val="en-US" w:eastAsia="zh-CN"/>
              </w:rPr>
              <w:t>12</w:t>
            </w:r>
            <w:r>
              <w:rPr>
                <w:rFonts w:hint="eastAsia" w:ascii="宋体" w:hAnsi="宋体" w:eastAsia="宋体" w:cs="宋体"/>
                <w:color w:val="000000"/>
                <w:sz w:val="24"/>
                <w:szCs w:val="22"/>
              </w:rPr>
              <w:t>%</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12</w:t>
            </w:r>
            <w:r>
              <w:rPr>
                <w:rFonts w:hint="eastAsia" w:ascii="宋体" w:hAnsi="宋体" w:eastAsia="宋体" w:cs="宋体"/>
                <w:color w:val="000000"/>
                <w:sz w:val="24"/>
                <w:szCs w:val="22"/>
                <w:highlight w:val="none"/>
              </w:rPr>
              <w:t>分</w:t>
            </w:r>
          </w:p>
        </w:tc>
        <w:tc>
          <w:tcPr>
            <w:tcW w:w="6135" w:type="dxa"/>
            <w:noWrap w:val="0"/>
            <w:vAlign w:val="top"/>
          </w:tcPr>
          <w:p>
            <w:pPr>
              <w:spacing w:line="400" w:lineRule="exact"/>
              <w:ind w:left="0" w:leftChars="0" w:firstLine="0" w:firstLineChars="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auto"/>
                <w:sz w:val="24"/>
                <w:szCs w:val="24"/>
                <w:highlight w:val="none"/>
                <w:lang w:val="en-US" w:eastAsia="zh-CN"/>
              </w:rPr>
              <w:t>供应商在2019年1月以来每具一个类似业绩得3分，最多得12分。（业绩提供中标（成交）通知书或合同协议复印件并加盖供应商盖章）</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09" w:type="dxa"/>
            <w:noWrap w:val="0"/>
            <w:vAlign w:val="center"/>
          </w:tcPr>
          <w:p>
            <w:pPr>
              <w:spacing w:line="400" w:lineRule="exact"/>
              <w:ind w:left="0" w:leftChars="0" w:firstLine="0" w:firstLineChars="0"/>
              <w:jc w:val="left"/>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7</w:t>
            </w:r>
          </w:p>
        </w:tc>
        <w:tc>
          <w:tcPr>
            <w:tcW w:w="1446" w:type="dxa"/>
            <w:noWrap w:val="0"/>
            <w:vAlign w:val="center"/>
          </w:tcPr>
          <w:p>
            <w:pPr>
              <w:spacing w:line="400" w:lineRule="exact"/>
              <w:ind w:left="0" w:leftChars="0" w:firstLine="0" w:firstLineChars="0"/>
              <w:jc w:val="center"/>
              <w:rPr>
                <w:rFonts w:hint="eastAsia" w:ascii="宋体" w:hAnsi="宋体" w:eastAsia="宋体" w:cs="宋体"/>
                <w:color w:val="000000"/>
                <w:sz w:val="24"/>
                <w:szCs w:val="22"/>
                <w:lang w:eastAsia="zh-CN"/>
              </w:rPr>
            </w:pPr>
            <w:r>
              <w:rPr>
                <w:rFonts w:hint="eastAsia" w:ascii="宋体" w:hAnsi="宋体" w:eastAsia="宋体" w:cs="宋体"/>
                <w:color w:val="000000"/>
                <w:sz w:val="24"/>
                <w:szCs w:val="22"/>
                <w:lang w:eastAsia="zh-CN"/>
              </w:rPr>
              <w:t>综合实力</w:t>
            </w:r>
            <w:r>
              <w:rPr>
                <w:rFonts w:hint="eastAsia" w:ascii="宋体" w:hAnsi="宋体" w:eastAsia="宋体" w:cs="宋体"/>
                <w:color w:val="000000"/>
                <w:sz w:val="24"/>
                <w:szCs w:val="22"/>
                <w:lang w:val="en-US" w:eastAsia="zh-CN"/>
              </w:rPr>
              <w:t>15</w:t>
            </w:r>
            <w:r>
              <w:rPr>
                <w:rFonts w:hint="eastAsia" w:ascii="宋体" w:hAnsi="宋体" w:eastAsia="宋体" w:cs="宋体"/>
                <w:color w:val="000000"/>
                <w:sz w:val="24"/>
                <w:szCs w:val="22"/>
              </w:rPr>
              <w:t>%</w:t>
            </w:r>
          </w:p>
        </w:tc>
        <w:tc>
          <w:tcPr>
            <w:tcW w:w="930" w:type="dxa"/>
            <w:noWrap w:val="0"/>
            <w:vAlign w:val="center"/>
          </w:tcPr>
          <w:p>
            <w:pPr>
              <w:spacing w:line="400" w:lineRule="exact"/>
              <w:ind w:left="0" w:leftChars="0" w:firstLine="0" w:firstLineChars="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15分</w:t>
            </w:r>
          </w:p>
        </w:tc>
        <w:tc>
          <w:tcPr>
            <w:tcW w:w="6135" w:type="dxa"/>
            <w:noWrap w:val="0"/>
            <w:vAlign w:val="top"/>
          </w:tcPr>
          <w:p>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1.供应商为本项目配备人员：每具有一个机电类或电气类高级及以上工程师职称得3分，最多得6分；每具有一个机电类或电气类工程师职称得1分，最多得3分； 本项最多得9分。</w:t>
            </w:r>
          </w:p>
          <w:p>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(提供相关证书复印件及在职证明材料并加盖供应商公章。) </w:t>
            </w:r>
          </w:p>
          <w:p>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2.每具有一个特种作业操作证（</w:t>
            </w:r>
            <w:r>
              <w:rPr>
                <w:rFonts w:hint="eastAsia" w:ascii="宋体" w:hAnsi="宋体" w:eastAsia="宋体" w:cs="宋体"/>
                <w:b w:val="0"/>
                <w:bCs/>
                <w:color w:val="auto"/>
                <w:sz w:val="24"/>
                <w:szCs w:val="24"/>
                <w:highlight w:val="none"/>
                <w:lang w:val="en-US" w:eastAsia="zh-CN"/>
              </w:rPr>
              <w:t>制冷与空调作业）</w:t>
            </w:r>
            <w:r>
              <w:rPr>
                <w:rFonts w:hint="eastAsia" w:ascii="宋体" w:hAnsi="宋体" w:eastAsia="宋体" w:cs="宋体"/>
                <w:color w:val="auto"/>
                <w:sz w:val="24"/>
                <w:szCs w:val="24"/>
                <w:highlight w:val="none"/>
                <w:lang w:val="en-US" w:eastAsia="zh-CN"/>
              </w:rPr>
              <w:t>的得2分，本项最多得6分，没有提供不得分。(提供相关证书复印件及在职证明材料并加盖供应商公章)</w:t>
            </w:r>
          </w:p>
          <w:p>
            <w:pPr>
              <w:ind w:left="0" w:leftChars="0" w:firstLine="0" w:firstLineChars="0"/>
              <w:rPr>
                <w:rFonts w:hint="eastAsia" w:ascii="宋体" w:hAnsi="宋体" w:eastAsia="宋体" w:cs="宋体"/>
                <w:highlight w:val="none"/>
                <w:lang w:eastAsia="zh-CN"/>
              </w:rPr>
            </w:pPr>
            <w:r>
              <w:rPr>
                <w:rFonts w:hint="eastAsia" w:ascii="宋体" w:hAnsi="宋体" w:eastAsia="宋体" w:cs="宋体"/>
                <w:color w:val="auto"/>
                <w:sz w:val="24"/>
                <w:szCs w:val="24"/>
                <w:highlight w:val="none"/>
                <w:lang w:val="en-US" w:eastAsia="zh-CN"/>
              </w:rPr>
              <w:t>注：以上人员不重复计分</w:t>
            </w:r>
          </w:p>
        </w:tc>
        <w:tc>
          <w:tcPr>
            <w:tcW w:w="1560" w:type="dxa"/>
            <w:noWrap w:val="0"/>
            <w:vAlign w:val="center"/>
          </w:tcPr>
          <w:p>
            <w:pPr>
              <w:numPr>
                <w:ilvl w:val="0"/>
                <w:numId w:val="0"/>
              </w:numPr>
              <w:spacing w:line="400" w:lineRule="exact"/>
              <w:jc w:val="left"/>
              <w:rPr>
                <w:rFonts w:hint="eastAsia" w:ascii="宋体" w:hAnsi="宋体" w:eastAsia="宋体" w:cs="宋体"/>
                <w:color w:val="000000"/>
                <w:sz w:val="24"/>
                <w:szCs w:val="22"/>
              </w:rPr>
            </w:pPr>
            <w:r>
              <w:rPr>
                <w:rFonts w:hint="eastAsia" w:ascii="宋体" w:hAnsi="宋体" w:eastAsia="宋体" w:cs="宋体"/>
                <w:color w:val="000000"/>
                <w:sz w:val="24"/>
                <w:szCs w:val="22"/>
              </w:rPr>
              <w:t>共同评分因素</w:t>
            </w:r>
          </w:p>
        </w:tc>
      </w:tr>
      <w:bookmarkEnd w:id="835"/>
      <w:bookmarkEnd w:id="836"/>
      <w:bookmarkEnd w:id="837"/>
    </w:tbl>
    <w:p>
      <w:pPr>
        <w:spacing w:line="400" w:lineRule="exact"/>
        <w:ind w:left="0" w:leftChars="0" w:firstLine="0" w:firstLineChars="0"/>
        <w:jc w:val="both"/>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注：①本表中要求提供各类证明材料，均须加盖供应商单位公章，否则将不认可该项材料的有效性。</w:t>
      </w:r>
    </w:p>
    <w:p>
      <w:pPr>
        <w:spacing w:line="400" w:lineRule="exact"/>
        <w:ind w:left="0" w:leftChars="0" w:firstLine="0" w:firstLineChars="0"/>
        <w:jc w:val="both"/>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2、评分的取值按四舍五入法，保留小数点后两位。</w:t>
      </w:r>
      <w:bookmarkEnd w:id="824"/>
      <w:bookmarkEnd w:id="825"/>
      <w:bookmarkEnd w:id="826"/>
      <w:bookmarkEnd w:id="827"/>
    </w:p>
    <w:p>
      <w:pPr>
        <w:tabs>
          <w:tab w:val="left" w:pos="851"/>
        </w:tabs>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4.磋商纪律及注意事项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4.1磋商小组内部讨论的情况和意见必须保密，任何人不得以任何形式透露给供应商或与供应商有关的单位或个人。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4.2在磋商过程中，供应商不得以任何形式对磋商小组成员进行旨在影响磋商结果的私下接触，否则将取消其参与磋商的资格。</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4.3对各供应商的商业秘密，磋商小组成员应予以保密，不得泄露给其他供应商。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4.4 磋商小组独立评判，推荐成交候选人，并写出书面报告。</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4.5 磋商小组可根据需要对供应商进行实地考察。</w:t>
      </w:r>
    </w:p>
    <w:p>
      <w:pPr>
        <w:tabs>
          <w:tab w:val="left" w:pos="7665"/>
        </w:tabs>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bCs/>
          <w:color w:val="auto"/>
          <w:highlight w:val="none"/>
        </w:rPr>
        <w:t>5.</w:t>
      </w:r>
      <w:bookmarkEnd w:id="828"/>
      <w:r>
        <w:rPr>
          <w:rFonts w:hint="eastAsia" w:ascii="宋体" w:hAnsi="宋体" w:eastAsia="宋体" w:cs="宋体"/>
          <w:b/>
          <w:color w:val="auto"/>
          <w:highlight w:val="none"/>
        </w:rPr>
        <w:t>磋商小组在采购活动中承担以下义务：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（一）遵守评审工作纪律；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（二）按照客观、公正、审慎的原则，根据磋商文件规定的评审程序、评审方法和评审标准进行独立评审；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（三）不得泄露评审文件、评审情况和在评审过程中获悉的商业秘密；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（四）及时向财政部门报告评审过程中发现的采购人、采购代理机构向评审专家做倾向性、误导性的解释或者说明，以及供应商行贿、提供虚假材料或者串通等违法行为；</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（五）发现磋商文件内容违反国家有关强制性规定或者磋商文件存在歧义、重大缺陷导致评审工作无法进行时，停止评审并向采购人或者采购代理机构书面说明情况；</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（六）及时向财政、监察等部门举报在评审过程中受到非法干预的情况；</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（七）配合答复处理供应商的询问、质疑和投诉等事项；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（八）法律、法规和规章规定的其他义务。</w:t>
      </w:r>
    </w:p>
    <w:p>
      <w:pPr>
        <w:tabs>
          <w:tab w:val="left" w:pos="7665"/>
        </w:tabs>
        <w:spacing w:line="360" w:lineRule="auto"/>
        <w:ind w:right="-94" w:rightChars="-39" w:firstLine="482"/>
        <w:rPr>
          <w:rFonts w:hint="eastAsia" w:ascii="宋体" w:hAnsi="宋体" w:eastAsia="宋体" w:cs="宋体"/>
          <w:b/>
          <w:color w:val="auto"/>
          <w:highlight w:val="none"/>
        </w:rPr>
      </w:pPr>
      <w:r>
        <w:rPr>
          <w:rFonts w:hint="eastAsia" w:ascii="宋体" w:hAnsi="宋体" w:eastAsia="宋体" w:cs="宋体"/>
          <w:b/>
          <w:color w:val="auto"/>
          <w:highlight w:val="none"/>
        </w:rPr>
        <w:t>6.评审专家在采购活动中应当遵守以下工作纪律：</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（一）不得参加与自己有《中华人民共和国政府采购法实施条例》第九条规定的利害关系的政府采购项目的评标活动。发现参加了与自己有利害关系的评审活动，须主动提出回避，退出评审；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（二）评审前，应当将通讯工具或者相关电子设备交由采购代理机构统一保管；</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（三）评审过程中，不得与外界联系，因发生不可预见情况，确实需要与外界联系的，应当在监督人员监督之下办理；</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（五）在评审过程中和评审结束后，不得记录、复制或带走任何评审资料，不得向外界透露评审内容；</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（六）评审现场服从采购代理机构工作人员的管理，接受现场监督人员的合法监督；</w:t>
      </w:r>
    </w:p>
    <w:p>
      <w:pPr>
        <w:spacing w:line="360" w:lineRule="auto"/>
        <w:ind w:right="-94" w:rightChars="-39" w:firstLine="480"/>
        <w:rPr>
          <w:rFonts w:hint="eastAsia" w:ascii="宋体" w:hAnsi="宋体" w:eastAsia="宋体" w:cs="宋体"/>
          <w:color w:val="auto"/>
          <w:highlight w:val="none"/>
        </w:rPr>
      </w:pPr>
      <w:r>
        <w:rPr>
          <w:rFonts w:hint="eastAsia" w:ascii="宋体" w:hAnsi="宋体" w:eastAsia="宋体" w:cs="宋体"/>
          <w:color w:val="auto"/>
          <w:highlight w:val="none"/>
        </w:rPr>
        <w:t>（七）遵守有关廉洁自律规定，不得私下接触供应商，不得收受供应商及有关业务单位和个人的财物或好处，不得接受采购代理机构的请托。</w:t>
      </w:r>
    </w:p>
    <w:p>
      <w:pPr>
        <w:pStyle w:val="3"/>
        <w:spacing w:before="0" w:afterLines="50" w:line="360" w:lineRule="auto"/>
        <w:ind w:firstLine="723" w:firstLineChars="200"/>
        <w:rPr>
          <w:rFonts w:hint="eastAsia" w:ascii="宋体" w:hAnsi="宋体" w:eastAsia="宋体" w:cs="宋体"/>
          <w:color w:val="auto"/>
          <w:highlight w:val="none"/>
        </w:rPr>
      </w:pPr>
      <w:r>
        <w:rPr>
          <w:rFonts w:hint="eastAsia" w:ascii="宋体" w:hAnsi="宋体" w:eastAsia="宋体" w:cs="宋体"/>
          <w:color w:val="auto"/>
          <w:szCs w:val="36"/>
          <w:highlight w:val="none"/>
        </w:rPr>
        <w:br w:type="page"/>
      </w:r>
      <w:bookmarkEnd w:id="822"/>
      <w:bookmarkEnd w:id="823"/>
      <w:bookmarkStart w:id="838" w:name="_Toc26837"/>
      <w:bookmarkStart w:id="839" w:name="_Toc31962"/>
      <w:r>
        <w:rPr>
          <w:rFonts w:hint="eastAsia" w:ascii="宋体" w:hAnsi="宋体" w:eastAsia="宋体" w:cs="宋体"/>
          <w:color w:val="auto"/>
          <w:highlight w:val="none"/>
        </w:rPr>
        <w:t xml:space="preserve">第八章  </w:t>
      </w:r>
      <w:r>
        <w:rPr>
          <w:rStyle w:val="46"/>
          <w:rFonts w:hint="eastAsia" w:ascii="宋体" w:hAnsi="宋体" w:eastAsia="宋体" w:cs="宋体"/>
          <w:b/>
          <w:bCs/>
          <w:color w:val="auto"/>
          <w:highlight w:val="none"/>
        </w:rPr>
        <w:t>采购合同（样例）</w:t>
      </w:r>
      <w:bookmarkEnd w:id="838"/>
      <w:bookmarkEnd w:id="839"/>
    </w:p>
    <w:p>
      <w:pPr>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（仅供参考，特别提醒：采购合同的签订不得偏离磋商文件要约及响应文件承诺的实质性内容）</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签订地点：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签订时间：   年   月   日。</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采购人（甲方）：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供应商（乙方）：                              </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依据《中华人民共和国民法典》《中华人民共和国政府采购法》与项目行业有关的法律法规，以及XX项目（项目编号：    ）的《磋商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第一条、项目基本情况</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第二条、合同期限</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第三条、服务内容与质量标准</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第四条、服务费用及支付方式</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本项目服务费用由以下组成：</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服务费支付方式：</w:t>
      </w:r>
    </w:p>
    <w:p>
      <w:pPr>
        <w:spacing w:line="360" w:lineRule="auto"/>
        <w:ind w:firstLine="480"/>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第五条、知识产权</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乙方应保证所提供的服务或其任何一部分均不会侵犯第三方的专利权、商标权或著作权。</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第六条、无产权瑕疵条款</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乙方保证所提供的服务的所有权完全属于乙方且无任何抵押、查封等产权瑕疵。如有产权瑕疵的，视为乙方违约。乙方应负担由此而产生的一切损失。</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第七条、质量保证金</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xxxxxxxxxxxxxxxxxxxxxx</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第八条、甲方的权利和义务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2、甲方有权依据双方签订的考评办法对乙方提供的服务进行定期考评。当考评结果未达到标准时，有权依据考评办法约定的数额扣除质量保证金。</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3、负责检查监督乙方管理工作的实施及制度的执行情况。</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4、根据本合同规定，按时向乙方支付应付服务费用。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5、国家法律、法规所规定由甲方承担的其它责任。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第九条、乙方的权利和义务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1、对本合同规定的委托服务范围内的项目享有管理权及服务义务。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2、根据本合同的规定向甲方收取相关服务费用，并有权在本项目管理范围内管理及合理使用。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3、及时向甲方通告本项目服务范围内有关服务的重大事项，及时配合处理投诉。</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4、接受项目行业管理部门及政府有关部门的指导，接受甲方的监督。</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5、国家法律、法规所规定由乙方承担的其它责任。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第十条、违约责任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1、甲乙双方必须遵守本合同并执行合同中的各项规定，保证本合同的正常履行。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第十一条、不可抗力事件处理</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1、在合同有效期内，任何一方因不可抗力事件导致不能履行合同，则合同履行期可延长，其延长期与不可抗力影响期相同。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2、不可抗力事件发生后，应立即通知对方，并寄送有关权威机构出具的证明。</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3、不可抗力事件延续    天以上，双方应通过友好协商，确定是否继续履行合同。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第十二条、解决合同纠纷的方式</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1、在执行本合同中发生的或与本合同有关的争端，双方应通过友好协商解决，经协商在14个日历天内不能达成协议时，应提交项目属地仲裁委员会仲裁。</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2、仲裁裁决应为最终决定，并对双方具有约束力。</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3、除另有裁决外，仲裁费应由败诉方负担。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4、在仲裁期间，除正在进行仲裁部分外，合同其他部分继续执行。  </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第十三条、合同生效及其他</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1、合同经双方法定代表人/单位负责人或授权委托代理人签字并加盖单位公章后生效。</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3、本合同一式六份，自双方签章之日起起效。甲方三份，乙方二份，采购代理机构一份，具有同等法律效力。</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         （盖章）               乙方：        （盖章）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法定代表人/单位负责人（授权代表）：法定代表人/单位负责人（授权代表）：</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地    址：                            地    址：</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账    号：                            账    号：</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电    话：                            电    话：</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传    真：                            传    真：</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签约日期：  年    月    日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签约日期：  年   月   日</w:t>
      </w:r>
    </w:p>
    <w:sectPr>
      <w:headerReference r:id="rId17" w:type="default"/>
      <w:footerReference r:id="rId18" w:type="default"/>
      <w:type w:val="continuous"/>
      <w:pgSz w:w="11906" w:h="16838"/>
      <w:pgMar w:top="1440" w:right="1800" w:bottom="1440" w:left="1800" w:header="568" w:footer="44"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à.ā">
    <w:altName w:val="黑体"/>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49</w:t>
                    </w:r>
                    <w:r>
                      <w:fldChar w:fldCharType="end"/>
                    </w:r>
                  </w:p>
                </w:txbxContent>
              </v:textbox>
            </v:shape>
          </w:pict>
        </mc:Fallback>
      </mc:AlternateContent>
    </w:r>
  </w:p>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40" w:firstLineChars="100"/>
    </w:pP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40" w:firstLineChars="100"/>
    </w:pP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p>
    <w:pPr>
      <w:ind w:firstLine="0" w:firstLineChars="0"/>
      <w:rPr>
        <w:rFonts w:ascii="隶书" w:eastAsia="隶书"/>
        <w:sz w:val="21"/>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10" w:firstLineChars="100"/>
    </w:pPr>
    <w:r>
      <w:rPr>
        <w:rFonts w:hint="eastAsia" w:ascii="隶书" w:eastAsia="隶书"/>
        <w:sz w:val="21"/>
        <w:szCs w:val="22"/>
      </w:rPr>
      <w:tab/>
    </w: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p>
    <w:pPr>
      <w:tabs>
        <w:tab w:val="left" w:pos="4786"/>
      </w:tabs>
      <w:ind w:firstLine="0" w:firstLineChars="0"/>
      <w:rPr>
        <w:rFonts w:ascii="隶书" w:eastAsia="隶书"/>
        <w:sz w:val="21"/>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34" w:rightChars="-139" w:firstLine="240" w:firstLineChars="100"/>
    </w:pPr>
    <w:r>
      <w:rPr>
        <w:rStyle w:val="34"/>
        <w:rFonts w:hint="eastAsia" w:ascii="Arial" w:hAnsi="Arial"/>
        <w:color w:val="auto"/>
        <w:szCs w:val="24"/>
      </w:rPr>
      <w:t>公开、公平、公正</w:t>
    </w:r>
    <w:r>
      <w:rPr>
        <w:rStyle w:val="34"/>
        <w:rFonts w:ascii="Arial" w:hAnsi="Arial" w:cs="Arial"/>
        <w:color w:val="auto"/>
        <w:szCs w:val="24"/>
      </w:rPr>
      <w:t xml:space="preserve">       </w:t>
    </w:r>
    <w:r>
      <w:rPr>
        <w:rStyle w:val="34"/>
        <w:rFonts w:hint="eastAsia" w:ascii="Arial" w:hAnsi="Arial" w:cs="Arial"/>
        <w:color w:val="auto"/>
        <w:szCs w:val="24"/>
      </w:rPr>
      <w:t xml:space="preserve">                  </w:t>
    </w:r>
    <w:r>
      <w:rPr>
        <w:rStyle w:val="34"/>
        <w:rFonts w:ascii="Arial" w:hAnsi="Arial" w:cs="Arial"/>
        <w:color w:val="auto"/>
        <w:szCs w:val="24"/>
      </w:rPr>
      <w:t xml:space="preserve"> </w:t>
    </w:r>
    <w:r>
      <w:rPr>
        <w:rStyle w:val="34"/>
        <w:rFonts w:hint="eastAsia" w:ascii="Arial" w:hAnsi="Arial"/>
        <w:color w:val="auto"/>
        <w:szCs w:val="24"/>
      </w:rPr>
      <w:t>四川至善工程项目管理有限公司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bCs/>
        <w:sz w:val="21"/>
        <w:szCs w:val="21"/>
      </w:rPr>
    </w:pPr>
  </w:p>
  <w:p>
    <w:pPr>
      <w:ind w:firstLine="0" w:firstLineChars="0"/>
      <w:rPr>
        <w:rFonts w:ascii="隶书" w:eastAsia="隶书"/>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109"/>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A29E39D"/>
    <w:multiLevelType w:val="singleLevel"/>
    <w:tmpl w:val="FA29E39D"/>
    <w:lvl w:ilvl="0" w:tentative="0">
      <w:start w:val="3"/>
      <w:numFmt w:val="chineseCounting"/>
      <w:suff w:val="nothing"/>
      <w:lvlText w:val="%1、"/>
      <w:lvlJc w:val="left"/>
      <w:rPr>
        <w:rFonts w:hint="eastAsia"/>
      </w:rPr>
    </w:lvl>
  </w:abstractNum>
  <w:abstractNum w:abstractNumId="2">
    <w:nsid w:val="0787A831"/>
    <w:multiLevelType w:val="singleLevel"/>
    <w:tmpl w:val="0787A831"/>
    <w:lvl w:ilvl="0" w:tentative="0">
      <w:start w:val="9"/>
      <w:numFmt w:val="chineseCounting"/>
      <w:suff w:val="nothing"/>
      <w:lvlText w:val="%1、"/>
      <w:lvlJc w:val="left"/>
      <w:rPr>
        <w:rFonts w:hint="eastAsia"/>
      </w:rPr>
    </w:lvl>
  </w:abstractNum>
  <w:abstractNum w:abstractNumId="3">
    <w:nsid w:val="0B49F450"/>
    <w:multiLevelType w:val="singleLevel"/>
    <w:tmpl w:val="0B49F450"/>
    <w:lvl w:ilvl="0" w:tentative="0">
      <w:start w:val="3"/>
      <w:numFmt w:val="chineseCounting"/>
      <w:suff w:val="nothing"/>
      <w:lvlText w:val="（%1）"/>
      <w:lvlJc w:val="left"/>
      <w:rPr>
        <w:rFonts w:hint="eastAsia"/>
      </w:rPr>
    </w:lvl>
  </w:abstractNum>
  <w:abstractNum w:abstractNumId="4">
    <w:nsid w:val="136ED701"/>
    <w:multiLevelType w:val="singleLevel"/>
    <w:tmpl w:val="136ED701"/>
    <w:lvl w:ilvl="0" w:tentative="0">
      <w:start w:val="4"/>
      <w:numFmt w:val="chineseCounting"/>
      <w:suff w:val="nothing"/>
      <w:lvlText w:val="%1、"/>
      <w:lvlJc w:val="left"/>
      <w:rPr>
        <w:rFonts w:hint="eastAsia"/>
      </w:rPr>
    </w:lvl>
  </w:abstractNum>
  <w:abstractNum w:abstractNumId="5">
    <w:nsid w:val="19336E0B"/>
    <w:multiLevelType w:val="multilevel"/>
    <w:tmpl w:val="19336E0B"/>
    <w:lvl w:ilvl="0" w:tentative="0">
      <w:start w:val="1"/>
      <w:numFmt w:val="japaneseCounting"/>
      <w:lvlText w:val="%1、"/>
      <w:lvlJc w:val="left"/>
      <w:pPr>
        <w:tabs>
          <w:tab w:val="left" w:pos="960"/>
        </w:tabs>
        <w:ind w:left="960" w:hanging="480"/>
      </w:pPr>
      <w:rPr>
        <w:rFonts w:hint="default"/>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pStyle w:val="10"/>
      <w:lvlText w:val="%8)"/>
      <w:lvlJc w:val="left"/>
      <w:pPr>
        <w:tabs>
          <w:tab w:val="left" w:pos="3840"/>
        </w:tabs>
        <w:ind w:left="3840" w:hanging="420"/>
      </w:pPr>
    </w:lvl>
    <w:lvl w:ilvl="8" w:tentative="0">
      <w:start w:val="1"/>
      <w:numFmt w:val="lowerRoman"/>
      <w:pStyle w:val="11"/>
      <w:lvlText w:val="%9."/>
      <w:lvlJc w:val="right"/>
      <w:pPr>
        <w:tabs>
          <w:tab w:val="left" w:pos="4260"/>
        </w:tabs>
        <w:ind w:left="426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CA"/>
    <w:rsid w:val="0000116A"/>
    <w:rsid w:val="000018A7"/>
    <w:rsid w:val="000049EC"/>
    <w:rsid w:val="0002301B"/>
    <w:rsid w:val="000258EA"/>
    <w:rsid w:val="000278C6"/>
    <w:rsid w:val="000336BF"/>
    <w:rsid w:val="00077490"/>
    <w:rsid w:val="00081FDF"/>
    <w:rsid w:val="000916E3"/>
    <w:rsid w:val="00096847"/>
    <w:rsid w:val="000973A8"/>
    <w:rsid w:val="000A3DCE"/>
    <w:rsid w:val="000B038D"/>
    <w:rsid w:val="000D208F"/>
    <w:rsid w:val="000D4CBE"/>
    <w:rsid w:val="000F0747"/>
    <w:rsid w:val="00114412"/>
    <w:rsid w:val="00116586"/>
    <w:rsid w:val="001176CE"/>
    <w:rsid w:val="00124317"/>
    <w:rsid w:val="00124629"/>
    <w:rsid w:val="001349AB"/>
    <w:rsid w:val="00164613"/>
    <w:rsid w:val="0018530F"/>
    <w:rsid w:val="001B0A44"/>
    <w:rsid w:val="001B285C"/>
    <w:rsid w:val="001C773C"/>
    <w:rsid w:val="001F1350"/>
    <w:rsid w:val="002634D4"/>
    <w:rsid w:val="00297415"/>
    <w:rsid w:val="002B7685"/>
    <w:rsid w:val="002C1552"/>
    <w:rsid w:val="002D472B"/>
    <w:rsid w:val="002D656C"/>
    <w:rsid w:val="002F5A5A"/>
    <w:rsid w:val="00314B9C"/>
    <w:rsid w:val="003229B3"/>
    <w:rsid w:val="00350B3E"/>
    <w:rsid w:val="00354C21"/>
    <w:rsid w:val="0036496E"/>
    <w:rsid w:val="00385F57"/>
    <w:rsid w:val="003B142F"/>
    <w:rsid w:val="003C051B"/>
    <w:rsid w:val="003C6007"/>
    <w:rsid w:val="003D2A05"/>
    <w:rsid w:val="003D42E6"/>
    <w:rsid w:val="003E329C"/>
    <w:rsid w:val="003F7E39"/>
    <w:rsid w:val="004052CA"/>
    <w:rsid w:val="00430B40"/>
    <w:rsid w:val="00483525"/>
    <w:rsid w:val="004C5E88"/>
    <w:rsid w:val="004E1E84"/>
    <w:rsid w:val="00520DA1"/>
    <w:rsid w:val="00524928"/>
    <w:rsid w:val="005636DF"/>
    <w:rsid w:val="00570A95"/>
    <w:rsid w:val="005B42B1"/>
    <w:rsid w:val="005C1D72"/>
    <w:rsid w:val="005F7E34"/>
    <w:rsid w:val="00604445"/>
    <w:rsid w:val="00604B0F"/>
    <w:rsid w:val="0060716E"/>
    <w:rsid w:val="00630AFC"/>
    <w:rsid w:val="00642AB0"/>
    <w:rsid w:val="006450E1"/>
    <w:rsid w:val="00647938"/>
    <w:rsid w:val="006561B7"/>
    <w:rsid w:val="00676E21"/>
    <w:rsid w:val="00692186"/>
    <w:rsid w:val="006C4BCE"/>
    <w:rsid w:val="00715173"/>
    <w:rsid w:val="00717624"/>
    <w:rsid w:val="00755507"/>
    <w:rsid w:val="00775038"/>
    <w:rsid w:val="007A45F1"/>
    <w:rsid w:val="007C282C"/>
    <w:rsid w:val="007D486C"/>
    <w:rsid w:val="007E3B19"/>
    <w:rsid w:val="008331D0"/>
    <w:rsid w:val="00833A9A"/>
    <w:rsid w:val="00846234"/>
    <w:rsid w:val="00847306"/>
    <w:rsid w:val="008513FF"/>
    <w:rsid w:val="00892A1C"/>
    <w:rsid w:val="008B0000"/>
    <w:rsid w:val="008B78CE"/>
    <w:rsid w:val="008D7EA5"/>
    <w:rsid w:val="0090173D"/>
    <w:rsid w:val="0090719F"/>
    <w:rsid w:val="00921E2E"/>
    <w:rsid w:val="00924638"/>
    <w:rsid w:val="009316F3"/>
    <w:rsid w:val="0094196A"/>
    <w:rsid w:val="00961C36"/>
    <w:rsid w:val="0096394E"/>
    <w:rsid w:val="009819CA"/>
    <w:rsid w:val="009878BD"/>
    <w:rsid w:val="009A24B3"/>
    <w:rsid w:val="009A3B3A"/>
    <w:rsid w:val="009B566B"/>
    <w:rsid w:val="009B703A"/>
    <w:rsid w:val="009D08AC"/>
    <w:rsid w:val="00A1233C"/>
    <w:rsid w:val="00A42136"/>
    <w:rsid w:val="00A520A7"/>
    <w:rsid w:val="00A65413"/>
    <w:rsid w:val="00A663FC"/>
    <w:rsid w:val="00A716C2"/>
    <w:rsid w:val="00A74898"/>
    <w:rsid w:val="00A751A9"/>
    <w:rsid w:val="00AB63B8"/>
    <w:rsid w:val="00AD43B3"/>
    <w:rsid w:val="00AE7CB5"/>
    <w:rsid w:val="00B07A5B"/>
    <w:rsid w:val="00B1322E"/>
    <w:rsid w:val="00B36A61"/>
    <w:rsid w:val="00B865CA"/>
    <w:rsid w:val="00B9234C"/>
    <w:rsid w:val="00B9480A"/>
    <w:rsid w:val="00BB3B57"/>
    <w:rsid w:val="00BB490D"/>
    <w:rsid w:val="00BB7FA1"/>
    <w:rsid w:val="00BF0160"/>
    <w:rsid w:val="00C10878"/>
    <w:rsid w:val="00C11473"/>
    <w:rsid w:val="00C368EA"/>
    <w:rsid w:val="00C61BE9"/>
    <w:rsid w:val="00C623C6"/>
    <w:rsid w:val="00C67606"/>
    <w:rsid w:val="00C80754"/>
    <w:rsid w:val="00C80B24"/>
    <w:rsid w:val="00C91449"/>
    <w:rsid w:val="00C954B3"/>
    <w:rsid w:val="00CB4EF0"/>
    <w:rsid w:val="00CC5C49"/>
    <w:rsid w:val="00CE5AFE"/>
    <w:rsid w:val="00CF4605"/>
    <w:rsid w:val="00D10A00"/>
    <w:rsid w:val="00D35AFD"/>
    <w:rsid w:val="00D53FA7"/>
    <w:rsid w:val="00D64412"/>
    <w:rsid w:val="00D74407"/>
    <w:rsid w:val="00D81D83"/>
    <w:rsid w:val="00D93325"/>
    <w:rsid w:val="00D93810"/>
    <w:rsid w:val="00DA72E5"/>
    <w:rsid w:val="00DB159A"/>
    <w:rsid w:val="00DB1E04"/>
    <w:rsid w:val="00DB29D1"/>
    <w:rsid w:val="00DD1829"/>
    <w:rsid w:val="00DE0252"/>
    <w:rsid w:val="00DE1A5D"/>
    <w:rsid w:val="00DE54D2"/>
    <w:rsid w:val="00DF72A3"/>
    <w:rsid w:val="00E024DB"/>
    <w:rsid w:val="00E14167"/>
    <w:rsid w:val="00E22CF5"/>
    <w:rsid w:val="00E32F05"/>
    <w:rsid w:val="00E42AB3"/>
    <w:rsid w:val="00E465E4"/>
    <w:rsid w:val="00E516A8"/>
    <w:rsid w:val="00E72897"/>
    <w:rsid w:val="00E768C3"/>
    <w:rsid w:val="00E9370E"/>
    <w:rsid w:val="00ED7770"/>
    <w:rsid w:val="00F13A3E"/>
    <w:rsid w:val="00F37A9B"/>
    <w:rsid w:val="00F47F9C"/>
    <w:rsid w:val="00F64987"/>
    <w:rsid w:val="00F701BC"/>
    <w:rsid w:val="00F72DE1"/>
    <w:rsid w:val="00F93AC6"/>
    <w:rsid w:val="00F93EBF"/>
    <w:rsid w:val="00FB1FBE"/>
    <w:rsid w:val="00FB2A3F"/>
    <w:rsid w:val="00FB2DA8"/>
    <w:rsid w:val="00FB2E42"/>
    <w:rsid w:val="00FC1620"/>
    <w:rsid w:val="00FC4BD9"/>
    <w:rsid w:val="00FD7F8E"/>
    <w:rsid w:val="00FE7A4F"/>
    <w:rsid w:val="01144D08"/>
    <w:rsid w:val="012F10F5"/>
    <w:rsid w:val="01617E27"/>
    <w:rsid w:val="01720BE0"/>
    <w:rsid w:val="018E1843"/>
    <w:rsid w:val="01C3378F"/>
    <w:rsid w:val="01DF7B7D"/>
    <w:rsid w:val="01FE4173"/>
    <w:rsid w:val="020C3A65"/>
    <w:rsid w:val="02606858"/>
    <w:rsid w:val="026F29D8"/>
    <w:rsid w:val="02896087"/>
    <w:rsid w:val="02B67C70"/>
    <w:rsid w:val="02C72DE9"/>
    <w:rsid w:val="02E01B43"/>
    <w:rsid w:val="02EA69DB"/>
    <w:rsid w:val="02EC54E5"/>
    <w:rsid w:val="02FC38F3"/>
    <w:rsid w:val="0305345C"/>
    <w:rsid w:val="03316E37"/>
    <w:rsid w:val="03626865"/>
    <w:rsid w:val="036F7F8C"/>
    <w:rsid w:val="03767C59"/>
    <w:rsid w:val="037E59F5"/>
    <w:rsid w:val="03993F72"/>
    <w:rsid w:val="03BB50B0"/>
    <w:rsid w:val="03C3374A"/>
    <w:rsid w:val="03D53F24"/>
    <w:rsid w:val="04336537"/>
    <w:rsid w:val="04620940"/>
    <w:rsid w:val="04773305"/>
    <w:rsid w:val="04A1100B"/>
    <w:rsid w:val="04D336D1"/>
    <w:rsid w:val="04E44406"/>
    <w:rsid w:val="050328C5"/>
    <w:rsid w:val="050A4D93"/>
    <w:rsid w:val="050F3340"/>
    <w:rsid w:val="05146B00"/>
    <w:rsid w:val="051F274C"/>
    <w:rsid w:val="05594459"/>
    <w:rsid w:val="05612C7C"/>
    <w:rsid w:val="056568BF"/>
    <w:rsid w:val="057B6936"/>
    <w:rsid w:val="05956D5C"/>
    <w:rsid w:val="05B934A5"/>
    <w:rsid w:val="05D44A8A"/>
    <w:rsid w:val="05EB697B"/>
    <w:rsid w:val="05F13D36"/>
    <w:rsid w:val="05FD3FE6"/>
    <w:rsid w:val="06105413"/>
    <w:rsid w:val="0646042B"/>
    <w:rsid w:val="06735441"/>
    <w:rsid w:val="06CA449B"/>
    <w:rsid w:val="06EA4424"/>
    <w:rsid w:val="06F50F8C"/>
    <w:rsid w:val="0716571C"/>
    <w:rsid w:val="07305005"/>
    <w:rsid w:val="07976FFA"/>
    <w:rsid w:val="07A35AAA"/>
    <w:rsid w:val="07B97C7F"/>
    <w:rsid w:val="07C5587A"/>
    <w:rsid w:val="081B55D6"/>
    <w:rsid w:val="082422E5"/>
    <w:rsid w:val="083006CA"/>
    <w:rsid w:val="08647AA7"/>
    <w:rsid w:val="08687F5F"/>
    <w:rsid w:val="0869028C"/>
    <w:rsid w:val="086C7A4A"/>
    <w:rsid w:val="0890424F"/>
    <w:rsid w:val="089367A0"/>
    <w:rsid w:val="090B36E4"/>
    <w:rsid w:val="093761B1"/>
    <w:rsid w:val="094E145D"/>
    <w:rsid w:val="097D1756"/>
    <w:rsid w:val="099C7E85"/>
    <w:rsid w:val="09EF3CEE"/>
    <w:rsid w:val="09FE30A6"/>
    <w:rsid w:val="0A17222C"/>
    <w:rsid w:val="0A264483"/>
    <w:rsid w:val="0A476879"/>
    <w:rsid w:val="0A7B073A"/>
    <w:rsid w:val="0A7B6306"/>
    <w:rsid w:val="0AA612EA"/>
    <w:rsid w:val="0AA61C58"/>
    <w:rsid w:val="0B00665F"/>
    <w:rsid w:val="0B0117B1"/>
    <w:rsid w:val="0B1922D1"/>
    <w:rsid w:val="0B36752B"/>
    <w:rsid w:val="0B542D91"/>
    <w:rsid w:val="0B662FA0"/>
    <w:rsid w:val="0B734C08"/>
    <w:rsid w:val="0B942168"/>
    <w:rsid w:val="0BAE745D"/>
    <w:rsid w:val="0BBD469D"/>
    <w:rsid w:val="0BC51814"/>
    <w:rsid w:val="0BC85C9A"/>
    <w:rsid w:val="0BCD322F"/>
    <w:rsid w:val="0BF863DE"/>
    <w:rsid w:val="0C067BAA"/>
    <w:rsid w:val="0C0F684C"/>
    <w:rsid w:val="0C7007DD"/>
    <w:rsid w:val="0C7E59ED"/>
    <w:rsid w:val="0C812C4F"/>
    <w:rsid w:val="0C98541F"/>
    <w:rsid w:val="0CBA0D98"/>
    <w:rsid w:val="0CBB494C"/>
    <w:rsid w:val="0CE02803"/>
    <w:rsid w:val="0D0238A8"/>
    <w:rsid w:val="0D090548"/>
    <w:rsid w:val="0D19404A"/>
    <w:rsid w:val="0D287484"/>
    <w:rsid w:val="0D394588"/>
    <w:rsid w:val="0D5B3086"/>
    <w:rsid w:val="0D5F365F"/>
    <w:rsid w:val="0D857FBE"/>
    <w:rsid w:val="0D8F7230"/>
    <w:rsid w:val="0D916276"/>
    <w:rsid w:val="0D9B70F3"/>
    <w:rsid w:val="0DBE4CF8"/>
    <w:rsid w:val="0DC122DE"/>
    <w:rsid w:val="0DCC6139"/>
    <w:rsid w:val="0DD34402"/>
    <w:rsid w:val="0E05281F"/>
    <w:rsid w:val="0E135614"/>
    <w:rsid w:val="0E594DE3"/>
    <w:rsid w:val="0E840518"/>
    <w:rsid w:val="0EC4079F"/>
    <w:rsid w:val="0EEB1ABD"/>
    <w:rsid w:val="0F0529AE"/>
    <w:rsid w:val="0F0C6485"/>
    <w:rsid w:val="0F2C0B4A"/>
    <w:rsid w:val="0F2F4DB3"/>
    <w:rsid w:val="0F451AC5"/>
    <w:rsid w:val="0F4639DA"/>
    <w:rsid w:val="0F57257A"/>
    <w:rsid w:val="0F9636A2"/>
    <w:rsid w:val="0FAA618F"/>
    <w:rsid w:val="0FC5657A"/>
    <w:rsid w:val="0FCF17FA"/>
    <w:rsid w:val="0FD53364"/>
    <w:rsid w:val="0FFE1660"/>
    <w:rsid w:val="100B4FC2"/>
    <w:rsid w:val="104C3B53"/>
    <w:rsid w:val="1057567E"/>
    <w:rsid w:val="105B6398"/>
    <w:rsid w:val="1071307F"/>
    <w:rsid w:val="107943D4"/>
    <w:rsid w:val="109E7EA8"/>
    <w:rsid w:val="10AA6CF1"/>
    <w:rsid w:val="110F737A"/>
    <w:rsid w:val="1130502B"/>
    <w:rsid w:val="11416F2B"/>
    <w:rsid w:val="1156087C"/>
    <w:rsid w:val="115E7C22"/>
    <w:rsid w:val="11613E31"/>
    <w:rsid w:val="116248A0"/>
    <w:rsid w:val="1171291D"/>
    <w:rsid w:val="117B164F"/>
    <w:rsid w:val="11A60891"/>
    <w:rsid w:val="11B9773B"/>
    <w:rsid w:val="11D505A2"/>
    <w:rsid w:val="11E65185"/>
    <w:rsid w:val="11FC58F3"/>
    <w:rsid w:val="120638F9"/>
    <w:rsid w:val="120F5FAC"/>
    <w:rsid w:val="127C477A"/>
    <w:rsid w:val="12821E2D"/>
    <w:rsid w:val="128A5ACE"/>
    <w:rsid w:val="12B42133"/>
    <w:rsid w:val="12C53091"/>
    <w:rsid w:val="12F90633"/>
    <w:rsid w:val="130F5883"/>
    <w:rsid w:val="13165F24"/>
    <w:rsid w:val="135B645A"/>
    <w:rsid w:val="13781A70"/>
    <w:rsid w:val="13AC0EDF"/>
    <w:rsid w:val="13B03F31"/>
    <w:rsid w:val="13DC2B3B"/>
    <w:rsid w:val="13DE5461"/>
    <w:rsid w:val="13F93ADB"/>
    <w:rsid w:val="141B336D"/>
    <w:rsid w:val="14241559"/>
    <w:rsid w:val="144F38FD"/>
    <w:rsid w:val="14541B75"/>
    <w:rsid w:val="14637BD5"/>
    <w:rsid w:val="14723139"/>
    <w:rsid w:val="14733059"/>
    <w:rsid w:val="147A74D0"/>
    <w:rsid w:val="14894101"/>
    <w:rsid w:val="149C69D8"/>
    <w:rsid w:val="14A649CA"/>
    <w:rsid w:val="14D31C8E"/>
    <w:rsid w:val="14DC4427"/>
    <w:rsid w:val="14E65AF5"/>
    <w:rsid w:val="151D3A3E"/>
    <w:rsid w:val="152145AA"/>
    <w:rsid w:val="156C6086"/>
    <w:rsid w:val="15A70E75"/>
    <w:rsid w:val="15A93722"/>
    <w:rsid w:val="15AE482A"/>
    <w:rsid w:val="15C01B3D"/>
    <w:rsid w:val="15C86EEF"/>
    <w:rsid w:val="15DB60F3"/>
    <w:rsid w:val="160045D2"/>
    <w:rsid w:val="160C4BFB"/>
    <w:rsid w:val="161441E9"/>
    <w:rsid w:val="16292350"/>
    <w:rsid w:val="162E7831"/>
    <w:rsid w:val="16466B98"/>
    <w:rsid w:val="16566530"/>
    <w:rsid w:val="165C4B30"/>
    <w:rsid w:val="1665013F"/>
    <w:rsid w:val="1666406E"/>
    <w:rsid w:val="16675068"/>
    <w:rsid w:val="16722E15"/>
    <w:rsid w:val="167509AA"/>
    <w:rsid w:val="16812A2A"/>
    <w:rsid w:val="16A258DA"/>
    <w:rsid w:val="16A3251A"/>
    <w:rsid w:val="16C62AC2"/>
    <w:rsid w:val="16D55E19"/>
    <w:rsid w:val="16DA6646"/>
    <w:rsid w:val="16ED7B0C"/>
    <w:rsid w:val="173F4314"/>
    <w:rsid w:val="174B317F"/>
    <w:rsid w:val="17523139"/>
    <w:rsid w:val="17534F73"/>
    <w:rsid w:val="177057C7"/>
    <w:rsid w:val="177F6975"/>
    <w:rsid w:val="17DD4B06"/>
    <w:rsid w:val="17E179E5"/>
    <w:rsid w:val="17EF1608"/>
    <w:rsid w:val="18000945"/>
    <w:rsid w:val="181A1E9B"/>
    <w:rsid w:val="182C135E"/>
    <w:rsid w:val="18355E9F"/>
    <w:rsid w:val="185640DE"/>
    <w:rsid w:val="185C6ED3"/>
    <w:rsid w:val="189F0E21"/>
    <w:rsid w:val="18A45892"/>
    <w:rsid w:val="18C72454"/>
    <w:rsid w:val="18DC5CD6"/>
    <w:rsid w:val="18DD65C7"/>
    <w:rsid w:val="18E001EA"/>
    <w:rsid w:val="18E03218"/>
    <w:rsid w:val="18E64693"/>
    <w:rsid w:val="18EA6E09"/>
    <w:rsid w:val="18F23647"/>
    <w:rsid w:val="18FE6D19"/>
    <w:rsid w:val="19025382"/>
    <w:rsid w:val="197C1F7E"/>
    <w:rsid w:val="1981138F"/>
    <w:rsid w:val="198D608A"/>
    <w:rsid w:val="19994CF0"/>
    <w:rsid w:val="19C747D9"/>
    <w:rsid w:val="19CE1FD1"/>
    <w:rsid w:val="19D3004F"/>
    <w:rsid w:val="19DE17FE"/>
    <w:rsid w:val="19E5453B"/>
    <w:rsid w:val="1A2E60AA"/>
    <w:rsid w:val="1A422307"/>
    <w:rsid w:val="1A5F6D7E"/>
    <w:rsid w:val="1A601D92"/>
    <w:rsid w:val="1A656149"/>
    <w:rsid w:val="1A7A2084"/>
    <w:rsid w:val="1A944186"/>
    <w:rsid w:val="1ABA07B6"/>
    <w:rsid w:val="1ABF1612"/>
    <w:rsid w:val="1AE30EED"/>
    <w:rsid w:val="1AF11C82"/>
    <w:rsid w:val="1AFC6AD2"/>
    <w:rsid w:val="1AFD4923"/>
    <w:rsid w:val="1B037594"/>
    <w:rsid w:val="1B174E86"/>
    <w:rsid w:val="1B2538E9"/>
    <w:rsid w:val="1B282197"/>
    <w:rsid w:val="1B3B1F9C"/>
    <w:rsid w:val="1B614B5E"/>
    <w:rsid w:val="1B6F0262"/>
    <w:rsid w:val="1B864452"/>
    <w:rsid w:val="1B983BE8"/>
    <w:rsid w:val="1BC126EE"/>
    <w:rsid w:val="1BD82300"/>
    <w:rsid w:val="1BEE35CB"/>
    <w:rsid w:val="1BF87922"/>
    <w:rsid w:val="1BFA3C35"/>
    <w:rsid w:val="1C104B09"/>
    <w:rsid w:val="1C1A2FC0"/>
    <w:rsid w:val="1C234A89"/>
    <w:rsid w:val="1C3B2D18"/>
    <w:rsid w:val="1C710A18"/>
    <w:rsid w:val="1C73789D"/>
    <w:rsid w:val="1CC235F4"/>
    <w:rsid w:val="1CCD79C7"/>
    <w:rsid w:val="1CD97394"/>
    <w:rsid w:val="1CE26F58"/>
    <w:rsid w:val="1CF20B2C"/>
    <w:rsid w:val="1CFE5C6D"/>
    <w:rsid w:val="1D1F770D"/>
    <w:rsid w:val="1D2409A0"/>
    <w:rsid w:val="1D2C3E95"/>
    <w:rsid w:val="1D36638B"/>
    <w:rsid w:val="1D6956CE"/>
    <w:rsid w:val="1D7772D9"/>
    <w:rsid w:val="1D847BAF"/>
    <w:rsid w:val="1D9F741F"/>
    <w:rsid w:val="1DB161B9"/>
    <w:rsid w:val="1E013246"/>
    <w:rsid w:val="1E083E2F"/>
    <w:rsid w:val="1E473061"/>
    <w:rsid w:val="1E6A07EA"/>
    <w:rsid w:val="1E98681B"/>
    <w:rsid w:val="1E9E3B14"/>
    <w:rsid w:val="1EBA5FB9"/>
    <w:rsid w:val="1EE44B03"/>
    <w:rsid w:val="1EE80998"/>
    <w:rsid w:val="1F0748A3"/>
    <w:rsid w:val="1F0F5906"/>
    <w:rsid w:val="1F192387"/>
    <w:rsid w:val="1F1F2426"/>
    <w:rsid w:val="1F217B24"/>
    <w:rsid w:val="1F253DCF"/>
    <w:rsid w:val="1F486238"/>
    <w:rsid w:val="1F4E14D2"/>
    <w:rsid w:val="1FB30B10"/>
    <w:rsid w:val="1FDA3BF5"/>
    <w:rsid w:val="200A73D8"/>
    <w:rsid w:val="207633E1"/>
    <w:rsid w:val="20AC3F65"/>
    <w:rsid w:val="20AE6516"/>
    <w:rsid w:val="20D0332B"/>
    <w:rsid w:val="20D953C8"/>
    <w:rsid w:val="20EC04B2"/>
    <w:rsid w:val="20F32E8D"/>
    <w:rsid w:val="211A10D0"/>
    <w:rsid w:val="215E43BE"/>
    <w:rsid w:val="21633E75"/>
    <w:rsid w:val="21842747"/>
    <w:rsid w:val="22177882"/>
    <w:rsid w:val="222800E1"/>
    <w:rsid w:val="22370018"/>
    <w:rsid w:val="224A675A"/>
    <w:rsid w:val="226F66B5"/>
    <w:rsid w:val="229E23BD"/>
    <w:rsid w:val="229F052F"/>
    <w:rsid w:val="22A129C7"/>
    <w:rsid w:val="22A95BEF"/>
    <w:rsid w:val="22CF37C1"/>
    <w:rsid w:val="22E63E96"/>
    <w:rsid w:val="22F318D6"/>
    <w:rsid w:val="22FB46A2"/>
    <w:rsid w:val="233F4B83"/>
    <w:rsid w:val="235B4BDA"/>
    <w:rsid w:val="23617FB9"/>
    <w:rsid w:val="23A15B12"/>
    <w:rsid w:val="23EB0B30"/>
    <w:rsid w:val="24055C61"/>
    <w:rsid w:val="241323B5"/>
    <w:rsid w:val="24217E47"/>
    <w:rsid w:val="242661C7"/>
    <w:rsid w:val="24640FFE"/>
    <w:rsid w:val="247368F2"/>
    <w:rsid w:val="247F6B0D"/>
    <w:rsid w:val="248C2748"/>
    <w:rsid w:val="24984BD8"/>
    <w:rsid w:val="24A23676"/>
    <w:rsid w:val="24A25540"/>
    <w:rsid w:val="24A6214B"/>
    <w:rsid w:val="24BC172F"/>
    <w:rsid w:val="24CE75C2"/>
    <w:rsid w:val="24D86D86"/>
    <w:rsid w:val="24DF0F3B"/>
    <w:rsid w:val="24ED4DD0"/>
    <w:rsid w:val="24FA1493"/>
    <w:rsid w:val="250E73CD"/>
    <w:rsid w:val="2510589C"/>
    <w:rsid w:val="251A234D"/>
    <w:rsid w:val="25265D67"/>
    <w:rsid w:val="254D3444"/>
    <w:rsid w:val="255B0234"/>
    <w:rsid w:val="25627106"/>
    <w:rsid w:val="25655C58"/>
    <w:rsid w:val="25665866"/>
    <w:rsid w:val="256E4088"/>
    <w:rsid w:val="2591200C"/>
    <w:rsid w:val="259E102B"/>
    <w:rsid w:val="25AA3E15"/>
    <w:rsid w:val="25E227F3"/>
    <w:rsid w:val="261E68E5"/>
    <w:rsid w:val="264D62F0"/>
    <w:rsid w:val="26600A90"/>
    <w:rsid w:val="26974919"/>
    <w:rsid w:val="26C80752"/>
    <w:rsid w:val="26E244FD"/>
    <w:rsid w:val="26F749F3"/>
    <w:rsid w:val="26FD7858"/>
    <w:rsid w:val="270065E5"/>
    <w:rsid w:val="27141487"/>
    <w:rsid w:val="272A0D4C"/>
    <w:rsid w:val="273F62AD"/>
    <w:rsid w:val="27586335"/>
    <w:rsid w:val="28036271"/>
    <w:rsid w:val="280C50FA"/>
    <w:rsid w:val="28140543"/>
    <w:rsid w:val="285B3274"/>
    <w:rsid w:val="287E5E93"/>
    <w:rsid w:val="2880563B"/>
    <w:rsid w:val="28EB3E82"/>
    <w:rsid w:val="29061A15"/>
    <w:rsid w:val="29445433"/>
    <w:rsid w:val="294A543E"/>
    <w:rsid w:val="29597E42"/>
    <w:rsid w:val="297E3770"/>
    <w:rsid w:val="29D85777"/>
    <w:rsid w:val="29E660DE"/>
    <w:rsid w:val="2A062BD0"/>
    <w:rsid w:val="2A0B2741"/>
    <w:rsid w:val="2A0D3442"/>
    <w:rsid w:val="2A264A51"/>
    <w:rsid w:val="2A320BA8"/>
    <w:rsid w:val="2A342771"/>
    <w:rsid w:val="2A7860A5"/>
    <w:rsid w:val="2A892935"/>
    <w:rsid w:val="2A9B1B5D"/>
    <w:rsid w:val="2AA6666C"/>
    <w:rsid w:val="2B066313"/>
    <w:rsid w:val="2B1D418F"/>
    <w:rsid w:val="2B213FD7"/>
    <w:rsid w:val="2B226542"/>
    <w:rsid w:val="2B2861CA"/>
    <w:rsid w:val="2B342A62"/>
    <w:rsid w:val="2B63085A"/>
    <w:rsid w:val="2B911FDB"/>
    <w:rsid w:val="2BDC5726"/>
    <w:rsid w:val="2BE1179E"/>
    <w:rsid w:val="2C1D7744"/>
    <w:rsid w:val="2C25376E"/>
    <w:rsid w:val="2C300283"/>
    <w:rsid w:val="2C754519"/>
    <w:rsid w:val="2CA066DB"/>
    <w:rsid w:val="2CB509B3"/>
    <w:rsid w:val="2CB703E7"/>
    <w:rsid w:val="2CD05FAF"/>
    <w:rsid w:val="2CEC56A2"/>
    <w:rsid w:val="2D307920"/>
    <w:rsid w:val="2D3B56BE"/>
    <w:rsid w:val="2D6B43DF"/>
    <w:rsid w:val="2D726C2E"/>
    <w:rsid w:val="2D851A5B"/>
    <w:rsid w:val="2D9D431E"/>
    <w:rsid w:val="2DA576C4"/>
    <w:rsid w:val="2DAC2964"/>
    <w:rsid w:val="2DC84CB5"/>
    <w:rsid w:val="2DCA35E5"/>
    <w:rsid w:val="2DD54673"/>
    <w:rsid w:val="2DE36530"/>
    <w:rsid w:val="2E012E80"/>
    <w:rsid w:val="2E3976BC"/>
    <w:rsid w:val="2EAA7065"/>
    <w:rsid w:val="2EB358E8"/>
    <w:rsid w:val="2ED53236"/>
    <w:rsid w:val="2EDA66A9"/>
    <w:rsid w:val="2EE101B5"/>
    <w:rsid w:val="2EF16A8B"/>
    <w:rsid w:val="2F1A6151"/>
    <w:rsid w:val="2F335D3C"/>
    <w:rsid w:val="2F3A449B"/>
    <w:rsid w:val="2F453D67"/>
    <w:rsid w:val="2F7A6094"/>
    <w:rsid w:val="2F7F6A3E"/>
    <w:rsid w:val="2FA32913"/>
    <w:rsid w:val="300112B8"/>
    <w:rsid w:val="300F6179"/>
    <w:rsid w:val="30101BF2"/>
    <w:rsid w:val="301B3F69"/>
    <w:rsid w:val="302E1717"/>
    <w:rsid w:val="303A3C06"/>
    <w:rsid w:val="30754DC1"/>
    <w:rsid w:val="3079788E"/>
    <w:rsid w:val="3082168D"/>
    <w:rsid w:val="30AF3291"/>
    <w:rsid w:val="30B6120E"/>
    <w:rsid w:val="30EA0DDF"/>
    <w:rsid w:val="30EB1B2D"/>
    <w:rsid w:val="30FB4953"/>
    <w:rsid w:val="315F3BB9"/>
    <w:rsid w:val="31B316C4"/>
    <w:rsid w:val="31BE629E"/>
    <w:rsid w:val="31E43E8B"/>
    <w:rsid w:val="323303DE"/>
    <w:rsid w:val="32364673"/>
    <w:rsid w:val="324D3D70"/>
    <w:rsid w:val="325F30DC"/>
    <w:rsid w:val="326438B9"/>
    <w:rsid w:val="326B297A"/>
    <w:rsid w:val="3290391A"/>
    <w:rsid w:val="32D2138A"/>
    <w:rsid w:val="32FF5756"/>
    <w:rsid w:val="33100E3B"/>
    <w:rsid w:val="332C65DF"/>
    <w:rsid w:val="33320FF8"/>
    <w:rsid w:val="33384257"/>
    <w:rsid w:val="335C448B"/>
    <w:rsid w:val="3371135E"/>
    <w:rsid w:val="338B7E78"/>
    <w:rsid w:val="33CB1CF6"/>
    <w:rsid w:val="33D91556"/>
    <w:rsid w:val="34267DAD"/>
    <w:rsid w:val="342D4CA7"/>
    <w:rsid w:val="34307EB3"/>
    <w:rsid w:val="349424DB"/>
    <w:rsid w:val="34A3591F"/>
    <w:rsid w:val="34B052F0"/>
    <w:rsid w:val="34EA0752"/>
    <w:rsid w:val="34FF627A"/>
    <w:rsid w:val="353C18DF"/>
    <w:rsid w:val="35472057"/>
    <w:rsid w:val="356B0C1F"/>
    <w:rsid w:val="35783653"/>
    <w:rsid w:val="358A01A2"/>
    <w:rsid w:val="35DE4362"/>
    <w:rsid w:val="35E54EB2"/>
    <w:rsid w:val="35F854CC"/>
    <w:rsid w:val="361A3902"/>
    <w:rsid w:val="363527D0"/>
    <w:rsid w:val="363B56CC"/>
    <w:rsid w:val="363C0236"/>
    <w:rsid w:val="3650455D"/>
    <w:rsid w:val="365956A5"/>
    <w:rsid w:val="36817E0B"/>
    <w:rsid w:val="36DE1B90"/>
    <w:rsid w:val="36FC2500"/>
    <w:rsid w:val="37014837"/>
    <w:rsid w:val="371870D9"/>
    <w:rsid w:val="37364CD3"/>
    <w:rsid w:val="376A5B62"/>
    <w:rsid w:val="37A87A1F"/>
    <w:rsid w:val="37AA03E0"/>
    <w:rsid w:val="37EB14A6"/>
    <w:rsid w:val="37F1551E"/>
    <w:rsid w:val="37F73DA9"/>
    <w:rsid w:val="381F3020"/>
    <w:rsid w:val="383369C6"/>
    <w:rsid w:val="386564B5"/>
    <w:rsid w:val="386778D6"/>
    <w:rsid w:val="38770426"/>
    <w:rsid w:val="38895137"/>
    <w:rsid w:val="38AF616F"/>
    <w:rsid w:val="38B3024B"/>
    <w:rsid w:val="38DB5B5F"/>
    <w:rsid w:val="38DE772D"/>
    <w:rsid w:val="38E62918"/>
    <w:rsid w:val="38F055DE"/>
    <w:rsid w:val="39910201"/>
    <w:rsid w:val="39920DAA"/>
    <w:rsid w:val="39A27DCD"/>
    <w:rsid w:val="39A31B62"/>
    <w:rsid w:val="39A87D2F"/>
    <w:rsid w:val="39DA0A61"/>
    <w:rsid w:val="39E7165D"/>
    <w:rsid w:val="3A137B35"/>
    <w:rsid w:val="3A3C4B1A"/>
    <w:rsid w:val="3AC84C09"/>
    <w:rsid w:val="3ADB2A52"/>
    <w:rsid w:val="3AE56B5C"/>
    <w:rsid w:val="3AE63E0E"/>
    <w:rsid w:val="3AED1586"/>
    <w:rsid w:val="3B131AC7"/>
    <w:rsid w:val="3B135060"/>
    <w:rsid w:val="3B2C4CAD"/>
    <w:rsid w:val="3B3E680A"/>
    <w:rsid w:val="3B5B4BC2"/>
    <w:rsid w:val="3B73321F"/>
    <w:rsid w:val="3B7D4005"/>
    <w:rsid w:val="3B9220B8"/>
    <w:rsid w:val="3BAF7BE2"/>
    <w:rsid w:val="3BFF4B91"/>
    <w:rsid w:val="3C0034F2"/>
    <w:rsid w:val="3C354CC7"/>
    <w:rsid w:val="3C682C15"/>
    <w:rsid w:val="3CB203C2"/>
    <w:rsid w:val="3CBB6128"/>
    <w:rsid w:val="3CC16FAB"/>
    <w:rsid w:val="3CD94D6D"/>
    <w:rsid w:val="3CF72697"/>
    <w:rsid w:val="3D022E52"/>
    <w:rsid w:val="3D3434C0"/>
    <w:rsid w:val="3D3B38B9"/>
    <w:rsid w:val="3D3B47BF"/>
    <w:rsid w:val="3D45243D"/>
    <w:rsid w:val="3D5D4059"/>
    <w:rsid w:val="3D6939C6"/>
    <w:rsid w:val="3D6A28E6"/>
    <w:rsid w:val="3D821D4F"/>
    <w:rsid w:val="3DA83154"/>
    <w:rsid w:val="3DA877F3"/>
    <w:rsid w:val="3DB523EF"/>
    <w:rsid w:val="3DB9339B"/>
    <w:rsid w:val="3DBF5B2F"/>
    <w:rsid w:val="3DCD1C54"/>
    <w:rsid w:val="3DD068A1"/>
    <w:rsid w:val="3DD4408F"/>
    <w:rsid w:val="3DEA11E6"/>
    <w:rsid w:val="3E160B7E"/>
    <w:rsid w:val="3E187DF6"/>
    <w:rsid w:val="3E2F0CE5"/>
    <w:rsid w:val="3E4F0EB4"/>
    <w:rsid w:val="3E965054"/>
    <w:rsid w:val="3EA85CA6"/>
    <w:rsid w:val="3ECD67C8"/>
    <w:rsid w:val="3EDD67C6"/>
    <w:rsid w:val="3EE03F24"/>
    <w:rsid w:val="3EEB68AD"/>
    <w:rsid w:val="3EFA0BB0"/>
    <w:rsid w:val="3F0B78EA"/>
    <w:rsid w:val="3F1C3DB3"/>
    <w:rsid w:val="3F22118F"/>
    <w:rsid w:val="3F2676D0"/>
    <w:rsid w:val="3F720213"/>
    <w:rsid w:val="3F8179BA"/>
    <w:rsid w:val="3FAE7C68"/>
    <w:rsid w:val="3FB6000C"/>
    <w:rsid w:val="3FDE665A"/>
    <w:rsid w:val="3FFA5547"/>
    <w:rsid w:val="400478F9"/>
    <w:rsid w:val="404F448F"/>
    <w:rsid w:val="406D1460"/>
    <w:rsid w:val="407A176A"/>
    <w:rsid w:val="408A23CD"/>
    <w:rsid w:val="4094461F"/>
    <w:rsid w:val="40951247"/>
    <w:rsid w:val="40C36324"/>
    <w:rsid w:val="40C404B8"/>
    <w:rsid w:val="40CB717E"/>
    <w:rsid w:val="40EB5A12"/>
    <w:rsid w:val="4109712E"/>
    <w:rsid w:val="415C2596"/>
    <w:rsid w:val="415D4F99"/>
    <w:rsid w:val="41657540"/>
    <w:rsid w:val="416F3533"/>
    <w:rsid w:val="41784417"/>
    <w:rsid w:val="41A818AD"/>
    <w:rsid w:val="41AB62AD"/>
    <w:rsid w:val="41C07BEC"/>
    <w:rsid w:val="41CB1391"/>
    <w:rsid w:val="41FD23E6"/>
    <w:rsid w:val="42073531"/>
    <w:rsid w:val="42097F0D"/>
    <w:rsid w:val="421113D1"/>
    <w:rsid w:val="42152C81"/>
    <w:rsid w:val="421A6AA7"/>
    <w:rsid w:val="42237563"/>
    <w:rsid w:val="42464CB6"/>
    <w:rsid w:val="424715B2"/>
    <w:rsid w:val="42497DD8"/>
    <w:rsid w:val="426505CE"/>
    <w:rsid w:val="42674ABD"/>
    <w:rsid w:val="426D32A4"/>
    <w:rsid w:val="42733DFD"/>
    <w:rsid w:val="42884999"/>
    <w:rsid w:val="42AD4AB5"/>
    <w:rsid w:val="42C658EC"/>
    <w:rsid w:val="42CA217A"/>
    <w:rsid w:val="42D9538B"/>
    <w:rsid w:val="42EB180A"/>
    <w:rsid w:val="42F31D87"/>
    <w:rsid w:val="430D1B83"/>
    <w:rsid w:val="4322584F"/>
    <w:rsid w:val="432416FE"/>
    <w:rsid w:val="43242CB3"/>
    <w:rsid w:val="433C6EE9"/>
    <w:rsid w:val="434E3FC6"/>
    <w:rsid w:val="43551403"/>
    <w:rsid w:val="43602FF9"/>
    <w:rsid w:val="437C4494"/>
    <w:rsid w:val="43D64CAD"/>
    <w:rsid w:val="44065A46"/>
    <w:rsid w:val="440C3FB4"/>
    <w:rsid w:val="44162D43"/>
    <w:rsid w:val="44230657"/>
    <w:rsid w:val="44241194"/>
    <w:rsid w:val="443D0448"/>
    <w:rsid w:val="443D194E"/>
    <w:rsid w:val="44776E5C"/>
    <w:rsid w:val="449B0D5D"/>
    <w:rsid w:val="44C65725"/>
    <w:rsid w:val="44C85588"/>
    <w:rsid w:val="44E75B5D"/>
    <w:rsid w:val="44F37C3A"/>
    <w:rsid w:val="450478DB"/>
    <w:rsid w:val="45433E85"/>
    <w:rsid w:val="455C139D"/>
    <w:rsid w:val="455F6BC2"/>
    <w:rsid w:val="456A522C"/>
    <w:rsid w:val="45857DCE"/>
    <w:rsid w:val="45BA42BA"/>
    <w:rsid w:val="45C54076"/>
    <w:rsid w:val="45DD698E"/>
    <w:rsid w:val="45EC2158"/>
    <w:rsid w:val="45F4011A"/>
    <w:rsid w:val="45FE436F"/>
    <w:rsid w:val="46035979"/>
    <w:rsid w:val="460631C5"/>
    <w:rsid w:val="469345AE"/>
    <w:rsid w:val="4698299D"/>
    <w:rsid w:val="470B387A"/>
    <w:rsid w:val="47472F11"/>
    <w:rsid w:val="47861E3F"/>
    <w:rsid w:val="47874E2F"/>
    <w:rsid w:val="47A101D6"/>
    <w:rsid w:val="47B53DE4"/>
    <w:rsid w:val="47C15F43"/>
    <w:rsid w:val="47C962F6"/>
    <w:rsid w:val="47D6748F"/>
    <w:rsid w:val="47E27355"/>
    <w:rsid w:val="47EC4D22"/>
    <w:rsid w:val="47EC5C17"/>
    <w:rsid w:val="47ED6BAB"/>
    <w:rsid w:val="48161BB5"/>
    <w:rsid w:val="481679F9"/>
    <w:rsid w:val="485C7D6C"/>
    <w:rsid w:val="486E6C87"/>
    <w:rsid w:val="489428F3"/>
    <w:rsid w:val="48A31395"/>
    <w:rsid w:val="48B02E44"/>
    <w:rsid w:val="48CF7825"/>
    <w:rsid w:val="48E826D8"/>
    <w:rsid w:val="48FD67BD"/>
    <w:rsid w:val="49060F44"/>
    <w:rsid w:val="493865DF"/>
    <w:rsid w:val="49A20613"/>
    <w:rsid w:val="49D340FF"/>
    <w:rsid w:val="4A2A0F84"/>
    <w:rsid w:val="4A406A9D"/>
    <w:rsid w:val="4A55703F"/>
    <w:rsid w:val="4A5F76E7"/>
    <w:rsid w:val="4A720E01"/>
    <w:rsid w:val="4A7B4489"/>
    <w:rsid w:val="4AAD6B38"/>
    <w:rsid w:val="4AC55C80"/>
    <w:rsid w:val="4AC639C5"/>
    <w:rsid w:val="4B356B1B"/>
    <w:rsid w:val="4B5F644E"/>
    <w:rsid w:val="4BAB7C99"/>
    <w:rsid w:val="4BE53003"/>
    <w:rsid w:val="4BEF6944"/>
    <w:rsid w:val="4BF8031B"/>
    <w:rsid w:val="4BFE260E"/>
    <w:rsid w:val="4C4178FC"/>
    <w:rsid w:val="4C8B4AAE"/>
    <w:rsid w:val="4CE83D66"/>
    <w:rsid w:val="4CF447F9"/>
    <w:rsid w:val="4D2F21A4"/>
    <w:rsid w:val="4D394AEF"/>
    <w:rsid w:val="4D4B3705"/>
    <w:rsid w:val="4D4C078D"/>
    <w:rsid w:val="4D5D62CD"/>
    <w:rsid w:val="4D6D4837"/>
    <w:rsid w:val="4D814480"/>
    <w:rsid w:val="4D8C767D"/>
    <w:rsid w:val="4D972EEB"/>
    <w:rsid w:val="4DC425C4"/>
    <w:rsid w:val="4E355027"/>
    <w:rsid w:val="4E480C0D"/>
    <w:rsid w:val="4E4829C9"/>
    <w:rsid w:val="4E6B481B"/>
    <w:rsid w:val="4E7052F7"/>
    <w:rsid w:val="4E797798"/>
    <w:rsid w:val="4E7C2F72"/>
    <w:rsid w:val="4E9151C3"/>
    <w:rsid w:val="4EA405B0"/>
    <w:rsid w:val="4EA66A5F"/>
    <w:rsid w:val="4ED53E95"/>
    <w:rsid w:val="4F3A6106"/>
    <w:rsid w:val="4F686B6F"/>
    <w:rsid w:val="4F7A79CD"/>
    <w:rsid w:val="4FAD23C5"/>
    <w:rsid w:val="50100176"/>
    <w:rsid w:val="50311B04"/>
    <w:rsid w:val="50373796"/>
    <w:rsid w:val="504D3C16"/>
    <w:rsid w:val="506278FD"/>
    <w:rsid w:val="50903155"/>
    <w:rsid w:val="50A20D70"/>
    <w:rsid w:val="50C76FAE"/>
    <w:rsid w:val="50D02E08"/>
    <w:rsid w:val="50E47CCF"/>
    <w:rsid w:val="51091E28"/>
    <w:rsid w:val="51177FAA"/>
    <w:rsid w:val="5118161A"/>
    <w:rsid w:val="512D63BF"/>
    <w:rsid w:val="51320A59"/>
    <w:rsid w:val="513E522B"/>
    <w:rsid w:val="51642944"/>
    <w:rsid w:val="51B95E77"/>
    <w:rsid w:val="51D14D89"/>
    <w:rsid w:val="51DD18FB"/>
    <w:rsid w:val="51F95466"/>
    <w:rsid w:val="521B1751"/>
    <w:rsid w:val="52276618"/>
    <w:rsid w:val="524F713C"/>
    <w:rsid w:val="5254263E"/>
    <w:rsid w:val="52B901D2"/>
    <w:rsid w:val="52CC049D"/>
    <w:rsid w:val="52D73966"/>
    <w:rsid w:val="52F76148"/>
    <w:rsid w:val="533775B7"/>
    <w:rsid w:val="535F279E"/>
    <w:rsid w:val="536A6651"/>
    <w:rsid w:val="53872BF9"/>
    <w:rsid w:val="53A9592C"/>
    <w:rsid w:val="53AF2AA5"/>
    <w:rsid w:val="53B7705D"/>
    <w:rsid w:val="53C0449F"/>
    <w:rsid w:val="53CF2AED"/>
    <w:rsid w:val="53D33579"/>
    <w:rsid w:val="53F92BFA"/>
    <w:rsid w:val="54320BDD"/>
    <w:rsid w:val="5455125E"/>
    <w:rsid w:val="545958B8"/>
    <w:rsid w:val="5460774F"/>
    <w:rsid w:val="54660872"/>
    <w:rsid w:val="546A3557"/>
    <w:rsid w:val="546D1B15"/>
    <w:rsid w:val="54802393"/>
    <w:rsid w:val="548646F0"/>
    <w:rsid w:val="54B65E96"/>
    <w:rsid w:val="54C658F2"/>
    <w:rsid w:val="54CC0797"/>
    <w:rsid w:val="54D7436F"/>
    <w:rsid w:val="5501153C"/>
    <w:rsid w:val="5502572A"/>
    <w:rsid w:val="55280DC1"/>
    <w:rsid w:val="55330825"/>
    <w:rsid w:val="55360BCD"/>
    <w:rsid w:val="557B157C"/>
    <w:rsid w:val="557D7188"/>
    <w:rsid w:val="5581398B"/>
    <w:rsid w:val="55887F0A"/>
    <w:rsid w:val="55997927"/>
    <w:rsid w:val="55A570E0"/>
    <w:rsid w:val="55BC36D0"/>
    <w:rsid w:val="55CB1E8A"/>
    <w:rsid w:val="565D317E"/>
    <w:rsid w:val="565F53CC"/>
    <w:rsid w:val="56705C6F"/>
    <w:rsid w:val="567E06DE"/>
    <w:rsid w:val="56BB29F8"/>
    <w:rsid w:val="56C977F9"/>
    <w:rsid w:val="56D668F5"/>
    <w:rsid w:val="56F956AB"/>
    <w:rsid w:val="5715543F"/>
    <w:rsid w:val="571D7A27"/>
    <w:rsid w:val="57253D2B"/>
    <w:rsid w:val="57421772"/>
    <w:rsid w:val="57481BD1"/>
    <w:rsid w:val="574A351B"/>
    <w:rsid w:val="57576D9A"/>
    <w:rsid w:val="57690071"/>
    <w:rsid w:val="57CF71AD"/>
    <w:rsid w:val="57E658B2"/>
    <w:rsid w:val="585B6543"/>
    <w:rsid w:val="58A365E5"/>
    <w:rsid w:val="58BE3BBB"/>
    <w:rsid w:val="58C130C1"/>
    <w:rsid w:val="58DF1847"/>
    <w:rsid w:val="58DF1D0E"/>
    <w:rsid w:val="58EA7D5F"/>
    <w:rsid w:val="58F6099C"/>
    <w:rsid w:val="59203CD4"/>
    <w:rsid w:val="593C4A7F"/>
    <w:rsid w:val="59737D00"/>
    <w:rsid w:val="59885A23"/>
    <w:rsid w:val="599D7F43"/>
    <w:rsid w:val="59CD725B"/>
    <w:rsid w:val="59E5670D"/>
    <w:rsid w:val="59EF00ED"/>
    <w:rsid w:val="5A1266FB"/>
    <w:rsid w:val="5A1A57F0"/>
    <w:rsid w:val="5A2A1110"/>
    <w:rsid w:val="5A567AE4"/>
    <w:rsid w:val="5A720621"/>
    <w:rsid w:val="5A7227B9"/>
    <w:rsid w:val="5A99767F"/>
    <w:rsid w:val="5ACE0755"/>
    <w:rsid w:val="5AF72029"/>
    <w:rsid w:val="5B0B043B"/>
    <w:rsid w:val="5B14296F"/>
    <w:rsid w:val="5B19654F"/>
    <w:rsid w:val="5B435B31"/>
    <w:rsid w:val="5B580C22"/>
    <w:rsid w:val="5B591F6B"/>
    <w:rsid w:val="5B96212B"/>
    <w:rsid w:val="5BAF356A"/>
    <w:rsid w:val="5BD267A7"/>
    <w:rsid w:val="5C0E2E23"/>
    <w:rsid w:val="5C2C5CAC"/>
    <w:rsid w:val="5C3A1D2E"/>
    <w:rsid w:val="5C51042E"/>
    <w:rsid w:val="5C7247CA"/>
    <w:rsid w:val="5C856B65"/>
    <w:rsid w:val="5CB7684D"/>
    <w:rsid w:val="5CE77856"/>
    <w:rsid w:val="5CF01C39"/>
    <w:rsid w:val="5CF81CA6"/>
    <w:rsid w:val="5D600730"/>
    <w:rsid w:val="5D944EC8"/>
    <w:rsid w:val="5DAD30A4"/>
    <w:rsid w:val="5DB172C0"/>
    <w:rsid w:val="5DB322DE"/>
    <w:rsid w:val="5DCD3D0A"/>
    <w:rsid w:val="5DCF165D"/>
    <w:rsid w:val="5DD11E13"/>
    <w:rsid w:val="5DDE0B78"/>
    <w:rsid w:val="5DF62C79"/>
    <w:rsid w:val="5E026C58"/>
    <w:rsid w:val="5E261D74"/>
    <w:rsid w:val="5E626A67"/>
    <w:rsid w:val="5E995681"/>
    <w:rsid w:val="5EA52683"/>
    <w:rsid w:val="5EC731BF"/>
    <w:rsid w:val="5EDC2D83"/>
    <w:rsid w:val="5EE633C3"/>
    <w:rsid w:val="5EEF73FA"/>
    <w:rsid w:val="5EF71434"/>
    <w:rsid w:val="5F2A4F4C"/>
    <w:rsid w:val="5F311139"/>
    <w:rsid w:val="5F3F0D82"/>
    <w:rsid w:val="5F402331"/>
    <w:rsid w:val="5F954A32"/>
    <w:rsid w:val="5FA01236"/>
    <w:rsid w:val="5FDD2C08"/>
    <w:rsid w:val="5FEC744C"/>
    <w:rsid w:val="5FF86B06"/>
    <w:rsid w:val="601971B0"/>
    <w:rsid w:val="60401AE6"/>
    <w:rsid w:val="604B0881"/>
    <w:rsid w:val="609612A0"/>
    <w:rsid w:val="609F2C02"/>
    <w:rsid w:val="60A60293"/>
    <w:rsid w:val="60AB23AE"/>
    <w:rsid w:val="60D37980"/>
    <w:rsid w:val="60D73838"/>
    <w:rsid w:val="60E72A0C"/>
    <w:rsid w:val="60F52562"/>
    <w:rsid w:val="61035EB8"/>
    <w:rsid w:val="61213C9C"/>
    <w:rsid w:val="61762488"/>
    <w:rsid w:val="6176562A"/>
    <w:rsid w:val="61875B50"/>
    <w:rsid w:val="61946DA3"/>
    <w:rsid w:val="61AA6B27"/>
    <w:rsid w:val="61C227E4"/>
    <w:rsid w:val="61ED215E"/>
    <w:rsid w:val="620B3C9D"/>
    <w:rsid w:val="621330AD"/>
    <w:rsid w:val="62544E84"/>
    <w:rsid w:val="629023A3"/>
    <w:rsid w:val="62AE5FFF"/>
    <w:rsid w:val="62CD62E4"/>
    <w:rsid w:val="62FA1848"/>
    <w:rsid w:val="63106792"/>
    <w:rsid w:val="631946DD"/>
    <w:rsid w:val="63393EF7"/>
    <w:rsid w:val="63503F8C"/>
    <w:rsid w:val="63801D56"/>
    <w:rsid w:val="63821F77"/>
    <w:rsid w:val="638A3BC8"/>
    <w:rsid w:val="6393623C"/>
    <w:rsid w:val="639854AA"/>
    <w:rsid w:val="63C2628E"/>
    <w:rsid w:val="63C33079"/>
    <w:rsid w:val="63CF1F3E"/>
    <w:rsid w:val="64020C5D"/>
    <w:rsid w:val="64232149"/>
    <w:rsid w:val="644374CD"/>
    <w:rsid w:val="6454166C"/>
    <w:rsid w:val="64957FBC"/>
    <w:rsid w:val="649E5D78"/>
    <w:rsid w:val="64AC39DB"/>
    <w:rsid w:val="64AC5A0C"/>
    <w:rsid w:val="64B0177D"/>
    <w:rsid w:val="64C05850"/>
    <w:rsid w:val="64C671E6"/>
    <w:rsid w:val="64CE76D8"/>
    <w:rsid w:val="6508668E"/>
    <w:rsid w:val="65087E90"/>
    <w:rsid w:val="651937E7"/>
    <w:rsid w:val="653E50F5"/>
    <w:rsid w:val="656677CA"/>
    <w:rsid w:val="6568716C"/>
    <w:rsid w:val="65AD4911"/>
    <w:rsid w:val="65B77147"/>
    <w:rsid w:val="65D72794"/>
    <w:rsid w:val="65D930BD"/>
    <w:rsid w:val="66063696"/>
    <w:rsid w:val="6625272E"/>
    <w:rsid w:val="665747FA"/>
    <w:rsid w:val="66591451"/>
    <w:rsid w:val="66942DCC"/>
    <w:rsid w:val="6695239D"/>
    <w:rsid w:val="66982A24"/>
    <w:rsid w:val="66A74B82"/>
    <w:rsid w:val="66C0063E"/>
    <w:rsid w:val="66D87137"/>
    <w:rsid w:val="66DD7075"/>
    <w:rsid w:val="66E731C9"/>
    <w:rsid w:val="66F52B75"/>
    <w:rsid w:val="670145AA"/>
    <w:rsid w:val="67163D60"/>
    <w:rsid w:val="67272D57"/>
    <w:rsid w:val="67356CE6"/>
    <w:rsid w:val="673664D4"/>
    <w:rsid w:val="675234A7"/>
    <w:rsid w:val="67805D9D"/>
    <w:rsid w:val="67F372DA"/>
    <w:rsid w:val="683400F2"/>
    <w:rsid w:val="68423BE0"/>
    <w:rsid w:val="684321E9"/>
    <w:rsid w:val="6869468E"/>
    <w:rsid w:val="686D1C63"/>
    <w:rsid w:val="68732045"/>
    <w:rsid w:val="68906240"/>
    <w:rsid w:val="689608F3"/>
    <w:rsid w:val="68C1769D"/>
    <w:rsid w:val="68CE412B"/>
    <w:rsid w:val="68E102E9"/>
    <w:rsid w:val="68E44AFF"/>
    <w:rsid w:val="68E603BF"/>
    <w:rsid w:val="68E717BC"/>
    <w:rsid w:val="68F80247"/>
    <w:rsid w:val="68FD7340"/>
    <w:rsid w:val="692357DA"/>
    <w:rsid w:val="693E4D7A"/>
    <w:rsid w:val="695C1BAB"/>
    <w:rsid w:val="69696AFA"/>
    <w:rsid w:val="698473B5"/>
    <w:rsid w:val="6988726E"/>
    <w:rsid w:val="69A70395"/>
    <w:rsid w:val="69B17899"/>
    <w:rsid w:val="69DC3734"/>
    <w:rsid w:val="69FC700D"/>
    <w:rsid w:val="6A1C3194"/>
    <w:rsid w:val="6A257E03"/>
    <w:rsid w:val="6A304A85"/>
    <w:rsid w:val="6A4851D3"/>
    <w:rsid w:val="6A4F245F"/>
    <w:rsid w:val="6A65399A"/>
    <w:rsid w:val="6A6E5FDA"/>
    <w:rsid w:val="6A6F3B84"/>
    <w:rsid w:val="6AA11F70"/>
    <w:rsid w:val="6AE6525E"/>
    <w:rsid w:val="6AF7363A"/>
    <w:rsid w:val="6B2C3335"/>
    <w:rsid w:val="6B4A5E44"/>
    <w:rsid w:val="6B551A3E"/>
    <w:rsid w:val="6B783333"/>
    <w:rsid w:val="6B883A35"/>
    <w:rsid w:val="6B996ED3"/>
    <w:rsid w:val="6BB14578"/>
    <w:rsid w:val="6BE575AC"/>
    <w:rsid w:val="6BF81937"/>
    <w:rsid w:val="6C0653E4"/>
    <w:rsid w:val="6C427F30"/>
    <w:rsid w:val="6C4A61C2"/>
    <w:rsid w:val="6C4B3584"/>
    <w:rsid w:val="6C6329EE"/>
    <w:rsid w:val="6C78179C"/>
    <w:rsid w:val="6C7B208C"/>
    <w:rsid w:val="6C816A31"/>
    <w:rsid w:val="6CA738D5"/>
    <w:rsid w:val="6CE1247D"/>
    <w:rsid w:val="6D0531D6"/>
    <w:rsid w:val="6D232D3F"/>
    <w:rsid w:val="6D422EC7"/>
    <w:rsid w:val="6D5543F8"/>
    <w:rsid w:val="6D685FAD"/>
    <w:rsid w:val="6D7E5DA8"/>
    <w:rsid w:val="6D85320E"/>
    <w:rsid w:val="6D8F18C2"/>
    <w:rsid w:val="6D8F6D15"/>
    <w:rsid w:val="6DA36053"/>
    <w:rsid w:val="6DAB64CB"/>
    <w:rsid w:val="6DB26652"/>
    <w:rsid w:val="6DB81C05"/>
    <w:rsid w:val="6DBC4BAD"/>
    <w:rsid w:val="6DD02897"/>
    <w:rsid w:val="6DFA6383"/>
    <w:rsid w:val="6E1327C4"/>
    <w:rsid w:val="6E1E0D40"/>
    <w:rsid w:val="6E25790A"/>
    <w:rsid w:val="6E302727"/>
    <w:rsid w:val="6E3D491B"/>
    <w:rsid w:val="6E6A5B82"/>
    <w:rsid w:val="6E711301"/>
    <w:rsid w:val="6E7966A2"/>
    <w:rsid w:val="6E89513B"/>
    <w:rsid w:val="6E8A023C"/>
    <w:rsid w:val="6E8F5819"/>
    <w:rsid w:val="6EA61108"/>
    <w:rsid w:val="6ED9783D"/>
    <w:rsid w:val="6F17767E"/>
    <w:rsid w:val="6F1B3C45"/>
    <w:rsid w:val="6F643705"/>
    <w:rsid w:val="6F797150"/>
    <w:rsid w:val="6FB26204"/>
    <w:rsid w:val="6FC01BF6"/>
    <w:rsid w:val="6FD36C1F"/>
    <w:rsid w:val="6FE53E21"/>
    <w:rsid w:val="6FF70EFD"/>
    <w:rsid w:val="700F7904"/>
    <w:rsid w:val="701B2F27"/>
    <w:rsid w:val="701E3C4F"/>
    <w:rsid w:val="705F4DE1"/>
    <w:rsid w:val="707C5B0F"/>
    <w:rsid w:val="707E0781"/>
    <w:rsid w:val="70846C96"/>
    <w:rsid w:val="708C5ED4"/>
    <w:rsid w:val="70915039"/>
    <w:rsid w:val="70A42F1B"/>
    <w:rsid w:val="70B47603"/>
    <w:rsid w:val="70DE7B9A"/>
    <w:rsid w:val="70F036AB"/>
    <w:rsid w:val="71196D35"/>
    <w:rsid w:val="71290EFB"/>
    <w:rsid w:val="71295F9D"/>
    <w:rsid w:val="71375846"/>
    <w:rsid w:val="71381047"/>
    <w:rsid w:val="713A6044"/>
    <w:rsid w:val="715B4123"/>
    <w:rsid w:val="716523D0"/>
    <w:rsid w:val="71997F25"/>
    <w:rsid w:val="71A95DCE"/>
    <w:rsid w:val="71E6509D"/>
    <w:rsid w:val="71EA6065"/>
    <w:rsid w:val="71FE69D6"/>
    <w:rsid w:val="72012E31"/>
    <w:rsid w:val="720B2606"/>
    <w:rsid w:val="72551D02"/>
    <w:rsid w:val="72910468"/>
    <w:rsid w:val="72BB7BDA"/>
    <w:rsid w:val="72BD664C"/>
    <w:rsid w:val="72D77F6B"/>
    <w:rsid w:val="72E27185"/>
    <w:rsid w:val="72EC4C4C"/>
    <w:rsid w:val="731429BE"/>
    <w:rsid w:val="73146F4A"/>
    <w:rsid w:val="731D7BD1"/>
    <w:rsid w:val="733C1269"/>
    <w:rsid w:val="733E73F4"/>
    <w:rsid w:val="73404701"/>
    <w:rsid w:val="734E5454"/>
    <w:rsid w:val="735B7305"/>
    <w:rsid w:val="736700F9"/>
    <w:rsid w:val="7379638D"/>
    <w:rsid w:val="73997159"/>
    <w:rsid w:val="739C0D45"/>
    <w:rsid w:val="73AF30B2"/>
    <w:rsid w:val="73CF48C4"/>
    <w:rsid w:val="73F73650"/>
    <w:rsid w:val="73FE636F"/>
    <w:rsid w:val="74200655"/>
    <w:rsid w:val="74291D7C"/>
    <w:rsid w:val="744838A2"/>
    <w:rsid w:val="746B0EFE"/>
    <w:rsid w:val="74835FAA"/>
    <w:rsid w:val="7484211F"/>
    <w:rsid w:val="74A42840"/>
    <w:rsid w:val="74A67528"/>
    <w:rsid w:val="74C0173E"/>
    <w:rsid w:val="74CF2354"/>
    <w:rsid w:val="74D73294"/>
    <w:rsid w:val="74FD4872"/>
    <w:rsid w:val="75452878"/>
    <w:rsid w:val="754E3219"/>
    <w:rsid w:val="75756D95"/>
    <w:rsid w:val="757E5EC0"/>
    <w:rsid w:val="75802A33"/>
    <w:rsid w:val="75816AE8"/>
    <w:rsid w:val="758B1422"/>
    <w:rsid w:val="759925EB"/>
    <w:rsid w:val="7622086A"/>
    <w:rsid w:val="763843DE"/>
    <w:rsid w:val="76596D3D"/>
    <w:rsid w:val="767D14B9"/>
    <w:rsid w:val="768027C8"/>
    <w:rsid w:val="76B11C82"/>
    <w:rsid w:val="76C33BF4"/>
    <w:rsid w:val="76C43AED"/>
    <w:rsid w:val="76DB1700"/>
    <w:rsid w:val="76E24EFD"/>
    <w:rsid w:val="76FF6A3F"/>
    <w:rsid w:val="771354CD"/>
    <w:rsid w:val="77167BFA"/>
    <w:rsid w:val="771C44B0"/>
    <w:rsid w:val="772C6812"/>
    <w:rsid w:val="7741428A"/>
    <w:rsid w:val="77980622"/>
    <w:rsid w:val="77F04704"/>
    <w:rsid w:val="77FD4A20"/>
    <w:rsid w:val="77FD5BF8"/>
    <w:rsid w:val="782C5F12"/>
    <w:rsid w:val="784F2BE8"/>
    <w:rsid w:val="78DB23AD"/>
    <w:rsid w:val="78DF282C"/>
    <w:rsid w:val="790C35FE"/>
    <w:rsid w:val="79196224"/>
    <w:rsid w:val="791B5FD0"/>
    <w:rsid w:val="791C4BC1"/>
    <w:rsid w:val="79207AE8"/>
    <w:rsid w:val="795265C4"/>
    <w:rsid w:val="795C2ABE"/>
    <w:rsid w:val="79747EAA"/>
    <w:rsid w:val="797F1B7D"/>
    <w:rsid w:val="798518F6"/>
    <w:rsid w:val="79BD135D"/>
    <w:rsid w:val="79BD1919"/>
    <w:rsid w:val="79BF3E9D"/>
    <w:rsid w:val="79D409FF"/>
    <w:rsid w:val="79D45D20"/>
    <w:rsid w:val="79D64AC2"/>
    <w:rsid w:val="7A03509C"/>
    <w:rsid w:val="7A071AD3"/>
    <w:rsid w:val="7A192CFB"/>
    <w:rsid w:val="7A2D3C91"/>
    <w:rsid w:val="7A3060AD"/>
    <w:rsid w:val="7A330491"/>
    <w:rsid w:val="7A406C32"/>
    <w:rsid w:val="7A496FA1"/>
    <w:rsid w:val="7A563E0D"/>
    <w:rsid w:val="7A6D629E"/>
    <w:rsid w:val="7A9D4069"/>
    <w:rsid w:val="7A9E02DB"/>
    <w:rsid w:val="7AA25850"/>
    <w:rsid w:val="7AA36BD9"/>
    <w:rsid w:val="7AF35A06"/>
    <w:rsid w:val="7B5B2B16"/>
    <w:rsid w:val="7BA34BC4"/>
    <w:rsid w:val="7BAC3C32"/>
    <w:rsid w:val="7BCE0F1A"/>
    <w:rsid w:val="7BF2094B"/>
    <w:rsid w:val="7BF51435"/>
    <w:rsid w:val="7BFF3699"/>
    <w:rsid w:val="7C087FAE"/>
    <w:rsid w:val="7C1F2BF9"/>
    <w:rsid w:val="7C327201"/>
    <w:rsid w:val="7C41534A"/>
    <w:rsid w:val="7C5A41EB"/>
    <w:rsid w:val="7C5E095F"/>
    <w:rsid w:val="7C8850C1"/>
    <w:rsid w:val="7CB36590"/>
    <w:rsid w:val="7CB82558"/>
    <w:rsid w:val="7CD722AB"/>
    <w:rsid w:val="7D1B2B41"/>
    <w:rsid w:val="7D451A00"/>
    <w:rsid w:val="7D6548B2"/>
    <w:rsid w:val="7D917EBB"/>
    <w:rsid w:val="7DB14999"/>
    <w:rsid w:val="7DC52357"/>
    <w:rsid w:val="7DEE2528"/>
    <w:rsid w:val="7E1F6F1D"/>
    <w:rsid w:val="7E293E09"/>
    <w:rsid w:val="7E8E7B70"/>
    <w:rsid w:val="7EA41D05"/>
    <w:rsid w:val="7EC64C38"/>
    <w:rsid w:val="7ED963A0"/>
    <w:rsid w:val="7EE31342"/>
    <w:rsid w:val="7EF266D2"/>
    <w:rsid w:val="7EF44D6A"/>
    <w:rsid w:val="7F0F36F4"/>
    <w:rsid w:val="7F3F3E95"/>
    <w:rsid w:val="7F8E187F"/>
    <w:rsid w:val="7F907FEE"/>
    <w:rsid w:val="7F9E70AD"/>
    <w:rsid w:val="7FB91E3B"/>
    <w:rsid w:val="7FC07DC7"/>
    <w:rsid w:val="7FC36FD6"/>
    <w:rsid w:val="7FDA1FB9"/>
    <w:rsid w:val="7FDB5519"/>
    <w:rsid w:val="7FE365CE"/>
    <w:rsid w:val="7FF1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name="HTML Cite"/>
    <w:lsdException w:qFormat="1" w:uiPriority="0" w:name="HTML Code"/>
    <w:lsdException w:qFormat="1" w:uiPriority="0" w:name="HTML Definition"/>
    <w:lsdException w:uiPriority="99" w:name="HTML Keyboard"/>
    <w:lsdException w:uiPriority="99" w:name="HTML Preformatted"/>
    <w:lsdException w:qFormat="1" w:uiPriority="99" w:name="HTML Sample"/>
    <w:lsdException w:uiPriority="99" w:name="HTML Typewriter"/>
    <w:lsdException w:qFormat="1"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0" w:firstLineChars="200"/>
      <w:jc w:val="both"/>
    </w:pPr>
    <w:rPr>
      <w:rFonts w:ascii="宋体" w:hAnsi="宋体" w:eastAsia="宋体" w:cs="Times New Roman"/>
      <w:sz w:val="24"/>
      <w:lang w:val="en-US" w:eastAsia="zh-CN" w:bidi="ar-SA"/>
    </w:rPr>
  </w:style>
  <w:style w:type="paragraph" w:styleId="3">
    <w:name w:val="heading 1"/>
    <w:basedOn w:val="1"/>
    <w:next w:val="1"/>
    <w:link w:val="46"/>
    <w:qFormat/>
    <w:uiPriority w:val="9"/>
    <w:pPr>
      <w:keepNext/>
      <w:keepLines/>
      <w:spacing w:before="340" w:after="330" w:line="520" w:lineRule="exact"/>
      <w:ind w:firstLine="0" w:firstLineChars="0"/>
      <w:jc w:val="center"/>
      <w:outlineLvl w:val="0"/>
    </w:pPr>
    <w:rPr>
      <w:rFonts w:ascii="Times New Roman" w:hAnsi="Times New Roman"/>
      <w:b/>
      <w:bCs/>
      <w:kern w:val="44"/>
      <w:sz w:val="36"/>
      <w:szCs w:val="44"/>
      <w:lang w:val="zh-CN"/>
    </w:rPr>
  </w:style>
  <w:style w:type="paragraph" w:styleId="4">
    <w:name w:val="heading 2"/>
    <w:basedOn w:val="1"/>
    <w:next w:val="1"/>
    <w:link w:val="47"/>
    <w:qFormat/>
    <w:uiPriority w:val="9"/>
    <w:pPr>
      <w:keepNext/>
      <w:keepLines/>
      <w:spacing w:before="260" w:after="260" w:line="520" w:lineRule="exact"/>
      <w:ind w:firstLine="0" w:firstLineChars="0"/>
      <w:jc w:val="center"/>
      <w:outlineLvl w:val="1"/>
    </w:pPr>
    <w:rPr>
      <w:rFonts w:ascii="Arial" w:hAnsi="Arial"/>
      <w:b/>
      <w:bCs/>
      <w:kern w:val="2"/>
      <w:sz w:val="32"/>
      <w:szCs w:val="32"/>
      <w:lang w:val="zh-CN"/>
    </w:rPr>
  </w:style>
  <w:style w:type="paragraph" w:styleId="5">
    <w:name w:val="heading 3"/>
    <w:basedOn w:val="1"/>
    <w:next w:val="1"/>
    <w:link w:val="48"/>
    <w:qFormat/>
    <w:uiPriority w:val="0"/>
    <w:pPr>
      <w:keepNext/>
      <w:keepLines/>
      <w:spacing w:before="260" w:after="260"/>
      <w:outlineLvl w:val="2"/>
    </w:pPr>
    <w:rPr>
      <w:rFonts w:ascii="Times New Roman" w:hAnsi="Times New Roman"/>
      <w:b/>
      <w:bCs/>
      <w:kern w:val="2"/>
      <w:szCs w:val="32"/>
      <w:lang w:val="zh-CN"/>
    </w:rPr>
  </w:style>
  <w:style w:type="paragraph" w:styleId="6">
    <w:name w:val="heading 4"/>
    <w:basedOn w:val="1"/>
    <w:next w:val="1"/>
    <w:link w:val="51"/>
    <w:qFormat/>
    <w:uiPriority w:val="0"/>
    <w:pPr>
      <w:keepNext/>
      <w:keepLines/>
      <w:spacing w:before="280" w:after="290" w:line="376" w:lineRule="auto"/>
      <w:outlineLvl w:val="3"/>
    </w:pPr>
    <w:rPr>
      <w:rFonts w:ascii="Cambria" w:hAnsi="Cambria"/>
      <w:b/>
      <w:bCs/>
      <w:kern w:val="2"/>
      <w:szCs w:val="28"/>
      <w:lang w:val="zh-CN"/>
    </w:rPr>
  </w:style>
  <w:style w:type="paragraph" w:styleId="7">
    <w:name w:val="heading 5"/>
    <w:basedOn w:val="1"/>
    <w:next w:val="1"/>
    <w:link w:val="52"/>
    <w:qFormat/>
    <w:uiPriority w:val="9"/>
    <w:pPr>
      <w:keepNext/>
      <w:keepLines/>
      <w:spacing w:before="280" w:after="290"/>
      <w:outlineLvl w:val="4"/>
    </w:pPr>
    <w:rPr>
      <w:rFonts w:ascii="Times New Roman" w:hAnsi="Times New Roman"/>
      <w:b/>
      <w:bCs/>
      <w:szCs w:val="28"/>
      <w:lang w:val="zh-CN"/>
    </w:rPr>
  </w:style>
  <w:style w:type="paragraph" w:styleId="8">
    <w:name w:val="heading 6"/>
    <w:basedOn w:val="1"/>
    <w:next w:val="1"/>
    <w:link w:val="53"/>
    <w:qFormat/>
    <w:uiPriority w:val="0"/>
    <w:pPr>
      <w:keepNext/>
      <w:keepLines/>
      <w:spacing w:before="240" w:after="64" w:line="320" w:lineRule="auto"/>
      <w:outlineLvl w:val="5"/>
    </w:pPr>
    <w:rPr>
      <w:rFonts w:ascii="Calibri Light" w:hAnsi="Calibri Light"/>
      <w:b/>
      <w:bCs/>
      <w:kern w:val="2"/>
      <w:szCs w:val="24"/>
      <w:lang w:val="zh-CN"/>
    </w:rPr>
  </w:style>
  <w:style w:type="paragraph" w:styleId="9">
    <w:name w:val="heading 7"/>
    <w:basedOn w:val="1"/>
    <w:next w:val="1"/>
    <w:link w:val="54"/>
    <w:qFormat/>
    <w:uiPriority w:val="0"/>
    <w:pPr>
      <w:keepNext/>
      <w:keepLines/>
      <w:spacing w:before="240" w:after="64" w:line="317" w:lineRule="auto"/>
      <w:outlineLvl w:val="6"/>
    </w:pPr>
    <w:rPr>
      <w:rFonts w:ascii="Times New Roman" w:hAnsi="Times New Roman"/>
      <w:b/>
      <w:kern w:val="2"/>
      <w:lang w:val="zh-CN"/>
    </w:rPr>
  </w:style>
  <w:style w:type="paragraph" w:styleId="10">
    <w:name w:val="heading 8"/>
    <w:basedOn w:val="1"/>
    <w:next w:val="1"/>
    <w:link w:val="49"/>
    <w:qFormat/>
    <w:uiPriority w:val="0"/>
    <w:pPr>
      <w:keepNext/>
      <w:keepLines/>
      <w:numPr>
        <w:ilvl w:val="7"/>
        <w:numId w:val="1"/>
      </w:numPr>
      <w:spacing w:before="240" w:after="64" w:line="317" w:lineRule="auto"/>
      <w:outlineLvl w:val="7"/>
    </w:pPr>
    <w:rPr>
      <w:rFonts w:ascii="Arial" w:hAnsi="Arial" w:eastAsia="黑体"/>
      <w:kern w:val="2"/>
      <w:lang w:val="zh-CN"/>
    </w:rPr>
  </w:style>
  <w:style w:type="paragraph" w:styleId="11">
    <w:name w:val="heading 9"/>
    <w:basedOn w:val="1"/>
    <w:next w:val="1"/>
    <w:link w:val="50"/>
    <w:qFormat/>
    <w:uiPriority w:val="0"/>
    <w:pPr>
      <w:keepNext/>
      <w:keepLines/>
      <w:numPr>
        <w:ilvl w:val="8"/>
        <w:numId w:val="1"/>
      </w:numPr>
      <w:spacing w:before="240" w:after="64" w:line="317" w:lineRule="auto"/>
      <w:outlineLvl w:val="8"/>
    </w:pPr>
    <w:rPr>
      <w:rFonts w:ascii="Arial" w:hAnsi="Arial" w:eastAsia="黑体"/>
      <w:kern w:val="2"/>
      <w:sz w:val="21"/>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99"/>
    <w:pPr>
      <w:spacing w:before="60" w:after="60" w:line="360" w:lineRule="auto"/>
      <w:ind w:firstLine="200"/>
    </w:pPr>
    <w:rPr>
      <w:rFonts w:ascii="Times New Roman" w:hAnsi="Times New Roman" w:eastAsia="仿宋_GB2312"/>
      <w:kern w:val="2"/>
      <w:sz w:val="32"/>
      <w:szCs w:val="24"/>
      <w:lang w:val="zh-CN"/>
    </w:rPr>
  </w:style>
  <w:style w:type="paragraph" w:styleId="12">
    <w:name w:val="Normal Indent"/>
    <w:basedOn w:val="1"/>
    <w:next w:val="6"/>
    <w:link w:val="55"/>
    <w:qFormat/>
    <w:uiPriority w:val="0"/>
    <w:pPr>
      <w:ind w:firstLine="420"/>
    </w:pPr>
    <w:rPr>
      <w:szCs w:val="24"/>
      <w:lang w:val="zh-CN"/>
    </w:rPr>
  </w:style>
  <w:style w:type="paragraph" w:styleId="13">
    <w:name w:val="Document Map"/>
    <w:basedOn w:val="1"/>
    <w:link w:val="56"/>
    <w:qFormat/>
    <w:uiPriority w:val="0"/>
    <w:pPr>
      <w:shd w:val="clear" w:color="auto" w:fill="000080"/>
    </w:pPr>
    <w:rPr>
      <w:rFonts w:ascii="Times New Roman" w:hAnsi="Times New Roman"/>
      <w:kern w:val="2"/>
      <w:sz w:val="21"/>
      <w:szCs w:val="21"/>
      <w:lang w:val="zh-CN"/>
    </w:rPr>
  </w:style>
  <w:style w:type="paragraph" w:styleId="14">
    <w:name w:val="annotation text"/>
    <w:basedOn w:val="1"/>
    <w:link w:val="57"/>
    <w:qFormat/>
    <w:uiPriority w:val="0"/>
    <w:pPr>
      <w:jc w:val="left"/>
    </w:pPr>
    <w:rPr>
      <w:rFonts w:ascii="Times New Roman" w:hAnsi="Times New Roman"/>
      <w:kern w:val="2"/>
      <w:sz w:val="21"/>
      <w:szCs w:val="21"/>
      <w:lang w:val="zh-CN"/>
    </w:rPr>
  </w:style>
  <w:style w:type="paragraph" w:styleId="15">
    <w:name w:val="Salutation"/>
    <w:basedOn w:val="1"/>
    <w:next w:val="1"/>
    <w:unhideWhenUsed/>
    <w:qFormat/>
    <w:uiPriority w:val="99"/>
  </w:style>
  <w:style w:type="paragraph" w:styleId="16">
    <w:name w:val="Body Text Indent"/>
    <w:basedOn w:val="1"/>
    <w:link w:val="59"/>
    <w:qFormat/>
    <w:uiPriority w:val="0"/>
    <w:pPr>
      <w:ind w:firstLine="630"/>
    </w:pPr>
    <w:rPr>
      <w:rFonts w:ascii="Times New Roman" w:hAnsi="Times New Roman"/>
      <w:kern w:val="2"/>
      <w:sz w:val="32"/>
      <w:lang w:val="zh-CN"/>
    </w:rPr>
  </w:style>
  <w:style w:type="paragraph" w:styleId="17">
    <w:name w:val="Plain Text"/>
    <w:basedOn w:val="1"/>
    <w:link w:val="60"/>
    <w:qFormat/>
    <w:uiPriority w:val="0"/>
    <w:pPr>
      <w:autoSpaceDE w:val="0"/>
      <w:autoSpaceDN w:val="0"/>
      <w:adjustRightInd w:val="0"/>
    </w:pPr>
    <w:rPr>
      <w:rFonts w:hAnsi="Tms Rmn" w:cs="宋体"/>
      <w:sz w:val="21"/>
      <w:szCs w:val="21"/>
    </w:rPr>
  </w:style>
  <w:style w:type="paragraph" w:styleId="18">
    <w:name w:val="Date"/>
    <w:basedOn w:val="1"/>
    <w:next w:val="1"/>
    <w:link w:val="61"/>
    <w:qFormat/>
    <w:uiPriority w:val="0"/>
    <w:pPr>
      <w:ind w:left="100" w:leftChars="2500"/>
    </w:pPr>
    <w:rPr>
      <w:rFonts w:ascii="Times New Roman" w:hAnsi="Times New Roman"/>
      <w:kern w:val="2"/>
      <w:sz w:val="21"/>
      <w:szCs w:val="21"/>
      <w:lang w:val="zh-CN"/>
    </w:rPr>
  </w:style>
  <w:style w:type="paragraph" w:styleId="19">
    <w:name w:val="Body Text Indent 2"/>
    <w:basedOn w:val="1"/>
    <w:link w:val="62"/>
    <w:qFormat/>
    <w:uiPriority w:val="0"/>
    <w:pPr>
      <w:spacing w:after="120" w:line="480" w:lineRule="auto"/>
      <w:ind w:left="420" w:leftChars="200"/>
    </w:pPr>
  </w:style>
  <w:style w:type="paragraph" w:styleId="20">
    <w:name w:val="Balloon Text"/>
    <w:basedOn w:val="1"/>
    <w:link w:val="63"/>
    <w:qFormat/>
    <w:uiPriority w:val="0"/>
    <w:rPr>
      <w:rFonts w:ascii="Times New Roman" w:hAnsi="Times New Roman"/>
      <w:kern w:val="2"/>
      <w:sz w:val="18"/>
      <w:szCs w:val="18"/>
      <w:lang w:val="zh-CN"/>
    </w:rPr>
  </w:style>
  <w:style w:type="paragraph" w:styleId="21">
    <w:name w:val="footer"/>
    <w:basedOn w:val="1"/>
    <w:link w:val="64"/>
    <w:qFormat/>
    <w:uiPriority w:val="99"/>
    <w:pPr>
      <w:tabs>
        <w:tab w:val="center" w:pos="4153"/>
        <w:tab w:val="right" w:pos="8306"/>
      </w:tabs>
      <w:snapToGrid w:val="0"/>
      <w:jc w:val="left"/>
    </w:pPr>
    <w:rPr>
      <w:rFonts w:ascii="Times New Roman" w:hAnsi="Times New Roman"/>
      <w:kern w:val="2"/>
      <w:sz w:val="18"/>
      <w:szCs w:val="18"/>
      <w:lang w:val="zh-CN"/>
    </w:rPr>
  </w:style>
  <w:style w:type="paragraph" w:styleId="22">
    <w:name w:val="header"/>
    <w:basedOn w:val="1"/>
    <w:link w:val="65"/>
    <w:qFormat/>
    <w:uiPriority w:val="99"/>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style>
  <w:style w:type="paragraph" w:styleId="25">
    <w:name w:val="Subtitle"/>
    <w:basedOn w:val="1"/>
    <w:next w:val="1"/>
    <w:link w:val="105"/>
    <w:qFormat/>
    <w:uiPriority w:val="11"/>
    <w:pPr>
      <w:spacing w:before="240" w:after="60" w:line="312" w:lineRule="auto"/>
      <w:jc w:val="center"/>
      <w:outlineLvl w:val="1"/>
    </w:pPr>
    <w:rPr>
      <w:rFonts w:ascii="Calibri Light" w:hAnsi="Calibri Light"/>
      <w:b/>
      <w:bCs/>
      <w:kern w:val="28"/>
      <w:sz w:val="32"/>
      <w:szCs w:val="32"/>
      <w:lang w:val="zh-CN"/>
    </w:rPr>
  </w:style>
  <w:style w:type="paragraph" w:styleId="26">
    <w:name w:val="Normal (Web)"/>
    <w:basedOn w:val="1"/>
    <w:qFormat/>
    <w:uiPriority w:val="0"/>
    <w:pPr>
      <w:spacing w:before="100" w:beforeAutospacing="1" w:after="100" w:afterAutospacing="1"/>
      <w:jc w:val="left"/>
    </w:pPr>
  </w:style>
  <w:style w:type="paragraph" w:styleId="27">
    <w:name w:val="Title"/>
    <w:basedOn w:val="1"/>
    <w:next w:val="1"/>
    <w:link w:val="67"/>
    <w:qFormat/>
    <w:uiPriority w:val="99"/>
    <w:pPr>
      <w:spacing w:before="240" w:after="60"/>
      <w:jc w:val="center"/>
      <w:outlineLvl w:val="0"/>
    </w:pPr>
    <w:rPr>
      <w:rFonts w:ascii="Calibri Light" w:hAnsi="Calibri Light"/>
      <w:b/>
      <w:bCs/>
      <w:kern w:val="2"/>
      <w:sz w:val="32"/>
      <w:szCs w:val="32"/>
      <w:lang w:val="zh-CN"/>
    </w:rPr>
  </w:style>
  <w:style w:type="paragraph" w:styleId="28">
    <w:name w:val="annotation subject"/>
    <w:basedOn w:val="14"/>
    <w:next w:val="14"/>
    <w:link w:val="68"/>
    <w:qFormat/>
    <w:uiPriority w:val="99"/>
    <w:rPr>
      <w:b/>
      <w:bCs/>
    </w:rPr>
  </w:style>
  <w:style w:type="paragraph" w:styleId="29">
    <w:name w:val="Body Text First Indent"/>
    <w:basedOn w:val="2"/>
    <w:link w:val="69"/>
    <w:qFormat/>
    <w:uiPriority w:val="0"/>
    <w:pPr>
      <w:spacing w:before="0" w:after="120" w:line="240" w:lineRule="auto"/>
      <w:ind w:firstLine="420" w:firstLineChars="100"/>
    </w:pPr>
    <w:rPr>
      <w:rFonts w:ascii="宋体"/>
      <w:sz w:val="3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semiHidden/>
    <w:unhideWhenUsed/>
    <w:qFormat/>
    <w:uiPriority w:val="0"/>
    <w:rPr>
      <w:color w:val="3D3D3D"/>
      <w:u w:val="none"/>
    </w:rPr>
  </w:style>
  <w:style w:type="character" w:styleId="34">
    <w:name w:val="Emphasis"/>
    <w:basedOn w:val="32"/>
    <w:qFormat/>
    <w:uiPriority w:val="20"/>
    <w:rPr>
      <w:color w:val="CC0000"/>
    </w:rPr>
  </w:style>
  <w:style w:type="character" w:styleId="35">
    <w:name w:val="HTML Definition"/>
    <w:basedOn w:val="32"/>
    <w:semiHidden/>
    <w:unhideWhenUsed/>
    <w:qFormat/>
    <w:uiPriority w:val="0"/>
  </w:style>
  <w:style w:type="character" w:styleId="36">
    <w:name w:val="HTML Variable"/>
    <w:basedOn w:val="32"/>
    <w:semiHidden/>
    <w:unhideWhenUsed/>
    <w:qFormat/>
    <w:uiPriority w:val="0"/>
  </w:style>
  <w:style w:type="character" w:styleId="37">
    <w:name w:val="Hyperlink"/>
    <w:basedOn w:val="32"/>
    <w:unhideWhenUsed/>
    <w:qFormat/>
    <w:uiPriority w:val="99"/>
    <w:rPr>
      <w:color w:val="0000FF" w:themeColor="hyperlink"/>
      <w:u w:val="single"/>
      <w14:textFill>
        <w14:solidFill>
          <w14:schemeClr w14:val="hlink"/>
        </w14:solidFill>
      </w14:textFill>
    </w:rPr>
  </w:style>
  <w:style w:type="character" w:styleId="38">
    <w:name w:val="HTML Code"/>
    <w:basedOn w:val="32"/>
    <w:semiHidden/>
    <w:unhideWhenUsed/>
    <w:qFormat/>
    <w:uiPriority w:val="0"/>
    <w:rPr>
      <w:rFonts w:ascii="Courier New" w:hAnsi="Courier New"/>
      <w:sz w:val="20"/>
    </w:rPr>
  </w:style>
  <w:style w:type="character" w:styleId="39">
    <w:name w:val="annotation reference"/>
    <w:qFormat/>
    <w:uiPriority w:val="0"/>
    <w:rPr>
      <w:sz w:val="21"/>
      <w:szCs w:val="21"/>
    </w:rPr>
  </w:style>
  <w:style w:type="character" w:styleId="40">
    <w:name w:val="HTML Cite"/>
    <w:basedOn w:val="32"/>
    <w:semiHidden/>
    <w:unhideWhenUsed/>
    <w:qFormat/>
    <w:uiPriority w:val="0"/>
  </w:style>
  <w:style w:type="character" w:styleId="41">
    <w:name w:val="HTML Sample"/>
    <w:basedOn w:val="32"/>
    <w:semiHidden/>
    <w:unhideWhenUsed/>
    <w:qFormat/>
    <w:uiPriority w:val="99"/>
    <w:rPr>
      <w:rFonts w:ascii="Courier New" w:hAnsi="Courier New"/>
    </w:rPr>
  </w:style>
  <w:style w:type="paragraph" w:customStyle="1" w:styleId="42">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43">
    <w:name w:val="标题 5（有编号）（绿盟科技）"/>
    <w:basedOn w:val="1"/>
    <w:next w:val="44"/>
    <w:qFormat/>
    <w:uiPriority w:val="0"/>
    <w:pPr>
      <w:keepNext/>
      <w:keepLines/>
      <w:spacing w:before="280" w:after="156" w:line="377" w:lineRule="auto"/>
      <w:jc w:val="left"/>
      <w:outlineLvl w:val="4"/>
    </w:pPr>
    <w:rPr>
      <w:rFonts w:ascii="Arial" w:hAnsi="Arial" w:eastAsia="黑体"/>
      <w:b/>
      <w:szCs w:val="28"/>
    </w:rPr>
  </w:style>
  <w:style w:type="paragraph" w:customStyle="1" w:styleId="4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5">
    <w:name w:val="正文文本 Char"/>
    <w:basedOn w:val="32"/>
    <w:link w:val="2"/>
    <w:qFormat/>
    <w:uiPriority w:val="99"/>
    <w:rPr>
      <w:rFonts w:ascii="Times New Roman" w:hAnsi="Times New Roman" w:eastAsia="仿宋_GB2312" w:cs="Times New Roman"/>
      <w:sz w:val="32"/>
      <w:szCs w:val="24"/>
      <w:lang w:val="zh-CN"/>
    </w:rPr>
  </w:style>
  <w:style w:type="character" w:customStyle="1" w:styleId="46">
    <w:name w:val="标题 1 Char"/>
    <w:basedOn w:val="32"/>
    <w:link w:val="3"/>
    <w:qFormat/>
    <w:uiPriority w:val="9"/>
    <w:rPr>
      <w:rFonts w:ascii="Times New Roman" w:hAnsi="Times New Roman" w:eastAsia="宋体" w:cs="Times New Roman"/>
      <w:b/>
      <w:bCs/>
      <w:kern w:val="44"/>
      <w:sz w:val="36"/>
      <w:szCs w:val="44"/>
      <w:lang w:val="zh-CN"/>
    </w:rPr>
  </w:style>
  <w:style w:type="character" w:customStyle="1" w:styleId="47">
    <w:name w:val="标题 2 Char"/>
    <w:basedOn w:val="32"/>
    <w:link w:val="4"/>
    <w:qFormat/>
    <w:uiPriority w:val="9"/>
    <w:rPr>
      <w:rFonts w:ascii="Arial" w:hAnsi="Arial" w:eastAsia="宋体" w:cs="Times New Roman"/>
      <w:b/>
      <w:bCs/>
      <w:sz w:val="32"/>
      <w:szCs w:val="32"/>
      <w:lang w:val="zh-CN"/>
    </w:rPr>
  </w:style>
  <w:style w:type="character" w:customStyle="1" w:styleId="48">
    <w:name w:val="标题 3 Char"/>
    <w:basedOn w:val="32"/>
    <w:link w:val="5"/>
    <w:qFormat/>
    <w:uiPriority w:val="0"/>
    <w:rPr>
      <w:rFonts w:ascii="Times New Roman" w:hAnsi="Times New Roman" w:eastAsia="宋体" w:cs="Times New Roman"/>
      <w:b/>
      <w:bCs/>
      <w:sz w:val="24"/>
      <w:szCs w:val="32"/>
      <w:lang w:val="zh-CN"/>
    </w:rPr>
  </w:style>
  <w:style w:type="character" w:customStyle="1" w:styleId="49">
    <w:name w:val="标题 8 Char"/>
    <w:basedOn w:val="32"/>
    <w:link w:val="10"/>
    <w:qFormat/>
    <w:uiPriority w:val="0"/>
    <w:rPr>
      <w:rFonts w:ascii="Arial" w:hAnsi="Arial" w:eastAsia="黑体" w:cs="Times New Roman"/>
      <w:sz w:val="24"/>
      <w:szCs w:val="20"/>
      <w:lang w:val="zh-CN"/>
    </w:rPr>
  </w:style>
  <w:style w:type="character" w:customStyle="1" w:styleId="50">
    <w:name w:val="标题 9 Char"/>
    <w:basedOn w:val="32"/>
    <w:link w:val="11"/>
    <w:qFormat/>
    <w:uiPriority w:val="0"/>
    <w:rPr>
      <w:rFonts w:ascii="Arial" w:hAnsi="Arial" w:eastAsia="黑体" w:cs="Times New Roman"/>
      <w:szCs w:val="20"/>
      <w:lang w:val="zh-CN"/>
    </w:rPr>
  </w:style>
  <w:style w:type="character" w:customStyle="1" w:styleId="51">
    <w:name w:val="标题 4 Char"/>
    <w:basedOn w:val="32"/>
    <w:link w:val="6"/>
    <w:qFormat/>
    <w:uiPriority w:val="0"/>
    <w:rPr>
      <w:rFonts w:ascii="Cambria" w:hAnsi="Cambria" w:eastAsia="宋体" w:cs="Times New Roman"/>
      <w:b/>
      <w:bCs/>
      <w:sz w:val="24"/>
      <w:szCs w:val="28"/>
      <w:lang w:val="zh-CN"/>
    </w:rPr>
  </w:style>
  <w:style w:type="character" w:customStyle="1" w:styleId="52">
    <w:name w:val="标题 5 Char"/>
    <w:basedOn w:val="32"/>
    <w:link w:val="7"/>
    <w:qFormat/>
    <w:uiPriority w:val="9"/>
    <w:rPr>
      <w:rFonts w:ascii="Times New Roman" w:hAnsi="Times New Roman" w:eastAsia="宋体" w:cs="Times New Roman"/>
      <w:b/>
      <w:bCs/>
      <w:kern w:val="0"/>
      <w:sz w:val="24"/>
      <w:szCs w:val="28"/>
      <w:lang w:val="zh-CN"/>
    </w:rPr>
  </w:style>
  <w:style w:type="character" w:customStyle="1" w:styleId="53">
    <w:name w:val="标题 6 Char"/>
    <w:basedOn w:val="32"/>
    <w:link w:val="8"/>
    <w:qFormat/>
    <w:uiPriority w:val="0"/>
    <w:rPr>
      <w:rFonts w:ascii="Calibri Light" w:hAnsi="Calibri Light" w:eastAsia="宋体" w:cs="Times New Roman"/>
      <w:b/>
      <w:bCs/>
      <w:sz w:val="24"/>
      <w:szCs w:val="24"/>
      <w:lang w:val="zh-CN"/>
    </w:rPr>
  </w:style>
  <w:style w:type="character" w:customStyle="1" w:styleId="54">
    <w:name w:val="标题 7 Char"/>
    <w:basedOn w:val="32"/>
    <w:link w:val="9"/>
    <w:qFormat/>
    <w:uiPriority w:val="0"/>
    <w:rPr>
      <w:rFonts w:ascii="Times New Roman" w:hAnsi="Times New Roman" w:eastAsia="宋体" w:cs="Times New Roman"/>
      <w:b/>
      <w:sz w:val="24"/>
      <w:szCs w:val="20"/>
      <w:lang w:val="zh-CN"/>
    </w:rPr>
  </w:style>
  <w:style w:type="character" w:customStyle="1" w:styleId="55">
    <w:name w:val="正文缩进 Char"/>
    <w:link w:val="12"/>
    <w:qFormat/>
    <w:uiPriority w:val="0"/>
    <w:rPr>
      <w:rFonts w:ascii="宋体" w:hAnsi="宋体" w:eastAsia="宋体" w:cs="Times New Roman"/>
      <w:kern w:val="0"/>
      <w:sz w:val="24"/>
      <w:szCs w:val="24"/>
      <w:lang w:val="zh-CN"/>
    </w:rPr>
  </w:style>
  <w:style w:type="character" w:customStyle="1" w:styleId="56">
    <w:name w:val="文档结构图 Char"/>
    <w:basedOn w:val="32"/>
    <w:link w:val="13"/>
    <w:qFormat/>
    <w:uiPriority w:val="0"/>
    <w:rPr>
      <w:rFonts w:ascii="Times New Roman" w:hAnsi="Times New Roman" w:eastAsia="宋体" w:cs="Times New Roman"/>
      <w:szCs w:val="21"/>
      <w:shd w:val="clear" w:color="auto" w:fill="000080"/>
      <w:lang w:val="zh-CN"/>
    </w:rPr>
  </w:style>
  <w:style w:type="character" w:customStyle="1" w:styleId="57">
    <w:name w:val="批注文字 Char1"/>
    <w:link w:val="14"/>
    <w:qFormat/>
    <w:uiPriority w:val="99"/>
    <w:rPr>
      <w:rFonts w:ascii="Times New Roman" w:hAnsi="Times New Roman" w:eastAsia="宋体" w:cs="Times New Roman"/>
      <w:szCs w:val="21"/>
      <w:lang w:val="zh-CN"/>
    </w:rPr>
  </w:style>
  <w:style w:type="character" w:customStyle="1" w:styleId="58">
    <w:name w:val="批注文字 Char"/>
    <w:basedOn w:val="32"/>
    <w:qFormat/>
    <w:uiPriority w:val="99"/>
    <w:rPr>
      <w:rFonts w:ascii="宋体" w:hAnsi="宋体" w:eastAsia="宋体" w:cs="Times New Roman"/>
      <w:kern w:val="0"/>
      <w:sz w:val="24"/>
      <w:szCs w:val="20"/>
    </w:rPr>
  </w:style>
  <w:style w:type="character" w:customStyle="1" w:styleId="59">
    <w:name w:val="正文文本缩进 Char"/>
    <w:basedOn w:val="32"/>
    <w:link w:val="16"/>
    <w:qFormat/>
    <w:uiPriority w:val="0"/>
    <w:rPr>
      <w:rFonts w:ascii="Times New Roman" w:hAnsi="Times New Roman" w:eastAsia="宋体" w:cs="Times New Roman"/>
      <w:sz w:val="32"/>
      <w:szCs w:val="20"/>
      <w:lang w:val="zh-CN"/>
    </w:rPr>
  </w:style>
  <w:style w:type="character" w:customStyle="1" w:styleId="60">
    <w:name w:val="纯文本 Char"/>
    <w:basedOn w:val="32"/>
    <w:link w:val="17"/>
    <w:qFormat/>
    <w:uiPriority w:val="0"/>
    <w:rPr>
      <w:rFonts w:ascii="宋体" w:hAnsi="Tms Rmn" w:eastAsia="宋体" w:cs="宋体"/>
      <w:kern w:val="0"/>
      <w:szCs w:val="21"/>
    </w:rPr>
  </w:style>
  <w:style w:type="character" w:customStyle="1" w:styleId="61">
    <w:name w:val="日期 Char"/>
    <w:basedOn w:val="32"/>
    <w:link w:val="18"/>
    <w:qFormat/>
    <w:uiPriority w:val="0"/>
    <w:rPr>
      <w:rFonts w:ascii="Times New Roman" w:hAnsi="Times New Roman" w:eastAsia="宋体" w:cs="Times New Roman"/>
      <w:szCs w:val="21"/>
      <w:lang w:val="zh-CN"/>
    </w:rPr>
  </w:style>
  <w:style w:type="character" w:customStyle="1" w:styleId="62">
    <w:name w:val="正文文本缩进 2 Char"/>
    <w:basedOn w:val="32"/>
    <w:link w:val="19"/>
    <w:qFormat/>
    <w:uiPriority w:val="0"/>
    <w:rPr>
      <w:rFonts w:ascii="宋体" w:hAnsi="宋体" w:eastAsia="宋体" w:cs="Times New Roman"/>
      <w:kern w:val="0"/>
      <w:sz w:val="24"/>
      <w:szCs w:val="20"/>
    </w:rPr>
  </w:style>
  <w:style w:type="character" w:customStyle="1" w:styleId="63">
    <w:name w:val="批注框文本 Char"/>
    <w:basedOn w:val="32"/>
    <w:link w:val="20"/>
    <w:qFormat/>
    <w:uiPriority w:val="0"/>
    <w:rPr>
      <w:rFonts w:ascii="Times New Roman" w:hAnsi="Times New Roman" w:eastAsia="宋体" w:cs="Times New Roman"/>
      <w:sz w:val="18"/>
      <w:szCs w:val="18"/>
      <w:lang w:val="zh-CN"/>
    </w:rPr>
  </w:style>
  <w:style w:type="character" w:customStyle="1" w:styleId="64">
    <w:name w:val="页脚 Char"/>
    <w:basedOn w:val="32"/>
    <w:link w:val="21"/>
    <w:qFormat/>
    <w:uiPriority w:val="99"/>
    <w:rPr>
      <w:rFonts w:ascii="Times New Roman" w:hAnsi="Times New Roman" w:eastAsia="宋体" w:cs="Times New Roman"/>
      <w:sz w:val="18"/>
      <w:szCs w:val="18"/>
      <w:lang w:val="zh-CN"/>
    </w:rPr>
  </w:style>
  <w:style w:type="character" w:customStyle="1" w:styleId="65">
    <w:name w:val="页眉 Char"/>
    <w:basedOn w:val="32"/>
    <w:link w:val="22"/>
    <w:qFormat/>
    <w:uiPriority w:val="99"/>
    <w:rPr>
      <w:rFonts w:ascii="Times New Roman" w:hAnsi="Times New Roman" w:eastAsia="宋体" w:cs="Times New Roman"/>
      <w:sz w:val="18"/>
      <w:szCs w:val="18"/>
    </w:rPr>
  </w:style>
  <w:style w:type="character" w:customStyle="1" w:styleId="66">
    <w:name w:val="副标题 Char"/>
    <w:basedOn w:val="32"/>
    <w:link w:val="25"/>
    <w:qFormat/>
    <w:uiPriority w:val="11"/>
    <w:rPr>
      <w:rFonts w:ascii="Calibri Light" w:hAnsi="Calibri Light" w:eastAsia="宋体" w:cs="Times New Roman"/>
      <w:b/>
      <w:bCs/>
      <w:kern w:val="28"/>
      <w:sz w:val="32"/>
      <w:szCs w:val="32"/>
      <w:lang w:val="zh-CN"/>
    </w:rPr>
  </w:style>
  <w:style w:type="character" w:customStyle="1" w:styleId="67">
    <w:name w:val="标题 Char"/>
    <w:basedOn w:val="32"/>
    <w:link w:val="27"/>
    <w:qFormat/>
    <w:uiPriority w:val="99"/>
    <w:rPr>
      <w:rFonts w:ascii="Calibri Light" w:hAnsi="Calibri Light" w:eastAsia="宋体" w:cs="Times New Roman"/>
      <w:b/>
      <w:bCs/>
      <w:sz w:val="32"/>
      <w:szCs w:val="32"/>
      <w:lang w:val="zh-CN"/>
    </w:rPr>
  </w:style>
  <w:style w:type="character" w:customStyle="1" w:styleId="68">
    <w:name w:val="批注主题 Char"/>
    <w:basedOn w:val="58"/>
    <w:link w:val="28"/>
    <w:qFormat/>
    <w:uiPriority w:val="99"/>
    <w:rPr>
      <w:rFonts w:ascii="Times New Roman" w:hAnsi="Times New Roman" w:eastAsia="宋体" w:cs="Times New Roman"/>
      <w:b/>
      <w:bCs/>
      <w:kern w:val="0"/>
      <w:sz w:val="24"/>
      <w:szCs w:val="21"/>
      <w:lang w:val="zh-CN"/>
    </w:rPr>
  </w:style>
  <w:style w:type="character" w:customStyle="1" w:styleId="69">
    <w:name w:val="正文首行缩进 Char"/>
    <w:basedOn w:val="45"/>
    <w:link w:val="29"/>
    <w:qFormat/>
    <w:uiPriority w:val="0"/>
    <w:rPr>
      <w:rFonts w:ascii="宋体" w:hAnsi="Times New Roman" w:eastAsia="仿宋_GB2312" w:cs="Times New Roman"/>
      <w:sz w:val="34"/>
      <w:szCs w:val="24"/>
      <w:lang w:val="zh-CN"/>
    </w:rPr>
  </w:style>
  <w:style w:type="character" w:customStyle="1" w:styleId="70">
    <w:name w:val="My1 Char Char"/>
    <w:link w:val="71"/>
    <w:qFormat/>
    <w:locked/>
    <w:uiPriority w:val="99"/>
    <w:rPr>
      <w:rFonts w:ascii="宋体" w:hAnsi="宋体" w:eastAsia="黑体" w:cs="宋体"/>
      <w:b/>
      <w:bCs/>
      <w:color w:val="000000"/>
      <w:kern w:val="44"/>
      <w:sz w:val="44"/>
      <w:szCs w:val="44"/>
    </w:rPr>
  </w:style>
  <w:style w:type="paragraph" w:customStyle="1" w:styleId="71">
    <w:name w:val="My1"/>
    <w:basedOn w:val="72"/>
    <w:link w:val="70"/>
    <w:qFormat/>
    <w:uiPriority w:val="99"/>
    <w:pPr>
      <w:tabs>
        <w:tab w:val="left" w:pos="1260"/>
      </w:tabs>
      <w:ind w:left="1260" w:hanging="360"/>
      <w:outlineLvl w:val="1"/>
    </w:pPr>
    <w:rPr>
      <w:rFonts w:eastAsia="黑体" w:cs="宋体"/>
      <w:lang w:val="en-US"/>
    </w:rPr>
  </w:style>
  <w:style w:type="paragraph" w:customStyle="1" w:styleId="72">
    <w:name w:val="样式 标题 1 + 宋体"/>
    <w:basedOn w:val="3"/>
    <w:link w:val="73"/>
    <w:qFormat/>
    <w:uiPriority w:val="0"/>
    <w:pPr>
      <w:spacing w:line="576" w:lineRule="auto"/>
    </w:pPr>
    <w:rPr>
      <w:rFonts w:ascii="宋体" w:hAnsi="宋体"/>
      <w:color w:val="000000"/>
      <w:sz w:val="44"/>
    </w:rPr>
  </w:style>
  <w:style w:type="character" w:customStyle="1" w:styleId="73">
    <w:name w:val="样式 标题 1 + 宋体 Char Char"/>
    <w:link w:val="72"/>
    <w:qFormat/>
    <w:locked/>
    <w:uiPriority w:val="0"/>
    <w:rPr>
      <w:rFonts w:ascii="宋体" w:hAnsi="宋体" w:eastAsia="宋体" w:cs="Times New Roman"/>
      <w:b/>
      <w:bCs/>
      <w:color w:val="000000"/>
      <w:kern w:val="44"/>
      <w:sz w:val="44"/>
      <w:szCs w:val="44"/>
      <w:lang w:val="zh-CN"/>
    </w:rPr>
  </w:style>
  <w:style w:type="character" w:customStyle="1" w:styleId="74">
    <w:name w:val="表格正文 Char"/>
    <w:link w:val="75"/>
    <w:qFormat/>
    <w:uiPriority w:val="0"/>
    <w:rPr>
      <w:szCs w:val="21"/>
    </w:rPr>
  </w:style>
  <w:style w:type="paragraph" w:customStyle="1" w:styleId="75">
    <w:name w:val="表格正文"/>
    <w:basedOn w:val="1"/>
    <w:link w:val="74"/>
    <w:qFormat/>
    <w:uiPriority w:val="0"/>
    <w:pPr>
      <w:spacing w:line="300" w:lineRule="auto"/>
    </w:pPr>
    <w:rPr>
      <w:rFonts w:asciiTheme="minorHAnsi" w:hAnsiTheme="minorHAnsi" w:eastAsiaTheme="minorEastAsia" w:cstheme="minorBidi"/>
      <w:kern w:val="2"/>
      <w:sz w:val="21"/>
      <w:szCs w:val="21"/>
    </w:rPr>
  </w:style>
  <w:style w:type="character" w:customStyle="1" w:styleId="76">
    <w:name w:val="标题6 Char"/>
    <w:link w:val="77"/>
    <w:qFormat/>
    <w:uiPriority w:val="0"/>
    <w:rPr>
      <w:rFonts w:ascii="Calibri Light" w:hAnsi="Calibri Light"/>
      <w:b/>
      <w:bCs/>
      <w:sz w:val="24"/>
      <w:szCs w:val="24"/>
    </w:rPr>
  </w:style>
  <w:style w:type="paragraph" w:customStyle="1" w:styleId="77">
    <w:name w:val="标题6"/>
    <w:basedOn w:val="8"/>
    <w:link w:val="76"/>
    <w:qFormat/>
    <w:uiPriority w:val="0"/>
    <w:rPr>
      <w:rFonts w:eastAsiaTheme="minorEastAsia" w:cstheme="minorBidi"/>
      <w:lang w:val="en-US"/>
    </w:rPr>
  </w:style>
  <w:style w:type="character" w:customStyle="1" w:styleId="78">
    <w:name w:val="标题5 Char"/>
    <w:link w:val="79"/>
    <w:qFormat/>
    <w:uiPriority w:val="0"/>
    <w:rPr>
      <w:rFonts w:ascii="Calibri Light" w:hAnsi="Calibri Light"/>
      <w:b/>
      <w:bCs/>
      <w:sz w:val="28"/>
      <w:szCs w:val="28"/>
    </w:rPr>
  </w:style>
  <w:style w:type="paragraph" w:customStyle="1" w:styleId="79">
    <w:name w:val="标题5"/>
    <w:basedOn w:val="7"/>
    <w:next w:val="7"/>
    <w:link w:val="78"/>
    <w:qFormat/>
    <w:uiPriority w:val="0"/>
    <w:pPr>
      <w:tabs>
        <w:tab w:val="left" w:pos="2580"/>
      </w:tabs>
      <w:spacing w:line="376" w:lineRule="auto"/>
      <w:ind w:left="2580" w:hanging="420"/>
    </w:pPr>
    <w:rPr>
      <w:rFonts w:ascii="Calibri Light" w:hAnsi="Calibri Light" w:eastAsiaTheme="minorEastAsia" w:cstheme="minorBidi"/>
      <w:kern w:val="2"/>
      <w:sz w:val="28"/>
      <w:lang w:val="en-US"/>
    </w:rPr>
  </w:style>
  <w:style w:type="character" w:customStyle="1" w:styleId="80">
    <w:name w:val="列出段落 Char"/>
    <w:link w:val="81"/>
    <w:qFormat/>
    <w:uiPriority w:val="0"/>
    <w:rPr>
      <w:sz w:val="18"/>
      <w:szCs w:val="18"/>
    </w:rPr>
  </w:style>
  <w:style w:type="paragraph" w:styleId="81">
    <w:name w:val="List Paragraph"/>
    <w:basedOn w:val="1"/>
    <w:link w:val="80"/>
    <w:qFormat/>
    <w:uiPriority w:val="0"/>
    <w:pPr>
      <w:ind w:firstLine="420"/>
    </w:pPr>
    <w:rPr>
      <w:rFonts w:asciiTheme="minorHAnsi" w:hAnsiTheme="minorHAnsi" w:eastAsiaTheme="minorEastAsia" w:cstheme="minorBidi"/>
      <w:kern w:val="2"/>
      <w:sz w:val="18"/>
      <w:szCs w:val="18"/>
    </w:rPr>
  </w:style>
  <w:style w:type="character" w:customStyle="1" w:styleId="82">
    <w:name w:val="二级列表 Char"/>
    <w:link w:val="83"/>
    <w:qFormat/>
    <w:uiPriority w:val="0"/>
    <w:rPr>
      <w:sz w:val="24"/>
    </w:rPr>
  </w:style>
  <w:style w:type="paragraph" w:customStyle="1" w:styleId="83">
    <w:name w:val="二级列表"/>
    <w:basedOn w:val="1"/>
    <w:link w:val="82"/>
    <w:qFormat/>
    <w:uiPriority w:val="0"/>
    <w:pPr>
      <w:tabs>
        <w:tab w:val="left" w:pos="960"/>
      </w:tabs>
      <w:spacing w:line="300" w:lineRule="auto"/>
      <w:ind w:left="1296" w:hanging="288"/>
    </w:pPr>
    <w:rPr>
      <w:rFonts w:asciiTheme="minorHAnsi" w:hAnsiTheme="minorHAnsi" w:eastAsiaTheme="minorEastAsia" w:cstheme="minorBidi"/>
      <w:kern w:val="2"/>
      <w:szCs w:val="22"/>
    </w:rPr>
  </w:style>
  <w:style w:type="paragraph" w:customStyle="1" w:styleId="84">
    <w:name w:val="样式3"/>
    <w:basedOn w:val="12"/>
    <w:qFormat/>
    <w:uiPriority w:val="0"/>
    <w:pPr>
      <w:spacing w:after="60" w:line="360" w:lineRule="auto"/>
      <w:ind w:firstLine="476"/>
    </w:pPr>
    <w:rPr>
      <w:rFonts w:ascii="Times New Roman"/>
      <w:kern w:val="2"/>
    </w:rPr>
  </w:style>
  <w:style w:type="paragraph" w:customStyle="1" w:styleId="85">
    <w:name w:val="正文首行缩进两字符"/>
    <w:basedOn w:val="1"/>
    <w:qFormat/>
    <w:uiPriority w:val="0"/>
    <w:pPr>
      <w:spacing w:line="360" w:lineRule="auto"/>
      <w:ind w:firstLine="200"/>
    </w:pPr>
  </w:style>
  <w:style w:type="paragraph" w:customStyle="1" w:styleId="8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8">
    <w:name w:val="reader-word-layer reader-word-s1-3"/>
    <w:basedOn w:val="1"/>
    <w:qFormat/>
    <w:uiPriority w:val="0"/>
    <w:pPr>
      <w:widowControl/>
      <w:spacing w:before="100" w:beforeAutospacing="1" w:after="100" w:afterAutospacing="1"/>
      <w:jc w:val="left"/>
    </w:pPr>
    <w:rPr>
      <w:rFonts w:cs="宋体"/>
      <w:szCs w:val="24"/>
    </w:rPr>
  </w:style>
  <w:style w:type="paragraph" w:customStyle="1" w:styleId="89">
    <w:name w:val="2级"/>
    <w:basedOn w:val="4"/>
    <w:qFormat/>
    <w:uiPriority w:val="0"/>
    <w:pPr>
      <w:widowControl/>
      <w:spacing w:beforeLines="50" w:afterLines="50" w:line="259" w:lineRule="auto"/>
      <w:jc w:val="left"/>
    </w:pPr>
    <w:rPr>
      <w:rFonts w:ascii="黑体" w:hAnsi="黑体"/>
      <w:b w:val="0"/>
      <w:bCs w:val="0"/>
      <w:kern w:val="0"/>
      <w:sz w:val="28"/>
      <w:szCs w:val="24"/>
    </w:rPr>
  </w:style>
  <w:style w:type="paragraph" w:customStyle="1" w:styleId="90">
    <w:name w:val="图表脚注"/>
    <w:next w:val="1"/>
    <w:qFormat/>
    <w:uiPriority w:val="0"/>
    <w:pPr>
      <w:tabs>
        <w:tab w:val="left" w:pos="3420"/>
      </w:tabs>
      <w:ind w:left="300" w:leftChars="200" w:hanging="100" w:hangingChars="100"/>
      <w:jc w:val="both"/>
    </w:pPr>
    <w:rPr>
      <w:rFonts w:ascii="宋体" w:hAnsi="Times New Roman" w:eastAsia="宋体" w:cs="Times New Roman"/>
      <w:sz w:val="18"/>
      <w:lang w:val="en-US" w:eastAsia="zh-CN" w:bidi="ar-SA"/>
    </w:rPr>
  </w:style>
  <w:style w:type="paragraph" w:customStyle="1" w:styleId="91">
    <w:name w:val="p0"/>
    <w:basedOn w:val="1"/>
    <w:qFormat/>
    <w:uiPriority w:val="0"/>
    <w:pPr>
      <w:widowControl/>
    </w:pPr>
    <w:rPr>
      <w:sz w:val="34"/>
    </w:rPr>
  </w:style>
  <w:style w:type="paragraph" w:customStyle="1" w:styleId="92">
    <w:name w:val="09正文_wh"/>
    <w:qFormat/>
    <w:uiPriority w:val="0"/>
    <w:pPr>
      <w:spacing w:line="300" w:lineRule="auto"/>
      <w:ind w:firstLine="200" w:firstLineChars="200"/>
      <w:jc w:val="both"/>
    </w:pPr>
    <w:rPr>
      <w:rFonts w:ascii="Calibri" w:hAnsi="Calibri" w:eastAsia="宋体" w:cs="黑体"/>
      <w:kern w:val="2"/>
      <w:sz w:val="28"/>
      <w:szCs w:val="24"/>
      <w:lang w:val="en-US" w:eastAsia="zh-CN" w:bidi="ar-SA"/>
    </w:rPr>
  </w:style>
  <w:style w:type="paragraph" w:customStyle="1" w:styleId="93">
    <w:name w:val="标准书眉一"/>
    <w:qFormat/>
    <w:uiPriority w:val="0"/>
    <w:pPr>
      <w:tabs>
        <w:tab w:val="left" w:pos="840"/>
      </w:tabs>
      <w:ind w:left="840" w:hanging="360"/>
      <w:jc w:val="both"/>
    </w:pPr>
    <w:rPr>
      <w:rFonts w:ascii="Times New Roman" w:hAnsi="Times New Roman" w:eastAsia="宋体" w:cs="Times New Roman"/>
      <w:lang w:val="en-US" w:eastAsia="zh-CN" w:bidi="ar-SA"/>
    </w:rPr>
  </w:style>
  <w:style w:type="paragraph" w:customStyle="1" w:styleId="94">
    <w:name w:val="reader-word-layer reader-word-s1-6"/>
    <w:basedOn w:val="1"/>
    <w:qFormat/>
    <w:uiPriority w:val="0"/>
    <w:pPr>
      <w:widowControl/>
      <w:spacing w:before="100" w:beforeAutospacing="1" w:after="100" w:afterAutospacing="1"/>
      <w:jc w:val="left"/>
    </w:pPr>
    <w:rPr>
      <w:rFonts w:cs="宋体"/>
      <w:szCs w:val="24"/>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6">
    <w:name w:val="列出段落1"/>
    <w:basedOn w:val="1"/>
    <w:qFormat/>
    <w:uiPriority w:val="34"/>
    <w:pPr>
      <w:spacing w:line="240" w:lineRule="auto"/>
      <w:ind w:firstLine="420"/>
    </w:pPr>
    <w:rPr>
      <w:rFonts w:hAnsi="Calibri" w:cs="黑体"/>
      <w:sz w:val="34"/>
      <w:szCs w:val="34"/>
    </w:rPr>
  </w:style>
  <w:style w:type="paragraph" w:customStyle="1" w:styleId="97">
    <w:name w:val="修订1"/>
    <w:hidden/>
    <w:semiHidden/>
    <w:qFormat/>
    <w:uiPriority w:val="99"/>
    <w:rPr>
      <w:rFonts w:ascii="宋体" w:hAnsi="宋体" w:eastAsia="宋体" w:cs="Times New Roman"/>
      <w:sz w:val="24"/>
      <w:lang w:val="en-US" w:eastAsia="zh-CN" w:bidi="ar-SA"/>
    </w:rPr>
  </w:style>
  <w:style w:type="character" w:customStyle="1" w:styleId="98">
    <w:name w:val="标题· Char"/>
    <w:link w:val="99"/>
    <w:qFormat/>
    <w:uiPriority w:val="0"/>
    <w:rPr>
      <w:rFonts w:ascii="Times New Roman" w:hAnsi="Times New Roman"/>
      <w:sz w:val="36"/>
      <w:szCs w:val="20"/>
    </w:rPr>
  </w:style>
  <w:style w:type="paragraph" w:customStyle="1" w:styleId="99">
    <w:name w:val="标题·"/>
    <w:basedOn w:val="4"/>
    <w:next w:val="1"/>
    <w:link w:val="98"/>
    <w:qFormat/>
    <w:uiPriority w:val="0"/>
    <w:rPr>
      <w:rFonts w:ascii="Times New Roman" w:hAnsi="Times New Roman"/>
      <w:bCs w:val="0"/>
      <w:sz w:val="36"/>
      <w:szCs w:val="20"/>
    </w:rPr>
  </w:style>
  <w:style w:type="paragraph" w:customStyle="1" w:styleId="100">
    <w:name w:val="样式 首行缩进:  2 字符"/>
    <w:basedOn w:val="1"/>
    <w:qFormat/>
    <w:uiPriority w:val="0"/>
    <w:pPr>
      <w:spacing w:line="400" w:lineRule="exact"/>
      <w:ind w:firstLine="200"/>
    </w:pPr>
    <w:rPr>
      <w:rFonts w:cs="宋体"/>
    </w:rPr>
  </w:style>
  <w:style w:type="paragraph" w:customStyle="1" w:styleId="101">
    <w:name w:val="_Style 5"/>
    <w:basedOn w:val="3"/>
    <w:next w:val="1"/>
    <w:qFormat/>
    <w:uiPriority w:val="0"/>
    <w:pPr>
      <w:outlineLvl w:val="9"/>
    </w:pPr>
  </w:style>
  <w:style w:type="character" w:customStyle="1" w:styleId="102">
    <w:name w:val="img"/>
    <w:basedOn w:val="32"/>
    <w:qFormat/>
    <w:uiPriority w:val="0"/>
  </w:style>
  <w:style w:type="character" w:customStyle="1" w:styleId="103">
    <w:name w:val="img1"/>
    <w:basedOn w:val="32"/>
    <w:qFormat/>
    <w:uiPriority w:val="0"/>
  </w:style>
  <w:style w:type="paragraph" w:customStyle="1" w:styleId="104">
    <w:name w:val="WPSOffice手动目录 1"/>
    <w:qFormat/>
    <w:uiPriority w:val="0"/>
    <w:rPr>
      <w:rFonts w:ascii="Times New Roman" w:hAnsi="Times New Roman" w:eastAsia="宋体" w:cs="Times New Roman"/>
      <w:lang w:val="en-US" w:eastAsia="zh-CN" w:bidi="ar-SA"/>
    </w:rPr>
  </w:style>
  <w:style w:type="character" w:customStyle="1" w:styleId="105">
    <w:name w:val="副标题 Char1"/>
    <w:link w:val="25"/>
    <w:qFormat/>
    <w:uiPriority w:val="0"/>
    <w:rPr>
      <w:rFonts w:ascii="等线 Light" w:hAnsi="等线 Light" w:cs="Times New Roman"/>
      <w:bCs/>
      <w:kern w:val="28"/>
      <w:sz w:val="28"/>
      <w:szCs w:val="32"/>
    </w:rPr>
  </w:style>
  <w:style w:type="paragraph" w:customStyle="1" w:styleId="106">
    <w:name w:val="Blockquote"/>
    <w:basedOn w:val="1"/>
    <w:qFormat/>
    <w:uiPriority w:val="0"/>
    <w:pPr>
      <w:ind w:left="360" w:right="360"/>
    </w:pPr>
    <w:rPr>
      <w:rFonts w:ascii="Times New Roman" w:hAnsi="Times New Roman"/>
    </w:rPr>
  </w:style>
  <w:style w:type="paragraph" w:customStyle="1" w:styleId="107">
    <w:name w:val="Table Paragraph"/>
    <w:basedOn w:val="1"/>
    <w:qFormat/>
    <w:uiPriority w:val="0"/>
    <w:rPr>
      <w:rFonts w:ascii="新宋体" w:eastAsia="新宋体" w:cs="新宋体"/>
      <w:szCs w:val="22"/>
      <w:lang w:val="zh-CN" w:bidi="zh-CN"/>
    </w:rPr>
  </w:style>
  <w:style w:type="paragraph" w:customStyle="1" w:styleId="10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06、“1.”正文四级标题"/>
    <w:basedOn w:val="1"/>
    <w:qFormat/>
    <w:uiPriority w:val="0"/>
    <w:pPr>
      <w:numPr>
        <w:ilvl w:val="2"/>
        <w:numId w:val="2"/>
      </w:numPr>
      <w:tabs>
        <w:tab w:val="left" w:pos="0"/>
      </w:tabs>
      <w:wordWrap w:val="0"/>
      <w:topLinePunct/>
      <w:ind w:firstLine="803"/>
    </w:pPr>
    <w:rPr>
      <w:snapToGrid w:val="0"/>
    </w:rPr>
  </w:style>
  <w:style w:type="character" w:customStyle="1" w:styleId="110">
    <w:name w:val="font01"/>
    <w:basedOn w:val="32"/>
    <w:qFormat/>
    <w:uiPriority w:val="0"/>
    <w:rPr>
      <w:rFonts w:hint="eastAsia" w:ascii="宋体" w:hAnsi="宋体" w:eastAsia="宋体" w:cs="宋体"/>
      <w:color w:val="000000"/>
      <w:sz w:val="22"/>
      <w:szCs w:val="22"/>
      <w:u w:val="none"/>
    </w:rPr>
  </w:style>
  <w:style w:type="paragraph" w:customStyle="1" w:styleId="111">
    <w:name w:val="13、表格内居中正文"/>
    <w:basedOn w:val="1"/>
    <w:qFormat/>
    <w:uiPriority w:val="0"/>
    <w:pPr>
      <w:tabs>
        <w:tab w:val="left" w:pos="0"/>
      </w:tabs>
      <w:wordWrap w:val="0"/>
      <w:topLinePunct/>
      <w:spacing w:line="360" w:lineRule="exact"/>
      <w:jc w:val="center"/>
    </w:pPr>
    <w:rPr>
      <w:sz w:val="21"/>
    </w:rPr>
  </w:style>
  <w:style w:type="paragraph" w:customStyle="1" w:styleId="112">
    <w:name w:val="12、表格内左对齐正文"/>
    <w:basedOn w:val="1"/>
    <w:qFormat/>
    <w:uiPriority w:val="0"/>
    <w:pPr>
      <w:tabs>
        <w:tab w:val="left" w:pos="0"/>
      </w:tabs>
      <w:wordWrap w:val="0"/>
      <w:topLinePunct/>
      <w:spacing w:line="360" w:lineRule="exact"/>
      <w:ind w:left="48" w:leftChars="20" w:firstLine="0" w:firstLineChars="0"/>
    </w:pPr>
    <w:rPr>
      <w:snapToGrid w:val="0"/>
      <w:sz w:val="21"/>
    </w:rPr>
  </w:style>
  <w:style w:type="paragraph" w:customStyle="1" w:styleId="113">
    <w:name w:val="01、普通正文"/>
    <w:basedOn w:val="1"/>
    <w:qFormat/>
    <w:uiPriority w:val="0"/>
    <w:pPr>
      <w:tabs>
        <w:tab w:val="left" w:pos="0"/>
      </w:tabs>
      <w:wordWrap w:val="0"/>
      <w:topLinePunct/>
      <w:ind w:firstLine="0" w:firstLineChars="0"/>
    </w:pPr>
    <w:rPr>
      <w:snapToGrid w:val="0"/>
    </w:rPr>
  </w:style>
  <w:style w:type="paragraph" w:customStyle="1" w:styleId="114">
    <w:name w:val="03、“注：”正文(加粗，首行缩进2字符)"/>
    <w:basedOn w:val="113"/>
    <w:qFormat/>
    <w:uiPriority w:val="0"/>
    <w:pPr>
      <w:ind w:firstLine="480" w:firstLineChars="200"/>
    </w:pPr>
    <w:rPr>
      <w:b/>
    </w:rPr>
  </w:style>
  <w:style w:type="character" w:customStyle="1" w:styleId="115">
    <w:name w:val="NormalCharacter"/>
    <w:semiHidden/>
    <w:qFormat/>
    <w:uiPriority w:val="0"/>
  </w:style>
  <w:style w:type="character" w:customStyle="1" w:styleId="116">
    <w:name w:val="font61"/>
    <w:basedOn w:val="32"/>
    <w:qFormat/>
    <w:uiPriority w:val="0"/>
    <w:rPr>
      <w:rFonts w:hint="eastAsia" w:ascii="宋体" w:hAnsi="宋体" w:eastAsia="宋体" w:cs="宋体"/>
      <w:b/>
      <w:color w:val="000000"/>
      <w:sz w:val="20"/>
      <w:szCs w:val="20"/>
      <w:u w:val="none"/>
    </w:rPr>
  </w:style>
  <w:style w:type="character" w:customStyle="1" w:styleId="117">
    <w:name w:val="font21"/>
    <w:basedOn w:val="32"/>
    <w:qFormat/>
    <w:uiPriority w:val="0"/>
    <w:rPr>
      <w:rFonts w:hint="eastAsia" w:ascii="微软雅黑" w:hAnsi="微软雅黑" w:eastAsia="微软雅黑" w:cs="微软雅黑"/>
      <w:color w:val="000000"/>
      <w:sz w:val="22"/>
      <w:szCs w:val="22"/>
      <w:u w:val="none"/>
    </w:rPr>
  </w:style>
  <w:style w:type="character" w:customStyle="1" w:styleId="118">
    <w:name w:val="font11"/>
    <w:basedOn w:val="32"/>
    <w:qFormat/>
    <w:uiPriority w:val="0"/>
    <w:rPr>
      <w:rFonts w:hint="eastAsia" w:ascii="微软雅黑" w:hAnsi="微软雅黑" w:eastAsia="微软雅黑" w:cs="微软雅黑"/>
      <w:color w:val="000000"/>
      <w:sz w:val="22"/>
      <w:szCs w:val="22"/>
      <w:u w:val="none"/>
    </w:rPr>
  </w:style>
  <w:style w:type="character" w:customStyle="1" w:styleId="119">
    <w:name w:val="font51"/>
    <w:basedOn w:val="32"/>
    <w:qFormat/>
    <w:uiPriority w:val="0"/>
    <w:rPr>
      <w:rFonts w:hint="eastAsia" w:ascii="微软雅黑" w:hAnsi="微软雅黑" w:eastAsia="微软雅黑" w:cs="微软雅黑"/>
      <w:b/>
      <w:bCs/>
      <w:color w:val="FF0000"/>
      <w:sz w:val="20"/>
      <w:szCs w:val="20"/>
      <w:u w:val="none"/>
    </w:rPr>
  </w:style>
  <w:style w:type="paragraph" w:customStyle="1" w:styleId="120">
    <w:name w:val="Char1"/>
    <w:basedOn w:val="1"/>
    <w:qFormat/>
    <w:uiPriority w:val="0"/>
    <w:rPr>
      <w:szCs w:val="21"/>
    </w:rPr>
  </w:style>
  <w:style w:type="paragraph" w:customStyle="1" w:styleId="121">
    <w:name w:val="_Style 12"/>
    <w:basedOn w:val="1"/>
    <w:next w:val="81"/>
    <w:qFormat/>
    <w:uiPriority w:val="34"/>
    <w:pPr>
      <w:ind w:firstLine="420" w:firstLineChars="200"/>
    </w:pPr>
    <w:rPr>
      <w:rFonts w:ascii="Times New Roman" w:hAnsi="Times New Roman" w:eastAsia="宋体" w:cs="Times New Roman"/>
      <w:szCs w:val="24"/>
    </w:rPr>
  </w:style>
  <w:style w:type="paragraph" w:customStyle="1" w:styleId="122">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162E9-6B3B-463A-846C-679E22A432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5050</Words>
  <Characters>28785</Characters>
  <Lines>239</Lines>
  <Paragraphs>67</Paragraphs>
  <TotalTime>39</TotalTime>
  <ScaleCrop>false</ScaleCrop>
  <LinksUpToDate>false</LinksUpToDate>
  <CharactersWithSpaces>33768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2021-05-18T09:01:00Z</dcterms:created>
  <dc:creator>jia xie</dc:creator>
  <cp:lastModifiedBy>花开时我们在一起</cp:lastModifiedBy>
  <cp:lastPrinted>2021-07-01T09:35:00Z</cp:lastPrinted>
  <dcterms:modified xsi:type="dcterms:W3CDTF">2021-12-03T03:23:36Z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6789E1197C2D4F598441B577554A6815</vt:lpwstr>
  </property>
</Properties>
</file>