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94" w:rightChars="-39" w:firstLine="843" w:firstLineChars="300"/>
        <w:jc w:val="right"/>
        <w:rPr>
          <w:rFonts w:hint="default" w:ascii="宋体" w:hAnsi="宋体" w:eastAsia="宋体" w:cs="宋体"/>
          <w:b/>
          <w:color w:val="auto"/>
          <w:sz w:val="28"/>
          <w:szCs w:val="28"/>
          <w:highlight w:val="none"/>
          <w:lang w:val="en-US" w:eastAsia="zh-CN"/>
        </w:rPr>
      </w:pPr>
      <w:bookmarkStart w:id="0" w:name="_Toc14001"/>
      <w:bookmarkStart w:id="1" w:name="_Toc358"/>
      <w:bookmarkStart w:id="2" w:name="_Toc23082"/>
      <w:bookmarkStart w:id="3" w:name="_Toc16603"/>
      <w:bookmarkStart w:id="4" w:name="_Toc9438763"/>
      <w:bookmarkStart w:id="5" w:name="_Toc18604"/>
      <w:bookmarkStart w:id="6" w:name="_Toc16416"/>
      <w:bookmarkStart w:id="7" w:name="_Toc2592"/>
      <w:bookmarkStart w:id="8" w:name="_Toc29736"/>
      <w:bookmarkStart w:id="9" w:name="_Toc26778"/>
      <w:bookmarkStart w:id="10" w:name="_Toc22578"/>
      <w:bookmarkStart w:id="11" w:name="_Toc517423515"/>
      <w:bookmarkStart w:id="12" w:name="_Toc30413"/>
      <w:bookmarkStart w:id="13" w:name="_Toc26888"/>
      <w:bookmarkStart w:id="14" w:name="_Toc517422487"/>
      <w:bookmarkStart w:id="15" w:name="OLE_LINK18"/>
      <w:r>
        <w:rPr>
          <w:rFonts w:hint="eastAsia" w:ascii="宋体" w:hAnsi="宋体" w:eastAsia="宋体" w:cs="宋体"/>
          <w:b/>
          <w:color w:val="0000FF"/>
          <w:sz w:val="28"/>
          <w:szCs w:val="28"/>
          <w:highlight w:val="none"/>
        </w:rPr>
        <w:t>项目编号：</w:t>
      </w:r>
      <w:r>
        <w:rPr>
          <w:rFonts w:hint="eastAsia" w:cs="宋体"/>
          <w:b/>
          <w:color w:val="0000FF"/>
          <w:sz w:val="28"/>
          <w:szCs w:val="28"/>
          <w:highlight w:val="none"/>
          <w:lang w:val="en-US" w:eastAsia="zh-CN"/>
        </w:rPr>
        <w:t>以四川政府采购网自动生成为准</w:t>
      </w:r>
    </w:p>
    <w:p>
      <w:pPr>
        <w:spacing w:line="360" w:lineRule="auto"/>
        <w:ind w:right="-94" w:rightChars="-39" w:firstLine="0" w:firstLineChars="0"/>
        <w:rPr>
          <w:rFonts w:hint="eastAsia" w:ascii="宋体" w:hAnsi="宋体" w:eastAsia="宋体" w:cs="宋体"/>
          <w:b/>
          <w:color w:val="auto"/>
          <w:sz w:val="28"/>
          <w:szCs w:val="28"/>
          <w:highlight w:val="none"/>
        </w:rPr>
      </w:pPr>
    </w:p>
    <w:p>
      <w:pPr>
        <w:spacing w:line="240" w:lineRule="auto"/>
        <w:ind w:right="-94" w:rightChars="-39" w:firstLine="0" w:firstLineChars="0"/>
        <w:jc w:val="center"/>
        <w:rPr>
          <w:rFonts w:hint="eastAsia" w:ascii="宋体" w:hAnsi="宋体" w:eastAsia="宋体" w:cs="宋体"/>
          <w:b/>
          <w:color w:val="auto"/>
          <w:sz w:val="52"/>
          <w:szCs w:val="52"/>
          <w:highlight w:val="none"/>
        </w:rPr>
      </w:pPr>
      <w:r>
        <w:rPr>
          <w:rFonts w:hint="eastAsia" w:cs="宋体"/>
          <w:b/>
          <w:color w:val="auto"/>
          <w:sz w:val="52"/>
          <w:szCs w:val="52"/>
          <w:highlight w:val="none"/>
          <w:lang w:val="en-US" w:eastAsia="zh-CN"/>
        </w:rPr>
        <w:t>彭州市人民医院城南院区电梯大修服务项目（第二次）</w:t>
      </w:r>
    </w:p>
    <w:p>
      <w:pPr>
        <w:spacing w:line="240" w:lineRule="auto"/>
        <w:ind w:right="-94" w:rightChars="-39" w:firstLine="0" w:firstLineChars="0"/>
        <w:jc w:val="center"/>
        <w:rPr>
          <w:rFonts w:hint="eastAsia" w:ascii="宋体" w:hAnsi="宋体" w:eastAsia="宋体" w:cs="宋体"/>
          <w:b/>
          <w:color w:val="auto"/>
          <w:sz w:val="52"/>
          <w:szCs w:val="52"/>
          <w:highlight w:val="none"/>
        </w:rPr>
      </w:pPr>
    </w:p>
    <w:p>
      <w:pPr>
        <w:spacing w:line="240" w:lineRule="auto"/>
        <w:ind w:right="-94" w:rightChars="-39" w:firstLine="0" w:firstLineChars="0"/>
        <w:jc w:val="center"/>
        <w:rPr>
          <w:rFonts w:hint="eastAsia" w:ascii="宋体" w:hAnsi="宋体" w:eastAsia="宋体" w:cs="宋体"/>
          <w:b/>
          <w:color w:val="auto"/>
          <w:sz w:val="52"/>
          <w:szCs w:val="52"/>
          <w:highlight w:val="none"/>
        </w:rPr>
      </w:pPr>
    </w:p>
    <w:p>
      <w:pPr>
        <w:spacing w:line="240" w:lineRule="auto"/>
        <w:ind w:right="-94" w:rightChars="-39" w:firstLine="0" w:firstLineChars="0"/>
        <w:jc w:val="center"/>
        <w:rPr>
          <w:rFonts w:hint="eastAsia" w:ascii="宋体" w:hAnsi="宋体" w:eastAsia="宋体" w:cs="宋体"/>
          <w:b/>
          <w:color w:val="auto"/>
          <w:sz w:val="52"/>
          <w:szCs w:val="52"/>
          <w:highlight w:val="none"/>
        </w:rPr>
      </w:pPr>
      <w:r>
        <w:rPr>
          <w:rFonts w:hint="eastAsia" w:ascii="宋体" w:hAnsi="宋体" w:eastAsia="宋体" w:cs="宋体"/>
          <w:b/>
          <w:color w:val="auto"/>
          <w:sz w:val="52"/>
          <w:szCs w:val="52"/>
          <w:highlight w:val="none"/>
        </w:rPr>
        <w:t>竞</w:t>
      </w:r>
    </w:p>
    <w:p>
      <w:pPr>
        <w:spacing w:line="240" w:lineRule="auto"/>
        <w:ind w:right="-94" w:rightChars="-39" w:firstLine="0" w:firstLineChars="0"/>
        <w:jc w:val="center"/>
        <w:rPr>
          <w:rFonts w:hint="eastAsia" w:ascii="宋体" w:hAnsi="宋体" w:eastAsia="宋体" w:cs="宋体"/>
          <w:b/>
          <w:color w:val="auto"/>
          <w:sz w:val="52"/>
          <w:szCs w:val="52"/>
          <w:highlight w:val="none"/>
        </w:rPr>
      </w:pPr>
      <w:r>
        <w:rPr>
          <w:rFonts w:hint="eastAsia" w:ascii="宋体" w:hAnsi="宋体" w:eastAsia="宋体" w:cs="宋体"/>
          <w:b/>
          <w:color w:val="auto"/>
          <w:sz w:val="52"/>
          <w:szCs w:val="52"/>
          <w:highlight w:val="none"/>
        </w:rPr>
        <w:t>争</w:t>
      </w:r>
    </w:p>
    <w:p>
      <w:pPr>
        <w:spacing w:line="240" w:lineRule="auto"/>
        <w:ind w:right="-94" w:rightChars="-39" w:firstLine="0" w:firstLineChars="0"/>
        <w:jc w:val="center"/>
        <w:rPr>
          <w:rFonts w:hint="eastAsia" w:ascii="宋体" w:hAnsi="宋体" w:eastAsia="宋体" w:cs="宋体"/>
          <w:b/>
          <w:color w:val="auto"/>
          <w:sz w:val="52"/>
          <w:szCs w:val="52"/>
          <w:highlight w:val="none"/>
        </w:rPr>
      </w:pPr>
      <w:r>
        <w:rPr>
          <w:rFonts w:hint="eastAsia" w:ascii="宋体" w:hAnsi="宋体" w:eastAsia="宋体" w:cs="宋体"/>
          <w:b/>
          <w:color w:val="auto"/>
          <w:sz w:val="52"/>
          <w:szCs w:val="52"/>
          <w:highlight w:val="none"/>
        </w:rPr>
        <w:t>性</w:t>
      </w:r>
    </w:p>
    <w:p>
      <w:pPr>
        <w:spacing w:line="240" w:lineRule="auto"/>
        <w:ind w:right="-94" w:rightChars="-39" w:firstLine="0" w:firstLineChars="0"/>
        <w:jc w:val="center"/>
        <w:rPr>
          <w:rFonts w:hint="eastAsia" w:ascii="宋体" w:hAnsi="宋体" w:eastAsia="宋体" w:cs="宋体"/>
          <w:b/>
          <w:color w:val="auto"/>
          <w:sz w:val="52"/>
          <w:szCs w:val="52"/>
          <w:highlight w:val="none"/>
        </w:rPr>
      </w:pPr>
      <w:r>
        <w:rPr>
          <w:rFonts w:hint="eastAsia" w:ascii="宋体" w:hAnsi="宋体" w:eastAsia="宋体" w:cs="宋体"/>
          <w:b/>
          <w:color w:val="auto"/>
          <w:sz w:val="52"/>
          <w:szCs w:val="52"/>
          <w:highlight w:val="none"/>
        </w:rPr>
        <w:t>磋</w:t>
      </w:r>
    </w:p>
    <w:p>
      <w:pPr>
        <w:spacing w:line="240" w:lineRule="auto"/>
        <w:ind w:right="-94" w:rightChars="-39" w:firstLine="0" w:firstLineChars="0"/>
        <w:jc w:val="center"/>
        <w:rPr>
          <w:rFonts w:hint="eastAsia" w:ascii="宋体" w:hAnsi="宋体" w:eastAsia="宋体" w:cs="宋体"/>
          <w:b/>
          <w:color w:val="auto"/>
          <w:sz w:val="52"/>
          <w:szCs w:val="52"/>
          <w:highlight w:val="none"/>
        </w:rPr>
      </w:pPr>
      <w:r>
        <w:rPr>
          <w:rFonts w:hint="eastAsia" w:ascii="宋体" w:hAnsi="宋体" w:eastAsia="宋体" w:cs="宋体"/>
          <w:b/>
          <w:color w:val="auto"/>
          <w:sz w:val="52"/>
          <w:szCs w:val="52"/>
          <w:highlight w:val="none"/>
        </w:rPr>
        <w:t>商</w:t>
      </w:r>
    </w:p>
    <w:p>
      <w:pPr>
        <w:spacing w:line="240" w:lineRule="auto"/>
        <w:ind w:right="-94" w:rightChars="-39" w:firstLine="0" w:firstLineChars="0"/>
        <w:jc w:val="center"/>
        <w:rPr>
          <w:rFonts w:hint="eastAsia" w:ascii="宋体" w:hAnsi="宋体" w:eastAsia="宋体" w:cs="宋体"/>
          <w:b/>
          <w:color w:val="auto"/>
          <w:sz w:val="52"/>
          <w:szCs w:val="52"/>
          <w:highlight w:val="none"/>
        </w:rPr>
      </w:pPr>
      <w:r>
        <w:rPr>
          <w:rFonts w:hint="eastAsia" w:ascii="宋体" w:hAnsi="宋体" w:eastAsia="宋体" w:cs="宋体"/>
          <w:b/>
          <w:color w:val="auto"/>
          <w:sz w:val="52"/>
          <w:szCs w:val="52"/>
          <w:highlight w:val="none"/>
        </w:rPr>
        <w:t>文</w:t>
      </w:r>
    </w:p>
    <w:p>
      <w:pPr>
        <w:spacing w:line="240" w:lineRule="auto"/>
        <w:ind w:right="-94" w:rightChars="-39" w:firstLine="0" w:firstLineChars="0"/>
        <w:jc w:val="center"/>
        <w:rPr>
          <w:rFonts w:hint="eastAsia" w:ascii="宋体" w:hAnsi="宋体" w:eastAsia="宋体" w:cs="宋体"/>
          <w:b/>
          <w:color w:val="auto"/>
          <w:sz w:val="52"/>
          <w:szCs w:val="52"/>
          <w:highlight w:val="none"/>
        </w:rPr>
      </w:pPr>
      <w:r>
        <w:rPr>
          <w:rFonts w:hint="eastAsia" w:ascii="宋体" w:hAnsi="宋体" w:eastAsia="宋体" w:cs="宋体"/>
          <w:b/>
          <w:color w:val="auto"/>
          <w:sz w:val="52"/>
          <w:szCs w:val="52"/>
          <w:highlight w:val="none"/>
        </w:rPr>
        <w:t>件</w:t>
      </w:r>
    </w:p>
    <w:p>
      <w:pPr>
        <w:pStyle w:val="29"/>
        <w:spacing w:after="0" w:line="360" w:lineRule="auto"/>
        <w:ind w:right="-94" w:rightChars="-39" w:firstLine="0" w:firstLineChars="0"/>
        <w:rPr>
          <w:rFonts w:hint="eastAsia" w:ascii="宋体" w:hAnsi="宋体" w:eastAsia="宋体" w:cs="宋体"/>
          <w:color w:val="auto"/>
          <w:highlight w:val="none"/>
        </w:rPr>
      </w:pPr>
    </w:p>
    <w:p>
      <w:pPr>
        <w:pStyle w:val="29"/>
        <w:spacing w:after="0" w:line="360" w:lineRule="auto"/>
        <w:ind w:right="-94" w:rightChars="-39" w:firstLine="0" w:firstLineChars="0"/>
        <w:rPr>
          <w:rFonts w:hint="eastAsia" w:ascii="宋体" w:hAnsi="宋体" w:eastAsia="宋体" w:cs="宋体"/>
          <w:color w:val="auto"/>
          <w:highlight w:val="none"/>
        </w:rPr>
      </w:pPr>
    </w:p>
    <w:p>
      <w:pPr>
        <w:spacing w:line="360" w:lineRule="auto"/>
        <w:ind w:right="-94" w:rightChars="-39" w:firstLine="0" w:firstLineChars="0"/>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 xml:space="preserve"> </w:t>
      </w:r>
    </w:p>
    <w:p>
      <w:pPr>
        <w:spacing w:line="360" w:lineRule="auto"/>
        <w:ind w:right="-94" w:rightChars="-39" w:firstLine="0" w:firstLineChars="0"/>
        <w:jc w:val="center"/>
        <w:rPr>
          <w:rFonts w:hint="eastAsia" w:ascii="宋体" w:hAnsi="宋体" w:eastAsia="宋体" w:cs="宋体"/>
          <w:b/>
          <w:color w:val="auto"/>
          <w:sz w:val="30"/>
          <w:szCs w:val="30"/>
          <w:highlight w:val="none"/>
          <w:lang w:eastAsia="zh-CN"/>
        </w:rPr>
      </w:pPr>
      <w:r>
        <w:rPr>
          <w:rFonts w:hint="eastAsia" w:ascii="宋体" w:hAnsi="宋体" w:eastAsia="宋体" w:cs="宋体"/>
          <w:b/>
          <w:color w:val="auto"/>
          <w:sz w:val="30"/>
          <w:szCs w:val="30"/>
          <w:highlight w:val="none"/>
        </w:rPr>
        <w:t>采购人：</w:t>
      </w:r>
      <w:r>
        <w:rPr>
          <w:rFonts w:hint="eastAsia" w:cs="宋体"/>
          <w:b/>
          <w:color w:val="auto"/>
          <w:sz w:val="30"/>
          <w:szCs w:val="30"/>
          <w:highlight w:val="none"/>
          <w:lang w:eastAsia="zh-CN"/>
        </w:rPr>
        <w:t>彭州市人民医院</w:t>
      </w:r>
    </w:p>
    <w:p>
      <w:pPr>
        <w:spacing w:line="360" w:lineRule="auto"/>
        <w:ind w:right="-94" w:rightChars="-39" w:firstLine="0" w:firstLineChars="0"/>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采购代理机构：</w:t>
      </w:r>
      <w:r>
        <w:rPr>
          <w:rFonts w:hint="eastAsia" w:ascii="宋体" w:hAnsi="宋体" w:eastAsia="宋体" w:cs="宋体"/>
          <w:b/>
          <w:color w:val="auto"/>
          <w:sz w:val="32"/>
          <w:szCs w:val="32"/>
          <w:highlight w:val="none"/>
        </w:rPr>
        <w:t>四川至善工程项目管理有限公司</w:t>
      </w:r>
    </w:p>
    <w:p>
      <w:pPr>
        <w:spacing w:line="360" w:lineRule="auto"/>
        <w:ind w:right="-94" w:rightChars="-39" w:firstLine="0" w:firstLineChars="0"/>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（共同编制）</w:t>
      </w:r>
    </w:p>
    <w:p>
      <w:pPr>
        <w:spacing w:line="360" w:lineRule="auto"/>
        <w:ind w:right="-94" w:rightChars="-39" w:firstLine="0" w:firstLineChars="0"/>
        <w:jc w:val="center"/>
        <w:rPr>
          <w:rFonts w:hint="eastAsia" w:ascii="宋体" w:hAnsi="宋体" w:eastAsia="宋体" w:cs="宋体"/>
          <w:b/>
          <w:color w:val="auto"/>
          <w:sz w:val="32"/>
          <w:szCs w:val="32"/>
          <w:highlight w:val="none"/>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560" w:header="1272" w:footer="992" w:gutter="0"/>
          <w:pgNumType w:start="1"/>
          <w:cols w:space="720" w:num="1"/>
          <w:docGrid w:linePitch="326" w:charSpace="0"/>
        </w:sectPr>
      </w:pPr>
      <w:r>
        <w:rPr>
          <w:rFonts w:hint="eastAsia" w:ascii="宋体" w:hAnsi="宋体" w:eastAsia="宋体" w:cs="宋体"/>
          <w:b/>
          <w:color w:val="auto"/>
          <w:sz w:val="32"/>
          <w:szCs w:val="32"/>
          <w:highlight w:val="none"/>
        </w:rPr>
        <w:t>2021年</w:t>
      </w:r>
      <w:r>
        <w:rPr>
          <w:rFonts w:hint="eastAsia" w:cs="宋体"/>
          <w:b/>
          <w:color w:val="auto"/>
          <w:sz w:val="32"/>
          <w:szCs w:val="32"/>
          <w:highlight w:val="none"/>
          <w:lang w:val="en-US" w:eastAsia="zh-CN"/>
        </w:rPr>
        <w:t>10</w:t>
      </w:r>
      <w:r>
        <w:rPr>
          <w:rFonts w:hint="eastAsia" w:ascii="宋体" w:hAnsi="宋体" w:eastAsia="宋体" w:cs="宋体"/>
          <w:b/>
          <w:color w:val="auto"/>
          <w:sz w:val="32"/>
          <w:szCs w:val="32"/>
          <w:highlight w:val="none"/>
        </w:rPr>
        <w:t>月</w:t>
      </w:r>
    </w:p>
    <w:p>
      <w:pPr>
        <w:pStyle w:val="42"/>
        <w:spacing w:line="360" w:lineRule="auto"/>
        <w:rPr>
          <w:rFonts w:hint="eastAsia" w:ascii="宋体" w:hAnsi="宋体" w:eastAsia="宋体" w:cs="宋体"/>
          <w:color w:val="auto"/>
          <w:highlight w:val="none"/>
        </w:rPr>
      </w:pPr>
    </w:p>
    <w:p>
      <w:pPr>
        <w:widowControl/>
        <w:spacing w:line="360" w:lineRule="auto"/>
        <w:ind w:firstLine="482"/>
        <w:jc w:val="left"/>
        <w:rPr>
          <w:rFonts w:hint="eastAsia" w:ascii="宋体" w:hAnsi="宋体" w:eastAsia="宋体" w:cs="宋体"/>
          <w:b/>
          <w:color w:val="auto"/>
          <w:szCs w:val="24"/>
          <w:highlight w:val="none"/>
        </w:rPr>
      </w:pPr>
    </w:p>
    <w:p>
      <w:pPr>
        <w:widowControl/>
        <w:spacing w:line="360" w:lineRule="auto"/>
        <w:ind w:firstLine="482"/>
        <w:jc w:val="left"/>
        <w:rPr>
          <w:rFonts w:hint="eastAsia" w:ascii="宋体" w:hAnsi="宋体" w:eastAsia="宋体" w:cs="宋体"/>
          <w:b/>
          <w:color w:val="auto"/>
          <w:szCs w:val="24"/>
          <w:highlight w:val="none"/>
        </w:rPr>
      </w:pPr>
    </w:p>
    <w:p>
      <w:pPr>
        <w:widowControl/>
        <w:spacing w:line="360" w:lineRule="auto"/>
        <w:ind w:firstLine="482"/>
        <w:jc w:val="left"/>
        <w:rPr>
          <w:rFonts w:hint="eastAsia" w:ascii="宋体" w:hAnsi="宋体" w:eastAsia="宋体" w:cs="宋体"/>
          <w:b/>
          <w:color w:val="auto"/>
          <w:szCs w:val="24"/>
          <w:highlight w:val="none"/>
        </w:rPr>
      </w:pPr>
    </w:p>
    <w:p>
      <w:pPr>
        <w:widowControl/>
        <w:spacing w:line="360" w:lineRule="auto"/>
        <w:ind w:firstLine="482"/>
        <w:jc w:val="left"/>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 xml:space="preserve">每家单位限 1 人参加本次磋商采购活动（建议为参加本项目采购活动的法定代表人（负责人）或授权代表），请参加本次磋商采购活动的人员做好相关疫情防控措施（戴好口罩，做好个人卫生、消毒等工作），自觉接受体温检测、磋商地点相关的防疫管控管理规定等。 </w:t>
      </w:r>
    </w:p>
    <w:p>
      <w:pPr>
        <w:widowControl/>
        <w:spacing w:line="360" w:lineRule="auto"/>
        <w:ind w:firstLine="482"/>
        <w:jc w:val="left"/>
        <w:rPr>
          <w:rFonts w:hint="eastAsia" w:ascii="宋体" w:hAnsi="宋体" w:eastAsia="宋体" w:cs="宋体"/>
          <w:b/>
          <w:color w:val="auto"/>
          <w:szCs w:val="24"/>
          <w:highlight w:val="none"/>
        </w:rPr>
      </w:pPr>
    </w:p>
    <w:p>
      <w:pPr>
        <w:widowControl/>
        <w:spacing w:line="360" w:lineRule="auto"/>
        <w:ind w:firstLine="482"/>
        <w:jc w:val="left"/>
        <w:rPr>
          <w:rFonts w:hint="eastAsia" w:ascii="宋体" w:hAnsi="宋体" w:eastAsia="宋体" w:cs="宋体"/>
          <w:b/>
          <w:color w:val="auto"/>
          <w:szCs w:val="24"/>
          <w:highlight w:val="none"/>
        </w:rPr>
      </w:pPr>
    </w:p>
    <w:p>
      <w:pPr>
        <w:widowControl/>
        <w:spacing w:line="360" w:lineRule="auto"/>
        <w:ind w:firstLine="482"/>
        <w:jc w:val="left"/>
        <w:rPr>
          <w:rFonts w:hint="eastAsia" w:ascii="宋体" w:hAnsi="宋体" w:eastAsia="宋体" w:cs="宋体"/>
          <w:b/>
          <w:color w:val="auto"/>
          <w:szCs w:val="24"/>
          <w:highlight w:val="none"/>
        </w:rPr>
      </w:pPr>
    </w:p>
    <w:p>
      <w:pPr>
        <w:widowControl/>
        <w:spacing w:line="360" w:lineRule="auto"/>
        <w:ind w:firstLine="482"/>
        <w:jc w:val="left"/>
        <w:rPr>
          <w:rFonts w:hint="eastAsia" w:ascii="宋体" w:hAnsi="宋体" w:eastAsia="宋体" w:cs="宋体"/>
          <w:color w:val="auto"/>
          <w:szCs w:val="24"/>
          <w:highlight w:val="none"/>
        </w:rPr>
      </w:pPr>
      <w:r>
        <w:rPr>
          <w:rFonts w:hint="eastAsia" w:ascii="宋体" w:hAnsi="宋体" w:eastAsia="宋体" w:cs="宋体"/>
          <w:b/>
          <w:color w:val="auto"/>
          <w:szCs w:val="24"/>
          <w:highlight w:val="none"/>
        </w:rPr>
        <w:t>温馨提示</w:t>
      </w:r>
      <w:r>
        <w:rPr>
          <w:rFonts w:hint="eastAsia" w:ascii="宋体" w:hAnsi="宋体" w:eastAsia="宋体" w:cs="宋体"/>
          <w:color w:val="auto"/>
          <w:szCs w:val="24"/>
          <w:highlight w:val="none"/>
        </w:rPr>
        <w:t xml:space="preserve">： </w:t>
      </w:r>
    </w:p>
    <w:p>
      <w:pPr>
        <w:widowControl/>
        <w:spacing w:line="360" w:lineRule="auto"/>
        <w:ind w:firstLine="240" w:firstLineChars="100"/>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①因磋商场所的疫情检查，建议参加现场采购活动的人员提前到场，留足时间。 </w:t>
      </w:r>
    </w:p>
    <w:p>
      <w:pPr>
        <w:widowControl/>
        <w:spacing w:line="360" w:lineRule="auto"/>
        <w:ind w:firstLine="240" w:firstLineChars="100"/>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②对于现场参加采购活动的人员须携带居民身份证，应按《四川省应对新型冠状病毒肺炎疫情应急指挥部》的要求。来自重点疫区、体温过高等，而不能进入响应文件递交地点，不能在响应文件递交截止前将响应文件递交的，其责任自负。</w:t>
      </w:r>
    </w:p>
    <w:p>
      <w:pPr>
        <w:spacing w:line="360" w:lineRule="auto"/>
        <w:ind w:firstLine="0" w:firstLineChars="0"/>
        <w:jc w:val="center"/>
        <w:rPr>
          <w:rFonts w:hint="eastAsia" w:ascii="宋体" w:hAnsi="宋体" w:eastAsia="宋体" w:cs="宋体"/>
          <w:color w:val="auto"/>
          <w:sz w:val="21"/>
          <w:highlight w:val="none"/>
        </w:rPr>
        <w:sectPr>
          <w:headerReference r:id="rId11" w:type="default"/>
          <w:footerReference r:id="rId12" w:type="default"/>
          <w:pgSz w:w="11906" w:h="16838"/>
          <w:pgMar w:top="1417" w:right="1800" w:bottom="1417" w:left="1800" w:header="567" w:footer="788" w:gutter="0"/>
          <w:pgNumType w:start="1"/>
          <w:cols w:space="0" w:num="1"/>
          <w:docGrid w:linePitch="326" w:charSpace="0"/>
        </w:sectPr>
      </w:pPr>
    </w:p>
    <w:sdt>
      <w:sdtPr>
        <w:rPr>
          <w:rFonts w:hint="eastAsia" w:ascii="宋体" w:hAnsi="宋体" w:eastAsia="宋体" w:cs="宋体"/>
          <w:b/>
          <w:bCs/>
          <w:color w:val="auto"/>
          <w:kern w:val="44"/>
          <w:sz w:val="21"/>
          <w:szCs w:val="44"/>
          <w:highlight w:val="none"/>
          <w:lang w:val="zh-CN"/>
        </w:rPr>
        <w:id w:val="147476025"/>
        <w:docPartObj>
          <w:docPartGallery w:val="Table of Contents"/>
          <w:docPartUnique/>
        </w:docPartObj>
      </w:sdtPr>
      <w:sdtEndPr>
        <w:rPr>
          <w:rFonts w:hint="eastAsia" w:ascii="宋体" w:hAnsi="宋体" w:eastAsia="宋体" w:cs="宋体"/>
          <w:b/>
          <w:bCs/>
          <w:color w:val="auto"/>
          <w:kern w:val="44"/>
          <w:sz w:val="28"/>
          <w:szCs w:val="28"/>
          <w:highlight w:val="none"/>
          <w:lang w:val="zh-CN"/>
        </w:rPr>
      </w:sdtEndPr>
      <w:sdtContent>
        <w:p>
          <w:pPr>
            <w:spacing w:line="360" w:lineRule="auto"/>
            <w:ind w:firstLine="0" w:firstLineChars="0"/>
            <w:jc w:val="center"/>
            <w:rPr>
              <w:rFonts w:hint="eastAsia" w:ascii="宋体" w:hAnsi="宋体" w:eastAsia="宋体" w:cs="宋体"/>
              <w:b/>
              <w:bCs/>
              <w:color w:val="auto"/>
              <w:sz w:val="32"/>
              <w:szCs w:val="32"/>
              <w:highlight w:val="none"/>
            </w:rPr>
          </w:pPr>
          <w:bookmarkStart w:id="16" w:name="_Toc448558685"/>
          <w:bookmarkStart w:id="17" w:name="_Toc24096"/>
          <w:bookmarkStart w:id="18" w:name="_Toc12113"/>
          <w:bookmarkStart w:id="19" w:name="_Toc8904"/>
          <w:bookmarkStart w:id="20" w:name="_Toc28627"/>
          <w:bookmarkStart w:id="21" w:name="_Toc4863"/>
          <w:bookmarkStart w:id="22" w:name="_Toc26090"/>
          <w:bookmarkStart w:id="23" w:name="_Toc26784"/>
          <w:bookmarkStart w:id="24" w:name="_Toc21263"/>
          <w:bookmarkStart w:id="25" w:name="_Toc18296"/>
          <w:bookmarkStart w:id="26" w:name="_Toc26330"/>
          <w:bookmarkStart w:id="27" w:name="_Toc22830"/>
          <w:bookmarkStart w:id="28" w:name="_Toc517422438"/>
          <w:bookmarkStart w:id="29" w:name="_Toc9438759"/>
          <w:bookmarkStart w:id="30" w:name="_Toc501712459"/>
          <w:bookmarkStart w:id="31" w:name="_Toc4122"/>
          <w:bookmarkStart w:id="32" w:name="_Toc517423466"/>
          <w:bookmarkStart w:id="33" w:name="_Toc13002"/>
          <w:r>
            <w:rPr>
              <w:rFonts w:hint="eastAsia" w:ascii="宋体" w:hAnsi="宋体" w:eastAsia="宋体" w:cs="宋体"/>
              <w:b/>
              <w:bCs/>
              <w:color w:val="auto"/>
              <w:sz w:val="32"/>
              <w:szCs w:val="32"/>
              <w:highlight w:val="none"/>
            </w:rPr>
            <w:t>目 录</w:t>
          </w:r>
        </w:p>
        <w:p>
          <w:pPr>
            <w:pStyle w:val="23"/>
            <w:tabs>
              <w:tab w:val="right" w:leader="dot" w:pos="8306"/>
            </w:tabs>
            <w:spacing w:line="360" w:lineRule="auto"/>
            <w:ind w:firstLine="700" w:firstLineChars="25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TOC \o "1-1" \h \u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"_Toc9981"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第一章  竞争性磋商邀请</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_Toc9981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3"/>
            <w:tabs>
              <w:tab w:val="right" w:leader="dot" w:pos="8306"/>
            </w:tabs>
            <w:spacing w:line="360" w:lineRule="auto"/>
            <w:ind w:firstLine="48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"_Toc2263"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第二章  供应商须知</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_Toc2263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3</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3"/>
            <w:tabs>
              <w:tab w:val="right" w:leader="dot" w:pos="8306"/>
            </w:tabs>
            <w:spacing w:line="360" w:lineRule="auto"/>
            <w:ind w:firstLine="48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"_Toc14406"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第三章  供应商资格条件要求</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2</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t>2</w:t>
          </w:r>
        </w:p>
        <w:p>
          <w:pPr>
            <w:pStyle w:val="23"/>
            <w:tabs>
              <w:tab w:val="right" w:leader="dot" w:pos="8306"/>
            </w:tabs>
            <w:spacing w:line="360" w:lineRule="auto"/>
            <w:ind w:firstLine="48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"_Toc14406"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第四章  供应商资格条件材料</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2</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t>3</w:t>
          </w:r>
        </w:p>
        <w:p>
          <w:pPr>
            <w:pStyle w:val="23"/>
            <w:tabs>
              <w:tab w:val="right" w:leader="dot" w:pos="8306"/>
            </w:tabs>
            <w:spacing w:line="360" w:lineRule="auto"/>
            <w:ind w:firstLine="48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"_Toc8302"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第五章  采购项目技术、服务及其他商务要求</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2</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t>5</w:t>
          </w:r>
        </w:p>
        <w:p>
          <w:pPr>
            <w:pStyle w:val="23"/>
            <w:tabs>
              <w:tab w:val="right" w:leader="dot" w:pos="8306"/>
            </w:tabs>
            <w:spacing w:line="360" w:lineRule="auto"/>
            <w:ind w:firstLine="48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"_Toc25675"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第六章  响应文件格式</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3</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t>5</w:t>
          </w:r>
        </w:p>
        <w:p>
          <w:pPr>
            <w:pStyle w:val="23"/>
            <w:tabs>
              <w:tab w:val="right" w:leader="dot" w:pos="8306"/>
            </w:tabs>
            <w:spacing w:line="360" w:lineRule="auto"/>
            <w:ind w:firstLine="48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"_Toc17578"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 xml:space="preserve">第七章  </w:t>
          </w:r>
          <w:r>
            <w:rPr>
              <w:rFonts w:hint="eastAsia" w:ascii="宋体" w:hAnsi="宋体" w:eastAsia="宋体" w:cs="宋体"/>
              <w:bCs/>
              <w:color w:val="auto"/>
              <w:sz w:val="28"/>
              <w:szCs w:val="28"/>
              <w:highlight w:val="none"/>
            </w:rPr>
            <w:t>评审方法</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_Toc17578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54</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3"/>
            <w:tabs>
              <w:tab w:val="right" w:leader="dot" w:pos="8306"/>
            </w:tabs>
            <w:spacing w:line="360" w:lineRule="auto"/>
            <w:ind w:firstLine="48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"_Toc31962"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 xml:space="preserve">第八章  </w:t>
          </w:r>
          <w:r>
            <w:rPr>
              <w:rFonts w:hint="eastAsia" w:ascii="宋体" w:hAnsi="宋体" w:eastAsia="宋体" w:cs="宋体"/>
              <w:bCs/>
              <w:color w:val="auto"/>
              <w:sz w:val="28"/>
              <w:szCs w:val="28"/>
              <w:highlight w:val="none"/>
            </w:rPr>
            <w:t>采购合同（样例）</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6</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t>1</w:t>
          </w:r>
        </w:p>
        <w:p>
          <w:pPr>
            <w:pStyle w:val="3"/>
            <w:spacing w:before="0" w:afterLines="50" w:line="360" w:lineRule="auto"/>
            <w:ind w:right="-94" w:rightChars="-39" w:firstLine="562"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end"/>
          </w:r>
        </w:p>
      </w:sdtContent>
    </w:sdt>
    <w:p>
      <w:pPr>
        <w:pStyle w:val="3"/>
        <w:spacing w:before="0" w:afterLines="50" w:line="360" w:lineRule="auto"/>
        <w:ind w:right="-94" w:rightChars="-39" w:firstLine="723" w:firstLineChars="200"/>
        <w:rPr>
          <w:rFonts w:hint="eastAsia" w:ascii="宋体" w:hAnsi="宋体" w:eastAsia="宋体" w:cs="宋体"/>
          <w:color w:val="auto"/>
          <w:highlight w:val="none"/>
        </w:rPr>
        <w:sectPr>
          <w:headerReference r:id="rId13" w:type="default"/>
          <w:pgSz w:w="11906" w:h="16838"/>
          <w:pgMar w:top="1417" w:right="1800" w:bottom="1417" w:left="1800" w:header="567" w:footer="788" w:gutter="0"/>
          <w:cols w:space="0" w:num="1"/>
          <w:docGrid w:linePitch="326" w:charSpace="0"/>
        </w:sectPr>
      </w:pPr>
      <w:bookmarkStart w:id="34" w:name="_Toc9981"/>
      <w:bookmarkStart w:id="35" w:name="_Toc12006354"/>
    </w:p>
    <w:p>
      <w:pPr>
        <w:pStyle w:val="3"/>
        <w:spacing w:before="0" w:afterLines="50" w:line="360" w:lineRule="auto"/>
        <w:ind w:right="-94" w:rightChars="-39" w:firstLine="723" w:firstLineChars="200"/>
        <w:rPr>
          <w:rFonts w:hint="eastAsia" w:ascii="宋体" w:hAnsi="宋体" w:eastAsia="宋体" w:cs="宋体"/>
          <w:color w:val="auto"/>
          <w:highlight w:val="none"/>
        </w:rPr>
      </w:pPr>
      <w:r>
        <w:rPr>
          <w:rFonts w:hint="eastAsia" w:ascii="宋体" w:hAnsi="宋体" w:eastAsia="宋体" w:cs="宋体"/>
          <w:color w:val="auto"/>
          <w:highlight w:val="none"/>
        </w:rPr>
        <w:t>第一章  竞争性磋商邀请</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spacing w:line="360" w:lineRule="auto"/>
        <w:ind w:right="-94" w:rightChars="-39" w:firstLine="482"/>
        <w:rPr>
          <w:rFonts w:hint="eastAsia" w:ascii="宋体" w:hAnsi="宋体" w:eastAsia="宋体" w:cs="宋体"/>
          <w:b/>
          <w:bCs/>
          <w:color w:val="auto"/>
          <w:highlight w:val="none"/>
          <w:u w:val="single"/>
        </w:rPr>
      </w:pPr>
      <w:r>
        <w:rPr>
          <w:rFonts w:hint="eastAsia" w:ascii="宋体" w:hAnsi="宋体" w:eastAsia="宋体" w:cs="宋体"/>
          <w:b/>
          <w:bCs/>
          <w:color w:val="auto"/>
          <w:highlight w:val="none"/>
          <w:u w:val="single"/>
        </w:rPr>
        <w:t>四川至善工程项目管理有限公司</w:t>
      </w:r>
      <w:r>
        <w:rPr>
          <w:rFonts w:hint="eastAsia" w:ascii="宋体" w:hAnsi="宋体" w:eastAsia="宋体" w:cs="宋体"/>
          <w:b/>
          <w:bCs/>
          <w:color w:val="auto"/>
          <w:highlight w:val="none"/>
          <w:lang w:val="zh-CN"/>
        </w:rPr>
        <w:t>受</w:t>
      </w:r>
      <w:r>
        <w:rPr>
          <w:rFonts w:hint="eastAsia" w:cs="宋体"/>
          <w:b/>
          <w:bCs/>
          <w:color w:val="auto"/>
          <w:highlight w:val="none"/>
          <w:u w:val="single"/>
          <w:lang w:eastAsia="zh-CN"/>
        </w:rPr>
        <w:t>彭州市人民医院</w:t>
      </w:r>
      <w:r>
        <w:rPr>
          <w:rFonts w:hint="eastAsia" w:ascii="宋体" w:hAnsi="宋体" w:eastAsia="宋体" w:cs="宋体"/>
          <w:b/>
          <w:bCs/>
          <w:color w:val="auto"/>
          <w:highlight w:val="none"/>
          <w:lang w:val="zh-CN"/>
        </w:rPr>
        <w:t>委托，拟对</w:t>
      </w:r>
      <w:r>
        <w:rPr>
          <w:rFonts w:hint="eastAsia" w:ascii="宋体" w:hAnsi="宋体" w:eastAsia="宋体" w:cs="宋体"/>
          <w:b/>
          <w:bCs/>
          <w:color w:val="auto"/>
          <w:highlight w:val="none"/>
          <w:u w:val="single"/>
          <w:lang w:val="zh-CN" w:eastAsia="en-US"/>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宋体" w:hAnsi="宋体" w:eastAsia="宋体" w:cs="宋体"/>
          <w:b/>
          <w:bCs/>
          <w:color w:val="auto"/>
          <w:highlight w:val="none"/>
          <w:u w:val="single"/>
          <w:lang w:val="zh-CN"/>
        </w:rPr>
        <w:instrText xml:space="preserve">ADDIN CNKISM.UserStyle</w:instrText>
      </w:r>
      <w:r>
        <w:rPr>
          <w:rFonts w:hint="eastAsia" w:ascii="宋体" w:hAnsi="宋体" w:eastAsia="宋体" w:cs="宋体"/>
          <w:b/>
          <w:bCs/>
          <w:color w:val="auto"/>
          <w:highlight w:val="none"/>
          <w:u w:val="single"/>
          <w:lang w:val="zh-CN" w:eastAsia="en-US"/>
        </w:rPr>
        <w:fldChar w:fldCharType="end"/>
      </w:r>
      <w:r>
        <w:rPr>
          <w:rFonts w:hint="eastAsia" w:cs="宋体"/>
          <w:b/>
          <w:bCs/>
          <w:color w:val="auto"/>
          <w:highlight w:val="none"/>
          <w:u w:val="single"/>
          <w:lang w:val="zh-CN"/>
        </w:rPr>
        <w:t>彭州市人民医院城南院区电梯大修服务项目（第二次）</w:t>
      </w:r>
      <w:r>
        <w:rPr>
          <w:rFonts w:hint="eastAsia" w:ascii="宋体" w:hAnsi="宋体" w:eastAsia="宋体" w:cs="宋体"/>
          <w:color w:val="auto"/>
          <w:highlight w:val="none"/>
          <w:lang w:val="zh-CN"/>
        </w:rPr>
        <w:t>以竞争性磋商方式进行采购，</w:t>
      </w:r>
      <w:r>
        <w:rPr>
          <w:rFonts w:hint="eastAsia" w:ascii="宋体" w:hAnsi="宋体" w:eastAsia="宋体" w:cs="宋体"/>
          <w:color w:val="auto"/>
          <w:highlight w:val="none"/>
        </w:rPr>
        <w:t>特</w:t>
      </w:r>
      <w:r>
        <w:rPr>
          <w:rFonts w:hint="eastAsia" w:ascii="宋体" w:hAnsi="宋体" w:eastAsia="宋体" w:cs="宋体"/>
          <w:color w:val="auto"/>
          <w:szCs w:val="28"/>
          <w:highlight w:val="none"/>
        </w:rPr>
        <w:t>邀请符合本次采购要求的供应商参加</w:t>
      </w:r>
      <w:r>
        <w:rPr>
          <w:rFonts w:hint="eastAsia" w:ascii="宋体" w:hAnsi="宋体" w:eastAsia="宋体" w:cs="宋体"/>
          <w:color w:val="auto"/>
          <w:highlight w:val="none"/>
        </w:rPr>
        <w:t>本项目的竞争性磋商</w:t>
      </w:r>
      <w:r>
        <w:rPr>
          <w:rFonts w:hint="eastAsia" w:ascii="宋体" w:hAnsi="宋体" w:eastAsia="宋体" w:cs="宋体"/>
          <w:color w:val="auto"/>
          <w:szCs w:val="28"/>
          <w:highlight w:val="none"/>
        </w:rPr>
        <w:t>。</w:t>
      </w:r>
    </w:p>
    <w:p>
      <w:pPr>
        <w:spacing w:afterLines="50" w:line="360" w:lineRule="auto"/>
        <w:ind w:right="-94" w:rightChars="-39" w:firstLine="482"/>
        <w:rPr>
          <w:rFonts w:hint="eastAsia" w:ascii="宋体" w:hAnsi="宋体" w:eastAsia="宋体" w:cs="宋体"/>
          <w:b/>
          <w:bCs/>
          <w:color w:val="auto"/>
          <w:highlight w:val="none"/>
        </w:rPr>
      </w:pPr>
      <w:r>
        <w:rPr>
          <w:rFonts w:hint="eastAsia" w:ascii="宋体" w:hAnsi="宋体" w:eastAsia="宋体" w:cs="宋体"/>
          <w:b/>
          <w:bCs/>
          <w:color w:val="auto"/>
          <w:highlight w:val="none"/>
        </w:rPr>
        <w:t>一、采购项目基本情况</w:t>
      </w:r>
    </w:p>
    <w:p>
      <w:pPr>
        <w:spacing w:line="360" w:lineRule="auto"/>
        <w:ind w:right="-94" w:rightChars="-39" w:firstLine="480"/>
        <w:rPr>
          <w:rFonts w:hint="default" w:ascii="宋体" w:hAnsi="宋体" w:eastAsia="宋体" w:cs="宋体"/>
          <w:color w:val="0000FF"/>
          <w:highlight w:val="none"/>
          <w:lang w:val="zh-CN"/>
        </w:rPr>
      </w:pPr>
      <w:r>
        <w:rPr>
          <w:rFonts w:hint="eastAsia" w:ascii="宋体" w:hAnsi="宋体" w:eastAsia="宋体" w:cs="宋体"/>
          <w:color w:val="0000FF"/>
          <w:highlight w:val="none"/>
          <w:lang w:val="zh-CN"/>
        </w:rPr>
        <w:t>1.项目编号：</w:t>
      </w:r>
      <w:r>
        <w:rPr>
          <w:rFonts w:hint="eastAsia" w:ascii="宋体" w:hAnsi="宋体" w:eastAsia="宋体" w:cs="宋体"/>
          <w:color w:val="0000FF"/>
          <w:highlight w:val="none"/>
          <w:lang w:val="zh-CN" w:eastAsia="zh-CN"/>
        </w:rPr>
        <w:t>以四川政府采购网自动生成为准</w:t>
      </w:r>
    </w:p>
    <w:p>
      <w:pPr>
        <w:spacing w:line="360" w:lineRule="auto"/>
        <w:ind w:right="-94" w:rightChars="-39" w:firstLine="480"/>
        <w:rPr>
          <w:rFonts w:hint="eastAsia" w:ascii="宋体" w:hAnsi="宋体" w:eastAsia="宋体" w:cs="宋体"/>
          <w:bCs/>
          <w:color w:val="auto"/>
          <w:highlight w:val="none"/>
          <w:lang w:val="zh-CN"/>
        </w:rPr>
      </w:pPr>
      <w:r>
        <w:rPr>
          <w:rFonts w:hint="eastAsia" w:ascii="宋体" w:hAnsi="宋体" w:eastAsia="宋体" w:cs="宋体"/>
          <w:color w:val="auto"/>
          <w:highlight w:val="none"/>
        </w:rPr>
        <w:t>2.项目名称：</w:t>
      </w:r>
      <w:r>
        <w:rPr>
          <w:rFonts w:hint="eastAsia" w:ascii="宋体" w:hAnsi="宋体" w:eastAsia="宋体" w:cs="宋体"/>
          <w:bCs/>
          <w:color w:val="auto"/>
          <w:highlight w:val="none"/>
          <w:lang w:val="zh-CN" w:eastAsia="en-US"/>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宋体" w:hAnsi="宋体" w:eastAsia="宋体" w:cs="宋体"/>
          <w:bCs/>
          <w:color w:val="auto"/>
          <w:highlight w:val="none"/>
          <w:lang w:val="zh-CN"/>
        </w:rPr>
        <w:instrText xml:space="preserve">ADDIN CNKISM.UserStyle</w:instrText>
      </w:r>
      <w:r>
        <w:rPr>
          <w:rFonts w:hint="eastAsia" w:ascii="宋体" w:hAnsi="宋体" w:eastAsia="宋体" w:cs="宋体"/>
          <w:bCs/>
          <w:color w:val="auto"/>
          <w:highlight w:val="none"/>
          <w:lang w:val="zh-CN" w:eastAsia="en-US"/>
        </w:rPr>
        <w:fldChar w:fldCharType="end"/>
      </w:r>
      <w:r>
        <w:rPr>
          <w:rFonts w:hint="eastAsia" w:cs="宋体"/>
          <w:bCs/>
          <w:color w:val="auto"/>
          <w:highlight w:val="none"/>
          <w:lang w:val="zh-CN"/>
        </w:rPr>
        <w:t>彭州市人民医院城南院区电梯大修服务项目（第二次）</w:t>
      </w:r>
    </w:p>
    <w:p>
      <w:pPr>
        <w:spacing w:line="360" w:lineRule="auto"/>
        <w:ind w:right="-94" w:rightChars="-39" w:firstLine="480"/>
        <w:rPr>
          <w:rFonts w:hint="eastAsia" w:ascii="宋体" w:hAnsi="宋体" w:eastAsia="宋体" w:cs="宋体"/>
          <w:bCs/>
          <w:color w:val="auto"/>
          <w:highlight w:val="none"/>
          <w:lang w:eastAsia="zh-CN"/>
        </w:rPr>
      </w:pPr>
      <w:r>
        <w:rPr>
          <w:rFonts w:hint="eastAsia" w:ascii="宋体" w:hAnsi="宋体" w:eastAsia="宋体" w:cs="宋体"/>
          <w:color w:val="auto"/>
          <w:highlight w:val="none"/>
        </w:rPr>
        <w:t>3.采购人：</w:t>
      </w:r>
      <w:r>
        <w:rPr>
          <w:rFonts w:hint="eastAsia" w:cs="宋体"/>
          <w:bCs/>
          <w:color w:val="auto"/>
          <w:highlight w:val="none"/>
          <w:lang w:eastAsia="zh-CN"/>
        </w:rPr>
        <w:t>彭州市人民医院</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4.采购代理机构：四川至善</w:t>
      </w:r>
      <w:bookmarkStart w:id="841" w:name="_GoBack"/>
      <w:bookmarkEnd w:id="841"/>
      <w:r>
        <w:rPr>
          <w:rFonts w:hint="eastAsia" w:ascii="宋体" w:hAnsi="宋体" w:eastAsia="宋体" w:cs="宋体"/>
          <w:color w:val="auto"/>
          <w:highlight w:val="none"/>
        </w:rPr>
        <w:t>工程项目管理有限公司</w:t>
      </w:r>
    </w:p>
    <w:p>
      <w:pPr>
        <w:spacing w:afterLines="50" w:line="360" w:lineRule="auto"/>
        <w:ind w:right="-94" w:rightChars="-39" w:firstLine="482"/>
        <w:rPr>
          <w:rFonts w:hint="eastAsia" w:ascii="宋体" w:hAnsi="宋体" w:eastAsia="宋体" w:cs="宋体"/>
          <w:color w:val="auto"/>
          <w:szCs w:val="22"/>
          <w:highlight w:val="none"/>
        </w:rPr>
      </w:pPr>
      <w:r>
        <w:rPr>
          <w:rFonts w:hint="eastAsia" w:ascii="宋体" w:hAnsi="宋体" w:eastAsia="宋体" w:cs="宋体"/>
          <w:b/>
          <w:bCs/>
          <w:color w:val="auto"/>
          <w:highlight w:val="none"/>
        </w:rPr>
        <w:t>二、资金情况</w:t>
      </w:r>
    </w:p>
    <w:p>
      <w:pPr>
        <w:spacing w:afterLines="50" w:line="360" w:lineRule="auto"/>
        <w:ind w:right="-94" w:rightChars="-39" w:firstLine="480"/>
        <w:rPr>
          <w:rFonts w:hint="eastAsia" w:ascii="宋体" w:hAnsi="宋体" w:eastAsia="宋体" w:cs="宋体"/>
          <w:color w:val="auto"/>
          <w:szCs w:val="22"/>
          <w:highlight w:val="none"/>
        </w:rPr>
      </w:pPr>
      <w:r>
        <w:rPr>
          <w:rFonts w:hint="eastAsia" w:ascii="宋体" w:hAnsi="宋体" w:eastAsia="宋体" w:cs="宋体"/>
          <w:color w:val="auto"/>
          <w:szCs w:val="22"/>
          <w:highlight w:val="none"/>
        </w:rPr>
        <w:t>1.资金来源及金额：</w:t>
      </w:r>
      <w:r>
        <w:rPr>
          <w:rFonts w:hint="eastAsia" w:cs="宋体"/>
          <w:color w:val="auto"/>
          <w:szCs w:val="22"/>
          <w:highlight w:val="none"/>
          <w:lang w:eastAsia="zh-CN"/>
        </w:rPr>
        <w:t>其他</w:t>
      </w:r>
      <w:r>
        <w:rPr>
          <w:rFonts w:hint="eastAsia" w:ascii="宋体" w:hAnsi="宋体" w:eastAsia="宋体" w:cs="宋体"/>
          <w:color w:val="auto"/>
          <w:szCs w:val="22"/>
          <w:highlight w:val="none"/>
          <w:lang w:eastAsia="zh-CN"/>
        </w:rPr>
        <w:t>资金</w:t>
      </w:r>
      <w:r>
        <w:rPr>
          <w:rFonts w:hint="eastAsia" w:ascii="宋体" w:hAnsi="宋体" w:eastAsia="宋体" w:cs="宋体"/>
          <w:color w:val="auto"/>
          <w:szCs w:val="22"/>
          <w:highlight w:val="none"/>
        </w:rPr>
        <w:t>。预算金额：</w:t>
      </w:r>
      <w:r>
        <w:rPr>
          <w:rFonts w:hint="eastAsia" w:cs="宋体"/>
          <w:color w:val="auto"/>
          <w:szCs w:val="22"/>
          <w:highlight w:val="none"/>
          <w:lang w:val="en-US" w:eastAsia="zh-CN"/>
        </w:rPr>
        <w:t>35.15</w:t>
      </w:r>
      <w:r>
        <w:rPr>
          <w:rFonts w:hint="eastAsia" w:ascii="宋体" w:hAnsi="宋体" w:eastAsia="宋体" w:cs="宋体"/>
          <w:color w:val="auto"/>
          <w:szCs w:val="22"/>
          <w:highlight w:val="none"/>
          <w:lang w:val="en-US" w:eastAsia="zh-CN"/>
        </w:rPr>
        <w:t>万</w:t>
      </w:r>
      <w:r>
        <w:rPr>
          <w:rFonts w:hint="eastAsia" w:ascii="宋体" w:hAnsi="宋体" w:eastAsia="宋体" w:cs="宋体"/>
          <w:color w:val="auto"/>
          <w:szCs w:val="22"/>
          <w:highlight w:val="none"/>
        </w:rPr>
        <w:t>元。</w:t>
      </w:r>
    </w:p>
    <w:p>
      <w:pPr>
        <w:spacing w:afterLines="50" w:line="360" w:lineRule="auto"/>
        <w:ind w:right="-94" w:rightChars="-39" w:firstLine="482"/>
        <w:rPr>
          <w:rFonts w:hint="eastAsia" w:ascii="宋体" w:hAnsi="宋体" w:eastAsia="宋体" w:cs="宋体"/>
          <w:b/>
          <w:bCs/>
          <w:color w:val="auto"/>
          <w:szCs w:val="22"/>
          <w:highlight w:val="none"/>
        </w:rPr>
      </w:pPr>
      <w:r>
        <w:rPr>
          <w:rFonts w:hint="eastAsia" w:ascii="宋体" w:hAnsi="宋体" w:eastAsia="宋体" w:cs="宋体"/>
          <w:b/>
          <w:bCs/>
          <w:color w:val="auto"/>
          <w:szCs w:val="22"/>
          <w:highlight w:val="none"/>
        </w:rPr>
        <w:t>三、采购项目简介</w:t>
      </w:r>
    </w:p>
    <w:p>
      <w:pPr>
        <w:spacing w:line="360" w:lineRule="auto"/>
        <w:ind w:right="-94" w:rightChars="-39" w:firstLine="480"/>
        <w:rPr>
          <w:rFonts w:hint="eastAsia" w:ascii="宋体" w:hAnsi="宋体" w:eastAsia="宋体" w:cs="宋体"/>
          <w:color w:val="auto"/>
          <w:highlight w:val="none"/>
        </w:rPr>
      </w:pPr>
      <w:r>
        <w:rPr>
          <w:rFonts w:hint="eastAsia" w:cs="宋体"/>
          <w:bCs/>
          <w:color w:val="auto"/>
          <w:highlight w:val="none"/>
          <w:lang w:eastAsia="zh-CN"/>
        </w:rPr>
        <w:t>彭州市人民医院</w:t>
      </w:r>
      <w:r>
        <w:rPr>
          <w:rFonts w:hint="eastAsia" w:ascii="宋体" w:hAnsi="宋体" w:eastAsia="宋体" w:cs="宋体"/>
          <w:color w:val="auto"/>
          <w:highlight w:val="none"/>
        </w:rPr>
        <w:t>拟采用竞争性磋商方式确定一名合法供应商为其提供</w:t>
      </w:r>
      <w:r>
        <w:rPr>
          <w:rFonts w:hint="eastAsia" w:ascii="宋体" w:hAnsi="宋体" w:eastAsia="宋体" w:cs="宋体"/>
          <w:b/>
          <w:bCs/>
          <w:color w:val="auto"/>
          <w:highlight w:val="none"/>
          <w:u w:val="single"/>
          <w:lang w:val="zh-CN" w:eastAsia="en-US"/>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宋体" w:hAnsi="宋体" w:eastAsia="宋体" w:cs="宋体"/>
          <w:b/>
          <w:bCs/>
          <w:color w:val="auto"/>
          <w:highlight w:val="none"/>
          <w:u w:val="single"/>
          <w:lang w:val="zh-CN"/>
        </w:rPr>
        <w:instrText xml:space="preserve">ADDIN CNKISM.UserStyle</w:instrText>
      </w:r>
      <w:r>
        <w:rPr>
          <w:rFonts w:hint="eastAsia" w:ascii="宋体" w:hAnsi="宋体" w:eastAsia="宋体" w:cs="宋体"/>
          <w:b/>
          <w:bCs/>
          <w:color w:val="auto"/>
          <w:highlight w:val="none"/>
          <w:u w:val="single"/>
          <w:lang w:val="zh-CN" w:eastAsia="en-US"/>
        </w:rPr>
        <w:fldChar w:fldCharType="end"/>
      </w:r>
      <w:r>
        <w:rPr>
          <w:rFonts w:hint="eastAsia" w:cs="宋体"/>
          <w:b/>
          <w:bCs/>
          <w:color w:val="auto"/>
          <w:highlight w:val="none"/>
          <w:u w:val="single"/>
          <w:lang w:val="zh-CN"/>
        </w:rPr>
        <w:t>彭州市人民医院城南院区电梯大修服务项目（第二次）</w:t>
      </w:r>
      <w:r>
        <w:rPr>
          <w:rFonts w:hint="eastAsia" w:ascii="宋体" w:hAnsi="宋体" w:eastAsia="宋体" w:cs="宋体"/>
          <w:color w:val="auto"/>
          <w:szCs w:val="21"/>
          <w:highlight w:val="none"/>
        </w:rPr>
        <w:t>。</w:t>
      </w:r>
      <w:r>
        <w:rPr>
          <w:rFonts w:hint="eastAsia" w:ascii="宋体" w:hAnsi="宋体" w:eastAsia="宋体" w:cs="宋体"/>
          <w:b/>
          <w:color w:val="auto"/>
          <w:szCs w:val="21"/>
          <w:highlight w:val="none"/>
        </w:rPr>
        <w:t>(</w:t>
      </w:r>
      <w:r>
        <w:rPr>
          <w:rFonts w:hint="eastAsia" w:ascii="宋体" w:hAnsi="宋体" w:eastAsia="宋体" w:cs="宋体"/>
          <w:b/>
          <w:color w:val="auto"/>
          <w:highlight w:val="none"/>
        </w:rPr>
        <w:t>详见磋商文件第五章）</w:t>
      </w:r>
    </w:p>
    <w:p>
      <w:pPr>
        <w:spacing w:afterLines="50" w:line="360" w:lineRule="auto"/>
        <w:ind w:right="-94" w:rightChars="-39" w:firstLine="482"/>
        <w:rPr>
          <w:rFonts w:hint="eastAsia" w:ascii="宋体" w:hAnsi="宋体" w:eastAsia="宋体" w:cs="宋体"/>
          <w:b/>
          <w:color w:val="auto"/>
          <w:highlight w:val="none"/>
          <w:shd w:val="clear" w:color="FFFFFF" w:fill="D9D9D9"/>
        </w:rPr>
      </w:pPr>
      <w:r>
        <w:rPr>
          <w:rFonts w:hint="eastAsia" w:ascii="宋体" w:hAnsi="宋体" w:eastAsia="宋体" w:cs="宋体"/>
          <w:b/>
          <w:color w:val="auto"/>
          <w:highlight w:val="none"/>
        </w:rPr>
        <w:t>四、供应商邀请方式</w:t>
      </w:r>
    </w:p>
    <w:p>
      <w:pPr>
        <w:spacing w:line="360" w:lineRule="auto"/>
        <w:ind w:right="-94" w:rightChars="-39" w:firstLine="480"/>
        <w:rPr>
          <w:rFonts w:hint="eastAsia" w:ascii="宋体" w:hAnsi="宋体" w:eastAsia="宋体" w:cs="宋体"/>
          <w:bCs/>
          <w:color w:val="auto"/>
          <w:szCs w:val="22"/>
          <w:highlight w:val="none"/>
        </w:rPr>
      </w:pPr>
      <w:r>
        <w:rPr>
          <w:rFonts w:hint="eastAsia" w:ascii="宋体" w:hAnsi="宋体" w:eastAsia="宋体" w:cs="宋体"/>
          <w:bCs/>
          <w:color w:val="auto"/>
          <w:szCs w:val="22"/>
          <w:highlight w:val="none"/>
        </w:rPr>
        <w:t>在</w:t>
      </w:r>
      <w:bookmarkStart w:id="36" w:name="OLE_LINK31"/>
      <w:bookmarkStart w:id="37" w:name="OLE_LINK17"/>
      <w:r>
        <w:rPr>
          <w:rFonts w:hint="eastAsia" w:ascii="宋体" w:hAnsi="宋体" w:eastAsia="宋体" w:cs="宋体"/>
          <w:b w:val="0"/>
          <w:i w:val="0"/>
          <w:caps w:val="0"/>
          <w:color w:val="auto"/>
          <w:spacing w:val="0"/>
          <w:w w:val="100"/>
          <w:sz w:val="24"/>
          <w:szCs w:val="21"/>
          <w:highlight w:val="none"/>
        </w:rPr>
        <w:t>四川政府采购网（http://www.ccgp-sichuan.gov.cn）</w:t>
      </w:r>
      <w:r>
        <w:rPr>
          <w:rFonts w:hint="eastAsia" w:ascii="宋体" w:hAnsi="宋体" w:eastAsia="宋体" w:cs="宋体"/>
          <w:bCs/>
          <w:color w:val="auto"/>
          <w:szCs w:val="22"/>
          <w:highlight w:val="none"/>
        </w:rPr>
        <w:t>上以发布公告形式邀请供应商。</w:t>
      </w:r>
    </w:p>
    <w:p>
      <w:pPr>
        <w:spacing w:afterLines="50" w:line="360" w:lineRule="auto"/>
        <w:ind w:right="-94" w:rightChars="-39" w:firstLine="482"/>
        <w:jc w:val="left"/>
        <w:rPr>
          <w:rFonts w:hint="eastAsia" w:ascii="宋体" w:hAnsi="宋体" w:eastAsia="宋体" w:cs="宋体"/>
          <w:b/>
          <w:color w:val="auto"/>
          <w:szCs w:val="22"/>
          <w:highlight w:val="none"/>
        </w:rPr>
      </w:pPr>
      <w:r>
        <w:rPr>
          <w:rFonts w:hint="eastAsia" w:ascii="宋体" w:hAnsi="宋体" w:eastAsia="宋体" w:cs="宋体"/>
          <w:b/>
          <w:color w:val="auto"/>
          <w:szCs w:val="22"/>
          <w:highlight w:val="none"/>
        </w:rPr>
        <w:t>五、供应商参加本次采购活动应具备下列条件</w:t>
      </w:r>
    </w:p>
    <w:bookmarkEnd w:id="36"/>
    <w:bookmarkEnd w:id="37"/>
    <w:p>
      <w:pPr>
        <w:spacing w:line="360" w:lineRule="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（一）符合《中华人民共和国政府采购法》第二十二条1-5项规定的条件：</w:t>
      </w:r>
    </w:p>
    <w:p>
      <w:pPr>
        <w:spacing w:after="120"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（1）具有独立承担民事责任的能力</w:t>
      </w:r>
    </w:p>
    <w:p>
      <w:pPr>
        <w:spacing w:after="12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（2）具有良好的商业信誉和健全的财务会计制度</w:t>
      </w:r>
    </w:p>
    <w:p>
      <w:pPr>
        <w:spacing w:after="12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（3）有依法缴纳税收和社会保障资金的良好记录</w:t>
      </w:r>
    </w:p>
    <w:p>
      <w:pPr>
        <w:spacing w:after="12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（4）具有履行合同所必需的设备和专业技术能力</w:t>
      </w:r>
    </w:p>
    <w:p>
      <w:pPr>
        <w:spacing w:after="12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（5）参加本次政府采购活动前三年内，在经营活动中没有重大违法记录</w:t>
      </w:r>
    </w:p>
    <w:p>
      <w:pPr>
        <w:spacing w:after="120"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法律、行政法规规定的其他条件</w:t>
      </w:r>
      <w:r>
        <w:rPr>
          <w:rFonts w:hint="eastAsia" w:hAnsi="宋体" w:eastAsia="宋体" w:cs="宋体"/>
          <w:color w:val="auto"/>
          <w:sz w:val="24"/>
          <w:szCs w:val="24"/>
          <w:highlight w:val="none"/>
          <w:lang w:eastAsia="zh-CN"/>
        </w:rPr>
        <w:t>；</w:t>
      </w:r>
    </w:p>
    <w:p>
      <w:pPr>
        <w:widowControl/>
        <w:spacing w:line="360" w:lineRule="auto"/>
        <w:ind w:firstLine="241" w:firstLineChars="100"/>
        <w:jc w:val="left"/>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kern w:val="0"/>
          <w:sz w:val="24"/>
          <w:szCs w:val="22"/>
          <w:highlight w:val="none"/>
          <w:lang w:eastAsia="zh-CN"/>
        </w:rPr>
        <w:t>（</w:t>
      </w:r>
      <w:r>
        <w:rPr>
          <w:rFonts w:hint="eastAsia" w:ascii="宋体" w:hAnsi="宋体" w:eastAsia="宋体" w:cs="宋体"/>
          <w:b/>
          <w:bCs/>
          <w:color w:val="auto"/>
          <w:kern w:val="0"/>
          <w:sz w:val="24"/>
          <w:szCs w:val="22"/>
          <w:highlight w:val="none"/>
          <w:lang w:val="en-US" w:eastAsia="zh-CN"/>
        </w:rPr>
        <w:t>二</w:t>
      </w:r>
      <w:r>
        <w:rPr>
          <w:rFonts w:hint="eastAsia" w:ascii="宋体" w:hAnsi="宋体" w:eastAsia="宋体" w:cs="宋体"/>
          <w:b/>
          <w:bCs/>
          <w:color w:val="auto"/>
          <w:kern w:val="0"/>
          <w:sz w:val="24"/>
          <w:szCs w:val="22"/>
          <w:highlight w:val="none"/>
          <w:lang w:eastAsia="zh-CN"/>
        </w:rPr>
        <w:t>）</w:t>
      </w:r>
      <w:r>
        <w:rPr>
          <w:rFonts w:hint="eastAsia" w:ascii="宋体" w:hAnsi="宋体" w:eastAsia="宋体" w:cs="宋体"/>
          <w:b/>
          <w:bCs/>
          <w:color w:val="auto"/>
          <w:kern w:val="0"/>
          <w:sz w:val="24"/>
          <w:szCs w:val="22"/>
          <w:highlight w:val="none"/>
        </w:rPr>
        <w:t>落实政府采购政策需满足的资格要求：</w:t>
      </w:r>
      <w:r>
        <w:rPr>
          <w:rFonts w:hint="eastAsia" w:ascii="宋体" w:hAnsi="宋体" w:cs="宋体"/>
          <w:sz w:val="24"/>
        </w:rPr>
        <w:t>本项目专门面向中小企业采购(监狱企业、残疾人福利性单位均视同小微企业)，非中小企业参与的将视为无效响应。</w:t>
      </w:r>
    </w:p>
    <w:p>
      <w:pPr>
        <w:widowControl/>
        <w:numPr>
          <w:ilvl w:val="0"/>
          <w:numId w:val="3"/>
        </w:numPr>
        <w:spacing w:line="360" w:lineRule="auto"/>
        <w:ind w:firstLine="241" w:firstLineChars="100"/>
        <w:jc w:val="left"/>
        <w:rPr>
          <w:rFonts w:hint="eastAsia" w:ascii="宋体" w:hAnsi="宋体" w:eastAsia="宋体" w:cs="宋体"/>
          <w:b w:val="0"/>
          <w:bCs w:val="0"/>
          <w:color w:val="auto"/>
          <w:sz w:val="24"/>
          <w:szCs w:val="32"/>
          <w:highlight w:val="none"/>
          <w:lang w:val="en-US" w:eastAsia="zh-CN" w:bidi="ar-SA"/>
        </w:rPr>
      </w:pPr>
      <w:r>
        <w:rPr>
          <w:rFonts w:hint="eastAsia" w:ascii="宋体" w:hAnsi="宋体" w:eastAsia="宋体" w:cs="宋体"/>
          <w:b/>
          <w:bCs/>
          <w:color w:val="auto"/>
          <w:kern w:val="0"/>
          <w:sz w:val="24"/>
          <w:szCs w:val="22"/>
          <w:highlight w:val="none"/>
        </w:rPr>
        <w:t>根据采购项目提出的特殊条件</w:t>
      </w:r>
      <w:r>
        <w:rPr>
          <w:rFonts w:hint="eastAsia" w:ascii="宋体" w:hAnsi="宋体" w:eastAsia="宋体" w:cs="宋体"/>
          <w:color w:val="auto"/>
          <w:kern w:val="0"/>
          <w:sz w:val="24"/>
          <w:szCs w:val="22"/>
          <w:highlight w:val="none"/>
        </w:rPr>
        <w:t>：</w:t>
      </w:r>
      <w:r>
        <w:rPr>
          <w:rFonts w:hint="eastAsia" w:ascii="宋体" w:hAnsi="宋体" w:eastAsia="宋体" w:cs="宋体"/>
          <w:b w:val="0"/>
          <w:bCs w:val="0"/>
          <w:color w:val="auto"/>
          <w:sz w:val="24"/>
          <w:szCs w:val="32"/>
          <w:highlight w:val="none"/>
          <w:lang w:val="en-US" w:eastAsia="zh-CN" w:bidi="ar-SA"/>
        </w:rPr>
        <w:t>提供有效期内的</w:t>
      </w:r>
      <w:r>
        <w:rPr>
          <w:rFonts w:hint="eastAsia" w:hAnsi="宋体" w:cs="宋体"/>
          <w:b w:val="0"/>
          <w:bCs w:val="0"/>
          <w:color w:val="auto"/>
          <w:sz w:val="24"/>
          <w:szCs w:val="32"/>
          <w:highlight w:val="none"/>
          <w:lang w:val="en-US" w:eastAsia="zh-CN" w:bidi="ar-SA"/>
        </w:rPr>
        <w:t>相关部门</w:t>
      </w:r>
      <w:r>
        <w:rPr>
          <w:rFonts w:hint="eastAsia" w:ascii="宋体" w:hAnsi="宋体" w:eastAsia="宋体" w:cs="宋体"/>
          <w:b w:val="0"/>
          <w:bCs w:val="0"/>
          <w:color w:val="auto"/>
          <w:sz w:val="24"/>
          <w:szCs w:val="32"/>
          <w:highlight w:val="none"/>
          <w:lang w:val="en-US" w:eastAsia="zh-CN" w:bidi="ar-SA"/>
        </w:rPr>
        <w:t>颁发的 《中华人民共和国特种设备安装改造维修许可证》电梯</w:t>
      </w:r>
      <w:r>
        <w:rPr>
          <w:rFonts w:hint="eastAsia" w:hAnsi="宋体" w:cs="宋体"/>
          <w:b w:val="0"/>
          <w:bCs w:val="0"/>
          <w:color w:val="auto"/>
          <w:sz w:val="24"/>
          <w:szCs w:val="32"/>
          <w:highlight w:val="none"/>
          <w:lang w:val="en-US" w:eastAsia="zh-CN" w:bidi="ar-SA"/>
        </w:rPr>
        <w:t>（</w:t>
      </w:r>
      <w:r>
        <w:rPr>
          <w:rFonts w:hint="eastAsia" w:ascii="宋体" w:hAnsi="宋体" w:eastAsia="宋体" w:cs="宋体"/>
          <w:b w:val="0"/>
          <w:bCs w:val="0"/>
          <w:color w:val="auto"/>
          <w:sz w:val="24"/>
          <w:szCs w:val="32"/>
          <w:highlight w:val="none"/>
          <w:lang w:val="en-US" w:eastAsia="zh-CN" w:bidi="ar-SA"/>
        </w:rPr>
        <w:t>安装、维修</w:t>
      </w:r>
      <w:r>
        <w:rPr>
          <w:rFonts w:hint="eastAsia" w:hAnsi="宋体" w:cs="宋体"/>
          <w:b w:val="0"/>
          <w:bCs w:val="0"/>
          <w:color w:val="auto"/>
          <w:sz w:val="24"/>
          <w:szCs w:val="32"/>
          <w:highlight w:val="none"/>
          <w:lang w:val="en-US" w:eastAsia="zh-CN" w:bidi="ar-SA"/>
        </w:rPr>
        <w:t>、改造）</w:t>
      </w:r>
      <w:r>
        <w:rPr>
          <w:rFonts w:hint="eastAsia" w:ascii="宋体" w:hAnsi="宋体" w:eastAsia="宋体" w:cs="宋体"/>
          <w:b w:val="0"/>
          <w:bCs w:val="0"/>
          <w:color w:val="auto"/>
          <w:sz w:val="24"/>
          <w:szCs w:val="32"/>
          <w:highlight w:val="none"/>
          <w:lang w:val="en-US" w:eastAsia="zh-CN" w:bidi="ar-SA"/>
        </w:rPr>
        <w:t>B级及以上资质</w:t>
      </w:r>
      <w:r>
        <w:rPr>
          <w:rFonts w:hint="eastAsia" w:hAnsi="宋体" w:cs="宋体"/>
          <w:b w:val="0"/>
          <w:bCs w:val="0"/>
          <w:color w:val="auto"/>
          <w:sz w:val="24"/>
          <w:szCs w:val="32"/>
          <w:highlight w:val="none"/>
          <w:lang w:val="en-US" w:eastAsia="zh-CN" w:bidi="ar-SA"/>
        </w:rPr>
        <w:t>或</w:t>
      </w:r>
      <w:r>
        <w:rPr>
          <w:rFonts w:hint="eastAsia" w:ascii="宋体" w:hAnsi="宋体" w:eastAsia="宋体" w:cs="宋体"/>
          <w:b w:val="0"/>
          <w:bCs w:val="0"/>
          <w:color w:val="auto"/>
          <w:sz w:val="24"/>
          <w:szCs w:val="32"/>
          <w:highlight w:val="none"/>
          <w:lang w:val="en-US" w:eastAsia="zh-CN" w:bidi="ar-SA"/>
        </w:rPr>
        <w:t>《中华人民共和国</w:t>
      </w:r>
      <w:r>
        <w:rPr>
          <w:rFonts w:hint="eastAsia" w:hAnsi="宋体" w:cs="宋体"/>
          <w:b w:val="0"/>
          <w:bCs w:val="0"/>
          <w:color w:val="auto"/>
          <w:sz w:val="24"/>
          <w:szCs w:val="32"/>
          <w:highlight w:val="none"/>
          <w:lang w:val="en-US" w:eastAsia="zh-CN" w:bidi="ar-SA"/>
        </w:rPr>
        <w:t>特种设备生产许可证</w:t>
      </w:r>
      <w:r>
        <w:rPr>
          <w:rFonts w:hint="eastAsia" w:ascii="宋体" w:hAnsi="宋体" w:eastAsia="宋体" w:cs="宋体"/>
          <w:b w:val="0"/>
          <w:bCs w:val="0"/>
          <w:color w:val="auto"/>
          <w:sz w:val="24"/>
          <w:szCs w:val="32"/>
          <w:highlight w:val="none"/>
          <w:lang w:val="en-US" w:eastAsia="zh-CN" w:bidi="ar-SA"/>
        </w:rPr>
        <w:t>》</w:t>
      </w:r>
      <w:r>
        <w:rPr>
          <w:rFonts w:hint="eastAsia" w:hAnsi="宋体" w:cs="宋体"/>
          <w:b w:val="0"/>
          <w:bCs w:val="0"/>
          <w:color w:val="auto"/>
          <w:sz w:val="24"/>
          <w:szCs w:val="32"/>
          <w:highlight w:val="none"/>
          <w:lang w:val="en-US" w:eastAsia="zh-CN" w:bidi="ar-SA"/>
        </w:rPr>
        <w:t>电梯安装（含修理）</w:t>
      </w:r>
      <w:r>
        <w:rPr>
          <w:rFonts w:hint="eastAsia" w:ascii="宋体" w:hAnsi="宋体" w:eastAsia="宋体" w:cs="宋体"/>
          <w:b w:val="0"/>
          <w:bCs w:val="0"/>
          <w:color w:val="auto"/>
          <w:sz w:val="24"/>
          <w:szCs w:val="32"/>
          <w:highlight w:val="none"/>
          <w:lang w:val="en-US" w:eastAsia="zh-CN" w:bidi="ar-SA"/>
        </w:rPr>
        <w:t>。</w:t>
      </w:r>
    </w:p>
    <w:p>
      <w:pPr>
        <w:spacing w:line="500" w:lineRule="exact"/>
        <w:ind w:firstLine="241" w:firstLineChars="100"/>
        <w:rPr>
          <w:rFonts w:hint="eastAsia" w:ascii="宋体" w:hAnsi="宋体" w:eastAsia="宋体" w:cs="宋体"/>
          <w:b w:val="0"/>
          <w:bCs w:val="0"/>
          <w:color w:val="auto"/>
          <w:sz w:val="24"/>
          <w:szCs w:val="32"/>
          <w:highlight w:val="none"/>
          <w:lang w:val="en-US" w:eastAsia="zh-CN" w:bidi="ar-SA"/>
        </w:rPr>
      </w:pPr>
      <w:r>
        <w:rPr>
          <w:rFonts w:hint="eastAsia" w:ascii="宋体" w:hAnsi="宋体" w:cs="宋体"/>
          <w:b/>
          <w:bCs/>
          <w:color w:val="auto"/>
          <w:sz w:val="24"/>
          <w:lang w:eastAsia="zh-CN"/>
        </w:rPr>
        <w:t>（</w:t>
      </w:r>
      <w:r>
        <w:rPr>
          <w:rFonts w:hint="eastAsia" w:ascii="宋体" w:hAnsi="宋体" w:cs="宋体"/>
          <w:b/>
          <w:bCs/>
          <w:color w:val="auto"/>
          <w:sz w:val="24"/>
          <w:lang w:val="en-US" w:eastAsia="zh-CN"/>
        </w:rPr>
        <w:t>四</w:t>
      </w:r>
      <w:r>
        <w:rPr>
          <w:rFonts w:hint="eastAsia" w:ascii="宋体" w:hAnsi="宋体" w:cs="宋体"/>
          <w:b/>
          <w:bCs/>
          <w:color w:val="auto"/>
          <w:sz w:val="24"/>
          <w:lang w:eastAsia="zh-CN"/>
        </w:rPr>
        <w:t>）</w:t>
      </w:r>
      <w:r>
        <w:rPr>
          <w:rFonts w:hint="eastAsia" w:ascii="宋体" w:hAnsi="宋体" w:cs="宋体"/>
          <w:b/>
          <w:bCs/>
          <w:color w:val="auto"/>
          <w:sz w:val="24"/>
        </w:rPr>
        <w:t>其他类似效力要求：</w:t>
      </w:r>
    </w:p>
    <w:p>
      <w:pPr>
        <w:widowControl/>
        <w:numPr>
          <w:ilvl w:val="0"/>
          <w:numId w:val="0"/>
        </w:numPr>
        <w:spacing w:line="360" w:lineRule="auto"/>
        <w:ind w:firstLine="480" w:firstLineChars="200"/>
        <w:jc w:val="left"/>
        <w:rPr>
          <w:rFonts w:hint="eastAsia" w:ascii="宋体" w:hAnsi="宋体" w:eastAsia="宋体" w:cs="宋体"/>
          <w:b w:val="0"/>
          <w:bCs w:val="0"/>
          <w:color w:val="auto"/>
          <w:sz w:val="24"/>
          <w:szCs w:val="32"/>
          <w:highlight w:val="none"/>
          <w:lang w:val="en-US" w:eastAsia="zh-CN" w:bidi="ar-SA"/>
        </w:rPr>
      </w:pPr>
      <w:r>
        <w:rPr>
          <w:rFonts w:hint="eastAsia" w:ascii="宋体" w:hAnsi="宋体" w:eastAsia="宋体" w:cs="宋体"/>
          <w:b w:val="0"/>
          <w:bCs w:val="0"/>
          <w:color w:val="auto"/>
          <w:sz w:val="24"/>
          <w:szCs w:val="32"/>
          <w:highlight w:val="none"/>
          <w:lang w:val="en-US" w:eastAsia="zh-CN" w:bidi="ar-SA"/>
        </w:rPr>
        <w:t>授权参加本次采购活动的供应商代表证明材料</w:t>
      </w:r>
      <w:r>
        <w:rPr>
          <w:rFonts w:hint="eastAsia" w:hAnsi="宋体" w:eastAsia="宋体" w:cs="宋体"/>
          <w:b w:val="0"/>
          <w:bCs w:val="0"/>
          <w:color w:val="auto"/>
          <w:sz w:val="24"/>
          <w:szCs w:val="32"/>
          <w:highlight w:val="none"/>
          <w:lang w:val="en-US" w:eastAsia="zh-CN" w:bidi="ar-SA"/>
        </w:rPr>
        <w:t>。</w:t>
      </w:r>
    </w:p>
    <w:p>
      <w:pPr>
        <w:widowControl/>
        <w:spacing w:afterLines="50" w:line="360" w:lineRule="auto"/>
        <w:ind w:right="-94" w:rightChars="-39" w:firstLine="482"/>
        <w:jc w:val="left"/>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六、禁止参加本次采购活动的供应商</w:t>
      </w:r>
    </w:p>
    <w:p>
      <w:pPr>
        <w:widowControl/>
        <w:spacing w:afterLines="50" w:line="360" w:lineRule="auto"/>
        <w:ind w:right="-94" w:rightChars="-39" w:firstLine="480"/>
        <w:jc w:val="left"/>
        <w:rPr>
          <w:rFonts w:hint="eastAsia" w:ascii="宋体" w:hAnsi="宋体" w:eastAsia="宋体" w:cs="宋体"/>
          <w:color w:val="auto"/>
          <w:szCs w:val="24"/>
          <w:highlight w:val="none"/>
          <w:lang w:eastAsia="zh-CN"/>
        </w:rPr>
      </w:pPr>
      <w:r>
        <w:rPr>
          <w:rFonts w:hint="eastAsia" w:ascii="宋体" w:hAnsi="宋体" w:eastAsia="宋体" w:cs="宋体"/>
          <w:color w:val="auto"/>
          <w:szCs w:val="24"/>
          <w:highlight w:val="none"/>
        </w:rPr>
        <w:t>根据《关于在政府采购活动中查询及使用信用记录有关问题的通知》（财库〔2016〕125号）的要求，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w:t>
      </w:r>
      <w:r>
        <w:rPr>
          <w:rFonts w:hint="eastAsia" w:ascii="宋体" w:hAnsi="宋体" w:eastAsia="宋体" w:cs="宋体"/>
          <w:color w:val="auto"/>
          <w:szCs w:val="24"/>
          <w:highlight w:val="none"/>
          <w:lang w:eastAsia="zh-CN"/>
        </w:rPr>
        <w:t>。</w:t>
      </w:r>
    </w:p>
    <w:p>
      <w:pPr>
        <w:widowControl/>
        <w:spacing w:afterLines="50" w:line="360" w:lineRule="auto"/>
        <w:ind w:right="-94" w:rightChars="-39" w:firstLine="482"/>
        <w:jc w:val="left"/>
        <w:rPr>
          <w:rFonts w:hint="eastAsia" w:ascii="宋体" w:hAnsi="宋体" w:eastAsia="宋体" w:cs="宋体"/>
          <w:color w:val="auto"/>
          <w:szCs w:val="24"/>
          <w:highlight w:val="none"/>
        </w:rPr>
      </w:pPr>
      <w:r>
        <w:rPr>
          <w:rFonts w:hint="eastAsia" w:ascii="宋体" w:hAnsi="宋体" w:eastAsia="宋体" w:cs="宋体"/>
          <w:b/>
          <w:bCs/>
          <w:color w:val="auto"/>
          <w:szCs w:val="24"/>
          <w:highlight w:val="none"/>
        </w:rPr>
        <w:t>七、磋商文件获取方式、时间、</w:t>
      </w:r>
      <w:r>
        <w:rPr>
          <w:rFonts w:hint="eastAsia" w:ascii="宋体" w:hAnsi="宋体" w:eastAsia="宋体" w:cs="宋体"/>
          <w:b/>
          <w:color w:val="auto"/>
          <w:szCs w:val="24"/>
          <w:highlight w:val="none"/>
        </w:rPr>
        <w:t>地点</w:t>
      </w:r>
      <w:r>
        <w:rPr>
          <w:rFonts w:hint="eastAsia" w:ascii="宋体" w:hAnsi="宋体" w:eastAsia="宋体" w:cs="宋体"/>
          <w:b/>
          <w:bCs/>
          <w:color w:val="auto"/>
          <w:szCs w:val="24"/>
          <w:highlight w:val="none"/>
        </w:rPr>
        <w:t>：</w:t>
      </w:r>
    </w:p>
    <w:p>
      <w:pPr>
        <w:widowControl/>
        <w:spacing w:afterLines="50" w:line="360" w:lineRule="auto"/>
        <w:ind w:right="-94" w:rightChars="-39" w:firstLine="491" w:firstLineChars="205"/>
        <w:jc w:val="left"/>
        <w:rPr>
          <w:rFonts w:hint="eastAsia" w:ascii="宋体" w:hAnsi="宋体" w:eastAsia="宋体" w:cs="宋体"/>
          <w:color w:val="auto"/>
          <w:szCs w:val="24"/>
          <w:highlight w:val="none"/>
        </w:rPr>
      </w:pPr>
      <w:r>
        <w:rPr>
          <w:rFonts w:hint="eastAsia" w:ascii="宋体" w:hAnsi="宋体" w:eastAsia="宋体" w:cs="宋体"/>
          <w:color w:val="auto"/>
          <w:highlight w:val="none"/>
          <w:lang w:val="en-US" w:eastAsia="zh-CN"/>
        </w:rPr>
        <w:t>磋商文件自2021年</w:t>
      </w:r>
      <w:r>
        <w:rPr>
          <w:rFonts w:hint="eastAsia" w:cs="宋体"/>
          <w:color w:val="auto"/>
          <w:highlight w:val="none"/>
          <w:lang w:val="en-US" w:eastAsia="zh-CN"/>
        </w:rPr>
        <w:t>10</w:t>
      </w:r>
      <w:r>
        <w:rPr>
          <w:rFonts w:hint="eastAsia" w:ascii="宋体" w:hAnsi="宋体" w:eastAsia="宋体" w:cs="宋体"/>
          <w:color w:val="auto"/>
          <w:highlight w:val="none"/>
          <w:lang w:val="en-US" w:eastAsia="zh-CN"/>
        </w:rPr>
        <w:t xml:space="preserve">月 </w:t>
      </w:r>
      <w:r>
        <w:rPr>
          <w:rFonts w:hint="eastAsia" w:cs="宋体"/>
          <w:color w:val="auto"/>
          <w:highlight w:val="none"/>
          <w:lang w:val="en-US" w:eastAsia="zh-CN"/>
        </w:rPr>
        <w:t>29</w:t>
      </w:r>
      <w:r>
        <w:rPr>
          <w:rFonts w:hint="eastAsia" w:ascii="宋体" w:hAnsi="宋体" w:eastAsia="宋体" w:cs="宋体"/>
          <w:color w:val="auto"/>
          <w:highlight w:val="none"/>
          <w:lang w:val="en-US" w:eastAsia="zh-CN"/>
        </w:rPr>
        <w:t xml:space="preserve">日至2021年 </w:t>
      </w:r>
      <w:r>
        <w:rPr>
          <w:rFonts w:hint="eastAsia" w:cs="宋体"/>
          <w:color w:val="auto"/>
          <w:highlight w:val="none"/>
          <w:lang w:val="en-US" w:eastAsia="zh-CN"/>
        </w:rPr>
        <w:t xml:space="preserve">11 </w:t>
      </w:r>
      <w:r>
        <w:rPr>
          <w:rFonts w:hint="eastAsia" w:ascii="宋体" w:hAnsi="宋体" w:eastAsia="宋体" w:cs="宋体"/>
          <w:color w:val="auto"/>
          <w:highlight w:val="none"/>
          <w:lang w:val="en-US" w:eastAsia="zh-CN"/>
        </w:rPr>
        <w:t xml:space="preserve">月 </w:t>
      </w:r>
      <w:r>
        <w:rPr>
          <w:rFonts w:hint="eastAsia" w:cs="宋体"/>
          <w:color w:val="auto"/>
          <w:highlight w:val="none"/>
          <w:lang w:val="en-US" w:eastAsia="zh-CN"/>
        </w:rPr>
        <w:t>5</w:t>
      </w:r>
      <w:r>
        <w:rPr>
          <w:rFonts w:hint="eastAsia" w:ascii="宋体" w:hAnsi="宋体" w:eastAsia="宋体" w:cs="宋体"/>
          <w:color w:val="auto"/>
          <w:highlight w:val="none"/>
          <w:lang w:val="en-US" w:eastAsia="zh-CN"/>
        </w:rPr>
        <w:t>日</w:t>
      </w:r>
      <w:r>
        <w:rPr>
          <w:rFonts w:hint="eastAsia" w:ascii="宋体" w:hAnsi="宋体" w:eastAsia="宋体" w:cs="宋体"/>
          <w:color w:val="auto"/>
          <w:szCs w:val="24"/>
          <w:highlight w:val="none"/>
        </w:rPr>
        <w:t>09:00-12:00，14:00-17:00 (节假日除外)获取。</w:t>
      </w:r>
    </w:p>
    <w:p>
      <w:pPr>
        <w:widowControl/>
        <w:spacing w:afterLines="50" w:line="360" w:lineRule="auto"/>
        <w:ind w:right="-94" w:rightChars="-39" w:firstLine="491" w:firstLineChars="205"/>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供应商从“政府采购云平台”获取采购文件（网址：https://www.zcygov.cn）。登录“政府采购云平台”—项目采购—获取采购文件—申请获取采购文件。 提示： （1）本项目磋商文件免费获取，磋商资格不得转让。（2）供应商只有在“政府采购云平台”完成获取磋商文件申请并下载磋商文件后才视作依法参与本项目。如未在“政府采购云平台”内完成相关流程，引起的无效相应责任自负。（3）本项目报名平台为“政府采购云平台”，供应商参与本项目过程中凡涉及系统操作请详见《供应商政府采购项目电子交易操作指南》（操作指南以“政府采购云平台”网站发布为准）。</w:t>
      </w:r>
    </w:p>
    <w:p>
      <w:pPr>
        <w:widowControl/>
        <w:spacing w:afterLines="50" w:line="360" w:lineRule="auto"/>
        <w:ind w:right="-94" w:rightChars="-39" w:firstLine="482"/>
        <w:jc w:val="left"/>
        <w:rPr>
          <w:rFonts w:hint="eastAsia" w:ascii="宋体" w:hAnsi="宋体" w:eastAsia="宋体" w:cs="宋体"/>
          <w:b/>
          <w:bCs/>
          <w:color w:val="auto"/>
          <w:szCs w:val="24"/>
          <w:highlight w:val="none"/>
        </w:rPr>
      </w:pPr>
      <w:r>
        <w:rPr>
          <w:rFonts w:hint="eastAsia" w:ascii="宋体" w:hAnsi="宋体" w:eastAsia="宋体" w:cs="宋体"/>
          <w:b/>
          <w:bCs/>
          <w:color w:val="auto"/>
          <w:szCs w:val="24"/>
          <w:highlight w:val="none"/>
        </w:rPr>
        <w:t>八、递交响应文件截止时间</w:t>
      </w:r>
      <w:r>
        <w:rPr>
          <w:rFonts w:hint="eastAsia" w:ascii="宋体" w:hAnsi="宋体" w:eastAsia="宋体" w:cs="宋体"/>
          <w:color w:val="auto"/>
          <w:szCs w:val="24"/>
          <w:highlight w:val="none"/>
          <w:lang w:eastAsia="zh-CN"/>
        </w:rPr>
        <w:t xml:space="preserve">：2021年 </w:t>
      </w:r>
      <w:r>
        <w:rPr>
          <w:rFonts w:hint="eastAsia" w:cs="宋体"/>
          <w:color w:val="auto"/>
          <w:szCs w:val="24"/>
          <w:highlight w:val="none"/>
          <w:lang w:val="en-US" w:eastAsia="zh-CN"/>
        </w:rPr>
        <w:t>11</w:t>
      </w:r>
      <w:r>
        <w:rPr>
          <w:rFonts w:hint="eastAsia" w:ascii="宋体" w:hAnsi="宋体" w:eastAsia="宋体" w:cs="宋体"/>
          <w:color w:val="auto"/>
          <w:szCs w:val="24"/>
          <w:highlight w:val="none"/>
          <w:lang w:eastAsia="zh-CN"/>
        </w:rPr>
        <w:t>月</w:t>
      </w:r>
      <w:r>
        <w:rPr>
          <w:rFonts w:hint="eastAsia" w:cs="宋体"/>
          <w:color w:val="auto"/>
          <w:szCs w:val="24"/>
          <w:highlight w:val="none"/>
          <w:lang w:val="en-US" w:eastAsia="zh-CN"/>
        </w:rPr>
        <w:t xml:space="preserve">9 </w:t>
      </w:r>
      <w:r>
        <w:rPr>
          <w:rFonts w:hint="eastAsia" w:ascii="宋体" w:hAnsi="宋体" w:eastAsia="宋体" w:cs="宋体"/>
          <w:color w:val="auto"/>
          <w:szCs w:val="24"/>
          <w:highlight w:val="none"/>
          <w:lang w:eastAsia="zh-CN"/>
        </w:rPr>
        <w:t>日10:30</w:t>
      </w:r>
      <w:r>
        <w:rPr>
          <w:rFonts w:hint="eastAsia" w:ascii="宋体" w:hAnsi="宋体" w:eastAsia="宋体" w:cs="宋体"/>
          <w:color w:val="auto"/>
          <w:szCs w:val="24"/>
          <w:highlight w:val="none"/>
        </w:rPr>
        <w:t>时</w:t>
      </w:r>
      <w:r>
        <w:rPr>
          <w:rFonts w:hint="eastAsia" w:ascii="宋体" w:hAnsi="宋体" w:eastAsia="宋体" w:cs="宋体"/>
          <w:color w:val="auto"/>
          <w:szCs w:val="24"/>
          <w:highlight w:val="none"/>
        </w:rPr>
        <w:t>(北京时间)。</w:t>
      </w:r>
    </w:p>
    <w:p>
      <w:pPr>
        <w:widowControl/>
        <w:spacing w:afterLines="50" w:line="360" w:lineRule="auto"/>
        <w:ind w:right="-94" w:rightChars="-39" w:firstLine="482"/>
        <w:jc w:val="left"/>
        <w:rPr>
          <w:rFonts w:hint="eastAsia" w:ascii="宋体" w:hAnsi="宋体" w:eastAsia="宋体" w:cs="宋体"/>
          <w:bCs/>
          <w:color w:val="auto"/>
          <w:szCs w:val="24"/>
          <w:highlight w:val="none"/>
        </w:rPr>
      </w:pPr>
      <w:r>
        <w:rPr>
          <w:rFonts w:hint="eastAsia" w:ascii="宋体" w:hAnsi="宋体" w:eastAsia="宋体" w:cs="宋体"/>
          <w:b/>
          <w:bCs/>
          <w:color w:val="auto"/>
          <w:szCs w:val="24"/>
          <w:highlight w:val="none"/>
        </w:rPr>
        <w:t>九、递交响应文件地址：</w:t>
      </w:r>
      <w:r>
        <w:rPr>
          <w:rFonts w:hint="eastAsia" w:ascii="宋体" w:hAnsi="宋体" w:eastAsia="宋体" w:cs="宋体"/>
          <w:bCs/>
          <w:color w:val="auto"/>
          <w:szCs w:val="24"/>
          <w:highlight w:val="none"/>
        </w:rPr>
        <w:t>四川至善工程项目管理有限公司</w:t>
      </w:r>
      <w:r>
        <w:rPr>
          <w:rFonts w:hint="eastAsia" w:ascii="宋体" w:hAnsi="宋体" w:eastAsia="宋体" w:cs="宋体"/>
          <w:b/>
          <w:color w:val="auto"/>
          <w:szCs w:val="24"/>
          <w:highlight w:val="none"/>
        </w:rPr>
        <w:t>（</w:t>
      </w:r>
      <w:r>
        <w:rPr>
          <w:rFonts w:hint="eastAsia" w:ascii="宋体" w:hAnsi="宋体" w:eastAsia="宋体" w:cs="宋体"/>
          <w:bCs/>
          <w:color w:val="auto"/>
          <w:szCs w:val="24"/>
          <w:highlight w:val="none"/>
        </w:rPr>
        <w:t>高新西区天目路77号保利新天地12栋2单元821室</w:t>
      </w:r>
      <w:r>
        <w:rPr>
          <w:rFonts w:hint="eastAsia" w:ascii="宋体" w:hAnsi="宋体" w:eastAsia="宋体" w:cs="宋体"/>
          <w:b/>
          <w:color w:val="auto"/>
          <w:szCs w:val="24"/>
          <w:highlight w:val="none"/>
        </w:rPr>
        <w:t>）开标室</w:t>
      </w:r>
      <w:r>
        <w:rPr>
          <w:rFonts w:hint="eastAsia" w:ascii="宋体" w:hAnsi="宋体" w:eastAsia="宋体" w:cs="宋体"/>
          <w:bCs/>
          <w:color w:val="auto"/>
          <w:szCs w:val="24"/>
          <w:highlight w:val="none"/>
        </w:rPr>
        <w:t>。</w:t>
      </w:r>
    </w:p>
    <w:p>
      <w:pPr>
        <w:widowControl/>
        <w:spacing w:afterLines="50" w:line="360" w:lineRule="auto"/>
        <w:ind w:right="-94" w:rightChars="-39" w:firstLine="491" w:firstLineChars="205"/>
        <w:jc w:val="left"/>
        <w:rPr>
          <w:rFonts w:hint="eastAsia" w:ascii="宋体" w:hAnsi="宋体" w:eastAsia="宋体" w:cs="宋体"/>
          <w:b/>
          <w:bCs/>
          <w:color w:val="auto"/>
          <w:szCs w:val="24"/>
          <w:highlight w:val="none"/>
        </w:rPr>
      </w:pPr>
      <w:r>
        <w:rPr>
          <w:rFonts w:hint="eastAsia" w:ascii="宋体" w:hAnsi="宋体" w:eastAsia="宋体" w:cs="宋体"/>
          <w:color w:val="auto"/>
          <w:szCs w:val="24"/>
          <w:highlight w:val="none"/>
        </w:rPr>
        <w:t>响应文件必须在磋商截止时间前送达磋商地点，逾期送达或密封和标注错误的响应文件，四川至善工程项目管理有限公司恕不接收，</w:t>
      </w:r>
      <w:r>
        <w:rPr>
          <w:rFonts w:hint="eastAsia" w:ascii="宋体" w:hAnsi="宋体" w:eastAsia="宋体" w:cs="宋体"/>
          <w:b/>
          <w:bCs/>
          <w:color w:val="auto"/>
          <w:szCs w:val="24"/>
          <w:highlight w:val="none"/>
        </w:rPr>
        <w:t>本次采购不接受邮寄的响应文件。</w:t>
      </w:r>
    </w:p>
    <w:p>
      <w:pPr>
        <w:spacing w:afterLines="50" w:line="360" w:lineRule="auto"/>
        <w:ind w:right="-94" w:rightChars="-39" w:firstLine="482"/>
        <w:rPr>
          <w:rFonts w:hint="eastAsia" w:ascii="宋体" w:hAnsi="宋体" w:eastAsia="宋体" w:cs="宋体"/>
          <w:color w:val="auto"/>
          <w:szCs w:val="24"/>
          <w:highlight w:val="none"/>
        </w:rPr>
      </w:pPr>
      <w:r>
        <w:rPr>
          <w:rFonts w:hint="eastAsia" w:ascii="宋体" w:hAnsi="宋体" w:eastAsia="宋体" w:cs="宋体"/>
          <w:b/>
          <w:bCs/>
          <w:color w:val="auto"/>
          <w:szCs w:val="24"/>
          <w:highlight w:val="none"/>
        </w:rPr>
        <w:t>十、</w:t>
      </w:r>
      <w:r>
        <w:rPr>
          <w:rFonts w:hint="eastAsia" w:ascii="宋体" w:hAnsi="宋体" w:eastAsia="宋体" w:cs="宋体"/>
          <w:b/>
          <w:color w:val="auto"/>
          <w:szCs w:val="24"/>
          <w:highlight w:val="none"/>
        </w:rPr>
        <w:t>响应文件开启时间：</w:t>
      </w:r>
      <w:r>
        <w:rPr>
          <w:rFonts w:hint="eastAsia" w:ascii="宋体" w:hAnsi="宋体" w:eastAsia="宋体" w:cs="宋体"/>
          <w:color w:val="auto"/>
          <w:szCs w:val="24"/>
          <w:highlight w:val="none"/>
        </w:rPr>
        <w:t xml:space="preserve">2021年 </w:t>
      </w:r>
      <w:r>
        <w:rPr>
          <w:rFonts w:hint="eastAsia" w:cs="宋体"/>
          <w:color w:val="auto"/>
          <w:szCs w:val="24"/>
          <w:highlight w:val="none"/>
          <w:lang w:val="en-US" w:eastAsia="zh-CN"/>
        </w:rPr>
        <w:t>11</w:t>
      </w:r>
      <w:r>
        <w:rPr>
          <w:rFonts w:hint="eastAsia" w:ascii="宋体" w:hAnsi="宋体" w:eastAsia="宋体" w:cs="宋体"/>
          <w:color w:val="auto"/>
          <w:szCs w:val="24"/>
          <w:highlight w:val="none"/>
        </w:rPr>
        <w:t xml:space="preserve"> 月 </w:t>
      </w:r>
      <w:r>
        <w:rPr>
          <w:rFonts w:hint="eastAsia" w:cs="宋体"/>
          <w:color w:val="auto"/>
          <w:szCs w:val="24"/>
          <w:highlight w:val="none"/>
          <w:lang w:val="en-US" w:eastAsia="zh-CN"/>
        </w:rPr>
        <w:t>9</w:t>
      </w:r>
      <w:r>
        <w:rPr>
          <w:rFonts w:hint="eastAsia" w:ascii="宋体" w:hAnsi="宋体" w:eastAsia="宋体" w:cs="宋体"/>
          <w:color w:val="auto"/>
          <w:szCs w:val="24"/>
          <w:highlight w:val="none"/>
        </w:rPr>
        <w:t>日10:30时</w:t>
      </w:r>
      <w:r>
        <w:rPr>
          <w:rFonts w:hint="eastAsia" w:ascii="宋体" w:hAnsi="宋体" w:eastAsia="宋体" w:cs="宋体"/>
          <w:color w:val="auto"/>
          <w:szCs w:val="24"/>
          <w:highlight w:val="none"/>
        </w:rPr>
        <w:t>（北京时间）在磋商地点开启。</w:t>
      </w:r>
    </w:p>
    <w:p>
      <w:pPr>
        <w:spacing w:afterLines="50" w:line="360" w:lineRule="auto"/>
        <w:ind w:right="-94" w:rightChars="-39" w:firstLine="489" w:firstLineChars="203"/>
        <w:rPr>
          <w:rFonts w:hint="eastAsia" w:ascii="宋体" w:hAnsi="宋体" w:eastAsia="宋体" w:cs="宋体"/>
          <w:color w:val="auto"/>
          <w:szCs w:val="24"/>
          <w:highlight w:val="none"/>
        </w:rPr>
      </w:pPr>
      <w:r>
        <w:rPr>
          <w:rFonts w:hint="eastAsia" w:ascii="宋体" w:hAnsi="宋体" w:eastAsia="宋体" w:cs="宋体"/>
          <w:b/>
          <w:color w:val="auto"/>
          <w:szCs w:val="24"/>
          <w:highlight w:val="none"/>
        </w:rPr>
        <w:t>十一、磋商地点：</w:t>
      </w:r>
      <w:r>
        <w:rPr>
          <w:rFonts w:hint="eastAsia" w:ascii="宋体" w:hAnsi="宋体" w:eastAsia="宋体" w:cs="宋体"/>
          <w:bCs/>
          <w:color w:val="auto"/>
          <w:szCs w:val="24"/>
          <w:highlight w:val="none"/>
        </w:rPr>
        <w:t>四川至善工程项目管理有限公司</w:t>
      </w:r>
      <w:r>
        <w:rPr>
          <w:rFonts w:hint="eastAsia" w:ascii="宋体" w:hAnsi="宋体" w:eastAsia="宋体" w:cs="宋体"/>
          <w:color w:val="auto"/>
          <w:szCs w:val="24"/>
          <w:highlight w:val="none"/>
        </w:rPr>
        <w:t>（</w:t>
      </w:r>
      <w:r>
        <w:rPr>
          <w:rFonts w:hint="eastAsia" w:ascii="宋体" w:hAnsi="宋体" w:eastAsia="宋体" w:cs="宋体"/>
          <w:bCs/>
          <w:color w:val="auto"/>
          <w:szCs w:val="24"/>
          <w:highlight w:val="none"/>
        </w:rPr>
        <w:t>高新西区天目路77号保利新天地12栋2单元821室</w:t>
      </w:r>
      <w:r>
        <w:rPr>
          <w:rFonts w:hint="eastAsia" w:ascii="宋体" w:hAnsi="宋体" w:eastAsia="宋体" w:cs="宋体"/>
          <w:color w:val="auto"/>
          <w:szCs w:val="24"/>
          <w:highlight w:val="none"/>
        </w:rPr>
        <w:t>）</w:t>
      </w:r>
      <w:r>
        <w:rPr>
          <w:rFonts w:hint="eastAsia" w:ascii="宋体" w:hAnsi="宋体" w:eastAsia="宋体" w:cs="宋体"/>
          <w:bCs/>
          <w:color w:val="auto"/>
          <w:szCs w:val="24"/>
          <w:highlight w:val="none"/>
        </w:rPr>
        <w:t>开标室</w:t>
      </w:r>
      <w:r>
        <w:rPr>
          <w:rFonts w:hint="eastAsia" w:ascii="宋体" w:hAnsi="宋体" w:eastAsia="宋体" w:cs="宋体"/>
          <w:color w:val="auto"/>
          <w:szCs w:val="24"/>
          <w:highlight w:val="none"/>
        </w:rPr>
        <w:t>。</w:t>
      </w:r>
    </w:p>
    <w:p>
      <w:pPr>
        <w:widowControl/>
        <w:spacing w:afterLines="50" w:line="360" w:lineRule="auto"/>
        <w:ind w:right="-94" w:rightChars="-39" w:firstLine="482"/>
        <w:jc w:val="left"/>
        <w:rPr>
          <w:rFonts w:hint="eastAsia" w:ascii="宋体" w:hAnsi="宋体" w:eastAsia="宋体" w:cs="宋体"/>
          <w:b/>
          <w:color w:val="auto"/>
          <w:szCs w:val="24"/>
          <w:highlight w:val="none"/>
        </w:rPr>
      </w:pPr>
      <w:r>
        <w:rPr>
          <w:rFonts w:hint="eastAsia" w:ascii="宋体" w:hAnsi="宋体" w:eastAsia="宋体" w:cs="宋体"/>
          <w:b/>
          <w:color w:val="auto"/>
          <w:highlight w:val="none"/>
        </w:rPr>
        <w:t>十二、</w:t>
      </w:r>
      <w:r>
        <w:rPr>
          <w:rFonts w:hint="eastAsia" w:ascii="宋体" w:hAnsi="宋体" w:eastAsia="宋体" w:cs="宋体"/>
          <w:b/>
          <w:color w:val="auto"/>
          <w:szCs w:val="24"/>
          <w:highlight w:val="none"/>
        </w:rPr>
        <w:t>联系方式：</w:t>
      </w:r>
    </w:p>
    <w:p>
      <w:pPr>
        <w:widowControl/>
        <w:spacing w:after="120" w:afterLines="50" w:line="360" w:lineRule="auto"/>
        <w:ind w:right="-94" w:rightChars="-39" w:firstLine="482"/>
        <w:jc w:val="left"/>
        <w:rPr>
          <w:rFonts w:hint="eastAsia" w:eastAsia="宋体" w:cs="宋体"/>
          <w:b/>
          <w:bCs/>
          <w:color w:val="auto"/>
          <w:szCs w:val="24"/>
          <w:highlight w:val="none"/>
          <w:lang w:eastAsia="zh-CN"/>
        </w:rPr>
      </w:pPr>
      <w:r>
        <w:rPr>
          <w:rFonts w:hint="eastAsia" w:cs="宋体"/>
          <w:b/>
          <w:bCs/>
          <w:color w:val="auto"/>
          <w:szCs w:val="24"/>
          <w:highlight w:val="none"/>
        </w:rPr>
        <w:t>采 购 人：</w:t>
      </w:r>
      <w:r>
        <w:rPr>
          <w:rFonts w:hint="eastAsia" w:cs="宋体"/>
          <w:b/>
          <w:bCs/>
          <w:color w:val="auto"/>
          <w:szCs w:val="24"/>
          <w:highlight w:val="none"/>
          <w:lang w:eastAsia="zh-CN"/>
        </w:rPr>
        <w:t>彭州市人民医院</w:t>
      </w:r>
    </w:p>
    <w:p>
      <w:pPr>
        <w:tabs>
          <w:tab w:val="left" w:pos="1480"/>
        </w:tabs>
        <w:spacing w:line="360" w:lineRule="auto"/>
        <w:ind w:right="-94" w:rightChars="-39" w:firstLine="480" w:firstLineChars="200"/>
        <w:rPr>
          <w:rFonts w:hint="eastAsia" w:cs="宋体"/>
          <w:b w:val="0"/>
          <w:bCs w:val="0"/>
          <w:color w:val="auto"/>
          <w:szCs w:val="24"/>
          <w:highlight w:val="none"/>
          <w:u w:val="none"/>
          <w:lang w:eastAsia="zh-CN"/>
        </w:rPr>
      </w:pPr>
      <w:r>
        <w:rPr>
          <w:rFonts w:hint="eastAsia" w:cs="宋体"/>
          <w:color w:val="auto"/>
          <w:szCs w:val="24"/>
          <w:highlight w:val="none"/>
          <w:u w:val="none"/>
        </w:rPr>
        <w:t>通讯地址：</w:t>
      </w:r>
      <w:r>
        <w:rPr>
          <w:rFonts w:hint="eastAsia" w:cs="宋体"/>
          <w:b w:val="0"/>
          <w:bCs w:val="0"/>
          <w:color w:val="auto"/>
          <w:szCs w:val="24"/>
          <w:highlight w:val="none"/>
          <w:u w:val="none"/>
          <w:lang w:eastAsia="zh-CN"/>
        </w:rPr>
        <w:t>彭州市致和镇南三环路二段255号</w:t>
      </w:r>
    </w:p>
    <w:p>
      <w:pPr>
        <w:widowControl/>
        <w:spacing w:after="120" w:afterLines="50" w:line="360" w:lineRule="auto"/>
        <w:ind w:right="-94" w:rightChars="-39" w:firstLine="480"/>
        <w:jc w:val="left"/>
        <w:rPr>
          <w:rFonts w:hint="eastAsia" w:eastAsia="宋体" w:cs="宋体"/>
          <w:color w:val="auto"/>
          <w:szCs w:val="24"/>
          <w:highlight w:val="none"/>
          <w:u w:val="none"/>
          <w:lang w:eastAsia="zh-CN"/>
        </w:rPr>
      </w:pPr>
      <w:r>
        <w:rPr>
          <w:rFonts w:hint="eastAsia" w:cs="宋体"/>
          <w:color w:val="auto"/>
          <w:szCs w:val="24"/>
          <w:highlight w:val="none"/>
          <w:u w:val="none"/>
        </w:rPr>
        <w:t>联 系 人：</w:t>
      </w:r>
      <w:r>
        <w:rPr>
          <w:rFonts w:hint="eastAsia" w:cs="宋体"/>
          <w:color w:val="auto"/>
          <w:szCs w:val="24"/>
          <w:highlight w:val="none"/>
          <w:u w:val="none"/>
          <w:lang w:eastAsia="zh-CN"/>
        </w:rPr>
        <w:t>简老师</w:t>
      </w:r>
    </w:p>
    <w:p>
      <w:pPr>
        <w:widowControl/>
        <w:spacing w:after="120" w:afterLines="50" w:line="360" w:lineRule="auto"/>
        <w:ind w:right="-94" w:rightChars="-39" w:firstLine="480"/>
        <w:jc w:val="left"/>
        <w:rPr>
          <w:rFonts w:hint="eastAsia" w:eastAsia="宋体" w:cs="宋体"/>
          <w:b/>
          <w:bCs/>
          <w:color w:val="auto"/>
          <w:szCs w:val="24"/>
          <w:highlight w:val="none"/>
          <w:u w:val="none"/>
          <w:lang w:val="en-US" w:eastAsia="zh-CN"/>
        </w:rPr>
      </w:pPr>
      <w:r>
        <w:rPr>
          <w:rFonts w:hint="eastAsia" w:cs="宋体"/>
          <w:color w:val="auto"/>
          <w:szCs w:val="24"/>
          <w:highlight w:val="none"/>
          <w:u w:val="none"/>
        </w:rPr>
        <w:t>联系电话：028-86239786</w:t>
      </w:r>
    </w:p>
    <w:p>
      <w:pPr>
        <w:spacing w:line="500" w:lineRule="exact"/>
        <w:ind w:left="1203" w:leftChars="200" w:hanging="723" w:hangingChars="30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采购代理机构：四川至善工程项目管理有限公司</w:t>
      </w:r>
    </w:p>
    <w:p>
      <w:pPr>
        <w:spacing w:line="500" w:lineRule="exact"/>
        <w:ind w:left="1200" w:leftChars="200" w:hanging="720" w:hangingChars="300"/>
        <w:rPr>
          <w:rFonts w:hint="eastAsia" w:ascii="宋体" w:hAnsi="宋体" w:eastAsia="宋体" w:cs="宋体"/>
          <w:bCs/>
          <w:color w:val="auto"/>
          <w:szCs w:val="24"/>
          <w:highlight w:val="none"/>
        </w:rPr>
      </w:pPr>
      <w:r>
        <w:rPr>
          <w:rFonts w:hint="eastAsia" w:ascii="宋体" w:hAnsi="宋体" w:eastAsia="宋体" w:cs="宋体"/>
          <w:bCs/>
          <w:color w:val="auto"/>
          <w:szCs w:val="24"/>
          <w:highlight w:val="none"/>
        </w:rPr>
        <w:t>地址：高新西区天目路77号保利新天地12栋2单元821室（第一办公区）</w:t>
      </w:r>
    </w:p>
    <w:p>
      <w:pPr>
        <w:spacing w:line="500" w:lineRule="exact"/>
        <w:ind w:left="1200" w:leftChars="500" w:firstLine="0" w:firstLineChars="0"/>
        <w:rPr>
          <w:rFonts w:hint="eastAsia" w:ascii="宋体" w:hAnsi="宋体" w:eastAsia="宋体" w:cs="宋体"/>
          <w:bCs/>
          <w:color w:val="auto"/>
          <w:szCs w:val="24"/>
          <w:highlight w:val="none"/>
        </w:rPr>
      </w:pPr>
      <w:r>
        <w:rPr>
          <w:rFonts w:hint="eastAsia" w:ascii="宋体" w:hAnsi="宋体" w:eastAsia="宋体" w:cs="宋体"/>
          <w:bCs/>
          <w:color w:val="auto"/>
          <w:szCs w:val="24"/>
          <w:highlight w:val="none"/>
        </w:rPr>
        <w:t>成都市环球中心S2区9层909室（第二办公区）</w:t>
      </w:r>
    </w:p>
    <w:p>
      <w:pPr>
        <w:spacing w:line="500" w:lineRule="exact"/>
        <w:ind w:left="1200" w:leftChars="200" w:hanging="720" w:hangingChars="300"/>
        <w:rPr>
          <w:rFonts w:hint="eastAsia" w:ascii="宋体" w:hAnsi="宋体" w:eastAsia="宋体" w:cs="宋体"/>
          <w:bCs/>
          <w:color w:val="auto"/>
          <w:szCs w:val="24"/>
          <w:highlight w:val="none"/>
        </w:rPr>
      </w:pPr>
      <w:r>
        <w:rPr>
          <w:rFonts w:hint="eastAsia" w:ascii="宋体" w:hAnsi="宋体" w:eastAsia="宋体" w:cs="宋体"/>
          <w:bCs/>
          <w:color w:val="auto"/>
          <w:szCs w:val="24"/>
          <w:highlight w:val="none"/>
        </w:rPr>
        <w:t>邮  编：610000</w:t>
      </w:r>
    </w:p>
    <w:p>
      <w:pPr>
        <w:spacing w:line="500" w:lineRule="exact"/>
        <w:ind w:left="1200" w:leftChars="200" w:hanging="720" w:hangingChars="300"/>
        <w:rPr>
          <w:rFonts w:hint="eastAsia" w:ascii="宋体" w:hAnsi="宋体" w:eastAsia="宋体" w:cs="宋体"/>
          <w:bCs/>
          <w:color w:val="auto"/>
          <w:szCs w:val="24"/>
          <w:highlight w:val="none"/>
          <w:lang w:eastAsia="zh-CN"/>
        </w:rPr>
      </w:pPr>
      <w:r>
        <w:rPr>
          <w:rFonts w:hint="eastAsia" w:ascii="宋体" w:hAnsi="宋体" w:eastAsia="宋体" w:cs="宋体"/>
          <w:bCs/>
          <w:color w:val="auto"/>
          <w:szCs w:val="24"/>
          <w:highlight w:val="none"/>
        </w:rPr>
        <w:t>联系人：</w:t>
      </w:r>
      <w:bookmarkStart w:id="38" w:name="_Toc2263"/>
      <w:bookmarkStart w:id="39" w:name="_Toc11159"/>
      <w:bookmarkStart w:id="40" w:name="_Toc19683"/>
      <w:bookmarkStart w:id="41" w:name="_Toc1206"/>
      <w:bookmarkStart w:id="42" w:name="_Toc12006355"/>
      <w:bookmarkStart w:id="43" w:name="_Toc21665"/>
      <w:bookmarkStart w:id="44" w:name="_Toc21958"/>
      <w:bookmarkStart w:id="45" w:name="_Toc517423467"/>
      <w:bookmarkStart w:id="46" w:name="_Toc21409"/>
      <w:bookmarkStart w:id="47" w:name="_Toc9438760"/>
      <w:bookmarkStart w:id="48" w:name="_Toc12720"/>
      <w:bookmarkStart w:id="49" w:name="_Toc20180"/>
      <w:bookmarkStart w:id="50" w:name="_Toc517422439"/>
      <w:bookmarkStart w:id="51" w:name="_Toc32114"/>
      <w:bookmarkStart w:id="52" w:name="_Toc9895"/>
      <w:bookmarkStart w:id="53" w:name="_Toc6687"/>
      <w:bookmarkStart w:id="54" w:name="_Toc31323"/>
      <w:bookmarkStart w:id="55" w:name="_Toc19401"/>
      <w:bookmarkStart w:id="56" w:name="_Toc501712460"/>
      <w:bookmarkStart w:id="57" w:name="_Toc448558686"/>
      <w:r>
        <w:rPr>
          <w:rFonts w:hint="eastAsia" w:cs="宋体"/>
          <w:bCs/>
          <w:color w:val="auto"/>
          <w:szCs w:val="24"/>
          <w:highlight w:val="none"/>
          <w:lang w:eastAsia="zh-CN"/>
        </w:rPr>
        <w:t>汪老师</w:t>
      </w:r>
    </w:p>
    <w:p>
      <w:pPr>
        <w:spacing w:line="500" w:lineRule="exact"/>
        <w:ind w:left="1200" w:leftChars="200" w:hanging="720" w:hangingChars="300"/>
        <w:rPr>
          <w:rFonts w:hint="eastAsia" w:ascii="宋体" w:hAnsi="宋体" w:eastAsia="宋体" w:cs="宋体"/>
          <w:color w:val="auto"/>
          <w:highlight w:val="none"/>
        </w:rPr>
      </w:pPr>
      <w:r>
        <w:rPr>
          <w:rFonts w:hint="eastAsia" w:ascii="宋体" w:hAnsi="宋体" w:eastAsia="宋体" w:cs="宋体"/>
          <w:b w:val="0"/>
          <w:bCs/>
          <w:color w:val="auto"/>
          <w:szCs w:val="24"/>
          <w:highlight w:val="none"/>
        </w:rPr>
        <w:t>联系电话：</w:t>
      </w:r>
      <w:r>
        <w:rPr>
          <w:rFonts w:hint="eastAsia" w:ascii="宋体" w:hAnsi="宋体" w:eastAsia="宋体" w:cs="宋体"/>
          <w:bCs/>
          <w:color w:val="auto"/>
          <w:szCs w:val="24"/>
          <w:highlight w:val="none"/>
        </w:rPr>
        <w:t>028-6874</w:t>
      </w:r>
      <w:r>
        <w:rPr>
          <w:rFonts w:hint="eastAsia" w:ascii="宋体" w:hAnsi="宋体" w:eastAsia="宋体" w:cs="宋体"/>
          <w:color w:val="auto"/>
          <w:highlight w:val="none"/>
        </w:rPr>
        <w:t>2460</w:t>
      </w:r>
    </w:p>
    <w:p>
      <w:pPr>
        <w:spacing w:line="500" w:lineRule="exact"/>
        <w:ind w:left="1200" w:leftChars="200" w:hanging="720" w:hangingChars="300"/>
        <w:rPr>
          <w:rFonts w:hint="eastAsia" w:ascii="宋体" w:hAnsi="宋体" w:eastAsia="宋体" w:cs="宋体"/>
          <w:b w:val="0"/>
          <w:bCs/>
          <w:color w:val="auto"/>
          <w:szCs w:val="24"/>
          <w:highlight w:val="none"/>
        </w:rPr>
      </w:pP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3"/>
        <w:spacing w:before="0" w:afterLines="50" w:line="360" w:lineRule="auto"/>
        <w:ind w:right="-94" w:rightChars="-39"/>
        <w:rPr>
          <w:rFonts w:hint="eastAsia" w:ascii="宋体" w:hAnsi="宋体" w:eastAsia="宋体" w:cs="宋体"/>
          <w:color w:val="auto"/>
          <w:highlight w:val="none"/>
        </w:rPr>
      </w:pPr>
      <w:r>
        <w:rPr>
          <w:rFonts w:hint="eastAsia" w:ascii="宋体" w:hAnsi="宋体" w:eastAsia="宋体" w:cs="宋体"/>
          <w:color w:val="auto"/>
          <w:highlight w:val="none"/>
        </w:rPr>
        <w:t>第二章  供应商须知</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4"/>
        <w:keepNext w:val="0"/>
        <w:keepLines w:val="0"/>
        <w:spacing w:before="0" w:after="0" w:line="360" w:lineRule="auto"/>
        <w:ind w:right="-94" w:rightChars="-39"/>
        <w:rPr>
          <w:rFonts w:hint="eastAsia" w:ascii="宋体" w:hAnsi="宋体" w:eastAsia="宋体" w:cs="宋体"/>
          <w:color w:val="auto"/>
          <w:highlight w:val="none"/>
        </w:rPr>
      </w:pPr>
      <w:bookmarkStart w:id="58" w:name="_Toc31696"/>
      <w:bookmarkStart w:id="59" w:name="_Toc517422440"/>
      <w:bookmarkStart w:id="60" w:name="_Toc18161"/>
      <w:bookmarkStart w:id="61" w:name="_Toc26084"/>
      <w:bookmarkStart w:id="62" w:name="_Toc26637"/>
      <w:bookmarkStart w:id="63" w:name="_Toc33"/>
      <w:bookmarkStart w:id="64" w:name="_Toc448558687"/>
      <w:bookmarkStart w:id="65" w:name="_Toc5830"/>
      <w:bookmarkStart w:id="66" w:name="_Toc9795"/>
      <w:bookmarkStart w:id="67" w:name="_Toc14075"/>
      <w:bookmarkStart w:id="68" w:name="_Toc517423468"/>
      <w:bookmarkStart w:id="69" w:name="_Toc7919"/>
      <w:bookmarkStart w:id="70" w:name="_Toc28651"/>
      <w:r>
        <w:rPr>
          <w:rFonts w:hint="eastAsia" w:ascii="宋体" w:hAnsi="宋体" w:eastAsia="宋体" w:cs="宋体"/>
          <w:color w:val="auto"/>
          <w:highlight w:val="none"/>
        </w:rPr>
        <w:t>一、须知附表</w:t>
      </w:r>
      <w:bookmarkEnd w:id="58"/>
      <w:bookmarkEnd w:id="59"/>
      <w:bookmarkEnd w:id="60"/>
      <w:bookmarkEnd w:id="61"/>
      <w:bookmarkEnd w:id="62"/>
      <w:bookmarkEnd w:id="63"/>
      <w:bookmarkEnd w:id="64"/>
      <w:bookmarkEnd w:id="65"/>
      <w:bookmarkEnd w:id="66"/>
      <w:bookmarkEnd w:id="67"/>
      <w:bookmarkEnd w:id="68"/>
      <w:bookmarkEnd w:id="69"/>
      <w:bookmarkEnd w:id="70"/>
    </w:p>
    <w:tbl>
      <w:tblPr>
        <w:tblStyle w:val="30"/>
        <w:tblW w:w="101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4"/>
        <w:gridCol w:w="2074"/>
        <w:gridCol w:w="7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624" w:type="dxa"/>
            <w:tcBorders>
              <w:tl2br w:val="nil"/>
              <w:tr2bl w:val="nil"/>
            </w:tcBorders>
            <w:vAlign w:val="center"/>
          </w:tcPr>
          <w:p>
            <w:pPr>
              <w:pStyle w:val="87"/>
              <w:spacing w:line="360" w:lineRule="auto"/>
              <w:ind w:right="-94" w:rightChars="-39"/>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序号</w:t>
            </w:r>
          </w:p>
        </w:tc>
        <w:tc>
          <w:tcPr>
            <w:tcW w:w="2074" w:type="dxa"/>
            <w:tcBorders>
              <w:tl2br w:val="nil"/>
              <w:tr2bl w:val="nil"/>
            </w:tcBorders>
            <w:vAlign w:val="center"/>
          </w:tcPr>
          <w:p>
            <w:pPr>
              <w:pStyle w:val="87"/>
              <w:spacing w:line="360" w:lineRule="auto"/>
              <w:ind w:right="-94" w:rightChars="-39"/>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条款名称</w:t>
            </w:r>
          </w:p>
        </w:tc>
        <w:tc>
          <w:tcPr>
            <w:tcW w:w="7474" w:type="dxa"/>
            <w:tcBorders>
              <w:tl2br w:val="nil"/>
              <w:tr2bl w:val="nil"/>
            </w:tcBorders>
            <w:vAlign w:val="center"/>
          </w:tcPr>
          <w:p>
            <w:pPr>
              <w:pStyle w:val="87"/>
              <w:spacing w:line="360" w:lineRule="auto"/>
              <w:ind w:right="-94" w:rightChars="-39"/>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2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highlight w:val="none"/>
                <w:lang w:val="zh-CN"/>
              </w:rPr>
            </w:pPr>
            <w:r>
              <w:rPr>
                <w:rFonts w:hint="eastAsia" w:ascii="宋体" w:hAnsi="宋体" w:eastAsia="宋体" w:cs="宋体"/>
                <w:color w:val="auto"/>
                <w:kern w:val="2"/>
                <w:highlight w:val="none"/>
              </w:rPr>
              <w:t>1</w:t>
            </w:r>
          </w:p>
        </w:tc>
        <w:tc>
          <w:tcPr>
            <w:tcW w:w="207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确定邀请磋商的供应商数量和方式</w:t>
            </w:r>
          </w:p>
        </w:tc>
        <w:tc>
          <w:tcPr>
            <w:tcW w:w="7474" w:type="dxa"/>
            <w:tcBorders>
              <w:tl2br w:val="nil"/>
              <w:tr2bl w:val="nil"/>
            </w:tcBorders>
            <w:vAlign w:val="center"/>
          </w:tcPr>
          <w:p>
            <w:pPr>
              <w:spacing w:afterLines="50" w:line="360" w:lineRule="auto"/>
              <w:ind w:right="48" w:rightChars="20" w:firstLine="480"/>
              <w:rPr>
                <w:rFonts w:hint="eastAsia" w:ascii="宋体" w:hAnsi="宋体" w:eastAsia="宋体" w:cs="宋体"/>
                <w:color w:val="auto"/>
                <w:szCs w:val="24"/>
                <w:highlight w:val="none"/>
                <w:lang w:val="zh-CN"/>
              </w:rPr>
            </w:pPr>
            <w:r>
              <w:rPr>
                <w:rFonts w:hint="eastAsia" w:ascii="宋体" w:hAnsi="宋体" w:eastAsia="宋体" w:cs="宋体"/>
                <w:color w:val="auto"/>
                <w:szCs w:val="24"/>
                <w:highlight w:val="none"/>
                <w:lang w:val="zh-CN"/>
              </w:rPr>
              <w:t>本次磋商的供应商数量：不少于3家。</w:t>
            </w:r>
          </w:p>
          <w:p>
            <w:pPr>
              <w:spacing w:afterLines="50" w:line="360" w:lineRule="auto"/>
              <w:ind w:right="48" w:rightChars="20" w:firstLine="480"/>
              <w:rPr>
                <w:rFonts w:hint="eastAsia" w:ascii="宋体" w:hAnsi="宋体" w:eastAsia="宋体" w:cs="宋体"/>
                <w:color w:val="auto"/>
                <w:szCs w:val="24"/>
                <w:highlight w:val="none"/>
              </w:rPr>
            </w:pPr>
            <w:r>
              <w:rPr>
                <w:rFonts w:hint="eastAsia" w:ascii="宋体" w:hAnsi="宋体" w:eastAsia="宋体" w:cs="宋体"/>
                <w:color w:val="auto"/>
                <w:sz w:val="24"/>
                <w:szCs w:val="24"/>
                <w:highlight w:val="none"/>
                <w:lang w:val="zh-CN"/>
              </w:rPr>
              <w:t>本次采购采取在《四川政府采购网》（http://www.ccgp-sichuan.gov.cn/）上以公告形式发布的方式邀请参加</w:t>
            </w: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lang w:val="zh-CN"/>
              </w:rPr>
              <w:t>的供应商</w:t>
            </w:r>
            <w:r>
              <w:rPr>
                <w:rFonts w:hint="eastAsia" w:ascii="宋体" w:hAnsi="宋体" w:eastAsia="宋体" w:cs="宋体"/>
                <w:color w:val="auto"/>
                <w:szCs w:val="24"/>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2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2</w:t>
            </w:r>
          </w:p>
        </w:tc>
        <w:tc>
          <w:tcPr>
            <w:tcW w:w="207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采购预算</w:t>
            </w:r>
          </w:p>
          <w:p>
            <w:pPr>
              <w:pStyle w:val="87"/>
              <w:spacing w:beforeLines="50" w:afterLines="50" w:line="360" w:lineRule="auto"/>
              <w:ind w:right="-94" w:rightChars="-39"/>
              <w:jc w:val="center"/>
              <w:rPr>
                <w:rFonts w:hint="eastAsia" w:ascii="宋体" w:hAnsi="宋体" w:eastAsia="宋体" w:cs="宋体"/>
                <w:color w:val="auto"/>
                <w:highlight w:val="none"/>
                <w:lang w:val="zh-CN"/>
              </w:rPr>
            </w:pPr>
            <w:r>
              <w:rPr>
                <w:rFonts w:hint="eastAsia" w:ascii="宋体" w:hAnsi="宋体" w:eastAsia="宋体" w:cs="宋体"/>
                <w:b/>
                <w:bCs/>
                <w:color w:val="auto"/>
                <w:highlight w:val="none"/>
                <w:lang w:val="zh-CN"/>
              </w:rPr>
              <w:t>（实质性要求）</w:t>
            </w:r>
          </w:p>
        </w:tc>
        <w:tc>
          <w:tcPr>
            <w:tcW w:w="7474" w:type="dxa"/>
            <w:tcBorders>
              <w:tl2br w:val="nil"/>
              <w:tr2bl w:val="nil"/>
            </w:tcBorders>
          </w:tcPr>
          <w:p>
            <w:pPr>
              <w:pStyle w:val="87"/>
              <w:ind w:right="48" w:rightChars="20"/>
              <w:jc w:val="both"/>
              <w:rPr>
                <w:rFonts w:hint="eastAsia" w:ascii="宋体" w:hAnsi="宋体" w:eastAsia="宋体" w:cs="宋体"/>
                <w:color w:val="auto"/>
                <w:highlight w:val="none"/>
                <w:lang w:val="zh-CN"/>
              </w:rPr>
            </w:pPr>
            <w:r>
              <w:rPr>
                <w:rFonts w:hint="eastAsia" w:ascii="宋体" w:hAnsi="宋体" w:eastAsia="宋体" w:cs="宋体"/>
                <w:color w:val="auto"/>
                <w:highlight w:val="none"/>
              </w:rPr>
              <w:t xml:space="preserve">    </w:t>
            </w:r>
            <w:r>
              <w:rPr>
                <w:rFonts w:hint="eastAsia" w:ascii="宋体" w:hAnsi="宋体" w:eastAsia="宋体" w:cs="宋体"/>
                <w:color w:val="auto"/>
                <w:highlight w:val="none"/>
                <w:lang w:val="zh-CN"/>
              </w:rPr>
              <w:t>采购预算</w:t>
            </w:r>
            <w:r>
              <w:rPr>
                <w:rFonts w:hint="eastAsia" w:ascii="宋体" w:hAnsi="宋体" w:eastAsia="宋体" w:cs="宋体"/>
                <w:b/>
                <w:color w:val="auto"/>
                <w:szCs w:val="22"/>
                <w:highlight w:val="none"/>
                <w:lang w:val="zh-CN"/>
              </w:rPr>
              <w:t>：</w:t>
            </w:r>
            <w:r>
              <w:rPr>
                <w:rFonts w:hint="eastAsia" w:cs="宋体"/>
                <w:b/>
                <w:color w:val="auto"/>
                <w:szCs w:val="22"/>
                <w:highlight w:val="none"/>
                <w:lang w:val="en-US" w:eastAsia="zh-CN"/>
              </w:rPr>
              <w:t>35.15</w:t>
            </w:r>
            <w:r>
              <w:rPr>
                <w:rFonts w:hint="eastAsia" w:ascii="宋体" w:hAnsi="宋体" w:eastAsia="宋体" w:cs="宋体"/>
                <w:b/>
                <w:color w:val="auto"/>
                <w:szCs w:val="22"/>
                <w:highlight w:val="none"/>
                <w:lang w:val="en-US" w:eastAsia="zh-CN"/>
              </w:rPr>
              <w:t>万</w:t>
            </w:r>
            <w:r>
              <w:rPr>
                <w:rFonts w:hint="eastAsia" w:ascii="宋体" w:hAnsi="宋体" w:eastAsia="宋体" w:cs="宋体"/>
                <w:b/>
                <w:color w:val="auto"/>
                <w:szCs w:val="22"/>
                <w:highlight w:val="none"/>
                <w:lang w:val="zh-CN"/>
              </w:rPr>
              <w:t>元。</w:t>
            </w:r>
          </w:p>
          <w:p>
            <w:pPr>
              <w:pStyle w:val="87"/>
              <w:spacing w:beforeLines="50" w:afterLines="50" w:line="360" w:lineRule="auto"/>
              <w:ind w:right="48" w:rightChars="20" w:firstLine="480" w:firstLineChars="200"/>
              <w:jc w:val="both"/>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超过采购预算的报价无效。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2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3</w:t>
            </w:r>
          </w:p>
        </w:tc>
        <w:tc>
          <w:tcPr>
            <w:tcW w:w="207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最高限价</w:t>
            </w:r>
          </w:p>
          <w:p>
            <w:pPr>
              <w:pStyle w:val="87"/>
              <w:spacing w:beforeLines="50" w:afterLines="50" w:line="360" w:lineRule="auto"/>
              <w:ind w:right="-94" w:rightChars="-39"/>
              <w:jc w:val="center"/>
              <w:rPr>
                <w:rFonts w:hint="eastAsia" w:ascii="宋体" w:hAnsi="宋体" w:eastAsia="宋体" w:cs="宋体"/>
                <w:color w:val="auto"/>
                <w:highlight w:val="none"/>
                <w:lang w:val="zh-CN"/>
              </w:rPr>
            </w:pPr>
            <w:r>
              <w:rPr>
                <w:rFonts w:hint="eastAsia" w:ascii="宋体" w:hAnsi="宋体" w:eastAsia="宋体" w:cs="宋体"/>
                <w:b/>
                <w:bCs/>
                <w:color w:val="auto"/>
                <w:highlight w:val="none"/>
                <w:lang w:val="zh-CN"/>
              </w:rPr>
              <w:t>（实质性要求）</w:t>
            </w:r>
          </w:p>
        </w:tc>
        <w:tc>
          <w:tcPr>
            <w:tcW w:w="7474" w:type="dxa"/>
            <w:tcBorders>
              <w:tl2br w:val="nil"/>
              <w:tr2bl w:val="nil"/>
            </w:tcBorders>
            <w:vAlign w:val="center"/>
          </w:tcPr>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color w:val="auto"/>
                <w:szCs w:val="22"/>
                <w:highlight w:val="none"/>
                <w:lang w:val="zh-CN"/>
              </w:rPr>
            </w:pPr>
            <w:r>
              <w:rPr>
                <w:rFonts w:hint="eastAsia" w:ascii="宋体" w:hAnsi="宋体" w:eastAsia="宋体" w:cs="宋体"/>
                <w:color w:val="auto"/>
                <w:sz w:val="24"/>
                <w:szCs w:val="24"/>
                <w:highlight w:val="none"/>
                <w:lang w:val="zh-CN"/>
              </w:rPr>
              <w:t>最高限价：</w:t>
            </w:r>
            <w:r>
              <w:rPr>
                <w:rFonts w:hint="eastAsia" w:cs="宋体"/>
                <w:b/>
                <w:color w:val="auto"/>
                <w:szCs w:val="22"/>
                <w:highlight w:val="none"/>
                <w:lang w:val="en-US" w:eastAsia="zh-CN"/>
              </w:rPr>
              <w:t>35.15</w:t>
            </w:r>
            <w:r>
              <w:rPr>
                <w:rFonts w:hint="eastAsia" w:ascii="宋体" w:hAnsi="宋体" w:eastAsia="宋体" w:cs="宋体"/>
                <w:b/>
                <w:color w:val="auto"/>
                <w:szCs w:val="22"/>
                <w:highlight w:val="none"/>
                <w:lang w:val="en-US" w:eastAsia="zh-CN"/>
              </w:rPr>
              <w:t>万</w:t>
            </w:r>
            <w:r>
              <w:rPr>
                <w:rFonts w:hint="eastAsia" w:ascii="宋体" w:hAnsi="宋体" w:eastAsia="宋体" w:cs="宋体"/>
                <w:b/>
                <w:color w:val="auto"/>
                <w:szCs w:val="22"/>
                <w:highlight w:val="none"/>
                <w:lang w:val="zh-CN"/>
              </w:rPr>
              <w:t>元。</w:t>
            </w:r>
          </w:p>
          <w:p>
            <w:pPr>
              <w:pStyle w:val="87"/>
              <w:spacing w:beforeLines="50" w:afterLines="50" w:line="360" w:lineRule="auto"/>
              <w:ind w:right="48" w:rightChars="20"/>
              <w:jc w:val="both"/>
              <w:rPr>
                <w:rFonts w:hint="eastAsia" w:ascii="宋体" w:hAnsi="宋体" w:eastAsia="宋体" w:cs="宋体"/>
                <w:color w:val="auto"/>
                <w:highlight w:val="none"/>
                <w:lang w:val="zh-CN"/>
              </w:rPr>
            </w:pPr>
            <w:r>
              <w:rPr>
                <w:rFonts w:hint="eastAsia" w:ascii="宋体" w:hAnsi="宋体" w:eastAsia="宋体" w:cs="宋体"/>
                <w:color w:val="auto"/>
                <w:highlight w:val="none"/>
              </w:rPr>
              <w:t xml:space="preserve">    </w:t>
            </w:r>
            <w:r>
              <w:rPr>
                <w:rFonts w:hint="eastAsia" w:ascii="宋体" w:hAnsi="宋体" w:eastAsia="宋体" w:cs="宋体"/>
                <w:color w:val="auto"/>
                <w:highlight w:val="none"/>
                <w:lang w:val="zh-CN"/>
              </w:rPr>
              <w:t>超过最高限价的报价无效。</w:t>
            </w:r>
          </w:p>
          <w:p>
            <w:pPr>
              <w:pStyle w:val="87"/>
              <w:spacing w:beforeLines="50" w:afterLines="50" w:line="360" w:lineRule="auto"/>
              <w:ind w:right="48" w:rightChars="20" w:firstLine="480" w:firstLineChars="20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采购项目分包采购的，在采购金额未超过采购项目总预算金额的前提下，采购人可以在磋商过程中临时调剂各包采购限价（预算金额不得调整；财政预算明确到各包的不得调整），临时调剂的内容，在评审报告中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2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4</w:t>
            </w:r>
          </w:p>
        </w:tc>
        <w:tc>
          <w:tcPr>
            <w:tcW w:w="207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联合体</w:t>
            </w:r>
            <w:r>
              <w:rPr>
                <w:rFonts w:hint="eastAsia" w:ascii="宋体" w:hAnsi="宋体" w:eastAsia="宋体" w:cs="宋体"/>
                <w:b/>
                <w:bCs/>
                <w:color w:val="auto"/>
                <w:highlight w:val="none"/>
                <w:lang w:val="zh-CN"/>
              </w:rPr>
              <w:t>（实质性要求）</w:t>
            </w:r>
          </w:p>
        </w:tc>
        <w:tc>
          <w:tcPr>
            <w:tcW w:w="7474" w:type="dxa"/>
            <w:tcBorders>
              <w:tl2br w:val="nil"/>
              <w:tr2bl w:val="nil"/>
            </w:tcBorders>
            <w:vAlign w:val="center"/>
          </w:tcPr>
          <w:p>
            <w:pPr>
              <w:pStyle w:val="87"/>
              <w:spacing w:beforeLines="50" w:afterLines="50" w:line="360" w:lineRule="auto"/>
              <w:ind w:right="48" w:rightChars="20" w:firstLine="482" w:firstLineChars="200"/>
              <w:rPr>
                <w:rFonts w:hint="eastAsia" w:ascii="宋体" w:hAnsi="宋体" w:eastAsia="宋体" w:cs="宋体"/>
                <w:b/>
                <w:color w:val="auto"/>
                <w:highlight w:val="none"/>
                <w:lang w:val="zh-CN"/>
              </w:rPr>
            </w:pPr>
            <w:r>
              <w:rPr>
                <w:rFonts w:hint="eastAsia" w:ascii="宋体" w:hAnsi="宋体" w:eastAsia="宋体" w:cs="宋体"/>
                <w:b/>
                <w:color w:val="auto"/>
                <w:highlight w:val="none"/>
                <w:lang w:val="zh-CN"/>
              </w:rPr>
              <w:t>不允许联合体磋商。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2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5</w:t>
            </w:r>
          </w:p>
        </w:tc>
        <w:tc>
          <w:tcPr>
            <w:tcW w:w="207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低于成本价不正当</w:t>
            </w:r>
          </w:p>
          <w:p>
            <w:pPr>
              <w:pStyle w:val="87"/>
              <w:spacing w:beforeLines="50" w:afterLines="50" w:line="360" w:lineRule="auto"/>
              <w:ind w:right="-94" w:rightChars="-39"/>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竞争预防措施</w:t>
            </w:r>
          </w:p>
          <w:p>
            <w:pPr>
              <w:pStyle w:val="87"/>
              <w:spacing w:beforeLines="50" w:afterLines="50" w:line="360" w:lineRule="auto"/>
              <w:ind w:right="-94" w:rightChars="-39"/>
              <w:jc w:val="center"/>
              <w:rPr>
                <w:rFonts w:hint="eastAsia" w:ascii="宋体" w:hAnsi="宋体" w:eastAsia="宋体" w:cs="宋体"/>
                <w:color w:val="auto"/>
                <w:highlight w:val="none"/>
                <w:lang w:val="zh-CN"/>
              </w:rPr>
            </w:pPr>
            <w:r>
              <w:rPr>
                <w:rFonts w:hint="eastAsia" w:ascii="宋体" w:hAnsi="宋体" w:eastAsia="宋体" w:cs="宋体"/>
                <w:b/>
                <w:bCs/>
                <w:color w:val="auto"/>
                <w:highlight w:val="none"/>
                <w:lang w:val="zh-CN"/>
              </w:rPr>
              <w:t>（实质性要求）</w:t>
            </w:r>
          </w:p>
        </w:tc>
        <w:tc>
          <w:tcPr>
            <w:tcW w:w="7474" w:type="dxa"/>
            <w:tcBorders>
              <w:tl2br w:val="nil"/>
              <w:tr2bl w:val="nil"/>
            </w:tcBorders>
            <w:vAlign w:val="center"/>
          </w:tcPr>
          <w:p>
            <w:pPr>
              <w:pStyle w:val="87"/>
              <w:spacing w:beforeLines="50" w:afterLines="50" w:line="360" w:lineRule="auto"/>
              <w:ind w:right="48" w:rightChars="20" w:firstLine="240" w:firstLineChars="100"/>
              <w:rPr>
                <w:rFonts w:hint="eastAsia" w:ascii="宋体" w:hAnsi="宋体" w:eastAsia="宋体" w:cs="宋体"/>
                <w:color w:val="auto"/>
                <w:highlight w:val="none"/>
                <w:lang w:val="zh-CN"/>
              </w:rPr>
            </w:pPr>
            <w:r>
              <w:rPr>
                <w:rFonts w:hint="eastAsia" w:ascii="宋体" w:hAnsi="宋体" w:eastAsia="宋体" w:cs="宋体"/>
                <w:color w:val="auto"/>
                <w:highlight w:val="none"/>
              </w:rPr>
              <w:t>1.</w:t>
            </w:r>
            <w:r>
              <w:rPr>
                <w:rFonts w:hint="eastAsia" w:ascii="宋体" w:hAnsi="宋体" w:eastAsia="宋体" w:cs="宋体"/>
                <w:color w:val="auto"/>
                <w:highlight w:val="none"/>
                <w:lang w:val="zh-CN"/>
              </w:rPr>
              <w:t>在评标过程中，</w:t>
            </w:r>
            <w:r>
              <w:rPr>
                <w:rFonts w:hint="eastAsia" w:ascii="宋体" w:hAnsi="宋体" w:eastAsia="宋体" w:cs="宋体"/>
                <w:color w:val="auto"/>
                <w:highlight w:val="none"/>
              </w:rPr>
              <w:t>磋商</w:t>
            </w:r>
            <w:r>
              <w:rPr>
                <w:rFonts w:hint="eastAsia" w:ascii="宋体" w:hAnsi="宋体" w:eastAsia="宋体" w:cs="宋体"/>
                <w:color w:val="auto"/>
                <w:highlight w:val="none"/>
                <w:lang w:val="zh-CN"/>
              </w:rPr>
              <w:t>小组认为供应商的报价明显低于其他通过符合性审查供应商的报价，有可能影响产品质量或者不能诚信履约的，</w:t>
            </w:r>
            <w:r>
              <w:rPr>
                <w:rFonts w:hint="eastAsia" w:ascii="宋体" w:hAnsi="宋体" w:eastAsia="宋体" w:cs="宋体"/>
                <w:color w:val="auto"/>
                <w:highlight w:val="none"/>
              </w:rPr>
              <w:t>磋商小组</w:t>
            </w:r>
            <w:r>
              <w:rPr>
                <w:rFonts w:hint="eastAsia" w:ascii="宋体" w:hAnsi="宋体" w:eastAsia="宋体" w:cs="宋体"/>
                <w:color w:val="auto"/>
                <w:highlight w:val="none"/>
                <w:lang w:val="zh-CN"/>
              </w:rPr>
              <w:t>会应当要求其在评标现场合理的时间内，提供成本构成书面说明，并提交相关证明材料。</w:t>
            </w:r>
          </w:p>
          <w:p>
            <w:pPr>
              <w:pStyle w:val="87"/>
              <w:spacing w:line="360" w:lineRule="auto"/>
              <w:ind w:right="48" w:rightChars="20" w:firstLine="240" w:firstLineChars="100"/>
              <w:jc w:val="both"/>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供应商的书面说明材料应当按照国家财务会计制度的规定要求，逐项就供应商提供的货物、工程和服务的主营业务成本、税金及附加、销售费用、管理费用、财务费用等成本构成事项详细陈述。</w:t>
            </w:r>
          </w:p>
          <w:p>
            <w:pPr>
              <w:pStyle w:val="87"/>
              <w:spacing w:line="360" w:lineRule="auto"/>
              <w:ind w:right="48" w:rightChars="20" w:firstLine="240" w:firstLineChars="100"/>
              <w:jc w:val="both"/>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2.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87"/>
              <w:spacing w:beforeLines="50" w:afterLines="50" w:line="360" w:lineRule="auto"/>
              <w:ind w:right="48" w:rightChars="20" w:firstLine="240" w:firstLineChars="10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3.供应商提供书面说明后，磋商小组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磋商小组应当将其响应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2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6</w:t>
            </w:r>
          </w:p>
        </w:tc>
        <w:tc>
          <w:tcPr>
            <w:tcW w:w="2074" w:type="dxa"/>
            <w:tcBorders>
              <w:tl2br w:val="nil"/>
              <w:tr2bl w:val="nil"/>
            </w:tcBorders>
            <w:vAlign w:val="center"/>
          </w:tcPr>
          <w:p>
            <w:pPr>
              <w:pStyle w:val="87"/>
              <w:spacing w:beforeLines="50" w:afterLines="50" w:line="360" w:lineRule="auto"/>
              <w:ind w:right="-14" w:rightChars="-6"/>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失信企业报价加成或者扣分</w:t>
            </w:r>
          </w:p>
          <w:p>
            <w:pPr>
              <w:pStyle w:val="87"/>
              <w:spacing w:beforeLines="50" w:afterLines="50" w:line="360" w:lineRule="auto"/>
              <w:ind w:right="-14" w:rightChars="-6"/>
              <w:jc w:val="center"/>
              <w:rPr>
                <w:rFonts w:hint="eastAsia" w:ascii="宋体" w:hAnsi="宋体" w:eastAsia="宋体" w:cs="宋体"/>
                <w:color w:val="auto"/>
                <w:highlight w:val="none"/>
                <w:lang w:val="zh-CN"/>
              </w:rPr>
            </w:pPr>
            <w:r>
              <w:rPr>
                <w:rFonts w:hint="eastAsia" w:ascii="宋体" w:hAnsi="宋体" w:eastAsia="宋体" w:cs="宋体"/>
                <w:b/>
                <w:bCs/>
                <w:color w:val="auto"/>
                <w:highlight w:val="none"/>
                <w:lang w:val="zh-CN"/>
              </w:rPr>
              <w:t>（实质性要求）</w:t>
            </w:r>
          </w:p>
        </w:tc>
        <w:tc>
          <w:tcPr>
            <w:tcW w:w="7474" w:type="dxa"/>
            <w:tcBorders>
              <w:tl2br w:val="nil"/>
              <w:tr2bl w:val="nil"/>
            </w:tcBorders>
          </w:tcPr>
          <w:p>
            <w:pPr>
              <w:pStyle w:val="87"/>
              <w:spacing w:beforeLines="50" w:afterLines="50" w:line="360" w:lineRule="auto"/>
              <w:ind w:right="48" w:rightChars="20" w:firstLine="480" w:firstLineChars="20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一、失信企业报价加成</w:t>
            </w:r>
          </w:p>
          <w:p>
            <w:pPr>
              <w:pStyle w:val="87"/>
              <w:spacing w:beforeLines="50" w:afterLines="50" w:line="360" w:lineRule="auto"/>
              <w:ind w:right="48" w:rightChars="20" w:firstLine="480" w:firstLineChars="20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1.参照《四川省政府采购当事人诚信管理办法》（川财采[2015]33号）</w:t>
            </w:r>
            <w:r>
              <w:rPr>
                <w:rFonts w:hint="eastAsia" w:ascii="宋体" w:hAnsi="宋体" w:eastAsia="宋体" w:cs="宋体"/>
                <w:color w:val="auto"/>
                <w:highlight w:val="none"/>
                <w:lang w:val="zh-CN"/>
              </w:rPr>
              <w:t>记入诚信档案的且在有效期内的失信供应商，在参加采购活动中实行10%/次的报价加成、以加成后报价作为该供应商报价评审，且供应商失信行为惩戒实行无限制累加制，因其失信行为进行报价加成惩戒后报价超过采购预算的，其响应文件按照无效处理。供应商的失信行为受到行政处罚或司法惩处的，不得再对其以价格加成或扣分的方式进行惩戒。</w:t>
            </w:r>
          </w:p>
          <w:p>
            <w:pPr>
              <w:pStyle w:val="87"/>
              <w:spacing w:beforeLines="50" w:afterLines="50" w:line="360" w:lineRule="auto"/>
              <w:ind w:right="48" w:rightChars="20" w:firstLine="480" w:firstLineChars="20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2.供应商参加采购活动时，应当就自己的诚信情况在响应文件中进行承诺。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2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kern w:val="2"/>
                <w:highlight w:val="none"/>
                <w:lang w:val="en-US" w:eastAsia="zh-CN"/>
              </w:rPr>
            </w:pPr>
            <w:r>
              <w:rPr>
                <w:rFonts w:hint="eastAsia" w:cs="宋体"/>
                <w:color w:val="auto"/>
                <w:kern w:val="2"/>
                <w:highlight w:val="none"/>
                <w:lang w:val="en-US" w:eastAsia="zh-CN"/>
              </w:rPr>
              <w:t>7</w:t>
            </w:r>
          </w:p>
        </w:tc>
        <w:tc>
          <w:tcPr>
            <w:tcW w:w="2074" w:type="dxa"/>
            <w:tcBorders>
              <w:tl2br w:val="nil"/>
              <w:tr2bl w:val="nil"/>
            </w:tcBorders>
            <w:vAlign w:val="center"/>
          </w:tcPr>
          <w:p>
            <w:pPr>
              <w:pStyle w:val="87"/>
              <w:snapToGrid w:val="0"/>
              <w:spacing w:before="0" w:beforeAutospacing="0" w:after="0" w:afterAutospacing="0" w:line="360" w:lineRule="auto"/>
              <w:ind w:right="-53" w:rightChars="0"/>
              <w:jc w:val="center"/>
              <w:textAlignment w:val="baseline"/>
              <w:rPr>
                <w:rFonts w:hint="eastAsia" w:ascii="宋体" w:hAnsi="宋体" w:eastAsia="宋体" w:cs="宋体"/>
                <w:b w:val="0"/>
                <w:i w:val="0"/>
                <w:caps w:val="0"/>
                <w:color w:val="auto"/>
                <w:spacing w:val="0"/>
                <w:w w:val="100"/>
                <w:sz w:val="24"/>
                <w:szCs w:val="24"/>
                <w:highlight w:val="none"/>
                <w:lang w:val="zh-CN" w:eastAsia="zh-CN" w:bidi="ar-SA"/>
              </w:rPr>
            </w:pPr>
            <w:r>
              <w:rPr>
                <w:rFonts w:hint="eastAsia" w:ascii="宋体" w:hAnsi="宋体" w:eastAsia="宋体" w:cs="宋体"/>
                <w:b w:val="0"/>
                <w:i w:val="0"/>
                <w:caps w:val="0"/>
                <w:color w:val="auto"/>
                <w:spacing w:val="0"/>
                <w:w w:val="100"/>
                <w:sz w:val="24"/>
                <w:highlight w:val="none"/>
                <w:lang w:val="zh-CN"/>
              </w:rPr>
              <w:t>磋商情况公告</w:t>
            </w:r>
          </w:p>
        </w:tc>
        <w:tc>
          <w:tcPr>
            <w:tcW w:w="7474" w:type="dxa"/>
            <w:tcBorders>
              <w:tl2br w:val="nil"/>
              <w:tr2bl w:val="nil"/>
            </w:tcBorders>
            <w:vAlign w:val="center"/>
          </w:tcPr>
          <w:p>
            <w:pPr>
              <w:tabs>
                <w:tab w:val="left" w:pos="2160"/>
              </w:tabs>
              <w:snapToGrid w:val="0"/>
              <w:spacing w:before="0" w:beforeAutospacing="0" w:after="163" w:afterAutospacing="0" w:line="360" w:lineRule="auto"/>
              <w:ind w:right="-14" w:rightChars="0" w:firstLine="480" w:firstLineChars="200"/>
              <w:jc w:val="both"/>
              <w:textAlignment w:val="baseline"/>
              <w:rPr>
                <w:rFonts w:hint="eastAsia" w:ascii="宋体" w:hAnsi="宋体" w:eastAsia="宋体" w:cs="宋体"/>
                <w:b w:val="0"/>
                <w:i w:val="0"/>
                <w:caps w:val="0"/>
                <w:color w:val="auto"/>
                <w:spacing w:val="0"/>
                <w:w w:val="100"/>
                <w:sz w:val="20"/>
                <w:szCs w:val="24"/>
                <w:highlight w:val="none"/>
                <w:lang w:val="zh-CN" w:eastAsia="zh-CN" w:bidi="ar-SA"/>
              </w:rPr>
            </w:pPr>
            <w:r>
              <w:rPr>
                <w:rFonts w:hint="eastAsia" w:ascii="宋体" w:hAnsi="宋体" w:eastAsia="宋体" w:cs="宋体"/>
                <w:b w:val="0"/>
                <w:i w:val="0"/>
                <w:caps w:val="0"/>
                <w:color w:val="auto"/>
                <w:spacing w:val="0"/>
                <w:w w:val="100"/>
                <w:sz w:val="24"/>
                <w:szCs w:val="24"/>
                <w:highlight w:val="none"/>
                <w:lang w:val="zh-CN"/>
              </w:rPr>
              <w:t>供应商资格审查情况、符合性审查情况、磋商报告等在</w:t>
            </w:r>
            <w:r>
              <w:rPr>
                <w:rFonts w:hint="eastAsia" w:ascii="宋体" w:hAnsi="宋体" w:eastAsia="宋体" w:cs="宋体"/>
                <w:b/>
                <w:bCs/>
                <w:i w:val="0"/>
                <w:caps w:val="0"/>
                <w:color w:val="auto"/>
                <w:spacing w:val="0"/>
                <w:w w:val="100"/>
                <w:sz w:val="24"/>
                <w:szCs w:val="24"/>
                <w:highlight w:val="none"/>
              </w:rPr>
              <w:t>四川政府采购网</w:t>
            </w:r>
            <w:r>
              <w:rPr>
                <w:rFonts w:hint="eastAsia" w:ascii="宋体" w:hAnsi="宋体" w:eastAsia="宋体" w:cs="宋体"/>
                <w:b w:val="0"/>
                <w:i w:val="0"/>
                <w:caps w:val="0"/>
                <w:color w:val="auto"/>
                <w:spacing w:val="0"/>
                <w:w w:val="100"/>
                <w:sz w:val="24"/>
                <w:szCs w:val="24"/>
                <w:highlight w:val="none"/>
              </w:rPr>
              <w:t>（http://www.ccgp-sichuan.gov.cn）</w:t>
            </w:r>
            <w:r>
              <w:rPr>
                <w:rFonts w:hint="eastAsia" w:ascii="宋体" w:hAnsi="宋体" w:eastAsia="宋体" w:cs="宋体"/>
                <w:b w:val="0"/>
                <w:i w:val="0"/>
                <w:caps w:val="0"/>
                <w:color w:val="auto"/>
                <w:spacing w:val="0"/>
                <w:w w:val="100"/>
                <w:sz w:val="24"/>
                <w:szCs w:val="24"/>
                <w:highlight w:val="none"/>
                <w:lang w:val="zh-CN"/>
              </w:rPr>
              <w:t>采购结果公告栏中予以公告。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2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sz w:val="24"/>
                <w:szCs w:val="24"/>
                <w:highlight w:val="none"/>
                <w:lang w:val="zh-CN" w:eastAsia="zh-CN" w:bidi="ar-SA"/>
              </w:rPr>
            </w:pPr>
            <w:r>
              <w:rPr>
                <w:rFonts w:hint="eastAsia" w:ascii="宋体" w:hAnsi="宋体" w:eastAsia="宋体" w:cs="宋体"/>
                <w:color w:val="auto"/>
                <w:kern w:val="2"/>
                <w:highlight w:val="none"/>
              </w:rPr>
              <w:t>8</w:t>
            </w:r>
          </w:p>
        </w:tc>
        <w:tc>
          <w:tcPr>
            <w:tcW w:w="2074" w:type="dxa"/>
            <w:tcBorders>
              <w:tl2br w:val="nil"/>
              <w:tr2bl w:val="nil"/>
            </w:tcBorders>
            <w:vAlign w:val="center"/>
          </w:tcPr>
          <w:p>
            <w:pPr>
              <w:spacing w:afterLines="50" w:line="360" w:lineRule="auto"/>
              <w:ind w:right="48" w:rightChars="20" w:firstLine="0" w:firstLineChars="0"/>
              <w:jc w:val="center"/>
              <w:rPr>
                <w:rFonts w:hint="eastAsia" w:ascii="宋体" w:hAnsi="宋体" w:eastAsia="宋体" w:cs="宋体"/>
                <w:color w:val="auto"/>
                <w:kern w:val="2"/>
                <w:szCs w:val="24"/>
                <w:highlight w:val="none"/>
                <w:lang w:val="zh-CN"/>
              </w:rPr>
            </w:pPr>
            <w:r>
              <w:rPr>
                <w:rFonts w:hint="eastAsia" w:ascii="宋体" w:hAnsi="宋体" w:eastAsia="宋体" w:cs="宋体"/>
                <w:color w:val="auto"/>
                <w:szCs w:val="24"/>
                <w:highlight w:val="none"/>
                <w:lang w:val="zh-CN"/>
              </w:rPr>
              <w:t>国家规定的强制采购范围和有限采购范围（实质性要求）(如涉及)</w:t>
            </w:r>
          </w:p>
        </w:tc>
        <w:tc>
          <w:tcPr>
            <w:tcW w:w="7474" w:type="dxa"/>
            <w:tcBorders>
              <w:tl2br w:val="nil"/>
              <w:tr2bl w:val="nil"/>
            </w:tcBorders>
            <w:vAlign w:val="center"/>
          </w:tcPr>
          <w:p>
            <w:pPr>
              <w:spacing w:afterLines="50" w:line="360" w:lineRule="auto"/>
              <w:ind w:right="48" w:rightChars="20" w:firstLine="480"/>
              <w:rPr>
                <w:rFonts w:hint="eastAsia" w:ascii="宋体" w:hAnsi="宋体" w:eastAsia="宋体" w:cs="宋体"/>
                <w:color w:val="auto"/>
                <w:szCs w:val="24"/>
                <w:highlight w:val="none"/>
                <w:lang w:val="zh-CN"/>
              </w:rPr>
            </w:pPr>
            <w:r>
              <w:rPr>
                <w:rFonts w:hint="eastAsia" w:ascii="宋体" w:hAnsi="宋体" w:eastAsia="宋体" w:cs="宋体"/>
                <w:color w:val="auto"/>
                <w:szCs w:val="24"/>
                <w:highlight w:val="none"/>
              </w:rPr>
              <w:t>1.</w:t>
            </w:r>
            <w:r>
              <w:rPr>
                <w:rFonts w:hint="eastAsia" w:ascii="宋体" w:hAnsi="宋体" w:eastAsia="宋体" w:cs="宋体"/>
                <w:color w:val="auto"/>
                <w:szCs w:val="24"/>
                <w:highlight w:val="none"/>
                <w:lang w:val="zh-CN"/>
              </w:rPr>
              <w:t>拟采购产品若属于强制采购节能产品的，供应商须按财库[2019]9号、财库[2019]19号、财政部2019第16号文规定，提供品目清单、认证证书、认证机构名录复制件盖供应商公章。拟采购产品属于优先采购节能产品或环境标志产品的，供应商按财库[2019]9号、财库[2019]19号、财库[2019]18号、财政部2019第16号文规定，提供品目清单、认证证书、认证机构名录复制件盖供应商公章。</w:t>
            </w:r>
          </w:p>
          <w:p>
            <w:pPr>
              <w:spacing w:afterLines="50" w:line="360" w:lineRule="auto"/>
              <w:ind w:right="48" w:rightChars="20" w:firstLine="480"/>
              <w:rPr>
                <w:rFonts w:hint="eastAsia" w:ascii="宋体" w:hAnsi="宋体" w:eastAsia="宋体" w:cs="宋体"/>
                <w:color w:val="auto"/>
                <w:szCs w:val="24"/>
                <w:highlight w:val="none"/>
                <w:lang w:val="zh-CN"/>
              </w:rPr>
            </w:pPr>
            <w:r>
              <w:rPr>
                <w:rFonts w:hint="eastAsia" w:ascii="宋体" w:hAnsi="宋体" w:eastAsia="宋体" w:cs="宋体"/>
                <w:color w:val="auto"/>
                <w:szCs w:val="24"/>
                <w:highlight w:val="none"/>
                <w:lang w:val="zh-CN"/>
              </w:rPr>
              <w:t>2.如涉及CCC认证产品的CCC认证证书在响应文件中可以不提供，供应商应承诺在成交通知书发出之日起30日内提供至采购人查验，未提供或不能提供的视为放弃成交。采购人将另行确定成交人或重新组织招标。</w:t>
            </w:r>
          </w:p>
          <w:p>
            <w:pPr>
              <w:spacing w:afterLines="50" w:line="360" w:lineRule="auto"/>
              <w:ind w:right="48" w:rightChars="20"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3.无线局域网产品政府采购政策：本项目不适用。</w:t>
            </w:r>
          </w:p>
          <w:p>
            <w:pPr>
              <w:spacing w:afterLines="50" w:line="360" w:lineRule="auto"/>
              <w:ind w:right="48" w:rightChars="20" w:firstLine="480"/>
              <w:rPr>
                <w:rFonts w:hint="eastAsia" w:ascii="宋体" w:hAnsi="宋体" w:eastAsia="宋体" w:cs="宋体"/>
                <w:color w:val="auto"/>
                <w:szCs w:val="24"/>
                <w:highlight w:val="none"/>
                <w:lang w:val="zh-CN"/>
              </w:rPr>
            </w:pPr>
            <w:r>
              <w:rPr>
                <w:rFonts w:hint="eastAsia" w:ascii="宋体" w:hAnsi="宋体" w:eastAsia="宋体" w:cs="宋体"/>
                <w:color w:val="auto"/>
                <w:szCs w:val="24"/>
                <w:highlight w:val="none"/>
              </w:rPr>
              <w:t>4</w:t>
            </w:r>
            <w:r>
              <w:rPr>
                <w:rFonts w:hint="eastAsia" w:ascii="宋体" w:hAnsi="宋体" w:eastAsia="宋体" w:cs="宋体"/>
                <w:color w:val="auto"/>
                <w:szCs w:val="24"/>
                <w:highlight w:val="none"/>
                <w:lang w:val="zh-CN"/>
              </w:rPr>
              <w:t>.</w:t>
            </w:r>
            <w:r>
              <w:rPr>
                <w:rFonts w:hint="eastAsia" w:cs="宋体"/>
                <w:color w:val="auto"/>
                <w:szCs w:val="24"/>
                <w:highlight w:val="none"/>
                <w:lang w:val="zh-CN"/>
              </w:rPr>
              <w:t>落实</w:t>
            </w:r>
            <w:r>
              <w:rPr>
                <w:rFonts w:hint="eastAsia" w:ascii="宋体" w:hAnsi="宋体" w:eastAsia="宋体" w:cs="宋体"/>
                <w:color w:val="auto"/>
                <w:szCs w:val="24"/>
                <w:highlight w:val="none"/>
                <w:lang w:val="zh-CN"/>
              </w:rPr>
              <w:t>小微企业（监狱企业、残疾人福利性单位）</w:t>
            </w:r>
            <w:r>
              <w:rPr>
                <w:rFonts w:hint="eastAsia" w:cs="宋体"/>
                <w:color w:val="auto"/>
                <w:szCs w:val="24"/>
                <w:highlight w:val="none"/>
                <w:lang w:val="zh-CN"/>
              </w:rPr>
              <w:t>政策</w:t>
            </w:r>
            <w:r>
              <w:rPr>
                <w:rFonts w:hint="eastAsia" w:ascii="宋体" w:hAnsi="宋体" w:eastAsia="宋体" w:cs="宋体"/>
                <w:color w:val="auto"/>
                <w:szCs w:val="24"/>
                <w:highlight w:val="none"/>
                <w:lang w:val="zh-CN"/>
              </w:rPr>
              <w:t>。</w:t>
            </w:r>
          </w:p>
          <w:p>
            <w:pPr>
              <w:spacing w:afterLines="50" w:line="360" w:lineRule="auto"/>
              <w:ind w:right="48" w:rightChars="20" w:firstLine="480"/>
              <w:rPr>
                <w:rFonts w:hint="eastAsia" w:ascii="宋体" w:hAnsi="宋体" w:eastAsia="宋体" w:cs="宋体"/>
                <w:color w:val="auto"/>
                <w:szCs w:val="24"/>
                <w:highlight w:val="none"/>
                <w:lang w:val="zh-CN"/>
              </w:rPr>
            </w:pPr>
            <w:r>
              <w:rPr>
                <w:rFonts w:hint="eastAsia" w:ascii="宋体" w:hAnsi="宋体" w:eastAsia="宋体" w:cs="宋体"/>
                <w:color w:val="auto"/>
                <w:szCs w:val="24"/>
                <w:highlight w:val="none"/>
              </w:rPr>
              <w:t>5</w:t>
            </w:r>
            <w:r>
              <w:rPr>
                <w:rFonts w:hint="eastAsia" w:ascii="宋体" w:hAnsi="宋体" w:eastAsia="宋体" w:cs="宋体"/>
                <w:color w:val="auto"/>
                <w:szCs w:val="24"/>
                <w:highlight w:val="none"/>
                <w:lang w:val="zh-CN"/>
              </w:rPr>
              <w:t>.失信企业报价加成或者扣分。</w:t>
            </w:r>
          </w:p>
          <w:p>
            <w:pPr>
              <w:spacing w:afterLines="50" w:line="360" w:lineRule="auto"/>
              <w:ind w:right="48" w:rightChars="20" w:firstLine="480"/>
              <w:rPr>
                <w:rFonts w:hint="eastAsia" w:ascii="宋体" w:hAnsi="宋体" w:eastAsia="宋体" w:cs="宋体"/>
                <w:color w:val="auto"/>
                <w:szCs w:val="24"/>
                <w:highlight w:val="none"/>
                <w:lang w:val="zh-CN"/>
              </w:rPr>
            </w:pPr>
            <w:r>
              <w:rPr>
                <w:rFonts w:hint="eastAsia" w:ascii="宋体" w:hAnsi="宋体" w:eastAsia="宋体" w:cs="宋体"/>
                <w:color w:val="auto"/>
                <w:szCs w:val="24"/>
                <w:highlight w:val="none"/>
              </w:rPr>
              <w:t>6.</w:t>
            </w:r>
            <w:r>
              <w:rPr>
                <w:rFonts w:hint="eastAsia" w:ascii="宋体" w:hAnsi="宋体" w:eastAsia="宋体" w:cs="宋体"/>
                <w:color w:val="auto"/>
                <w:szCs w:val="24"/>
                <w:highlight w:val="none"/>
                <w:lang w:val="zh-CN"/>
              </w:rPr>
              <w:t>扶持少数民族或不发达地区。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4" w:hRule="atLeast"/>
          <w:jc w:val="center"/>
        </w:trPr>
        <w:tc>
          <w:tcPr>
            <w:tcW w:w="62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highlight w:val="none"/>
              </w:rPr>
              <w:t>9</w:t>
            </w:r>
          </w:p>
        </w:tc>
        <w:tc>
          <w:tcPr>
            <w:tcW w:w="2074" w:type="dxa"/>
            <w:tcBorders>
              <w:tl2br w:val="nil"/>
              <w:tr2bl w:val="nil"/>
            </w:tcBorders>
            <w:vAlign w:val="center"/>
          </w:tcPr>
          <w:p>
            <w:pPr>
              <w:spacing w:beforeLines="50" w:afterLines="50" w:line="360" w:lineRule="auto"/>
              <w:ind w:right="-94" w:rightChars="-39" w:firstLine="480"/>
              <w:jc w:val="left"/>
              <w:rPr>
                <w:rFonts w:hint="eastAsia" w:ascii="宋体" w:hAnsi="宋体" w:eastAsia="宋体" w:cs="宋体"/>
                <w:color w:val="auto"/>
                <w:szCs w:val="24"/>
                <w:highlight w:val="none"/>
                <w:lang w:val="zh-CN"/>
              </w:rPr>
            </w:pPr>
            <w:r>
              <w:rPr>
                <w:rFonts w:hint="eastAsia" w:ascii="宋体" w:hAnsi="宋体" w:eastAsia="宋体" w:cs="宋体"/>
                <w:color w:val="auto"/>
                <w:szCs w:val="24"/>
                <w:highlight w:val="none"/>
                <w:lang w:val="zh-CN"/>
              </w:rPr>
              <w:t>磋商保证金</w:t>
            </w:r>
          </w:p>
        </w:tc>
        <w:tc>
          <w:tcPr>
            <w:tcW w:w="7474" w:type="dxa"/>
            <w:tcBorders>
              <w:tl2br w:val="nil"/>
              <w:tr2bl w:val="nil"/>
            </w:tcBorders>
            <w:vAlign w:val="center"/>
          </w:tcPr>
          <w:p>
            <w:pPr>
              <w:spacing w:beforeLines="50" w:afterLines="50" w:line="360" w:lineRule="auto"/>
              <w:ind w:right="48" w:rightChars="20" w:firstLine="480"/>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zh-CN"/>
              </w:rPr>
              <w:t>本项目不缴纳磋商保证金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2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highlight w:val="none"/>
              </w:rPr>
              <w:t>10</w:t>
            </w:r>
          </w:p>
        </w:tc>
        <w:tc>
          <w:tcPr>
            <w:tcW w:w="2074" w:type="dxa"/>
            <w:tcBorders>
              <w:tl2br w:val="nil"/>
              <w:tr2bl w:val="nil"/>
            </w:tcBorders>
            <w:vAlign w:val="center"/>
          </w:tcPr>
          <w:p>
            <w:pPr>
              <w:pStyle w:val="87"/>
              <w:spacing w:beforeLines="50" w:afterLines="50" w:line="360" w:lineRule="auto"/>
              <w:ind w:right="-94" w:rightChars="-39" w:firstLine="480" w:firstLineChars="20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履约保证金</w:t>
            </w:r>
          </w:p>
        </w:tc>
        <w:tc>
          <w:tcPr>
            <w:tcW w:w="7474" w:type="dxa"/>
            <w:tcBorders>
              <w:tl2br w:val="nil"/>
              <w:tr2bl w:val="nil"/>
            </w:tcBorders>
            <w:vAlign w:val="center"/>
          </w:tcPr>
          <w:p>
            <w:pPr>
              <w:pStyle w:val="87"/>
              <w:spacing w:beforeLines="50" w:afterLines="50" w:line="360" w:lineRule="auto"/>
              <w:ind w:right="48" w:rightChars="20" w:firstLine="480" w:firstLineChars="20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本项目不缴纳履约保证金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62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highlight w:val="none"/>
              </w:rPr>
              <w:t>11</w:t>
            </w:r>
          </w:p>
        </w:tc>
        <w:tc>
          <w:tcPr>
            <w:tcW w:w="207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磋商文件咨询</w:t>
            </w:r>
          </w:p>
        </w:tc>
        <w:tc>
          <w:tcPr>
            <w:tcW w:w="7474" w:type="dxa"/>
            <w:tcBorders>
              <w:tl2br w:val="nil"/>
              <w:tr2bl w:val="nil"/>
            </w:tcBorders>
            <w:vAlign w:val="center"/>
          </w:tcPr>
          <w:p>
            <w:pPr>
              <w:pStyle w:val="87"/>
              <w:spacing w:beforeLines="50" w:afterLines="50" w:line="360" w:lineRule="auto"/>
              <w:ind w:right="48" w:rightChars="20" w:firstLine="480" w:firstLineChars="20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联系人：</w:t>
            </w:r>
            <w:r>
              <w:rPr>
                <w:rFonts w:hint="eastAsia" w:cs="宋体"/>
                <w:color w:val="auto"/>
                <w:highlight w:val="none"/>
                <w:lang w:val="zh-CN"/>
              </w:rPr>
              <w:t>汪老师</w:t>
            </w:r>
            <w:r>
              <w:rPr>
                <w:rFonts w:hint="eastAsia" w:ascii="宋体" w:hAnsi="宋体" w:eastAsia="宋体" w:cs="宋体"/>
                <w:color w:val="auto"/>
                <w:highlight w:val="none"/>
                <w:lang w:val="zh-CN"/>
              </w:rPr>
              <w:t xml:space="preserve">        联系电话：028-68742460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9" w:hRule="atLeast"/>
          <w:jc w:val="center"/>
        </w:trPr>
        <w:tc>
          <w:tcPr>
            <w:tcW w:w="62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highlight w:val="none"/>
              </w:rPr>
              <w:t>12</w:t>
            </w:r>
          </w:p>
        </w:tc>
        <w:tc>
          <w:tcPr>
            <w:tcW w:w="207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磋商过程、结果</w:t>
            </w:r>
          </w:p>
          <w:p>
            <w:pPr>
              <w:pStyle w:val="87"/>
              <w:spacing w:beforeLines="50" w:afterLines="50" w:line="360" w:lineRule="auto"/>
              <w:ind w:right="-94" w:rightChars="-39"/>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工作咨询</w:t>
            </w:r>
          </w:p>
        </w:tc>
        <w:tc>
          <w:tcPr>
            <w:tcW w:w="7474" w:type="dxa"/>
            <w:tcBorders>
              <w:tl2br w:val="nil"/>
              <w:tr2bl w:val="nil"/>
            </w:tcBorders>
            <w:vAlign w:val="center"/>
          </w:tcPr>
          <w:p>
            <w:pPr>
              <w:pStyle w:val="87"/>
              <w:spacing w:beforeLines="50" w:afterLines="50" w:line="360" w:lineRule="auto"/>
              <w:ind w:right="48" w:rightChars="20" w:firstLine="480" w:firstLineChars="20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联系人：</w:t>
            </w:r>
            <w:r>
              <w:rPr>
                <w:rFonts w:hint="eastAsia" w:cs="宋体"/>
                <w:color w:val="auto"/>
                <w:highlight w:val="none"/>
                <w:lang w:val="zh-CN"/>
              </w:rPr>
              <w:t>汪老师</w:t>
            </w:r>
            <w:r>
              <w:rPr>
                <w:rFonts w:hint="eastAsia" w:ascii="宋体" w:hAnsi="宋体" w:eastAsia="宋体" w:cs="宋体"/>
                <w:color w:val="auto"/>
                <w:highlight w:val="none"/>
                <w:lang w:val="zh-CN"/>
              </w:rPr>
              <w:t xml:space="preserve">        联系电话：028-68742460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24" w:type="dxa"/>
            <w:tcBorders>
              <w:tl2br w:val="nil"/>
              <w:tr2bl w:val="nil"/>
            </w:tcBorders>
            <w:vAlign w:val="center"/>
          </w:tcPr>
          <w:p>
            <w:pPr>
              <w:spacing w:beforeLines="50" w:afterLines="50" w:line="360" w:lineRule="auto"/>
              <w:ind w:right="-94" w:rightChars="-39"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Cs w:val="24"/>
                <w:highlight w:val="none"/>
              </w:rPr>
              <w:t>13</w:t>
            </w:r>
          </w:p>
        </w:tc>
        <w:tc>
          <w:tcPr>
            <w:tcW w:w="207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成交通知书领取</w:t>
            </w:r>
          </w:p>
        </w:tc>
        <w:tc>
          <w:tcPr>
            <w:tcW w:w="7474" w:type="dxa"/>
            <w:tcBorders>
              <w:tl2br w:val="nil"/>
              <w:tr2bl w:val="nil"/>
            </w:tcBorders>
            <w:vAlign w:val="center"/>
          </w:tcPr>
          <w:p>
            <w:pPr>
              <w:spacing w:afterLines="50" w:line="360" w:lineRule="auto"/>
              <w:ind w:right="48" w:rightChars="20" w:firstLine="480"/>
              <w:rPr>
                <w:rFonts w:hint="eastAsia" w:ascii="宋体" w:hAnsi="宋体" w:eastAsia="宋体" w:cs="宋体"/>
                <w:color w:val="auto"/>
                <w:szCs w:val="24"/>
                <w:highlight w:val="none"/>
                <w:lang w:val="zh-CN"/>
              </w:rPr>
            </w:pPr>
            <w:r>
              <w:rPr>
                <w:rFonts w:hint="eastAsia" w:ascii="宋体" w:hAnsi="宋体" w:eastAsia="宋体" w:cs="宋体"/>
                <w:color w:val="auto"/>
                <w:szCs w:val="24"/>
                <w:highlight w:val="none"/>
                <w:lang w:val="zh-CN"/>
              </w:rPr>
              <w:t>成交公告在</w:t>
            </w:r>
            <w:r>
              <w:rPr>
                <w:rFonts w:hint="eastAsia" w:ascii="宋体" w:hAnsi="宋体" w:eastAsia="宋体" w:cs="宋体"/>
                <w:bCs/>
                <w:color w:val="auto"/>
                <w:szCs w:val="22"/>
                <w:highlight w:val="none"/>
                <w:lang w:eastAsia="zh-CN"/>
              </w:rPr>
              <w:t>四川政府采购网</w:t>
            </w:r>
            <w:r>
              <w:rPr>
                <w:rFonts w:hint="eastAsia" w:ascii="宋体" w:hAnsi="宋体" w:eastAsia="宋体" w:cs="宋体"/>
                <w:color w:val="auto"/>
                <w:szCs w:val="24"/>
                <w:highlight w:val="none"/>
                <w:lang w:val="zh-CN"/>
              </w:rPr>
              <w:t>公告后，请成交供应商持介绍信（或授权委托书）、身份证原件及其复印件（加盖公章）到四川至善工程项目管理有限公司（</w:t>
            </w:r>
            <w:r>
              <w:rPr>
                <w:rFonts w:hint="eastAsia" w:ascii="宋体" w:hAnsi="宋体" w:eastAsia="宋体" w:cs="宋体"/>
                <w:color w:val="auto"/>
                <w:szCs w:val="24"/>
                <w:highlight w:val="none"/>
              </w:rPr>
              <w:t>成都市环球中心S2区9层909室</w:t>
            </w:r>
            <w:r>
              <w:rPr>
                <w:rFonts w:hint="eastAsia" w:ascii="宋体" w:hAnsi="宋体" w:eastAsia="宋体" w:cs="宋体"/>
                <w:color w:val="auto"/>
                <w:szCs w:val="24"/>
                <w:highlight w:val="none"/>
                <w:lang w:val="zh-CN"/>
              </w:rPr>
              <w:t>）领取成交通知书。</w:t>
            </w:r>
          </w:p>
          <w:p>
            <w:pPr>
              <w:pStyle w:val="87"/>
              <w:spacing w:beforeLines="50" w:afterLines="50" w:line="360" w:lineRule="auto"/>
              <w:ind w:right="48" w:rightChars="20" w:firstLine="480" w:firstLineChars="20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联系人：</w:t>
            </w:r>
            <w:r>
              <w:rPr>
                <w:rFonts w:hint="eastAsia" w:cs="宋体"/>
                <w:color w:val="auto"/>
                <w:highlight w:val="none"/>
                <w:lang w:val="zh-CN"/>
              </w:rPr>
              <w:t>汪老师</w:t>
            </w:r>
            <w:r>
              <w:rPr>
                <w:rFonts w:hint="eastAsia" w:ascii="宋体" w:hAnsi="宋体" w:eastAsia="宋体" w:cs="宋体"/>
                <w:color w:val="auto"/>
                <w:highlight w:val="none"/>
                <w:lang w:val="zh-CN"/>
              </w:rPr>
              <w:t>。</w:t>
            </w:r>
          </w:p>
          <w:p>
            <w:pPr>
              <w:pStyle w:val="87"/>
              <w:spacing w:beforeLines="50" w:afterLines="50" w:line="360" w:lineRule="auto"/>
              <w:ind w:right="48" w:rightChars="20" w:firstLine="480" w:firstLineChars="20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联系电话：028-68742460。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2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4</w:t>
            </w:r>
          </w:p>
        </w:tc>
        <w:tc>
          <w:tcPr>
            <w:tcW w:w="207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供应商询问</w:t>
            </w:r>
          </w:p>
        </w:tc>
        <w:tc>
          <w:tcPr>
            <w:tcW w:w="7474" w:type="dxa"/>
            <w:tcBorders>
              <w:tl2br w:val="nil"/>
              <w:tr2bl w:val="nil"/>
            </w:tcBorders>
          </w:tcPr>
          <w:p>
            <w:pPr>
              <w:pStyle w:val="87"/>
              <w:spacing w:beforeLines="50" w:afterLines="50" w:line="360" w:lineRule="auto"/>
              <w:ind w:right="48" w:rightChars="20" w:firstLine="480" w:firstLineChars="20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根据委托代理协议约定，关于采购需求方面的询问由采购人负责答复，其他方面的询问由四川至善工程项目管理有限公司负责接收和处理。</w:t>
            </w:r>
          </w:p>
          <w:p>
            <w:pPr>
              <w:pStyle w:val="87"/>
              <w:spacing w:beforeLines="50" w:afterLines="50" w:line="360" w:lineRule="auto"/>
              <w:ind w:right="48" w:rightChars="20" w:firstLine="480" w:firstLineChars="20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联系人：</w:t>
            </w:r>
            <w:r>
              <w:rPr>
                <w:rFonts w:hint="eastAsia" w:cs="宋体"/>
                <w:color w:val="auto"/>
                <w:highlight w:val="none"/>
                <w:lang w:val="zh-CN"/>
              </w:rPr>
              <w:t>汪老师</w:t>
            </w:r>
            <w:r>
              <w:rPr>
                <w:rFonts w:hint="eastAsia" w:ascii="宋体" w:hAnsi="宋体" w:eastAsia="宋体" w:cs="宋体"/>
                <w:color w:val="auto"/>
                <w:highlight w:val="none"/>
                <w:lang w:val="zh-CN"/>
              </w:rPr>
              <w:t>。</w:t>
            </w:r>
          </w:p>
          <w:p>
            <w:pPr>
              <w:pStyle w:val="87"/>
              <w:spacing w:beforeLines="50" w:afterLines="50" w:line="360" w:lineRule="auto"/>
              <w:ind w:right="48" w:rightChars="20" w:firstLine="480" w:firstLineChars="20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联系电话：028-68742460。</w:t>
            </w:r>
          </w:p>
          <w:p>
            <w:pPr>
              <w:pStyle w:val="87"/>
              <w:spacing w:beforeLines="50" w:afterLines="50" w:line="360" w:lineRule="auto"/>
              <w:ind w:right="48" w:rightChars="20" w:firstLine="480" w:firstLineChars="20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地址：</w:t>
            </w:r>
            <w:r>
              <w:rPr>
                <w:rFonts w:hint="eastAsia" w:ascii="宋体" w:hAnsi="宋体" w:eastAsia="宋体" w:cs="宋体"/>
                <w:color w:val="auto"/>
                <w:highlight w:val="none"/>
              </w:rPr>
              <w:t>成都市环球中心S2区9层909室</w:t>
            </w:r>
            <w:r>
              <w:rPr>
                <w:rFonts w:hint="eastAsia" w:ascii="宋体" w:hAnsi="宋体" w:eastAsia="宋体" w:cs="宋体"/>
                <w:color w:val="auto"/>
                <w:highlight w:val="none"/>
                <w:lang w:val="zh-CN"/>
              </w:rPr>
              <w:t>。</w:t>
            </w:r>
          </w:p>
          <w:p>
            <w:pPr>
              <w:pStyle w:val="87"/>
              <w:spacing w:beforeLines="50" w:afterLines="50" w:line="360" w:lineRule="auto"/>
              <w:ind w:right="48" w:rightChars="20" w:firstLine="480" w:firstLineChars="20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邮编：610000。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2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highlight w:val="none"/>
                <w:lang w:val="en-US" w:eastAsia="zh-CN"/>
              </w:rPr>
              <w:t>15</w:t>
            </w:r>
          </w:p>
        </w:tc>
        <w:tc>
          <w:tcPr>
            <w:tcW w:w="2074" w:type="dxa"/>
            <w:tcBorders>
              <w:tl2br w:val="nil"/>
              <w:tr2bl w:val="nil"/>
            </w:tcBorders>
            <w:vAlign w:val="center"/>
          </w:tcPr>
          <w:p>
            <w:pPr>
              <w:pStyle w:val="87"/>
              <w:snapToGrid w:val="0"/>
              <w:spacing w:before="0" w:beforeAutospacing="0" w:after="0" w:afterAutospacing="0" w:line="360" w:lineRule="auto"/>
              <w:ind w:right="-53" w:rightChars="0"/>
              <w:jc w:val="center"/>
              <w:textAlignment w:val="baseline"/>
              <w:rPr>
                <w:rFonts w:hint="eastAsia" w:ascii="宋体" w:hAnsi="宋体" w:eastAsia="宋体" w:cs="宋体"/>
                <w:b w:val="0"/>
                <w:i w:val="0"/>
                <w:caps w:val="0"/>
                <w:color w:val="auto"/>
                <w:spacing w:val="0"/>
                <w:w w:val="100"/>
                <w:sz w:val="24"/>
                <w:szCs w:val="24"/>
                <w:highlight w:val="none"/>
                <w:lang w:val="zh-CN" w:eastAsia="zh-CN" w:bidi="ar-SA"/>
              </w:rPr>
            </w:pPr>
            <w:r>
              <w:rPr>
                <w:rFonts w:hint="eastAsia" w:ascii="宋体" w:hAnsi="宋体" w:eastAsia="宋体" w:cs="宋体"/>
                <w:b w:val="0"/>
                <w:i w:val="0"/>
                <w:caps w:val="0"/>
                <w:color w:val="auto"/>
                <w:spacing w:val="0"/>
                <w:w w:val="100"/>
                <w:sz w:val="24"/>
                <w:highlight w:val="none"/>
                <w:lang w:val="zh-CN"/>
              </w:rPr>
              <w:t>供应商质疑</w:t>
            </w:r>
          </w:p>
        </w:tc>
        <w:tc>
          <w:tcPr>
            <w:tcW w:w="7474" w:type="dxa"/>
            <w:tcBorders>
              <w:tl2br w:val="nil"/>
              <w:tr2bl w:val="nil"/>
            </w:tcBorders>
            <w:vAlign w:val="center"/>
          </w:tcPr>
          <w:p>
            <w:pPr>
              <w:pStyle w:val="87"/>
              <w:tabs>
                <w:tab w:val="left" w:pos="2160"/>
              </w:tabs>
              <w:snapToGrid w:val="0"/>
              <w:spacing w:before="163" w:beforeAutospacing="0" w:after="163" w:afterAutospacing="0" w:line="360" w:lineRule="auto"/>
              <w:ind w:right="-14" w:firstLine="480" w:firstLineChars="200"/>
              <w:jc w:val="both"/>
              <w:textAlignment w:val="baseline"/>
              <w:rPr>
                <w:rFonts w:hint="eastAsia" w:ascii="宋体" w:hAnsi="宋体" w:eastAsia="宋体" w:cs="宋体"/>
                <w:b w:val="0"/>
                <w:i w:val="0"/>
                <w:caps w:val="0"/>
                <w:color w:val="auto"/>
                <w:spacing w:val="0"/>
                <w:w w:val="100"/>
                <w:sz w:val="24"/>
                <w:highlight w:val="none"/>
                <w:lang w:val="zh-CN"/>
              </w:rPr>
            </w:pPr>
            <w:r>
              <w:rPr>
                <w:rFonts w:hint="eastAsia" w:ascii="宋体" w:hAnsi="宋体" w:eastAsia="宋体" w:cs="宋体"/>
                <w:b w:val="0"/>
                <w:i w:val="0"/>
                <w:caps w:val="0"/>
                <w:color w:val="auto"/>
                <w:spacing w:val="0"/>
                <w:w w:val="100"/>
                <w:sz w:val="24"/>
                <w:highlight w:val="none"/>
                <w:lang w:val="zh-CN"/>
              </w:rPr>
              <w:t>1.对采购文件技术指标、参数、资质要求、评分办法的质疑由采购人负责答复或采购代理机构代为答复，对采购过程和采购结果的质疑由采购代理机构负责答复。</w:t>
            </w:r>
          </w:p>
          <w:p>
            <w:pPr>
              <w:pStyle w:val="87"/>
              <w:tabs>
                <w:tab w:val="left" w:pos="2160"/>
              </w:tabs>
              <w:snapToGrid w:val="0"/>
              <w:spacing w:before="163" w:beforeAutospacing="0" w:after="163" w:afterAutospacing="0" w:line="360" w:lineRule="auto"/>
              <w:ind w:right="-14" w:firstLine="480" w:firstLineChars="200"/>
              <w:jc w:val="both"/>
              <w:textAlignment w:val="baseline"/>
              <w:rPr>
                <w:rFonts w:hint="eastAsia" w:ascii="宋体" w:hAnsi="宋体" w:eastAsia="宋体" w:cs="宋体"/>
                <w:b w:val="0"/>
                <w:i w:val="0"/>
                <w:caps w:val="0"/>
                <w:color w:val="auto"/>
                <w:spacing w:val="0"/>
                <w:w w:val="100"/>
                <w:sz w:val="24"/>
                <w:highlight w:val="none"/>
                <w:lang w:val="zh-CN"/>
              </w:rPr>
            </w:pPr>
            <w:r>
              <w:rPr>
                <w:rFonts w:hint="eastAsia" w:ascii="宋体" w:hAnsi="宋体" w:eastAsia="宋体" w:cs="宋体"/>
                <w:b w:val="0"/>
                <w:i w:val="0"/>
                <w:caps w:val="0"/>
                <w:color w:val="auto"/>
                <w:spacing w:val="0"/>
                <w:w w:val="100"/>
                <w:sz w:val="24"/>
                <w:highlight w:val="none"/>
                <w:lang w:val="zh-CN"/>
              </w:rPr>
              <w:t>2.提出质疑函的时限要求：供应商认为采购文件、采购过程、中标或者成交结果使自己的权益受到损害的，可以在知道或者应知其权益受到损害之日起7个工作日内，以书面形式向采购人、采购代理机构提出质疑，逾期提交不予受理。</w:t>
            </w:r>
          </w:p>
          <w:p>
            <w:pPr>
              <w:pStyle w:val="87"/>
              <w:tabs>
                <w:tab w:val="left" w:pos="2160"/>
              </w:tabs>
              <w:snapToGrid w:val="0"/>
              <w:spacing w:before="163" w:beforeAutospacing="0" w:after="163" w:afterAutospacing="0" w:line="360" w:lineRule="auto"/>
              <w:ind w:right="-14" w:firstLine="480" w:firstLineChars="200"/>
              <w:jc w:val="both"/>
              <w:textAlignment w:val="baseline"/>
              <w:rPr>
                <w:rFonts w:hint="eastAsia" w:ascii="宋体" w:hAnsi="宋体" w:eastAsia="宋体" w:cs="宋体"/>
                <w:b w:val="0"/>
                <w:i w:val="0"/>
                <w:caps w:val="0"/>
                <w:color w:val="auto"/>
                <w:spacing w:val="0"/>
                <w:w w:val="100"/>
                <w:sz w:val="24"/>
                <w:highlight w:val="none"/>
                <w:lang w:val="zh-CN"/>
              </w:rPr>
            </w:pPr>
            <w:r>
              <w:rPr>
                <w:rFonts w:hint="eastAsia" w:ascii="宋体" w:hAnsi="宋体" w:eastAsia="宋体" w:cs="宋体"/>
                <w:b w:val="0"/>
                <w:i w:val="0"/>
                <w:caps w:val="0"/>
                <w:color w:val="auto"/>
                <w:spacing w:val="0"/>
                <w:w w:val="100"/>
                <w:sz w:val="24"/>
                <w:highlight w:val="none"/>
                <w:lang w:val="zh-CN"/>
              </w:rPr>
              <w:t>3.接收质疑函的方式：供应商在法定时间内以书面形式现场提交质疑函质疑时间：</w:t>
            </w:r>
          </w:p>
          <w:p>
            <w:pPr>
              <w:pStyle w:val="87"/>
              <w:tabs>
                <w:tab w:val="left" w:pos="2160"/>
              </w:tabs>
              <w:snapToGrid w:val="0"/>
              <w:spacing w:before="163" w:beforeAutospacing="0" w:after="163" w:afterAutospacing="0" w:line="360" w:lineRule="auto"/>
              <w:ind w:right="-14" w:firstLine="480" w:firstLineChars="200"/>
              <w:jc w:val="both"/>
              <w:textAlignment w:val="baseline"/>
              <w:rPr>
                <w:rFonts w:hint="eastAsia" w:ascii="宋体" w:hAnsi="宋体" w:eastAsia="宋体" w:cs="宋体"/>
                <w:b w:val="0"/>
                <w:i w:val="0"/>
                <w:caps w:val="0"/>
                <w:color w:val="auto"/>
                <w:spacing w:val="0"/>
                <w:w w:val="100"/>
                <w:sz w:val="24"/>
                <w:highlight w:val="none"/>
                <w:lang w:val="zh-CN"/>
              </w:rPr>
            </w:pPr>
            <w:r>
              <w:rPr>
                <w:rFonts w:hint="eastAsia" w:ascii="宋体" w:hAnsi="宋体" w:eastAsia="宋体" w:cs="宋体"/>
                <w:b w:val="0"/>
                <w:i w:val="0"/>
                <w:caps w:val="0"/>
                <w:color w:val="auto"/>
                <w:spacing w:val="0"/>
                <w:w w:val="100"/>
                <w:sz w:val="24"/>
                <w:highlight w:val="none"/>
                <w:lang w:val="zh-CN"/>
              </w:rPr>
              <w:t>（1）对采购文件的质疑：为购买采购文件之日起七个工作日内；</w:t>
            </w:r>
          </w:p>
          <w:p>
            <w:pPr>
              <w:pStyle w:val="87"/>
              <w:tabs>
                <w:tab w:val="left" w:pos="2160"/>
              </w:tabs>
              <w:snapToGrid w:val="0"/>
              <w:spacing w:before="163" w:beforeAutospacing="0" w:after="163" w:afterAutospacing="0" w:line="360" w:lineRule="auto"/>
              <w:ind w:right="-14" w:firstLine="480" w:firstLineChars="200"/>
              <w:jc w:val="both"/>
              <w:textAlignment w:val="baseline"/>
              <w:rPr>
                <w:rFonts w:hint="eastAsia" w:ascii="宋体" w:hAnsi="宋体" w:eastAsia="宋体" w:cs="宋体"/>
                <w:b w:val="0"/>
                <w:i w:val="0"/>
                <w:caps w:val="0"/>
                <w:color w:val="auto"/>
                <w:spacing w:val="0"/>
                <w:w w:val="100"/>
                <w:sz w:val="24"/>
                <w:highlight w:val="none"/>
                <w:lang w:val="zh-CN"/>
              </w:rPr>
            </w:pPr>
            <w:r>
              <w:rPr>
                <w:rFonts w:hint="eastAsia" w:ascii="宋体" w:hAnsi="宋体" w:eastAsia="宋体" w:cs="宋体"/>
                <w:b w:val="0"/>
                <w:i w:val="0"/>
                <w:caps w:val="0"/>
                <w:color w:val="auto"/>
                <w:spacing w:val="0"/>
                <w:w w:val="100"/>
                <w:sz w:val="24"/>
                <w:highlight w:val="none"/>
                <w:lang w:val="zh-CN"/>
              </w:rPr>
              <w:t>（2）采购过程的质疑：为各采购程序环节结束之日起七个工作日内；</w:t>
            </w:r>
          </w:p>
          <w:p>
            <w:pPr>
              <w:pStyle w:val="87"/>
              <w:tabs>
                <w:tab w:val="left" w:pos="2160"/>
              </w:tabs>
              <w:snapToGrid w:val="0"/>
              <w:spacing w:before="163" w:beforeAutospacing="0" w:after="163" w:afterAutospacing="0" w:line="360" w:lineRule="auto"/>
              <w:ind w:right="-14" w:firstLine="480" w:firstLineChars="200"/>
              <w:jc w:val="both"/>
              <w:textAlignment w:val="baseline"/>
              <w:rPr>
                <w:rFonts w:hint="eastAsia" w:ascii="宋体" w:hAnsi="宋体" w:eastAsia="宋体" w:cs="宋体"/>
                <w:b w:val="0"/>
                <w:i w:val="0"/>
                <w:caps w:val="0"/>
                <w:color w:val="auto"/>
                <w:spacing w:val="0"/>
                <w:w w:val="100"/>
                <w:sz w:val="24"/>
                <w:highlight w:val="none"/>
                <w:lang w:val="zh-CN"/>
              </w:rPr>
            </w:pPr>
            <w:r>
              <w:rPr>
                <w:rFonts w:hint="eastAsia" w:ascii="宋体" w:hAnsi="宋体" w:eastAsia="宋体" w:cs="宋体"/>
                <w:b w:val="0"/>
                <w:i w:val="0"/>
                <w:caps w:val="0"/>
                <w:color w:val="auto"/>
                <w:spacing w:val="0"/>
                <w:w w:val="100"/>
                <w:sz w:val="24"/>
                <w:highlight w:val="none"/>
                <w:lang w:val="zh-CN"/>
              </w:rPr>
              <w:t>（3）对采购结果的质疑：为成交结果公告期限届满之日起七个工作日内。</w:t>
            </w:r>
          </w:p>
          <w:p>
            <w:pPr>
              <w:pStyle w:val="87"/>
              <w:tabs>
                <w:tab w:val="left" w:pos="2160"/>
              </w:tabs>
              <w:snapToGrid w:val="0"/>
              <w:spacing w:before="163" w:beforeAutospacing="0" w:after="163" w:afterAutospacing="0" w:line="360" w:lineRule="auto"/>
              <w:ind w:right="-14" w:firstLine="480" w:firstLineChars="200"/>
              <w:jc w:val="both"/>
              <w:textAlignment w:val="baseline"/>
              <w:rPr>
                <w:rFonts w:hint="eastAsia" w:ascii="宋体" w:hAnsi="宋体" w:eastAsia="宋体" w:cs="宋体"/>
                <w:b w:val="0"/>
                <w:i w:val="0"/>
                <w:caps w:val="0"/>
                <w:color w:val="auto"/>
                <w:spacing w:val="0"/>
                <w:w w:val="100"/>
                <w:sz w:val="24"/>
                <w:highlight w:val="none"/>
                <w:lang w:val="zh-CN"/>
              </w:rPr>
            </w:pPr>
            <w:r>
              <w:rPr>
                <w:rFonts w:hint="eastAsia" w:ascii="宋体" w:hAnsi="宋体" w:eastAsia="宋体" w:cs="宋体"/>
                <w:b w:val="0"/>
                <w:i w:val="0"/>
                <w:caps w:val="0"/>
                <w:color w:val="auto"/>
                <w:spacing w:val="0"/>
                <w:w w:val="100"/>
                <w:sz w:val="24"/>
                <w:highlight w:val="none"/>
                <w:lang w:val="zh-CN"/>
              </w:rPr>
              <w:t>联系人：</w:t>
            </w:r>
            <w:r>
              <w:rPr>
                <w:rFonts w:hint="eastAsia" w:cs="宋体"/>
                <w:b w:val="0"/>
                <w:i w:val="0"/>
                <w:caps w:val="0"/>
                <w:color w:val="auto"/>
                <w:spacing w:val="0"/>
                <w:w w:val="100"/>
                <w:sz w:val="24"/>
                <w:highlight w:val="none"/>
                <w:lang w:val="zh-CN"/>
              </w:rPr>
              <w:t>汪老师</w:t>
            </w:r>
          </w:p>
          <w:p>
            <w:pPr>
              <w:pStyle w:val="87"/>
              <w:tabs>
                <w:tab w:val="left" w:pos="2160"/>
              </w:tabs>
              <w:snapToGrid w:val="0"/>
              <w:spacing w:before="163" w:beforeAutospacing="0" w:after="163" w:afterAutospacing="0" w:line="360" w:lineRule="auto"/>
              <w:ind w:right="-14" w:firstLine="480" w:firstLineChars="200"/>
              <w:jc w:val="both"/>
              <w:textAlignment w:val="baseline"/>
              <w:rPr>
                <w:rFonts w:hint="eastAsia" w:ascii="宋体" w:hAnsi="宋体" w:eastAsia="宋体" w:cs="宋体"/>
                <w:b w:val="0"/>
                <w:i w:val="0"/>
                <w:caps w:val="0"/>
                <w:color w:val="auto"/>
                <w:spacing w:val="0"/>
                <w:w w:val="100"/>
                <w:sz w:val="24"/>
                <w:highlight w:val="none"/>
                <w:lang w:val="zh-CN"/>
              </w:rPr>
            </w:pPr>
            <w:r>
              <w:rPr>
                <w:rFonts w:hint="eastAsia" w:ascii="宋体" w:hAnsi="宋体" w:eastAsia="宋体" w:cs="宋体"/>
                <w:b w:val="0"/>
                <w:i w:val="0"/>
                <w:caps w:val="0"/>
                <w:color w:val="auto"/>
                <w:spacing w:val="0"/>
                <w:w w:val="100"/>
                <w:sz w:val="24"/>
                <w:highlight w:val="none"/>
                <w:lang w:val="zh-CN"/>
              </w:rPr>
              <w:t>联系电话：028-68742460</w:t>
            </w:r>
          </w:p>
          <w:p>
            <w:pPr>
              <w:pStyle w:val="87"/>
              <w:tabs>
                <w:tab w:val="left" w:pos="2160"/>
              </w:tabs>
              <w:snapToGrid w:val="0"/>
              <w:spacing w:before="163" w:beforeAutospacing="0" w:after="163" w:afterAutospacing="0" w:line="360" w:lineRule="auto"/>
              <w:ind w:right="-14" w:firstLine="480" w:firstLineChars="200"/>
              <w:jc w:val="both"/>
              <w:textAlignment w:val="baseline"/>
              <w:rPr>
                <w:rFonts w:hint="eastAsia" w:ascii="宋体" w:hAnsi="宋体" w:eastAsia="宋体" w:cs="宋体"/>
                <w:b w:val="0"/>
                <w:i w:val="0"/>
                <w:caps w:val="0"/>
                <w:color w:val="auto"/>
                <w:spacing w:val="0"/>
                <w:w w:val="100"/>
                <w:sz w:val="24"/>
                <w:highlight w:val="none"/>
                <w:lang w:val="zh-CN"/>
              </w:rPr>
            </w:pPr>
            <w:r>
              <w:rPr>
                <w:rFonts w:hint="eastAsia" w:ascii="宋体" w:hAnsi="宋体" w:eastAsia="宋体" w:cs="宋体"/>
                <w:b w:val="0"/>
                <w:i w:val="0"/>
                <w:caps w:val="0"/>
                <w:color w:val="auto"/>
                <w:spacing w:val="0"/>
                <w:w w:val="100"/>
                <w:sz w:val="24"/>
                <w:highlight w:val="none"/>
                <w:lang w:val="zh-CN"/>
              </w:rPr>
              <w:t>地址：</w:t>
            </w:r>
            <w:r>
              <w:rPr>
                <w:rFonts w:hint="eastAsia" w:ascii="宋体" w:hAnsi="宋体" w:eastAsia="宋体" w:cs="宋体"/>
                <w:b w:val="0"/>
                <w:i w:val="0"/>
                <w:caps w:val="0"/>
                <w:color w:val="auto"/>
                <w:spacing w:val="0"/>
                <w:w w:val="100"/>
                <w:sz w:val="24"/>
                <w:highlight w:val="none"/>
              </w:rPr>
              <w:t>成都市环球中心S2区9层909室</w:t>
            </w:r>
          </w:p>
          <w:p>
            <w:pPr>
              <w:pStyle w:val="87"/>
              <w:tabs>
                <w:tab w:val="left" w:pos="2160"/>
              </w:tabs>
              <w:snapToGrid w:val="0"/>
              <w:spacing w:before="163" w:beforeAutospacing="0" w:after="163" w:afterAutospacing="0" w:line="360" w:lineRule="auto"/>
              <w:ind w:right="-14" w:firstLine="480" w:firstLineChars="200"/>
              <w:jc w:val="both"/>
              <w:textAlignment w:val="baseline"/>
              <w:rPr>
                <w:rFonts w:hint="eastAsia" w:ascii="宋体" w:hAnsi="宋体" w:eastAsia="宋体" w:cs="宋体"/>
                <w:b w:val="0"/>
                <w:i w:val="0"/>
                <w:caps w:val="0"/>
                <w:color w:val="auto"/>
                <w:spacing w:val="0"/>
                <w:w w:val="100"/>
                <w:sz w:val="24"/>
                <w:highlight w:val="none"/>
                <w:lang w:val="zh-CN"/>
              </w:rPr>
            </w:pPr>
            <w:r>
              <w:rPr>
                <w:rFonts w:hint="eastAsia" w:ascii="宋体" w:hAnsi="宋体" w:eastAsia="宋体" w:cs="宋体"/>
                <w:b w:val="0"/>
                <w:i w:val="0"/>
                <w:caps w:val="0"/>
                <w:color w:val="auto"/>
                <w:spacing w:val="0"/>
                <w:w w:val="100"/>
                <w:sz w:val="24"/>
                <w:highlight w:val="none"/>
                <w:lang w:val="zh-CN"/>
              </w:rPr>
              <w:t>邮编：610000</w:t>
            </w:r>
          </w:p>
          <w:p>
            <w:pPr>
              <w:pStyle w:val="87"/>
              <w:tabs>
                <w:tab w:val="left" w:pos="2160"/>
              </w:tabs>
              <w:snapToGrid w:val="0"/>
              <w:spacing w:before="163" w:beforeAutospacing="0" w:after="163" w:afterAutospacing="0" w:line="360" w:lineRule="auto"/>
              <w:ind w:right="-14" w:firstLine="480" w:firstLineChars="200"/>
              <w:jc w:val="both"/>
              <w:textAlignment w:val="baseline"/>
              <w:rPr>
                <w:rFonts w:hint="eastAsia" w:ascii="宋体" w:hAnsi="宋体" w:eastAsia="宋体" w:cs="宋体"/>
                <w:b w:val="0"/>
                <w:i w:val="0"/>
                <w:caps w:val="0"/>
                <w:color w:val="auto"/>
                <w:spacing w:val="0"/>
                <w:w w:val="100"/>
                <w:sz w:val="24"/>
                <w:highlight w:val="none"/>
                <w:lang w:val="zh-CN"/>
              </w:rPr>
            </w:pPr>
            <w:r>
              <w:rPr>
                <w:rFonts w:hint="eastAsia" w:ascii="宋体" w:hAnsi="宋体" w:eastAsia="宋体" w:cs="宋体"/>
                <w:b w:val="0"/>
                <w:i w:val="0"/>
                <w:caps w:val="0"/>
                <w:color w:val="auto"/>
                <w:spacing w:val="0"/>
                <w:w w:val="100"/>
                <w:sz w:val="24"/>
                <w:highlight w:val="none"/>
                <w:lang w:val="zh-CN"/>
              </w:rPr>
              <w:t>注：1</w:t>
            </w:r>
            <w:r>
              <w:rPr>
                <w:rFonts w:hint="eastAsia" w:ascii="宋体" w:hAnsi="宋体" w:eastAsia="宋体" w:cs="宋体"/>
                <w:b w:val="0"/>
                <w:i w:val="0"/>
                <w:caps w:val="0"/>
                <w:color w:val="auto"/>
                <w:spacing w:val="0"/>
                <w:w w:val="100"/>
                <w:sz w:val="24"/>
                <w:highlight w:val="none"/>
                <w:lang w:val="en-US" w:eastAsia="zh-CN"/>
              </w:rPr>
              <w:t>.</w:t>
            </w:r>
            <w:r>
              <w:rPr>
                <w:rFonts w:hint="eastAsia" w:ascii="宋体" w:hAnsi="宋体" w:eastAsia="宋体" w:cs="宋体"/>
                <w:b w:val="0"/>
                <w:i w:val="0"/>
                <w:caps w:val="0"/>
                <w:color w:val="auto"/>
                <w:spacing w:val="0"/>
                <w:w w:val="100"/>
                <w:sz w:val="24"/>
                <w:highlight w:val="none"/>
                <w:lang w:val="zh-CN"/>
              </w:rPr>
              <w:t>根据《中华人民共和国政府采购法》的规定，供应商质疑不得超出磋商文件、磋商过程、磋商结果的范围；且答复的内容不得涉及商业秘密。</w:t>
            </w:r>
          </w:p>
          <w:p>
            <w:pPr>
              <w:pStyle w:val="87"/>
              <w:tabs>
                <w:tab w:val="left" w:pos="2160"/>
              </w:tabs>
              <w:snapToGrid w:val="0"/>
              <w:spacing w:before="163" w:beforeAutospacing="0" w:after="163" w:afterAutospacing="0" w:line="360" w:lineRule="auto"/>
              <w:ind w:right="-14" w:firstLine="480" w:firstLineChars="200"/>
              <w:jc w:val="both"/>
              <w:textAlignment w:val="baseline"/>
              <w:rPr>
                <w:rFonts w:hint="eastAsia" w:ascii="宋体" w:hAnsi="宋体" w:eastAsia="宋体" w:cs="宋体"/>
                <w:b w:val="0"/>
                <w:i w:val="0"/>
                <w:caps w:val="0"/>
                <w:color w:val="auto"/>
                <w:spacing w:val="0"/>
                <w:w w:val="100"/>
                <w:sz w:val="24"/>
                <w:highlight w:val="none"/>
                <w:lang w:val="zh-CN"/>
              </w:rPr>
            </w:pPr>
            <w:r>
              <w:rPr>
                <w:rFonts w:hint="eastAsia" w:ascii="宋体" w:hAnsi="宋体" w:eastAsia="宋体" w:cs="宋体"/>
                <w:b w:val="0"/>
                <w:i w:val="0"/>
                <w:caps w:val="0"/>
                <w:color w:val="auto"/>
                <w:spacing w:val="0"/>
                <w:w w:val="100"/>
                <w:sz w:val="24"/>
                <w:highlight w:val="none"/>
                <w:lang w:val="zh-CN"/>
              </w:rPr>
              <w:t>2</w:t>
            </w:r>
            <w:r>
              <w:rPr>
                <w:rFonts w:hint="eastAsia" w:ascii="宋体" w:hAnsi="宋体" w:eastAsia="宋体" w:cs="宋体"/>
                <w:b w:val="0"/>
                <w:i w:val="0"/>
                <w:caps w:val="0"/>
                <w:color w:val="auto"/>
                <w:spacing w:val="0"/>
                <w:w w:val="100"/>
                <w:sz w:val="24"/>
                <w:highlight w:val="none"/>
                <w:lang w:val="en-US" w:eastAsia="zh-CN"/>
              </w:rPr>
              <w:t>.</w:t>
            </w:r>
            <w:r>
              <w:rPr>
                <w:rFonts w:hint="eastAsia" w:ascii="宋体" w:hAnsi="宋体" w:eastAsia="宋体" w:cs="宋体"/>
                <w:b w:val="0"/>
                <w:i w:val="0"/>
                <w:caps w:val="0"/>
                <w:color w:val="auto"/>
                <w:spacing w:val="0"/>
                <w:w w:val="100"/>
                <w:sz w:val="24"/>
                <w:highlight w:val="none"/>
                <w:lang w:val="zh-CN"/>
              </w:rPr>
              <w:t>供应商针对同一采购程序环节的质疑应当在法定质疑期内一次性提出；</w:t>
            </w:r>
          </w:p>
          <w:p>
            <w:pPr>
              <w:pStyle w:val="87"/>
              <w:tabs>
                <w:tab w:val="left" w:pos="2160"/>
              </w:tabs>
              <w:snapToGrid w:val="0"/>
              <w:spacing w:before="163" w:beforeAutospacing="0" w:after="163" w:afterAutospacing="0" w:line="360" w:lineRule="auto"/>
              <w:ind w:right="-14" w:rightChars="0" w:firstLine="480" w:firstLineChars="200"/>
              <w:jc w:val="both"/>
              <w:textAlignment w:val="baseline"/>
              <w:rPr>
                <w:rFonts w:hint="eastAsia" w:ascii="宋体" w:hAnsi="宋体" w:eastAsia="宋体" w:cs="宋体"/>
                <w:b w:val="0"/>
                <w:i w:val="0"/>
                <w:caps w:val="0"/>
                <w:color w:val="auto"/>
                <w:spacing w:val="0"/>
                <w:w w:val="100"/>
                <w:sz w:val="24"/>
                <w:szCs w:val="24"/>
                <w:highlight w:val="none"/>
                <w:lang w:val="zh-CN" w:eastAsia="zh-CN" w:bidi="ar-SA"/>
              </w:rPr>
            </w:pPr>
            <w:r>
              <w:rPr>
                <w:rFonts w:hint="eastAsia" w:ascii="宋体" w:hAnsi="宋体" w:eastAsia="宋体" w:cs="宋体"/>
                <w:b w:val="0"/>
                <w:i w:val="0"/>
                <w:caps w:val="0"/>
                <w:color w:val="auto"/>
                <w:spacing w:val="0"/>
                <w:w w:val="100"/>
                <w:sz w:val="24"/>
                <w:highlight w:val="none"/>
                <w:lang w:val="zh-CN"/>
              </w:rPr>
              <w:t>3</w:t>
            </w:r>
            <w:r>
              <w:rPr>
                <w:rFonts w:hint="eastAsia" w:ascii="宋体" w:hAnsi="宋体" w:eastAsia="宋体" w:cs="宋体"/>
                <w:b w:val="0"/>
                <w:i w:val="0"/>
                <w:caps w:val="0"/>
                <w:color w:val="auto"/>
                <w:spacing w:val="0"/>
                <w:w w:val="100"/>
                <w:sz w:val="24"/>
                <w:highlight w:val="none"/>
                <w:lang w:val="en-US" w:eastAsia="zh-CN"/>
              </w:rPr>
              <w:t>.</w:t>
            </w:r>
            <w:r>
              <w:rPr>
                <w:rFonts w:hint="eastAsia" w:ascii="宋体" w:hAnsi="宋体" w:eastAsia="宋体" w:cs="宋体"/>
                <w:b w:val="0"/>
                <w:i w:val="0"/>
                <w:caps w:val="0"/>
                <w:color w:val="auto"/>
                <w:spacing w:val="0"/>
                <w:w w:val="100"/>
                <w:sz w:val="24"/>
                <w:highlight w:val="none"/>
                <w:lang w:val="zh-CN"/>
              </w:rPr>
              <w:t>质疑必须以书面形式(原件)提出，以其他形式提出的质疑均不接受和回复。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2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highlight w:val="none"/>
                <w:lang w:val="en-US" w:eastAsia="zh-CN"/>
              </w:rPr>
              <w:t>16</w:t>
            </w:r>
          </w:p>
        </w:tc>
        <w:tc>
          <w:tcPr>
            <w:tcW w:w="2074" w:type="dxa"/>
            <w:tcBorders>
              <w:tl2br w:val="nil"/>
              <w:tr2bl w:val="nil"/>
            </w:tcBorders>
            <w:vAlign w:val="center"/>
          </w:tcPr>
          <w:p>
            <w:pPr>
              <w:pStyle w:val="87"/>
              <w:snapToGrid w:val="0"/>
              <w:spacing w:before="0" w:beforeAutospacing="0" w:after="0" w:afterAutospacing="0" w:line="360" w:lineRule="auto"/>
              <w:ind w:right="-53" w:rightChars="0"/>
              <w:jc w:val="center"/>
              <w:textAlignment w:val="baseline"/>
              <w:rPr>
                <w:rFonts w:hint="eastAsia" w:ascii="宋体" w:hAnsi="宋体" w:eastAsia="宋体" w:cs="宋体"/>
                <w:b w:val="0"/>
                <w:i w:val="0"/>
                <w:caps w:val="0"/>
                <w:color w:val="auto"/>
                <w:spacing w:val="0"/>
                <w:w w:val="100"/>
                <w:sz w:val="24"/>
                <w:szCs w:val="24"/>
                <w:highlight w:val="none"/>
                <w:lang w:val="zh-CN" w:eastAsia="zh-CN" w:bidi="ar-SA"/>
              </w:rPr>
            </w:pPr>
            <w:r>
              <w:rPr>
                <w:rFonts w:hint="eastAsia" w:ascii="宋体" w:hAnsi="宋体" w:eastAsia="宋体" w:cs="宋体"/>
                <w:b w:val="0"/>
                <w:i w:val="0"/>
                <w:caps w:val="0"/>
                <w:color w:val="auto"/>
                <w:spacing w:val="0"/>
                <w:w w:val="100"/>
                <w:sz w:val="24"/>
                <w:highlight w:val="none"/>
                <w:lang w:val="zh-CN"/>
              </w:rPr>
              <w:t>供应商投诉</w:t>
            </w:r>
          </w:p>
        </w:tc>
        <w:tc>
          <w:tcPr>
            <w:tcW w:w="7474" w:type="dxa"/>
            <w:tcBorders>
              <w:tl2br w:val="nil"/>
              <w:tr2bl w:val="nil"/>
            </w:tcBorders>
            <w:vAlign w:val="center"/>
          </w:tcPr>
          <w:p>
            <w:pPr>
              <w:spacing w:line="360" w:lineRule="auto"/>
              <w:ind w:left="0" w:leftChars="0" w:firstLine="0" w:firstLineChars="0"/>
              <w:jc w:val="left"/>
              <w:rPr>
                <w:rFonts w:hint="eastAsia" w:ascii="宋体" w:hAnsi="宋体" w:eastAsia="宋体" w:cs="宋体"/>
                <w:b/>
                <w:bCs/>
                <w:color w:val="auto"/>
                <w:sz w:val="24"/>
                <w:highlight w:val="none"/>
                <w:lang w:val="zh-CN" w:eastAsia="zh-CN"/>
              </w:rPr>
            </w:pPr>
            <w:r>
              <w:rPr>
                <w:rFonts w:hint="eastAsia" w:ascii="宋体" w:hAnsi="宋体" w:eastAsia="宋体" w:cs="宋体"/>
                <w:b/>
                <w:bCs/>
                <w:color w:val="auto"/>
                <w:sz w:val="24"/>
                <w:highlight w:val="none"/>
                <w:lang w:val="zh-CN" w:eastAsia="zh-CN"/>
              </w:rPr>
              <w:t>投诉受理单位</w:t>
            </w:r>
            <w:r>
              <w:rPr>
                <w:rFonts w:hint="eastAsia" w:ascii="宋体" w:hAnsi="宋体" w:eastAsia="宋体" w:cs="宋体"/>
                <w:b/>
                <w:bCs/>
                <w:color w:val="auto"/>
                <w:sz w:val="24"/>
                <w:highlight w:val="none"/>
                <w:lang w:val="en-US" w:eastAsia="zh-CN"/>
              </w:rPr>
              <w:t>:</w:t>
            </w:r>
            <w:r>
              <w:rPr>
                <w:rFonts w:hint="eastAsia" w:ascii="宋体" w:hAnsi="宋体" w:eastAsia="宋体" w:cs="宋体"/>
                <w:b/>
                <w:bCs/>
                <w:color w:val="auto"/>
                <w:sz w:val="24"/>
                <w:highlight w:val="none"/>
                <w:lang w:val="zh-CN" w:eastAsia="zh-CN"/>
              </w:rPr>
              <w:t>彭州市财政局</w:t>
            </w:r>
          </w:p>
          <w:p>
            <w:pPr>
              <w:spacing w:line="360" w:lineRule="auto"/>
              <w:ind w:left="0" w:leftChars="0" w:firstLine="0" w:firstLineChars="0"/>
              <w:jc w:val="left"/>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zh-CN" w:eastAsia="zh-CN"/>
              </w:rPr>
              <w:t>联系电话：028</w:t>
            </w:r>
            <w:r>
              <w:rPr>
                <w:rFonts w:hint="eastAsia" w:ascii="宋体" w:hAnsi="宋体" w:eastAsia="宋体" w:cs="宋体"/>
                <w:b/>
                <w:bCs/>
                <w:color w:val="auto"/>
                <w:sz w:val="24"/>
                <w:highlight w:val="none"/>
                <w:lang w:val="en-US" w:eastAsia="zh-CN"/>
              </w:rPr>
              <w:t>-</w:t>
            </w:r>
            <w:r>
              <w:rPr>
                <w:rFonts w:hint="eastAsia" w:ascii="宋体" w:hAnsi="宋体" w:eastAsia="宋体" w:cs="宋体"/>
                <w:b/>
                <w:bCs/>
                <w:color w:val="auto"/>
                <w:sz w:val="24"/>
                <w:highlight w:val="none"/>
                <w:lang w:val="zh-CN" w:eastAsia="zh-CN"/>
              </w:rPr>
              <w:t>8388</w:t>
            </w:r>
            <w:r>
              <w:rPr>
                <w:rFonts w:hint="eastAsia" w:ascii="宋体" w:hAnsi="宋体" w:eastAsia="宋体" w:cs="宋体"/>
                <w:b/>
                <w:bCs/>
                <w:color w:val="auto"/>
                <w:sz w:val="24"/>
                <w:highlight w:val="none"/>
                <w:lang w:val="en-US" w:eastAsia="zh-CN"/>
              </w:rPr>
              <w:t>8323</w:t>
            </w:r>
          </w:p>
          <w:p>
            <w:pPr>
              <w:spacing w:line="360" w:lineRule="auto"/>
              <w:ind w:left="0" w:leftChars="0" w:firstLine="0" w:firstLineChars="0"/>
              <w:jc w:val="left"/>
              <w:rPr>
                <w:rFonts w:hint="eastAsia" w:ascii="宋体" w:hAnsi="宋体" w:eastAsia="宋体" w:cs="宋体"/>
                <w:b/>
                <w:bCs/>
                <w:i w:val="0"/>
                <w:caps w:val="0"/>
                <w:color w:val="auto"/>
                <w:spacing w:val="0"/>
                <w:w w:val="100"/>
                <w:sz w:val="24"/>
                <w:highlight w:val="none"/>
                <w:lang w:val="zh-CN" w:eastAsia="zh-CN"/>
              </w:rPr>
            </w:pPr>
            <w:r>
              <w:rPr>
                <w:rFonts w:hint="eastAsia" w:ascii="宋体" w:hAnsi="宋体" w:eastAsia="宋体" w:cs="宋体"/>
                <w:b/>
                <w:bCs/>
                <w:color w:val="auto"/>
                <w:sz w:val="24"/>
                <w:highlight w:val="none"/>
                <w:lang w:val="zh-CN" w:eastAsia="zh-CN"/>
              </w:rPr>
              <w:t>联系地址：彭州市牡丹大道北二段486号</w:t>
            </w:r>
          </w:p>
          <w:p>
            <w:pPr>
              <w:pStyle w:val="87"/>
              <w:tabs>
                <w:tab w:val="left" w:pos="2160"/>
              </w:tabs>
              <w:snapToGrid w:val="0"/>
              <w:spacing w:before="163" w:beforeAutospacing="0" w:after="163" w:afterAutospacing="0" w:line="360" w:lineRule="auto"/>
              <w:ind w:right="-14" w:rightChars="0" w:firstLine="240" w:firstLineChars="100"/>
              <w:jc w:val="both"/>
              <w:textAlignment w:val="baseline"/>
              <w:rPr>
                <w:rFonts w:hint="eastAsia" w:ascii="宋体" w:hAnsi="宋体" w:eastAsia="宋体" w:cs="宋体"/>
                <w:b w:val="0"/>
                <w:i w:val="0"/>
                <w:caps w:val="0"/>
                <w:color w:val="auto"/>
                <w:spacing w:val="0"/>
                <w:w w:val="100"/>
                <w:sz w:val="24"/>
                <w:szCs w:val="24"/>
                <w:highlight w:val="none"/>
                <w:lang w:val="zh-CN" w:eastAsia="zh-CN" w:bidi="ar-SA"/>
              </w:rPr>
            </w:pPr>
            <w:r>
              <w:rPr>
                <w:rFonts w:hint="eastAsia" w:ascii="宋体" w:hAnsi="宋体" w:eastAsia="宋体" w:cs="宋体"/>
                <w:b w:val="0"/>
                <w:i w:val="0"/>
                <w:caps w:val="0"/>
                <w:color w:val="auto"/>
                <w:spacing w:val="0"/>
                <w:w w:val="100"/>
                <w:sz w:val="24"/>
                <w:highlight w:val="none"/>
              </w:rPr>
              <w:t>注：供应商投诉应当有明确的请求和必要的证明材料。供应商投诉的事项不得超出已质疑事项的范围，须符合《政府采购质疑和投诉办法》财政部第 94 号令规定。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2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highlight w:val="none"/>
                <w:lang w:val="en-US" w:eastAsia="zh-CN"/>
              </w:rPr>
              <w:t>17</w:t>
            </w:r>
          </w:p>
        </w:tc>
        <w:tc>
          <w:tcPr>
            <w:tcW w:w="2074" w:type="dxa"/>
            <w:tcBorders>
              <w:tl2br w:val="nil"/>
              <w:tr2bl w:val="nil"/>
            </w:tcBorders>
            <w:vAlign w:val="center"/>
          </w:tcPr>
          <w:p>
            <w:pPr>
              <w:pStyle w:val="87"/>
              <w:snapToGrid w:val="0"/>
              <w:spacing w:before="0" w:beforeAutospacing="0" w:after="0" w:afterAutospacing="0" w:line="360" w:lineRule="auto"/>
              <w:ind w:right="-53" w:rightChars="0"/>
              <w:jc w:val="center"/>
              <w:textAlignment w:val="baseline"/>
              <w:rPr>
                <w:rFonts w:hint="eastAsia" w:ascii="宋体" w:hAnsi="宋体" w:eastAsia="宋体" w:cs="宋体"/>
                <w:color w:val="auto"/>
                <w:highlight w:val="none"/>
                <w:lang w:val="zh-CN"/>
              </w:rPr>
            </w:pPr>
            <w:r>
              <w:rPr>
                <w:rFonts w:hint="eastAsia" w:ascii="宋体" w:hAnsi="宋体" w:eastAsia="宋体" w:cs="宋体"/>
                <w:b w:val="0"/>
                <w:i w:val="0"/>
                <w:caps w:val="0"/>
                <w:color w:val="auto"/>
                <w:spacing w:val="0"/>
                <w:w w:val="100"/>
                <w:sz w:val="24"/>
                <w:highlight w:val="none"/>
                <w:lang w:val="zh-CN"/>
              </w:rPr>
              <w:t>政府采购合同备案</w:t>
            </w:r>
          </w:p>
        </w:tc>
        <w:tc>
          <w:tcPr>
            <w:tcW w:w="7474" w:type="dxa"/>
            <w:tcBorders>
              <w:tl2br w:val="nil"/>
              <w:tr2bl w:val="nil"/>
            </w:tcBorders>
            <w:vAlign w:val="center"/>
          </w:tcPr>
          <w:p>
            <w:pPr>
              <w:pStyle w:val="87"/>
              <w:tabs>
                <w:tab w:val="left" w:pos="2160"/>
              </w:tabs>
              <w:snapToGrid w:val="0"/>
              <w:spacing w:before="163" w:beforeAutospacing="0" w:after="163" w:afterAutospacing="0" w:line="360" w:lineRule="auto"/>
              <w:ind w:right="-14" w:rightChars="0" w:firstLine="480" w:firstLineChars="200"/>
              <w:jc w:val="both"/>
              <w:textAlignment w:val="baseline"/>
              <w:rPr>
                <w:rFonts w:hint="eastAsia" w:ascii="宋体" w:hAnsi="宋体" w:eastAsia="宋体" w:cs="宋体"/>
                <w:color w:val="auto"/>
                <w:highlight w:val="none"/>
                <w:lang w:val="zh-CN"/>
              </w:rPr>
            </w:pPr>
            <w:r>
              <w:rPr>
                <w:rFonts w:hint="eastAsia" w:ascii="宋体" w:hAnsi="宋体" w:eastAsia="宋体" w:cs="宋体"/>
                <w:color w:val="auto"/>
                <w:sz w:val="24"/>
                <w:szCs w:val="24"/>
                <w:highlight w:val="none"/>
                <w:lang w:val="zh-CN"/>
              </w:rPr>
              <w:t>政府采购合同签订之日起2个工作日内，政府采购合同将在四川政府采购网公告；政府采购合同签订之日起</w:t>
            </w:r>
            <w:r>
              <w:rPr>
                <w:rFonts w:hint="eastAsia" w:ascii="宋体" w:hAnsi="宋体" w:eastAsia="宋体" w:cs="宋体"/>
                <w:color w:val="auto"/>
                <w:sz w:val="24"/>
                <w:szCs w:val="24"/>
                <w:highlight w:val="none"/>
              </w:rPr>
              <w:t>7</w:t>
            </w:r>
            <w:r>
              <w:rPr>
                <w:rFonts w:hint="eastAsia" w:ascii="宋体" w:hAnsi="宋体" w:eastAsia="宋体" w:cs="宋体"/>
                <w:color w:val="auto"/>
                <w:sz w:val="24"/>
                <w:szCs w:val="24"/>
                <w:highlight w:val="none"/>
                <w:lang w:val="zh-CN"/>
              </w:rPr>
              <w:t>个工作日内，政府采购合同将向采购项目同级财政部门备案。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24" w:type="dxa"/>
            <w:tcBorders>
              <w:tl2br w:val="nil"/>
              <w:tr2bl w:val="nil"/>
            </w:tcBorders>
            <w:vAlign w:val="center"/>
          </w:tcPr>
          <w:p>
            <w:pPr>
              <w:pStyle w:val="87"/>
              <w:spacing w:beforeLines="50" w:afterLines="50" w:line="360" w:lineRule="auto"/>
              <w:ind w:right="-94" w:rightChars="-39"/>
              <w:jc w:val="center"/>
              <w:rPr>
                <w:rFonts w:hint="default" w:ascii="宋体" w:hAnsi="宋体" w:eastAsia="宋体" w:cs="宋体"/>
                <w:color w:val="auto"/>
                <w:highlight w:val="none"/>
                <w:lang w:val="en-US" w:eastAsia="zh-CN"/>
              </w:rPr>
            </w:pPr>
            <w:bookmarkStart w:id="71" w:name="_Toc15377"/>
            <w:bookmarkStart w:id="72" w:name="_Toc448558688"/>
            <w:bookmarkStart w:id="73" w:name="_Toc17571"/>
            <w:bookmarkStart w:id="74" w:name="_Toc3228"/>
            <w:bookmarkStart w:id="75" w:name="_Toc30379"/>
            <w:bookmarkStart w:id="76" w:name="_Toc14566"/>
            <w:bookmarkStart w:id="77" w:name="_Toc517423469"/>
            <w:bookmarkStart w:id="78" w:name="_Toc517422441"/>
            <w:bookmarkStart w:id="79" w:name="_Toc29926"/>
            <w:bookmarkStart w:id="80" w:name="_Toc19"/>
            <w:bookmarkStart w:id="81" w:name="_Toc3692"/>
            <w:bookmarkStart w:id="82" w:name="_Toc11072"/>
            <w:bookmarkStart w:id="83" w:name="_Toc20999"/>
            <w:r>
              <w:rPr>
                <w:rFonts w:hint="eastAsia" w:cs="宋体"/>
                <w:color w:val="auto"/>
                <w:highlight w:val="none"/>
                <w:lang w:val="en-US" w:eastAsia="zh-CN"/>
              </w:rPr>
              <w:t>18</w:t>
            </w:r>
          </w:p>
        </w:tc>
        <w:tc>
          <w:tcPr>
            <w:tcW w:w="207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所属行业</w:t>
            </w:r>
          </w:p>
        </w:tc>
        <w:tc>
          <w:tcPr>
            <w:tcW w:w="7474" w:type="dxa"/>
            <w:tcBorders>
              <w:tl2br w:val="nil"/>
              <w:tr2bl w:val="nil"/>
            </w:tcBorders>
            <w:vAlign w:val="center"/>
          </w:tcPr>
          <w:p>
            <w:pPr>
              <w:pStyle w:val="87"/>
              <w:spacing w:beforeLines="50" w:afterLines="50" w:line="360" w:lineRule="auto"/>
              <w:ind w:right="-94" w:rightChars="-39"/>
              <w:jc w:val="both"/>
              <w:rPr>
                <w:rFonts w:hint="eastAsia" w:ascii="宋体" w:hAnsi="宋体" w:eastAsia="宋体" w:cs="宋体"/>
                <w:color w:val="auto"/>
                <w:sz w:val="24"/>
                <w:szCs w:val="24"/>
                <w:highlight w:val="none"/>
                <w:lang w:val="zh-CN"/>
              </w:rPr>
            </w:pPr>
            <w:r>
              <w:rPr>
                <w:rFonts w:hint="eastAsia" w:cs="宋体"/>
                <w:color w:val="auto"/>
                <w:sz w:val="24"/>
                <w:szCs w:val="24"/>
                <w:highlight w:val="none"/>
                <w:lang w:val="en-US" w:eastAsia="zh-CN"/>
              </w:rPr>
              <w:t>租赁和商务服务业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24" w:type="dxa"/>
            <w:tcBorders>
              <w:tl2br w:val="nil"/>
              <w:tr2bl w:val="nil"/>
            </w:tcBorders>
            <w:vAlign w:val="center"/>
          </w:tcPr>
          <w:p>
            <w:pPr>
              <w:pStyle w:val="87"/>
              <w:spacing w:beforeLines="50" w:afterLines="50" w:line="360" w:lineRule="auto"/>
              <w:ind w:right="-94" w:rightChars="-39"/>
              <w:jc w:val="center"/>
              <w:rPr>
                <w:rFonts w:hint="default" w:ascii="宋体" w:hAnsi="宋体" w:eastAsia="宋体" w:cs="宋体"/>
                <w:color w:val="auto"/>
                <w:highlight w:val="none"/>
                <w:lang w:val="en-US" w:eastAsia="zh-CN"/>
              </w:rPr>
            </w:pPr>
            <w:r>
              <w:rPr>
                <w:rFonts w:hint="eastAsia" w:cs="宋体"/>
                <w:color w:val="auto"/>
                <w:highlight w:val="none"/>
                <w:lang w:val="en-US" w:eastAsia="zh-CN"/>
              </w:rPr>
              <w:t>19</w:t>
            </w:r>
          </w:p>
        </w:tc>
        <w:tc>
          <w:tcPr>
            <w:tcW w:w="207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代理服务费</w:t>
            </w:r>
          </w:p>
        </w:tc>
        <w:tc>
          <w:tcPr>
            <w:tcW w:w="7474" w:type="dxa"/>
            <w:tcBorders>
              <w:tl2br w:val="nil"/>
              <w:tr2bl w:val="nil"/>
            </w:tcBorders>
            <w:vAlign w:val="center"/>
          </w:tcPr>
          <w:p>
            <w:pPr>
              <w:pStyle w:val="87"/>
              <w:tabs>
                <w:tab w:val="left" w:pos="2160"/>
              </w:tabs>
              <w:snapToGrid w:val="0"/>
              <w:spacing w:before="163" w:beforeAutospacing="0" w:after="163" w:afterAutospacing="0" w:line="360" w:lineRule="auto"/>
              <w:ind w:right="-14" w:firstLine="480" w:firstLineChars="200"/>
              <w:jc w:val="both"/>
              <w:textAlignment w:val="baseline"/>
              <w:rPr>
                <w:rFonts w:hint="eastAsia" w:ascii="宋体" w:hAnsi="宋体" w:eastAsia="宋体" w:cs="宋体"/>
                <w:b w:val="0"/>
                <w:i w:val="0"/>
                <w:caps w:val="0"/>
                <w:color w:val="auto"/>
                <w:spacing w:val="0"/>
                <w:w w:val="100"/>
                <w:sz w:val="24"/>
                <w:highlight w:val="none"/>
                <w:lang w:val="zh-CN"/>
              </w:rPr>
            </w:pPr>
            <w:r>
              <w:rPr>
                <w:rFonts w:hint="eastAsia" w:ascii="宋体" w:hAnsi="宋体" w:eastAsia="宋体" w:cs="宋体"/>
                <w:b w:val="0"/>
                <w:i w:val="0"/>
                <w:caps w:val="0"/>
                <w:color w:val="auto"/>
                <w:spacing w:val="0"/>
                <w:w w:val="100"/>
                <w:sz w:val="24"/>
                <w:highlight w:val="none"/>
                <w:lang w:val="zh-CN"/>
              </w:rPr>
              <w:t>1.本次项目招标代理服务费的收取以成本加合理利润的原则确定。</w:t>
            </w:r>
          </w:p>
          <w:p>
            <w:pPr>
              <w:pStyle w:val="87"/>
              <w:tabs>
                <w:tab w:val="left" w:pos="2160"/>
              </w:tabs>
              <w:snapToGrid w:val="0"/>
              <w:spacing w:before="163" w:beforeAutospacing="0" w:after="163" w:afterAutospacing="0" w:line="360" w:lineRule="auto"/>
              <w:ind w:right="-14" w:firstLine="480" w:firstLineChars="200"/>
              <w:jc w:val="both"/>
              <w:textAlignment w:val="baseline"/>
              <w:rPr>
                <w:rFonts w:hint="eastAsia" w:ascii="宋体" w:hAnsi="宋体" w:eastAsia="宋体" w:cs="宋体"/>
                <w:b w:val="0"/>
                <w:i w:val="0"/>
                <w:caps w:val="0"/>
                <w:color w:val="auto"/>
                <w:spacing w:val="0"/>
                <w:w w:val="100"/>
                <w:sz w:val="24"/>
                <w:highlight w:val="none"/>
                <w:lang w:val="zh-CN"/>
              </w:rPr>
            </w:pPr>
            <w:r>
              <w:rPr>
                <w:rFonts w:hint="eastAsia" w:ascii="宋体" w:hAnsi="宋体" w:eastAsia="宋体" w:cs="宋体"/>
                <w:b w:val="0"/>
                <w:i w:val="0"/>
                <w:caps w:val="0"/>
                <w:color w:val="auto"/>
                <w:spacing w:val="0"/>
                <w:w w:val="100"/>
                <w:sz w:val="24"/>
                <w:highlight w:val="none"/>
                <w:lang w:val="zh-CN"/>
              </w:rPr>
              <w:t>2.招标代理服务费由成交供应商在领取成交通知书前一次性向招标代理机构交纳。</w:t>
            </w:r>
          </w:p>
          <w:p>
            <w:pPr>
              <w:pStyle w:val="87"/>
              <w:spacing w:beforeLines="50" w:afterLines="50" w:line="360" w:lineRule="auto"/>
              <w:ind w:right="-94" w:rightChars="-39"/>
              <w:jc w:val="both"/>
              <w:rPr>
                <w:rFonts w:hint="eastAsia" w:ascii="宋体" w:hAnsi="宋体" w:eastAsia="宋体" w:cs="宋体"/>
                <w:color w:val="auto"/>
                <w:highlight w:val="none"/>
                <w:lang w:val="en-US" w:eastAsia="zh-CN"/>
              </w:rPr>
            </w:pPr>
            <w:r>
              <w:rPr>
                <w:rFonts w:hint="eastAsia" w:ascii="宋体" w:hAnsi="宋体" w:eastAsia="宋体" w:cs="宋体"/>
                <w:color w:val="auto"/>
                <w:sz w:val="24"/>
                <w:highlight w:val="none"/>
                <w:lang w:val="zh-CN"/>
              </w:rPr>
              <w:t>收款单位：四川至善工程项目管理有限公司。</w:t>
            </w:r>
            <w:r>
              <w:rPr>
                <w:rFonts w:hint="eastAsia" w:ascii="宋体" w:hAnsi="宋体" w:eastAsia="宋体" w:cs="宋体"/>
                <w:color w:val="auto"/>
                <w:sz w:val="24"/>
                <w:highlight w:val="none"/>
                <w:lang w:val="zh-CN"/>
              </w:rPr>
              <w:br w:type="textWrapping"/>
            </w:r>
            <w:r>
              <w:rPr>
                <w:rFonts w:hint="eastAsia" w:ascii="宋体" w:hAnsi="宋体" w:eastAsia="宋体" w:cs="宋体"/>
                <w:color w:val="auto"/>
                <w:sz w:val="24"/>
                <w:highlight w:val="none"/>
                <w:lang w:val="zh-CN"/>
              </w:rPr>
              <w:t>开</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lang w:val="zh-CN"/>
              </w:rPr>
              <w:t>户</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lang w:val="zh-CN"/>
              </w:rPr>
              <w:t>行：中国工商银行成都犀浦支行。</w:t>
            </w:r>
            <w:r>
              <w:rPr>
                <w:rFonts w:hint="eastAsia" w:ascii="宋体" w:hAnsi="宋体" w:eastAsia="宋体" w:cs="宋体"/>
                <w:color w:val="auto"/>
                <w:sz w:val="24"/>
                <w:highlight w:val="none"/>
                <w:lang w:val="zh-CN"/>
              </w:rPr>
              <w:br w:type="textWrapping"/>
            </w:r>
            <w:r>
              <w:rPr>
                <w:rFonts w:hint="eastAsia" w:ascii="宋体" w:hAnsi="宋体" w:eastAsia="宋体" w:cs="宋体"/>
                <w:color w:val="auto"/>
                <w:sz w:val="24"/>
                <w:highlight w:val="none"/>
                <w:lang w:val="zh-CN"/>
              </w:rPr>
              <w:t>账</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lang w:val="zh-CN"/>
              </w:rPr>
              <w:t>号：4402 9410 0910 0146 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5" w:hRule="atLeast"/>
          <w:jc w:val="center"/>
        </w:trPr>
        <w:tc>
          <w:tcPr>
            <w:tcW w:w="624" w:type="dxa"/>
            <w:tcBorders>
              <w:tl2br w:val="nil"/>
              <w:tr2bl w:val="nil"/>
            </w:tcBorders>
            <w:vAlign w:val="center"/>
          </w:tcPr>
          <w:p>
            <w:pPr>
              <w:pStyle w:val="87"/>
              <w:spacing w:beforeLines="50" w:afterLines="50" w:line="360" w:lineRule="auto"/>
              <w:ind w:right="-94" w:rightChars="-39"/>
              <w:jc w:val="center"/>
              <w:rPr>
                <w:rFonts w:hint="default" w:ascii="宋体" w:hAnsi="宋体" w:eastAsia="宋体" w:cs="宋体"/>
                <w:color w:val="auto"/>
                <w:highlight w:val="none"/>
                <w:lang w:val="en-US" w:eastAsia="zh-CN"/>
              </w:rPr>
            </w:pPr>
            <w:r>
              <w:rPr>
                <w:rFonts w:hint="eastAsia" w:cs="宋体"/>
                <w:color w:val="auto"/>
                <w:highlight w:val="none"/>
                <w:lang w:val="en-US" w:eastAsia="zh-CN"/>
              </w:rPr>
              <w:t>20</w:t>
            </w:r>
          </w:p>
        </w:tc>
        <w:tc>
          <w:tcPr>
            <w:tcW w:w="207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highlight w:val="none"/>
                <w:lang w:val="zh-CN" w:eastAsia="zh-CN"/>
              </w:rPr>
            </w:pPr>
            <w:r>
              <w:rPr>
                <w:rFonts w:hint="eastAsia" w:ascii="宋体" w:hAnsi="宋体" w:eastAsia="宋体" w:cs="宋体"/>
                <w:color w:val="auto"/>
                <w:highlight w:val="none"/>
                <w:lang w:val="zh-CN"/>
              </w:rPr>
              <w:t>不发达地区和少数民族地区</w:t>
            </w:r>
          </w:p>
        </w:tc>
        <w:tc>
          <w:tcPr>
            <w:tcW w:w="7474" w:type="dxa"/>
            <w:tcBorders>
              <w:tl2br w:val="nil"/>
              <w:tr2bl w:val="nil"/>
            </w:tcBorders>
            <w:vAlign w:val="center"/>
          </w:tcPr>
          <w:p>
            <w:pPr>
              <w:pStyle w:val="87"/>
              <w:spacing w:beforeLines="50" w:afterLines="50" w:line="360" w:lineRule="auto"/>
              <w:ind w:right="-94" w:rightChars="-39"/>
              <w:jc w:val="both"/>
              <w:rPr>
                <w:rFonts w:hint="eastAsia" w:ascii="宋体" w:hAnsi="宋体" w:eastAsia="宋体" w:cs="宋体"/>
                <w:color w:val="auto"/>
                <w:highlight w:val="none"/>
                <w:lang w:val="zh-CN" w:eastAsia="zh-CN"/>
              </w:rPr>
            </w:pPr>
            <w:r>
              <w:rPr>
                <w:rFonts w:hint="eastAsia" w:ascii="宋体" w:hAnsi="宋体" w:eastAsia="宋体" w:cs="宋体"/>
                <w:color w:val="auto"/>
                <w:highlight w:val="none"/>
                <w:lang w:val="zh-CN"/>
              </w:rPr>
              <w:t>本项目体现政府采购扶持不发达地区和少数民族地区，在</w:t>
            </w:r>
            <w:r>
              <w:rPr>
                <w:rFonts w:hint="eastAsia" w:ascii="宋体" w:hAnsi="宋体" w:eastAsia="宋体" w:cs="宋体"/>
                <w:color w:val="auto"/>
                <w:highlight w:val="none"/>
                <w:lang w:val="zh-CN" w:eastAsia="zh-CN"/>
              </w:rPr>
              <w:t>得分</w:t>
            </w:r>
            <w:r>
              <w:rPr>
                <w:rFonts w:hint="eastAsia" w:ascii="宋体" w:hAnsi="宋体" w:eastAsia="宋体" w:cs="宋体"/>
                <w:color w:val="auto"/>
                <w:highlight w:val="none"/>
                <w:lang w:val="zh-CN"/>
              </w:rPr>
              <w:t>相同的情况下，优先选择不发达地区和少数民族地区为</w:t>
            </w:r>
            <w:r>
              <w:rPr>
                <w:rFonts w:hint="eastAsia" w:ascii="宋体" w:hAnsi="宋体" w:eastAsia="宋体" w:cs="宋体"/>
                <w:color w:val="auto"/>
                <w:highlight w:val="none"/>
                <w:lang w:val="zh-CN" w:eastAsia="zh-CN"/>
              </w:rPr>
              <w:t>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624" w:type="dxa"/>
            <w:tcBorders>
              <w:tl2br w:val="nil"/>
              <w:tr2bl w:val="nil"/>
            </w:tcBorders>
            <w:vAlign w:val="center"/>
          </w:tcPr>
          <w:p>
            <w:pPr>
              <w:pStyle w:val="87"/>
              <w:spacing w:beforeLines="50" w:afterLines="50" w:line="360" w:lineRule="auto"/>
              <w:ind w:right="-94" w:rightChars="-39"/>
              <w:jc w:val="center"/>
              <w:rPr>
                <w:rFonts w:hint="default" w:ascii="宋体" w:hAnsi="宋体" w:eastAsia="宋体" w:cs="宋体"/>
                <w:color w:val="auto"/>
                <w:highlight w:val="none"/>
                <w:lang w:val="en-US" w:eastAsia="zh-CN"/>
              </w:rPr>
            </w:pPr>
            <w:r>
              <w:rPr>
                <w:rFonts w:hint="eastAsia" w:cs="宋体"/>
                <w:color w:val="auto"/>
                <w:highlight w:val="none"/>
                <w:lang w:val="en-US" w:eastAsia="zh-CN"/>
              </w:rPr>
              <w:t>21</w:t>
            </w:r>
          </w:p>
        </w:tc>
        <w:tc>
          <w:tcPr>
            <w:tcW w:w="2074" w:type="dxa"/>
            <w:tcBorders>
              <w:tl2br w:val="nil"/>
              <w:tr2bl w:val="nil"/>
            </w:tcBorders>
            <w:vAlign w:val="center"/>
          </w:tcPr>
          <w:p>
            <w:pPr>
              <w:pStyle w:val="87"/>
              <w:snapToGrid w:val="0"/>
              <w:spacing w:before="0" w:beforeAutospacing="0" w:after="0" w:afterAutospacing="0" w:line="360" w:lineRule="auto"/>
              <w:ind w:right="-53" w:rightChars="0"/>
              <w:jc w:val="center"/>
              <w:textAlignment w:val="baseline"/>
              <w:rPr>
                <w:rFonts w:hint="eastAsia" w:ascii="宋体" w:hAnsi="宋体" w:eastAsia="宋体" w:cs="宋体"/>
                <w:b w:val="0"/>
                <w:i w:val="0"/>
                <w:caps w:val="0"/>
                <w:color w:val="auto"/>
                <w:spacing w:val="0"/>
                <w:w w:val="100"/>
                <w:sz w:val="24"/>
                <w:szCs w:val="24"/>
                <w:highlight w:val="none"/>
                <w:lang w:val="zh-CN" w:eastAsia="zh-CN" w:bidi="ar-SA"/>
              </w:rPr>
            </w:pPr>
            <w:r>
              <w:rPr>
                <w:rFonts w:hint="eastAsia" w:ascii="宋体" w:hAnsi="宋体" w:eastAsia="宋体" w:cs="宋体"/>
                <w:b w:val="0"/>
                <w:i w:val="0"/>
                <w:caps w:val="0"/>
                <w:color w:val="auto"/>
                <w:spacing w:val="0"/>
                <w:w w:val="100"/>
                <w:sz w:val="24"/>
                <w:highlight w:val="none"/>
                <w:lang w:val="zh-CN"/>
              </w:rPr>
              <w:t>政采贷</w:t>
            </w:r>
          </w:p>
        </w:tc>
        <w:tc>
          <w:tcPr>
            <w:tcW w:w="7474" w:type="dxa"/>
            <w:tcBorders>
              <w:tl2br w:val="nil"/>
              <w:tr2bl w:val="nil"/>
            </w:tcBorders>
            <w:vAlign w:val="center"/>
          </w:tcPr>
          <w:p>
            <w:pPr>
              <w:pStyle w:val="87"/>
              <w:tabs>
                <w:tab w:val="left" w:pos="2160"/>
              </w:tabs>
              <w:snapToGrid w:val="0"/>
              <w:spacing w:before="163" w:beforeAutospacing="0" w:after="163" w:afterAutospacing="0" w:line="360" w:lineRule="auto"/>
              <w:ind w:right="-14" w:rightChars="0"/>
              <w:jc w:val="both"/>
              <w:textAlignment w:val="baseline"/>
              <w:rPr>
                <w:rFonts w:hint="eastAsia" w:ascii="宋体" w:hAnsi="宋体" w:eastAsia="宋体" w:cs="宋体"/>
                <w:b w:val="0"/>
                <w:i w:val="0"/>
                <w:caps w:val="0"/>
                <w:color w:val="auto"/>
                <w:spacing w:val="0"/>
                <w:w w:val="100"/>
                <w:sz w:val="24"/>
                <w:szCs w:val="24"/>
                <w:highlight w:val="none"/>
                <w:lang w:val="zh-CN" w:eastAsia="zh-CN" w:bidi="ar-SA"/>
              </w:rPr>
            </w:pPr>
            <w:r>
              <w:rPr>
                <w:rFonts w:hint="eastAsia" w:ascii="宋体" w:hAnsi="宋体" w:eastAsia="宋体" w:cs="宋体"/>
                <w:b w:val="0"/>
                <w:i w:val="0"/>
                <w:caps w:val="0"/>
                <w:color w:val="auto"/>
                <w:spacing w:val="0"/>
                <w:w w:val="100"/>
                <w:sz w:val="24"/>
                <w:highlight w:val="none"/>
                <w:lang w:val="zh-CN"/>
              </w:rPr>
              <w:t>根据《四川省财政厅关于推进四川省政府采购供应商信用融资工作的通知》（川财采[2018]123号）</w:t>
            </w:r>
            <w:r>
              <w:rPr>
                <w:rFonts w:hint="eastAsia" w:cs="宋体"/>
                <w:b w:val="0"/>
                <w:i w:val="0"/>
                <w:caps w:val="0"/>
                <w:color w:val="auto"/>
                <w:spacing w:val="0"/>
                <w:w w:val="100"/>
                <w:sz w:val="24"/>
                <w:highlight w:val="none"/>
                <w:lang w:val="zh-CN"/>
              </w:rPr>
              <w:t>、</w:t>
            </w:r>
            <w:r>
              <w:rPr>
                <w:rFonts w:hint="eastAsia" w:ascii="宋体" w:hAnsi="宋体" w:eastAsia="宋体" w:cs="宋体"/>
                <w:b w:val="0"/>
                <w:i w:val="0"/>
                <w:caps w:val="0"/>
                <w:color w:val="auto"/>
                <w:spacing w:val="0"/>
                <w:w w:val="100"/>
                <w:sz w:val="24"/>
                <w:highlight w:val="none"/>
                <w:lang w:val="zh-CN"/>
              </w:rPr>
              <w:t>《成都市中小企业政府采购信用融资暂行办法》（成财采〔2019〕17 号）、《新津县支持中小企业政府采购信用融资实施方案（试行）》 （新财政〔2019〕21 号）等相关规定，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24" w:type="dxa"/>
            <w:tcBorders>
              <w:tl2br w:val="nil"/>
              <w:tr2bl w:val="nil"/>
            </w:tcBorders>
            <w:vAlign w:val="center"/>
          </w:tcPr>
          <w:p>
            <w:pPr>
              <w:pStyle w:val="87"/>
              <w:spacing w:beforeLines="50" w:afterLines="50" w:line="360" w:lineRule="auto"/>
              <w:ind w:right="-94" w:rightChars="-39"/>
              <w:jc w:val="center"/>
              <w:rPr>
                <w:rFonts w:hint="default" w:ascii="宋体" w:hAnsi="宋体" w:eastAsia="宋体" w:cs="宋体"/>
                <w:color w:val="auto"/>
                <w:highlight w:val="none"/>
                <w:lang w:val="en-US" w:eastAsia="zh-CN"/>
              </w:rPr>
            </w:pPr>
            <w:r>
              <w:rPr>
                <w:rFonts w:hint="eastAsia" w:cs="宋体"/>
                <w:color w:val="auto"/>
                <w:highlight w:val="none"/>
                <w:lang w:val="en-US" w:eastAsia="zh-CN"/>
              </w:rPr>
              <w:t>22</w:t>
            </w:r>
          </w:p>
        </w:tc>
        <w:tc>
          <w:tcPr>
            <w:tcW w:w="2074" w:type="dxa"/>
            <w:tcBorders>
              <w:tl2br w:val="nil"/>
              <w:tr2bl w:val="nil"/>
            </w:tcBorders>
            <w:vAlign w:val="center"/>
          </w:tcPr>
          <w:p>
            <w:pPr>
              <w:pStyle w:val="87"/>
              <w:snapToGrid w:val="0"/>
              <w:spacing w:before="0" w:beforeAutospacing="0" w:after="0" w:afterAutospacing="0" w:line="360" w:lineRule="auto"/>
              <w:ind w:right="-53" w:rightChars="0"/>
              <w:jc w:val="center"/>
              <w:textAlignment w:val="baseline"/>
              <w:rPr>
                <w:rFonts w:hint="eastAsia" w:ascii="宋体" w:hAnsi="宋体" w:eastAsia="宋体" w:cs="宋体"/>
                <w:b w:val="0"/>
                <w:i w:val="0"/>
                <w:caps w:val="0"/>
                <w:color w:val="auto"/>
                <w:spacing w:val="0"/>
                <w:w w:val="100"/>
                <w:sz w:val="24"/>
                <w:highlight w:val="none"/>
                <w:lang w:val="zh-CN"/>
              </w:rPr>
            </w:pPr>
            <w:r>
              <w:rPr>
                <w:rFonts w:hint="eastAsia" w:ascii="宋体" w:hAnsi="宋体" w:eastAsia="宋体" w:cs="宋体"/>
                <w:b w:val="0"/>
                <w:i w:val="0"/>
                <w:caps w:val="0"/>
                <w:color w:val="auto"/>
                <w:spacing w:val="0"/>
                <w:w w:val="100"/>
                <w:sz w:val="24"/>
                <w:highlight w:val="none"/>
                <w:lang w:val="zh-CN"/>
              </w:rPr>
              <w:t>进口产品</w:t>
            </w:r>
          </w:p>
        </w:tc>
        <w:tc>
          <w:tcPr>
            <w:tcW w:w="7474" w:type="dxa"/>
            <w:tcBorders>
              <w:tl2br w:val="nil"/>
              <w:tr2bl w:val="nil"/>
            </w:tcBorders>
            <w:vAlign w:val="center"/>
          </w:tcPr>
          <w:p>
            <w:pPr>
              <w:pStyle w:val="87"/>
              <w:tabs>
                <w:tab w:val="left" w:pos="2160"/>
              </w:tabs>
              <w:snapToGrid w:val="0"/>
              <w:spacing w:before="163" w:beforeAutospacing="0" w:after="163" w:afterAutospacing="0" w:line="360" w:lineRule="auto"/>
              <w:ind w:right="-14" w:rightChars="0"/>
              <w:jc w:val="both"/>
              <w:textAlignment w:val="baseline"/>
              <w:rPr>
                <w:rFonts w:hint="eastAsia" w:ascii="宋体" w:hAnsi="宋体" w:eastAsia="宋体" w:cs="宋体"/>
                <w:b w:val="0"/>
                <w:i w:val="0"/>
                <w:caps w:val="0"/>
                <w:color w:val="auto"/>
                <w:spacing w:val="0"/>
                <w:w w:val="100"/>
                <w:sz w:val="24"/>
                <w:highlight w:val="none"/>
                <w:lang w:val="zh-CN"/>
              </w:rPr>
            </w:pPr>
            <w:r>
              <w:rPr>
                <w:rFonts w:hint="eastAsia" w:ascii="宋体" w:hAnsi="宋体" w:eastAsia="宋体" w:cs="宋体"/>
                <w:color w:val="auto"/>
                <w:sz w:val="24"/>
                <w:szCs w:val="24"/>
                <w:highlight w:val="none"/>
                <w:lang w:val="en-US" w:eastAsia="zh-CN"/>
              </w:rPr>
              <w:t>本项目为服务类采购项目，不涉及进口产品采购。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24" w:type="dxa"/>
            <w:tcBorders>
              <w:tl2br w:val="nil"/>
              <w:tr2bl w:val="nil"/>
            </w:tcBorders>
            <w:vAlign w:val="center"/>
          </w:tcPr>
          <w:p>
            <w:pPr>
              <w:pStyle w:val="87"/>
              <w:spacing w:beforeLines="50" w:afterLines="50" w:line="360" w:lineRule="auto"/>
              <w:ind w:right="-94" w:rightChars="-39"/>
              <w:jc w:val="center"/>
              <w:rPr>
                <w:rFonts w:hint="default" w:ascii="宋体" w:hAnsi="宋体" w:eastAsia="宋体" w:cs="宋体"/>
                <w:color w:val="auto"/>
                <w:highlight w:val="none"/>
                <w:lang w:val="en-US" w:eastAsia="zh-CN"/>
              </w:rPr>
            </w:pPr>
            <w:r>
              <w:rPr>
                <w:rFonts w:hint="eastAsia" w:cs="宋体"/>
                <w:color w:val="auto"/>
                <w:highlight w:val="none"/>
                <w:lang w:val="en-US" w:eastAsia="zh-CN"/>
              </w:rPr>
              <w:t>23</w:t>
            </w:r>
          </w:p>
        </w:tc>
        <w:tc>
          <w:tcPr>
            <w:tcW w:w="2074" w:type="dxa"/>
            <w:tcBorders>
              <w:tl2br w:val="nil"/>
              <w:tr2bl w:val="nil"/>
            </w:tcBorders>
            <w:vAlign w:val="center"/>
          </w:tcPr>
          <w:p>
            <w:pPr>
              <w:pStyle w:val="87"/>
              <w:snapToGrid w:val="0"/>
              <w:spacing w:before="0" w:beforeAutospacing="0" w:after="0" w:afterAutospacing="0" w:line="360" w:lineRule="auto"/>
              <w:ind w:right="-53" w:rightChars="0"/>
              <w:jc w:val="center"/>
              <w:textAlignment w:val="baseline"/>
              <w:rPr>
                <w:rFonts w:hint="eastAsia" w:ascii="宋体" w:hAnsi="宋体" w:eastAsia="宋体" w:cs="宋体"/>
                <w:b w:val="0"/>
                <w:i w:val="0"/>
                <w:caps w:val="0"/>
                <w:color w:val="auto"/>
                <w:spacing w:val="0"/>
                <w:w w:val="100"/>
                <w:sz w:val="24"/>
                <w:highlight w:val="none"/>
                <w:lang w:val="zh-CN"/>
              </w:rPr>
            </w:pPr>
            <w:r>
              <w:rPr>
                <w:rFonts w:hint="eastAsia" w:ascii="宋体" w:hAnsi="宋体" w:eastAsia="宋体" w:cs="宋体"/>
                <w:b w:val="0"/>
                <w:i w:val="0"/>
                <w:caps w:val="0"/>
                <w:color w:val="auto"/>
                <w:spacing w:val="0"/>
                <w:w w:val="100"/>
                <w:sz w:val="24"/>
                <w:highlight w:val="none"/>
                <w:lang w:val="zh-CN"/>
              </w:rPr>
              <w:t>合同分包</w:t>
            </w:r>
          </w:p>
        </w:tc>
        <w:tc>
          <w:tcPr>
            <w:tcW w:w="7474" w:type="dxa"/>
            <w:tcBorders>
              <w:tl2br w:val="nil"/>
              <w:tr2bl w:val="nil"/>
            </w:tcBorders>
            <w:vAlign w:val="center"/>
          </w:tcPr>
          <w:p>
            <w:pPr>
              <w:pStyle w:val="87"/>
              <w:tabs>
                <w:tab w:val="left" w:pos="2160"/>
              </w:tabs>
              <w:snapToGrid w:val="0"/>
              <w:spacing w:before="163" w:beforeAutospacing="0" w:after="163" w:afterAutospacing="0" w:line="360" w:lineRule="auto"/>
              <w:ind w:right="-14" w:rightChars="0"/>
              <w:jc w:val="both"/>
              <w:textAlignment w:val="baseline"/>
              <w:rPr>
                <w:rFonts w:hint="eastAsia" w:ascii="宋体" w:hAnsi="宋体" w:eastAsia="宋体" w:cs="宋体"/>
                <w:b w:val="0"/>
                <w:i w:val="0"/>
                <w:caps w:val="0"/>
                <w:color w:val="auto"/>
                <w:spacing w:val="0"/>
                <w:w w:val="100"/>
                <w:sz w:val="24"/>
                <w:highlight w:val="none"/>
                <w:lang w:val="zh-CN"/>
              </w:rPr>
            </w:pPr>
            <w:r>
              <w:rPr>
                <w:rFonts w:hint="eastAsia" w:ascii="宋体" w:hAnsi="宋体" w:eastAsia="宋体" w:cs="宋体"/>
                <w:b w:val="0"/>
                <w:i w:val="0"/>
                <w:caps w:val="0"/>
                <w:color w:val="auto"/>
                <w:spacing w:val="0"/>
                <w:w w:val="100"/>
                <w:sz w:val="24"/>
                <w:highlight w:val="none"/>
                <w:lang w:val="zh-CN"/>
              </w:rPr>
              <w:t>不允许分包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24" w:type="dxa"/>
            <w:tcBorders>
              <w:tl2br w:val="nil"/>
              <w:tr2bl w:val="nil"/>
            </w:tcBorders>
            <w:vAlign w:val="center"/>
          </w:tcPr>
          <w:p>
            <w:pPr>
              <w:pStyle w:val="87"/>
              <w:spacing w:beforeLines="50" w:afterLines="50" w:line="360" w:lineRule="auto"/>
              <w:ind w:right="-94" w:rightChars="-39"/>
              <w:jc w:val="center"/>
              <w:rPr>
                <w:rFonts w:hint="default" w:ascii="宋体" w:hAnsi="宋体" w:eastAsia="宋体" w:cs="宋体"/>
                <w:color w:val="auto"/>
                <w:highlight w:val="none"/>
                <w:lang w:val="en-US" w:eastAsia="zh-CN"/>
              </w:rPr>
            </w:pPr>
            <w:r>
              <w:rPr>
                <w:rFonts w:hint="eastAsia" w:cs="宋体"/>
                <w:color w:val="auto"/>
                <w:highlight w:val="none"/>
                <w:lang w:val="en-US" w:eastAsia="zh-CN"/>
              </w:rPr>
              <w:t>24</w:t>
            </w:r>
          </w:p>
        </w:tc>
        <w:tc>
          <w:tcPr>
            <w:tcW w:w="2074" w:type="dxa"/>
            <w:tcBorders>
              <w:tl2br w:val="nil"/>
              <w:tr2bl w:val="nil"/>
            </w:tcBorders>
            <w:vAlign w:val="center"/>
          </w:tcPr>
          <w:p>
            <w:pPr>
              <w:pStyle w:val="87"/>
              <w:snapToGrid w:val="0"/>
              <w:spacing w:before="0" w:beforeAutospacing="0" w:after="0" w:afterAutospacing="0" w:line="360" w:lineRule="auto"/>
              <w:ind w:right="-53" w:rightChars="0"/>
              <w:jc w:val="center"/>
              <w:textAlignment w:val="baseline"/>
              <w:rPr>
                <w:rFonts w:hint="eastAsia" w:ascii="宋体" w:hAnsi="宋体" w:eastAsia="宋体" w:cs="宋体"/>
                <w:b w:val="0"/>
                <w:i w:val="0"/>
                <w:caps w:val="0"/>
                <w:color w:val="auto"/>
                <w:spacing w:val="0"/>
                <w:w w:val="100"/>
                <w:sz w:val="24"/>
                <w:szCs w:val="24"/>
                <w:highlight w:val="none"/>
                <w:lang w:val="zh-CN" w:eastAsia="zh-CN" w:bidi="ar-SA"/>
              </w:rPr>
            </w:pPr>
            <w:r>
              <w:rPr>
                <w:rFonts w:hint="eastAsia" w:ascii="宋体" w:hAnsi="宋体" w:eastAsia="宋体" w:cs="宋体"/>
                <w:b w:val="0"/>
                <w:i w:val="0"/>
                <w:caps w:val="0"/>
                <w:color w:val="auto"/>
                <w:spacing w:val="0"/>
                <w:w w:val="100"/>
                <w:sz w:val="24"/>
                <w:highlight w:val="none"/>
                <w:lang w:val="en-US" w:eastAsia="zh-CN"/>
              </w:rPr>
              <w:t>其他</w:t>
            </w:r>
          </w:p>
        </w:tc>
        <w:tc>
          <w:tcPr>
            <w:tcW w:w="7474" w:type="dxa"/>
            <w:tcBorders>
              <w:tl2br w:val="nil"/>
              <w:tr2bl w:val="nil"/>
            </w:tcBorders>
            <w:vAlign w:val="center"/>
          </w:tcPr>
          <w:p>
            <w:pPr>
              <w:pStyle w:val="87"/>
              <w:snapToGrid w:val="0"/>
              <w:spacing w:before="0" w:beforeAutospacing="0" w:after="0" w:afterAutospacing="0" w:line="360" w:lineRule="auto"/>
              <w:ind w:right="-53" w:rightChars="0"/>
              <w:jc w:val="both"/>
              <w:textAlignment w:val="baseline"/>
              <w:rPr>
                <w:rFonts w:hint="eastAsia" w:ascii="宋体" w:hAnsi="宋体" w:eastAsia="宋体" w:cs="宋体"/>
                <w:b w:val="0"/>
                <w:i w:val="0"/>
                <w:caps w:val="0"/>
                <w:color w:val="auto"/>
                <w:spacing w:val="0"/>
                <w:w w:val="100"/>
                <w:sz w:val="24"/>
                <w:szCs w:val="24"/>
                <w:highlight w:val="none"/>
                <w:lang w:val="zh-CN" w:eastAsia="zh-CN" w:bidi="ar-SA"/>
              </w:rPr>
            </w:pPr>
            <w:r>
              <w:rPr>
                <w:rFonts w:hint="eastAsia" w:ascii="宋体" w:hAnsi="宋体" w:eastAsia="宋体" w:cs="宋体"/>
                <w:b w:val="0"/>
                <w:i w:val="0"/>
                <w:caps w:val="0"/>
                <w:color w:val="auto"/>
                <w:spacing w:val="0"/>
                <w:w w:val="100"/>
                <w:sz w:val="24"/>
                <w:highlight w:val="none"/>
                <w:lang w:val="en-US" w:eastAsia="zh-CN"/>
              </w:rPr>
              <w:t>供应商磋商须知附表与磋商文件其他描述不一致时，以供应商磋商须知附表为准。</w:t>
            </w:r>
          </w:p>
        </w:tc>
      </w:tr>
    </w:tbl>
    <w:p>
      <w:pPr>
        <w:ind w:left="48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4"/>
        <w:keepNext w:val="0"/>
        <w:keepLines w:val="0"/>
        <w:spacing w:before="0" w:after="0" w:line="360" w:lineRule="auto"/>
        <w:ind w:right="-94" w:rightChars="-39"/>
        <w:rPr>
          <w:rFonts w:hint="eastAsia" w:ascii="宋体" w:hAnsi="宋体" w:eastAsia="宋体" w:cs="宋体"/>
          <w:color w:val="auto"/>
          <w:highlight w:val="none"/>
        </w:rPr>
      </w:pPr>
      <w:r>
        <w:rPr>
          <w:rFonts w:hint="eastAsia" w:ascii="宋体" w:hAnsi="宋体" w:eastAsia="宋体" w:cs="宋体"/>
          <w:color w:val="auto"/>
          <w:highlight w:val="none"/>
        </w:rPr>
        <w:t>二、总则</w:t>
      </w:r>
      <w:bookmarkEnd w:id="71"/>
      <w:bookmarkEnd w:id="72"/>
      <w:bookmarkEnd w:id="73"/>
      <w:bookmarkEnd w:id="74"/>
      <w:bookmarkEnd w:id="75"/>
      <w:bookmarkEnd w:id="76"/>
      <w:bookmarkEnd w:id="77"/>
      <w:bookmarkEnd w:id="78"/>
      <w:bookmarkEnd w:id="79"/>
      <w:bookmarkEnd w:id="80"/>
      <w:bookmarkEnd w:id="81"/>
      <w:bookmarkEnd w:id="82"/>
      <w:bookmarkEnd w:id="83"/>
    </w:p>
    <w:p>
      <w:pPr>
        <w:pStyle w:val="5"/>
        <w:spacing w:before="120" w:afterLines="50" w:line="360" w:lineRule="auto"/>
        <w:ind w:right="-94" w:rightChars="-39" w:firstLine="482"/>
        <w:rPr>
          <w:rFonts w:hint="eastAsia" w:ascii="宋体" w:hAnsi="宋体" w:eastAsia="宋体" w:cs="宋体"/>
          <w:color w:val="auto"/>
          <w:highlight w:val="none"/>
        </w:rPr>
      </w:pPr>
      <w:bookmarkStart w:id="84" w:name="_Toc9171"/>
      <w:bookmarkStart w:id="85" w:name="_Toc3073"/>
      <w:bookmarkStart w:id="86" w:name="_Toc517423470"/>
      <w:bookmarkStart w:id="87" w:name="_Toc20762"/>
      <w:bookmarkStart w:id="88" w:name="_Toc26304"/>
      <w:bookmarkStart w:id="89" w:name="_Toc15449"/>
      <w:bookmarkStart w:id="90" w:name="_Toc18749"/>
      <w:bookmarkStart w:id="91" w:name="_Toc2181"/>
      <w:bookmarkStart w:id="92" w:name="_Toc22331"/>
      <w:bookmarkStart w:id="93" w:name="_Toc2"/>
      <w:bookmarkStart w:id="94" w:name="_Toc517422442"/>
      <w:bookmarkStart w:id="95" w:name="_Toc5084"/>
      <w:r>
        <w:rPr>
          <w:rFonts w:hint="eastAsia" w:ascii="宋体" w:hAnsi="宋体" w:eastAsia="宋体" w:cs="宋体"/>
          <w:color w:val="auto"/>
          <w:highlight w:val="none"/>
        </w:rPr>
        <w:t>1.适用范围</w:t>
      </w:r>
      <w:bookmarkEnd w:id="84"/>
      <w:bookmarkEnd w:id="85"/>
      <w:bookmarkEnd w:id="86"/>
      <w:bookmarkEnd w:id="87"/>
      <w:bookmarkEnd w:id="88"/>
      <w:bookmarkEnd w:id="89"/>
      <w:bookmarkEnd w:id="90"/>
      <w:bookmarkEnd w:id="91"/>
      <w:bookmarkEnd w:id="92"/>
      <w:bookmarkEnd w:id="93"/>
      <w:bookmarkEnd w:id="94"/>
      <w:bookmarkEnd w:id="95"/>
    </w:p>
    <w:p>
      <w:pPr>
        <w:tabs>
          <w:tab w:val="left" w:pos="7665"/>
        </w:tabs>
        <w:spacing w:after="50" w:line="360" w:lineRule="auto"/>
        <w:ind w:right="-94" w:rightChars="-39" w:firstLine="464"/>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1.1本磋商文件仅适用于本次磋商所叙述的服务采购。</w:t>
      </w:r>
    </w:p>
    <w:p>
      <w:pPr>
        <w:tabs>
          <w:tab w:val="left" w:pos="7665"/>
        </w:tabs>
        <w:spacing w:after="50" w:line="360" w:lineRule="auto"/>
        <w:ind w:right="-94" w:rightChars="-39" w:firstLine="464"/>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1.2</w:t>
      </w:r>
      <w:r>
        <w:rPr>
          <w:rFonts w:hint="eastAsia" w:ascii="宋体" w:hAnsi="宋体" w:eastAsia="宋体" w:cs="宋体"/>
          <w:color w:val="auto"/>
          <w:spacing w:val="-4"/>
          <w:szCs w:val="22"/>
          <w:highlight w:val="none"/>
        </w:rPr>
        <w:t>本磋商文件的解</w:t>
      </w:r>
      <w:r>
        <w:rPr>
          <w:rFonts w:hint="eastAsia" w:ascii="宋体" w:hAnsi="宋体" w:eastAsia="宋体" w:cs="宋体"/>
          <w:color w:val="auto"/>
          <w:spacing w:val="-4"/>
          <w:highlight w:val="none"/>
        </w:rPr>
        <w:t>释权归采购人和采购代理机构所有。</w:t>
      </w:r>
    </w:p>
    <w:p>
      <w:pPr>
        <w:pStyle w:val="5"/>
        <w:spacing w:before="120" w:afterLines="50" w:line="360" w:lineRule="auto"/>
        <w:ind w:right="-94" w:rightChars="-39" w:firstLine="482"/>
        <w:rPr>
          <w:rFonts w:hint="eastAsia" w:ascii="宋体" w:hAnsi="宋体" w:eastAsia="宋体" w:cs="宋体"/>
          <w:color w:val="auto"/>
          <w:highlight w:val="none"/>
        </w:rPr>
      </w:pPr>
      <w:bookmarkStart w:id="96" w:name="_Toc183582206"/>
      <w:bookmarkStart w:id="97" w:name="_Toc183682343"/>
      <w:bookmarkStart w:id="98" w:name="_Toc27250"/>
      <w:bookmarkStart w:id="99" w:name="_Toc13932"/>
      <w:bookmarkStart w:id="100" w:name="_Toc17590"/>
      <w:bookmarkStart w:id="101" w:name="_Toc6890"/>
      <w:bookmarkStart w:id="102" w:name="_Toc5394"/>
      <w:bookmarkStart w:id="103" w:name="_Toc600"/>
      <w:bookmarkStart w:id="104" w:name="_Toc4095"/>
      <w:bookmarkStart w:id="105" w:name="_Toc32050"/>
      <w:bookmarkStart w:id="106" w:name="_Toc317509385"/>
      <w:bookmarkStart w:id="107" w:name="_Toc21527"/>
      <w:bookmarkStart w:id="108" w:name="_Toc517422443"/>
      <w:bookmarkStart w:id="109" w:name="_Toc317509232"/>
      <w:bookmarkStart w:id="110" w:name="_Toc15917"/>
      <w:bookmarkStart w:id="111" w:name="_Toc517423471"/>
      <w:bookmarkStart w:id="112" w:name="_Toc217446035"/>
      <w:bookmarkStart w:id="113" w:name="_Toc4131"/>
      <w:bookmarkStart w:id="114" w:name="_Toc31599"/>
      <w:bookmarkStart w:id="115" w:name="_Toc325464816"/>
      <w:bookmarkStart w:id="116" w:name="_Toc325096467"/>
      <w:bookmarkStart w:id="117" w:name="_Toc6540"/>
      <w:r>
        <w:rPr>
          <w:rFonts w:hint="eastAsia" w:ascii="宋体" w:hAnsi="宋体" w:eastAsia="宋体" w:cs="宋体"/>
          <w:color w:val="auto"/>
          <w:highlight w:val="none"/>
        </w:rPr>
        <w:t xml:space="preserve">2. </w:t>
      </w:r>
      <w:bookmarkEnd w:id="96"/>
      <w:bookmarkEnd w:id="97"/>
      <w:r>
        <w:rPr>
          <w:rFonts w:hint="eastAsia" w:ascii="宋体" w:hAnsi="宋体" w:eastAsia="宋体" w:cs="宋体"/>
          <w:color w:val="auto"/>
          <w:highlight w:val="none"/>
        </w:rPr>
        <w:t>采购主体</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spacing w:line="360" w:lineRule="auto"/>
        <w:ind w:right="-94" w:rightChars="-39" w:firstLine="464"/>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2.1 本次磋商的采购人是</w:t>
      </w:r>
      <w:r>
        <w:rPr>
          <w:rFonts w:hint="eastAsia" w:cs="宋体"/>
          <w:b/>
          <w:bCs/>
          <w:color w:val="auto"/>
          <w:spacing w:val="-4"/>
          <w:highlight w:val="none"/>
          <w:u w:val="single"/>
          <w:lang w:eastAsia="zh-CN"/>
        </w:rPr>
        <w:t>彭州市人民医院</w:t>
      </w:r>
      <w:r>
        <w:rPr>
          <w:rFonts w:hint="eastAsia" w:ascii="宋体" w:hAnsi="宋体" w:eastAsia="宋体" w:cs="宋体"/>
          <w:color w:val="auto"/>
          <w:spacing w:val="-4"/>
          <w:highlight w:val="none"/>
        </w:rPr>
        <w:t>；</w:t>
      </w:r>
    </w:p>
    <w:p>
      <w:pPr>
        <w:tabs>
          <w:tab w:val="left" w:pos="7665"/>
        </w:tabs>
        <w:spacing w:after="50" w:line="360" w:lineRule="auto"/>
        <w:ind w:right="-94" w:rightChars="-39" w:firstLine="464"/>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2.2本次磋商的采购代理机构是</w:t>
      </w:r>
      <w:r>
        <w:rPr>
          <w:rFonts w:hint="eastAsia" w:ascii="宋体" w:hAnsi="宋体" w:eastAsia="宋体" w:cs="宋体"/>
          <w:b/>
          <w:color w:val="auto"/>
          <w:spacing w:val="-4"/>
          <w:highlight w:val="none"/>
          <w:u w:val="single"/>
        </w:rPr>
        <w:t>四川至善工程项目管理有限公司</w:t>
      </w:r>
      <w:r>
        <w:rPr>
          <w:rFonts w:hint="eastAsia" w:ascii="宋体" w:hAnsi="宋体" w:eastAsia="宋体" w:cs="宋体"/>
          <w:color w:val="auto"/>
          <w:spacing w:val="-4"/>
          <w:highlight w:val="none"/>
        </w:rPr>
        <w:t>。</w:t>
      </w:r>
    </w:p>
    <w:p>
      <w:pPr>
        <w:pStyle w:val="5"/>
        <w:spacing w:before="120" w:afterLines="50" w:line="360" w:lineRule="auto"/>
        <w:ind w:right="-94" w:rightChars="-39" w:firstLine="482"/>
        <w:rPr>
          <w:rFonts w:hint="eastAsia" w:ascii="宋体" w:hAnsi="宋体" w:eastAsia="宋体" w:cs="宋体"/>
          <w:color w:val="auto"/>
          <w:highlight w:val="none"/>
        </w:rPr>
      </w:pPr>
      <w:bookmarkStart w:id="118" w:name="_Toc4443"/>
      <w:bookmarkStart w:id="119" w:name="_Toc517423472"/>
      <w:bookmarkStart w:id="120" w:name="_Toc517422444"/>
      <w:bookmarkStart w:id="121" w:name="_Toc7173"/>
      <w:bookmarkStart w:id="122" w:name="_Toc14078"/>
      <w:bookmarkStart w:id="123" w:name="_Toc19676"/>
      <w:bookmarkStart w:id="124" w:name="_Toc26728"/>
      <w:bookmarkStart w:id="125" w:name="_Toc20896"/>
      <w:bookmarkStart w:id="126" w:name="_Toc29473"/>
      <w:bookmarkStart w:id="127" w:name="_Toc5520"/>
      <w:bookmarkStart w:id="128" w:name="_Toc25121"/>
      <w:bookmarkStart w:id="129" w:name="_Toc16802"/>
      <w:bookmarkStart w:id="130" w:name="_Toc325464817"/>
      <w:bookmarkStart w:id="131" w:name="_Toc317509386"/>
      <w:bookmarkStart w:id="132" w:name="_Toc217390843"/>
      <w:bookmarkStart w:id="133" w:name="_Toc317509233"/>
      <w:bookmarkStart w:id="134" w:name="_Toc654"/>
      <w:bookmarkStart w:id="135" w:name="_Toc183582207"/>
      <w:bookmarkStart w:id="136" w:name="_Toc217446036"/>
      <w:bookmarkStart w:id="137" w:name="_Toc24747"/>
      <w:bookmarkStart w:id="138" w:name="_Toc325096468"/>
      <w:bookmarkStart w:id="139" w:name="_Toc183682344"/>
      <w:bookmarkStart w:id="140" w:name="_Toc11195"/>
      <w:r>
        <w:rPr>
          <w:rFonts w:hint="eastAsia" w:ascii="宋体" w:hAnsi="宋体" w:eastAsia="宋体" w:cs="宋体"/>
          <w:color w:val="auto"/>
          <w:highlight w:val="none"/>
        </w:rPr>
        <w:t>3. 合格供应商</w:t>
      </w:r>
      <w:bookmarkEnd w:id="118"/>
      <w:bookmarkEnd w:id="119"/>
      <w:bookmarkEnd w:id="120"/>
      <w:bookmarkEnd w:id="121"/>
      <w:bookmarkEnd w:id="122"/>
      <w:bookmarkEnd w:id="123"/>
      <w:bookmarkEnd w:id="124"/>
      <w:bookmarkEnd w:id="125"/>
      <w:bookmarkEnd w:id="126"/>
      <w:bookmarkEnd w:id="127"/>
      <w:bookmarkEnd w:id="128"/>
      <w:bookmarkEnd w:id="129"/>
      <w:r>
        <w:rPr>
          <w:rFonts w:hint="eastAsia" w:ascii="宋体" w:hAnsi="宋体" w:eastAsia="宋体" w:cs="宋体"/>
          <w:color w:val="auto"/>
          <w:highlight w:val="none"/>
        </w:rPr>
        <w:t>（实质性要求）</w:t>
      </w:r>
    </w:p>
    <w:p>
      <w:pPr>
        <w:tabs>
          <w:tab w:val="left" w:pos="7665"/>
        </w:tabs>
        <w:spacing w:after="50" w:line="360" w:lineRule="auto"/>
        <w:ind w:right="-94" w:rightChars="-39" w:firstLine="464"/>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合格供应商应具备以下条件：</w:t>
      </w:r>
    </w:p>
    <w:p>
      <w:pPr>
        <w:tabs>
          <w:tab w:val="left" w:pos="7665"/>
        </w:tabs>
        <w:spacing w:after="50" w:line="360" w:lineRule="auto"/>
        <w:ind w:right="-94" w:rightChars="-39" w:firstLine="464"/>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3.1 具备法律法规和本采购文件规定的资格条件；</w:t>
      </w:r>
    </w:p>
    <w:p>
      <w:pPr>
        <w:tabs>
          <w:tab w:val="left" w:pos="7665"/>
        </w:tabs>
        <w:spacing w:after="50" w:line="360" w:lineRule="auto"/>
        <w:ind w:right="-94" w:rightChars="-39" w:firstLine="464"/>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3.2 不属于禁止参加本项目采购活动的供应商；</w:t>
      </w:r>
    </w:p>
    <w:p>
      <w:pPr>
        <w:tabs>
          <w:tab w:val="left" w:pos="7665"/>
        </w:tabs>
        <w:spacing w:after="50" w:line="360" w:lineRule="auto"/>
        <w:ind w:right="-94" w:rightChars="-39" w:firstLine="464"/>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3.3 按照规定获取了磋商文件，属于实质性参加采购活动的供应商。</w:t>
      </w:r>
      <w:bookmarkEnd w:id="130"/>
      <w:bookmarkEnd w:id="131"/>
      <w:bookmarkEnd w:id="132"/>
      <w:bookmarkEnd w:id="133"/>
      <w:bookmarkEnd w:id="134"/>
      <w:bookmarkEnd w:id="135"/>
      <w:bookmarkEnd w:id="136"/>
      <w:bookmarkEnd w:id="137"/>
      <w:bookmarkEnd w:id="138"/>
      <w:bookmarkEnd w:id="139"/>
      <w:bookmarkEnd w:id="140"/>
    </w:p>
    <w:p>
      <w:pPr>
        <w:pStyle w:val="5"/>
        <w:spacing w:before="120" w:afterLines="50" w:line="360" w:lineRule="auto"/>
        <w:ind w:right="-94" w:rightChars="-39" w:firstLine="482"/>
        <w:rPr>
          <w:rFonts w:hint="eastAsia" w:ascii="宋体" w:hAnsi="宋体" w:eastAsia="宋体" w:cs="宋体"/>
          <w:color w:val="auto"/>
          <w:highlight w:val="none"/>
        </w:rPr>
      </w:pPr>
      <w:bookmarkStart w:id="141" w:name="_Toc26287"/>
      <w:bookmarkStart w:id="142" w:name="_Toc517423473"/>
      <w:bookmarkStart w:id="143" w:name="_Toc18306"/>
      <w:bookmarkStart w:id="144" w:name="_Toc11962"/>
      <w:bookmarkStart w:id="145" w:name="_Toc325096469"/>
      <w:bookmarkStart w:id="146" w:name="_Toc12366"/>
      <w:bookmarkStart w:id="147" w:name="_Toc21892"/>
      <w:bookmarkStart w:id="148" w:name="_Toc317509387"/>
      <w:bookmarkStart w:id="149" w:name="_Toc13572"/>
      <w:bookmarkStart w:id="150" w:name="_Toc517422445"/>
      <w:bookmarkStart w:id="151" w:name="_Toc317509234"/>
      <w:bookmarkStart w:id="152" w:name="_Toc17468"/>
      <w:bookmarkStart w:id="153" w:name="_Toc183582208"/>
      <w:bookmarkStart w:id="154" w:name="_Toc26665"/>
      <w:bookmarkStart w:id="155" w:name="_Toc217446037"/>
      <w:bookmarkStart w:id="156" w:name="_Toc22880"/>
      <w:bookmarkStart w:id="157" w:name="_Toc22025"/>
      <w:bookmarkStart w:id="158" w:name="_Toc183682345"/>
      <w:bookmarkStart w:id="159" w:name="_Toc3473"/>
      <w:bookmarkStart w:id="160" w:name="_Toc25074"/>
      <w:bookmarkStart w:id="161" w:name="_Toc7364"/>
      <w:bookmarkStart w:id="162" w:name="_Toc325464818"/>
      <w:bookmarkStart w:id="163" w:name="_Toc385941213"/>
      <w:r>
        <w:rPr>
          <w:rFonts w:hint="eastAsia" w:ascii="宋体" w:hAnsi="宋体" w:eastAsia="宋体" w:cs="宋体"/>
          <w:color w:val="auto"/>
          <w:highlight w:val="none"/>
        </w:rPr>
        <w:t>4. 磋商费用</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tabs>
          <w:tab w:val="left" w:pos="7665"/>
        </w:tabs>
        <w:spacing w:after="50" w:line="360" w:lineRule="auto"/>
        <w:ind w:right="-94" w:rightChars="-39" w:firstLine="464"/>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供应商应自行承担参加磋商活动的全部费用。</w:t>
      </w:r>
    </w:p>
    <w:p>
      <w:pPr>
        <w:pStyle w:val="5"/>
        <w:spacing w:before="120" w:afterLines="50" w:line="360" w:lineRule="auto"/>
        <w:ind w:right="-94" w:rightChars="-39" w:firstLine="482"/>
        <w:rPr>
          <w:rFonts w:hint="eastAsia" w:ascii="宋体" w:hAnsi="宋体" w:eastAsia="宋体" w:cs="宋体"/>
          <w:color w:val="auto"/>
          <w:highlight w:val="none"/>
        </w:rPr>
      </w:pPr>
      <w:bookmarkStart w:id="164" w:name="_Toc517422446"/>
      <w:bookmarkStart w:id="165" w:name="_Toc27610"/>
      <w:bookmarkStart w:id="166" w:name="_Toc2838"/>
      <w:bookmarkStart w:id="167" w:name="_Toc30137"/>
      <w:bookmarkStart w:id="168" w:name="_Toc10452"/>
      <w:bookmarkStart w:id="169" w:name="_Toc517423474"/>
      <w:bookmarkStart w:id="170" w:name="_Toc13484"/>
      <w:bookmarkStart w:id="171" w:name="_Toc3563"/>
      <w:bookmarkStart w:id="172" w:name="_Toc4369"/>
      <w:bookmarkStart w:id="173" w:name="_Toc5143"/>
      <w:bookmarkStart w:id="174" w:name="_Toc7988"/>
      <w:bookmarkStart w:id="175" w:name="_Toc1696"/>
      <w:r>
        <w:rPr>
          <w:rFonts w:hint="eastAsia" w:ascii="宋体" w:hAnsi="宋体" w:eastAsia="宋体" w:cs="宋体"/>
          <w:color w:val="auto"/>
          <w:highlight w:val="none"/>
        </w:rPr>
        <w:t>5.充分、公平竞争保障措施</w:t>
      </w:r>
      <w:bookmarkEnd w:id="164"/>
      <w:bookmarkEnd w:id="165"/>
      <w:bookmarkEnd w:id="166"/>
      <w:bookmarkEnd w:id="167"/>
      <w:bookmarkEnd w:id="168"/>
      <w:bookmarkEnd w:id="169"/>
      <w:bookmarkEnd w:id="170"/>
      <w:bookmarkEnd w:id="171"/>
      <w:bookmarkEnd w:id="172"/>
      <w:bookmarkEnd w:id="173"/>
      <w:bookmarkEnd w:id="174"/>
      <w:bookmarkEnd w:id="175"/>
      <w:r>
        <w:rPr>
          <w:rFonts w:hint="eastAsia" w:ascii="宋体" w:hAnsi="宋体" w:eastAsia="宋体" w:cs="宋体"/>
          <w:color w:val="auto"/>
          <w:highlight w:val="none"/>
        </w:rPr>
        <w:t>（实质性要求）</w:t>
      </w:r>
    </w:p>
    <w:p>
      <w:pPr>
        <w:tabs>
          <w:tab w:val="left" w:pos="7665"/>
        </w:tabs>
        <w:spacing w:after="50" w:line="360" w:lineRule="auto"/>
        <w:ind w:right="-94" w:rightChars="-39" w:firstLine="464"/>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5.1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响应文件作为无效处理。</w:t>
      </w:r>
    </w:p>
    <w:p>
      <w:pPr>
        <w:tabs>
          <w:tab w:val="left" w:pos="7665"/>
        </w:tabs>
        <w:spacing w:after="50" w:line="360" w:lineRule="auto"/>
        <w:ind w:right="-94" w:rightChars="-39" w:firstLine="464"/>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5.2利害关系授权代表处理。两家以上的供应商不得在同一合同项下的采购项目中，委托同一个自然人、同一家庭的人员、同一单位的人员作为其授权代表，否则，其响应文件作为无效处理。</w:t>
      </w:r>
    </w:p>
    <w:p>
      <w:pPr>
        <w:tabs>
          <w:tab w:val="left" w:pos="7665"/>
        </w:tabs>
        <w:spacing w:after="50" w:line="360" w:lineRule="auto"/>
        <w:ind w:right="-94" w:rightChars="-39" w:firstLine="464"/>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采购合同等实质性内容条款的，视同为采购项目提供规范编制。</w:t>
      </w:r>
    </w:p>
    <w:p>
      <w:pPr>
        <w:tabs>
          <w:tab w:val="left" w:pos="7665"/>
        </w:tabs>
        <w:spacing w:after="50" w:line="360" w:lineRule="auto"/>
        <w:ind w:right="-94" w:rightChars="-39" w:firstLine="464"/>
        <w:rPr>
          <w:rFonts w:hint="eastAsia" w:ascii="宋体" w:hAnsi="宋体" w:eastAsia="宋体" w:cs="宋体"/>
          <w:color w:val="auto"/>
          <w:spacing w:val="-4"/>
          <w:szCs w:val="22"/>
          <w:highlight w:val="none"/>
        </w:rPr>
      </w:pPr>
      <w:r>
        <w:rPr>
          <w:rFonts w:hint="eastAsia" w:ascii="宋体" w:hAnsi="宋体" w:eastAsia="宋体" w:cs="宋体"/>
          <w:color w:val="auto"/>
          <w:spacing w:val="-4"/>
          <w:szCs w:val="22"/>
          <w:highlight w:val="none"/>
        </w:rPr>
        <w:t>5.4提供相同品牌产品处理。提供相同品牌产品且通过资格审查的不同供应商参加同一合同项下采购项目的，按一家供应商计算，评审后得分最高的同品牌供应商获得成交供应商推荐资格；评审得分相同的，由采购人及采购人委托磋商小组自主采取公平、择优的方式确定一个供应商获得成交供应商推荐资格，其他同品牌供应商不作为成交供应商候选人。</w:t>
      </w:r>
    </w:p>
    <w:p>
      <w:pPr>
        <w:tabs>
          <w:tab w:val="left" w:pos="7665"/>
        </w:tabs>
        <w:spacing w:after="50" w:line="360" w:lineRule="auto"/>
        <w:ind w:right="-94" w:rightChars="-39" w:firstLine="464"/>
        <w:rPr>
          <w:rFonts w:hint="eastAsia" w:ascii="宋体" w:hAnsi="宋体" w:eastAsia="宋体" w:cs="宋体"/>
          <w:color w:val="auto"/>
          <w:spacing w:val="-4"/>
          <w:highlight w:val="none"/>
        </w:rPr>
      </w:pPr>
      <w:r>
        <w:rPr>
          <w:rFonts w:hint="eastAsia" w:ascii="宋体" w:hAnsi="宋体" w:eastAsia="宋体" w:cs="宋体"/>
          <w:color w:val="auto"/>
          <w:spacing w:val="-4"/>
          <w:szCs w:val="22"/>
          <w:highlight w:val="none"/>
        </w:rPr>
        <w:t>非单一产品采购项目中，多家供应商提供的部分或所有核心产品品牌相同的，视为提供相同品牌产品。本采购项目核心产品为：</w:t>
      </w:r>
      <w:r>
        <w:rPr>
          <w:rFonts w:hint="eastAsia" w:ascii="宋体" w:hAnsi="宋体" w:eastAsia="宋体" w:cs="宋体"/>
          <w:b/>
          <w:color w:val="auto"/>
          <w:spacing w:val="-4"/>
          <w:szCs w:val="22"/>
          <w:highlight w:val="none"/>
          <w:u w:val="single"/>
        </w:rPr>
        <w:t xml:space="preserve">  //    （本项目不适用） </w:t>
      </w:r>
      <w:r>
        <w:rPr>
          <w:rFonts w:hint="eastAsia" w:ascii="宋体" w:hAnsi="宋体" w:eastAsia="宋体" w:cs="宋体"/>
          <w:b/>
          <w:color w:val="auto"/>
          <w:spacing w:val="-4"/>
          <w:highlight w:val="none"/>
          <w:u w:val="single"/>
        </w:rPr>
        <w:t xml:space="preserve">   </w:t>
      </w:r>
      <w:r>
        <w:rPr>
          <w:rFonts w:hint="eastAsia" w:ascii="宋体" w:hAnsi="宋体" w:eastAsia="宋体" w:cs="宋体"/>
          <w:color w:val="auto"/>
          <w:spacing w:val="-4"/>
          <w:highlight w:val="none"/>
        </w:rPr>
        <w:t>。</w:t>
      </w:r>
    </w:p>
    <w:p>
      <w:pPr>
        <w:tabs>
          <w:tab w:val="left" w:pos="7665"/>
        </w:tabs>
        <w:spacing w:after="50" w:line="360" w:lineRule="auto"/>
        <w:ind w:right="-94" w:rightChars="-39" w:firstLine="464"/>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5.5供应商实际控制人或者中高级管理人员，同时是采购代理机构工作人员，不得参与本项目采购活动。</w:t>
      </w:r>
    </w:p>
    <w:p>
      <w:pPr>
        <w:tabs>
          <w:tab w:val="left" w:pos="7665"/>
        </w:tabs>
        <w:spacing w:after="50" w:line="360" w:lineRule="auto"/>
        <w:ind w:right="-94" w:rightChars="-39" w:firstLine="464"/>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5.6同一母公司的两家以上的子公司只能组成联合体参加本项目同一合同项下的采购活动，不得以不同供应商身份同时参加本项目同一合同项下的采购活动。</w:t>
      </w:r>
    </w:p>
    <w:p>
      <w:pPr>
        <w:tabs>
          <w:tab w:val="left" w:pos="7665"/>
        </w:tabs>
        <w:spacing w:after="50" w:line="360" w:lineRule="auto"/>
        <w:ind w:right="-94" w:rightChars="-39" w:firstLine="464"/>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5.7供应商与采购代理机构存在关联关系，或者是采购代理机构的母公司或子公司，不得参加本项目采购活动。</w:t>
      </w:r>
    </w:p>
    <w:p>
      <w:pPr>
        <w:tabs>
          <w:tab w:val="left" w:pos="7665"/>
        </w:tabs>
        <w:spacing w:after="50" w:line="360" w:lineRule="auto"/>
        <w:ind w:right="-94" w:rightChars="-39" w:firstLine="464"/>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5.8回避。采购活动中，采购人员及相关人员与供应商有下列利害关系之一的，应当回避：</w:t>
      </w:r>
    </w:p>
    <w:p>
      <w:pPr>
        <w:tabs>
          <w:tab w:val="left" w:pos="7665"/>
        </w:tabs>
        <w:spacing w:after="50" w:line="360" w:lineRule="auto"/>
        <w:ind w:right="-94" w:rightChars="-39" w:firstLine="464"/>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（1）参加采购活动前3年内与供应商存在劳动关系；</w:t>
      </w:r>
    </w:p>
    <w:p>
      <w:pPr>
        <w:tabs>
          <w:tab w:val="left" w:pos="7665"/>
        </w:tabs>
        <w:spacing w:after="50" w:line="360" w:lineRule="auto"/>
        <w:ind w:right="-94" w:rightChars="-39" w:firstLine="464"/>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（2）参加采购活动前3年内担任供应商的董事、监事；</w:t>
      </w:r>
    </w:p>
    <w:p>
      <w:pPr>
        <w:tabs>
          <w:tab w:val="left" w:pos="7665"/>
        </w:tabs>
        <w:spacing w:after="50" w:line="360" w:lineRule="auto"/>
        <w:ind w:right="-94" w:rightChars="-39" w:firstLine="464"/>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（3）参加采购活动前3年内是供应商的控股股东或者实际控制人；</w:t>
      </w:r>
    </w:p>
    <w:p>
      <w:pPr>
        <w:tabs>
          <w:tab w:val="left" w:pos="7665"/>
        </w:tabs>
        <w:spacing w:after="50" w:line="360" w:lineRule="auto"/>
        <w:ind w:right="-94" w:rightChars="-39" w:firstLine="464"/>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（4）与供应商的法定代表人或者负责人有夫妻、直系血亲、三代以内旁系血亲或者近姻亲关系；</w:t>
      </w:r>
    </w:p>
    <w:p>
      <w:pPr>
        <w:tabs>
          <w:tab w:val="left" w:pos="7665"/>
        </w:tabs>
        <w:spacing w:afterLines="50" w:line="360" w:lineRule="auto"/>
        <w:ind w:right="-94" w:rightChars="-39" w:firstLine="464"/>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（5）与供应商有其他可能影响采购活动公平、公正进行的关系。</w:t>
      </w:r>
    </w:p>
    <w:p>
      <w:pPr>
        <w:tabs>
          <w:tab w:val="left" w:pos="7665"/>
        </w:tabs>
        <w:spacing w:afterLines="50" w:line="360" w:lineRule="auto"/>
        <w:ind w:right="-94" w:rightChars="-39" w:firstLine="464"/>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本项目采购活动中需要依法回避的采购人员是指采购人内部负责采购项目的具体经办工作人员和直接分管采购项目的负责人，以及采购代理机构负责采购项目的具体经办工作人员和直接分管采购活动的负责人。本项目采购活动中需要依法回避的相关人员是指磋商小组成员。</w:t>
      </w:r>
    </w:p>
    <w:p>
      <w:pPr>
        <w:tabs>
          <w:tab w:val="left" w:pos="7665"/>
        </w:tabs>
        <w:spacing w:afterLines="50" w:line="360" w:lineRule="auto"/>
        <w:ind w:right="-94" w:rightChars="-39" w:firstLine="464"/>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5"/>
        <w:spacing w:before="120" w:afterLines="50" w:line="360" w:lineRule="auto"/>
        <w:ind w:right="-94" w:rightChars="-39" w:firstLine="482"/>
        <w:rPr>
          <w:rFonts w:hint="eastAsia" w:ascii="宋体" w:hAnsi="宋体" w:eastAsia="宋体" w:cs="宋体"/>
          <w:color w:val="auto"/>
          <w:highlight w:val="none"/>
        </w:rPr>
      </w:pPr>
      <w:bookmarkStart w:id="176" w:name="_Toc625"/>
      <w:bookmarkStart w:id="177" w:name="_Toc29547"/>
      <w:bookmarkStart w:id="178" w:name="_Toc25774"/>
      <w:bookmarkStart w:id="179" w:name="_Toc17629"/>
      <w:bookmarkStart w:id="180" w:name="_Toc517423475"/>
      <w:bookmarkStart w:id="181" w:name="_Toc1018"/>
      <w:bookmarkStart w:id="182" w:name="_Toc20988"/>
      <w:bookmarkStart w:id="183" w:name="_Toc517422447"/>
      <w:bookmarkStart w:id="184" w:name="_Toc175"/>
      <w:bookmarkStart w:id="185" w:name="_Toc4587"/>
      <w:bookmarkStart w:id="186" w:name="_Toc21922"/>
      <w:bookmarkStart w:id="187" w:name="_Toc4113"/>
      <w:r>
        <w:rPr>
          <w:rFonts w:hint="eastAsia" w:ascii="宋体" w:hAnsi="宋体" w:eastAsia="宋体" w:cs="宋体"/>
          <w:color w:val="auto"/>
          <w:highlight w:val="none"/>
        </w:rPr>
        <w:t>6.联合体竞争性磋商</w:t>
      </w:r>
      <w:bookmarkEnd w:id="176"/>
      <w:bookmarkEnd w:id="177"/>
      <w:bookmarkEnd w:id="178"/>
      <w:bookmarkEnd w:id="179"/>
      <w:bookmarkEnd w:id="180"/>
      <w:bookmarkEnd w:id="181"/>
      <w:bookmarkEnd w:id="182"/>
      <w:bookmarkEnd w:id="183"/>
      <w:bookmarkEnd w:id="184"/>
      <w:bookmarkEnd w:id="185"/>
      <w:bookmarkEnd w:id="186"/>
      <w:bookmarkEnd w:id="187"/>
      <w:r>
        <w:rPr>
          <w:rFonts w:hint="eastAsia" w:ascii="宋体" w:hAnsi="宋体" w:eastAsia="宋体" w:cs="宋体"/>
          <w:color w:val="auto"/>
          <w:highlight w:val="none"/>
        </w:rPr>
        <w:t>（实质性要求）</w:t>
      </w:r>
    </w:p>
    <w:p>
      <w:pPr>
        <w:pStyle w:val="95"/>
        <w:spacing w:afterLines="50" w:line="360" w:lineRule="auto"/>
        <w:ind w:left="1" w:right="-94" w:rightChars="-39" w:firstLine="480"/>
        <w:rPr>
          <w:rFonts w:hint="eastAsia" w:ascii="宋体" w:hAnsi="宋体" w:eastAsia="宋体" w:cs="宋体"/>
          <w:color w:val="auto"/>
          <w:highlight w:val="none"/>
        </w:rPr>
      </w:pPr>
      <w:r>
        <w:rPr>
          <w:rFonts w:hint="eastAsia" w:ascii="宋体" w:hAnsi="宋体" w:eastAsia="宋体" w:cs="宋体"/>
          <w:color w:val="auto"/>
          <w:sz w:val="24"/>
          <w:highlight w:val="none"/>
        </w:rPr>
        <w:t>本项目</w:t>
      </w:r>
      <w:r>
        <w:rPr>
          <w:rFonts w:hint="eastAsia" w:ascii="宋体" w:hAnsi="宋体" w:eastAsia="宋体" w:cs="宋体"/>
          <w:b/>
          <w:color w:val="auto"/>
          <w:sz w:val="24"/>
          <w:highlight w:val="none"/>
        </w:rPr>
        <w:t>不接受</w:t>
      </w:r>
      <w:r>
        <w:rPr>
          <w:rFonts w:hint="eastAsia" w:ascii="宋体" w:hAnsi="宋体" w:eastAsia="宋体" w:cs="宋体"/>
          <w:color w:val="auto"/>
          <w:sz w:val="24"/>
          <w:highlight w:val="none"/>
        </w:rPr>
        <w:t>联合体参与采购活动。</w:t>
      </w:r>
      <w:bookmarkStart w:id="188" w:name="_Toc17171"/>
      <w:bookmarkStart w:id="189" w:name="_Toc10280"/>
      <w:bookmarkStart w:id="190" w:name="_Toc23943"/>
      <w:bookmarkStart w:id="191" w:name="_Toc3683"/>
      <w:bookmarkStart w:id="192" w:name="_Toc517422448"/>
      <w:bookmarkStart w:id="193" w:name="_Toc200"/>
      <w:bookmarkStart w:id="194" w:name="_Toc17774"/>
      <w:bookmarkStart w:id="195" w:name="_Toc15122"/>
      <w:bookmarkStart w:id="196" w:name="_Toc19913"/>
      <w:bookmarkStart w:id="197" w:name="_Toc27530"/>
      <w:bookmarkStart w:id="198" w:name="_Toc517423476"/>
      <w:bookmarkStart w:id="199" w:name="_Toc2507"/>
    </w:p>
    <w:p>
      <w:pPr>
        <w:pStyle w:val="5"/>
        <w:spacing w:before="120" w:afterLines="50" w:line="360" w:lineRule="auto"/>
        <w:ind w:right="-94" w:rightChars="-39" w:firstLine="482"/>
        <w:rPr>
          <w:rFonts w:hint="eastAsia" w:ascii="宋体" w:hAnsi="宋体" w:eastAsia="宋体" w:cs="宋体"/>
          <w:color w:val="auto"/>
          <w:highlight w:val="none"/>
        </w:rPr>
      </w:pPr>
      <w:r>
        <w:rPr>
          <w:rFonts w:hint="eastAsia" w:ascii="宋体" w:hAnsi="宋体" w:eastAsia="宋体" w:cs="宋体"/>
          <w:color w:val="auto"/>
          <w:highlight w:val="none"/>
        </w:rPr>
        <w:t>7.磋商保证金</w:t>
      </w:r>
      <w:bookmarkEnd w:id="188"/>
      <w:bookmarkEnd w:id="189"/>
      <w:bookmarkEnd w:id="190"/>
      <w:bookmarkEnd w:id="191"/>
      <w:bookmarkEnd w:id="192"/>
      <w:bookmarkEnd w:id="193"/>
      <w:bookmarkEnd w:id="194"/>
      <w:bookmarkEnd w:id="195"/>
      <w:bookmarkEnd w:id="196"/>
      <w:bookmarkEnd w:id="197"/>
      <w:bookmarkEnd w:id="198"/>
      <w:bookmarkEnd w:id="199"/>
    </w:p>
    <w:p>
      <w:pPr>
        <w:spacing w:line="360" w:lineRule="auto"/>
        <w:ind w:firstLine="480"/>
        <w:rPr>
          <w:rFonts w:hint="eastAsia" w:ascii="宋体" w:hAnsi="宋体" w:eastAsia="宋体" w:cs="宋体"/>
          <w:color w:val="auto"/>
          <w:highlight w:val="none"/>
        </w:rPr>
      </w:pPr>
      <w:bookmarkStart w:id="200" w:name="_Toc12405"/>
      <w:bookmarkStart w:id="201" w:name="_Toc31825"/>
      <w:bookmarkStart w:id="202" w:name="_Toc39"/>
      <w:bookmarkStart w:id="203" w:name="_Toc517422449"/>
      <w:bookmarkStart w:id="204" w:name="_Toc3474"/>
      <w:bookmarkStart w:id="205" w:name="_Toc26138"/>
      <w:bookmarkStart w:id="206" w:name="_Toc9061"/>
      <w:bookmarkStart w:id="207" w:name="_Toc1164"/>
      <w:bookmarkStart w:id="208" w:name="_Toc22909"/>
      <w:bookmarkStart w:id="209" w:name="_Toc2258"/>
      <w:bookmarkStart w:id="210" w:name="_Toc517423477"/>
      <w:bookmarkStart w:id="211" w:name="_Toc6236"/>
      <w:r>
        <w:rPr>
          <w:rFonts w:hint="eastAsia" w:ascii="宋体" w:hAnsi="宋体" w:eastAsia="宋体" w:cs="宋体"/>
          <w:color w:val="auto"/>
          <w:highlight w:val="none"/>
        </w:rPr>
        <w:t>本项目不缴纳磋商保证金</w:t>
      </w:r>
    </w:p>
    <w:p>
      <w:pPr>
        <w:pStyle w:val="5"/>
        <w:spacing w:before="120" w:afterLines="50" w:line="360" w:lineRule="auto"/>
        <w:ind w:right="-94" w:rightChars="-39" w:firstLine="482"/>
        <w:rPr>
          <w:rFonts w:hint="eastAsia" w:ascii="宋体" w:hAnsi="宋体" w:eastAsia="宋体" w:cs="宋体"/>
          <w:color w:val="auto"/>
          <w:highlight w:val="none"/>
        </w:rPr>
      </w:pPr>
      <w:r>
        <w:rPr>
          <w:rFonts w:hint="eastAsia" w:ascii="宋体" w:hAnsi="宋体" w:eastAsia="宋体" w:cs="宋体"/>
          <w:color w:val="auto"/>
          <w:highlight w:val="none"/>
        </w:rPr>
        <w:t>8.响应文件有效期</w:t>
      </w:r>
      <w:bookmarkEnd w:id="200"/>
      <w:bookmarkEnd w:id="201"/>
      <w:bookmarkEnd w:id="202"/>
      <w:bookmarkEnd w:id="203"/>
      <w:bookmarkEnd w:id="204"/>
      <w:bookmarkEnd w:id="205"/>
      <w:bookmarkEnd w:id="206"/>
      <w:bookmarkEnd w:id="207"/>
      <w:bookmarkEnd w:id="208"/>
      <w:bookmarkEnd w:id="209"/>
      <w:bookmarkEnd w:id="210"/>
      <w:bookmarkEnd w:id="211"/>
      <w:r>
        <w:rPr>
          <w:rFonts w:hint="eastAsia" w:ascii="宋体" w:hAnsi="宋体" w:eastAsia="宋体" w:cs="宋体"/>
          <w:color w:val="auto"/>
          <w:highlight w:val="none"/>
        </w:rPr>
        <w:t>（实质性要求）</w:t>
      </w:r>
    </w:p>
    <w:p>
      <w:pPr>
        <w:spacing w:afterLines="50"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本项目响应文件有效期为递交磋商响应文件截止之日起</w:t>
      </w:r>
      <w:r>
        <w:rPr>
          <w:rFonts w:hint="eastAsia" w:ascii="宋体" w:hAnsi="宋体" w:eastAsia="宋体" w:cs="宋体"/>
          <w:b/>
          <w:bCs/>
          <w:color w:val="auto"/>
          <w:highlight w:val="none"/>
        </w:rPr>
        <w:t>90天</w:t>
      </w:r>
      <w:r>
        <w:rPr>
          <w:rFonts w:hint="eastAsia" w:ascii="宋体" w:hAnsi="宋体" w:eastAsia="宋体" w:cs="宋体"/>
          <w:color w:val="auto"/>
          <w:highlight w:val="none"/>
        </w:rPr>
        <w:t>。供应商响应文件中必须载明响应文件有效期，响应文件中载明的响应文件有效期可以长于磋商文件规定的期限，但不得短于磋商文件规定的期限。否则，其响应文件将作为无效处理。</w:t>
      </w:r>
    </w:p>
    <w:bookmarkEnd w:id="163"/>
    <w:p>
      <w:pPr>
        <w:pStyle w:val="5"/>
        <w:spacing w:before="120" w:afterLines="50" w:line="360" w:lineRule="auto"/>
        <w:ind w:right="-94" w:rightChars="-39" w:firstLine="482"/>
        <w:rPr>
          <w:rFonts w:hint="eastAsia" w:ascii="宋体" w:hAnsi="宋体" w:eastAsia="宋体" w:cs="宋体"/>
          <w:color w:val="auto"/>
          <w:highlight w:val="none"/>
        </w:rPr>
      </w:pPr>
      <w:bookmarkStart w:id="212" w:name="_Toc15365"/>
      <w:bookmarkStart w:id="213" w:name="_Toc30233"/>
      <w:bookmarkStart w:id="214" w:name="_Toc28319"/>
      <w:bookmarkStart w:id="215" w:name="_Toc4266"/>
      <w:bookmarkStart w:id="216" w:name="_Toc517423478"/>
      <w:bookmarkStart w:id="217" w:name="_Toc517422450"/>
      <w:bookmarkStart w:id="218" w:name="_Toc5967"/>
      <w:bookmarkStart w:id="219" w:name="_Toc22606"/>
      <w:bookmarkStart w:id="220" w:name="_Toc28438"/>
      <w:bookmarkStart w:id="221" w:name="_Toc14772"/>
      <w:bookmarkStart w:id="222" w:name="_Toc24104"/>
      <w:bookmarkStart w:id="223" w:name="_Toc337"/>
      <w:bookmarkStart w:id="224" w:name="_Toc239648584"/>
      <w:r>
        <w:rPr>
          <w:rFonts w:hint="eastAsia" w:ascii="宋体" w:hAnsi="宋体" w:eastAsia="宋体" w:cs="宋体"/>
          <w:color w:val="auto"/>
          <w:highlight w:val="none"/>
        </w:rPr>
        <w:t>9.知识产权</w:t>
      </w:r>
      <w:bookmarkEnd w:id="212"/>
      <w:bookmarkEnd w:id="213"/>
      <w:bookmarkEnd w:id="214"/>
      <w:bookmarkEnd w:id="215"/>
      <w:bookmarkEnd w:id="216"/>
      <w:bookmarkEnd w:id="217"/>
      <w:bookmarkEnd w:id="218"/>
      <w:bookmarkEnd w:id="219"/>
      <w:bookmarkEnd w:id="220"/>
      <w:bookmarkEnd w:id="221"/>
      <w:bookmarkEnd w:id="222"/>
      <w:bookmarkEnd w:id="223"/>
      <w:r>
        <w:rPr>
          <w:rFonts w:hint="eastAsia" w:ascii="宋体" w:hAnsi="宋体" w:eastAsia="宋体" w:cs="宋体"/>
          <w:color w:val="auto"/>
          <w:highlight w:val="none"/>
        </w:rPr>
        <w:t>（实质性要求）</w:t>
      </w:r>
    </w:p>
    <w:p>
      <w:pPr>
        <w:pStyle w:val="16"/>
        <w:spacing w:afterLines="50" w:line="360" w:lineRule="auto"/>
        <w:ind w:right="-94" w:rightChars="-39"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9.1 </w:t>
      </w:r>
      <w:r>
        <w:rPr>
          <w:rFonts w:hint="eastAsia" w:ascii="宋体" w:hAnsi="宋体" w:eastAsia="宋体" w:cs="宋体"/>
          <w:color w:val="auto"/>
          <w:sz w:val="24"/>
          <w:highlight w:val="none"/>
        </w:rPr>
        <w:t>供应商</w:t>
      </w:r>
      <w:r>
        <w:rPr>
          <w:rFonts w:hint="eastAsia" w:ascii="宋体" w:hAnsi="宋体" w:eastAsia="宋体" w:cs="宋体"/>
          <w:color w:val="auto"/>
          <w:sz w:val="24"/>
          <w:szCs w:val="24"/>
          <w:highlight w:val="none"/>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ascii="宋体" w:hAnsi="宋体" w:eastAsia="宋体" w:cs="宋体"/>
          <w:color w:val="auto"/>
          <w:sz w:val="24"/>
          <w:highlight w:val="none"/>
        </w:rPr>
        <w:t>供应商</w:t>
      </w:r>
      <w:r>
        <w:rPr>
          <w:rFonts w:hint="eastAsia" w:ascii="宋体" w:hAnsi="宋体" w:eastAsia="宋体" w:cs="宋体"/>
          <w:color w:val="auto"/>
          <w:sz w:val="24"/>
          <w:szCs w:val="24"/>
          <w:highlight w:val="none"/>
        </w:rPr>
        <w:t>承担所有相关责任。</w:t>
      </w:r>
    </w:p>
    <w:p>
      <w:pPr>
        <w:pStyle w:val="16"/>
        <w:spacing w:afterLines="50" w:line="360" w:lineRule="auto"/>
        <w:ind w:right="-94" w:rightChars="-39"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9.2 除非磋商文件特别规定，采购人享有本项目实施过程中产生的知识成果及知识产权。</w:t>
      </w:r>
    </w:p>
    <w:p>
      <w:pPr>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 xml:space="preserve">9.3 如采用供应商所不拥有的知识产权，则在报价中必须包括合法获取该知识产权的相关费用。 </w:t>
      </w:r>
    </w:p>
    <w:bookmarkEnd w:id="224"/>
    <w:p>
      <w:pPr>
        <w:pStyle w:val="4"/>
        <w:keepNext w:val="0"/>
        <w:keepLines w:val="0"/>
        <w:spacing w:before="0" w:after="0" w:line="360" w:lineRule="auto"/>
        <w:ind w:right="-94" w:rightChars="-39"/>
        <w:rPr>
          <w:rFonts w:hint="eastAsia" w:ascii="宋体" w:hAnsi="宋体" w:eastAsia="宋体" w:cs="宋体"/>
          <w:color w:val="auto"/>
          <w:highlight w:val="none"/>
        </w:rPr>
      </w:pPr>
      <w:bookmarkStart w:id="225" w:name="_Toc23485"/>
      <w:bookmarkStart w:id="226" w:name="_Toc14962"/>
      <w:bookmarkStart w:id="227" w:name="_Toc517423479"/>
      <w:bookmarkStart w:id="228" w:name="_Toc14735"/>
      <w:bookmarkStart w:id="229" w:name="_Toc24784"/>
      <w:bookmarkStart w:id="230" w:name="_Toc11789"/>
      <w:bookmarkStart w:id="231" w:name="_Toc32252"/>
      <w:bookmarkStart w:id="232" w:name="_Toc517422451"/>
      <w:bookmarkStart w:id="233" w:name="_Toc15913"/>
      <w:bookmarkStart w:id="234" w:name="_Toc31263"/>
      <w:bookmarkStart w:id="235" w:name="_Toc32714"/>
      <w:bookmarkStart w:id="236" w:name="_Toc30883"/>
      <w:r>
        <w:rPr>
          <w:rFonts w:hint="eastAsia" w:ascii="宋体" w:hAnsi="宋体" w:eastAsia="宋体" w:cs="宋体"/>
          <w:color w:val="auto"/>
          <w:highlight w:val="none"/>
        </w:rPr>
        <w:t>三、磋商文件</w:t>
      </w:r>
      <w:bookmarkEnd w:id="225"/>
      <w:bookmarkEnd w:id="226"/>
      <w:bookmarkEnd w:id="227"/>
      <w:bookmarkEnd w:id="228"/>
      <w:bookmarkEnd w:id="229"/>
      <w:bookmarkEnd w:id="230"/>
      <w:bookmarkEnd w:id="231"/>
      <w:bookmarkEnd w:id="232"/>
      <w:bookmarkEnd w:id="233"/>
      <w:bookmarkEnd w:id="234"/>
      <w:bookmarkEnd w:id="235"/>
      <w:bookmarkEnd w:id="236"/>
    </w:p>
    <w:p>
      <w:pPr>
        <w:pStyle w:val="5"/>
        <w:spacing w:before="120" w:afterLines="50" w:line="360" w:lineRule="auto"/>
        <w:ind w:right="-94" w:rightChars="-39" w:firstLine="482"/>
        <w:rPr>
          <w:rFonts w:hint="eastAsia" w:ascii="宋体" w:hAnsi="宋体" w:eastAsia="宋体" w:cs="宋体"/>
          <w:color w:val="auto"/>
          <w:highlight w:val="none"/>
          <w:lang w:val="en-US"/>
        </w:rPr>
      </w:pPr>
      <w:bookmarkStart w:id="237" w:name="_Toc29724"/>
      <w:bookmarkStart w:id="238" w:name="_Toc8312"/>
      <w:bookmarkStart w:id="239" w:name="_Toc26755"/>
      <w:bookmarkStart w:id="240" w:name="_Toc12001"/>
      <w:bookmarkStart w:id="241" w:name="_Toc28529"/>
      <w:bookmarkStart w:id="242" w:name="_Toc517422452"/>
      <w:bookmarkStart w:id="243" w:name="_Toc20809"/>
      <w:bookmarkStart w:id="244" w:name="_Toc27622"/>
      <w:bookmarkStart w:id="245" w:name="_Toc734"/>
      <w:bookmarkStart w:id="246" w:name="_Toc11353"/>
      <w:bookmarkStart w:id="247" w:name="_Toc517423480"/>
      <w:bookmarkStart w:id="248" w:name="_Toc3737"/>
      <w:r>
        <w:rPr>
          <w:rFonts w:hint="eastAsia" w:ascii="宋体" w:hAnsi="宋体" w:eastAsia="宋体" w:cs="宋体"/>
          <w:color w:val="auto"/>
          <w:highlight w:val="none"/>
          <w:lang w:val="en-US"/>
        </w:rPr>
        <w:t>10.</w:t>
      </w:r>
      <w:r>
        <w:rPr>
          <w:rFonts w:hint="eastAsia" w:ascii="宋体" w:hAnsi="宋体" w:eastAsia="宋体" w:cs="宋体"/>
          <w:color w:val="auto"/>
          <w:highlight w:val="none"/>
        </w:rPr>
        <w:t>磋商文件的构成</w:t>
      </w:r>
      <w:bookmarkEnd w:id="237"/>
      <w:bookmarkEnd w:id="238"/>
      <w:bookmarkEnd w:id="239"/>
      <w:bookmarkEnd w:id="240"/>
      <w:bookmarkEnd w:id="241"/>
      <w:bookmarkEnd w:id="242"/>
      <w:bookmarkEnd w:id="243"/>
      <w:bookmarkEnd w:id="244"/>
      <w:bookmarkEnd w:id="245"/>
      <w:bookmarkEnd w:id="246"/>
      <w:bookmarkEnd w:id="247"/>
      <w:bookmarkEnd w:id="248"/>
      <w:r>
        <w:rPr>
          <w:rFonts w:hint="eastAsia" w:ascii="宋体" w:hAnsi="宋体" w:eastAsia="宋体" w:cs="宋体"/>
          <w:color w:val="auto"/>
          <w:highlight w:val="none"/>
        </w:rPr>
        <w:t>（实质性要求）</w:t>
      </w:r>
    </w:p>
    <w:p>
      <w:pPr>
        <w:tabs>
          <w:tab w:val="left" w:pos="720"/>
        </w:tabs>
        <w:spacing w:after="50"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10</w:t>
      </w:r>
      <w:r>
        <w:rPr>
          <w:rFonts w:hint="eastAsia" w:ascii="宋体" w:hAnsi="宋体" w:eastAsia="宋体" w:cs="宋体"/>
          <w:b/>
          <w:bCs/>
          <w:color w:val="auto"/>
          <w:highlight w:val="none"/>
        </w:rPr>
        <w:t>.</w:t>
      </w:r>
      <w:r>
        <w:rPr>
          <w:rFonts w:hint="eastAsia" w:ascii="宋体" w:hAnsi="宋体" w:eastAsia="宋体" w:cs="宋体"/>
          <w:color w:val="auto"/>
          <w:highlight w:val="none"/>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after="50"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10</w:t>
      </w:r>
      <w:r>
        <w:rPr>
          <w:rFonts w:hint="eastAsia" w:ascii="宋体" w:hAnsi="宋体" w:eastAsia="宋体" w:cs="宋体"/>
          <w:b/>
          <w:bCs/>
          <w:color w:val="auto"/>
          <w:highlight w:val="none"/>
        </w:rPr>
        <w:t>.</w:t>
      </w:r>
      <w:r>
        <w:rPr>
          <w:rFonts w:hint="eastAsia" w:ascii="宋体" w:hAnsi="宋体" w:eastAsia="宋体" w:cs="宋体"/>
          <w:color w:val="auto"/>
          <w:highlight w:val="none"/>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5"/>
        <w:spacing w:before="120" w:afterLines="50" w:line="360" w:lineRule="auto"/>
        <w:ind w:right="-94" w:rightChars="-39" w:firstLine="482"/>
        <w:rPr>
          <w:rFonts w:hint="eastAsia" w:ascii="宋体" w:hAnsi="宋体" w:eastAsia="宋体" w:cs="宋体"/>
          <w:color w:val="auto"/>
          <w:highlight w:val="none"/>
        </w:rPr>
      </w:pPr>
      <w:bookmarkStart w:id="249" w:name="_Toc517422453"/>
      <w:bookmarkStart w:id="250" w:name="_Toc2596"/>
      <w:bookmarkStart w:id="251" w:name="_Toc31926"/>
      <w:bookmarkStart w:id="252" w:name="_Toc11122"/>
      <w:bookmarkStart w:id="253" w:name="_Toc21686"/>
      <w:bookmarkStart w:id="254" w:name="_Toc19247"/>
      <w:bookmarkStart w:id="255" w:name="_Toc11048"/>
      <w:bookmarkStart w:id="256" w:name="_Toc4491"/>
      <w:bookmarkStart w:id="257" w:name="_Toc30398"/>
      <w:bookmarkStart w:id="258" w:name="_Toc21077"/>
      <w:bookmarkStart w:id="259" w:name="_Toc517423481"/>
      <w:bookmarkStart w:id="260" w:name="_Toc7162"/>
      <w:r>
        <w:rPr>
          <w:rFonts w:hint="eastAsia" w:ascii="宋体" w:hAnsi="宋体" w:eastAsia="宋体" w:cs="宋体"/>
          <w:color w:val="auto"/>
          <w:highlight w:val="none"/>
        </w:rPr>
        <w:t>11.磋商文件的澄清和修改</w:t>
      </w:r>
      <w:bookmarkEnd w:id="249"/>
      <w:bookmarkEnd w:id="250"/>
      <w:bookmarkEnd w:id="251"/>
      <w:bookmarkEnd w:id="252"/>
      <w:bookmarkEnd w:id="253"/>
      <w:bookmarkEnd w:id="254"/>
      <w:bookmarkEnd w:id="255"/>
      <w:bookmarkEnd w:id="256"/>
      <w:bookmarkEnd w:id="257"/>
      <w:bookmarkEnd w:id="258"/>
      <w:bookmarkEnd w:id="259"/>
      <w:bookmarkEnd w:id="260"/>
    </w:p>
    <w:p>
      <w:pPr>
        <w:tabs>
          <w:tab w:val="left" w:pos="720"/>
        </w:tabs>
        <w:spacing w:after="50"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11.1 在递交响应文件截止时间前，采购人、采购代理机构可以对磋商文件进行澄清或者修改。</w:t>
      </w:r>
    </w:p>
    <w:p>
      <w:pPr>
        <w:spacing w:afterLines="50"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11.2 采购代理机构对已发出的磋商文件进行澄清或者修改，应当以书面形式将澄清或者修改的内容通知所有购买了磋商文件的供应商，同时在</w:t>
      </w:r>
      <w:r>
        <w:rPr>
          <w:rFonts w:hint="eastAsia" w:ascii="宋体" w:hAnsi="宋体" w:eastAsia="宋体" w:cs="宋体"/>
          <w:bCs/>
          <w:color w:val="auto"/>
          <w:szCs w:val="22"/>
          <w:highlight w:val="none"/>
          <w:lang w:eastAsia="zh-CN"/>
        </w:rPr>
        <w:t>四川政府采购网发</w:t>
      </w:r>
      <w:r>
        <w:rPr>
          <w:rFonts w:hint="eastAsia" w:ascii="宋体" w:hAnsi="宋体" w:eastAsia="宋体" w:cs="宋体"/>
          <w:color w:val="auto"/>
          <w:szCs w:val="22"/>
          <w:highlight w:val="none"/>
        </w:rPr>
        <w:t>布更正公告。该澄清或者修改的内容为磋商文件的组成部分，澄清</w:t>
      </w:r>
      <w:r>
        <w:rPr>
          <w:rFonts w:hint="eastAsia" w:ascii="宋体" w:hAnsi="宋体" w:eastAsia="宋体" w:cs="宋体"/>
          <w:color w:val="auto"/>
          <w:highlight w:val="none"/>
        </w:rPr>
        <w:t>或者修改的内容可能影响响应文件编制的，采购人或者采购代理机构发布公告并书面通知供应商的时间，应当在提交首次响应文件截止之日起5日前；不足上述时间的，应当顺延递交响应文件的截止时间。</w:t>
      </w:r>
    </w:p>
    <w:p>
      <w:pPr>
        <w:tabs>
          <w:tab w:val="left" w:pos="720"/>
        </w:tabs>
        <w:spacing w:after="50"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11.3供应商认为采购人/采购代理机构需要对磋商文件进行澄清或者修改的，可以在递交响应文件截止时间5日前以书面形式向采购人/采购代理机构提出申请，由采购人/采购代理机构决定是否采纳供应商的申请事项。</w:t>
      </w:r>
    </w:p>
    <w:p>
      <w:pPr>
        <w:pStyle w:val="5"/>
        <w:spacing w:before="120" w:afterLines="50" w:line="360" w:lineRule="auto"/>
        <w:ind w:right="-94" w:rightChars="-39" w:firstLine="482"/>
        <w:rPr>
          <w:rFonts w:hint="eastAsia" w:ascii="宋体" w:hAnsi="宋体" w:eastAsia="宋体" w:cs="宋体"/>
          <w:color w:val="auto"/>
          <w:highlight w:val="none"/>
        </w:rPr>
      </w:pPr>
      <w:bookmarkStart w:id="261" w:name="_Toc6361"/>
      <w:bookmarkStart w:id="262" w:name="_Toc9962"/>
      <w:bookmarkStart w:id="263" w:name="_Toc517422454"/>
      <w:bookmarkStart w:id="264" w:name="_Toc517423482"/>
      <w:bookmarkStart w:id="265" w:name="_Toc26726"/>
      <w:bookmarkStart w:id="266" w:name="_Toc25579"/>
      <w:bookmarkStart w:id="267" w:name="_Toc20018"/>
      <w:bookmarkStart w:id="268" w:name="_Toc5213"/>
      <w:bookmarkStart w:id="269" w:name="_Toc18140"/>
      <w:bookmarkStart w:id="270" w:name="_Toc8864"/>
      <w:bookmarkStart w:id="271" w:name="_Toc29456"/>
      <w:bookmarkStart w:id="272" w:name="_Toc23658"/>
      <w:r>
        <w:rPr>
          <w:rFonts w:hint="eastAsia" w:ascii="宋体" w:hAnsi="宋体" w:eastAsia="宋体" w:cs="宋体"/>
          <w:color w:val="auto"/>
          <w:highlight w:val="none"/>
        </w:rPr>
        <w:t>12.答疑会和现场考察</w:t>
      </w:r>
      <w:bookmarkEnd w:id="261"/>
      <w:bookmarkEnd w:id="262"/>
      <w:bookmarkEnd w:id="263"/>
      <w:bookmarkEnd w:id="264"/>
      <w:bookmarkEnd w:id="265"/>
      <w:bookmarkEnd w:id="266"/>
      <w:bookmarkEnd w:id="267"/>
      <w:bookmarkEnd w:id="268"/>
      <w:bookmarkEnd w:id="269"/>
      <w:bookmarkEnd w:id="270"/>
      <w:bookmarkEnd w:id="271"/>
      <w:bookmarkEnd w:id="272"/>
    </w:p>
    <w:p>
      <w:pPr>
        <w:spacing w:after="50"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12.1 根据采购项目和具体情况，采购人、采购代理机构认为有必要，可以在磋商文件提供期限截止后响应文件提交截止前，组织已获取磋商文件的潜在供应商现场考察或者召开答疑会。</w:t>
      </w:r>
    </w:p>
    <w:p>
      <w:pPr>
        <w:spacing w:after="50"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adjustRightInd w:val="0"/>
        <w:snapToGrid w:val="0"/>
        <w:spacing w:after="50" w:line="360" w:lineRule="auto"/>
        <w:ind w:right="-94" w:rightChars="-39" w:firstLine="420" w:firstLineChars="175"/>
        <w:rPr>
          <w:rFonts w:hint="eastAsia" w:ascii="宋体" w:hAnsi="宋体" w:eastAsia="宋体" w:cs="宋体"/>
          <w:color w:val="auto"/>
          <w:highlight w:val="none"/>
        </w:rPr>
      </w:pPr>
      <w:r>
        <w:rPr>
          <w:rFonts w:hint="eastAsia" w:ascii="宋体" w:hAnsi="宋体" w:eastAsia="宋体" w:cs="宋体"/>
          <w:color w:val="auto"/>
          <w:highlight w:val="none"/>
        </w:rPr>
        <w:t>12.3 供应商考察现场或者参加答疑会所发生的一切费用由供应商自己承担。</w:t>
      </w:r>
    </w:p>
    <w:p>
      <w:pPr>
        <w:pStyle w:val="4"/>
        <w:keepNext w:val="0"/>
        <w:keepLines w:val="0"/>
        <w:spacing w:before="0" w:after="0" w:line="360" w:lineRule="auto"/>
        <w:ind w:right="-94" w:rightChars="-39"/>
        <w:rPr>
          <w:rFonts w:hint="eastAsia" w:ascii="宋体" w:hAnsi="宋体" w:eastAsia="宋体" w:cs="宋体"/>
          <w:color w:val="auto"/>
          <w:highlight w:val="none"/>
        </w:rPr>
      </w:pPr>
      <w:bookmarkStart w:id="273" w:name="_Toc18182"/>
      <w:bookmarkStart w:id="274" w:name="_Toc26259"/>
      <w:bookmarkStart w:id="275" w:name="_Toc31809"/>
      <w:bookmarkStart w:id="276" w:name="_Toc5773"/>
      <w:bookmarkStart w:id="277" w:name="_Toc6951"/>
      <w:bookmarkStart w:id="278" w:name="_Toc6684"/>
      <w:bookmarkStart w:id="279" w:name="_Toc16244"/>
      <w:bookmarkStart w:id="280" w:name="_Toc3872"/>
      <w:bookmarkStart w:id="281" w:name="_Toc517422455"/>
      <w:bookmarkStart w:id="282" w:name="_Toc517423483"/>
      <w:bookmarkStart w:id="283" w:name="_Toc25148"/>
      <w:bookmarkStart w:id="284" w:name="_Toc23752"/>
    </w:p>
    <w:p>
      <w:pPr>
        <w:pStyle w:val="4"/>
        <w:keepNext w:val="0"/>
        <w:keepLines w:val="0"/>
        <w:spacing w:before="0" w:after="0" w:line="360" w:lineRule="auto"/>
        <w:ind w:right="-94" w:rightChars="-39"/>
        <w:rPr>
          <w:rFonts w:hint="eastAsia" w:ascii="宋体" w:hAnsi="宋体" w:eastAsia="宋体" w:cs="宋体"/>
          <w:color w:val="auto"/>
          <w:highlight w:val="none"/>
        </w:rPr>
      </w:pPr>
    </w:p>
    <w:p>
      <w:pPr>
        <w:pStyle w:val="4"/>
        <w:keepNext w:val="0"/>
        <w:keepLines w:val="0"/>
        <w:spacing w:before="0" w:after="0" w:line="360" w:lineRule="auto"/>
        <w:ind w:right="-94" w:rightChars="-39"/>
        <w:rPr>
          <w:rFonts w:hint="eastAsia" w:ascii="宋体" w:hAnsi="宋体" w:eastAsia="宋体" w:cs="宋体"/>
          <w:color w:val="auto"/>
          <w:highlight w:val="none"/>
        </w:rPr>
      </w:pPr>
      <w:r>
        <w:rPr>
          <w:rFonts w:hint="eastAsia" w:ascii="宋体" w:hAnsi="宋体" w:eastAsia="宋体" w:cs="宋体"/>
          <w:color w:val="auto"/>
          <w:highlight w:val="none"/>
        </w:rPr>
        <w:t>四、响应文件</w:t>
      </w:r>
      <w:bookmarkEnd w:id="273"/>
      <w:bookmarkEnd w:id="274"/>
      <w:bookmarkEnd w:id="275"/>
      <w:bookmarkEnd w:id="276"/>
      <w:bookmarkEnd w:id="277"/>
      <w:bookmarkEnd w:id="278"/>
      <w:bookmarkEnd w:id="279"/>
      <w:bookmarkEnd w:id="280"/>
      <w:bookmarkEnd w:id="281"/>
      <w:bookmarkEnd w:id="282"/>
      <w:bookmarkEnd w:id="283"/>
      <w:bookmarkEnd w:id="284"/>
    </w:p>
    <w:p>
      <w:pPr>
        <w:pStyle w:val="5"/>
        <w:spacing w:before="120" w:afterLines="50" w:line="360" w:lineRule="auto"/>
        <w:ind w:right="-94" w:rightChars="-39" w:firstLine="482"/>
        <w:rPr>
          <w:rFonts w:hint="eastAsia" w:ascii="宋体" w:hAnsi="宋体" w:eastAsia="宋体" w:cs="宋体"/>
          <w:color w:val="auto"/>
          <w:highlight w:val="none"/>
        </w:rPr>
      </w:pPr>
      <w:bookmarkStart w:id="285" w:name="_Toc29567"/>
      <w:bookmarkStart w:id="286" w:name="_Toc32290"/>
      <w:bookmarkStart w:id="287" w:name="_Toc25633"/>
      <w:bookmarkStart w:id="288" w:name="_Toc29959"/>
      <w:bookmarkStart w:id="289" w:name="_Toc29093"/>
      <w:bookmarkStart w:id="290" w:name="_Toc3401"/>
      <w:bookmarkStart w:id="291" w:name="_Toc517422456"/>
      <w:bookmarkStart w:id="292" w:name="_Toc20904"/>
      <w:bookmarkStart w:id="293" w:name="_Toc517423484"/>
      <w:bookmarkStart w:id="294" w:name="_Toc22807"/>
      <w:bookmarkStart w:id="295" w:name="_Toc23198"/>
      <w:bookmarkStart w:id="296" w:name="_Toc11055"/>
      <w:r>
        <w:rPr>
          <w:rFonts w:hint="eastAsia" w:ascii="宋体" w:hAnsi="宋体" w:eastAsia="宋体" w:cs="宋体"/>
          <w:color w:val="auto"/>
          <w:highlight w:val="none"/>
        </w:rPr>
        <w:t>13.响应文件的组成</w:t>
      </w:r>
      <w:bookmarkEnd w:id="285"/>
      <w:bookmarkEnd w:id="286"/>
      <w:bookmarkEnd w:id="287"/>
      <w:bookmarkEnd w:id="288"/>
      <w:bookmarkEnd w:id="289"/>
      <w:bookmarkEnd w:id="290"/>
      <w:bookmarkEnd w:id="291"/>
      <w:bookmarkEnd w:id="292"/>
      <w:bookmarkEnd w:id="293"/>
      <w:bookmarkEnd w:id="294"/>
      <w:bookmarkEnd w:id="295"/>
      <w:bookmarkEnd w:id="296"/>
      <w:r>
        <w:rPr>
          <w:rFonts w:hint="eastAsia" w:ascii="宋体" w:hAnsi="宋体" w:eastAsia="宋体" w:cs="宋体"/>
          <w:color w:val="auto"/>
          <w:highlight w:val="none"/>
        </w:rPr>
        <w:t>（实质性要求）</w:t>
      </w:r>
    </w:p>
    <w:p>
      <w:pPr>
        <w:spacing w:afterLines="50" w:line="360" w:lineRule="auto"/>
        <w:ind w:left="2" w:leftChars="1"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供应商应按照磋商文件的规定和要求编制响应文件。供应商在成交后将成交项目的非主体、非关键性工作分包他人完成的，应当在响应文件中载明或磋商过程中澄清。供应商编写的响应文件应包括</w:t>
      </w:r>
      <w:r>
        <w:rPr>
          <w:rFonts w:hint="eastAsia" w:ascii="宋体" w:hAnsi="宋体" w:eastAsia="宋体" w:cs="宋体"/>
          <w:b/>
          <w:color w:val="auto"/>
          <w:highlight w:val="none"/>
        </w:rPr>
        <w:t>资格性响应文件和其他响应文件两部分</w:t>
      </w:r>
      <w:r>
        <w:rPr>
          <w:rFonts w:hint="eastAsia" w:ascii="宋体" w:hAnsi="宋体" w:eastAsia="宋体" w:cs="宋体"/>
          <w:color w:val="auto"/>
          <w:highlight w:val="none"/>
        </w:rPr>
        <w:t>。</w:t>
      </w:r>
    </w:p>
    <w:p>
      <w:pPr>
        <w:pStyle w:val="5"/>
        <w:spacing w:before="120" w:afterLines="50" w:line="360" w:lineRule="auto"/>
        <w:ind w:right="-94" w:rightChars="-39" w:firstLine="482"/>
        <w:rPr>
          <w:rFonts w:hint="eastAsia" w:ascii="宋体" w:hAnsi="宋体" w:eastAsia="宋体" w:cs="宋体"/>
          <w:color w:val="auto"/>
          <w:highlight w:val="none"/>
        </w:rPr>
      </w:pPr>
      <w:bookmarkStart w:id="297" w:name="_Toc32021"/>
      <w:bookmarkStart w:id="298" w:name="_Toc31046"/>
      <w:bookmarkStart w:id="299" w:name="_Toc3037"/>
      <w:bookmarkStart w:id="300" w:name="_Toc12032"/>
      <w:bookmarkStart w:id="301" w:name="_Toc26688"/>
      <w:bookmarkStart w:id="302" w:name="_Toc517422457"/>
      <w:bookmarkStart w:id="303" w:name="_Toc16339"/>
      <w:bookmarkStart w:id="304" w:name="_Toc7918"/>
      <w:bookmarkStart w:id="305" w:name="_Toc12235"/>
      <w:bookmarkStart w:id="306" w:name="_Toc25292"/>
      <w:bookmarkStart w:id="307" w:name="_Toc8927"/>
      <w:bookmarkStart w:id="308" w:name="_Toc517423485"/>
      <w:r>
        <w:rPr>
          <w:rFonts w:hint="eastAsia" w:ascii="宋体" w:hAnsi="宋体" w:eastAsia="宋体" w:cs="宋体"/>
          <w:color w:val="auto"/>
          <w:highlight w:val="none"/>
        </w:rPr>
        <w:t>14.响应文件的语言</w:t>
      </w:r>
      <w:bookmarkEnd w:id="297"/>
      <w:bookmarkEnd w:id="298"/>
      <w:bookmarkEnd w:id="299"/>
      <w:bookmarkEnd w:id="300"/>
      <w:bookmarkEnd w:id="301"/>
      <w:bookmarkEnd w:id="302"/>
      <w:bookmarkEnd w:id="303"/>
      <w:bookmarkEnd w:id="304"/>
      <w:bookmarkEnd w:id="305"/>
      <w:bookmarkEnd w:id="306"/>
      <w:bookmarkEnd w:id="307"/>
      <w:bookmarkEnd w:id="308"/>
      <w:r>
        <w:rPr>
          <w:rFonts w:hint="eastAsia" w:ascii="宋体" w:hAnsi="宋体" w:eastAsia="宋体" w:cs="宋体"/>
          <w:color w:val="auto"/>
          <w:highlight w:val="none"/>
        </w:rPr>
        <w:t>（实质性要求）</w:t>
      </w:r>
    </w:p>
    <w:p>
      <w:pPr>
        <w:spacing w:afterLines="50"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14.1 供应商提交的响应文件以及供应商与采购人、采购代理机构就有关报价的所有来往书面文件均须使用中文。</w:t>
      </w:r>
      <w:r>
        <w:rPr>
          <w:rFonts w:hint="eastAsia" w:ascii="宋体" w:hAnsi="宋体" w:eastAsia="宋体" w:cs="宋体"/>
          <w:b/>
          <w:color w:val="auto"/>
          <w:highlight w:val="none"/>
        </w:rPr>
        <w:t>响应文件中如附有外文资料，必须逐一对应翻译成中文并加盖供应商公章后附在相关外文资料后面，否则，视为未提供该资料。</w:t>
      </w:r>
      <w:r>
        <w:rPr>
          <w:rFonts w:hint="eastAsia" w:ascii="宋体" w:hAnsi="宋体" w:eastAsia="宋体" w:cs="宋体"/>
          <w:color w:val="auto"/>
          <w:highlight w:val="none"/>
        </w:rPr>
        <w:t>（说明：对于供应商的法定代表人为外籍人士的，法定代表人的签字和护照、行业标准、国家标准、国际标准或行业认证等需要以非中文表述且不宜翻译为中文的除外。）</w:t>
      </w:r>
    </w:p>
    <w:p>
      <w:pPr>
        <w:spacing w:afterLines="50"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14.2 翻译的中文资料与外文资料如果出现差异和矛盾，以中文为准。但不能故意错误翻译，否则</w:t>
      </w:r>
      <w:r>
        <w:rPr>
          <w:rFonts w:hint="eastAsia" w:ascii="宋体" w:hAnsi="宋体" w:eastAsia="宋体" w:cs="宋体"/>
          <w:color w:val="auto"/>
          <w:szCs w:val="22"/>
          <w:highlight w:val="none"/>
        </w:rPr>
        <w:t>，磋商小组可将其视为无效材料。</w:t>
      </w:r>
    </w:p>
    <w:p>
      <w:pPr>
        <w:pStyle w:val="5"/>
        <w:spacing w:before="120" w:afterLines="50" w:line="360" w:lineRule="auto"/>
        <w:ind w:right="-94" w:rightChars="-39" w:firstLine="482"/>
        <w:rPr>
          <w:rFonts w:hint="eastAsia" w:ascii="宋体" w:hAnsi="宋体" w:eastAsia="宋体" w:cs="宋体"/>
          <w:color w:val="auto"/>
          <w:highlight w:val="none"/>
        </w:rPr>
      </w:pPr>
      <w:bookmarkStart w:id="309" w:name="_Toc17184"/>
      <w:bookmarkStart w:id="310" w:name="_Toc2256"/>
      <w:bookmarkStart w:id="311" w:name="_Toc14188"/>
      <w:bookmarkStart w:id="312" w:name="_Toc30814"/>
      <w:bookmarkStart w:id="313" w:name="_Toc14849"/>
      <w:bookmarkStart w:id="314" w:name="_Toc30662"/>
      <w:bookmarkStart w:id="315" w:name="_Toc22946"/>
      <w:bookmarkStart w:id="316" w:name="_Toc517422458"/>
      <w:bookmarkStart w:id="317" w:name="_Toc27951"/>
      <w:bookmarkStart w:id="318" w:name="_Toc29932"/>
      <w:bookmarkStart w:id="319" w:name="_Toc517423486"/>
      <w:bookmarkStart w:id="320" w:name="_Toc31111"/>
      <w:r>
        <w:rPr>
          <w:rFonts w:hint="eastAsia" w:ascii="宋体" w:hAnsi="宋体" w:eastAsia="宋体" w:cs="宋体"/>
          <w:color w:val="auto"/>
          <w:highlight w:val="none"/>
        </w:rPr>
        <w:t>15.计量单位</w:t>
      </w:r>
      <w:bookmarkEnd w:id="309"/>
      <w:bookmarkEnd w:id="310"/>
      <w:bookmarkEnd w:id="311"/>
      <w:bookmarkEnd w:id="312"/>
      <w:bookmarkEnd w:id="313"/>
      <w:bookmarkEnd w:id="314"/>
      <w:bookmarkEnd w:id="315"/>
      <w:bookmarkEnd w:id="316"/>
      <w:bookmarkEnd w:id="317"/>
      <w:bookmarkEnd w:id="318"/>
      <w:bookmarkEnd w:id="319"/>
      <w:bookmarkEnd w:id="320"/>
      <w:r>
        <w:rPr>
          <w:rFonts w:hint="eastAsia" w:ascii="宋体" w:hAnsi="宋体" w:eastAsia="宋体" w:cs="宋体"/>
          <w:color w:val="auto"/>
          <w:highlight w:val="none"/>
        </w:rPr>
        <w:t>（实质性要求）</w:t>
      </w:r>
    </w:p>
    <w:p>
      <w:pPr>
        <w:spacing w:afterLines="50" w:line="360" w:lineRule="auto"/>
        <w:ind w:right="-94" w:rightChars="-39" w:firstLine="470" w:firstLineChars="196"/>
        <w:rPr>
          <w:rFonts w:hint="eastAsia" w:ascii="宋体" w:hAnsi="宋体" w:eastAsia="宋体" w:cs="宋体"/>
          <w:color w:val="auto"/>
          <w:highlight w:val="none"/>
        </w:rPr>
      </w:pPr>
      <w:r>
        <w:rPr>
          <w:rFonts w:hint="eastAsia" w:ascii="宋体" w:hAnsi="宋体" w:eastAsia="宋体" w:cs="宋体"/>
          <w:color w:val="auto"/>
          <w:highlight w:val="none"/>
        </w:rPr>
        <w:t>除磋商文件中另有规定外，本次采购项目所有合同项下的报价均采用国家法定的计量单位。</w:t>
      </w:r>
    </w:p>
    <w:p>
      <w:pPr>
        <w:pStyle w:val="5"/>
        <w:spacing w:before="120" w:afterLines="50" w:line="360" w:lineRule="auto"/>
        <w:ind w:right="-94" w:rightChars="-39" w:firstLine="482"/>
        <w:rPr>
          <w:rFonts w:hint="eastAsia" w:ascii="宋体" w:hAnsi="宋体" w:eastAsia="宋体" w:cs="宋体"/>
          <w:color w:val="auto"/>
          <w:highlight w:val="none"/>
        </w:rPr>
      </w:pPr>
      <w:bookmarkStart w:id="321" w:name="_Toc3371"/>
      <w:bookmarkStart w:id="322" w:name="_Toc5282"/>
      <w:bookmarkStart w:id="323" w:name="_Toc517422459"/>
      <w:bookmarkStart w:id="324" w:name="_Toc25364"/>
      <w:bookmarkStart w:id="325" w:name="_Toc8427"/>
      <w:bookmarkStart w:id="326" w:name="_Toc26047"/>
      <w:bookmarkStart w:id="327" w:name="_Toc19995"/>
      <w:bookmarkStart w:id="328" w:name="_Toc5484"/>
      <w:bookmarkStart w:id="329" w:name="_Toc517423487"/>
      <w:bookmarkStart w:id="330" w:name="_Toc1766"/>
      <w:bookmarkStart w:id="331" w:name="_Toc19133"/>
      <w:bookmarkStart w:id="332" w:name="_Toc31842"/>
      <w:r>
        <w:rPr>
          <w:rFonts w:hint="eastAsia" w:ascii="宋体" w:hAnsi="宋体" w:eastAsia="宋体" w:cs="宋体"/>
          <w:color w:val="auto"/>
          <w:highlight w:val="none"/>
        </w:rPr>
        <w:t>16. 报价部分</w:t>
      </w:r>
      <w:bookmarkEnd w:id="321"/>
      <w:bookmarkEnd w:id="322"/>
      <w:bookmarkEnd w:id="323"/>
      <w:bookmarkEnd w:id="324"/>
      <w:bookmarkEnd w:id="325"/>
      <w:bookmarkEnd w:id="326"/>
      <w:bookmarkEnd w:id="327"/>
      <w:bookmarkEnd w:id="328"/>
      <w:bookmarkEnd w:id="329"/>
      <w:bookmarkEnd w:id="330"/>
      <w:bookmarkEnd w:id="331"/>
      <w:bookmarkEnd w:id="332"/>
      <w:r>
        <w:rPr>
          <w:rFonts w:hint="eastAsia" w:ascii="宋体" w:hAnsi="宋体" w:eastAsia="宋体" w:cs="宋体"/>
          <w:color w:val="auto"/>
          <w:highlight w:val="none"/>
        </w:rPr>
        <w:t>（实质性要求）</w:t>
      </w:r>
    </w:p>
    <w:p>
      <w:pPr>
        <w:spacing w:afterLines="50" w:line="360" w:lineRule="auto"/>
        <w:ind w:right="-94" w:rightChars="-39" w:firstLine="470" w:firstLineChars="196"/>
        <w:rPr>
          <w:rFonts w:hint="eastAsia" w:ascii="宋体" w:hAnsi="宋体" w:eastAsia="宋体" w:cs="宋体"/>
          <w:color w:val="auto"/>
          <w:highlight w:val="none"/>
        </w:rPr>
      </w:pPr>
      <w:r>
        <w:rPr>
          <w:rFonts w:hint="eastAsia" w:ascii="宋体" w:hAnsi="宋体" w:eastAsia="宋体" w:cs="宋体"/>
          <w:bCs/>
          <w:color w:val="auto"/>
          <w:highlight w:val="none"/>
        </w:rPr>
        <w:t>供应商</w:t>
      </w:r>
      <w:r>
        <w:rPr>
          <w:rFonts w:hint="eastAsia" w:ascii="宋体" w:hAnsi="宋体" w:eastAsia="宋体" w:cs="宋体"/>
          <w:color w:val="auto"/>
          <w:highlight w:val="none"/>
        </w:rPr>
        <w:t>按照磋商文件要求填写的磋商报价表。本次磋商报价要求：</w:t>
      </w:r>
    </w:p>
    <w:p>
      <w:pPr>
        <w:pStyle w:val="92"/>
        <w:spacing w:afterLines="50" w:line="360" w:lineRule="auto"/>
        <w:ind w:right="-94" w:rightChars="-39"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（1）所有报价货币一律以人民币报价。采购人不接受任何非人民币币种的报价。</w:t>
      </w:r>
    </w:p>
    <w:p>
      <w:pPr>
        <w:pStyle w:val="92"/>
        <w:spacing w:afterLines="50" w:line="360" w:lineRule="auto"/>
        <w:ind w:right="-94" w:rightChars="-39" w:firstLine="48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（2）本次磋商采购最后报价采用现场报价，通过资格审查的供应商按磋商小组要求进行报价。</w:t>
      </w:r>
    </w:p>
    <w:p>
      <w:pPr>
        <w:pStyle w:val="92"/>
        <w:spacing w:afterLines="50" w:line="360" w:lineRule="auto"/>
        <w:ind w:right="-94" w:rightChars="-39" w:firstLine="480"/>
        <w:rPr>
          <w:rFonts w:hint="eastAsia" w:ascii="宋体" w:hAnsi="宋体" w:eastAsia="宋体" w:cs="宋体"/>
          <w:bCs/>
          <w:color w:val="auto"/>
          <w:sz w:val="24"/>
          <w:highlight w:val="none"/>
        </w:rPr>
      </w:pPr>
      <w:r>
        <w:rPr>
          <w:rFonts w:hint="eastAsia" w:ascii="宋体" w:hAnsi="宋体" w:eastAsia="宋体" w:cs="宋体"/>
          <w:color w:val="auto"/>
          <w:sz w:val="24"/>
          <w:highlight w:val="none"/>
        </w:rPr>
        <w:t>（3）</w:t>
      </w:r>
      <w:r>
        <w:rPr>
          <w:rFonts w:hint="eastAsia" w:ascii="宋体" w:hAnsi="宋体" w:eastAsia="宋体" w:cs="宋体"/>
          <w:color w:val="auto"/>
          <w:sz w:val="24"/>
          <w:highlight w:val="none"/>
          <w:lang w:val="zh-CN"/>
        </w:rPr>
        <w:t>供应商报价(包括最后报价)应为完成本竞争性磋商文件中所要求的</w:t>
      </w:r>
      <w:r>
        <w:rPr>
          <w:rFonts w:hint="eastAsia" w:ascii="宋体" w:hAnsi="宋体" w:eastAsia="宋体" w:cs="宋体"/>
          <w:color w:val="auto"/>
          <w:sz w:val="24"/>
          <w:highlight w:val="none"/>
        </w:rPr>
        <w:t>服务</w:t>
      </w:r>
      <w:r>
        <w:rPr>
          <w:rFonts w:hint="eastAsia" w:ascii="宋体" w:hAnsi="宋体" w:eastAsia="宋体" w:cs="宋体"/>
          <w:color w:val="auto"/>
          <w:sz w:val="24"/>
          <w:highlight w:val="none"/>
          <w:lang w:val="zh-CN"/>
        </w:rPr>
        <w:t>所应包括内容的所有价格。</w:t>
      </w:r>
    </w:p>
    <w:p>
      <w:pPr>
        <w:pStyle w:val="92"/>
        <w:spacing w:afterLines="50" w:line="360" w:lineRule="auto"/>
        <w:ind w:right="-94" w:rightChars="-39" w:firstLine="48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（4）成交供应商的成交价是以最后报价表的报价为准</w:t>
      </w:r>
      <w:r>
        <w:rPr>
          <w:rFonts w:hint="eastAsia" w:ascii="宋体" w:hAnsi="宋体" w:eastAsia="宋体" w:cs="宋体"/>
          <w:b/>
          <w:bCs/>
          <w:color w:val="auto"/>
          <w:sz w:val="24"/>
          <w:highlight w:val="none"/>
        </w:rPr>
        <w:t>(在磋商现场由评审委员会通知现场报价，最后报价表格式详见第六章)，</w:t>
      </w:r>
      <w:r>
        <w:rPr>
          <w:rFonts w:hint="eastAsia" w:ascii="宋体" w:hAnsi="宋体" w:eastAsia="宋体" w:cs="宋体"/>
          <w:bCs/>
          <w:color w:val="auto"/>
          <w:sz w:val="24"/>
          <w:highlight w:val="none"/>
        </w:rPr>
        <w:t>并以此作为结算的依据。</w:t>
      </w:r>
    </w:p>
    <w:p>
      <w:pPr>
        <w:pStyle w:val="92"/>
        <w:spacing w:afterLines="50" w:line="360" w:lineRule="auto"/>
        <w:ind w:right="-94" w:rightChars="-39"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（5）供应商提交的最后报价不得超过本项目采购控制价和报价函中的报价，否则将被作为无效响应文件处理。</w:t>
      </w:r>
    </w:p>
    <w:p>
      <w:pPr>
        <w:spacing w:afterLines="50" w:line="360" w:lineRule="auto"/>
        <w:ind w:left="2" w:leftChars="1" w:right="-94" w:rightChars="-39" w:firstLine="472" w:firstLineChars="197"/>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w:t>
      </w:r>
      <w:r>
        <w:rPr>
          <w:rFonts w:hint="eastAsia" w:ascii="宋体" w:hAnsi="宋体" w:eastAsia="宋体" w:cs="宋体"/>
          <w:color w:val="auto"/>
          <w:highlight w:val="none"/>
        </w:rPr>
        <w:t>6</w:t>
      </w:r>
      <w:r>
        <w:rPr>
          <w:rFonts w:hint="eastAsia" w:ascii="宋体" w:hAnsi="宋体" w:eastAsia="宋体" w:cs="宋体"/>
          <w:color w:val="auto"/>
          <w:highlight w:val="none"/>
          <w:lang w:val="zh-CN"/>
        </w:rPr>
        <w:t>）供应商的失信行为受到行政处罚或司法惩处的，不得再对其以价格加成或扣分的方式进行惩戒。</w:t>
      </w:r>
    </w:p>
    <w:p>
      <w:pPr>
        <w:pStyle w:val="5"/>
        <w:spacing w:before="120" w:afterLines="50" w:line="360" w:lineRule="auto"/>
        <w:ind w:right="-94" w:rightChars="-39" w:firstLine="482"/>
        <w:rPr>
          <w:rFonts w:hint="eastAsia" w:ascii="宋体" w:hAnsi="宋体" w:eastAsia="宋体" w:cs="宋体"/>
          <w:color w:val="auto"/>
          <w:highlight w:val="none"/>
        </w:rPr>
      </w:pPr>
      <w:bookmarkStart w:id="333" w:name="_Toc517423488"/>
      <w:bookmarkStart w:id="334" w:name="_Toc30200"/>
      <w:bookmarkStart w:id="335" w:name="_Toc32296"/>
      <w:bookmarkStart w:id="336" w:name="_Toc5558"/>
      <w:bookmarkStart w:id="337" w:name="_Toc517422460"/>
      <w:bookmarkStart w:id="338" w:name="_Toc3022"/>
      <w:bookmarkStart w:id="339" w:name="_Toc16249"/>
      <w:bookmarkStart w:id="340" w:name="_Toc25204"/>
      <w:bookmarkStart w:id="341" w:name="_Toc29489"/>
      <w:bookmarkStart w:id="342" w:name="_Toc14064"/>
      <w:bookmarkStart w:id="343" w:name="_Toc745"/>
      <w:bookmarkStart w:id="344" w:name="_Toc27069"/>
      <w:r>
        <w:rPr>
          <w:rFonts w:hint="eastAsia" w:ascii="宋体" w:hAnsi="宋体" w:eastAsia="宋体" w:cs="宋体"/>
          <w:color w:val="auto"/>
          <w:highlight w:val="none"/>
        </w:rPr>
        <w:t>17.响应文件格式</w:t>
      </w:r>
      <w:bookmarkEnd w:id="333"/>
      <w:bookmarkEnd w:id="334"/>
      <w:bookmarkEnd w:id="335"/>
      <w:bookmarkEnd w:id="336"/>
      <w:bookmarkEnd w:id="337"/>
      <w:bookmarkEnd w:id="338"/>
      <w:bookmarkEnd w:id="339"/>
      <w:bookmarkEnd w:id="340"/>
      <w:bookmarkEnd w:id="341"/>
      <w:bookmarkEnd w:id="342"/>
      <w:bookmarkEnd w:id="343"/>
      <w:bookmarkEnd w:id="344"/>
    </w:p>
    <w:p>
      <w:pPr>
        <w:spacing w:afterLines="50" w:line="360" w:lineRule="auto"/>
        <w:ind w:left="2" w:leftChars="1" w:right="-94" w:rightChars="-39" w:firstLine="480"/>
        <w:rPr>
          <w:rFonts w:hint="eastAsia" w:ascii="宋体" w:hAnsi="宋体" w:eastAsia="宋体" w:cs="宋体"/>
          <w:bCs/>
          <w:color w:val="auto"/>
          <w:highlight w:val="none"/>
        </w:rPr>
      </w:pPr>
      <w:r>
        <w:rPr>
          <w:rFonts w:hint="eastAsia" w:ascii="宋体" w:hAnsi="宋体" w:eastAsia="宋体" w:cs="宋体"/>
          <w:bCs/>
          <w:color w:val="auto"/>
          <w:highlight w:val="none"/>
        </w:rPr>
        <w:t>17.1 供应商应执行磋商文件第六章的规定要求。</w:t>
      </w:r>
    </w:p>
    <w:p>
      <w:pPr>
        <w:spacing w:afterLines="50" w:line="360" w:lineRule="auto"/>
        <w:ind w:left="2" w:leftChars="1"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17.2 对于没有格式要求的磋商文件由供应商自行编写。</w:t>
      </w:r>
    </w:p>
    <w:p>
      <w:pPr>
        <w:pStyle w:val="5"/>
        <w:spacing w:before="120" w:afterLines="50" w:line="360" w:lineRule="auto"/>
        <w:ind w:right="-94" w:rightChars="-39" w:firstLine="482"/>
        <w:rPr>
          <w:rFonts w:hint="eastAsia" w:ascii="宋体" w:hAnsi="宋体" w:eastAsia="宋体" w:cs="宋体"/>
          <w:color w:val="auto"/>
          <w:kern w:val="0"/>
          <w:szCs w:val="22"/>
          <w:highlight w:val="none"/>
          <w:lang w:val="en-US"/>
        </w:rPr>
      </w:pPr>
      <w:bookmarkStart w:id="345" w:name="_Toc13355"/>
      <w:bookmarkStart w:id="346" w:name="_Toc517422461"/>
      <w:bookmarkStart w:id="347" w:name="_Toc5107"/>
      <w:bookmarkStart w:id="348" w:name="_Toc29834"/>
      <w:bookmarkStart w:id="349" w:name="_Toc517423489"/>
      <w:bookmarkStart w:id="350" w:name="_Toc2669"/>
      <w:bookmarkStart w:id="351" w:name="_Toc3109"/>
      <w:bookmarkStart w:id="352" w:name="_Toc31297"/>
      <w:bookmarkStart w:id="353" w:name="_Toc7931"/>
      <w:bookmarkStart w:id="354" w:name="_Toc11402"/>
      <w:bookmarkStart w:id="355" w:name="_Toc16447"/>
      <w:bookmarkStart w:id="356" w:name="_Toc18518"/>
      <w:r>
        <w:rPr>
          <w:rFonts w:hint="eastAsia" w:ascii="宋体" w:hAnsi="宋体" w:eastAsia="宋体" w:cs="宋体"/>
          <w:color w:val="auto"/>
          <w:highlight w:val="none"/>
        </w:rPr>
        <w:t>1</w:t>
      </w:r>
      <w:r>
        <w:rPr>
          <w:rFonts w:hint="eastAsia" w:ascii="宋体" w:hAnsi="宋体" w:eastAsia="宋体" w:cs="宋体"/>
          <w:color w:val="auto"/>
          <w:kern w:val="0"/>
          <w:szCs w:val="22"/>
          <w:highlight w:val="none"/>
          <w:lang w:val="en-US"/>
        </w:rPr>
        <w:t>8.响应文件的编制和签署</w:t>
      </w:r>
      <w:bookmarkEnd w:id="345"/>
      <w:bookmarkEnd w:id="346"/>
      <w:bookmarkEnd w:id="347"/>
      <w:bookmarkEnd w:id="348"/>
      <w:bookmarkEnd w:id="349"/>
      <w:bookmarkEnd w:id="350"/>
      <w:bookmarkEnd w:id="351"/>
      <w:bookmarkEnd w:id="352"/>
      <w:bookmarkEnd w:id="353"/>
      <w:bookmarkEnd w:id="354"/>
      <w:bookmarkEnd w:id="355"/>
      <w:bookmarkEnd w:id="356"/>
    </w:p>
    <w:p>
      <w:pPr>
        <w:tabs>
          <w:tab w:val="left" w:pos="1080"/>
        </w:tabs>
        <w:snapToGrid w:val="0"/>
        <w:spacing w:before="0" w:beforeAutospacing="0" w:after="163" w:afterAutospacing="0" w:line="360" w:lineRule="auto"/>
        <w:ind w:right="-93" w:firstLine="460" w:firstLineChars="192"/>
        <w:jc w:val="both"/>
        <w:textAlignment w:val="baseline"/>
        <w:rPr>
          <w:rFonts w:hint="eastAsia" w:ascii="宋体" w:hAnsi="宋体" w:eastAsia="宋体" w:cs="宋体"/>
          <w:b w:val="0"/>
          <w:i w:val="0"/>
          <w:caps w:val="0"/>
          <w:color w:val="auto"/>
          <w:spacing w:val="0"/>
          <w:w w:val="100"/>
          <w:sz w:val="20"/>
        </w:rPr>
      </w:pPr>
      <w:bookmarkStart w:id="357" w:name="_Toc28145"/>
      <w:bookmarkStart w:id="358" w:name="_Toc32023"/>
      <w:bookmarkStart w:id="359" w:name="_Toc15231"/>
      <w:bookmarkStart w:id="360" w:name="_Toc22099"/>
      <w:bookmarkStart w:id="361" w:name="_Toc29732"/>
      <w:bookmarkStart w:id="362" w:name="_Toc24371"/>
      <w:bookmarkStart w:id="363" w:name="_Toc9868"/>
      <w:bookmarkStart w:id="364" w:name="_Toc23433"/>
      <w:bookmarkStart w:id="365" w:name="_Toc13428"/>
      <w:bookmarkStart w:id="366" w:name="_Toc517423490"/>
      <w:bookmarkStart w:id="367" w:name="_Toc517422462"/>
      <w:bookmarkStart w:id="368" w:name="_Toc29092"/>
      <w:r>
        <w:rPr>
          <w:rFonts w:hint="eastAsia" w:ascii="宋体" w:hAnsi="宋体" w:eastAsia="宋体" w:cs="宋体"/>
          <w:b w:val="0"/>
          <w:i w:val="0"/>
          <w:caps w:val="0"/>
          <w:color w:val="auto"/>
          <w:spacing w:val="0"/>
          <w:w w:val="100"/>
          <w:sz w:val="24"/>
        </w:rPr>
        <w:t>18.1</w:t>
      </w:r>
      <w:r>
        <w:rPr>
          <w:rFonts w:hint="eastAsia" w:ascii="宋体" w:hAnsi="宋体" w:eastAsia="宋体" w:cs="宋体"/>
          <w:b/>
          <w:i w:val="0"/>
          <w:caps w:val="0"/>
          <w:color w:val="auto"/>
          <w:spacing w:val="0"/>
          <w:w w:val="100"/>
          <w:sz w:val="24"/>
        </w:rPr>
        <w:t>资格性响应文件正本1份副本2份</w:t>
      </w:r>
      <w:r>
        <w:rPr>
          <w:rFonts w:hint="eastAsia" w:ascii="宋体" w:hAnsi="宋体" w:eastAsia="宋体" w:cs="宋体"/>
          <w:b w:val="0"/>
          <w:i w:val="0"/>
          <w:caps w:val="0"/>
          <w:color w:val="auto"/>
          <w:spacing w:val="0"/>
          <w:w w:val="100"/>
          <w:sz w:val="24"/>
        </w:rPr>
        <w:t>，并在其封面上清楚地标明资格性响应文件、采购项目名称、采购项目编号、包件号及名称（若有）、供应商名称以及“正本”或“副本”字样。若正本和副本有不一致的内容，以正本书面响应文件为准。</w:t>
      </w:r>
    </w:p>
    <w:p>
      <w:pPr>
        <w:tabs>
          <w:tab w:val="left" w:pos="1080"/>
        </w:tabs>
        <w:snapToGrid w:val="0"/>
        <w:spacing w:before="0" w:beforeAutospacing="0" w:after="163" w:afterAutospacing="0" w:line="360" w:lineRule="auto"/>
        <w:ind w:right="-93" w:firstLine="460" w:firstLineChars="192"/>
        <w:jc w:val="both"/>
        <w:textAlignment w:val="baseline"/>
        <w:rPr>
          <w:rFonts w:hint="eastAsia" w:ascii="宋体" w:hAnsi="宋体" w:eastAsia="宋体" w:cs="宋体"/>
          <w:b w:val="0"/>
          <w:i w:val="0"/>
          <w:caps w:val="0"/>
          <w:color w:val="auto"/>
          <w:spacing w:val="0"/>
          <w:w w:val="100"/>
          <w:sz w:val="20"/>
        </w:rPr>
      </w:pPr>
      <w:r>
        <w:rPr>
          <w:rFonts w:hint="eastAsia" w:ascii="宋体" w:hAnsi="宋体" w:eastAsia="宋体" w:cs="宋体"/>
          <w:b w:val="0"/>
          <w:i w:val="0"/>
          <w:caps w:val="0"/>
          <w:color w:val="auto"/>
          <w:spacing w:val="0"/>
          <w:w w:val="100"/>
          <w:sz w:val="24"/>
        </w:rPr>
        <w:t>18.2</w:t>
      </w:r>
      <w:r>
        <w:rPr>
          <w:rFonts w:hint="eastAsia" w:ascii="宋体" w:hAnsi="宋体" w:eastAsia="宋体" w:cs="宋体"/>
          <w:b/>
          <w:i w:val="0"/>
          <w:caps w:val="0"/>
          <w:color w:val="auto"/>
          <w:spacing w:val="0"/>
          <w:w w:val="100"/>
          <w:sz w:val="24"/>
          <w:szCs w:val="22"/>
        </w:rPr>
        <w:t>其他响应</w:t>
      </w:r>
      <w:r>
        <w:rPr>
          <w:rFonts w:hint="eastAsia" w:ascii="宋体" w:hAnsi="宋体" w:eastAsia="宋体" w:cs="宋体"/>
          <w:b/>
          <w:i w:val="0"/>
          <w:caps w:val="0"/>
          <w:color w:val="auto"/>
          <w:spacing w:val="0"/>
          <w:w w:val="100"/>
          <w:sz w:val="24"/>
        </w:rPr>
        <w:t>文件正本1份副本2份</w:t>
      </w:r>
      <w:r>
        <w:rPr>
          <w:rFonts w:hint="eastAsia" w:ascii="宋体" w:hAnsi="宋体" w:eastAsia="宋体" w:cs="宋体"/>
          <w:b w:val="0"/>
          <w:i w:val="0"/>
          <w:caps w:val="0"/>
          <w:color w:val="auto"/>
          <w:spacing w:val="0"/>
          <w:w w:val="100"/>
          <w:sz w:val="24"/>
        </w:rPr>
        <w:t>，并在其封面上清楚地标明其他响应文件、采购项目名称、采购项目编号、包件号及名称（若有）、供应商名称以及“正本”或“副本”字样。若正本和副本有不一致的内容，以正本书面响应文件为准。</w:t>
      </w:r>
    </w:p>
    <w:p>
      <w:pPr>
        <w:tabs>
          <w:tab w:val="left" w:pos="1080"/>
        </w:tabs>
        <w:snapToGrid w:val="0"/>
        <w:spacing w:before="0" w:beforeAutospacing="0" w:after="163" w:afterAutospacing="0" w:line="360" w:lineRule="auto"/>
        <w:ind w:right="-93" w:firstLine="460" w:firstLineChars="192"/>
        <w:jc w:val="both"/>
        <w:textAlignment w:val="baseline"/>
        <w:rPr>
          <w:rFonts w:hint="eastAsia" w:ascii="宋体" w:hAnsi="宋体" w:eastAsia="宋体" w:cs="宋体"/>
          <w:b w:val="0"/>
          <w:i w:val="0"/>
          <w:caps w:val="0"/>
          <w:color w:val="auto"/>
          <w:spacing w:val="0"/>
          <w:w w:val="100"/>
          <w:sz w:val="20"/>
        </w:rPr>
      </w:pPr>
      <w:r>
        <w:rPr>
          <w:rFonts w:hint="eastAsia" w:ascii="宋体" w:hAnsi="宋体" w:eastAsia="宋体" w:cs="宋体"/>
          <w:b w:val="0"/>
          <w:i w:val="0"/>
          <w:caps w:val="0"/>
          <w:color w:val="auto"/>
          <w:spacing w:val="0"/>
          <w:w w:val="100"/>
          <w:sz w:val="24"/>
        </w:rPr>
        <w:t>18.3响应文件正本和副本均需在规定签章处签字和盖章。响应文件副本可采用正本的复印件</w:t>
      </w:r>
      <w:r>
        <w:rPr>
          <w:rFonts w:hint="eastAsia" w:ascii="宋体" w:hAnsi="宋体" w:eastAsia="宋体" w:cs="宋体"/>
          <w:b/>
          <w:i w:val="0"/>
          <w:caps w:val="0"/>
          <w:color w:val="auto"/>
          <w:spacing w:val="0"/>
          <w:w w:val="100"/>
          <w:sz w:val="24"/>
        </w:rPr>
        <w:t>。（本项目须提供电子文档，电子文档以U盘形式递交）</w:t>
      </w:r>
    </w:p>
    <w:p>
      <w:pPr>
        <w:tabs>
          <w:tab w:val="left" w:pos="1080"/>
        </w:tabs>
        <w:snapToGrid w:val="0"/>
        <w:spacing w:before="0" w:beforeAutospacing="0" w:after="163" w:afterAutospacing="0" w:line="360" w:lineRule="auto"/>
        <w:ind w:right="-93" w:firstLine="460" w:firstLineChars="192"/>
        <w:jc w:val="both"/>
        <w:textAlignment w:val="baseline"/>
        <w:rPr>
          <w:rFonts w:hint="eastAsia" w:ascii="宋体" w:hAnsi="宋体" w:eastAsia="宋体" w:cs="宋体"/>
          <w:b w:val="0"/>
          <w:i w:val="0"/>
          <w:caps w:val="0"/>
          <w:color w:val="auto"/>
          <w:spacing w:val="0"/>
          <w:w w:val="100"/>
          <w:sz w:val="20"/>
        </w:rPr>
      </w:pPr>
      <w:r>
        <w:rPr>
          <w:rFonts w:hint="eastAsia" w:ascii="宋体" w:hAnsi="宋体" w:eastAsia="宋体" w:cs="宋体"/>
          <w:b w:val="0"/>
          <w:i w:val="0"/>
          <w:caps w:val="0"/>
          <w:color w:val="auto"/>
          <w:spacing w:val="0"/>
          <w:w w:val="100"/>
          <w:sz w:val="24"/>
        </w:rPr>
        <w:t>18.4响应文件的打印和书写应清楚工整，任何行间插字、涂改或增删，必须由供应商的法定代表人或其授权代表签字并盖供应商公章。</w:t>
      </w:r>
    </w:p>
    <w:p>
      <w:pPr>
        <w:tabs>
          <w:tab w:val="left" w:pos="1080"/>
        </w:tabs>
        <w:snapToGrid w:val="0"/>
        <w:spacing w:before="0" w:beforeAutospacing="0" w:after="163" w:afterAutospacing="0" w:line="360" w:lineRule="auto"/>
        <w:ind w:right="-93" w:firstLine="460" w:firstLineChars="192"/>
        <w:jc w:val="both"/>
        <w:textAlignment w:val="baseline"/>
        <w:rPr>
          <w:rFonts w:hint="eastAsia" w:ascii="宋体" w:hAnsi="宋体" w:eastAsia="宋体" w:cs="宋体"/>
          <w:b w:val="0"/>
          <w:i w:val="0"/>
          <w:caps w:val="0"/>
          <w:color w:val="auto"/>
          <w:spacing w:val="0"/>
          <w:w w:val="100"/>
          <w:sz w:val="20"/>
        </w:rPr>
      </w:pPr>
      <w:r>
        <w:rPr>
          <w:rFonts w:hint="eastAsia" w:ascii="宋体" w:hAnsi="宋体" w:eastAsia="宋体" w:cs="宋体"/>
          <w:b w:val="0"/>
          <w:i w:val="0"/>
          <w:caps w:val="0"/>
          <w:color w:val="auto"/>
          <w:spacing w:val="0"/>
          <w:w w:val="100"/>
          <w:sz w:val="24"/>
        </w:rPr>
        <w:t>18.5</w:t>
      </w:r>
      <w:r>
        <w:rPr>
          <w:rFonts w:hint="eastAsia" w:ascii="宋体" w:hAnsi="宋体" w:eastAsia="宋体" w:cs="宋体"/>
          <w:b/>
          <w:i w:val="0"/>
          <w:caps w:val="0"/>
          <w:color w:val="auto"/>
          <w:spacing w:val="0"/>
          <w:w w:val="100"/>
          <w:sz w:val="24"/>
        </w:rPr>
        <w:t>（实质性要求）</w:t>
      </w:r>
      <w:r>
        <w:rPr>
          <w:rFonts w:hint="eastAsia" w:ascii="宋体" w:hAnsi="宋体" w:eastAsia="宋体" w:cs="宋体"/>
          <w:b w:val="0"/>
          <w:i w:val="0"/>
          <w:caps w:val="0"/>
          <w:color w:val="auto"/>
          <w:spacing w:val="0"/>
          <w:w w:val="100"/>
          <w:sz w:val="24"/>
        </w:rPr>
        <w:t>响应文件应由供应商法定代表人/主要负责人/本人或其授权代表在响应文件要求的地方签字（或加盖私人印章），要求加盖公章的地方加盖单位公章，不得使用专用章（如经济合同章、投标专用章等）或下属单位印章代替。</w:t>
      </w:r>
    </w:p>
    <w:p>
      <w:pPr>
        <w:tabs>
          <w:tab w:val="left" w:pos="1080"/>
        </w:tabs>
        <w:snapToGrid w:val="0"/>
        <w:spacing w:before="0" w:beforeAutospacing="0" w:after="163" w:afterAutospacing="0" w:line="360" w:lineRule="auto"/>
        <w:ind w:right="-93" w:firstLine="460" w:firstLineChars="192"/>
        <w:jc w:val="both"/>
        <w:textAlignment w:val="baseline"/>
        <w:rPr>
          <w:rFonts w:hint="eastAsia" w:ascii="宋体" w:hAnsi="宋体" w:eastAsia="宋体" w:cs="宋体"/>
          <w:b w:val="0"/>
          <w:i w:val="0"/>
          <w:caps w:val="0"/>
          <w:color w:val="auto"/>
          <w:spacing w:val="0"/>
          <w:w w:val="100"/>
          <w:sz w:val="20"/>
        </w:rPr>
      </w:pPr>
      <w:r>
        <w:rPr>
          <w:rFonts w:hint="eastAsia" w:ascii="宋体" w:hAnsi="宋体" w:eastAsia="宋体" w:cs="宋体"/>
          <w:b w:val="0"/>
          <w:i w:val="0"/>
          <w:caps w:val="0"/>
          <w:color w:val="auto"/>
          <w:spacing w:val="0"/>
          <w:w w:val="100"/>
          <w:sz w:val="24"/>
        </w:rPr>
        <w:t>18.6响应文件正本和副本需要逐页编制目录和页码。</w:t>
      </w:r>
    </w:p>
    <w:p>
      <w:pPr>
        <w:tabs>
          <w:tab w:val="left" w:pos="1080"/>
        </w:tabs>
        <w:snapToGrid w:val="0"/>
        <w:spacing w:before="0" w:beforeAutospacing="0" w:after="163" w:afterAutospacing="0" w:line="360" w:lineRule="auto"/>
        <w:ind w:right="-93" w:firstLine="460" w:firstLineChars="192"/>
        <w:jc w:val="both"/>
        <w:textAlignment w:val="baseline"/>
        <w:rPr>
          <w:rFonts w:hint="eastAsia" w:ascii="宋体" w:hAnsi="宋体" w:eastAsia="宋体" w:cs="宋体"/>
          <w:b w:val="0"/>
          <w:i w:val="0"/>
          <w:caps w:val="0"/>
          <w:color w:val="auto"/>
          <w:spacing w:val="0"/>
          <w:w w:val="100"/>
          <w:sz w:val="20"/>
        </w:rPr>
      </w:pPr>
      <w:r>
        <w:rPr>
          <w:rFonts w:hint="eastAsia" w:ascii="宋体" w:hAnsi="宋体" w:eastAsia="宋体" w:cs="宋体"/>
          <w:b w:val="0"/>
          <w:i w:val="0"/>
          <w:caps w:val="0"/>
          <w:color w:val="auto"/>
          <w:spacing w:val="0"/>
          <w:w w:val="100"/>
          <w:sz w:val="24"/>
        </w:rPr>
        <w:t>18.7</w:t>
      </w:r>
      <w:r>
        <w:rPr>
          <w:rFonts w:hint="eastAsia" w:ascii="宋体" w:hAnsi="宋体" w:eastAsia="宋体" w:cs="宋体"/>
          <w:b/>
          <w:i w:val="0"/>
          <w:caps w:val="0"/>
          <w:color w:val="auto"/>
          <w:spacing w:val="0"/>
          <w:w w:val="100"/>
          <w:sz w:val="24"/>
        </w:rPr>
        <w:t>（实质性要求）</w:t>
      </w:r>
      <w:r>
        <w:rPr>
          <w:rFonts w:hint="eastAsia" w:ascii="宋体" w:hAnsi="宋体" w:eastAsia="宋体" w:cs="宋体"/>
          <w:b w:val="0"/>
          <w:i w:val="0"/>
          <w:caps w:val="0"/>
          <w:color w:val="auto"/>
          <w:spacing w:val="0"/>
          <w:w w:val="100"/>
          <w:sz w:val="24"/>
        </w:rPr>
        <w:t>响应文件正本和副本应当采用胶装方式装订成册，不得散装或者合页装订。</w:t>
      </w:r>
    </w:p>
    <w:p>
      <w:pPr>
        <w:tabs>
          <w:tab w:val="left" w:pos="1080"/>
        </w:tabs>
        <w:snapToGrid w:val="0"/>
        <w:spacing w:before="0" w:beforeAutospacing="0" w:after="163" w:afterAutospacing="0" w:line="360" w:lineRule="auto"/>
        <w:ind w:right="-93" w:firstLine="460" w:firstLineChars="192"/>
        <w:jc w:val="both"/>
        <w:textAlignment w:val="baseline"/>
        <w:rPr>
          <w:rFonts w:hint="eastAsia" w:ascii="宋体" w:hAnsi="宋体" w:eastAsia="宋体" w:cs="宋体"/>
          <w:b w:val="0"/>
          <w:i w:val="0"/>
          <w:caps w:val="0"/>
          <w:color w:val="auto"/>
          <w:spacing w:val="0"/>
          <w:w w:val="100"/>
          <w:sz w:val="20"/>
        </w:rPr>
      </w:pPr>
      <w:r>
        <w:rPr>
          <w:rFonts w:hint="eastAsia" w:ascii="宋体" w:hAnsi="宋体" w:eastAsia="宋体" w:cs="宋体"/>
          <w:b w:val="0"/>
          <w:i w:val="0"/>
          <w:caps w:val="0"/>
          <w:color w:val="auto"/>
          <w:spacing w:val="0"/>
          <w:w w:val="100"/>
          <w:sz w:val="24"/>
        </w:rPr>
        <w:t>18.8响应文件应根据磋商文件的要求制作，签署、盖章。（按照《四川省政府采购评审工作规程（修订）》规范）</w:t>
      </w:r>
    </w:p>
    <w:p>
      <w:pPr>
        <w:tabs>
          <w:tab w:val="left" w:pos="1080"/>
        </w:tabs>
        <w:snapToGrid w:val="0"/>
        <w:spacing w:before="0" w:beforeAutospacing="0" w:after="163" w:afterAutospacing="0" w:line="360" w:lineRule="auto"/>
        <w:ind w:right="-93" w:firstLine="460" w:firstLineChars="192"/>
        <w:jc w:val="both"/>
        <w:textAlignment w:val="baseline"/>
        <w:rPr>
          <w:rFonts w:hint="eastAsia" w:ascii="宋体" w:hAnsi="宋体" w:eastAsia="宋体" w:cs="宋体"/>
          <w:b w:val="0"/>
          <w:i w:val="0"/>
          <w:caps w:val="0"/>
          <w:color w:val="auto"/>
          <w:spacing w:val="0"/>
          <w:w w:val="100"/>
          <w:sz w:val="20"/>
        </w:rPr>
      </w:pPr>
      <w:r>
        <w:rPr>
          <w:rFonts w:hint="eastAsia" w:ascii="宋体" w:hAnsi="宋体" w:eastAsia="宋体" w:cs="宋体"/>
          <w:b w:val="0"/>
          <w:i w:val="0"/>
          <w:caps w:val="0"/>
          <w:color w:val="auto"/>
          <w:spacing w:val="0"/>
          <w:w w:val="100"/>
          <w:sz w:val="24"/>
        </w:rPr>
        <w:t>18.9响应文件统一用A4幅面纸印制，除另有规定外。</w:t>
      </w:r>
    </w:p>
    <w:p>
      <w:pPr>
        <w:pStyle w:val="5"/>
        <w:spacing w:before="120" w:afterLines="50" w:line="360" w:lineRule="auto"/>
        <w:ind w:right="-94" w:rightChars="-39" w:firstLine="482"/>
        <w:rPr>
          <w:rFonts w:hint="eastAsia" w:ascii="宋体" w:hAnsi="宋体" w:eastAsia="宋体" w:cs="宋体"/>
          <w:color w:val="auto"/>
          <w:highlight w:val="none"/>
        </w:rPr>
      </w:pPr>
      <w:r>
        <w:rPr>
          <w:rFonts w:hint="eastAsia" w:ascii="宋体" w:hAnsi="宋体" w:eastAsia="宋体" w:cs="宋体"/>
          <w:color w:val="auto"/>
          <w:highlight w:val="none"/>
        </w:rPr>
        <w:t>19.响应文件的密封和标注</w:t>
      </w:r>
      <w:bookmarkEnd w:id="357"/>
      <w:bookmarkEnd w:id="358"/>
      <w:bookmarkEnd w:id="359"/>
      <w:bookmarkEnd w:id="360"/>
      <w:bookmarkEnd w:id="361"/>
      <w:bookmarkEnd w:id="362"/>
      <w:bookmarkEnd w:id="363"/>
      <w:bookmarkEnd w:id="364"/>
      <w:bookmarkEnd w:id="365"/>
      <w:r>
        <w:rPr>
          <w:rFonts w:hint="eastAsia" w:ascii="宋体" w:hAnsi="宋体" w:eastAsia="宋体" w:cs="宋体"/>
          <w:color w:val="auto"/>
          <w:highlight w:val="none"/>
        </w:rPr>
        <w:t>（不属于本项目磋商小组评审范畴，由采购代理机构在接收响应文件时及时处理）</w:t>
      </w:r>
      <w:bookmarkEnd w:id="366"/>
      <w:bookmarkEnd w:id="367"/>
      <w:bookmarkEnd w:id="368"/>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19.1 响应文件可以单独密封包装，也可以密封包装在一个密封袋内。</w:t>
      </w:r>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19.2 响应文件密封袋的最外层应清楚地标明采购项目名称、采购项目编号、包件号及名称（若有）、供应商名称。</w:t>
      </w:r>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19.3 所有外层密封袋的封口处应粘贴牢固。</w:t>
      </w:r>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19.4 未按以上要求进行密封和标注的响应文件，采购代理机构将拒收或者在时间允许的范围内，要求修改完善后接收。</w:t>
      </w:r>
    </w:p>
    <w:p>
      <w:pPr>
        <w:pStyle w:val="5"/>
        <w:spacing w:before="120" w:afterLines="50" w:line="360" w:lineRule="auto"/>
        <w:ind w:right="-94" w:rightChars="-39" w:firstLine="482"/>
        <w:rPr>
          <w:rFonts w:hint="eastAsia" w:ascii="宋体" w:hAnsi="宋体" w:eastAsia="宋体" w:cs="宋体"/>
          <w:color w:val="auto"/>
          <w:highlight w:val="none"/>
        </w:rPr>
      </w:pPr>
      <w:bookmarkStart w:id="369" w:name="_Toc12976"/>
      <w:bookmarkStart w:id="370" w:name="_Toc13673"/>
      <w:bookmarkStart w:id="371" w:name="_Toc14423"/>
      <w:bookmarkStart w:id="372" w:name="_Toc9510"/>
      <w:bookmarkStart w:id="373" w:name="_Toc3641"/>
      <w:bookmarkStart w:id="374" w:name="_Toc13629"/>
      <w:bookmarkStart w:id="375" w:name="_Toc517422463"/>
      <w:bookmarkStart w:id="376" w:name="_Toc517423491"/>
      <w:bookmarkStart w:id="377" w:name="_Toc14954"/>
      <w:bookmarkStart w:id="378" w:name="_Toc15149"/>
      <w:bookmarkStart w:id="379" w:name="_Toc10757"/>
      <w:bookmarkStart w:id="380" w:name="_Toc26512"/>
      <w:r>
        <w:rPr>
          <w:rFonts w:hint="eastAsia" w:ascii="宋体" w:hAnsi="宋体" w:eastAsia="宋体" w:cs="宋体"/>
          <w:color w:val="auto"/>
          <w:highlight w:val="none"/>
        </w:rPr>
        <w:t>20.响应文件的递交</w:t>
      </w:r>
      <w:bookmarkEnd w:id="369"/>
      <w:bookmarkEnd w:id="370"/>
      <w:bookmarkEnd w:id="371"/>
      <w:bookmarkEnd w:id="372"/>
      <w:bookmarkEnd w:id="373"/>
      <w:bookmarkEnd w:id="374"/>
      <w:bookmarkEnd w:id="375"/>
      <w:bookmarkEnd w:id="376"/>
      <w:bookmarkEnd w:id="377"/>
      <w:bookmarkEnd w:id="378"/>
      <w:bookmarkEnd w:id="379"/>
      <w:bookmarkEnd w:id="380"/>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20.1 响应文件应于递交响应文件截止时间前送达指定地点，采购代理机构拒绝接收截止时间后送达的响应文件。</w:t>
      </w:r>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20.2 采购代理机构将向通过资格审查的供应商发出磋商邀请；告知未通过资格审查的供应商未通过的原因。</w:t>
      </w:r>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 xml:space="preserve">20.3 </w:t>
      </w:r>
      <w:r>
        <w:rPr>
          <w:rFonts w:hint="eastAsia" w:ascii="宋体" w:hAnsi="宋体" w:eastAsia="宋体" w:cs="宋体"/>
          <w:bCs/>
          <w:color w:val="auto"/>
          <w:highlight w:val="none"/>
        </w:rPr>
        <w:t>最后报价表</w:t>
      </w:r>
      <w:r>
        <w:rPr>
          <w:rFonts w:hint="eastAsia" w:ascii="宋体" w:hAnsi="宋体" w:eastAsia="宋体" w:cs="宋体"/>
          <w:color w:val="auto"/>
          <w:highlight w:val="none"/>
        </w:rPr>
        <w:t>在磋商后，磋商小组要求供应商进行最后报价时递交。</w:t>
      </w:r>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20.4 本次采购不接收邮寄的响应文件。</w:t>
      </w:r>
    </w:p>
    <w:p>
      <w:pPr>
        <w:pStyle w:val="5"/>
        <w:spacing w:before="120" w:afterLines="50" w:line="360" w:lineRule="auto"/>
        <w:ind w:right="-94" w:rightChars="-39" w:firstLine="482"/>
        <w:rPr>
          <w:rFonts w:hint="eastAsia" w:ascii="宋体" w:hAnsi="宋体" w:eastAsia="宋体" w:cs="宋体"/>
          <w:color w:val="auto"/>
          <w:highlight w:val="none"/>
        </w:rPr>
      </w:pPr>
      <w:bookmarkStart w:id="381" w:name="_Toc13394"/>
      <w:bookmarkStart w:id="382" w:name="_Toc30953"/>
      <w:bookmarkStart w:id="383" w:name="_Toc26104"/>
      <w:bookmarkStart w:id="384" w:name="_Toc2855"/>
      <w:bookmarkStart w:id="385" w:name="_Toc20487"/>
      <w:bookmarkStart w:id="386" w:name="_Toc447"/>
      <w:bookmarkStart w:id="387" w:name="_Toc13718"/>
      <w:bookmarkStart w:id="388" w:name="_Toc15806"/>
      <w:bookmarkStart w:id="389" w:name="_Toc21214"/>
      <w:bookmarkStart w:id="390" w:name="_Toc517423492"/>
      <w:bookmarkStart w:id="391" w:name="_Toc13415"/>
      <w:bookmarkStart w:id="392" w:name="_Toc517422464"/>
      <w:bookmarkStart w:id="393" w:name="_Toc183682365"/>
      <w:bookmarkStart w:id="394" w:name="_Toc217446055"/>
      <w:bookmarkStart w:id="395" w:name="_Toc183582228"/>
      <w:r>
        <w:rPr>
          <w:rFonts w:hint="eastAsia" w:ascii="宋体" w:hAnsi="宋体" w:eastAsia="宋体" w:cs="宋体"/>
          <w:color w:val="auto"/>
          <w:highlight w:val="none"/>
        </w:rPr>
        <w:t>21.响应文件的修改和撤回</w:t>
      </w:r>
      <w:bookmarkEnd w:id="381"/>
      <w:bookmarkEnd w:id="382"/>
      <w:bookmarkEnd w:id="383"/>
      <w:bookmarkEnd w:id="384"/>
      <w:bookmarkEnd w:id="385"/>
      <w:bookmarkEnd w:id="386"/>
      <w:bookmarkEnd w:id="387"/>
      <w:bookmarkEnd w:id="388"/>
      <w:bookmarkEnd w:id="389"/>
      <w:r>
        <w:rPr>
          <w:rFonts w:hint="eastAsia" w:ascii="宋体" w:hAnsi="宋体" w:eastAsia="宋体" w:cs="宋体"/>
          <w:color w:val="auto"/>
          <w:highlight w:val="none"/>
        </w:rPr>
        <w:t>（补充、修改响应文件的密封和标注按照本章“19.响应文件的密封和标注”规定处理）</w:t>
      </w:r>
      <w:bookmarkEnd w:id="390"/>
      <w:bookmarkEnd w:id="391"/>
      <w:bookmarkEnd w:id="392"/>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21.2供应商对响应文件修改的书面材料或撤回的通知应该按规定进行编写、密封、标注和递送，并注明“修改响应文件”字样。</w:t>
      </w:r>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21.3供应商不得在递交截止时间起至响应文件有效期期满前撤销其响应文件。否则其磋商保证金将按“第二部分供应商采购须知7”的相关规定被没收。</w:t>
      </w:r>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21.4 响应文件中报价如果出现下列不一致的，可按以下原则进行修改：</w:t>
      </w:r>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（一）大写金额和小写金额不一致的，以大写金额为准，但大写金额文字存在错误的，应当先对大写金额的文字错误进行澄清、说明或者更正，再行修正。</w:t>
      </w:r>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（二）总价金额与按单价汇总金额不一致的，以单价金额计算结果为准，但单价或者单价汇总金额存在数字或者文字错误的，应当先对数字或者文字错误进行澄清、说明或者更正，再行修正。</w:t>
      </w:r>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（三）单价金额小数点或者百分比有明显错位的，以总价为准，修正单价。</w:t>
      </w:r>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tabs>
          <w:tab w:val="left" w:pos="1080"/>
        </w:tabs>
        <w:spacing w:afterLines="50"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21.5供应商对其提交的响应文件的真实性、合法性承担法律责任。</w:t>
      </w:r>
      <w:bookmarkEnd w:id="393"/>
      <w:bookmarkEnd w:id="394"/>
      <w:bookmarkEnd w:id="395"/>
      <w:bookmarkStart w:id="396" w:name="_Toc2471"/>
      <w:bookmarkStart w:id="397" w:name="_Toc21468"/>
      <w:bookmarkStart w:id="398" w:name="_Toc517423493"/>
      <w:bookmarkStart w:id="399" w:name="_Toc5291"/>
      <w:bookmarkStart w:id="400" w:name="_Toc4009"/>
      <w:bookmarkStart w:id="401" w:name="_Toc25403"/>
      <w:bookmarkStart w:id="402" w:name="_Toc3348"/>
      <w:bookmarkStart w:id="403" w:name="_Toc15927"/>
      <w:bookmarkStart w:id="404" w:name="_Toc8962"/>
      <w:bookmarkStart w:id="405" w:name="_Toc517422465"/>
      <w:bookmarkStart w:id="406" w:name="_Toc1102"/>
      <w:bookmarkStart w:id="407" w:name="_Toc13602"/>
    </w:p>
    <w:p>
      <w:pPr>
        <w:pStyle w:val="4"/>
        <w:keepNext w:val="0"/>
        <w:keepLines w:val="0"/>
        <w:spacing w:before="240" w:after="240" w:line="360" w:lineRule="auto"/>
        <w:ind w:right="-94" w:rightChars="-39"/>
        <w:rPr>
          <w:rFonts w:hint="eastAsia" w:ascii="宋体" w:hAnsi="宋体" w:eastAsia="宋体" w:cs="宋体"/>
          <w:color w:val="auto"/>
          <w:highlight w:val="none"/>
        </w:rPr>
      </w:pPr>
      <w:r>
        <w:rPr>
          <w:rFonts w:hint="eastAsia" w:ascii="宋体" w:hAnsi="宋体" w:eastAsia="宋体" w:cs="宋体"/>
          <w:color w:val="auto"/>
          <w:highlight w:val="none"/>
        </w:rPr>
        <w:t>五、评审</w:t>
      </w:r>
      <w:bookmarkEnd w:id="396"/>
      <w:bookmarkEnd w:id="397"/>
      <w:bookmarkEnd w:id="398"/>
      <w:bookmarkEnd w:id="399"/>
      <w:bookmarkEnd w:id="400"/>
      <w:bookmarkEnd w:id="401"/>
      <w:bookmarkEnd w:id="402"/>
      <w:bookmarkEnd w:id="403"/>
      <w:bookmarkEnd w:id="404"/>
      <w:bookmarkEnd w:id="405"/>
      <w:bookmarkEnd w:id="406"/>
      <w:bookmarkEnd w:id="407"/>
    </w:p>
    <w:p>
      <w:pPr>
        <w:pStyle w:val="5"/>
        <w:spacing w:before="120" w:afterLines="50" w:line="360" w:lineRule="auto"/>
        <w:ind w:right="-94" w:rightChars="-39" w:firstLine="482"/>
        <w:rPr>
          <w:rFonts w:hint="eastAsia" w:ascii="宋体" w:hAnsi="宋体" w:eastAsia="宋体" w:cs="宋体"/>
          <w:color w:val="auto"/>
          <w:highlight w:val="none"/>
        </w:rPr>
      </w:pPr>
      <w:bookmarkStart w:id="408" w:name="_Toc21761"/>
      <w:bookmarkStart w:id="409" w:name="_Toc517423494"/>
      <w:bookmarkStart w:id="410" w:name="_Toc13281"/>
      <w:bookmarkStart w:id="411" w:name="_Toc5736"/>
      <w:bookmarkStart w:id="412" w:name="_Toc22104"/>
      <w:bookmarkStart w:id="413" w:name="_Toc4842"/>
      <w:bookmarkStart w:id="414" w:name="_Toc26553"/>
      <w:bookmarkStart w:id="415" w:name="_Toc517422466"/>
      <w:bookmarkStart w:id="416" w:name="_Toc1647"/>
      <w:bookmarkStart w:id="417" w:name="_Toc19020"/>
      <w:bookmarkStart w:id="418" w:name="_Toc25785"/>
      <w:bookmarkStart w:id="419" w:name="_Toc1431"/>
      <w:r>
        <w:rPr>
          <w:rFonts w:hint="eastAsia" w:ascii="宋体" w:hAnsi="宋体" w:eastAsia="宋体" w:cs="宋体"/>
          <w:color w:val="auto"/>
          <w:highlight w:val="none"/>
        </w:rPr>
        <w:t>22.磋商小组的组建及其评审工作按照有关法律制度和本文件第七章的规定进行。</w:t>
      </w:r>
      <w:bookmarkEnd w:id="408"/>
      <w:bookmarkEnd w:id="409"/>
      <w:bookmarkEnd w:id="410"/>
      <w:bookmarkEnd w:id="411"/>
      <w:bookmarkEnd w:id="412"/>
      <w:bookmarkEnd w:id="413"/>
      <w:bookmarkEnd w:id="414"/>
      <w:bookmarkEnd w:id="415"/>
      <w:bookmarkEnd w:id="416"/>
      <w:bookmarkEnd w:id="417"/>
      <w:bookmarkEnd w:id="418"/>
      <w:bookmarkEnd w:id="419"/>
      <w:bookmarkStart w:id="420" w:name="_Toc23502"/>
      <w:bookmarkStart w:id="421" w:name="_Toc30917"/>
      <w:bookmarkStart w:id="422" w:name="_Toc517423495"/>
      <w:bookmarkStart w:id="423" w:name="_Toc6925"/>
      <w:bookmarkStart w:id="424" w:name="_Toc16904"/>
      <w:bookmarkStart w:id="425" w:name="_Toc27188"/>
      <w:bookmarkStart w:id="426" w:name="_Toc12913"/>
      <w:bookmarkStart w:id="427" w:name="_Toc7243"/>
      <w:bookmarkStart w:id="428" w:name="_Toc19393"/>
      <w:bookmarkStart w:id="429" w:name="_Toc24271"/>
      <w:bookmarkStart w:id="430" w:name="_Toc517422467"/>
      <w:bookmarkStart w:id="431" w:name="_Toc13491"/>
    </w:p>
    <w:p>
      <w:pPr>
        <w:pStyle w:val="4"/>
        <w:keepNext w:val="0"/>
        <w:keepLines w:val="0"/>
        <w:spacing w:before="0" w:after="0" w:line="360" w:lineRule="auto"/>
        <w:ind w:right="-94" w:rightChars="-39"/>
        <w:rPr>
          <w:rFonts w:hint="eastAsia" w:ascii="宋体" w:hAnsi="宋体" w:eastAsia="宋体" w:cs="宋体"/>
          <w:color w:val="auto"/>
          <w:highlight w:val="none"/>
        </w:rPr>
      </w:pPr>
      <w:r>
        <w:rPr>
          <w:rFonts w:hint="eastAsia" w:ascii="宋体" w:hAnsi="宋体" w:eastAsia="宋体" w:cs="宋体"/>
          <w:color w:val="auto"/>
          <w:highlight w:val="none"/>
        </w:rPr>
        <w:t>六、成交事项</w:t>
      </w:r>
      <w:bookmarkEnd w:id="420"/>
      <w:bookmarkEnd w:id="421"/>
      <w:bookmarkEnd w:id="422"/>
      <w:bookmarkEnd w:id="423"/>
      <w:bookmarkEnd w:id="424"/>
      <w:bookmarkEnd w:id="425"/>
      <w:bookmarkEnd w:id="426"/>
      <w:bookmarkEnd w:id="427"/>
      <w:bookmarkEnd w:id="428"/>
      <w:bookmarkEnd w:id="429"/>
      <w:bookmarkEnd w:id="430"/>
      <w:bookmarkEnd w:id="431"/>
    </w:p>
    <w:p>
      <w:pPr>
        <w:pStyle w:val="5"/>
        <w:spacing w:before="120" w:afterLines="50" w:line="360" w:lineRule="auto"/>
        <w:ind w:right="-94" w:rightChars="-39" w:firstLine="482"/>
        <w:rPr>
          <w:rFonts w:hint="eastAsia" w:ascii="宋体" w:hAnsi="宋体" w:eastAsia="宋体" w:cs="宋体"/>
          <w:color w:val="auto"/>
          <w:highlight w:val="none"/>
        </w:rPr>
      </w:pPr>
      <w:bookmarkStart w:id="432" w:name="_Toc6821"/>
      <w:bookmarkStart w:id="433" w:name="_Toc17484"/>
      <w:bookmarkStart w:id="434" w:name="_Toc5827"/>
      <w:bookmarkStart w:id="435" w:name="_Toc24114"/>
      <w:bookmarkStart w:id="436" w:name="_Toc31880"/>
      <w:bookmarkStart w:id="437" w:name="_Toc13472"/>
      <w:bookmarkStart w:id="438" w:name="_Toc517423496"/>
      <w:bookmarkStart w:id="439" w:name="_Toc517422468"/>
      <w:bookmarkStart w:id="440" w:name="_Toc16162"/>
      <w:bookmarkStart w:id="441" w:name="_Toc28976"/>
      <w:bookmarkStart w:id="442" w:name="_Toc15420"/>
      <w:bookmarkStart w:id="443" w:name="_Toc417"/>
      <w:r>
        <w:rPr>
          <w:rFonts w:hint="eastAsia" w:ascii="宋体" w:hAnsi="宋体" w:eastAsia="宋体" w:cs="宋体"/>
          <w:color w:val="auto"/>
          <w:highlight w:val="none"/>
        </w:rPr>
        <w:t>23.确定成交供应商</w:t>
      </w:r>
      <w:bookmarkEnd w:id="432"/>
      <w:bookmarkEnd w:id="433"/>
      <w:bookmarkEnd w:id="434"/>
      <w:bookmarkEnd w:id="435"/>
      <w:bookmarkEnd w:id="436"/>
      <w:bookmarkEnd w:id="437"/>
      <w:bookmarkEnd w:id="438"/>
      <w:bookmarkEnd w:id="439"/>
      <w:bookmarkEnd w:id="440"/>
      <w:bookmarkEnd w:id="441"/>
      <w:bookmarkEnd w:id="442"/>
      <w:bookmarkEnd w:id="443"/>
    </w:p>
    <w:p>
      <w:pPr>
        <w:tabs>
          <w:tab w:val="left" w:pos="1080"/>
        </w:tabs>
        <w:spacing w:after="50" w:line="360" w:lineRule="auto"/>
        <w:ind w:right="-94" w:rightChars="-39" w:firstLine="460" w:firstLineChars="192"/>
        <w:rPr>
          <w:rFonts w:hint="eastAsia" w:ascii="宋体" w:hAnsi="宋体" w:eastAsia="宋体" w:cs="宋体"/>
          <w:color w:val="auto"/>
          <w:highlight w:val="none"/>
        </w:rPr>
      </w:pPr>
      <w:bookmarkStart w:id="444" w:name="_Toc30704"/>
      <w:bookmarkStart w:id="445" w:name="_Toc17522"/>
      <w:bookmarkStart w:id="446" w:name="_Toc17638"/>
      <w:r>
        <w:rPr>
          <w:rFonts w:hint="eastAsia" w:ascii="宋体" w:hAnsi="宋体" w:eastAsia="宋体" w:cs="宋体"/>
          <w:color w:val="auto"/>
          <w:highlight w:val="none"/>
        </w:rPr>
        <w:t>采购人将按磋商小组推荐的成交候选供应商顺序确定成交供应商。</w:t>
      </w:r>
      <w:bookmarkEnd w:id="444"/>
      <w:bookmarkEnd w:id="445"/>
      <w:bookmarkEnd w:id="446"/>
    </w:p>
    <w:p>
      <w:pPr>
        <w:tabs>
          <w:tab w:val="left" w:pos="1080"/>
        </w:tabs>
        <w:spacing w:after="50" w:line="360" w:lineRule="auto"/>
        <w:ind w:right="-94" w:rightChars="-39" w:firstLine="460" w:firstLineChars="192"/>
        <w:rPr>
          <w:rFonts w:hint="eastAsia" w:ascii="宋体" w:hAnsi="宋体" w:eastAsia="宋体" w:cs="宋体"/>
          <w:color w:val="auto"/>
          <w:highlight w:val="none"/>
        </w:rPr>
      </w:pPr>
      <w:bookmarkStart w:id="447" w:name="_Toc6184"/>
      <w:bookmarkStart w:id="448" w:name="_Toc2280"/>
      <w:bookmarkStart w:id="449" w:name="_Toc20855"/>
      <w:r>
        <w:rPr>
          <w:rFonts w:hint="eastAsia" w:ascii="宋体" w:hAnsi="宋体" w:eastAsia="宋体" w:cs="宋体"/>
          <w:color w:val="auto"/>
          <w:highlight w:val="none"/>
        </w:rPr>
        <w:t>23.1采购代理机构自评审结束后</w:t>
      </w:r>
      <w:r>
        <w:rPr>
          <w:rFonts w:hint="eastAsia" w:ascii="宋体" w:hAnsi="宋体" w:eastAsia="宋体" w:cs="宋体"/>
          <w:b/>
          <w:bCs/>
          <w:color w:val="auto"/>
          <w:highlight w:val="none"/>
        </w:rPr>
        <w:t>2个工作日</w:t>
      </w:r>
      <w:r>
        <w:rPr>
          <w:rFonts w:hint="eastAsia" w:ascii="宋体" w:hAnsi="宋体" w:eastAsia="宋体" w:cs="宋体"/>
          <w:color w:val="auto"/>
          <w:highlight w:val="none"/>
        </w:rPr>
        <w:t>内将磋商报告及有关资料送交采购人确定成交供应商。</w:t>
      </w:r>
      <w:bookmarkEnd w:id="447"/>
      <w:bookmarkEnd w:id="448"/>
      <w:bookmarkEnd w:id="449"/>
    </w:p>
    <w:p>
      <w:pPr>
        <w:tabs>
          <w:tab w:val="left" w:pos="1080"/>
        </w:tabs>
        <w:spacing w:after="50" w:line="360" w:lineRule="auto"/>
        <w:ind w:right="-94" w:rightChars="-39" w:firstLine="460" w:firstLineChars="192"/>
        <w:rPr>
          <w:rFonts w:hint="eastAsia" w:ascii="宋体" w:hAnsi="宋体" w:eastAsia="宋体" w:cs="宋体"/>
          <w:color w:val="auto"/>
          <w:highlight w:val="none"/>
        </w:rPr>
      </w:pPr>
      <w:bookmarkStart w:id="450" w:name="_Toc9621"/>
      <w:bookmarkStart w:id="451" w:name="_Toc6362"/>
      <w:bookmarkStart w:id="452" w:name="_Toc1864"/>
      <w:r>
        <w:rPr>
          <w:rFonts w:hint="eastAsia" w:ascii="宋体" w:hAnsi="宋体" w:eastAsia="宋体" w:cs="宋体"/>
          <w:color w:val="auto"/>
          <w:highlight w:val="none"/>
        </w:rPr>
        <w:t>23.2采购人收到磋商报告及有关资料后，将在</w:t>
      </w:r>
      <w:r>
        <w:rPr>
          <w:rFonts w:hint="eastAsia" w:ascii="宋体" w:hAnsi="宋体" w:eastAsia="宋体" w:cs="宋体"/>
          <w:b/>
          <w:bCs/>
          <w:color w:val="auto"/>
          <w:highlight w:val="none"/>
        </w:rPr>
        <w:t>5个工作日</w:t>
      </w:r>
      <w:r>
        <w:rPr>
          <w:rFonts w:hint="eastAsia" w:ascii="宋体" w:hAnsi="宋体" w:eastAsia="宋体" w:cs="宋体"/>
          <w:color w:val="auto"/>
          <w:highlight w:val="none"/>
        </w:rPr>
        <w:t>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bookmarkEnd w:id="450"/>
      <w:bookmarkEnd w:id="451"/>
      <w:bookmarkEnd w:id="452"/>
      <w:r>
        <w:rPr>
          <w:rFonts w:hint="eastAsia" w:ascii="宋体" w:hAnsi="宋体" w:eastAsia="宋体" w:cs="宋体"/>
          <w:color w:val="auto"/>
          <w:highlight w:val="none"/>
        </w:rPr>
        <w:t>评审得分且最后报价且项目实施方案得分均相同的优先选择少数民族或不发达地区的供应商（以提供不发达地区企业或供应商注册地为少数民族地区的相关证明材料为准）</w:t>
      </w:r>
    </w:p>
    <w:p>
      <w:pPr>
        <w:tabs>
          <w:tab w:val="left" w:pos="1080"/>
        </w:tabs>
        <w:spacing w:after="50" w:line="360" w:lineRule="auto"/>
        <w:ind w:right="-94" w:rightChars="-39" w:firstLine="460" w:firstLineChars="192"/>
        <w:rPr>
          <w:rFonts w:hint="eastAsia" w:ascii="宋体" w:hAnsi="宋体" w:eastAsia="宋体" w:cs="宋体"/>
          <w:color w:val="auto"/>
          <w:highlight w:val="none"/>
        </w:rPr>
      </w:pPr>
      <w:bookmarkStart w:id="453" w:name="_Toc27361"/>
      <w:bookmarkStart w:id="454" w:name="_Toc3579"/>
      <w:bookmarkStart w:id="455" w:name="_Toc20437"/>
      <w:r>
        <w:rPr>
          <w:rFonts w:hint="eastAsia" w:ascii="宋体" w:hAnsi="宋体" w:eastAsia="宋体" w:cs="宋体"/>
          <w:color w:val="auto"/>
          <w:highlight w:val="none"/>
        </w:rPr>
        <w:t>23.3采购人确定成交供应商过程中，发现成交候选供应商有下列情形之一的，应当不予确定其为成交供应商：</w:t>
      </w:r>
      <w:bookmarkEnd w:id="453"/>
      <w:bookmarkEnd w:id="454"/>
      <w:bookmarkEnd w:id="455"/>
    </w:p>
    <w:p>
      <w:pPr>
        <w:tabs>
          <w:tab w:val="left" w:pos="1080"/>
        </w:tabs>
        <w:spacing w:after="50" w:line="360" w:lineRule="auto"/>
        <w:ind w:right="-94" w:rightChars="-39" w:firstLine="460" w:firstLineChars="192"/>
        <w:rPr>
          <w:rFonts w:hint="eastAsia" w:ascii="宋体" w:hAnsi="宋体" w:eastAsia="宋体" w:cs="宋体"/>
          <w:color w:val="auto"/>
          <w:highlight w:val="none"/>
        </w:rPr>
      </w:pPr>
      <w:bookmarkStart w:id="456" w:name="_Toc28137"/>
      <w:bookmarkStart w:id="457" w:name="_Toc21741"/>
      <w:bookmarkStart w:id="458" w:name="_Toc29529"/>
      <w:r>
        <w:rPr>
          <w:rFonts w:hint="eastAsia" w:ascii="宋体" w:hAnsi="宋体" w:eastAsia="宋体" w:cs="宋体"/>
          <w:color w:val="auto"/>
          <w:highlight w:val="none"/>
        </w:rPr>
        <w:t>（1）发现成交候选供应商存在禁止参加本项目采购活动的违法行为的；</w:t>
      </w:r>
      <w:bookmarkEnd w:id="456"/>
      <w:bookmarkEnd w:id="457"/>
      <w:bookmarkEnd w:id="458"/>
    </w:p>
    <w:p>
      <w:pPr>
        <w:tabs>
          <w:tab w:val="left" w:pos="1080"/>
        </w:tabs>
        <w:spacing w:after="50" w:line="360" w:lineRule="auto"/>
        <w:ind w:right="-94" w:rightChars="-39" w:firstLine="460" w:firstLineChars="192"/>
        <w:rPr>
          <w:rFonts w:hint="eastAsia" w:ascii="宋体" w:hAnsi="宋体" w:eastAsia="宋体" w:cs="宋体"/>
          <w:color w:val="auto"/>
          <w:highlight w:val="none"/>
        </w:rPr>
      </w:pPr>
      <w:bookmarkStart w:id="459" w:name="_Toc1998"/>
      <w:bookmarkStart w:id="460" w:name="_Toc6666"/>
      <w:bookmarkStart w:id="461" w:name="_Toc25703"/>
      <w:r>
        <w:rPr>
          <w:rFonts w:hint="eastAsia" w:ascii="宋体" w:hAnsi="宋体" w:eastAsia="宋体" w:cs="宋体"/>
          <w:color w:val="auto"/>
          <w:highlight w:val="none"/>
        </w:rPr>
        <w:t>（2）成交候选供应商因不可抗力，不能继续参加采购活动；</w:t>
      </w:r>
      <w:bookmarkEnd w:id="459"/>
      <w:bookmarkEnd w:id="460"/>
      <w:bookmarkEnd w:id="461"/>
    </w:p>
    <w:p>
      <w:pPr>
        <w:tabs>
          <w:tab w:val="left" w:pos="1080"/>
        </w:tabs>
        <w:spacing w:after="50" w:line="360" w:lineRule="auto"/>
        <w:ind w:right="-94" w:rightChars="-39" w:firstLine="460" w:firstLineChars="192"/>
        <w:rPr>
          <w:rFonts w:hint="eastAsia" w:ascii="宋体" w:hAnsi="宋体" w:eastAsia="宋体" w:cs="宋体"/>
          <w:color w:val="auto"/>
          <w:highlight w:val="none"/>
        </w:rPr>
      </w:pPr>
      <w:bookmarkStart w:id="462" w:name="_Toc347"/>
      <w:bookmarkStart w:id="463" w:name="_Toc32673"/>
      <w:bookmarkStart w:id="464" w:name="_Toc6152"/>
      <w:r>
        <w:rPr>
          <w:rFonts w:hint="eastAsia" w:ascii="宋体" w:hAnsi="宋体" w:eastAsia="宋体" w:cs="宋体"/>
          <w:color w:val="auto"/>
          <w:highlight w:val="none"/>
        </w:rPr>
        <w:t>（3）成交候选供应商无偿赠与或者低于成本价竞争；</w:t>
      </w:r>
      <w:bookmarkEnd w:id="462"/>
      <w:bookmarkEnd w:id="463"/>
      <w:bookmarkEnd w:id="464"/>
    </w:p>
    <w:p>
      <w:pPr>
        <w:tabs>
          <w:tab w:val="left" w:pos="1080"/>
        </w:tabs>
        <w:spacing w:after="50" w:line="360" w:lineRule="auto"/>
        <w:ind w:right="-94" w:rightChars="-39" w:firstLine="460" w:firstLineChars="192"/>
        <w:rPr>
          <w:rFonts w:hint="eastAsia" w:ascii="宋体" w:hAnsi="宋体" w:eastAsia="宋体" w:cs="宋体"/>
          <w:color w:val="auto"/>
          <w:highlight w:val="none"/>
        </w:rPr>
      </w:pPr>
      <w:bookmarkStart w:id="465" w:name="_Toc9360"/>
      <w:bookmarkStart w:id="466" w:name="_Toc27559"/>
      <w:bookmarkStart w:id="467" w:name="_Toc8696"/>
      <w:r>
        <w:rPr>
          <w:rFonts w:hint="eastAsia" w:ascii="宋体" w:hAnsi="宋体" w:eastAsia="宋体" w:cs="宋体"/>
          <w:color w:val="auto"/>
          <w:highlight w:val="none"/>
        </w:rPr>
        <w:t>（4）成交候选供应商提供虚假材料；</w:t>
      </w:r>
      <w:bookmarkEnd w:id="465"/>
      <w:bookmarkEnd w:id="466"/>
      <w:bookmarkEnd w:id="467"/>
    </w:p>
    <w:p>
      <w:pPr>
        <w:tabs>
          <w:tab w:val="left" w:pos="1080"/>
        </w:tabs>
        <w:spacing w:after="50" w:line="360" w:lineRule="auto"/>
        <w:ind w:right="-94" w:rightChars="-39" w:firstLine="460" w:firstLineChars="192"/>
        <w:rPr>
          <w:rFonts w:hint="eastAsia" w:ascii="宋体" w:hAnsi="宋体" w:eastAsia="宋体" w:cs="宋体"/>
          <w:color w:val="auto"/>
          <w:highlight w:val="none"/>
        </w:rPr>
      </w:pPr>
      <w:bookmarkStart w:id="468" w:name="_Toc11247"/>
      <w:bookmarkStart w:id="469" w:name="_Toc25087"/>
      <w:bookmarkStart w:id="470" w:name="_Toc5474"/>
      <w:r>
        <w:rPr>
          <w:rFonts w:hint="eastAsia" w:ascii="宋体" w:hAnsi="宋体" w:eastAsia="宋体" w:cs="宋体"/>
          <w:color w:val="auto"/>
          <w:highlight w:val="none"/>
        </w:rPr>
        <w:t>（5）成交候选供应商恶意串通。</w:t>
      </w:r>
      <w:bookmarkEnd w:id="468"/>
      <w:bookmarkEnd w:id="469"/>
      <w:bookmarkEnd w:id="470"/>
    </w:p>
    <w:p>
      <w:pPr>
        <w:tabs>
          <w:tab w:val="left" w:pos="1080"/>
        </w:tabs>
        <w:spacing w:after="50" w:line="360" w:lineRule="auto"/>
        <w:ind w:right="-94" w:rightChars="-39" w:firstLine="460" w:firstLineChars="192"/>
        <w:rPr>
          <w:rFonts w:hint="eastAsia" w:ascii="宋体" w:hAnsi="宋体" w:eastAsia="宋体" w:cs="宋体"/>
          <w:color w:val="auto"/>
          <w:highlight w:val="none"/>
        </w:rPr>
      </w:pPr>
      <w:bookmarkStart w:id="471" w:name="_Toc13617"/>
      <w:bookmarkStart w:id="472" w:name="_Toc20418"/>
      <w:bookmarkStart w:id="473" w:name="_Toc16859"/>
      <w:r>
        <w:rPr>
          <w:rFonts w:hint="eastAsia" w:ascii="宋体" w:hAnsi="宋体" w:eastAsia="宋体" w:cs="宋体"/>
          <w:color w:val="auto"/>
          <w:highlight w:val="none"/>
        </w:rPr>
        <w:t>成交候选供应商有本条情形之一的，采购人可以确定后一位成交候选供应商为成交供应商，依次类推。无法确定成交供应商的，应当重新组织采购。</w:t>
      </w:r>
      <w:bookmarkEnd w:id="471"/>
      <w:bookmarkEnd w:id="472"/>
      <w:bookmarkEnd w:id="473"/>
    </w:p>
    <w:p>
      <w:pPr>
        <w:pStyle w:val="5"/>
        <w:spacing w:before="120" w:afterLines="50" w:line="360" w:lineRule="auto"/>
        <w:ind w:right="-94" w:rightChars="-39" w:firstLine="482"/>
        <w:rPr>
          <w:rFonts w:hint="eastAsia" w:ascii="宋体" w:hAnsi="宋体" w:eastAsia="宋体" w:cs="宋体"/>
          <w:color w:val="auto"/>
          <w:highlight w:val="none"/>
        </w:rPr>
      </w:pPr>
      <w:bookmarkStart w:id="474" w:name="_Toc12073"/>
      <w:bookmarkStart w:id="475" w:name="_Toc12530"/>
      <w:bookmarkStart w:id="476" w:name="_Toc4513"/>
      <w:bookmarkStart w:id="477" w:name="_Toc517422470"/>
      <w:bookmarkStart w:id="478" w:name="_Toc12600"/>
      <w:bookmarkStart w:id="479" w:name="_Toc3634"/>
      <w:bookmarkStart w:id="480" w:name="_Toc517423498"/>
      <w:bookmarkStart w:id="481" w:name="_Toc11233"/>
      <w:bookmarkStart w:id="482" w:name="_Toc3715"/>
      <w:bookmarkStart w:id="483" w:name="_Toc9282"/>
      <w:bookmarkStart w:id="484" w:name="_Toc19351"/>
      <w:bookmarkStart w:id="485" w:name="_Toc11976"/>
      <w:r>
        <w:rPr>
          <w:rFonts w:hint="eastAsia" w:ascii="宋体" w:hAnsi="宋体" w:eastAsia="宋体" w:cs="宋体"/>
          <w:color w:val="auto"/>
          <w:highlight w:val="none"/>
        </w:rPr>
        <w:t>24.成交结果</w:t>
      </w:r>
      <w:bookmarkEnd w:id="474"/>
      <w:bookmarkEnd w:id="475"/>
      <w:bookmarkEnd w:id="476"/>
      <w:bookmarkEnd w:id="477"/>
      <w:bookmarkEnd w:id="478"/>
      <w:bookmarkEnd w:id="479"/>
      <w:bookmarkEnd w:id="480"/>
      <w:bookmarkEnd w:id="481"/>
      <w:bookmarkEnd w:id="482"/>
      <w:bookmarkEnd w:id="483"/>
      <w:bookmarkEnd w:id="484"/>
      <w:bookmarkEnd w:id="485"/>
    </w:p>
    <w:p>
      <w:pPr>
        <w:tabs>
          <w:tab w:val="left" w:pos="1080"/>
        </w:tabs>
        <w:spacing w:after="50" w:line="360" w:lineRule="auto"/>
        <w:ind w:right="-94" w:rightChars="-39" w:firstLine="460" w:firstLineChars="192"/>
        <w:rPr>
          <w:rFonts w:hint="eastAsia" w:ascii="宋体" w:hAnsi="宋体" w:eastAsia="宋体" w:cs="宋体"/>
          <w:color w:val="auto"/>
          <w:highlight w:val="none"/>
        </w:rPr>
      </w:pPr>
      <w:bookmarkStart w:id="486" w:name="_Toc29778"/>
      <w:bookmarkStart w:id="487" w:name="_Toc21448"/>
      <w:bookmarkStart w:id="488" w:name="_Toc1862"/>
      <w:r>
        <w:rPr>
          <w:rFonts w:hint="eastAsia" w:ascii="宋体" w:hAnsi="宋体" w:eastAsia="宋体" w:cs="宋体"/>
          <w:color w:val="auto"/>
          <w:highlight w:val="none"/>
        </w:rPr>
        <w:t>24.1采购人确定成交供应商后，将及时书面通知采购代理机构，发出成交通知书并发布成交结果公告。</w:t>
      </w:r>
      <w:bookmarkEnd w:id="486"/>
      <w:bookmarkEnd w:id="487"/>
      <w:bookmarkEnd w:id="488"/>
    </w:p>
    <w:p>
      <w:pPr>
        <w:tabs>
          <w:tab w:val="left" w:pos="1080"/>
        </w:tabs>
        <w:spacing w:after="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24.2成交供应商应当及时领取成交通知书。</w:t>
      </w:r>
    </w:p>
    <w:p>
      <w:pPr>
        <w:tabs>
          <w:tab w:val="left" w:pos="1080"/>
        </w:tabs>
        <w:spacing w:after="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24.3成交供应商不能及时领取成交通知书，采购代理机构应当通过邮寄、快递等方式将项目成交通知书送达成交供应商。</w:t>
      </w:r>
    </w:p>
    <w:p>
      <w:pPr>
        <w:pStyle w:val="5"/>
        <w:spacing w:before="120" w:afterLines="50" w:line="360" w:lineRule="auto"/>
        <w:ind w:right="-94" w:rightChars="-39" w:firstLine="482"/>
        <w:rPr>
          <w:rFonts w:hint="eastAsia" w:ascii="宋体" w:hAnsi="宋体" w:eastAsia="宋体" w:cs="宋体"/>
          <w:color w:val="auto"/>
          <w:highlight w:val="none"/>
        </w:rPr>
      </w:pPr>
      <w:bookmarkStart w:id="489" w:name="_Toc517423499"/>
      <w:bookmarkStart w:id="490" w:name="_Toc20505"/>
      <w:bookmarkStart w:id="491" w:name="_Toc11510"/>
      <w:bookmarkStart w:id="492" w:name="_Toc27494"/>
      <w:bookmarkStart w:id="493" w:name="_Toc936"/>
      <w:bookmarkStart w:id="494" w:name="_Toc32301"/>
      <w:bookmarkStart w:id="495" w:name="_Toc517422471"/>
      <w:bookmarkStart w:id="496" w:name="_Toc6548"/>
      <w:bookmarkStart w:id="497" w:name="_Toc28947"/>
      <w:bookmarkStart w:id="498" w:name="_Toc7610"/>
      <w:bookmarkStart w:id="499" w:name="_Toc2198"/>
      <w:bookmarkStart w:id="500" w:name="_Toc12609"/>
      <w:r>
        <w:rPr>
          <w:rFonts w:hint="eastAsia" w:ascii="宋体" w:hAnsi="宋体" w:eastAsia="宋体" w:cs="宋体"/>
          <w:color w:val="auto"/>
          <w:highlight w:val="none"/>
        </w:rPr>
        <w:t>25.成交通知书</w:t>
      </w:r>
      <w:bookmarkEnd w:id="489"/>
      <w:bookmarkEnd w:id="490"/>
      <w:bookmarkEnd w:id="491"/>
      <w:bookmarkEnd w:id="492"/>
      <w:bookmarkEnd w:id="493"/>
      <w:bookmarkEnd w:id="494"/>
      <w:bookmarkEnd w:id="495"/>
      <w:bookmarkEnd w:id="496"/>
      <w:bookmarkEnd w:id="497"/>
      <w:bookmarkEnd w:id="498"/>
      <w:bookmarkEnd w:id="499"/>
      <w:bookmarkEnd w:id="500"/>
    </w:p>
    <w:p>
      <w:pPr>
        <w:tabs>
          <w:tab w:val="left" w:pos="1080"/>
        </w:tabs>
        <w:spacing w:after="50" w:line="360" w:lineRule="auto"/>
        <w:ind w:right="-94" w:rightChars="-39" w:firstLine="460" w:firstLineChars="192"/>
        <w:rPr>
          <w:rFonts w:hint="eastAsia" w:ascii="宋体" w:hAnsi="宋体" w:eastAsia="宋体" w:cs="宋体"/>
          <w:color w:val="auto"/>
          <w:highlight w:val="none"/>
        </w:rPr>
      </w:pPr>
      <w:bookmarkStart w:id="501" w:name="_Toc18624"/>
      <w:bookmarkStart w:id="502" w:name="_Toc489"/>
      <w:bookmarkStart w:id="503" w:name="_Toc19086"/>
      <w:r>
        <w:rPr>
          <w:rFonts w:hint="eastAsia" w:ascii="宋体" w:hAnsi="宋体" w:eastAsia="宋体" w:cs="宋体"/>
          <w:color w:val="auto"/>
          <w:highlight w:val="none"/>
        </w:rPr>
        <w:t>25.1成交通知书为签订采购合同的依据之一，是合同的有效组成部分。</w:t>
      </w:r>
      <w:bookmarkEnd w:id="501"/>
      <w:bookmarkEnd w:id="502"/>
      <w:bookmarkEnd w:id="503"/>
    </w:p>
    <w:p>
      <w:pPr>
        <w:tabs>
          <w:tab w:val="left" w:pos="1080"/>
        </w:tabs>
        <w:spacing w:after="50" w:line="360" w:lineRule="auto"/>
        <w:ind w:right="-94" w:rightChars="-39" w:firstLine="460" w:firstLineChars="192"/>
        <w:rPr>
          <w:rFonts w:hint="eastAsia" w:ascii="宋体" w:hAnsi="宋体" w:eastAsia="宋体" w:cs="宋体"/>
          <w:color w:val="auto"/>
          <w:highlight w:val="none"/>
        </w:rPr>
      </w:pPr>
      <w:bookmarkStart w:id="504" w:name="_Toc3367"/>
      <w:bookmarkStart w:id="505" w:name="_Toc17502"/>
      <w:bookmarkStart w:id="506" w:name="_Toc20497"/>
      <w:r>
        <w:rPr>
          <w:rFonts w:hint="eastAsia" w:ascii="宋体" w:hAnsi="宋体" w:eastAsia="宋体" w:cs="宋体"/>
          <w:color w:val="auto"/>
          <w:highlight w:val="none"/>
        </w:rPr>
        <w:t>25.2成交通知书对采购人和成交供应商均具有法律效力。成交通知书发出后，采购人无正当理由改变成交结果，或者成交供应商无正当理由放弃成交的，将承担相应的法律责任。</w:t>
      </w:r>
      <w:bookmarkEnd w:id="504"/>
      <w:bookmarkEnd w:id="505"/>
      <w:bookmarkEnd w:id="506"/>
    </w:p>
    <w:p>
      <w:pPr>
        <w:tabs>
          <w:tab w:val="left" w:pos="1080"/>
        </w:tabs>
        <w:spacing w:after="50" w:line="360" w:lineRule="auto"/>
        <w:ind w:right="-94" w:rightChars="-39" w:firstLine="460" w:firstLineChars="192"/>
        <w:rPr>
          <w:rFonts w:hint="eastAsia" w:ascii="宋体" w:hAnsi="宋体" w:eastAsia="宋体" w:cs="宋体"/>
          <w:color w:val="auto"/>
          <w:highlight w:val="none"/>
        </w:rPr>
      </w:pPr>
      <w:bookmarkStart w:id="507" w:name="_Toc17393"/>
      <w:bookmarkStart w:id="508" w:name="_Toc17950"/>
      <w:bookmarkStart w:id="509" w:name="_Toc2684"/>
      <w:r>
        <w:rPr>
          <w:rFonts w:hint="eastAsia" w:ascii="宋体" w:hAnsi="宋体" w:eastAsia="宋体" w:cs="宋体"/>
          <w:color w:val="auto"/>
          <w:highlight w:val="none"/>
        </w:rPr>
        <w:t>25.3成交供应商的响应文件作为无效响应文件处理或者有政府采购法律法规规章制度规定的成交无效情形的，采购代理机构在取得有权主体的认定以后，有权宣布发出的成交通知书无效，并收回发出的成交通知书，依法重新确定成交供应商或者重新开展采购活动。</w:t>
      </w:r>
      <w:bookmarkEnd w:id="507"/>
      <w:bookmarkEnd w:id="508"/>
      <w:bookmarkEnd w:id="509"/>
    </w:p>
    <w:p>
      <w:pPr>
        <w:pStyle w:val="5"/>
        <w:spacing w:before="120" w:afterLines="50" w:line="360" w:lineRule="auto"/>
        <w:ind w:right="-94" w:rightChars="-39" w:firstLine="482"/>
        <w:rPr>
          <w:rFonts w:hint="eastAsia" w:ascii="宋体" w:hAnsi="宋体" w:eastAsia="宋体" w:cs="宋体"/>
          <w:color w:val="auto"/>
          <w:highlight w:val="none"/>
        </w:rPr>
      </w:pPr>
      <w:r>
        <w:rPr>
          <w:rFonts w:hint="eastAsia" w:ascii="宋体" w:hAnsi="宋体" w:eastAsia="宋体" w:cs="宋体"/>
          <w:color w:val="auto"/>
          <w:highlight w:val="none"/>
        </w:rPr>
        <w:t>26.行贿犯罪档案查询</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26.1根据《最高人民检察院关于行贿犯罪档案查询工作的规定》和《关于在政府采购活动中全面开展行贿犯罪档案查询的通知》（川检会[2016]5号）的要求，采购人确定成交供应商期间，采购人将向人民检察院查询成交候选供应商单位及其现任法定代表人、主要负责人是否存在行贿犯罪记录。</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26.2成交候选供应商单位及其现任法定代表人、主要负责人若存在行贿犯罪记录的，成交后未签订采购合同的，将认定成交无效；成交后签订采购合同未履行的，将认定成交无效，同时撤销采购合同；成交后签订采购合同且已经履行的，将认定活动违法，由相关当事人承担赔偿责任。</w:t>
      </w:r>
    </w:p>
    <w:p>
      <w:pPr>
        <w:pStyle w:val="4"/>
        <w:keepNext w:val="0"/>
        <w:keepLines w:val="0"/>
        <w:spacing w:before="0" w:after="0" w:line="360" w:lineRule="auto"/>
        <w:ind w:right="-94" w:rightChars="-39"/>
        <w:rPr>
          <w:rFonts w:hint="eastAsia" w:ascii="宋体" w:hAnsi="宋体" w:eastAsia="宋体" w:cs="宋体"/>
          <w:color w:val="auto"/>
          <w:highlight w:val="none"/>
        </w:rPr>
      </w:pPr>
      <w:bookmarkStart w:id="510" w:name="_Toc172"/>
      <w:bookmarkStart w:id="511" w:name="_Toc16934"/>
      <w:bookmarkStart w:id="512" w:name="_Toc20117"/>
      <w:bookmarkStart w:id="513" w:name="_Toc11475"/>
      <w:bookmarkStart w:id="514" w:name="_Toc24730"/>
      <w:bookmarkStart w:id="515" w:name="_Toc7389"/>
      <w:bookmarkStart w:id="516" w:name="_Toc5018"/>
      <w:bookmarkStart w:id="517" w:name="_Toc8353"/>
      <w:bookmarkStart w:id="518" w:name="_Toc13998"/>
      <w:bookmarkStart w:id="519" w:name="_Toc517423500"/>
      <w:bookmarkStart w:id="520" w:name="_Toc8293"/>
      <w:bookmarkStart w:id="521" w:name="_Toc517422472"/>
      <w:r>
        <w:rPr>
          <w:rFonts w:hint="eastAsia" w:ascii="宋体" w:hAnsi="宋体" w:eastAsia="宋体" w:cs="宋体"/>
          <w:color w:val="auto"/>
          <w:highlight w:val="none"/>
        </w:rPr>
        <w:t>七、合同事项</w:t>
      </w:r>
      <w:bookmarkEnd w:id="510"/>
      <w:bookmarkEnd w:id="511"/>
      <w:bookmarkEnd w:id="512"/>
      <w:bookmarkEnd w:id="513"/>
      <w:bookmarkEnd w:id="514"/>
      <w:bookmarkEnd w:id="515"/>
      <w:bookmarkEnd w:id="516"/>
      <w:bookmarkEnd w:id="517"/>
      <w:bookmarkEnd w:id="518"/>
      <w:bookmarkEnd w:id="519"/>
      <w:bookmarkEnd w:id="520"/>
      <w:bookmarkEnd w:id="521"/>
    </w:p>
    <w:p>
      <w:pPr>
        <w:pStyle w:val="5"/>
        <w:spacing w:before="120" w:afterLines="50" w:line="360" w:lineRule="auto"/>
        <w:ind w:right="-94" w:rightChars="-39" w:firstLine="482"/>
        <w:rPr>
          <w:rFonts w:hint="eastAsia" w:ascii="宋体" w:hAnsi="宋体" w:eastAsia="宋体" w:cs="宋体"/>
          <w:color w:val="auto"/>
          <w:highlight w:val="none"/>
        </w:rPr>
      </w:pPr>
      <w:bookmarkStart w:id="522" w:name="_Toc101338364"/>
      <w:bookmarkStart w:id="523" w:name="_Toc20022"/>
      <w:bookmarkStart w:id="524" w:name="_Toc101174151"/>
      <w:bookmarkStart w:id="525" w:name="_Toc209847069"/>
      <w:bookmarkStart w:id="526" w:name="_Toc18776"/>
      <w:bookmarkStart w:id="527" w:name="_Toc517423501"/>
      <w:bookmarkStart w:id="528" w:name="_Toc16669"/>
      <w:bookmarkStart w:id="529" w:name="_Toc11192"/>
      <w:bookmarkStart w:id="530" w:name="_Toc14153"/>
      <w:bookmarkStart w:id="531" w:name="_Toc430773927"/>
      <w:bookmarkStart w:id="532" w:name="_Toc30687"/>
      <w:bookmarkStart w:id="533" w:name="_Toc101250646"/>
      <w:bookmarkStart w:id="534" w:name="_Toc6739"/>
      <w:bookmarkStart w:id="535" w:name="_Toc997"/>
      <w:bookmarkStart w:id="536" w:name="_Toc517422473"/>
      <w:bookmarkStart w:id="537" w:name="_Toc8261"/>
      <w:bookmarkStart w:id="538" w:name="_Toc17902"/>
      <w:r>
        <w:rPr>
          <w:rFonts w:hint="eastAsia" w:ascii="宋体" w:hAnsi="宋体" w:eastAsia="宋体" w:cs="宋体"/>
          <w:color w:val="auto"/>
          <w:highlight w:val="none"/>
        </w:rPr>
        <w:t>27.签订合同</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tabs>
          <w:tab w:val="left" w:pos="1080"/>
        </w:tabs>
        <w:spacing w:after="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27.1 成交供应商应在成交通知书发出之日起</w:t>
      </w:r>
      <w:r>
        <w:rPr>
          <w:rFonts w:hint="eastAsia" w:ascii="宋体" w:hAnsi="宋体" w:eastAsia="宋体" w:cs="宋体"/>
          <w:b/>
          <w:bCs/>
          <w:color w:val="auto"/>
          <w:highlight w:val="none"/>
        </w:rPr>
        <w:t>三十日</w:t>
      </w:r>
      <w:r>
        <w:rPr>
          <w:rFonts w:hint="eastAsia" w:ascii="宋体" w:hAnsi="宋体" w:eastAsia="宋体" w:cs="宋体"/>
          <w:color w:val="auto"/>
          <w:highlight w:val="none"/>
        </w:rPr>
        <w:t>内与采购人签订采购合同。由于成交供应商的原因逾期未与采购人签订采购合同的，将视为放弃成交，取消其成交资格并将按相关规定进行处理。</w:t>
      </w:r>
    </w:p>
    <w:p>
      <w:pPr>
        <w:tabs>
          <w:tab w:val="left" w:pos="1080"/>
        </w:tabs>
        <w:spacing w:after="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27.2 磋商文件、成交供应商的响应文件及双方确认的澄清文件等，均为有法律约束力的合同组成部分。</w:t>
      </w:r>
    </w:p>
    <w:p>
      <w:pPr>
        <w:tabs>
          <w:tab w:val="left" w:pos="1080"/>
        </w:tabs>
        <w:spacing w:after="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27.3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tabs>
          <w:tab w:val="left" w:pos="1080"/>
        </w:tabs>
        <w:spacing w:after="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27.4 成交供应商因不可抗力原因不能履行采购合同或放弃成交的，采购人可以与排在成交供应商之后第一位的成交候选人签订采购合同，以此类推。</w:t>
      </w:r>
    </w:p>
    <w:p>
      <w:pPr>
        <w:tabs>
          <w:tab w:val="left" w:pos="1080"/>
        </w:tabs>
        <w:spacing w:after="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27.5竞争性磋商文件、成交供应商提交的响应文件、磋商中的最后报价、成交供应商承诺书、成交通知书等均称为有法律约束力的合同组成内容。</w:t>
      </w:r>
    </w:p>
    <w:p>
      <w:pPr>
        <w:pStyle w:val="5"/>
        <w:spacing w:before="120" w:afterLines="50" w:line="360" w:lineRule="auto"/>
        <w:ind w:right="-94" w:rightChars="-39" w:firstLine="482"/>
        <w:rPr>
          <w:rFonts w:hint="eastAsia" w:ascii="宋体" w:hAnsi="宋体" w:eastAsia="宋体" w:cs="宋体"/>
          <w:color w:val="auto"/>
          <w:highlight w:val="none"/>
        </w:rPr>
      </w:pPr>
      <w:bookmarkStart w:id="539" w:name="_Toc28538"/>
      <w:bookmarkStart w:id="540" w:name="_Toc1245"/>
      <w:bookmarkStart w:id="541" w:name="_Toc3317"/>
      <w:bookmarkStart w:id="542" w:name="_Toc517422474"/>
      <w:bookmarkStart w:id="543" w:name="_Toc517423502"/>
      <w:bookmarkStart w:id="544" w:name="_Toc5210"/>
      <w:bookmarkStart w:id="545" w:name="_Toc4661"/>
      <w:bookmarkStart w:id="546" w:name="_Toc22594"/>
      <w:bookmarkStart w:id="547" w:name="_Toc14853"/>
      <w:bookmarkStart w:id="548" w:name="_Toc22525"/>
      <w:bookmarkStart w:id="549" w:name="_Toc10350"/>
      <w:bookmarkStart w:id="550" w:name="_Toc12264"/>
      <w:r>
        <w:rPr>
          <w:rFonts w:hint="eastAsia" w:ascii="宋体" w:hAnsi="宋体" w:eastAsia="宋体" w:cs="宋体"/>
          <w:color w:val="auto"/>
          <w:highlight w:val="none"/>
        </w:rPr>
        <w:t>28.合同分包</w:t>
      </w:r>
      <w:bookmarkEnd w:id="539"/>
      <w:bookmarkEnd w:id="540"/>
      <w:bookmarkEnd w:id="541"/>
      <w:bookmarkEnd w:id="542"/>
      <w:bookmarkEnd w:id="543"/>
      <w:bookmarkEnd w:id="544"/>
      <w:bookmarkEnd w:id="545"/>
      <w:bookmarkEnd w:id="546"/>
      <w:bookmarkEnd w:id="547"/>
      <w:bookmarkEnd w:id="548"/>
      <w:bookmarkEnd w:id="549"/>
      <w:bookmarkEnd w:id="550"/>
      <w:r>
        <w:rPr>
          <w:rFonts w:hint="eastAsia" w:ascii="宋体" w:hAnsi="宋体" w:eastAsia="宋体" w:cs="宋体"/>
          <w:color w:val="auto"/>
          <w:highlight w:val="none"/>
        </w:rPr>
        <w:t>（实质性要求）</w:t>
      </w:r>
    </w:p>
    <w:p>
      <w:pPr>
        <w:tabs>
          <w:tab w:val="left" w:pos="1080"/>
        </w:tabs>
        <w:spacing w:after="50" w:line="360" w:lineRule="auto"/>
        <w:ind w:right="-94" w:rightChars="-39" w:firstLine="460" w:firstLineChars="192"/>
        <w:rPr>
          <w:rFonts w:hint="eastAsia" w:ascii="宋体" w:hAnsi="宋体" w:eastAsia="宋体" w:cs="宋体"/>
          <w:color w:val="auto"/>
          <w:highlight w:val="none"/>
        </w:rPr>
      </w:pPr>
      <w:bookmarkStart w:id="551" w:name="_Toc20302"/>
      <w:bookmarkStart w:id="552" w:name="_Toc25127"/>
      <w:bookmarkStart w:id="553" w:name="_Toc24637"/>
      <w:bookmarkStart w:id="554" w:name="_Toc14089"/>
      <w:bookmarkStart w:id="555" w:name="_Toc517423503"/>
      <w:bookmarkStart w:id="556" w:name="_Toc10892"/>
      <w:bookmarkStart w:id="557" w:name="_Toc517422475"/>
      <w:bookmarkStart w:id="558" w:name="_Toc32698"/>
      <w:bookmarkStart w:id="559" w:name="_Toc15784"/>
      <w:bookmarkStart w:id="560" w:name="_Toc26539"/>
      <w:bookmarkStart w:id="561" w:name="_Toc5923"/>
      <w:bookmarkStart w:id="562" w:name="_Toc11698"/>
      <w:r>
        <w:rPr>
          <w:rFonts w:hint="eastAsia" w:ascii="宋体" w:hAnsi="宋体" w:eastAsia="宋体" w:cs="宋体"/>
          <w:color w:val="auto"/>
          <w:highlight w:val="none"/>
        </w:rPr>
        <w:t>28.1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tabs>
          <w:tab w:val="left" w:pos="1080"/>
        </w:tabs>
        <w:spacing w:after="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分包履行合同的部分应当为采购项目的非主体、非关键性工作，不属于成交供应商的主要合同义务。</w:t>
      </w:r>
    </w:p>
    <w:p>
      <w:pPr>
        <w:tabs>
          <w:tab w:val="left" w:pos="1080"/>
        </w:tabs>
        <w:spacing w:after="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28.2 采购合同实行分包履行的，成交供应商就采购项目和分包项目向采购人负责，分包供应商就分包项目承担责任。</w:t>
      </w:r>
    </w:p>
    <w:p>
      <w:pPr>
        <w:tabs>
          <w:tab w:val="left" w:pos="1080"/>
        </w:tabs>
        <w:spacing w:after="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28.3 中小企业</w:t>
      </w:r>
      <w:r>
        <w:rPr>
          <w:rFonts w:hint="eastAsia" w:ascii="宋体" w:hAnsi="宋体" w:eastAsia="宋体" w:cs="宋体"/>
          <w:color w:val="auto"/>
          <w:szCs w:val="24"/>
          <w:highlight w:val="none"/>
          <w:lang w:val="zh-CN"/>
        </w:rPr>
        <w:t>根据《政府采购促进中小企业发展暂行办法》（财库[20</w:t>
      </w:r>
      <w:r>
        <w:rPr>
          <w:rFonts w:hint="eastAsia" w:ascii="宋体" w:hAnsi="宋体" w:eastAsia="宋体" w:cs="宋体"/>
          <w:color w:val="auto"/>
          <w:szCs w:val="24"/>
          <w:highlight w:val="none"/>
        </w:rPr>
        <w:t>20</w:t>
      </w:r>
      <w:r>
        <w:rPr>
          <w:rFonts w:hint="eastAsia" w:ascii="宋体" w:hAnsi="宋体" w:eastAsia="宋体" w:cs="宋体"/>
          <w:color w:val="auto"/>
          <w:szCs w:val="24"/>
          <w:highlight w:val="none"/>
          <w:lang w:val="zh-CN"/>
        </w:rPr>
        <w:t>]</w:t>
      </w:r>
      <w:r>
        <w:rPr>
          <w:rFonts w:hint="eastAsia" w:ascii="宋体" w:hAnsi="宋体" w:eastAsia="宋体" w:cs="宋体"/>
          <w:color w:val="auto"/>
          <w:szCs w:val="24"/>
          <w:highlight w:val="none"/>
        </w:rPr>
        <w:t>46</w:t>
      </w:r>
      <w:r>
        <w:rPr>
          <w:rFonts w:hint="eastAsia" w:ascii="宋体" w:hAnsi="宋体" w:eastAsia="宋体" w:cs="宋体"/>
          <w:color w:val="auto"/>
          <w:szCs w:val="24"/>
          <w:highlight w:val="none"/>
          <w:lang w:val="zh-CN"/>
        </w:rPr>
        <w:t>号）</w:t>
      </w:r>
      <w:r>
        <w:rPr>
          <w:rFonts w:hint="eastAsia" w:ascii="宋体" w:hAnsi="宋体" w:eastAsia="宋体" w:cs="宋体"/>
          <w:color w:val="auto"/>
          <w:highlight w:val="none"/>
        </w:rPr>
        <w:t>的政策获取采购合同后，小型、微型企业不得分包或转包给大型、中型企业，中型企业不得分包或转包给大型企业。</w:t>
      </w:r>
    </w:p>
    <w:p>
      <w:pPr>
        <w:pStyle w:val="5"/>
        <w:spacing w:before="120" w:afterLines="50" w:line="360" w:lineRule="auto"/>
        <w:ind w:right="-94" w:rightChars="-39" w:firstLine="482"/>
        <w:rPr>
          <w:rFonts w:hint="eastAsia" w:ascii="宋体" w:hAnsi="宋体" w:eastAsia="宋体" w:cs="宋体"/>
          <w:color w:val="auto"/>
          <w:highlight w:val="none"/>
        </w:rPr>
      </w:pPr>
      <w:r>
        <w:rPr>
          <w:rFonts w:hint="eastAsia" w:ascii="宋体" w:hAnsi="宋体" w:eastAsia="宋体" w:cs="宋体"/>
          <w:color w:val="auto"/>
          <w:highlight w:val="none"/>
        </w:rPr>
        <w:t>29.合同转包</w:t>
      </w:r>
      <w:bookmarkEnd w:id="551"/>
      <w:bookmarkEnd w:id="552"/>
      <w:bookmarkEnd w:id="553"/>
      <w:bookmarkEnd w:id="554"/>
      <w:bookmarkEnd w:id="555"/>
      <w:bookmarkEnd w:id="556"/>
      <w:bookmarkEnd w:id="557"/>
      <w:bookmarkEnd w:id="558"/>
      <w:bookmarkEnd w:id="559"/>
      <w:bookmarkEnd w:id="560"/>
      <w:bookmarkEnd w:id="561"/>
      <w:bookmarkEnd w:id="562"/>
      <w:r>
        <w:rPr>
          <w:rFonts w:hint="eastAsia" w:ascii="宋体" w:hAnsi="宋体" w:eastAsia="宋体" w:cs="宋体"/>
          <w:color w:val="auto"/>
          <w:highlight w:val="none"/>
        </w:rPr>
        <w:t>（实质性要求）</w:t>
      </w:r>
    </w:p>
    <w:p>
      <w:pPr>
        <w:tabs>
          <w:tab w:val="left" w:pos="1080"/>
        </w:tabs>
        <w:spacing w:after="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本采购项目严禁成交供应商将任何采购合同义务转包。本项目所称转包，是指成交供应商将采购合同义务转让给第三人，并退出现有采购合同当事人双方的权利义务关系，受让人（即第三人）成为采购合同的另一方当事人的行为。</w:t>
      </w:r>
    </w:p>
    <w:p>
      <w:pPr>
        <w:tabs>
          <w:tab w:val="left" w:pos="1080"/>
        </w:tabs>
        <w:spacing w:after="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成交供应商转包的，视同拒绝履行采购合同义务，将依法追究法律责任。</w:t>
      </w:r>
    </w:p>
    <w:p>
      <w:pPr>
        <w:pStyle w:val="5"/>
        <w:spacing w:before="120" w:afterLines="50" w:line="360" w:lineRule="auto"/>
        <w:ind w:right="-94" w:rightChars="-39" w:firstLine="482"/>
        <w:rPr>
          <w:rFonts w:hint="eastAsia" w:ascii="宋体" w:hAnsi="宋体" w:eastAsia="宋体" w:cs="宋体"/>
          <w:color w:val="auto"/>
          <w:highlight w:val="none"/>
        </w:rPr>
      </w:pPr>
      <w:bookmarkStart w:id="563" w:name="_Toc8391"/>
      <w:bookmarkStart w:id="564" w:name="_Toc517422476"/>
      <w:bookmarkStart w:id="565" w:name="_Toc517423504"/>
      <w:bookmarkStart w:id="566" w:name="_Toc18440"/>
      <w:bookmarkStart w:id="567" w:name="_Toc12345"/>
      <w:bookmarkStart w:id="568" w:name="_Toc3173"/>
      <w:bookmarkStart w:id="569" w:name="_Toc30071"/>
      <w:bookmarkStart w:id="570" w:name="_Toc12537"/>
      <w:bookmarkStart w:id="571" w:name="_Toc27917"/>
      <w:bookmarkStart w:id="572" w:name="_Toc15088"/>
      <w:bookmarkStart w:id="573" w:name="_Toc10713"/>
      <w:bookmarkStart w:id="574" w:name="_Toc4714"/>
      <w:r>
        <w:rPr>
          <w:rFonts w:hint="eastAsia" w:ascii="宋体" w:hAnsi="宋体" w:eastAsia="宋体" w:cs="宋体"/>
          <w:color w:val="auto"/>
          <w:highlight w:val="none"/>
        </w:rPr>
        <w:t>30.补充合同</w:t>
      </w:r>
      <w:bookmarkEnd w:id="563"/>
      <w:bookmarkEnd w:id="564"/>
      <w:bookmarkEnd w:id="565"/>
      <w:bookmarkEnd w:id="566"/>
      <w:bookmarkEnd w:id="567"/>
      <w:bookmarkEnd w:id="568"/>
      <w:bookmarkEnd w:id="569"/>
      <w:bookmarkEnd w:id="570"/>
      <w:bookmarkEnd w:id="571"/>
      <w:bookmarkEnd w:id="572"/>
      <w:bookmarkEnd w:id="573"/>
      <w:bookmarkEnd w:id="574"/>
    </w:p>
    <w:p>
      <w:pPr>
        <w:tabs>
          <w:tab w:val="left" w:pos="1080"/>
        </w:tabs>
        <w:spacing w:after="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采购合同履行过程中，不得在原采购合同履行结束后，且采购货物、工程和服务的名称、价格、履约方式、验收标准等必须与原采购合同一致。 </w:t>
      </w:r>
    </w:p>
    <w:p>
      <w:pPr>
        <w:pStyle w:val="5"/>
        <w:spacing w:before="120" w:afterLines="50" w:line="360" w:lineRule="auto"/>
        <w:ind w:right="-94" w:rightChars="-39" w:firstLine="482"/>
        <w:rPr>
          <w:rFonts w:hint="eastAsia" w:ascii="宋体" w:hAnsi="宋体" w:eastAsia="宋体" w:cs="宋体"/>
          <w:color w:val="auto"/>
          <w:highlight w:val="none"/>
        </w:rPr>
      </w:pPr>
      <w:bookmarkStart w:id="575" w:name="_Toc13931"/>
      <w:bookmarkStart w:id="576" w:name="_Toc30027"/>
      <w:bookmarkStart w:id="577" w:name="_Toc16031"/>
      <w:bookmarkStart w:id="578" w:name="_Toc30249"/>
      <w:bookmarkStart w:id="579" w:name="_Toc9390"/>
      <w:bookmarkStart w:id="580" w:name="_Toc22149"/>
      <w:bookmarkStart w:id="581" w:name="_Toc517422477"/>
      <w:bookmarkStart w:id="582" w:name="_Toc517423505"/>
      <w:bookmarkStart w:id="583" w:name="_Toc6006"/>
      <w:bookmarkStart w:id="584" w:name="_Toc49"/>
      <w:bookmarkStart w:id="585" w:name="_Toc726"/>
      <w:bookmarkStart w:id="586" w:name="_Toc21917"/>
      <w:r>
        <w:rPr>
          <w:rFonts w:hint="eastAsia" w:ascii="宋体" w:hAnsi="宋体" w:eastAsia="宋体" w:cs="宋体"/>
          <w:color w:val="auto"/>
          <w:highlight w:val="none"/>
          <w:lang w:val="en-US"/>
        </w:rPr>
        <w:t>31.</w:t>
      </w:r>
      <w:r>
        <w:rPr>
          <w:rFonts w:hint="eastAsia" w:ascii="宋体" w:hAnsi="宋体" w:eastAsia="宋体" w:cs="宋体"/>
          <w:color w:val="auto"/>
          <w:highlight w:val="none"/>
        </w:rPr>
        <w:t>履约保证金</w:t>
      </w:r>
      <w:bookmarkEnd w:id="575"/>
      <w:bookmarkEnd w:id="576"/>
      <w:bookmarkEnd w:id="577"/>
      <w:bookmarkEnd w:id="578"/>
      <w:bookmarkEnd w:id="579"/>
      <w:bookmarkEnd w:id="580"/>
      <w:bookmarkEnd w:id="581"/>
      <w:bookmarkEnd w:id="582"/>
      <w:bookmarkEnd w:id="583"/>
      <w:bookmarkEnd w:id="584"/>
      <w:bookmarkEnd w:id="585"/>
      <w:bookmarkEnd w:id="586"/>
    </w:p>
    <w:p>
      <w:pPr>
        <w:pStyle w:val="5"/>
        <w:spacing w:before="120" w:afterLines="50" w:line="360" w:lineRule="auto"/>
        <w:ind w:right="-94" w:rightChars="-39" w:firstLine="480"/>
        <w:rPr>
          <w:rFonts w:hint="eastAsia" w:ascii="宋体" w:hAnsi="宋体" w:eastAsia="宋体" w:cs="宋体"/>
          <w:b w:val="0"/>
          <w:bCs w:val="0"/>
          <w:color w:val="auto"/>
          <w:highlight w:val="none"/>
          <w:lang w:eastAsia="zh-CN"/>
        </w:rPr>
      </w:pPr>
      <w:bookmarkStart w:id="587" w:name="_Toc18538"/>
      <w:bookmarkStart w:id="588" w:name="_Toc517423506"/>
      <w:bookmarkStart w:id="589" w:name="_Toc29059"/>
      <w:bookmarkStart w:id="590" w:name="_Toc17745"/>
      <w:bookmarkStart w:id="591" w:name="_Toc21130"/>
      <w:bookmarkStart w:id="592" w:name="_Toc16810"/>
      <w:bookmarkStart w:id="593" w:name="_Toc5417"/>
      <w:bookmarkStart w:id="594" w:name="_Toc1412"/>
      <w:bookmarkStart w:id="595" w:name="_Toc28325"/>
      <w:bookmarkStart w:id="596" w:name="_Toc517422478"/>
      <w:bookmarkStart w:id="597" w:name="_Toc30007"/>
      <w:bookmarkStart w:id="598" w:name="_Toc14487"/>
      <w:r>
        <w:rPr>
          <w:rFonts w:hint="eastAsia" w:ascii="宋体" w:hAnsi="宋体" w:eastAsia="宋体" w:cs="宋体"/>
          <w:b w:val="0"/>
          <w:bCs w:val="0"/>
          <w:color w:val="auto"/>
          <w:highlight w:val="none"/>
        </w:rPr>
        <w:t xml:space="preserve"> </w:t>
      </w:r>
      <w:r>
        <w:rPr>
          <w:rFonts w:hint="eastAsia" w:ascii="宋体" w:hAnsi="宋体" w:eastAsia="宋体" w:cs="宋体"/>
          <w:b w:val="0"/>
          <w:bCs w:val="0"/>
          <w:color w:val="auto"/>
          <w:highlight w:val="none"/>
          <w:lang w:val="en-US"/>
        </w:rPr>
        <w:t xml:space="preserve"> </w:t>
      </w:r>
      <w:r>
        <w:rPr>
          <w:rFonts w:hint="eastAsia" w:ascii="宋体" w:hAnsi="宋体" w:eastAsia="宋体" w:cs="宋体"/>
          <w:b w:val="0"/>
          <w:bCs w:val="0"/>
          <w:color w:val="auto"/>
          <w:highlight w:val="none"/>
          <w:lang w:val="en-US" w:eastAsia="zh-CN"/>
        </w:rPr>
        <w:t>本项目不收取履约保证金</w:t>
      </w:r>
    </w:p>
    <w:p>
      <w:pPr>
        <w:pStyle w:val="5"/>
        <w:spacing w:before="120" w:afterLines="50" w:line="360" w:lineRule="auto"/>
        <w:ind w:right="-94" w:rightChars="-39" w:firstLine="482"/>
        <w:rPr>
          <w:rFonts w:hint="eastAsia" w:ascii="宋体" w:hAnsi="宋体" w:eastAsia="宋体" w:cs="宋体"/>
          <w:color w:val="auto"/>
          <w:highlight w:val="none"/>
        </w:rPr>
      </w:pPr>
      <w:r>
        <w:rPr>
          <w:rFonts w:hint="eastAsia" w:ascii="宋体" w:hAnsi="宋体" w:eastAsia="宋体" w:cs="宋体"/>
          <w:color w:val="auto"/>
          <w:highlight w:val="none"/>
        </w:rPr>
        <w:t>32.履行合同</w:t>
      </w:r>
      <w:bookmarkEnd w:id="587"/>
      <w:bookmarkEnd w:id="588"/>
      <w:bookmarkEnd w:id="589"/>
      <w:bookmarkEnd w:id="590"/>
      <w:bookmarkEnd w:id="591"/>
      <w:bookmarkEnd w:id="592"/>
      <w:bookmarkEnd w:id="593"/>
      <w:bookmarkEnd w:id="594"/>
      <w:bookmarkEnd w:id="595"/>
      <w:bookmarkEnd w:id="596"/>
      <w:bookmarkEnd w:id="597"/>
      <w:bookmarkEnd w:id="598"/>
    </w:p>
    <w:p>
      <w:pPr>
        <w:tabs>
          <w:tab w:val="left" w:pos="1080"/>
        </w:tabs>
        <w:spacing w:after="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32.1 成交供应商与采购人签订合同后，合同双方应严格执行合同条款，履行合同规定的义务，保证合同的顺利完成。</w:t>
      </w:r>
    </w:p>
    <w:p>
      <w:pPr>
        <w:tabs>
          <w:tab w:val="left" w:pos="1080"/>
        </w:tabs>
        <w:spacing w:after="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32.2 在合同履行过程中，如发生合同纠纷，合同双方应按照《中华人民共和国民法典》的有关规定进行处理。</w:t>
      </w:r>
    </w:p>
    <w:p>
      <w:pPr>
        <w:pStyle w:val="5"/>
        <w:spacing w:before="120" w:afterLines="50" w:line="360" w:lineRule="auto"/>
        <w:ind w:right="-94" w:rightChars="-39" w:firstLine="482"/>
        <w:rPr>
          <w:rFonts w:hint="eastAsia" w:ascii="宋体" w:hAnsi="宋体" w:eastAsia="宋体" w:cs="宋体"/>
          <w:color w:val="auto"/>
          <w:highlight w:val="none"/>
        </w:rPr>
      </w:pPr>
      <w:bookmarkStart w:id="599" w:name="_Toc24728"/>
      <w:bookmarkStart w:id="600" w:name="_Toc517423507"/>
      <w:bookmarkStart w:id="601" w:name="_Toc17848"/>
      <w:bookmarkStart w:id="602" w:name="_Toc83"/>
      <w:bookmarkStart w:id="603" w:name="_Toc13974"/>
      <w:bookmarkStart w:id="604" w:name="_Toc2267"/>
      <w:bookmarkStart w:id="605" w:name="_Toc9583"/>
      <w:bookmarkStart w:id="606" w:name="_Toc517422479"/>
      <w:bookmarkStart w:id="607" w:name="_Toc7684"/>
      <w:bookmarkStart w:id="608" w:name="_Toc16283"/>
      <w:bookmarkStart w:id="609" w:name="_Toc15214"/>
      <w:bookmarkStart w:id="610" w:name="_Toc26652"/>
      <w:r>
        <w:rPr>
          <w:rFonts w:hint="eastAsia" w:ascii="宋体" w:hAnsi="宋体" w:eastAsia="宋体" w:cs="宋体"/>
          <w:color w:val="auto"/>
          <w:highlight w:val="none"/>
        </w:rPr>
        <w:t>33</w:t>
      </w:r>
      <w:r>
        <w:rPr>
          <w:rFonts w:hint="eastAsia" w:ascii="宋体" w:hAnsi="宋体" w:eastAsia="宋体" w:cs="宋体"/>
          <w:bCs w:val="0"/>
          <w:color w:val="auto"/>
          <w:highlight w:val="none"/>
        </w:rPr>
        <w:t>.验收</w:t>
      </w:r>
      <w:bookmarkEnd w:id="599"/>
      <w:bookmarkEnd w:id="600"/>
      <w:bookmarkEnd w:id="601"/>
      <w:bookmarkEnd w:id="602"/>
      <w:bookmarkEnd w:id="603"/>
      <w:bookmarkEnd w:id="604"/>
      <w:bookmarkEnd w:id="605"/>
      <w:bookmarkEnd w:id="606"/>
      <w:bookmarkEnd w:id="607"/>
      <w:bookmarkEnd w:id="608"/>
      <w:bookmarkEnd w:id="609"/>
      <w:bookmarkEnd w:id="610"/>
      <w:bookmarkStart w:id="611" w:name="_Toc374"/>
      <w:bookmarkStart w:id="612" w:name="_Toc11621"/>
      <w:bookmarkStart w:id="613" w:name="_Toc31534"/>
      <w:bookmarkStart w:id="614" w:name="_Toc16236"/>
      <w:bookmarkStart w:id="615" w:name="_Toc30058"/>
      <w:bookmarkStart w:id="616" w:name="_Toc517423508"/>
      <w:bookmarkStart w:id="617" w:name="_Toc28708"/>
      <w:bookmarkStart w:id="618" w:name="_Toc13549"/>
      <w:bookmarkStart w:id="619" w:name="_Toc26803"/>
      <w:bookmarkStart w:id="620" w:name="_Toc3515"/>
      <w:bookmarkStart w:id="621" w:name="_Toc7593"/>
      <w:bookmarkStart w:id="622" w:name="_Toc517422480"/>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验收要求：</w:t>
      </w:r>
      <w:r>
        <w:rPr>
          <w:rFonts w:hint="eastAsia" w:ascii="宋体" w:hAnsi="宋体"/>
          <w:sz w:val="24"/>
        </w:rPr>
        <w:t>成交</w:t>
      </w:r>
      <w:r>
        <w:rPr>
          <w:rFonts w:hint="eastAsia" w:ascii="宋体" w:hAnsi="宋体"/>
          <w:sz w:val="24"/>
          <w:lang w:eastAsia="zh-CN"/>
        </w:rPr>
        <w:t>供应商</w:t>
      </w:r>
      <w:r>
        <w:rPr>
          <w:rFonts w:hint="eastAsia" w:ascii="宋体" w:hAnsi="宋体"/>
          <w:sz w:val="24"/>
        </w:rPr>
        <w:t>与采购人应严格按照《财政部关于进一步加强政府采购需求和履约验收管理的指导意见》（财库〔2016〕205 号）)的要求进行验收。</w:t>
      </w:r>
    </w:p>
    <w:p>
      <w:pPr>
        <w:pStyle w:val="5"/>
        <w:spacing w:before="120" w:afterLines="50" w:line="360" w:lineRule="auto"/>
        <w:ind w:right="-94" w:rightChars="-39" w:firstLine="482"/>
        <w:rPr>
          <w:rFonts w:hint="eastAsia" w:ascii="宋体" w:hAnsi="宋体" w:eastAsia="宋体" w:cs="宋体"/>
          <w:color w:val="auto"/>
          <w:szCs w:val="22"/>
          <w:highlight w:val="none"/>
        </w:rPr>
      </w:pPr>
      <w:r>
        <w:rPr>
          <w:rFonts w:hint="eastAsia" w:ascii="宋体" w:hAnsi="宋体" w:eastAsia="宋体" w:cs="宋体"/>
          <w:color w:val="auto"/>
          <w:highlight w:val="none"/>
        </w:rPr>
        <w:t>34</w:t>
      </w:r>
      <w:r>
        <w:rPr>
          <w:rFonts w:hint="eastAsia" w:ascii="宋体" w:hAnsi="宋体" w:eastAsia="宋体" w:cs="宋体"/>
          <w:color w:val="auto"/>
          <w:szCs w:val="22"/>
          <w:highlight w:val="none"/>
          <w:lang w:val="en-US"/>
        </w:rPr>
        <w:t>.</w:t>
      </w:r>
      <w:bookmarkEnd w:id="611"/>
      <w:bookmarkEnd w:id="612"/>
      <w:bookmarkEnd w:id="613"/>
      <w:bookmarkEnd w:id="614"/>
      <w:bookmarkEnd w:id="615"/>
      <w:bookmarkEnd w:id="616"/>
      <w:bookmarkEnd w:id="617"/>
      <w:bookmarkEnd w:id="618"/>
      <w:bookmarkEnd w:id="619"/>
      <w:bookmarkEnd w:id="620"/>
      <w:bookmarkEnd w:id="621"/>
      <w:bookmarkEnd w:id="622"/>
      <w:r>
        <w:rPr>
          <w:rFonts w:hint="eastAsia" w:ascii="宋体" w:hAnsi="宋体" w:eastAsia="宋体" w:cs="宋体"/>
          <w:color w:val="auto"/>
          <w:szCs w:val="22"/>
          <w:highlight w:val="none"/>
        </w:rPr>
        <w:t>付款方式</w:t>
      </w:r>
    </w:p>
    <w:p>
      <w:pPr>
        <w:pStyle w:val="2"/>
        <w:ind w:firstLine="480"/>
        <w:rPr>
          <w:rFonts w:hint="eastAsia" w:ascii="宋体" w:hAnsi="宋体" w:eastAsia="宋体" w:cs="宋体"/>
          <w:bCs/>
          <w:color w:val="auto"/>
          <w:sz w:val="24"/>
          <w:szCs w:val="22"/>
          <w:highlight w:val="none"/>
        </w:rPr>
      </w:pPr>
      <w:r>
        <w:rPr>
          <w:rFonts w:hint="eastAsia" w:ascii="宋体" w:hAnsi="宋体" w:eastAsia="宋体" w:cs="宋体"/>
          <w:color w:val="auto"/>
          <w:kern w:val="0"/>
          <w:sz w:val="24"/>
          <w:szCs w:val="22"/>
          <w:highlight w:val="none"/>
          <w:lang w:val="en-US"/>
        </w:rPr>
        <w:t>本项目按采购合同支付，具体支付方式详见第五章商务要求。</w:t>
      </w:r>
    </w:p>
    <w:p>
      <w:pPr>
        <w:pStyle w:val="4"/>
        <w:keepNext w:val="0"/>
        <w:keepLines w:val="0"/>
        <w:spacing w:before="0" w:after="0" w:line="360" w:lineRule="auto"/>
        <w:ind w:right="-94" w:rightChars="-39"/>
        <w:rPr>
          <w:rFonts w:hint="eastAsia" w:ascii="宋体" w:hAnsi="宋体" w:eastAsia="宋体" w:cs="宋体"/>
          <w:color w:val="auto"/>
          <w:highlight w:val="none"/>
        </w:rPr>
      </w:pPr>
      <w:bookmarkStart w:id="623" w:name="_Toc5988"/>
      <w:bookmarkStart w:id="624" w:name="_Toc9677"/>
      <w:bookmarkStart w:id="625" w:name="_Toc23766"/>
      <w:bookmarkStart w:id="626" w:name="_Toc32344"/>
      <w:bookmarkStart w:id="627" w:name="_Toc18558"/>
      <w:bookmarkStart w:id="628" w:name="_Toc9135"/>
      <w:bookmarkStart w:id="629" w:name="_Toc18124"/>
      <w:bookmarkStart w:id="630" w:name="_Toc517422481"/>
      <w:bookmarkStart w:id="631" w:name="_Toc517423509"/>
      <w:bookmarkStart w:id="632" w:name="_Toc16425"/>
      <w:bookmarkStart w:id="633" w:name="_Toc7674"/>
      <w:bookmarkStart w:id="634" w:name="_Toc9283"/>
      <w:r>
        <w:rPr>
          <w:rFonts w:hint="eastAsia" w:ascii="宋体" w:hAnsi="宋体" w:eastAsia="宋体" w:cs="宋体"/>
          <w:color w:val="auto"/>
          <w:highlight w:val="none"/>
        </w:rPr>
        <w:t>八、磋商纪律要求</w:t>
      </w:r>
      <w:bookmarkEnd w:id="623"/>
      <w:bookmarkEnd w:id="624"/>
      <w:bookmarkEnd w:id="625"/>
      <w:bookmarkEnd w:id="626"/>
      <w:bookmarkEnd w:id="627"/>
      <w:bookmarkEnd w:id="628"/>
      <w:bookmarkEnd w:id="629"/>
      <w:bookmarkEnd w:id="630"/>
      <w:bookmarkEnd w:id="631"/>
      <w:bookmarkEnd w:id="632"/>
      <w:bookmarkEnd w:id="633"/>
      <w:bookmarkEnd w:id="634"/>
    </w:p>
    <w:p>
      <w:pPr>
        <w:pStyle w:val="5"/>
        <w:spacing w:before="120" w:afterLines="50" w:line="360" w:lineRule="auto"/>
        <w:ind w:right="-94" w:rightChars="-39" w:firstLine="482"/>
        <w:rPr>
          <w:rFonts w:hint="eastAsia" w:ascii="宋体" w:hAnsi="宋体" w:eastAsia="宋体" w:cs="宋体"/>
          <w:color w:val="auto"/>
          <w:highlight w:val="none"/>
        </w:rPr>
      </w:pPr>
      <w:bookmarkStart w:id="635" w:name="_Toc21531"/>
      <w:bookmarkStart w:id="636" w:name="_Toc9305"/>
      <w:bookmarkStart w:id="637" w:name="_Toc26441"/>
      <w:bookmarkStart w:id="638" w:name="_Toc13474"/>
      <w:bookmarkStart w:id="639" w:name="_Toc27123"/>
      <w:bookmarkStart w:id="640" w:name="_Toc19451"/>
      <w:bookmarkStart w:id="641" w:name="_Toc517423510"/>
      <w:bookmarkStart w:id="642" w:name="_Toc14140"/>
      <w:bookmarkStart w:id="643" w:name="_Toc517422482"/>
      <w:bookmarkStart w:id="644" w:name="_Toc14655"/>
      <w:bookmarkStart w:id="645" w:name="_Toc12502"/>
      <w:bookmarkStart w:id="646" w:name="_Toc30975"/>
      <w:r>
        <w:rPr>
          <w:rFonts w:hint="eastAsia" w:ascii="宋体" w:hAnsi="宋体" w:eastAsia="宋体" w:cs="宋体"/>
          <w:color w:val="auto"/>
          <w:highlight w:val="none"/>
        </w:rPr>
        <w:t>35.供应商不得具有的情形</w:t>
      </w:r>
      <w:bookmarkEnd w:id="635"/>
      <w:bookmarkEnd w:id="636"/>
      <w:bookmarkEnd w:id="637"/>
      <w:bookmarkEnd w:id="638"/>
      <w:bookmarkEnd w:id="639"/>
      <w:bookmarkEnd w:id="640"/>
      <w:bookmarkEnd w:id="641"/>
      <w:bookmarkEnd w:id="642"/>
      <w:bookmarkEnd w:id="643"/>
      <w:bookmarkEnd w:id="644"/>
      <w:bookmarkEnd w:id="645"/>
      <w:bookmarkEnd w:id="646"/>
    </w:p>
    <w:p>
      <w:pPr>
        <w:tabs>
          <w:tab w:val="left" w:pos="1080"/>
        </w:tabs>
        <w:spacing w:after="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供应商参加本项目磋商不得有下列情形：</w:t>
      </w:r>
    </w:p>
    <w:p>
      <w:pPr>
        <w:tabs>
          <w:tab w:val="left" w:pos="1080"/>
        </w:tabs>
        <w:spacing w:after="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（1）提供虚假材料谋取成交；</w:t>
      </w:r>
    </w:p>
    <w:p>
      <w:pPr>
        <w:tabs>
          <w:tab w:val="left" w:pos="1080"/>
        </w:tabs>
        <w:spacing w:after="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（2）采取不正当手段诋毁、排挤其他供应商；</w:t>
      </w:r>
    </w:p>
    <w:p>
      <w:pPr>
        <w:tabs>
          <w:tab w:val="left" w:pos="1080"/>
        </w:tabs>
        <w:spacing w:after="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（3）与采购人、采购代理机构、或其他供应商恶意串通；</w:t>
      </w:r>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（4）向采购人、采购代理机构、磋商小组成员行贿或者提供其他不正当利益；</w:t>
      </w:r>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（5）在磋商过程中与采购人、采购代理机构进行协商；</w:t>
      </w:r>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（6）成交后无正当理由拒不与采购人签订采购合同；</w:t>
      </w:r>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（7）未按照磋商文件确定的事项签订采购合同；</w:t>
      </w:r>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（8）将采购合同转包或者违规分包；</w:t>
      </w:r>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（9）提供假冒伪劣材料；</w:t>
      </w:r>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（10）擅自变更、中止或者终止采购合同；</w:t>
      </w:r>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（11）拒绝有关部门的监督检查或者向监督检查部门提供虚假情况；</w:t>
      </w:r>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（12）法律法规规定的其他情形。</w:t>
      </w:r>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供应商有上述情形的，按照规定追究法律责任，具备（1）-（10）条情形之一的，同时将取消被确认为成交供应商的资格或者认定成交无效。</w:t>
      </w:r>
    </w:p>
    <w:p>
      <w:pPr>
        <w:pStyle w:val="4"/>
        <w:keepNext w:val="0"/>
        <w:keepLines w:val="0"/>
        <w:numPr>
          <w:ilvl w:val="0"/>
          <w:numId w:val="4"/>
        </w:numPr>
        <w:spacing w:before="0" w:after="0" w:line="360" w:lineRule="auto"/>
        <w:ind w:right="-94" w:rightChars="-39"/>
        <w:rPr>
          <w:rFonts w:hint="eastAsia" w:ascii="宋体" w:hAnsi="宋体" w:eastAsia="宋体" w:cs="宋体"/>
          <w:color w:val="auto"/>
          <w:highlight w:val="none"/>
        </w:rPr>
      </w:pPr>
      <w:bookmarkStart w:id="647" w:name="_Toc32091"/>
      <w:bookmarkStart w:id="648" w:name="_Toc517423511"/>
      <w:bookmarkStart w:id="649" w:name="_Toc27415"/>
      <w:bookmarkStart w:id="650" w:name="_Toc517422483"/>
      <w:bookmarkStart w:id="651" w:name="_Toc24785"/>
      <w:bookmarkStart w:id="652" w:name="_Toc26056"/>
      <w:bookmarkStart w:id="653" w:name="_Toc22340"/>
      <w:bookmarkStart w:id="654" w:name="_Toc6878"/>
      <w:bookmarkStart w:id="655" w:name="_Toc2904"/>
      <w:bookmarkStart w:id="656" w:name="_Toc11745"/>
      <w:bookmarkStart w:id="657" w:name="_Toc19349"/>
      <w:bookmarkStart w:id="658" w:name="_Toc27101"/>
      <w:r>
        <w:rPr>
          <w:rFonts w:hint="eastAsia" w:ascii="宋体" w:hAnsi="宋体" w:eastAsia="宋体" w:cs="宋体"/>
          <w:color w:val="auto"/>
          <w:highlight w:val="none"/>
        </w:rPr>
        <w:t>询问、质疑和投诉</w:t>
      </w:r>
      <w:bookmarkEnd w:id="647"/>
      <w:bookmarkEnd w:id="648"/>
      <w:bookmarkEnd w:id="649"/>
      <w:bookmarkEnd w:id="650"/>
      <w:bookmarkEnd w:id="651"/>
      <w:bookmarkEnd w:id="652"/>
      <w:bookmarkEnd w:id="653"/>
      <w:bookmarkEnd w:id="654"/>
      <w:bookmarkEnd w:id="655"/>
      <w:bookmarkEnd w:id="656"/>
      <w:bookmarkEnd w:id="657"/>
      <w:bookmarkEnd w:id="658"/>
      <w:bookmarkStart w:id="659" w:name="_Toc21700"/>
      <w:bookmarkStart w:id="660" w:name="_Toc519690191"/>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36.询问、质疑、投诉的接收和处理参照《中华人民共和国政府采购法》《中华人民共和国政府采购法实施条例》《财政部关于加强政府采购供应商投诉受理审查工作的通知》《政府采购质疑和投诉办法（财政部令第 94 号）》和四川省的有关规定办理（详细规定请在四川政府采购网政策法规模块查询）。</w:t>
      </w:r>
      <w:bookmarkEnd w:id="659"/>
      <w:bookmarkEnd w:id="660"/>
    </w:p>
    <w:p>
      <w:pPr>
        <w:pStyle w:val="4"/>
        <w:spacing w:line="360" w:lineRule="auto"/>
        <w:ind w:right="-94" w:rightChars="-39"/>
        <w:rPr>
          <w:rFonts w:hint="eastAsia" w:ascii="宋体" w:hAnsi="宋体" w:eastAsia="宋体" w:cs="宋体"/>
          <w:color w:val="auto"/>
          <w:sz w:val="24"/>
          <w:highlight w:val="none"/>
        </w:rPr>
      </w:pPr>
      <w:bookmarkStart w:id="661" w:name="_Toc17169"/>
      <w:bookmarkStart w:id="662" w:name="_Toc23728"/>
      <w:bookmarkStart w:id="663" w:name="_Toc6085"/>
      <w:bookmarkStart w:id="664" w:name="_Toc517423513"/>
      <w:bookmarkStart w:id="665" w:name="_Toc14726"/>
      <w:bookmarkStart w:id="666" w:name="_Toc5434"/>
      <w:bookmarkStart w:id="667" w:name="_Toc29704"/>
      <w:bookmarkStart w:id="668" w:name="_Toc20599"/>
      <w:bookmarkStart w:id="669" w:name="_Toc12072"/>
      <w:bookmarkStart w:id="670" w:name="_Toc21073"/>
      <w:bookmarkStart w:id="671" w:name="_Toc15712"/>
      <w:bookmarkStart w:id="672" w:name="_Toc2632"/>
      <w:bookmarkStart w:id="673" w:name="_Toc517422485"/>
      <w:bookmarkStart w:id="674" w:name="_Toc28608"/>
      <w:bookmarkStart w:id="675" w:name="_Toc12416"/>
      <w:bookmarkStart w:id="676" w:name="_Toc24254"/>
      <w:bookmarkStart w:id="677" w:name="_Toc29557"/>
      <w:r>
        <w:rPr>
          <w:rFonts w:hint="eastAsia" w:ascii="宋体" w:hAnsi="宋体" w:eastAsia="宋体" w:cs="宋体"/>
          <w:color w:val="auto"/>
          <w:highlight w:val="none"/>
        </w:rPr>
        <w:t>十、其  他</w:t>
      </w:r>
      <w:bookmarkEnd w:id="661"/>
      <w:bookmarkEnd w:id="662"/>
      <w:bookmarkEnd w:id="663"/>
    </w:p>
    <w:p>
      <w:pPr>
        <w:tabs>
          <w:tab w:val="left" w:pos="1080"/>
        </w:tabs>
        <w:spacing w:afterLines="50" w:line="360" w:lineRule="auto"/>
        <w:ind w:right="-94" w:rightChars="-39" w:firstLine="460" w:firstLineChars="192"/>
        <w:rPr>
          <w:rFonts w:hint="eastAsia" w:ascii="宋体" w:hAnsi="宋体" w:eastAsia="宋体" w:cs="宋体"/>
          <w:color w:val="auto"/>
          <w:szCs w:val="22"/>
          <w:highlight w:val="none"/>
        </w:rPr>
      </w:pPr>
      <w:r>
        <w:rPr>
          <w:rFonts w:hint="eastAsia" w:ascii="宋体" w:hAnsi="宋体" w:eastAsia="宋体" w:cs="宋体"/>
          <w:color w:val="auto"/>
          <w:szCs w:val="22"/>
          <w:highlight w:val="none"/>
        </w:rPr>
        <w:t>37.本磋商文件中所引相关法律制度规定，在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tabs>
          <w:tab w:val="left" w:pos="1080"/>
        </w:tabs>
        <w:spacing w:afterLines="50" w:line="360" w:lineRule="auto"/>
        <w:ind w:right="-94" w:rightChars="-39" w:firstLine="460" w:firstLineChars="192"/>
        <w:rPr>
          <w:rFonts w:hint="eastAsia" w:ascii="宋体" w:hAnsi="宋体" w:eastAsia="宋体" w:cs="宋体"/>
          <w:color w:val="auto"/>
          <w:szCs w:val="22"/>
          <w:highlight w:val="none"/>
        </w:rPr>
      </w:pPr>
      <w:r>
        <w:rPr>
          <w:rFonts w:hint="eastAsia" w:ascii="宋体" w:hAnsi="宋体" w:eastAsia="宋体" w:cs="宋体"/>
          <w:color w:val="auto"/>
          <w:szCs w:val="22"/>
          <w:highlight w:val="none"/>
        </w:rPr>
        <w:t>38.</w:t>
      </w:r>
      <w:r>
        <w:rPr>
          <w:rFonts w:hint="eastAsia" w:ascii="宋体" w:hAnsi="宋体" w:eastAsia="宋体" w:cs="宋体"/>
          <w:b/>
          <w:color w:val="auto"/>
          <w:highlight w:val="none"/>
        </w:rPr>
        <w:t>（实质性要求）</w:t>
      </w:r>
      <w:r>
        <w:rPr>
          <w:rFonts w:hint="eastAsia" w:ascii="宋体" w:hAnsi="宋体" w:eastAsia="宋体" w:cs="宋体"/>
          <w:color w:val="auto"/>
          <w:szCs w:val="22"/>
          <w:highlight w:val="none"/>
        </w:rPr>
        <w:t>国家或行业主管部门对供应商和采购产品的技术标准、质量标准和资格资质条件等有强制性规定的，必须符合其要求。</w:t>
      </w:r>
    </w:p>
    <w:p>
      <w:pPr>
        <w:spacing w:line="360" w:lineRule="auto"/>
        <w:ind w:right="-94" w:rightChars="-39" w:firstLine="480"/>
        <w:rPr>
          <w:rFonts w:hint="eastAsia" w:ascii="宋体" w:hAnsi="宋体" w:eastAsia="宋体" w:cs="宋体"/>
          <w:color w:val="auto"/>
          <w:highlight w:val="none"/>
        </w:rPr>
      </w:pPr>
      <w:bookmarkStart w:id="678" w:name="_Toc12006356"/>
      <w:bookmarkStart w:id="679" w:name="_Toc9438761"/>
      <w:bookmarkStart w:id="680" w:name="_Toc17951"/>
    </w:p>
    <w:p>
      <w:pPr>
        <w:spacing w:line="360" w:lineRule="auto"/>
        <w:ind w:right="-94" w:rightChars="-39" w:firstLine="0" w:firstLineChars="0"/>
        <w:rPr>
          <w:rFonts w:hint="eastAsia" w:ascii="宋体" w:hAnsi="宋体" w:eastAsia="宋体" w:cs="宋体"/>
          <w:color w:val="auto"/>
          <w:highlight w:val="none"/>
        </w:rPr>
      </w:pP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3"/>
        <w:spacing w:before="0" w:afterLines="50" w:line="360" w:lineRule="auto"/>
        <w:ind w:right="-94" w:rightChars="-39"/>
        <w:rPr>
          <w:rFonts w:hint="eastAsia" w:ascii="宋体" w:hAnsi="宋体" w:eastAsia="宋体" w:cs="宋体"/>
          <w:color w:val="auto"/>
          <w:highlight w:val="none"/>
        </w:rPr>
      </w:pPr>
      <w:bookmarkStart w:id="681" w:name="_Toc14406"/>
      <w:r>
        <w:rPr>
          <w:rFonts w:hint="eastAsia" w:ascii="宋体" w:hAnsi="宋体" w:eastAsia="宋体" w:cs="宋体"/>
          <w:color w:val="auto"/>
          <w:highlight w:val="none"/>
        </w:rPr>
        <w:t>第三章  供应商资格条件要求</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widowControl/>
        <w:spacing w:afterLines="50" w:line="240" w:lineRule="auto"/>
        <w:ind w:right="-94" w:rightChars="-39" w:firstLine="482"/>
        <w:jc w:val="left"/>
        <w:rPr>
          <w:rFonts w:hint="eastAsia" w:ascii="宋体" w:hAnsi="宋体" w:eastAsia="宋体" w:cs="宋体"/>
          <w:b/>
          <w:color w:val="auto"/>
          <w:sz w:val="24"/>
          <w:szCs w:val="24"/>
          <w:highlight w:val="none"/>
        </w:rPr>
      </w:pPr>
      <w:bookmarkStart w:id="682" w:name="_Toc23026"/>
      <w:r>
        <w:rPr>
          <w:rFonts w:hint="eastAsia" w:ascii="宋体" w:hAnsi="宋体" w:eastAsia="宋体" w:cs="宋体"/>
          <w:b/>
          <w:color w:val="auto"/>
          <w:sz w:val="24"/>
          <w:szCs w:val="24"/>
          <w:highlight w:val="none"/>
        </w:rPr>
        <w:t>一、参加磋商的供应商应具备下列资格条件：</w:t>
      </w:r>
      <w:bookmarkEnd w:id="682"/>
    </w:p>
    <w:p>
      <w:pPr>
        <w:spacing w:line="360" w:lineRule="auto"/>
        <w:ind w:firstLine="120" w:firstLineChars="5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（一）《中华人民共和国政府采购法》第二十二条第1项至第</w:t>
      </w: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项规定的条件：</w:t>
      </w:r>
    </w:p>
    <w:p>
      <w:pPr>
        <w:spacing w:after="120"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（1）具有独立承担民事责任的能力</w:t>
      </w:r>
    </w:p>
    <w:p>
      <w:pPr>
        <w:spacing w:after="12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（2）具有良好的商业信誉和健全的财务会计制度</w:t>
      </w:r>
    </w:p>
    <w:p>
      <w:pPr>
        <w:spacing w:after="12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（3）有依法缴纳税收和社会保障资金的良好记录</w:t>
      </w:r>
    </w:p>
    <w:p>
      <w:pPr>
        <w:spacing w:after="12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（4）具有履行合同所必需的设备和专业技术能力</w:t>
      </w:r>
    </w:p>
    <w:p>
      <w:pPr>
        <w:spacing w:after="12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（5）参加本次政府采购活动前三年内，在经营活动中没有重大违法记录</w:t>
      </w:r>
    </w:p>
    <w:p>
      <w:pPr>
        <w:spacing w:after="120"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法律、行政法规规定的其他条件</w:t>
      </w:r>
      <w:r>
        <w:rPr>
          <w:rFonts w:hint="eastAsia" w:hAnsi="宋体" w:eastAsia="宋体" w:cs="宋体"/>
          <w:color w:val="auto"/>
          <w:sz w:val="24"/>
          <w:szCs w:val="24"/>
          <w:highlight w:val="none"/>
          <w:lang w:eastAsia="zh-CN"/>
        </w:rPr>
        <w:t>；</w:t>
      </w:r>
    </w:p>
    <w:p>
      <w:pPr>
        <w:widowControl/>
        <w:spacing w:line="360" w:lineRule="auto"/>
        <w:ind w:firstLine="241" w:firstLineChars="100"/>
        <w:jc w:val="left"/>
        <w:rPr>
          <w:rFonts w:hint="eastAsia" w:ascii="宋体" w:hAnsi="宋体" w:eastAsia="宋体" w:cs="宋体"/>
          <w:b/>
          <w:bCs/>
          <w:color w:val="auto"/>
          <w:kern w:val="0"/>
          <w:sz w:val="24"/>
          <w:szCs w:val="22"/>
          <w:highlight w:val="none"/>
        </w:rPr>
      </w:pPr>
      <w:r>
        <w:rPr>
          <w:rFonts w:hint="eastAsia" w:ascii="宋体" w:hAnsi="宋体" w:eastAsia="宋体" w:cs="宋体"/>
          <w:b/>
          <w:bCs/>
          <w:color w:val="auto"/>
          <w:kern w:val="0"/>
          <w:sz w:val="24"/>
          <w:szCs w:val="22"/>
          <w:highlight w:val="none"/>
          <w:lang w:eastAsia="zh-CN"/>
        </w:rPr>
        <w:t>（</w:t>
      </w:r>
      <w:r>
        <w:rPr>
          <w:rFonts w:hint="eastAsia" w:ascii="宋体" w:hAnsi="宋体" w:eastAsia="宋体" w:cs="宋体"/>
          <w:b/>
          <w:bCs/>
          <w:color w:val="auto"/>
          <w:kern w:val="0"/>
          <w:sz w:val="24"/>
          <w:szCs w:val="22"/>
          <w:highlight w:val="none"/>
          <w:lang w:val="en-US" w:eastAsia="zh-CN"/>
        </w:rPr>
        <w:t>二</w:t>
      </w:r>
      <w:r>
        <w:rPr>
          <w:rFonts w:hint="eastAsia" w:ascii="宋体" w:hAnsi="宋体" w:eastAsia="宋体" w:cs="宋体"/>
          <w:b/>
          <w:bCs/>
          <w:color w:val="auto"/>
          <w:kern w:val="0"/>
          <w:sz w:val="24"/>
          <w:szCs w:val="22"/>
          <w:highlight w:val="none"/>
          <w:lang w:eastAsia="zh-CN"/>
        </w:rPr>
        <w:t>）</w:t>
      </w:r>
      <w:r>
        <w:rPr>
          <w:rFonts w:hint="eastAsia" w:ascii="宋体" w:hAnsi="宋体" w:eastAsia="宋体" w:cs="宋体"/>
          <w:b/>
          <w:bCs/>
          <w:color w:val="auto"/>
          <w:kern w:val="0"/>
          <w:sz w:val="24"/>
          <w:szCs w:val="22"/>
          <w:highlight w:val="none"/>
        </w:rPr>
        <w:t>落实政府采购政策需满足的资格要求：</w:t>
      </w:r>
    </w:p>
    <w:p>
      <w:pPr>
        <w:spacing w:line="5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cs="宋体"/>
          <w:sz w:val="24"/>
        </w:rPr>
        <w:t>本项目专门面向中小企业采购(监狱企业、残疾人福利性单位均视同小微企业)，非中小企业参与的将视为无效响应。</w:t>
      </w:r>
    </w:p>
    <w:p>
      <w:pPr>
        <w:widowControl/>
        <w:numPr>
          <w:ilvl w:val="0"/>
          <w:numId w:val="0"/>
        </w:numPr>
        <w:spacing w:line="360" w:lineRule="auto"/>
        <w:ind w:firstLine="241" w:firstLineChars="100"/>
        <w:jc w:val="left"/>
        <w:rPr>
          <w:rFonts w:hint="eastAsia" w:ascii="宋体" w:hAnsi="宋体" w:eastAsia="宋体" w:cs="宋体"/>
          <w:b w:val="0"/>
          <w:bCs w:val="0"/>
          <w:color w:val="auto"/>
          <w:sz w:val="24"/>
          <w:szCs w:val="32"/>
          <w:highlight w:val="none"/>
          <w:lang w:val="en-US" w:eastAsia="zh-CN" w:bidi="ar-SA"/>
        </w:rPr>
      </w:pPr>
      <w:r>
        <w:rPr>
          <w:rFonts w:hint="eastAsia" w:ascii="宋体" w:hAnsi="宋体" w:eastAsia="宋体" w:cs="宋体"/>
          <w:b/>
          <w:bCs/>
          <w:color w:val="auto"/>
          <w:kern w:val="0"/>
          <w:sz w:val="24"/>
          <w:szCs w:val="22"/>
          <w:highlight w:val="none"/>
          <w:lang w:eastAsia="zh-CN"/>
        </w:rPr>
        <w:t>（三）</w:t>
      </w:r>
      <w:r>
        <w:rPr>
          <w:rFonts w:hint="eastAsia" w:ascii="宋体" w:hAnsi="宋体" w:eastAsia="宋体" w:cs="宋体"/>
          <w:b/>
          <w:bCs/>
          <w:color w:val="auto"/>
          <w:kern w:val="0"/>
          <w:sz w:val="24"/>
          <w:szCs w:val="22"/>
          <w:highlight w:val="none"/>
        </w:rPr>
        <w:t>根据采购项目提出的特殊条件</w:t>
      </w:r>
      <w:r>
        <w:rPr>
          <w:rFonts w:hint="eastAsia" w:ascii="宋体" w:hAnsi="宋体" w:eastAsia="宋体" w:cs="宋体"/>
          <w:color w:val="auto"/>
          <w:kern w:val="0"/>
          <w:sz w:val="24"/>
          <w:szCs w:val="22"/>
          <w:highlight w:val="none"/>
        </w:rPr>
        <w:t>：</w:t>
      </w:r>
      <w:r>
        <w:rPr>
          <w:rFonts w:hint="eastAsia" w:ascii="宋体" w:hAnsi="宋体" w:eastAsia="宋体" w:cs="宋体"/>
          <w:b w:val="0"/>
          <w:bCs w:val="0"/>
          <w:color w:val="auto"/>
          <w:sz w:val="24"/>
          <w:szCs w:val="32"/>
          <w:highlight w:val="none"/>
          <w:lang w:val="en-US" w:eastAsia="zh-CN" w:bidi="ar-SA"/>
        </w:rPr>
        <w:t>提供有效期内的</w:t>
      </w:r>
      <w:r>
        <w:rPr>
          <w:rFonts w:hint="eastAsia" w:hAnsi="宋体" w:cs="宋体"/>
          <w:b w:val="0"/>
          <w:bCs w:val="0"/>
          <w:color w:val="auto"/>
          <w:sz w:val="24"/>
          <w:szCs w:val="32"/>
          <w:highlight w:val="none"/>
          <w:lang w:val="en-US" w:eastAsia="zh-CN" w:bidi="ar-SA"/>
        </w:rPr>
        <w:t>相关部门</w:t>
      </w:r>
      <w:r>
        <w:rPr>
          <w:rFonts w:hint="eastAsia" w:ascii="宋体" w:hAnsi="宋体" w:eastAsia="宋体" w:cs="宋体"/>
          <w:b w:val="0"/>
          <w:bCs w:val="0"/>
          <w:color w:val="auto"/>
          <w:sz w:val="24"/>
          <w:szCs w:val="32"/>
          <w:highlight w:val="none"/>
          <w:lang w:val="en-US" w:eastAsia="zh-CN" w:bidi="ar-SA"/>
        </w:rPr>
        <w:t>颁发的 《中华人民共和国特种设备安装改造维修许可证》电梯</w:t>
      </w:r>
      <w:r>
        <w:rPr>
          <w:rFonts w:hint="eastAsia" w:hAnsi="宋体" w:cs="宋体"/>
          <w:b w:val="0"/>
          <w:bCs w:val="0"/>
          <w:color w:val="auto"/>
          <w:sz w:val="24"/>
          <w:szCs w:val="32"/>
          <w:highlight w:val="none"/>
          <w:lang w:val="en-US" w:eastAsia="zh-CN" w:bidi="ar-SA"/>
        </w:rPr>
        <w:t>（</w:t>
      </w:r>
      <w:r>
        <w:rPr>
          <w:rFonts w:hint="eastAsia" w:ascii="宋体" w:hAnsi="宋体" w:eastAsia="宋体" w:cs="宋体"/>
          <w:b w:val="0"/>
          <w:bCs w:val="0"/>
          <w:color w:val="auto"/>
          <w:sz w:val="24"/>
          <w:szCs w:val="32"/>
          <w:highlight w:val="none"/>
          <w:lang w:val="en-US" w:eastAsia="zh-CN" w:bidi="ar-SA"/>
        </w:rPr>
        <w:t>安装、维修</w:t>
      </w:r>
      <w:r>
        <w:rPr>
          <w:rFonts w:hint="eastAsia" w:hAnsi="宋体" w:cs="宋体"/>
          <w:b w:val="0"/>
          <w:bCs w:val="0"/>
          <w:color w:val="auto"/>
          <w:sz w:val="24"/>
          <w:szCs w:val="32"/>
          <w:highlight w:val="none"/>
          <w:lang w:val="en-US" w:eastAsia="zh-CN" w:bidi="ar-SA"/>
        </w:rPr>
        <w:t>、改造）</w:t>
      </w:r>
      <w:r>
        <w:rPr>
          <w:rFonts w:hint="eastAsia" w:ascii="宋体" w:hAnsi="宋体" w:eastAsia="宋体" w:cs="宋体"/>
          <w:b w:val="0"/>
          <w:bCs w:val="0"/>
          <w:color w:val="auto"/>
          <w:sz w:val="24"/>
          <w:szCs w:val="32"/>
          <w:highlight w:val="none"/>
          <w:lang w:val="en-US" w:eastAsia="zh-CN" w:bidi="ar-SA"/>
        </w:rPr>
        <w:t>B级及以上资质</w:t>
      </w:r>
      <w:r>
        <w:rPr>
          <w:rFonts w:hint="eastAsia" w:hAnsi="宋体" w:cs="宋体"/>
          <w:b w:val="0"/>
          <w:bCs w:val="0"/>
          <w:color w:val="auto"/>
          <w:sz w:val="24"/>
          <w:szCs w:val="32"/>
          <w:highlight w:val="none"/>
          <w:lang w:val="en-US" w:eastAsia="zh-CN" w:bidi="ar-SA"/>
        </w:rPr>
        <w:t>或</w:t>
      </w:r>
      <w:r>
        <w:rPr>
          <w:rFonts w:hint="eastAsia" w:ascii="宋体" w:hAnsi="宋体" w:eastAsia="宋体" w:cs="宋体"/>
          <w:b w:val="0"/>
          <w:bCs w:val="0"/>
          <w:color w:val="auto"/>
          <w:sz w:val="24"/>
          <w:szCs w:val="32"/>
          <w:highlight w:val="none"/>
          <w:lang w:val="en-US" w:eastAsia="zh-CN" w:bidi="ar-SA"/>
        </w:rPr>
        <w:t>《中华人民共和国</w:t>
      </w:r>
      <w:r>
        <w:rPr>
          <w:rFonts w:hint="eastAsia" w:hAnsi="宋体" w:cs="宋体"/>
          <w:b w:val="0"/>
          <w:bCs w:val="0"/>
          <w:color w:val="auto"/>
          <w:sz w:val="24"/>
          <w:szCs w:val="32"/>
          <w:highlight w:val="none"/>
          <w:lang w:val="en-US" w:eastAsia="zh-CN" w:bidi="ar-SA"/>
        </w:rPr>
        <w:t>特种设备生产许可证</w:t>
      </w:r>
      <w:r>
        <w:rPr>
          <w:rFonts w:hint="eastAsia" w:ascii="宋体" w:hAnsi="宋体" w:eastAsia="宋体" w:cs="宋体"/>
          <w:b w:val="0"/>
          <w:bCs w:val="0"/>
          <w:color w:val="auto"/>
          <w:sz w:val="24"/>
          <w:szCs w:val="32"/>
          <w:highlight w:val="none"/>
          <w:lang w:val="en-US" w:eastAsia="zh-CN" w:bidi="ar-SA"/>
        </w:rPr>
        <w:t>》</w:t>
      </w:r>
      <w:r>
        <w:rPr>
          <w:rFonts w:hint="eastAsia" w:hAnsi="宋体" w:cs="宋体"/>
          <w:b w:val="0"/>
          <w:bCs w:val="0"/>
          <w:color w:val="auto"/>
          <w:sz w:val="24"/>
          <w:szCs w:val="32"/>
          <w:highlight w:val="none"/>
          <w:lang w:val="en-US" w:eastAsia="zh-CN" w:bidi="ar-SA"/>
        </w:rPr>
        <w:t>电梯安装（含修理）</w:t>
      </w:r>
      <w:r>
        <w:rPr>
          <w:rFonts w:hint="eastAsia" w:ascii="宋体" w:hAnsi="宋体" w:eastAsia="宋体" w:cs="宋体"/>
          <w:b w:val="0"/>
          <w:bCs w:val="0"/>
          <w:color w:val="auto"/>
          <w:sz w:val="24"/>
          <w:szCs w:val="32"/>
          <w:highlight w:val="none"/>
          <w:lang w:val="en-US" w:eastAsia="zh-CN" w:bidi="ar-SA"/>
        </w:rPr>
        <w:t>。</w:t>
      </w:r>
    </w:p>
    <w:p>
      <w:pPr>
        <w:spacing w:line="500" w:lineRule="exact"/>
        <w:ind w:firstLine="241" w:firstLineChars="100"/>
        <w:rPr>
          <w:rFonts w:hint="eastAsia" w:ascii="宋体" w:hAnsi="宋体" w:eastAsia="宋体" w:cs="宋体"/>
          <w:b w:val="0"/>
          <w:bCs w:val="0"/>
          <w:color w:val="auto"/>
          <w:sz w:val="24"/>
          <w:szCs w:val="32"/>
          <w:highlight w:val="none"/>
          <w:lang w:val="en-US" w:eastAsia="zh-CN" w:bidi="ar-SA"/>
        </w:rPr>
      </w:pPr>
      <w:r>
        <w:rPr>
          <w:rFonts w:hint="eastAsia" w:ascii="宋体" w:hAnsi="宋体" w:cs="宋体"/>
          <w:b/>
          <w:bCs/>
          <w:color w:val="auto"/>
          <w:sz w:val="24"/>
          <w:lang w:eastAsia="zh-CN"/>
        </w:rPr>
        <w:t>（</w:t>
      </w:r>
      <w:r>
        <w:rPr>
          <w:rFonts w:hint="eastAsia" w:ascii="宋体" w:hAnsi="宋体" w:cs="宋体"/>
          <w:b/>
          <w:bCs/>
          <w:color w:val="auto"/>
          <w:sz w:val="24"/>
          <w:lang w:val="en-US" w:eastAsia="zh-CN"/>
        </w:rPr>
        <w:t>四</w:t>
      </w:r>
      <w:r>
        <w:rPr>
          <w:rFonts w:hint="eastAsia" w:ascii="宋体" w:hAnsi="宋体" w:cs="宋体"/>
          <w:b/>
          <w:bCs/>
          <w:color w:val="auto"/>
          <w:sz w:val="24"/>
          <w:lang w:eastAsia="zh-CN"/>
        </w:rPr>
        <w:t>）</w:t>
      </w:r>
      <w:r>
        <w:rPr>
          <w:rFonts w:hint="eastAsia" w:ascii="宋体" w:hAnsi="宋体" w:cs="宋体"/>
          <w:b/>
          <w:bCs/>
          <w:color w:val="auto"/>
          <w:sz w:val="24"/>
        </w:rPr>
        <w:t>其他类似效力要求：</w:t>
      </w:r>
    </w:p>
    <w:p>
      <w:pPr>
        <w:widowControl/>
        <w:numPr>
          <w:ilvl w:val="0"/>
          <w:numId w:val="0"/>
        </w:numPr>
        <w:spacing w:line="360" w:lineRule="auto"/>
        <w:ind w:firstLine="480" w:firstLineChars="200"/>
        <w:jc w:val="left"/>
        <w:rPr>
          <w:rFonts w:hint="eastAsia" w:ascii="宋体" w:hAnsi="宋体" w:eastAsia="宋体" w:cs="宋体"/>
          <w:b w:val="0"/>
          <w:bCs w:val="0"/>
          <w:color w:val="auto"/>
          <w:sz w:val="24"/>
          <w:szCs w:val="32"/>
          <w:highlight w:val="none"/>
          <w:lang w:val="en-US" w:eastAsia="zh-CN" w:bidi="ar-SA"/>
        </w:rPr>
      </w:pPr>
      <w:r>
        <w:rPr>
          <w:rFonts w:hint="eastAsia" w:ascii="宋体" w:hAnsi="宋体" w:eastAsia="宋体" w:cs="宋体"/>
          <w:b w:val="0"/>
          <w:bCs w:val="0"/>
          <w:color w:val="auto"/>
          <w:sz w:val="24"/>
          <w:szCs w:val="32"/>
          <w:highlight w:val="none"/>
          <w:lang w:val="en-US" w:eastAsia="zh-CN" w:bidi="ar-SA"/>
        </w:rPr>
        <w:t>授权参加本次采购活动的供应商代表证明材料</w:t>
      </w:r>
      <w:r>
        <w:rPr>
          <w:rFonts w:hint="eastAsia" w:hAnsi="宋体" w:eastAsia="宋体" w:cs="宋体"/>
          <w:b w:val="0"/>
          <w:bCs w:val="0"/>
          <w:color w:val="auto"/>
          <w:sz w:val="24"/>
          <w:szCs w:val="32"/>
          <w:highlight w:val="none"/>
          <w:lang w:val="en-US" w:eastAsia="zh-CN" w:bidi="ar-SA"/>
        </w:rPr>
        <w:t>。</w:t>
      </w:r>
    </w:p>
    <w:p>
      <w:pPr>
        <w:pStyle w:val="85"/>
        <w:spacing w:afterLines="50"/>
        <w:ind w:right="-94" w:rightChars="-39" w:firstLine="422"/>
        <w:rPr>
          <w:rFonts w:hint="eastAsia" w:ascii="宋体" w:hAnsi="宋体" w:eastAsia="宋体" w:cs="宋体"/>
          <w:b/>
          <w:color w:val="auto"/>
          <w:sz w:val="21"/>
          <w:highlight w:val="none"/>
        </w:rPr>
      </w:pPr>
    </w:p>
    <w:p>
      <w:pPr>
        <w:pStyle w:val="85"/>
        <w:spacing w:afterLines="50"/>
        <w:ind w:right="-94" w:rightChars="-39" w:firstLine="422"/>
        <w:rPr>
          <w:rFonts w:hint="eastAsia" w:ascii="宋体" w:hAnsi="宋体" w:eastAsia="宋体" w:cs="宋体"/>
          <w:b/>
          <w:color w:val="auto"/>
          <w:sz w:val="21"/>
          <w:highlight w:val="none"/>
        </w:rPr>
      </w:pPr>
      <w:r>
        <w:rPr>
          <w:rFonts w:hint="eastAsia" w:ascii="宋体" w:hAnsi="宋体" w:eastAsia="宋体" w:cs="宋体"/>
          <w:b/>
          <w:color w:val="auto"/>
          <w:sz w:val="21"/>
          <w:highlight w:val="none"/>
        </w:rPr>
        <w:t>注：1. 其中重大违法记录中的较大数额罚款的具体金额标准，采购项目所属行业行政主管部门对较大数额罚款金额标准有明文规定的，可以根据采购项目所属行业行政主管部门规定的较大数额罚款金额标准为准；采购项目所属行业行政主管部门对较大数额罚款金额标准未明文规定的，应当以四川省人民政府规定的行政处罚罚款听证标准金额为准。</w:t>
      </w:r>
    </w:p>
    <w:p>
      <w:pPr>
        <w:pStyle w:val="85"/>
        <w:spacing w:afterLines="50"/>
        <w:ind w:right="-94" w:rightChars="-39" w:firstLine="422"/>
        <w:rPr>
          <w:rFonts w:hint="eastAsia" w:ascii="宋体" w:hAnsi="宋体" w:eastAsia="宋体" w:cs="宋体"/>
          <w:color w:val="auto"/>
          <w:highlight w:val="none"/>
        </w:rPr>
      </w:pPr>
      <w:r>
        <w:rPr>
          <w:rFonts w:hint="eastAsia" w:ascii="宋体" w:hAnsi="宋体" w:eastAsia="宋体" w:cs="宋体"/>
          <w:b/>
          <w:color w:val="auto"/>
          <w:sz w:val="21"/>
          <w:szCs w:val="21"/>
          <w:highlight w:val="none"/>
        </w:rPr>
        <w:t>2.供应商在参加采购活动前，被纳入法院、工商行政管理部门、税务部门、银行认定的失信名单且在有效期内，或者在前三年采购合同履约过程中及其他经营活动履约过程中未依法履约被有关行政部门处罚（处理）的，本项目不认定其具有良好的商业信誉。</w:t>
      </w:r>
      <w:r>
        <w:rPr>
          <w:rFonts w:hint="eastAsia" w:ascii="宋体" w:hAnsi="宋体" w:eastAsia="宋体" w:cs="宋体"/>
          <w:color w:val="auto"/>
          <w:highlight w:val="none"/>
        </w:rPr>
        <w:br w:type="page"/>
      </w:r>
      <w:bookmarkStart w:id="683" w:name="_Toc517422486"/>
      <w:bookmarkStart w:id="684" w:name="_Toc28615"/>
      <w:bookmarkStart w:id="685" w:name="_Toc7910"/>
      <w:bookmarkStart w:id="686" w:name="_Toc24898"/>
      <w:bookmarkStart w:id="687" w:name="_Toc1475"/>
      <w:bookmarkStart w:id="688" w:name="_Toc12006357"/>
      <w:bookmarkStart w:id="689" w:name="_Toc24353"/>
      <w:bookmarkStart w:id="690" w:name="_Toc29662"/>
      <w:bookmarkStart w:id="691" w:name="_Toc9734"/>
      <w:bookmarkStart w:id="692" w:name="_Toc21432"/>
      <w:bookmarkStart w:id="693" w:name="_Toc23200"/>
      <w:bookmarkStart w:id="694" w:name="_Toc15457"/>
      <w:bookmarkStart w:id="695" w:name="_Toc15207"/>
      <w:bookmarkStart w:id="696" w:name="_Toc9438762"/>
      <w:bookmarkStart w:id="697" w:name="_Toc6722"/>
    </w:p>
    <w:p>
      <w:pPr>
        <w:pStyle w:val="3"/>
        <w:spacing w:before="0" w:afterLines="50" w:line="360" w:lineRule="auto"/>
        <w:ind w:right="-94" w:rightChars="-39"/>
        <w:rPr>
          <w:rFonts w:hint="eastAsia" w:ascii="宋体" w:hAnsi="宋体" w:eastAsia="宋体" w:cs="宋体"/>
          <w:b w:val="0"/>
          <w:bCs w:val="0"/>
          <w:color w:val="auto"/>
          <w:highlight w:val="none"/>
        </w:rPr>
      </w:pPr>
      <w:r>
        <w:rPr>
          <w:rFonts w:hint="eastAsia" w:ascii="宋体" w:hAnsi="宋体" w:eastAsia="宋体" w:cs="宋体"/>
          <w:color w:val="auto"/>
          <w:highlight w:val="none"/>
        </w:rPr>
        <w:t xml:space="preserve">第四章  </w:t>
      </w:r>
      <w:bookmarkStart w:id="698" w:name="_Toc517423514"/>
      <w:bookmarkStart w:id="699" w:name="_Toc14821"/>
      <w:r>
        <w:rPr>
          <w:rFonts w:hint="eastAsia" w:ascii="宋体" w:hAnsi="宋体" w:eastAsia="宋体" w:cs="宋体"/>
          <w:color w:val="auto"/>
          <w:highlight w:val="none"/>
        </w:rPr>
        <w:t>供应商资格证明材料</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ind w:firstLine="482"/>
        <w:rPr>
          <w:rFonts w:hint="eastAsia" w:ascii="宋体" w:hAnsi="宋体" w:eastAsia="宋体" w:cs="宋体"/>
          <w:b/>
          <w:color w:val="auto"/>
          <w:highlight w:val="none"/>
        </w:rPr>
      </w:pPr>
      <w:r>
        <w:rPr>
          <w:rFonts w:hint="eastAsia" w:ascii="宋体" w:hAnsi="宋体" w:eastAsia="宋体" w:cs="宋体"/>
          <w:b/>
          <w:color w:val="auto"/>
          <w:highlight w:val="none"/>
        </w:rPr>
        <w:t>一、参加磋商的供应商应具备下列资格条件：</w:t>
      </w:r>
    </w:p>
    <w:p>
      <w:pPr>
        <w:spacing w:afterLines="50" w:line="360" w:lineRule="auto"/>
        <w:ind w:right="-94" w:rightChars="-39" w:firstLine="482"/>
        <w:rPr>
          <w:rFonts w:hint="eastAsia" w:ascii="宋体" w:hAnsi="宋体" w:eastAsia="宋体" w:cs="宋体"/>
          <w:b/>
          <w:bCs/>
          <w:color w:val="auto"/>
          <w:highlight w:val="none"/>
        </w:rPr>
      </w:pPr>
      <w:r>
        <w:rPr>
          <w:rFonts w:hint="eastAsia" w:ascii="宋体" w:hAnsi="宋体" w:eastAsia="宋体" w:cs="宋体"/>
          <w:b/>
          <w:bCs/>
          <w:color w:val="auto"/>
          <w:highlight w:val="none"/>
        </w:rPr>
        <w:t>（一）《中华人民共和国政府采购法》第二十二条第1-5项规定的条件：</w:t>
      </w:r>
    </w:p>
    <w:p>
      <w:pPr>
        <w:spacing w:line="360" w:lineRule="auto"/>
        <w:ind w:left="0" w:leftChars="0" w:right="-94" w:rightChars="-39" w:firstLine="482" w:firstLineChars="200"/>
        <w:rPr>
          <w:rFonts w:hint="eastAsia" w:ascii="宋体" w:hAnsi="宋体" w:eastAsia="宋体" w:cs="宋体"/>
          <w:color w:val="auto"/>
          <w:highlight w:val="none"/>
        </w:rPr>
      </w:pPr>
      <w:r>
        <w:rPr>
          <w:rFonts w:hint="eastAsia" w:ascii="宋体" w:hAnsi="宋体" w:eastAsia="宋体" w:cs="宋体"/>
          <w:b/>
          <w:bCs/>
          <w:color w:val="auto"/>
          <w:highlight w:val="none"/>
        </w:rPr>
        <w:t>1.</w:t>
      </w:r>
      <w:r>
        <w:rPr>
          <w:rFonts w:hint="eastAsia" w:ascii="宋体" w:hAnsi="宋体" w:eastAsia="宋体" w:cs="宋体"/>
          <w:b/>
          <w:bCs/>
          <w:color w:val="auto"/>
          <w:highlight w:val="none"/>
          <w:lang w:val="zh-CN"/>
        </w:rPr>
        <w:t>具有独立承担民事责任的能力：</w:t>
      </w:r>
      <w:r>
        <w:rPr>
          <w:rFonts w:hint="eastAsia" w:ascii="宋体" w:hAnsi="宋体" w:eastAsia="宋体" w:cs="宋体"/>
          <w:color w:val="auto"/>
          <w:highlight w:val="none"/>
        </w:rPr>
        <w:t>（注：①供应商若为企业法人：提供“统一社会信用代码营业执照”；未换证的提供“营业执照、税务登记证、组织机构代码证”；②若为事业单位：提供“统一社会信用代码法人登记证书”；未换证的提交“事业法人登记证书、组织机构代码证”；③若为其他组织：提供“对应主管部门颁发的准许执业证明文件或营业执照”；④若为自然人：提供“身份证复印件”。⑤非独立法人分支机构参加需提供具有独立法人资格的总公司针对本项目的授权书原件，并提供“统一社会信用代码营业执照”；未换证的提供“营业执照、税务登记证、组织机构代码证”）（注：①在有效期内；②具有独立法人资格；③复印件加盖公章）；</w:t>
      </w:r>
    </w:p>
    <w:p>
      <w:pPr>
        <w:spacing w:before="120" w:line="360" w:lineRule="auto"/>
        <w:ind w:right="-94" w:rightChars="-39" w:firstLine="482"/>
        <w:rPr>
          <w:rFonts w:hint="eastAsia" w:ascii="宋体" w:hAnsi="宋体" w:eastAsia="宋体" w:cs="宋体"/>
          <w:b/>
          <w:bCs/>
          <w:color w:val="auto"/>
          <w:szCs w:val="24"/>
          <w:highlight w:val="none"/>
        </w:rPr>
      </w:pPr>
      <w:r>
        <w:rPr>
          <w:rFonts w:hint="eastAsia" w:ascii="宋体" w:hAnsi="宋体" w:eastAsia="宋体" w:cs="宋体"/>
          <w:b/>
          <w:bCs/>
          <w:color w:val="auto"/>
          <w:szCs w:val="24"/>
          <w:highlight w:val="none"/>
        </w:rPr>
        <w:t>2.具有良好的商业信誉和健全的财务会计制度：</w:t>
      </w:r>
    </w:p>
    <w:p>
      <w:pPr>
        <w:spacing w:after="50" w:line="360" w:lineRule="auto"/>
        <w:ind w:right="-94" w:rightChars="-39" w:firstLine="241" w:firstLineChars="100"/>
        <w:rPr>
          <w:rFonts w:hint="eastAsia" w:ascii="宋体" w:hAnsi="宋体" w:eastAsia="宋体" w:cs="宋体"/>
          <w:b/>
          <w:bCs/>
          <w:color w:val="auto"/>
          <w:highlight w:val="none"/>
        </w:rPr>
      </w:pPr>
      <w:r>
        <w:rPr>
          <w:rFonts w:hint="eastAsia" w:ascii="宋体" w:hAnsi="宋体" w:eastAsia="宋体" w:cs="宋体"/>
          <w:b/>
          <w:bCs/>
          <w:color w:val="auto"/>
          <w:highlight w:val="none"/>
        </w:rPr>
        <w:t>（1）具有良好的商业信誉的证明材料：</w:t>
      </w:r>
    </w:p>
    <w:p>
      <w:pPr>
        <w:spacing w:after="50"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提供具有良好的商业信誉承诺函</w:t>
      </w:r>
      <w:r>
        <w:rPr>
          <w:rFonts w:hint="eastAsia" w:ascii="宋体" w:hAnsi="宋体" w:eastAsia="宋体" w:cs="宋体"/>
          <w:color w:val="auto"/>
          <w:highlight w:val="none"/>
          <w:lang w:eastAsia="zh-CN"/>
        </w:rPr>
        <w:t>原件</w:t>
      </w:r>
      <w:r>
        <w:rPr>
          <w:rFonts w:hint="eastAsia" w:ascii="宋体" w:hAnsi="宋体" w:eastAsia="宋体" w:cs="宋体"/>
          <w:color w:val="auto"/>
          <w:highlight w:val="none"/>
        </w:rPr>
        <w:t>；</w:t>
      </w:r>
    </w:p>
    <w:p>
      <w:pPr>
        <w:spacing w:after="50" w:line="360" w:lineRule="auto"/>
        <w:ind w:right="-94" w:rightChars="-39" w:firstLine="241" w:firstLineChars="100"/>
        <w:rPr>
          <w:rFonts w:hint="eastAsia" w:ascii="宋体" w:hAnsi="宋体" w:eastAsia="宋体" w:cs="宋体"/>
          <w:b/>
          <w:bCs/>
          <w:color w:val="auto"/>
          <w:highlight w:val="none"/>
        </w:rPr>
      </w:pPr>
      <w:r>
        <w:rPr>
          <w:rFonts w:hint="eastAsia" w:ascii="宋体" w:hAnsi="宋体" w:eastAsia="宋体" w:cs="宋体"/>
          <w:b/>
          <w:bCs/>
          <w:color w:val="auto"/>
          <w:highlight w:val="none"/>
        </w:rPr>
        <w:t>（2）具有健全的财务会计制度的证明材料：</w:t>
      </w:r>
    </w:p>
    <w:p>
      <w:pPr>
        <w:spacing w:after="50"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①可提供2019年度或2020年度经审计的财务报告复印件；②也可提供2019年度或2020年度供应商内部的财务报表复印件；③也可提供距文件递交截止日一年内银行出具的资信证明</w:t>
      </w:r>
      <w:r>
        <w:rPr>
          <w:rFonts w:hint="eastAsia" w:ascii="宋体" w:hAnsi="宋体" w:eastAsia="宋体" w:cs="宋体"/>
          <w:color w:val="auto"/>
          <w:highlight w:val="none"/>
          <w:lang w:eastAsia="zh-CN"/>
        </w:rPr>
        <w:t>复印件</w:t>
      </w:r>
      <w:r>
        <w:rPr>
          <w:rFonts w:hint="eastAsia" w:ascii="宋体" w:hAnsi="宋体" w:eastAsia="宋体" w:cs="宋体"/>
          <w:color w:val="auto"/>
          <w:highlight w:val="none"/>
        </w:rPr>
        <w:t>；④供应商注册时间至文件递交截止日不足一年的，也可提供在工商备案的公司章程</w:t>
      </w:r>
      <w:r>
        <w:rPr>
          <w:rFonts w:hint="eastAsia" w:ascii="宋体" w:hAnsi="宋体" w:eastAsia="宋体" w:cs="宋体"/>
          <w:color w:val="auto"/>
          <w:highlight w:val="none"/>
          <w:lang w:eastAsia="zh-CN"/>
        </w:rPr>
        <w:t>复印件；</w:t>
      </w:r>
    </w:p>
    <w:p>
      <w:pPr>
        <w:spacing w:afterLines="50" w:line="360" w:lineRule="auto"/>
        <w:ind w:right="-94" w:rightChars="-39" w:firstLine="482"/>
        <w:rPr>
          <w:rFonts w:hint="eastAsia" w:ascii="宋体" w:hAnsi="宋体" w:eastAsia="宋体" w:cs="宋体"/>
          <w:b/>
          <w:bCs/>
          <w:color w:val="auto"/>
          <w:szCs w:val="22"/>
          <w:highlight w:val="none"/>
          <w:lang w:val="zh-CN"/>
        </w:rPr>
      </w:pPr>
      <w:r>
        <w:rPr>
          <w:rFonts w:hint="eastAsia" w:ascii="宋体" w:hAnsi="宋体" w:eastAsia="宋体" w:cs="宋体"/>
          <w:b/>
          <w:bCs/>
          <w:color w:val="auto"/>
          <w:szCs w:val="22"/>
          <w:highlight w:val="none"/>
        </w:rPr>
        <w:t>3.</w:t>
      </w:r>
      <w:r>
        <w:rPr>
          <w:rFonts w:hint="eastAsia" w:ascii="宋体" w:hAnsi="宋体" w:eastAsia="宋体" w:cs="宋体"/>
          <w:b/>
          <w:bCs/>
          <w:color w:val="auto"/>
          <w:szCs w:val="22"/>
          <w:highlight w:val="none"/>
          <w:lang w:val="zh-CN"/>
        </w:rPr>
        <w:t>具有履行合同所必需的设备和专业技术能力；</w:t>
      </w:r>
    </w:p>
    <w:p>
      <w:pPr>
        <w:spacing w:afterLines="50" w:line="360" w:lineRule="auto"/>
        <w:ind w:right="-94" w:rightChars="-39"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提供具有履行合同所必需的设备和专业技术能力的</w:t>
      </w:r>
      <w:r>
        <w:rPr>
          <w:rFonts w:hint="eastAsia" w:ascii="宋体" w:hAnsi="宋体" w:eastAsia="宋体" w:cs="宋体"/>
          <w:color w:val="auto"/>
          <w:highlight w:val="none"/>
        </w:rPr>
        <w:t>证明材料（</w:t>
      </w:r>
      <w:r>
        <w:rPr>
          <w:rFonts w:hint="eastAsia" w:ascii="宋体" w:hAnsi="宋体" w:eastAsia="宋体" w:cs="宋体"/>
          <w:color w:val="auto"/>
          <w:szCs w:val="24"/>
          <w:highlight w:val="none"/>
        </w:rPr>
        <w:t>供应商需提供相关证明材料或承诺函</w:t>
      </w:r>
      <w:r>
        <w:rPr>
          <w:rFonts w:hint="eastAsia" w:ascii="宋体" w:hAnsi="宋体" w:eastAsia="宋体" w:cs="宋体"/>
          <w:color w:val="auto"/>
          <w:szCs w:val="24"/>
          <w:highlight w:val="none"/>
          <w:lang w:eastAsia="zh-CN"/>
        </w:rPr>
        <w:t>原件</w:t>
      </w:r>
      <w:r>
        <w:rPr>
          <w:rFonts w:hint="eastAsia" w:ascii="宋体" w:hAnsi="宋体" w:eastAsia="宋体" w:cs="宋体"/>
          <w:color w:val="auto"/>
          <w:szCs w:val="24"/>
          <w:highlight w:val="none"/>
        </w:rPr>
        <w:t>）；</w:t>
      </w:r>
    </w:p>
    <w:p>
      <w:pPr>
        <w:spacing w:afterLines="50" w:line="360" w:lineRule="auto"/>
        <w:ind w:right="-94" w:rightChars="-39" w:firstLine="482"/>
        <w:rPr>
          <w:rFonts w:hint="eastAsia" w:ascii="宋体" w:hAnsi="宋体" w:eastAsia="宋体" w:cs="宋体"/>
          <w:b/>
          <w:bCs/>
          <w:color w:val="auto"/>
          <w:highlight w:val="none"/>
          <w:lang w:val="zh-CN"/>
        </w:rPr>
      </w:pPr>
      <w:r>
        <w:rPr>
          <w:rFonts w:hint="eastAsia" w:ascii="宋体" w:hAnsi="宋体" w:eastAsia="宋体" w:cs="宋体"/>
          <w:b/>
          <w:bCs/>
          <w:color w:val="auto"/>
          <w:highlight w:val="none"/>
        </w:rPr>
        <w:t>4.</w:t>
      </w:r>
      <w:r>
        <w:rPr>
          <w:rFonts w:hint="eastAsia" w:ascii="宋体" w:hAnsi="宋体" w:eastAsia="宋体" w:cs="宋体"/>
          <w:b/>
          <w:bCs/>
          <w:color w:val="auto"/>
          <w:highlight w:val="none"/>
          <w:lang w:val="zh-CN"/>
        </w:rPr>
        <w:t>有依法缴纳税收和社会保障资金的良好记录：</w:t>
      </w:r>
    </w:p>
    <w:p>
      <w:pPr>
        <w:spacing w:line="360" w:lineRule="auto"/>
        <w:ind w:right="-94" w:rightChars="-39" w:firstLine="720" w:firstLineChars="300"/>
        <w:rPr>
          <w:rFonts w:hint="eastAsia" w:ascii="宋体" w:hAnsi="宋体" w:eastAsia="宋体" w:cs="宋体"/>
          <w:color w:val="auto"/>
          <w:highlight w:val="none"/>
          <w:lang w:val="zh-CN"/>
        </w:rPr>
      </w:pPr>
      <w:r>
        <w:rPr>
          <w:rFonts w:hint="eastAsia" w:ascii="宋体" w:hAnsi="宋体" w:eastAsia="宋体" w:cs="宋体"/>
          <w:color w:val="auto"/>
          <w:szCs w:val="24"/>
          <w:highlight w:val="none"/>
        </w:rPr>
        <w:t>提供202</w:t>
      </w:r>
      <w:r>
        <w:rPr>
          <w:rFonts w:hint="eastAsia" w:cs="宋体"/>
          <w:color w:val="auto"/>
          <w:szCs w:val="24"/>
          <w:highlight w:val="none"/>
          <w:lang w:val="en-US" w:eastAsia="zh-CN"/>
        </w:rPr>
        <w:t>0</w:t>
      </w:r>
      <w:r>
        <w:rPr>
          <w:rFonts w:hint="eastAsia" w:ascii="宋体" w:hAnsi="宋体" w:eastAsia="宋体" w:cs="宋体"/>
          <w:color w:val="auto"/>
          <w:szCs w:val="24"/>
          <w:highlight w:val="none"/>
        </w:rPr>
        <w:t>年至今任意3个月依法缴纳税收和社会保障资金的证明材料（</w:t>
      </w:r>
      <w:r>
        <w:rPr>
          <w:rFonts w:hint="eastAsia" w:ascii="宋体" w:hAnsi="宋体" w:eastAsia="宋体" w:cs="宋体"/>
          <w:color w:val="auto"/>
          <w:szCs w:val="24"/>
          <w:highlight w:val="none"/>
          <w:lang w:eastAsia="zh-CN"/>
        </w:rPr>
        <w:t>提供相关证明材料或承诺函原件</w:t>
      </w:r>
      <w:r>
        <w:rPr>
          <w:rFonts w:hint="eastAsia" w:ascii="宋体" w:hAnsi="宋体" w:eastAsia="宋体" w:cs="宋体"/>
          <w:color w:val="auto"/>
          <w:szCs w:val="24"/>
          <w:highlight w:val="none"/>
        </w:rPr>
        <w:t>）</w:t>
      </w:r>
      <w:r>
        <w:rPr>
          <w:rFonts w:hint="eastAsia" w:ascii="宋体" w:hAnsi="宋体" w:eastAsia="宋体" w:cs="宋体"/>
          <w:color w:val="auto"/>
          <w:highlight w:val="none"/>
          <w:lang w:val="zh-CN"/>
        </w:rPr>
        <w:t>；</w:t>
      </w:r>
    </w:p>
    <w:p>
      <w:pPr>
        <w:spacing w:before="120" w:line="360" w:lineRule="auto"/>
        <w:ind w:right="-94" w:rightChars="-39" w:firstLine="482"/>
        <w:rPr>
          <w:rFonts w:hint="eastAsia" w:ascii="宋体" w:hAnsi="宋体" w:eastAsia="宋体" w:cs="宋体"/>
          <w:b/>
          <w:bCs/>
          <w:color w:val="auto"/>
          <w:szCs w:val="24"/>
          <w:highlight w:val="none"/>
        </w:rPr>
      </w:pPr>
      <w:r>
        <w:rPr>
          <w:rFonts w:hint="eastAsia" w:ascii="宋体" w:hAnsi="宋体" w:eastAsia="宋体" w:cs="宋体"/>
          <w:b/>
          <w:bCs/>
          <w:color w:val="auto"/>
          <w:szCs w:val="24"/>
          <w:highlight w:val="none"/>
        </w:rPr>
        <w:t>5.参加本项目采购活动的供应商三年内，在经营活动中没有重大违法记录</w:t>
      </w:r>
    </w:p>
    <w:p>
      <w:pPr>
        <w:spacing w:afterLines="50" w:line="360" w:lineRule="auto"/>
        <w:ind w:right="-94" w:rightChars="-39" w:firstLine="480"/>
        <w:rPr>
          <w:rFonts w:hint="eastAsia" w:ascii="宋体" w:hAnsi="宋体" w:eastAsia="宋体" w:cs="宋体"/>
          <w:b/>
          <w:color w:val="auto"/>
          <w:szCs w:val="22"/>
          <w:highlight w:val="none"/>
        </w:rPr>
      </w:pPr>
      <w:r>
        <w:rPr>
          <w:rFonts w:hint="eastAsia" w:ascii="宋体" w:hAnsi="宋体" w:eastAsia="宋体" w:cs="宋体"/>
          <w:color w:val="auto"/>
          <w:szCs w:val="24"/>
          <w:highlight w:val="none"/>
        </w:rPr>
        <w:t>提供相关证明材料或承诺</w:t>
      </w:r>
      <w:r>
        <w:rPr>
          <w:rFonts w:hint="eastAsia" w:ascii="宋体" w:hAnsi="宋体" w:eastAsia="宋体" w:cs="宋体"/>
          <w:color w:val="auto"/>
          <w:szCs w:val="24"/>
          <w:highlight w:val="none"/>
          <w:lang w:eastAsia="zh-CN"/>
        </w:rPr>
        <w:t>原件</w:t>
      </w:r>
      <w:r>
        <w:rPr>
          <w:rFonts w:hint="eastAsia" w:ascii="宋体" w:hAnsi="宋体" w:eastAsia="宋体" w:cs="宋体"/>
          <w:color w:val="auto"/>
          <w:szCs w:val="24"/>
          <w:highlight w:val="none"/>
        </w:rPr>
        <w:t>。</w:t>
      </w:r>
    </w:p>
    <w:p>
      <w:pPr>
        <w:spacing w:after="120" w:line="360" w:lineRule="auto"/>
        <w:ind w:left="0" w:leftChars="0" w:firstLine="0" w:firstLineChars="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具备法律、行政法规规定的其他条件的证明材料（可提供承诺函原件）；</w:t>
      </w:r>
    </w:p>
    <w:p>
      <w:pPr>
        <w:widowControl/>
        <w:spacing w:line="360" w:lineRule="auto"/>
        <w:ind w:firstLine="241" w:firstLineChars="100"/>
        <w:jc w:val="left"/>
        <w:rPr>
          <w:rFonts w:hint="eastAsia" w:ascii="宋体" w:hAnsi="宋体" w:eastAsia="宋体" w:cs="宋体"/>
          <w:b/>
          <w:bCs/>
          <w:color w:val="auto"/>
          <w:kern w:val="0"/>
          <w:sz w:val="24"/>
          <w:szCs w:val="22"/>
          <w:highlight w:val="none"/>
        </w:rPr>
      </w:pPr>
      <w:r>
        <w:rPr>
          <w:rFonts w:hint="eastAsia" w:ascii="宋体" w:hAnsi="宋体" w:eastAsia="宋体" w:cs="宋体"/>
          <w:b/>
          <w:bCs/>
          <w:color w:val="auto"/>
          <w:kern w:val="0"/>
          <w:sz w:val="24"/>
          <w:szCs w:val="22"/>
          <w:highlight w:val="none"/>
          <w:lang w:eastAsia="zh-CN"/>
        </w:rPr>
        <w:t>（</w:t>
      </w:r>
      <w:r>
        <w:rPr>
          <w:rFonts w:hint="eastAsia" w:ascii="宋体" w:hAnsi="宋体" w:eastAsia="宋体" w:cs="宋体"/>
          <w:b/>
          <w:bCs/>
          <w:color w:val="auto"/>
          <w:kern w:val="0"/>
          <w:sz w:val="24"/>
          <w:szCs w:val="22"/>
          <w:highlight w:val="none"/>
          <w:lang w:val="en-US" w:eastAsia="zh-CN"/>
        </w:rPr>
        <w:t>二</w:t>
      </w:r>
      <w:r>
        <w:rPr>
          <w:rFonts w:hint="eastAsia" w:ascii="宋体" w:hAnsi="宋体" w:eastAsia="宋体" w:cs="宋体"/>
          <w:b/>
          <w:bCs/>
          <w:color w:val="auto"/>
          <w:kern w:val="0"/>
          <w:sz w:val="24"/>
          <w:szCs w:val="22"/>
          <w:highlight w:val="none"/>
          <w:lang w:eastAsia="zh-CN"/>
        </w:rPr>
        <w:t>）</w:t>
      </w:r>
      <w:r>
        <w:rPr>
          <w:rFonts w:hint="eastAsia" w:ascii="宋体" w:hAnsi="宋体" w:eastAsia="宋体" w:cs="宋体"/>
          <w:b/>
          <w:bCs/>
          <w:color w:val="auto"/>
          <w:kern w:val="0"/>
          <w:sz w:val="24"/>
          <w:szCs w:val="22"/>
          <w:highlight w:val="none"/>
        </w:rPr>
        <w:t>落实政府采购政策需满足的资格要求：</w:t>
      </w:r>
    </w:p>
    <w:p>
      <w:pPr>
        <w:spacing w:line="5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cs="宋体"/>
          <w:sz w:val="24"/>
        </w:rPr>
        <w:t>本项目专门面向中小企业采购(监狱企业、残疾人福利性单位均视同小微企业)，非中小企业参与的将视为无效响应。</w:t>
      </w:r>
      <w:r>
        <w:rPr>
          <w:rFonts w:hint="eastAsia" w:ascii="宋体" w:hAnsi="宋体" w:cs="宋体"/>
          <w:sz w:val="24"/>
          <w:lang w:eastAsia="zh-CN"/>
        </w:rPr>
        <w:t>（提供承诺函原件）</w:t>
      </w:r>
    </w:p>
    <w:p>
      <w:pPr>
        <w:widowControl/>
        <w:numPr>
          <w:ilvl w:val="0"/>
          <w:numId w:val="0"/>
        </w:numPr>
        <w:spacing w:line="360" w:lineRule="auto"/>
        <w:ind w:firstLine="241" w:firstLineChars="100"/>
        <w:jc w:val="left"/>
        <w:rPr>
          <w:rFonts w:hint="eastAsia" w:ascii="宋体" w:hAnsi="宋体" w:eastAsia="宋体" w:cs="宋体"/>
          <w:b w:val="0"/>
          <w:bCs w:val="0"/>
          <w:color w:val="auto"/>
          <w:sz w:val="24"/>
          <w:szCs w:val="32"/>
          <w:highlight w:val="none"/>
          <w:lang w:val="en-US" w:eastAsia="zh-CN" w:bidi="ar-SA"/>
        </w:rPr>
      </w:pPr>
      <w:r>
        <w:rPr>
          <w:rFonts w:hint="eastAsia" w:ascii="宋体" w:hAnsi="宋体" w:eastAsia="宋体" w:cs="宋体"/>
          <w:b/>
          <w:bCs/>
          <w:color w:val="auto"/>
          <w:kern w:val="0"/>
          <w:sz w:val="24"/>
          <w:szCs w:val="22"/>
          <w:highlight w:val="none"/>
          <w:lang w:eastAsia="zh-CN"/>
        </w:rPr>
        <w:t>（三）</w:t>
      </w:r>
      <w:r>
        <w:rPr>
          <w:rFonts w:hint="eastAsia" w:ascii="宋体" w:hAnsi="宋体" w:eastAsia="宋体" w:cs="宋体"/>
          <w:b/>
          <w:bCs/>
          <w:color w:val="auto"/>
          <w:kern w:val="0"/>
          <w:sz w:val="24"/>
          <w:szCs w:val="22"/>
          <w:highlight w:val="none"/>
        </w:rPr>
        <w:t>根据采购项目提出的特殊条件</w:t>
      </w:r>
      <w:r>
        <w:rPr>
          <w:rFonts w:hint="eastAsia" w:ascii="宋体" w:hAnsi="宋体" w:eastAsia="宋体" w:cs="宋体"/>
          <w:color w:val="auto"/>
          <w:kern w:val="0"/>
          <w:sz w:val="24"/>
          <w:szCs w:val="22"/>
          <w:highlight w:val="none"/>
        </w:rPr>
        <w:t>：</w:t>
      </w:r>
      <w:r>
        <w:rPr>
          <w:rFonts w:hint="eastAsia" w:ascii="宋体" w:hAnsi="宋体" w:eastAsia="宋体" w:cs="宋体"/>
          <w:b w:val="0"/>
          <w:bCs w:val="0"/>
          <w:color w:val="auto"/>
          <w:sz w:val="24"/>
          <w:szCs w:val="32"/>
          <w:highlight w:val="none"/>
          <w:lang w:val="en-US" w:eastAsia="zh-CN" w:bidi="ar-SA"/>
        </w:rPr>
        <w:t>提供有效期内的</w:t>
      </w:r>
      <w:r>
        <w:rPr>
          <w:rFonts w:hint="eastAsia" w:hAnsi="宋体" w:cs="宋体"/>
          <w:b w:val="0"/>
          <w:bCs w:val="0"/>
          <w:color w:val="auto"/>
          <w:sz w:val="24"/>
          <w:szCs w:val="32"/>
          <w:highlight w:val="none"/>
          <w:lang w:val="en-US" w:eastAsia="zh-CN" w:bidi="ar-SA"/>
        </w:rPr>
        <w:t>相关部门</w:t>
      </w:r>
      <w:r>
        <w:rPr>
          <w:rFonts w:hint="eastAsia" w:ascii="宋体" w:hAnsi="宋体" w:eastAsia="宋体" w:cs="宋体"/>
          <w:b w:val="0"/>
          <w:bCs w:val="0"/>
          <w:color w:val="auto"/>
          <w:sz w:val="24"/>
          <w:szCs w:val="32"/>
          <w:highlight w:val="none"/>
          <w:lang w:val="en-US" w:eastAsia="zh-CN" w:bidi="ar-SA"/>
        </w:rPr>
        <w:t>颁发的 《中华人民共和国特种设备安装改造维修许可证》电梯</w:t>
      </w:r>
      <w:r>
        <w:rPr>
          <w:rFonts w:hint="eastAsia" w:hAnsi="宋体" w:cs="宋体"/>
          <w:b w:val="0"/>
          <w:bCs w:val="0"/>
          <w:color w:val="auto"/>
          <w:sz w:val="24"/>
          <w:szCs w:val="32"/>
          <w:highlight w:val="none"/>
          <w:lang w:val="en-US" w:eastAsia="zh-CN" w:bidi="ar-SA"/>
        </w:rPr>
        <w:t>（</w:t>
      </w:r>
      <w:r>
        <w:rPr>
          <w:rFonts w:hint="eastAsia" w:ascii="宋体" w:hAnsi="宋体" w:eastAsia="宋体" w:cs="宋体"/>
          <w:b w:val="0"/>
          <w:bCs w:val="0"/>
          <w:color w:val="auto"/>
          <w:sz w:val="24"/>
          <w:szCs w:val="32"/>
          <w:highlight w:val="none"/>
          <w:lang w:val="en-US" w:eastAsia="zh-CN" w:bidi="ar-SA"/>
        </w:rPr>
        <w:t>安装、维修</w:t>
      </w:r>
      <w:r>
        <w:rPr>
          <w:rFonts w:hint="eastAsia" w:hAnsi="宋体" w:cs="宋体"/>
          <w:b w:val="0"/>
          <w:bCs w:val="0"/>
          <w:color w:val="auto"/>
          <w:sz w:val="24"/>
          <w:szCs w:val="32"/>
          <w:highlight w:val="none"/>
          <w:lang w:val="en-US" w:eastAsia="zh-CN" w:bidi="ar-SA"/>
        </w:rPr>
        <w:t>、改造）</w:t>
      </w:r>
      <w:r>
        <w:rPr>
          <w:rFonts w:hint="eastAsia" w:ascii="宋体" w:hAnsi="宋体" w:eastAsia="宋体" w:cs="宋体"/>
          <w:b w:val="0"/>
          <w:bCs w:val="0"/>
          <w:color w:val="auto"/>
          <w:sz w:val="24"/>
          <w:szCs w:val="32"/>
          <w:highlight w:val="none"/>
          <w:lang w:val="en-US" w:eastAsia="zh-CN" w:bidi="ar-SA"/>
        </w:rPr>
        <w:t>B级及以上资质</w:t>
      </w:r>
      <w:r>
        <w:rPr>
          <w:rFonts w:hint="eastAsia" w:hAnsi="宋体" w:cs="宋体"/>
          <w:b w:val="0"/>
          <w:bCs w:val="0"/>
          <w:color w:val="auto"/>
          <w:sz w:val="24"/>
          <w:szCs w:val="32"/>
          <w:highlight w:val="none"/>
          <w:lang w:val="en-US" w:eastAsia="zh-CN" w:bidi="ar-SA"/>
        </w:rPr>
        <w:t>或</w:t>
      </w:r>
      <w:r>
        <w:rPr>
          <w:rFonts w:hint="eastAsia" w:ascii="宋体" w:hAnsi="宋体" w:eastAsia="宋体" w:cs="宋体"/>
          <w:b w:val="0"/>
          <w:bCs w:val="0"/>
          <w:color w:val="auto"/>
          <w:sz w:val="24"/>
          <w:szCs w:val="32"/>
          <w:highlight w:val="none"/>
          <w:lang w:val="en-US" w:eastAsia="zh-CN" w:bidi="ar-SA"/>
        </w:rPr>
        <w:t>《中华人民共和国</w:t>
      </w:r>
      <w:r>
        <w:rPr>
          <w:rFonts w:hint="eastAsia" w:hAnsi="宋体" w:cs="宋体"/>
          <w:b w:val="0"/>
          <w:bCs w:val="0"/>
          <w:color w:val="auto"/>
          <w:sz w:val="24"/>
          <w:szCs w:val="32"/>
          <w:highlight w:val="none"/>
          <w:lang w:val="en-US" w:eastAsia="zh-CN" w:bidi="ar-SA"/>
        </w:rPr>
        <w:t>特种设备生产许可证</w:t>
      </w:r>
      <w:r>
        <w:rPr>
          <w:rFonts w:hint="eastAsia" w:ascii="宋体" w:hAnsi="宋体" w:eastAsia="宋体" w:cs="宋体"/>
          <w:b w:val="0"/>
          <w:bCs w:val="0"/>
          <w:color w:val="auto"/>
          <w:sz w:val="24"/>
          <w:szCs w:val="32"/>
          <w:highlight w:val="none"/>
          <w:lang w:val="en-US" w:eastAsia="zh-CN" w:bidi="ar-SA"/>
        </w:rPr>
        <w:t>》</w:t>
      </w:r>
      <w:r>
        <w:rPr>
          <w:rFonts w:hint="eastAsia" w:hAnsi="宋体" w:cs="宋体"/>
          <w:b w:val="0"/>
          <w:bCs w:val="0"/>
          <w:color w:val="auto"/>
          <w:sz w:val="24"/>
          <w:szCs w:val="32"/>
          <w:highlight w:val="none"/>
          <w:lang w:val="en-US" w:eastAsia="zh-CN" w:bidi="ar-SA"/>
        </w:rPr>
        <w:t>电梯安装（含修理）</w:t>
      </w:r>
      <w:r>
        <w:rPr>
          <w:rFonts w:hint="eastAsia" w:ascii="宋体" w:hAnsi="宋体" w:eastAsia="宋体" w:cs="宋体"/>
          <w:b w:val="0"/>
          <w:bCs w:val="0"/>
          <w:color w:val="auto"/>
          <w:sz w:val="24"/>
          <w:szCs w:val="32"/>
          <w:highlight w:val="none"/>
          <w:lang w:val="en-US" w:eastAsia="zh-CN" w:bidi="ar-SA"/>
        </w:rPr>
        <w: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供应商须提供相关证明材料复印件</w:t>
      </w:r>
      <w:r>
        <w:rPr>
          <w:rFonts w:hint="eastAsia" w:ascii="宋体" w:hAnsi="宋体" w:eastAsia="宋体" w:cs="宋体"/>
          <w:color w:val="auto"/>
          <w:sz w:val="24"/>
          <w:szCs w:val="24"/>
          <w:highlight w:val="none"/>
          <w:lang w:eastAsia="zh-CN"/>
        </w:rPr>
        <w:t>）</w:t>
      </w:r>
    </w:p>
    <w:p>
      <w:pPr>
        <w:spacing w:line="500" w:lineRule="exact"/>
        <w:ind w:firstLine="241" w:firstLineChars="100"/>
        <w:rPr>
          <w:rFonts w:hint="eastAsia" w:ascii="宋体" w:hAnsi="宋体" w:eastAsia="宋体" w:cs="宋体"/>
          <w:b w:val="0"/>
          <w:bCs w:val="0"/>
          <w:color w:val="auto"/>
          <w:sz w:val="24"/>
          <w:szCs w:val="32"/>
          <w:highlight w:val="none"/>
          <w:lang w:val="en-US" w:eastAsia="zh-CN" w:bidi="ar-SA"/>
        </w:rPr>
      </w:pPr>
      <w:r>
        <w:rPr>
          <w:rFonts w:hint="eastAsia" w:ascii="宋体" w:hAnsi="宋体" w:cs="宋体"/>
          <w:b/>
          <w:bCs/>
          <w:color w:val="auto"/>
          <w:sz w:val="24"/>
          <w:lang w:eastAsia="zh-CN"/>
        </w:rPr>
        <w:t>（</w:t>
      </w:r>
      <w:r>
        <w:rPr>
          <w:rFonts w:hint="eastAsia" w:ascii="宋体" w:hAnsi="宋体" w:cs="宋体"/>
          <w:b/>
          <w:bCs/>
          <w:color w:val="auto"/>
          <w:sz w:val="24"/>
          <w:lang w:val="en-US" w:eastAsia="zh-CN"/>
        </w:rPr>
        <w:t>四</w:t>
      </w:r>
      <w:r>
        <w:rPr>
          <w:rFonts w:hint="eastAsia" w:ascii="宋体" w:hAnsi="宋体" w:cs="宋体"/>
          <w:b/>
          <w:bCs/>
          <w:color w:val="auto"/>
          <w:sz w:val="24"/>
          <w:lang w:eastAsia="zh-CN"/>
        </w:rPr>
        <w:t>）</w:t>
      </w:r>
      <w:r>
        <w:rPr>
          <w:rFonts w:hint="eastAsia" w:ascii="宋体" w:hAnsi="宋体" w:cs="宋体"/>
          <w:b/>
          <w:bCs/>
          <w:color w:val="auto"/>
          <w:sz w:val="24"/>
        </w:rPr>
        <w:t>其他类似效力要求：</w:t>
      </w:r>
    </w:p>
    <w:p>
      <w:pPr>
        <w:spacing w:line="360" w:lineRule="auto"/>
        <w:rPr>
          <w:rFonts w:hint="eastAsia" w:ascii="宋体" w:hAnsi="宋体" w:eastAsia="宋体" w:cs="宋体"/>
          <w:color w:val="auto"/>
          <w:sz w:val="24"/>
          <w:szCs w:val="24"/>
          <w:highlight w:val="none"/>
        </w:rPr>
      </w:pPr>
      <w:r>
        <w:rPr>
          <w:rFonts w:hint="eastAsia" w:cs="宋体"/>
          <w:color w:val="auto"/>
          <w:sz w:val="24"/>
          <w:szCs w:val="24"/>
          <w:highlight w:val="none"/>
          <w:lang w:val="en-US" w:eastAsia="zh-CN"/>
        </w:rPr>
        <w:t>1</w:t>
      </w:r>
      <w:r>
        <w:rPr>
          <w:rFonts w:hint="eastAsia" w:ascii="宋体" w:hAnsi="宋体" w:eastAsia="宋体" w:cs="宋体"/>
          <w:color w:val="auto"/>
          <w:sz w:val="24"/>
          <w:szCs w:val="24"/>
          <w:highlight w:val="none"/>
        </w:rPr>
        <w:t>.法定代表人身份证明材料复印件。</w:t>
      </w:r>
    </w:p>
    <w:p>
      <w:pPr>
        <w:spacing w:line="360" w:lineRule="auto"/>
        <w:rPr>
          <w:rFonts w:hint="eastAsia" w:ascii="宋体" w:hAnsi="宋体" w:eastAsia="宋体" w:cs="宋体"/>
          <w:color w:val="auto"/>
          <w:sz w:val="24"/>
          <w:szCs w:val="24"/>
          <w:highlight w:val="none"/>
        </w:rPr>
      </w:pPr>
      <w:r>
        <w:rPr>
          <w:rFonts w:hint="eastAsia" w:cs="宋体"/>
          <w:color w:val="auto"/>
          <w:sz w:val="24"/>
          <w:szCs w:val="24"/>
          <w:highlight w:val="none"/>
          <w:lang w:val="en-US" w:eastAsia="zh-CN"/>
        </w:rPr>
        <w:t>2</w:t>
      </w:r>
      <w:r>
        <w:rPr>
          <w:rFonts w:hint="eastAsia" w:ascii="宋体" w:hAnsi="宋体" w:eastAsia="宋体" w:cs="宋体"/>
          <w:color w:val="auto"/>
          <w:sz w:val="24"/>
          <w:szCs w:val="24"/>
          <w:highlight w:val="none"/>
        </w:rPr>
        <w:t>.法定代表人授权书原件及代理人身份证明材料复印件（注：①法定代表人授权书原件需加盖公章；②如响应文件均由供应商法定代表人签字的且法定代表人本人参与磋商的，则可不提供。）</w:t>
      </w:r>
    </w:p>
    <w:p>
      <w:pPr>
        <w:pStyle w:val="2"/>
        <w:ind w:right="-94" w:rightChars="-39" w:firstLine="480"/>
        <w:rPr>
          <w:rFonts w:hint="eastAsia" w:ascii="宋体" w:hAnsi="宋体" w:eastAsia="宋体" w:cs="宋体"/>
          <w:color w:val="auto"/>
          <w:sz w:val="24"/>
          <w:highlight w:val="none"/>
        </w:rPr>
      </w:pPr>
    </w:p>
    <w:p>
      <w:pPr>
        <w:pStyle w:val="2"/>
        <w:ind w:right="-94" w:rightChars="-39"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注：1.本章要求提供的相关证明材料应当与第三章的规定要求对应，除供应商自愿以外，不能要求供应商提供额外的证明材料。如果要求提供额外的证明材料，供应商有权拒绝提供，且不影响响应文件的有效性和完整性。</w:t>
      </w:r>
    </w:p>
    <w:p>
      <w:pPr>
        <w:spacing w:line="360" w:lineRule="auto"/>
        <w:ind w:right="-94" w:rightChars="-39" w:firstLine="960" w:firstLineChars="400"/>
        <w:rPr>
          <w:rFonts w:hint="eastAsia" w:ascii="宋体" w:hAnsi="宋体" w:eastAsia="宋体" w:cs="宋体"/>
          <w:color w:val="auto"/>
          <w:szCs w:val="24"/>
          <w:highlight w:val="none"/>
        </w:rPr>
      </w:pPr>
      <w:r>
        <w:rPr>
          <w:rFonts w:hint="eastAsia" w:ascii="宋体" w:hAnsi="宋体" w:eastAsia="宋体" w:cs="宋体"/>
          <w:color w:val="auto"/>
          <w:szCs w:val="24"/>
          <w:highlight w:val="none"/>
        </w:rPr>
        <w:t>2.本章要求提供的相关证明材料应当结合采购项目具体情况和供应商的组织机构性质确定，不得一概而论。</w:t>
      </w:r>
    </w:p>
    <w:p>
      <w:pPr>
        <w:widowControl/>
        <w:spacing w:line="360" w:lineRule="auto"/>
        <w:ind w:right="-94" w:rightChars="-39" w:firstLine="0" w:firstLineChars="0"/>
        <w:jc w:val="left"/>
        <w:rPr>
          <w:rFonts w:hint="eastAsia" w:ascii="宋体" w:hAnsi="宋体" w:eastAsia="宋体" w:cs="宋体"/>
          <w:b/>
          <w:bCs/>
          <w:i/>
          <w:color w:val="auto"/>
          <w:kern w:val="44"/>
          <w:sz w:val="36"/>
          <w:szCs w:val="44"/>
          <w:highlight w:val="none"/>
          <w:lang w:val="zh-CN"/>
        </w:rPr>
      </w:pPr>
      <w:r>
        <w:rPr>
          <w:rFonts w:hint="eastAsia" w:ascii="宋体" w:hAnsi="宋体" w:eastAsia="宋体" w:cs="宋体"/>
          <w:i/>
          <w:color w:val="auto"/>
          <w:highlight w:val="none"/>
        </w:rPr>
        <w:br w:type="page"/>
      </w:r>
    </w:p>
    <w:p>
      <w:pPr>
        <w:pStyle w:val="5"/>
        <w:pageBreakBefore w:val="0"/>
        <w:kinsoku/>
        <w:wordWrap/>
        <w:overflowPunct/>
        <w:topLinePunct w:val="0"/>
        <w:autoSpaceDE/>
        <w:autoSpaceDN/>
        <w:bidi w:val="0"/>
        <w:spacing w:line="360" w:lineRule="auto"/>
        <w:ind w:left="0" w:leftChars="0" w:firstLine="0" w:firstLineChars="0"/>
        <w:textAlignment w:val="auto"/>
        <w:rPr>
          <w:rFonts w:hint="eastAsia" w:ascii="宋体" w:hAnsi="宋体" w:eastAsia="宋体" w:cs="宋体"/>
          <w:b/>
          <w:bCs/>
          <w:color w:val="auto"/>
          <w:spacing w:val="-11"/>
          <w:kern w:val="44"/>
          <w:sz w:val="36"/>
          <w:szCs w:val="44"/>
          <w:highlight w:val="none"/>
          <w:lang w:val="en-US" w:eastAsia="zh-CN" w:bidi="ar-SA"/>
        </w:rPr>
      </w:pPr>
      <w:bookmarkStart w:id="700" w:name="_Toc8302"/>
      <w:bookmarkStart w:id="701" w:name="_Toc12006358"/>
      <w:r>
        <w:rPr>
          <w:rFonts w:hint="eastAsia" w:ascii="宋体" w:hAnsi="宋体" w:eastAsia="宋体" w:cs="宋体"/>
          <w:b/>
          <w:bCs/>
          <w:color w:val="auto"/>
          <w:kern w:val="44"/>
          <w:sz w:val="36"/>
          <w:szCs w:val="44"/>
          <w:highlight w:val="none"/>
          <w:lang w:val="zh-CN" w:eastAsia="zh-CN" w:bidi="ar-SA"/>
        </w:rPr>
        <w:t xml:space="preserve">第五章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700"/>
      <w:bookmarkEnd w:id="701"/>
      <w:bookmarkStart w:id="702" w:name="_Toc517422494"/>
      <w:bookmarkStart w:id="703" w:name="_Toc31484"/>
      <w:bookmarkStart w:id="704" w:name="_Toc9110"/>
      <w:bookmarkStart w:id="705" w:name="_Toc517423522"/>
      <w:bookmarkStart w:id="706" w:name="_Toc709"/>
      <w:bookmarkStart w:id="707" w:name="_Toc9438764"/>
      <w:bookmarkStart w:id="708" w:name="_Toc12006359"/>
      <w:bookmarkStart w:id="709" w:name="_Toc30388"/>
      <w:bookmarkStart w:id="710" w:name="_Toc25675"/>
      <w:bookmarkStart w:id="711" w:name="_Toc15842"/>
      <w:bookmarkStart w:id="712" w:name="_Toc27190"/>
      <w:bookmarkStart w:id="713" w:name="_Toc24164"/>
      <w:bookmarkStart w:id="714" w:name="_Toc7630"/>
      <w:r>
        <w:rPr>
          <w:rFonts w:hint="eastAsia" w:ascii="宋体" w:hAnsi="宋体" w:eastAsia="宋体" w:cs="宋体"/>
          <w:b/>
          <w:bCs/>
          <w:color w:val="auto"/>
          <w:kern w:val="44"/>
          <w:sz w:val="36"/>
          <w:szCs w:val="44"/>
          <w:highlight w:val="none"/>
          <w:lang w:val="zh-CN" w:eastAsia="zh-CN" w:bidi="ar-SA"/>
        </w:rPr>
        <w:t xml:space="preserve"> </w:t>
      </w:r>
      <w:r>
        <w:rPr>
          <w:rFonts w:hint="eastAsia" w:ascii="宋体" w:hAnsi="宋体" w:eastAsia="宋体" w:cs="宋体"/>
          <w:b/>
          <w:bCs/>
          <w:color w:val="auto"/>
          <w:spacing w:val="-11"/>
          <w:kern w:val="44"/>
          <w:sz w:val="36"/>
          <w:szCs w:val="44"/>
          <w:highlight w:val="none"/>
          <w:lang w:val="en-US" w:eastAsia="zh-CN" w:bidi="ar-SA"/>
        </w:rPr>
        <w:t>采购项目技术、服务内容条款及其他商务要求</w:t>
      </w:r>
    </w:p>
    <w:p>
      <w:pPr>
        <w:pStyle w:val="4"/>
        <w:keepNext/>
        <w:keepLines/>
        <w:pageBreakBefore w:val="0"/>
        <w:widowControl w:val="0"/>
        <w:kinsoku/>
        <w:wordWrap/>
        <w:overflowPunct/>
        <w:topLinePunct w:val="0"/>
        <w:autoSpaceDE/>
        <w:autoSpaceDN/>
        <w:bidi w:val="0"/>
        <w:adjustRightInd/>
        <w:snapToGrid/>
        <w:spacing w:line="360" w:lineRule="auto"/>
        <w:ind w:firstLine="241" w:firstLineChars="1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、项目概述</w:t>
      </w:r>
    </w:p>
    <w:p>
      <w:pPr>
        <w:pStyle w:val="2"/>
        <w:spacing w:line="360" w:lineRule="auto"/>
        <w:ind w:firstLine="480"/>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项目简介：</w:t>
      </w:r>
      <w:r>
        <w:rPr>
          <w:rFonts w:hint="eastAsia" w:ascii="宋体" w:hAnsi="宋体" w:eastAsia="宋体" w:cs="宋体"/>
          <w:color w:val="000000"/>
          <w:kern w:val="0"/>
          <w:sz w:val="24"/>
          <w:szCs w:val="24"/>
          <w:lang w:val="zh-CN" w:eastAsia="zh-CN" w:bidi="ar"/>
        </w:rPr>
        <w:t>彭州市人民医院城南院区电梯大修项目</w:t>
      </w:r>
    </w:p>
    <w:p>
      <w:pPr>
        <w:ind w:left="0" w:leftChars="0" w:firstLine="0" w:firstLineChars="0"/>
        <w:jc w:val="left"/>
        <w:rPr>
          <w:rFonts w:hint="eastAsia" w:ascii="宋体" w:hAnsi="宋体" w:eastAsia="宋体" w:cs="宋体"/>
          <w:b/>
          <w:bCs/>
          <w:color w:val="000000"/>
          <w:lang w:val="en-US" w:eastAsia="zh-CN"/>
        </w:rPr>
      </w:pPr>
      <w:r>
        <w:rPr>
          <w:rFonts w:hint="eastAsia" w:ascii="宋体" w:hAnsi="宋体" w:eastAsia="宋体" w:cs="宋体"/>
          <w:b/>
          <w:bCs/>
          <w:color w:val="000000"/>
          <w:kern w:val="0"/>
          <w:sz w:val="24"/>
          <w:szCs w:val="24"/>
          <w:lang w:val="en-US" w:eastAsia="zh-CN" w:bidi="ar"/>
        </w:rPr>
        <w:t>二</w:t>
      </w:r>
      <w:r>
        <w:rPr>
          <w:rFonts w:hint="eastAsia" w:hAnsi="宋体" w:cs="宋体"/>
          <w:b/>
          <w:bCs/>
          <w:color w:val="000000"/>
          <w:kern w:val="0"/>
          <w:sz w:val="24"/>
          <w:szCs w:val="24"/>
          <w:lang w:val="en-US" w:eastAsia="zh-CN" w:bidi="ar"/>
        </w:rPr>
        <w:t>）</w:t>
      </w:r>
      <w:r>
        <w:rPr>
          <w:rFonts w:hint="eastAsia" w:ascii="宋体" w:hAnsi="宋体" w:eastAsia="宋体" w:cs="宋体"/>
          <w:b/>
          <w:bCs/>
          <w:color w:val="000000"/>
          <w:kern w:val="0"/>
          <w:sz w:val="24"/>
          <w:szCs w:val="24"/>
          <w:lang w:val="en-US" w:eastAsia="zh-CN" w:bidi="ar"/>
        </w:rPr>
        <w:t>、</w:t>
      </w:r>
      <w:r>
        <w:rPr>
          <w:rFonts w:hint="eastAsia" w:cs="宋体"/>
          <w:b/>
          <w:bCs/>
          <w:color w:val="000000"/>
          <w:kern w:val="0"/>
          <w:sz w:val="24"/>
          <w:szCs w:val="24"/>
          <w:lang w:val="en-US" w:eastAsia="zh-CN" w:bidi="ar"/>
        </w:rPr>
        <w:t>维修</w:t>
      </w:r>
      <w:r>
        <w:rPr>
          <w:rFonts w:hint="eastAsia" w:ascii="宋体" w:hAnsi="宋体" w:eastAsia="宋体" w:cs="宋体"/>
          <w:b/>
          <w:bCs/>
          <w:color w:val="000000"/>
          <w:kern w:val="0"/>
          <w:sz w:val="24"/>
          <w:szCs w:val="24"/>
          <w:lang w:val="en-US" w:eastAsia="zh-CN" w:bidi="ar"/>
        </w:rPr>
        <w:t>清单及技术参数</w:t>
      </w:r>
    </w:p>
    <w:p>
      <w:pPr>
        <w:autoSpaceDE w:val="0"/>
        <w:autoSpaceDN w:val="0"/>
        <w:adjustRightInd w:val="0"/>
        <w:spacing w:line="360" w:lineRule="auto"/>
        <w:ind w:firstLine="240" w:firstLineChars="100"/>
        <w:jc w:val="left"/>
        <w:rPr>
          <w:rFonts w:hint="default" w:ascii="宋体" w:hAnsi="宋体" w:eastAsia="宋体"/>
          <w:b w:val="0"/>
          <w:bCs/>
          <w:i w:val="0"/>
          <w:iCs w:val="0"/>
          <w:sz w:val="24"/>
          <w:szCs w:val="22"/>
          <w:lang w:val="en-US" w:eastAsia="zh-CN"/>
        </w:rPr>
      </w:pPr>
      <w:r>
        <w:rPr>
          <w:rFonts w:hint="eastAsia" w:ascii="宋体" w:hAnsi="宋体"/>
          <w:b w:val="0"/>
          <w:bCs/>
          <w:i w:val="0"/>
          <w:iCs w:val="0"/>
          <w:sz w:val="24"/>
          <w:szCs w:val="22"/>
        </w:rPr>
        <w:t>1.技术要求：</w:t>
      </w:r>
      <w:r>
        <w:rPr>
          <w:rFonts w:hint="eastAsia" w:hAnsi="宋体"/>
          <w:b w:val="0"/>
          <w:bCs/>
          <w:i w:val="0"/>
          <w:iCs w:val="0"/>
          <w:sz w:val="24"/>
          <w:szCs w:val="22"/>
          <w:lang w:val="en-US" w:eastAsia="zh-CN"/>
        </w:rPr>
        <w:t>现用电梯品牌（奥的斯）</w:t>
      </w:r>
    </w:p>
    <w:tbl>
      <w:tblPr>
        <w:tblStyle w:val="30"/>
        <w:tblW w:w="9319" w:type="dxa"/>
        <w:tblInd w:w="-509" w:type="dxa"/>
        <w:tblLayout w:type="fixed"/>
        <w:tblCellMar>
          <w:top w:w="0" w:type="dxa"/>
          <w:left w:w="0" w:type="dxa"/>
          <w:bottom w:w="0" w:type="dxa"/>
          <w:right w:w="0" w:type="dxa"/>
        </w:tblCellMar>
      </w:tblPr>
      <w:tblGrid>
        <w:gridCol w:w="581"/>
        <w:gridCol w:w="1369"/>
        <w:gridCol w:w="1988"/>
        <w:gridCol w:w="2287"/>
        <w:gridCol w:w="919"/>
        <w:gridCol w:w="2175"/>
      </w:tblGrid>
      <w:tr>
        <w:tblPrEx>
          <w:tblCellMar>
            <w:top w:w="0" w:type="dxa"/>
            <w:left w:w="0" w:type="dxa"/>
            <w:bottom w:w="0" w:type="dxa"/>
            <w:right w:w="0" w:type="dxa"/>
          </w:tblCellMar>
        </w:tblPrEx>
        <w:trPr>
          <w:trHeight w:val="500" w:hRule="atLeast"/>
        </w:trPr>
        <w:tc>
          <w:tcPr>
            <w:tcW w:w="5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序号</w:t>
            </w:r>
          </w:p>
        </w:tc>
        <w:tc>
          <w:tcPr>
            <w:tcW w:w="13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电梯编号</w:t>
            </w: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维修项目</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规格型号</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数量</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备注</w:t>
            </w:r>
          </w:p>
        </w:tc>
      </w:tr>
      <w:tr>
        <w:tblPrEx>
          <w:tblCellMar>
            <w:top w:w="0" w:type="dxa"/>
            <w:left w:w="0" w:type="dxa"/>
            <w:bottom w:w="0" w:type="dxa"/>
            <w:right w:w="0" w:type="dxa"/>
          </w:tblCellMar>
        </w:tblPrEx>
        <w:trPr>
          <w:trHeight w:val="620" w:hRule="atLeast"/>
        </w:trPr>
        <w:tc>
          <w:tcPr>
            <w:tcW w:w="581"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1</w:t>
            </w:r>
          </w:p>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sz w:val="21"/>
                <w:szCs w:val="21"/>
                <w:u w:val="none"/>
                <w:lang w:val="en-US" w:eastAsia="zh-CN"/>
              </w:rPr>
              <w:t>门诊1号电梯</w:t>
            </w:r>
            <w:r>
              <w:rPr>
                <w:rFonts w:hint="eastAsia" w:ascii="宋体" w:hAnsi="宋体" w:eastAsia="宋体" w:cs="宋体"/>
                <w:b/>
                <w:bCs/>
                <w:i w:val="0"/>
                <w:color w:val="000000"/>
                <w:sz w:val="21"/>
                <w:szCs w:val="21"/>
                <w:u w:val="none"/>
                <w:lang w:val="en-US" w:eastAsia="zh-CN"/>
              </w:rPr>
              <w:br w:type="textWrapping"/>
            </w:r>
            <w:r>
              <w:rPr>
                <w:rFonts w:hint="eastAsia" w:ascii="宋体" w:hAnsi="宋体" w:eastAsia="宋体" w:cs="宋体"/>
                <w:b/>
                <w:bCs/>
                <w:i w:val="0"/>
                <w:color w:val="000000"/>
                <w:sz w:val="21"/>
                <w:szCs w:val="21"/>
                <w:u w:val="none"/>
                <w:lang w:val="en-US" w:eastAsia="zh-CN"/>
              </w:rPr>
              <w:t>(4层4站）</w:t>
            </w: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更换中间接触器</w:t>
            </w:r>
          </w:p>
        </w:tc>
        <w:tc>
          <w:tcPr>
            <w:tcW w:w="22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br w:type="textWrapping"/>
            </w:r>
            <w:r>
              <w:rPr>
                <w:rFonts w:hint="eastAsia" w:ascii="宋体" w:hAnsi="宋体" w:eastAsia="宋体" w:cs="宋体"/>
                <w:i w:val="0"/>
                <w:color w:val="000000"/>
                <w:sz w:val="21"/>
                <w:szCs w:val="21"/>
                <w:u w:val="none"/>
                <w:lang w:val="en-US" w:eastAsia="zh-CN"/>
              </w:rPr>
              <w:t>DC24V</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2只</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宋体" w:hAnsi="宋体" w:eastAsia="宋体" w:cs="宋体"/>
                <w:i w:val="0"/>
                <w:color w:val="000000"/>
                <w:sz w:val="21"/>
                <w:szCs w:val="21"/>
                <w:highlight w:val="none"/>
                <w:u w:val="none"/>
                <w:lang w:val="en-US" w:eastAsia="zh-CN"/>
              </w:rPr>
            </w:pPr>
            <w:r>
              <w:rPr>
                <w:rFonts w:hint="eastAsia" w:hAnsi="宋体" w:eastAsia="宋体" w:cs="宋体"/>
                <w:i w:val="0"/>
                <w:color w:val="000000"/>
                <w:sz w:val="21"/>
                <w:szCs w:val="21"/>
                <w:highlight w:val="none"/>
                <w:u w:val="none"/>
                <w:lang w:val="en-US" w:eastAsia="zh-CN"/>
              </w:rPr>
              <w:t>触点氧化，铁芯卡阻</w:t>
            </w:r>
          </w:p>
        </w:tc>
      </w:tr>
      <w:tr>
        <w:tblPrEx>
          <w:tblCellMar>
            <w:top w:w="0" w:type="dxa"/>
            <w:left w:w="0" w:type="dxa"/>
            <w:bottom w:w="0" w:type="dxa"/>
            <w:right w:w="0" w:type="dxa"/>
          </w:tblCellMar>
        </w:tblPrEx>
        <w:trPr>
          <w:trHeight w:val="62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更换中间接触器</w:t>
            </w:r>
          </w:p>
        </w:tc>
        <w:tc>
          <w:tcPr>
            <w:tcW w:w="22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br w:type="textWrapping"/>
            </w:r>
            <w:r>
              <w:rPr>
                <w:rFonts w:hint="eastAsia" w:ascii="宋体" w:hAnsi="宋体" w:eastAsia="宋体" w:cs="宋体"/>
                <w:i w:val="0"/>
                <w:color w:val="000000"/>
                <w:sz w:val="21"/>
                <w:szCs w:val="21"/>
                <w:u w:val="none"/>
                <w:lang w:val="en-US" w:eastAsia="zh-CN"/>
              </w:rPr>
              <w:t>AC110V</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2只</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highlight w:val="none"/>
                <w:u w:val="none"/>
              </w:rPr>
            </w:pPr>
            <w:r>
              <w:rPr>
                <w:rFonts w:hint="eastAsia" w:hAnsi="宋体" w:eastAsia="宋体" w:cs="宋体"/>
                <w:i w:val="0"/>
                <w:color w:val="000000"/>
                <w:sz w:val="21"/>
                <w:szCs w:val="21"/>
                <w:highlight w:val="none"/>
                <w:u w:val="none"/>
                <w:lang w:val="en-US" w:eastAsia="zh-CN"/>
              </w:rPr>
              <w:t>触点氧化，铁芯卡阻</w:t>
            </w:r>
          </w:p>
        </w:tc>
      </w:tr>
      <w:tr>
        <w:tblPrEx>
          <w:tblCellMar>
            <w:top w:w="0" w:type="dxa"/>
            <w:left w:w="0" w:type="dxa"/>
            <w:bottom w:w="0" w:type="dxa"/>
            <w:right w:w="0" w:type="dxa"/>
          </w:tblCellMar>
        </w:tblPrEx>
        <w:trPr>
          <w:trHeight w:val="80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更换主接触器</w:t>
            </w:r>
          </w:p>
        </w:tc>
        <w:tc>
          <w:tcPr>
            <w:tcW w:w="22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br w:type="textWrapping"/>
            </w:r>
            <w:r>
              <w:rPr>
                <w:rFonts w:hint="eastAsia" w:ascii="宋体" w:hAnsi="宋体" w:eastAsia="宋体" w:cs="宋体"/>
                <w:i w:val="0"/>
                <w:color w:val="000000"/>
                <w:sz w:val="21"/>
                <w:szCs w:val="21"/>
                <w:u w:val="none"/>
                <w:lang w:val="en-US" w:eastAsia="zh-CN"/>
              </w:rPr>
              <w:t>AC110V 65A</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1只</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highlight w:val="none"/>
                <w:u w:val="none"/>
              </w:rPr>
            </w:pPr>
            <w:r>
              <w:rPr>
                <w:rFonts w:hint="eastAsia" w:hAnsi="宋体" w:eastAsia="宋体" w:cs="宋体"/>
                <w:i w:val="0"/>
                <w:color w:val="000000"/>
                <w:sz w:val="21"/>
                <w:szCs w:val="21"/>
                <w:highlight w:val="none"/>
                <w:u w:val="none"/>
                <w:lang w:val="en-US" w:eastAsia="zh-CN"/>
              </w:rPr>
              <w:t>触点氧化，铁芯卡阻</w:t>
            </w:r>
          </w:p>
        </w:tc>
      </w:tr>
      <w:tr>
        <w:tblPrEx>
          <w:tblCellMar>
            <w:top w:w="0" w:type="dxa"/>
            <w:left w:w="0" w:type="dxa"/>
            <w:bottom w:w="0" w:type="dxa"/>
            <w:right w:w="0" w:type="dxa"/>
          </w:tblCellMar>
        </w:tblPrEx>
        <w:trPr>
          <w:trHeight w:val="50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更换曳引钢丝绳</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¢12mm</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360米</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6根，60米/根</w:t>
            </w:r>
          </w:p>
        </w:tc>
      </w:tr>
      <w:tr>
        <w:tblPrEx>
          <w:tblCellMar>
            <w:top w:w="0" w:type="dxa"/>
            <w:left w:w="0" w:type="dxa"/>
            <w:bottom w:w="0" w:type="dxa"/>
            <w:right w:w="0" w:type="dxa"/>
          </w:tblCellMar>
        </w:tblPrEx>
        <w:trPr>
          <w:trHeight w:val="50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更换平层感应器</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GLS  126NT</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4只</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宋体" w:hAnsi="宋体" w:eastAsia="宋体" w:cs="宋体"/>
                <w:i w:val="0"/>
                <w:color w:val="000000"/>
                <w:sz w:val="21"/>
                <w:szCs w:val="21"/>
                <w:u w:val="none"/>
                <w:lang w:val="en-US" w:eastAsia="zh-CN"/>
              </w:rPr>
            </w:pPr>
            <w:r>
              <w:rPr>
                <w:rFonts w:hint="eastAsia" w:hAnsi="宋体" w:eastAsia="宋体" w:cs="宋体"/>
                <w:i w:val="0"/>
                <w:color w:val="000000"/>
                <w:sz w:val="21"/>
                <w:szCs w:val="21"/>
                <w:u w:val="none"/>
                <w:lang w:val="en-US" w:eastAsia="zh-CN"/>
              </w:rPr>
              <w:t>元器件老化，动作不灵敏</w:t>
            </w:r>
          </w:p>
        </w:tc>
      </w:tr>
      <w:tr>
        <w:tblPrEx>
          <w:tblCellMar>
            <w:top w:w="0" w:type="dxa"/>
            <w:left w:w="0" w:type="dxa"/>
            <w:bottom w:w="0" w:type="dxa"/>
            <w:right w:w="0" w:type="dxa"/>
          </w:tblCellMar>
        </w:tblPrEx>
        <w:trPr>
          <w:trHeight w:val="50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更换层门锁触点</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奥的斯原装</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4副</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4层，1层1副</w:t>
            </w:r>
          </w:p>
        </w:tc>
      </w:tr>
      <w:tr>
        <w:tblPrEx>
          <w:tblCellMar>
            <w:top w:w="0" w:type="dxa"/>
            <w:left w:w="0" w:type="dxa"/>
            <w:bottom w:w="0" w:type="dxa"/>
            <w:right w:w="0" w:type="dxa"/>
          </w:tblCellMar>
        </w:tblPrEx>
        <w:trPr>
          <w:trHeight w:val="60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制动器深度保养</w:t>
            </w:r>
            <w:r>
              <w:rPr>
                <w:rFonts w:hint="eastAsia" w:ascii="宋体" w:hAnsi="宋体" w:eastAsia="宋体" w:cs="宋体"/>
                <w:i w:val="0"/>
                <w:color w:val="000000"/>
                <w:sz w:val="21"/>
                <w:szCs w:val="21"/>
                <w:u w:val="none"/>
                <w:lang w:val="en-US" w:eastAsia="zh-CN"/>
              </w:rPr>
              <w:br w:type="textWrapping"/>
            </w:r>
            <w:r>
              <w:rPr>
                <w:rFonts w:hint="eastAsia" w:ascii="宋体" w:hAnsi="宋体" w:eastAsia="宋体" w:cs="宋体"/>
                <w:i w:val="0"/>
                <w:color w:val="000000"/>
                <w:sz w:val="21"/>
                <w:szCs w:val="21"/>
                <w:u w:val="none"/>
                <w:lang w:val="en-US" w:eastAsia="zh-CN"/>
              </w:rPr>
              <w:t>及精度加工</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DAA330L2</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1台</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1台电梯1台制动器</w:t>
            </w:r>
          </w:p>
        </w:tc>
      </w:tr>
      <w:tr>
        <w:tblPrEx>
          <w:tblCellMar>
            <w:top w:w="0" w:type="dxa"/>
            <w:left w:w="0" w:type="dxa"/>
            <w:bottom w:w="0" w:type="dxa"/>
            <w:right w:w="0" w:type="dxa"/>
          </w:tblCellMar>
        </w:tblPrEx>
        <w:trPr>
          <w:trHeight w:val="600" w:hRule="atLeast"/>
        </w:trPr>
        <w:tc>
          <w:tcPr>
            <w:tcW w:w="581"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层门门滑轨防锈处理</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4层</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锈蚀严重</w:t>
            </w:r>
          </w:p>
        </w:tc>
      </w:tr>
      <w:tr>
        <w:tblPrEx>
          <w:tblCellMar>
            <w:top w:w="0" w:type="dxa"/>
            <w:left w:w="0" w:type="dxa"/>
            <w:bottom w:w="0" w:type="dxa"/>
            <w:right w:w="0" w:type="dxa"/>
          </w:tblCellMar>
        </w:tblPrEx>
        <w:trPr>
          <w:trHeight w:val="560" w:hRule="atLeast"/>
        </w:trPr>
        <w:tc>
          <w:tcPr>
            <w:tcW w:w="581"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2</w:t>
            </w:r>
          </w:p>
        </w:tc>
        <w:tc>
          <w:tcPr>
            <w:tcW w:w="136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sz w:val="21"/>
                <w:szCs w:val="21"/>
                <w:u w:val="none"/>
                <w:lang w:val="en-US" w:eastAsia="zh-CN"/>
              </w:rPr>
              <w:t>门诊2号电梯</w:t>
            </w:r>
            <w:r>
              <w:rPr>
                <w:rFonts w:hint="eastAsia" w:ascii="宋体" w:hAnsi="宋体" w:eastAsia="宋体" w:cs="宋体"/>
                <w:b/>
                <w:bCs/>
                <w:i w:val="0"/>
                <w:color w:val="000000"/>
                <w:sz w:val="21"/>
                <w:szCs w:val="21"/>
                <w:u w:val="none"/>
                <w:lang w:val="en-US" w:eastAsia="zh-CN"/>
              </w:rPr>
              <w:br w:type="textWrapping"/>
            </w:r>
            <w:r>
              <w:rPr>
                <w:rFonts w:hint="eastAsia" w:ascii="宋体" w:hAnsi="宋体" w:eastAsia="宋体" w:cs="宋体"/>
                <w:b/>
                <w:bCs/>
                <w:i w:val="0"/>
                <w:color w:val="000000"/>
                <w:sz w:val="21"/>
                <w:szCs w:val="21"/>
                <w:u w:val="none"/>
                <w:lang w:val="en-US" w:eastAsia="zh-CN"/>
              </w:rPr>
              <w:t>（3层3站）</w:t>
            </w: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更换中间接触器</w:t>
            </w:r>
          </w:p>
        </w:tc>
        <w:tc>
          <w:tcPr>
            <w:tcW w:w="22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DC24V</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2只</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highlight w:val="none"/>
                <w:u w:val="none"/>
              </w:rPr>
            </w:pPr>
            <w:r>
              <w:rPr>
                <w:rFonts w:hint="eastAsia" w:hAnsi="宋体" w:eastAsia="宋体" w:cs="宋体"/>
                <w:i w:val="0"/>
                <w:color w:val="000000"/>
                <w:sz w:val="21"/>
                <w:szCs w:val="21"/>
                <w:highlight w:val="none"/>
                <w:u w:val="none"/>
                <w:lang w:val="en-US" w:eastAsia="zh-CN"/>
              </w:rPr>
              <w:t>触点氧化，铁芯卡阻</w:t>
            </w:r>
          </w:p>
        </w:tc>
      </w:tr>
      <w:tr>
        <w:tblPrEx>
          <w:tblCellMar>
            <w:top w:w="0" w:type="dxa"/>
            <w:left w:w="0" w:type="dxa"/>
            <w:bottom w:w="0" w:type="dxa"/>
            <w:right w:w="0" w:type="dxa"/>
          </w:tblCellMar>
        </w:tblPrEx>
        <w:trPr>
          <w:trHeight w:val="66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更换中间接触器</w:t>
            </w:r>
          </w:p>
        </w:tc>
        <w:tc>
          <w:tcPr>
            <w:tcW w:w="22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AC110V</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2只</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highlight w:val="none"/>
                <w:u w:val="none"/>
              </w:rPr>
            </w:pPr>
            <w:r>
              <w:rPr>
                <w:rFonts w:hint="eastAsia" w:hAnsi="宋体" w:eastAsia="宋体" w:cs="宋体"/>
                <w:i w:val="0"/>
                <w:color w:val="000000"/>
                <w:sz w:val="21"/>
                <w:szCs w:val="21"/>
                <w:highlight w:val="none"/>
                <w:u w:val="none"/>
                <w:lang w:val="en-US" w:eastAsia="zh-CN"/>
              </w:rPr>
              <w:t>触点氧化，铁芯卡阻</w:t>
            </w:r>
          </w:p>
        </w:tc>
      </w:tr>
      <w:tr>
        <w:tblPrEx>
          <w:tblCellMar>
            <w:top w:w="0" w:type="dxa"/>
            <w:left w:w="0" w:type="dxa"/>
            <w:bottom w:w="0" w:type="dxa"/>
            <w:right w:w="0" w:type="dxa"/>
          </w:tblCellMar>
        </w:tblPrEx>
        <w:trPr>
          <w:trHeight w:val="62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更换主接触器</w:t>
            </w:r>
          </w:p>
        </w:tc>
        <w:tc>
          <w:tcPr>
            <w:tcW w:w="22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br w:type="textWrapping"/>
            </w:r>
            <w:r>
              <w:rPr>
                <w:rFonts w:hint="eastAsia" w:ascii="宋体" w:hAnsi="宋体" w:eastAsia="宋体" w:cs="宋体"/>
                <w:i w:val="0"/>
                <w:color w:val="000000"/>
                <w:sz w:val="21"/>
                <w:szCs w:val="21"/>
                <w:u w:val="none"/>
                <w:lang w:val="en-US" w:eastAsia="zh-CN"/>
              </w:rPr>
              <w:t>AC110V 65A</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1只</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highlight w:val="none"/>
                <w:u w:val="none"/>
              </w:rPr>
            </w:pPr>
            <w:r>
              <w:rPr>
                <w:rFonts w:hint="eastAsia" w:hAnsi="宋体" w:eastAsia="宋体" w:cs="宋体"/>
                <w:i w:val="0"/>
                <w:color w:val="000000"/>
                <w:sz w:val="21"/>
                <w:szCs w:val="21"/>
                <w:highlight w:val="none"/>
                <w:u w:val="none"/>
                <w:lang w:val="en-US" w:eastAsia="zh-CN"/>
              </w:rPr>
              <w:t>触点氧化，铁芯卡阻</w:t>
            </w:r>
          </w:p>
        </w:tc>
      </w:tr>
      <w:tr>
        <w:tblPrEx>
          <w:tblCellMar>
            <w:top w:w="0" w:type="dxa"/>
            <w:left w:w="0" w:type="dxa"/>
            <w:bottom w:w="0" w:type="dxa"/>
            <w:right w:w="0" w:type="dxa"/>
          </w:tblCellMar>
        </w:tblPrEx>
        <w:trPr>
          <w:trHeight w:val="50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更换曳引钢丝绳</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¢12mm</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330米</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6根，55米/根</w:t>
            </w:r>
          </w:p>
        </w:tc>
      </w:tr>
      <w:tr>
        <w:tblPrEx>
          <w:tblCellMar>
            <w:top w:w="0" w:type="dxa"/>
            <w:left w:w="0" w:type="dxa"/>
            <w:bottom w:w="0" w:type="dxa"/>
            <w:right w:w="0" w:type="dxa"/>
          </w:tblCellMar>
        </w:tblPrEx>
        <w:trPr>
          <w:trHeight w:val="50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更换平层感应器</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GLS  126NT</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4只</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tabs>
                <w:tab w:val="center" w:pos="1072"/>
              </w:tabs>
              <w:ind w:left="0" w:leftChars="0" w:firstLine="0" w:firstLineChars="0"/>
              <w:jc w:val="both"/>
              <w:textAlignment w:val="center"/>
              <w:rPr>
                <w:rFonts w:hint="eastAsia" w:ascii="宋体" w:hAnsi="宋体" w:eastAsia="宋体" w:cs="宋体"/>
                <w:i w:val="0"/>
                <w:color w:val="000000"/>
                <w:sz w:val="21"/>
                <w:szCs w:val="21"/>
                <w:highlight w:val="none"/>
                <w:u w:val="none"/>
              </w:rPr>
            </w:pPr>
            <w:r>
              <w:rPr>
                <w:rFonts w:hint="eastAsia" w:hAnsi="宋体" w:eastAsia="宋体" w:cs="宋体"/>
                <w:i w:val="0"/>
                <w:color w:val="000000"/>
                <w:sz w:val="21"/>
                <w:szCs w:val="21"/>
                <w:highlight w:val="none"/>
                <w:u w:val="none"/>
                <w:lang w:val="en-US" w:eastAsia="zh-CN"/>
              </w:rPr>
              <w:t>元器件老化，动作不灵敏</w:t>
            </w:r>
            <w:r>
              <w:rPr>
                <w:rFonts w:hint="eastAsia" w:hAnsi="宋体" w:eastAsia="宋体" w:cs="宋体"/>
                <w:i w:val="0"/>
                <w:color w:val="000000"/>
                <w:sz w:val="21"/>
                <w:szCs w:val="21"/>
                <w:highlight w:val="none"/>
                <w:u w:val="none"/>
                <w:lang w:val="en-US" w:eastAsia="zh-CN"/>
              </w:rPr>
              <w:tab/>
            </w:r>
          </w:p>
        </w:tc>
      </w:tr>
      <w:tr>
        <w:tblPrEx>
          <w:tblCellMar>
            <w:top w:w="0" w:type="dxa"/>
            <w:left w:w="0" w:type="dxa"/>
            <w:bottom w:w="0" w:type="dxa"/>
            <w:right w:w="0" w:type="dxa"/>
          </w:tblCellMar>
        </w:tblPrEx>
        <w:trPr>
          <w:trHeight w:val="50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更换层门锁触点</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奥的斯原装</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3副</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3层，1层1副</w:t>
            </w:r>
          </w:p>
        </w:tc>
      </w:tr>
      <w:tr>
        <w:tblPrEx>
          <w:tblCellMar>
            <w:top w:w="0" w:type="dxa"/>
            <w:left w:w="0" w:type="dxa"/>
            <w:bottom w:w="0" w:type="dxa"/>
            <w:right w:w="0" w:type="dxa"/>
          </w:tblCellMar>
        </w:tblPrEx>
        <w:trPr>
          <w:trHeight w:val="60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制动器深度保养</w:t>
            </w:r>
            <w:r>
              <w:rPr>
                <w:rFonts w:hint="eastAsia" w:ascii="宋体" w:hAnsi="宋体" w:eastAsia="宋体" w:cs="宋体"/>
                <w:i w:val="0"/>
                <w:color w:val="000000"/>
                <w:sz w:val="21"/>
                <w:szCs w:val="21"/>
                <w:u w:val="none"/>
                <w:lang w:val="en-US" w:eastAsia="zh-CN"/>
              </w:rPr>
              <w:br w:type="textWrapping"/>
            </w:r>
            <w:r>
              <w:rPr>
                <w:rFonts w:hint="eastAsia" w:ascii="宋体" w:hAnsi="宋体" w:eastAsia="宋体" w:cs="宋体"/>
                <w:i w:val="0"/>
                <w:color w:val="000000"/>
                <w:sz w:val="21"/>
                <w:szCs w:val="21"/>
                <w:u w:val="none"/>
                <w:lang w:val="en-US" w:eastAsia="zh-CN"/>
              </w:rPr>
              <w:t>及精度加工</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DAA330L2</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1台</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1台电梯1台制动器</w:t>
            </w:r>
          </w:p>
        </w:tc>
      </w:tr>
      <w:tr>
        <w:tblPrEx>
          <w:tblCellMar>
            <w:top w:w="0" w:type="dxa"/>
            <w:left w:w="0" w:type="dxa"/>
            <w:bottom w:w="0" w:type="dxa"/>
            <w:right w:w="0" w:type="dxa"/>
          </w:tblCellMar>
        </w:tblPrEx>
        <w:trPr>
          <w:trHeight w:val="600" w:hRule="atLeast"/>
        </w:trPr>
        <w:tc>
          <w:tcPr>
            <w:tcW w:w="581"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层门门滑轨防锈处理</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3层</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锈蚀严重</w:t>
            </w:r>
          </w:p>
        </w:tc>
      </w:tr>
      <w:tr>
        <w:tblPrEx>
          <w:tblCellMar>
            <w:top w:w="0" w:type="dxa"/>
            <w:left w:w="0" w:type="dxa"/>
            <w:bottom w:w="0" w:type="dxa"/>
            <w:right w:w="0" w:type="dxa"/>
          </w:tblCellMar>
        </w:tblPrEx>
        <w:trPr>
          <w:trHeight w:val="660" w:hRule="atLeast"/>
        </w:trPr>
        <w:tc>
          <w:tcPr>
            <w:tcW w:w="581"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3</w:t>
            </w:r>
          </w:p>
        </w:tc>
        <w:tc>
          <w:tcPr>
            <w:tcW w:w="136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sz w:val="21"/>
                <w:szCs w:val="21"/>
                <w:u w:val="none"/>
                <w:lang w:val="en-US" w:eastAsia="zh-CN"/>
              </w:rPr>
              <w:t>门诊3号电梯</w:t>
            </w:r>
            <w:r>
              <w:rPr>
                <w:rFonts w:hint="eastAsia" w:ascii="宋体" w:hAnsi="宋体" w:eastAsia="宋体" w:cs="宋体"/>
                <w:b/>
                <w:bCs/>
                <w:i w:val="0"/>
                <w:color w:val="000000"/>
                <w:sz w:val="21"/>
                <w:szCs w:val="21"/>
                <w:u w:val="none"/>
                <w:lang w:val="en-US" w:eastAsia="zh-CN"/>
              </w:rPr>
              <w:br w:type="textWrapping"/>
            </w:r>
            <w:r>
              <w:rPr>
                <w:rFonts w:hint="eastAsia" w:ascii="宋体" w:hAnsi="宋体" w:eastAsia="宋体" w:cs="宋体"/>
                <w:b/>
                <w:bCs/>
                <w:i w:val="0"/>
                <w:color w:val="000000"/>
                <w:sz w:val="21"/>
                <w:szCs w:val="21"/>
                <w:u w:val="none"/>
                <w:lang w:val="en-US" w:eastAsia="zh-CN"/>
              </w:rPr>
              <w:t>（3层3站）</w:t>
            </w: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更换中间接触器</w:t>
            </w:r>
          </w:p>
        </w:tc>
        <w:tc>
          <w:tcPr>
            <w:tcW w:w="22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DC24V</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2只</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highlight w:val="none"/>
                <w:u w:val="none"/>
              </w:rPr>
            </w:pPr>
            <w:r>
              <w:rPr>
                <w:rFonts w:hint="eastAsia" w:hAnsi="宋体" w:eastAsia="宋体" w:cs="宋体"/>
                <w:i w:val="0"/>
                <w:color w:val="000000"/>
                <w:sz w:val="21"/>
                <w:szCs w:val="21"/>
                <w:highlight w:val="none"/>
                <w:u w:val="none"/>
                <w:lang w:val="en-US" w:eastAsia="zh-CN"/>
              </w:rPr>
              <w:t>触点氧化，铁芯卡阻</w:t>
            </w:r>
          </w:p>
        </w:tc>
      </w:tr>
      <w:tr>
        <w:tblPrEx>
          <w:tblCellMar>
            <w:top w:w="0" w:type="dxa"/>
            <w:left w:w="0" w:type="dxa"/>
            <w:bottom w:w="0" w:type="dxa"/>
            <w:right w:w="0" w:type="dxa"/>
          </w:tblCellMar>
        </w:tblPrEx>
        <w:trPr>
          <w:trHeight w:val="66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更换中间接触器</w:t>
            </w:r>
          </w:p>
        </w:tc>
        <w:tc>
          <w:tcPr>
            <w:tcW w:w="22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br w:type="textWrapping"/>
            </w:r>
            <w:r>
              <w:rPr>
                <w:rFonts w:hint="eastAsia" w:ascii="宋体" w:hAnsi="宋体" w:eastAsia="宋体" w:cs="宋体"/>
                <w:i w:val="0"/>
                <w:color w:val="000000"/>
                <w:sz w:val="21"/>
                <w:szCs w:val="21"/>
                <w:u w:val="none"/>
                <w:lang w:val="en-US" w:eastAsia="zh-CN"/>
              </w:rPr>
              <w:t>AC110V</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2只</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highlight w:val="none"/>
                <w:u w:val="none"/>
              </w:rPr>
            </w:pPr>
            <w:r>
              <w:rPr>
                <w:rFonts w:hint="eastAsia" w:hAnsi="宋体" w:eastAsia="宋体" w:cs="宋体"/>
                <w:i w:val="0"/>
                <w:color w:val="000000"/>
                <w:sz w:val="21"/>
                <w:szCs w:val="21"/>
                <w:highlight w:val="none"/>
                <w:u w:val="none"/>
                <w:lang w:val="en-US" w:eastAsia="zh-CN"/>
              </w:rPr>
              <w:t>触点氧化，铁芯卡阻</w:t>
            </w:r>
          </w:p>
        </w:tc>
      </w:tr>
      <w:tr>
        <w:tblPrEx>
          <w:tblCellMar>
            <w:top w:w="0" w:type="dxa"/>
            <w:left w:w="0" w:type="dxa"/>
            <w:bottom w:w="0" w:type="dxa"/>
            <w:right w:w="0" w:type="dxa"/>
          </w:tblCellMar>
        </w:tblPrEx>
        <w:trPr>
          <w:trHeight w:val="66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更换主接触器</w:t>
            </w:r>
          </w:p>
        </w:tc>
        <w:tc>
          <w:tcPr>
            <w:tcW w:w="22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br w:type="textWrapping"/>
            </w:r>
            <w:r>
              <w:rPr>
                <w:rFonts w:hint="eastAsia" w:ascii="宋体" w:hAnsi="宋体" w:eastAsia="宋体" w:cs="宋体"/>
                <w:i w:val="0"/>
                <w:color w:val="000000"/>
                <w:sz w:val="21"/>
                <w:szCs w:val="21"/>
                <w:u w:val="none"/>
                <w:lang w:val="en-US" w:eastAsia="zh-CN"/>
              </w:rPr>
              <w:t>AC110V 65A</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1只</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highlight w:val="none"/>
                <w:u w:val="none"/>
              </w:rPr>
            </w:pPr>
            <w:r>
              <w:rPr>
                <w:rFonts w:hint="eastAsia" w:hAnsi="宋体" w:eastAsia="宋体" w:cs="宋体"/>
                <w:i w:val="0"/>
                <w:color w:val="000000"/>
                <w:sz w:val="21"/>
                <w:szCs w:val="21"/>
                <w:highlight w:val="none"/>
                <w:u w:val="none"/>
                <w:lang w:val="en-US" w:eastAsia="zh-CN"/>
              </w:rPr>
              <w:t>触点氧化，铁芯卡阻</w:t>
            </w:r>
          </w:p>
        </w:tc>
      </w:tr>
      <w:tr>
        <w:tblPrEx>
          <w:tblCellMar>
            <w:top w:w="0" w:type="dxa"/>
            <w:left w:w="0" w:type="dxa"/>
            <w:bottom w:w="0" w:type="dxa"/>
            <w:right w:w="0" w:type="dxa"/>
          </w:tblCellMar>
        </w:tblPrEx>
        <w:trPr>
          <w:trHeight w:val="50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更换曳引钢丝绳</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¢12mm</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330米</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6根，55米/根</w:t>
            </w:r>
          </w:p>
        </w:tc>
      </w:tr>
      <w:tr>
        <w:tblPrEx>
          <w:tblCellMar>
            <w:top w:w="0" w:type="dxa"/>
            <w:left w:w="0" w:type="dxa"/>
            <w:bottom w:w="0" w:type="dxa"/>
            <w:right w:w="0" w:type="dxa"/>
          </w:tblCellMar>
        </w:tblPrEx>
        <w:trPr>
          <w:trHeight w:val="50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更换平层感应器</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GLS  126NT</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4只</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hAnsi="宋体" w:eastAsia="宋体" w:cs="宋体"/>
                <w:i w:val="0"/>
                <w:color w:val="000000"/>
                <w:sz w:val="21"/>
                <w:szCs w:val="21"/>
                <w:u w:val="none"/>
                <w:lang w:val="en-US" w:eastAsia="zh-CN"/>
              </w:rPr>
              <w:t>元器件老化，动作不灵敏</w:t>
            </w:r>
          </w:p>
        </w:tc>
      </w:tr>
      <w:tr>
        <w:tblPrEx>
          <w:tblCellMar>
            <w:top w:w="0" w:type="dxa"/>
            <w:left w:w="0" w:type="dxa"/>
            <w:bottom w:w="0" w:type="dxa"/>
            <w:right w:w="0" w:type="dxa"/>
          </w:tblCellMar>
        </w:tblPrEx>
        <w:trPr>
          <w:trHeight w:val="50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更换层门锁触点</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奥的斯原装</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3副</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3层，1层1副</w:t>
            </w:r>
          </w:p>
        </w:tc>
      </w:tr>
      <w:tr>
        <w:tblPrEx>
          <w:tblCellMar>
            <w:top w:w="0" w:type="dxa"/>
            <w:left w:w="0" w:type="dxa"/>
            <w:bottom w:w="0" w:type="dxa"/>
            <w:right w:w="0" w:type="dxa"/>
          </w:tblCellMar>
        </w:tblPrEx>
        <w:trPr>
          <w:trHeight w:val="60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制动器深度保养</w:t>
            </w:r>
            <w:r>
              <w:rPr>
                <w:rFonts w:hint="eastAsia" w:ascii="宋体" w:hAnsi="宋体" w:eastAsia="宋体" w:cs="宋体"/>
                <w:i w:val="0"/>
                <w:color w:val="000000"/>
                <w:sz w:val="21"/>
                <w:szCs w:val="21"/>
                <w:u w:val="none"/>
                <w:lang w:val="en-US" w:eastAsia="zh-CN"/>
              </w:rPr>
              <w:br w:type="textWrapping"/>
            </w:r>
            <w:r>
              <w:rPr>
                <w:rFonts w:hint="eastAsia" w:ascii="宋体" w:hAnsi="宋体" w:eastAsia="宋体" w:cs="宋体"/>
                <w:i w:val="0"/>
                <w:color w:val="000000"/>
                <w:sz w:val="21"/>
                <w:szCs w:val="21"/>
                <w:u w:val="none"/>
                <w:lang w:val="en-US" w:eastAsia="zh-CN"/>
              </w:rPr>
              <w:t>及精度加工</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DAA330L2</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1台</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1台电梯1台制动器</w:t>
            </w:r>
          </w:p>
        </w:tc>
      </w:tr>
      <w:tr>
        <w:tblPrEx>
          <w:tblCellMar>
            <w:top w:w="0" w:type="dxa"/>
            <w:left w:w="0" w:type="dxa"/>
            <w:bottom w:w="0" w:type="dxa"/>
            <w:right w:w="0" w:type="dxa"/>
          </w:tblCellMar>
        </w:tblPrEx>
        <w:trPr>
          <w:trHeight w:val="580" w:hRule="atLeast"/>
        </w:trPr>
        <w:tc>
          <w:tcPr>
            <w:tcW w:w="581"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层门门滑轨防锈处理</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3层</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锈蚀严重</w:t>
            </w:r>
          </w:p>
        </w:tc>
      </w:tr>
      <w:tr>
        <w:tblPrEx>
          <w:tblCellMar>
            <w:top w:w="0" w:type="dxa"/>
            <w:left w:w="0" w:type="dxa"/>
            <w:bottom w:w="0" w:type="dxa"/>
            <w:right w:w="0" w:type="dxa"/>
          </w:tblCellMar>
        </w:tblPrEx>
        <w:trPr>
          <w:trHeight w:val="600" w:hRule="atLeast"/>
        </w:trPr>
        <w:tc>
          <w:tcPr>
            <w:tcW w:w="581"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4</w:t>
            </w:r>
          </w:p>
        </w:tc>
        <w:tc>
          <w:tcPr>
            <w:tcW w:w="136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sz w:val="21"/>
                <w:szCs w:val="21"/>
                <w:u w:val="none"/>
                <w:lang w:val="en-US" w:eastAsia="zh-CN"/>
              </w:rPr>
              <w:t>门诊4号电梯</w:t>
            </w:r>
            <w:r>
              <w:rPr>
                <w:rFonts w:hint="eastAsia" w:ascii="宋体" w:hAnsi="宋体" w:eastAsia="宋体" w:cs="宋体"/>
                <w:b/>
                <w:bCs/>
                <w:i w:val="0"/>
                <w:color w:val="000000"/>
                <w:sz w:val="21"/>
                <w:szCs w:val="21"/>
                <w:u w:val="none"/>
                <w:lang w:val="en-US" w:eastAsia="zh-CN"/>
              </w:rPr>
              <w:br w:type="textWrapping"/>
            </w:r>
            <w:r>
              <w:rPr>
                <w:rFonts w:hint="eastAsia" w:ascii="宋体" w:hAnsi="宋体" w:eastAsia="宋体" w:cs="宋体"/>
                <w:b/>
                <w:bCs/>
                <w:i w:val="0"/>
                <w:color w:val="000000"/>
                <w:sz w:val="21"/>
                <w:szCs w:val="21"/>
                <w:u w:val="none"/>
                <w:lang w:val="en-US" w:eastAsia="zh-CN"/>
              </w:rPr>
              <w:t>（3层3站）</w:t>
            </w: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更换中间接触器</w:t>
            </w:r>
          </w:p>
        </w:tc>
        <w:tc>
          <w:tcPr>
            <w:tcW w:w="22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DC24V</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2只</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highlight w:val="none"/>
                <w:u w:val="none"/>
              </w:rPr>
            </w:pPr>
            <w:r>
              <w:rPr>
                <w:rFonts w:hint="eastAsia" w:hAnsi="宋体" w:eastAsia="宋体" w:cs="宋体"/>
                <w:i w:val="0"/>
                <w:color w:val="000000"/>
                <w:sz w:val="21"/>
                <w:szCs w:val="21"/>
                <w:highlight w:val="none"/>
                <w:u w:val="none"/>
                <w:lang w:val="en-US" w:eastAsia="zh-CN"/>
              </w:rPr>
              <w:t>触点氧化，铁芯卡阻</w:t>
            </w:r>
          </w:p>
        </w:tc>
      </w:tr>
      <w:tr>
        <w:tblPrEx>
          <w:tblCellMar>
            <w:top w:w="0" w:type="dxa"/>
            <w:left w:w="0" w:type="dxa"/>
            <w:bottom w:w="0" w:type="dxa"/>
            <w:right w:w="0" w:type="dxa"/>
          </w:tblCellMar>
        </w:tblPrEx>
        <w:trPr>
          <w:trHeight w:val="74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更换中间接触器</w:t>
            </w:r>
          </w:p>
        </w:tc>
        <w:tc>
          <w:tcPr>
            <w:tcW w:w="22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AC110V</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2只</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highlight w:val="none"/>
                <w:u w:val="none"/>
              </w:rPr>
            </w:pPr>
            <w:r>
              <w:rPr>
                <w:rFonts w:hint="eastAsia" w:hAnsi="宋体" w:eastAsia="宋体" w:cs="宋体"/>
                <w:i w:val="0"/>
                <w:color w:val="000000"/>
                <w:sz w:val="21"/>
                <w:szCs w:val="21"/>
                <w:highlight w:val="none"/>
                <w:u w:val="none"/>
                <w:lang w:val="en-US" w:eastAsia="zh-CN"/>
              </w:rPr>
              <w:t>触点氧化，铁芯卡阻</w:t>
            </w:r>
          </w:p>
        </w:tc>
      </w:tr>
      <w:tr>
        <w:tblPrEx>
          <w:tblCellMar>
            <w:top w:w="0" w:type="dxa"/>
            <w:left w:w="0" w:type="dxa"/>
            <w:bottom w:w="0" w:type="dxa"/>
            <w:right w:w="0" w:type="dxa"/>
          </w:tblCellMar>
        </w:tblPrEx>
        <w:trPr>
          <w:trHeight w:val="62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更换主接触器</w:t>
            </w:r>
          </w:p>
        </w:tc>
        <w:tc>
          <w:tcPr>
            <w:tcW w:w="22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AC110V 65A</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1只</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highlight w:val="none"/>
                <w:u w:val="none"/>
              </w:rPr>
            </w:pPr>
            <w:r>
              <w:rPr>
                <w:rFonts w:hint="eastAsia" w:hAnsi="宋体" w:eastAsia="宋体" w:cs="宋体"/>
                <w:i w:val="0"/>
                <w:color w:val="000000"/>
                <w:sz w:val="21"/>
                <w:szCs w:val="21"/>
                <w:highlight w:val="none"/>
                <w:u w:val="none"/>
                <w:lang w:val="en-US" w:eastAsia="zh-CN"/>
              </w:rPr>
              <w:t>触点氧化，铁芯卡阻</w:t>
            </w:r>
          </w:p>
        </w:tc>
      </w:tr>
      <w:tr>
        <w:tblPrEx>
          <w:tblCellMar>
            <w:top w:w="0" w:type="dxa"/>
            <w:left w:w="0" w:type="dxa"/>
            <w:bottom w:w="0" w:type="dxa"/>
            <w:right w:w="0" w:type="dxa"/>
          </w:tblCellMar>
        </w:tblPrEx>
        <w:trPr>
          <w:trHeight w:val="50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更换曳引钢丝绳</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¢12mm</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330米</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6根，55米/根</w:t>
            </w:r>
          </w:p>
        </w:tc>
      </w:tr>
      <w:tr>
        <w:tblPrEx>
          <w:tblCellMar>
            <w:top w:w="0" w:type="dxa"/>
            <w:left w:w="0" w:type="dxa"/>
            <w:bottom w:w="0" w:type="dxa"/>
            <w:right w:w="0" w:type="dxa"/>
          </w:tblCellMar>
        </w:tblPrEx>
        <w:trPr>
          <w:trHeight w:val="50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更换平层感应器</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GLS  126NT</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4只</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hAnsi="宋体" w:eastAsia="宋体" w:cs="宋体"/>
                <w:i w:val="0"/>
                <w:color w:val="000000"/>
                <w:sz w:val="21"/>
                <w:szCs w:val="21"/>
                <w:u w:val="none"/>
                <w:lang w:val="en-US" w:eastAsia="zh-CN"/>
              </w:rPr>
              <w:t>元器件老化，动作不灵敏</w:t>
            </w:r>
          </w:p>
        </w:tc>
      </w:tr>
      <w:tr>
        <w:tblPrEx>
          <w:tblCellMar>
            <w:top w:w="0" w:type="dxa"/>
            <w:left w:w="0" w:type="dxa"/>
            <w:bottom w:w="0" w:type="dxa"/>
            <w:right w:w="0" w:type="dxa"/>
          </w:tblCellMar>
        </w:tblPrEx>
        <w:trPr>
          <w:trHeight w:val="50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更换层门锁触点</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奥的斯原装</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3副</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3层，1层1副</w:t>
            </w:r>
          </w:p>
        </w:tc>
      </w:tr>
      <w:tr>
        <w:tblPrEx>
          <w:tblCellMar>
            <w:top w:w="0" w:type="dxa"/>
            <w:left w:w="0" w:type="dxa"/>
            <w:bottom w:w="0" w:type="dxa"/>
            <w:right w:w="0" w:type="dxa"/>
          </w:tblCellMar>
        </w:tblPrEx>
        <w:trPr>
          <w:trHeight w:val="66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制动器深度保养</w:t>
            </w:r>
            <w:r>
              <w:rPr>
                <w:rFonts w:hint="eastAsia" w:ascii="宋体" w:hAnsi="宋体" w:eastAsia="宋体" w:cs="宋体"/>
                <w:i w:val="0"/>
                <w:color w:val="000000"/>
                <w:sz w:val="21"/>
                <w:szCs w:val="21"/>
                <w:u w:val="none"/>
                <w:lang w:val="en-US" w:eastAsia="zh-CN"/>
              </w:rPr>
              <w:br w:type="textWrapping"/>
            </w:r>
            <w:r>
              <w:rPr>
                <w:rFonts w:hint="eastAsia" w:ascii="宋体" w:hAnsi="宋体" w:eastAsia="宋体" w:cs="宋体"/>
                <w:i w:val="0"/>
                <w:color w:val="000000"/>
                <w:sz w:val="21"/>
                <w:szCs w:val="21"/>
                <w:u w:val="none"/>
                <w:lang w:val="en-US" w:eastAsia="zh-CN"/>
              </w:rPr>
              <w:t>及精度加工</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DAA330L2</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1台</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1台电梯1台制动器</w:t>
            </w:r>
          </w:p>
        </w:tc>
      </w:tr>
      <w:tr>
        <w:tblPrEx>
          <w:tblCellMar>
            <w:top w:w="0" w:type="dxa"/>
            <w:left w:w="0" w:type="dxa"/>
            <w:bottom w:w="0" w:type="dxa"/>
            <w:right w:w="0" w:type="dxa"/>
          </w:tblCellMar>
        </w:tblPrEx>
        <w:trPr>
          <w:trHeight w:val="560" w:hRule="atLeast"/>
        </w:trPr>
        <w:tc>
          <w:tcPr>
            <w:tcW w:w="581"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层门门滑轨防锈处理</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3层</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锈蚀严重</w:t>
            </w:r>
          </w:p>
        </w:tc>
      </w:tr>
      <w:tr>
        <w:tblPrEx>
          <w:tblCellMar>
            <w:top w:w="0" w:type="dxa"/>
            <w:left w:w="0" w:type="dxa"/>
            <w:bottom w:w="0" w:type="dxa"/>
            <w:right w:w="0" w:type="dxa"/>
          </w:tblCellMar>
        </w:tblPrEx>
        <w:trPr>
          <w:trHeight w:val="600" w:hRule="atLeast"/>
        </w:trPr>
        <w:tc>
          <w:tcPr>
            <w:tcW w:w="581"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5</w:t>
            </w:r>
          </w:p>
        </w:tc>
        <w:tc>
          <w:tcPr>
            <w:tcW w:w="136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sz w:val="21"/>
                <w:szCs w:val="21"/>
                <w:u w:val="none"/>
                <w:lang w:val="en-US" w:eastAsia="zh-CN"/>
              </w:rPr>
              <w:t>住院部1号电梯</w:t>
            </w:r>
            <w:r>
              <w:rPr>
                <w:rFonts w:hint="eastAsia" w:ascii="宋体" w:hAnsi="宋体" w:eastAsia="宋体" w:cs="宋体"/>
                <w:b/>
                <w:bCs/>
                <w:i w:val="0"/>
                <w:color w:val="000000"/>
                <w:sz w:val="21"/>
                <w:szCs w:val="21"/>
                <w:u w:val="none"/>
                <w:lang w:val="en-US" w:eastAsia="zh-CN"/>
              </w:rPr>
              <w:br w:type="textWrapping"/>
            </w:r>
            <w:r>
              <w:rPr>
                <w:rFonts w:hint="eastAsia" w:ascii="宋体" w:hAnsi="宋体" w:eastAsia="宋体" w:cs="宋体"/>
                <w:b/>
                <w:bCs/>
                <w:i w:val="0"/>
                <w:color w:val="000000"/>
                <w:sz w:val="21"/>
                <w:szCs w:val="21"/>
                <w:u w:val="none"/>
                <w:lang w:val="en-US" w:eastAsia="zh-CN"/>
              </w:rPr>
              <w:t>（9层9站）</w:t>
            </w: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更换中间接触器</w:t>
            </w:r>
          </w:p>
        </w:tc>
        <w:tc>
          <w:tcPr>
            <w:tcW w:w="22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DC24V</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2只</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highlight w:val="none"/>
                <w:u w:val="none"/>
              </w:rPr>
            </w:pPr>
            <w:r>
              <w:rPr>
                <w:rFonts w:hint="eastAsia" w:hAnsi="宋体" w:eastAsia="宋体" w:cs="宋体"/>
                <w:i w:val="0"/>
                <w:color w:val="000000"/>
                <w:sz w:val="21"/>
                <w:szCs w:val="21"/>
                <w:highlight w:val="none"/>
                <w:u w:val="none"/>
                <w:lang w:val="en-US" w:eastAsia="zh-CN"/>
              </w:rPr>
              <w:t>触点氧化，铁芯卡阻</w:t>
            </w:r>
          </w:p>
        </w:tc>
      </w:tr>
      <w:tr>
        <w:tblPrEx>
          <w:tblCellMar>
            <w:top w:w="0" w:type="dxa"/>
            <w:left w:w="0" w:type="dxa"/>
            <w:bottom w:w="0" w:type="dxa"/>
            <w:right w:w="0" w:type="dxa"/>
          </w:tblCellMar>
        </w:tblPrEx>
        <w:trPr>
          <w:trHeight w:val="62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更换中间接触器</w:t>
            </w:r>
          </w:p>
        </w:tc>
        <w:tc>
          <w:tcPr>
            <w:tcW w:w="22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AC110V</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2只</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highlight w:val="none"/>
                <w:u w:val="none"/>
              </w:rPr>
            </w:pPr>
            <w:r>
              <w:rPr>
                <w:rFonts w:hint="eastAsia" w:hAnsi="宋体" w:eastAsia="宋体" w:cs="宋体"/>
                <w:i w:val="0"/>
                <w:color w:val="000000"/>
                <w:sz w:val="21"/>
                <w:szCs w:val="21"/>
                <w:highlight w:val="none"/>
                <w:u w:val="none"/>
                <w:lang w:val="en-US" w:eastAsia="zh-CN"/>
              </w:rPr>
              <w:t>触点氧化，铁芯卡阻</w:t>
            </w:r>
          </w:p>
        </w:tc>
      </w:tr>
      <w:tr>
        <w:tblPrEx>
          <w:tblCellMar>
            <w:top w:w="0" w:type="dxa"/>
            <w:left w:w="0" w:type="dxa"/>
            <w:bottom w:w="0" w:type="dxa"/>
            <w:right w:w="0" w:type="dxa"/>
          </w:tblCellMar>
        </w:tblPrEx>
        <w:trPr>
          <w:trHeight w:val="66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更换主接触器</w:t>
            </w:r>
          </w:p>
        </w:tc>
        <w:tc>
          <w:tcPr>
            <w:tcW w:w="22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AC110V 65A</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1只</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highlight w:val="none"/>
                <w:u w:val="none"/>
              </w:rPr>
            </w:pPr>
            <w:r>
              <w:rPr>
                <w:rFonts w:hint="eastAsia" w:hAnsi="宋体" w:eastAsia="宋体" w:cs="宋体"/>
                <w:i w:val="0"/>
                <w:color w:val="000000"/>
                <w:sz w:val="21"/>
                <w:szCs w:val="21"/>
                <w:highlight w:val="none"/>
                <w:u w:val="none"/>
                <w:lang w:val="en-US" w:eastAsia="zh-CN"/>
              </w:rPr>
              <w:t>触点氧化，铁芯卡阻</w:t>
            </w:r>
          </w:p>
        </w:tc>
      </w:tr>
      <w:tr>
        <w:tblPrEx>
          <w:tblCellMar>
            <w:top w:w="0" w:type="dxa"/>
            <w:left w:w="0" w:type="dxa"/>
            <w:bottom w:w="0" w:type="dxa"/>
            <w:right w:w="0" w:type="dxa"/>
          </w:tblCellMar>
        </w:tblPrEx>
        <w:trPr>
          <w:trHeight w:val="50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更换平层感应器</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GLS  126NT</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4只</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highlight w:val="yellow"/>
                <w:u w:val="none"/>
              </w:rPr>
            </w:pPr>
            <w:r>
              <w:rPr>
                <w:rFonts w:hint="eastAsia" w:hAnsi="宋体" w:eastAsia="宋体" w:cs="宋体"/>
                <w:i w:val="0"/>
                <w:color w:val="000000"/>
                <w:sz w:val="21"/>
                <w:szCs w:val="21"/>
                <w:u w:val="none"/>
                <w:lang w:val="en-US" w:eastAsia="zh-CN"/>
              </w:rPr>
              <w:t>元器件老化，动作不灵敏</w:t>
            </w:r>
          </w:p>
        </w:tc>
      </w:tr>
      <w:tr>
        <w:tblPrEx>
          <w:tblCellMar>
            <w:top w:w="0" w:type="dxa"/>
            <w:left w:w="0" w:type="dxa"/>
            <w:bottom w:w="0" w:type="dxa"/>
            <w:right w:w="0" w:type="dxa"/>
          </w:tblCellMar>
        </w:tblPrEx>
        <w:trPr>
          <w:trHeight w:val="50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更换层门锁触点</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奥的斯原装</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9副</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9层，1层1副</w:t>
            </w:r>
          </w:p>
        </w:tc>
      </w:tr>
      <w:tr>
        <w:tblPrEx>
          <w:tblCellMar>
            <w:top w:w="0" w:type="dxa"/>
            <w:left w:w="0" w:type="dxa"/>
            <w:bottom w:w="0" w:type="dxa"/>
            <w:right w:w="0" w:type="dxa"/>
          </w:tblCellMar>
        </w:tblPrEx>
        <w:trPr>
          <w:trHeight w:val="60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制动器深度保养</w:t>
            </w:r>
            <w:r>
              <w:rPr>
                <w:rFonts w:hint="eastAsia" w:ascii="宋体" w:hAnsi="宋体" w:eastAsia="宋体" w:cs="宋体"/>
                <w:i w:val="0"/>
                <w:color w:val="000000"/>
                <w:sz w:val="21"/>
                <w:szCs w:val="21"/>
                <w:u w:val="none"/>
                <w:lang w:val="en-US" w:eastAsia="zh-CN"/>
              </w:rPr>
              <w:br w:type="textWrapping"/>
            </w:r>
            <w:r>
              <w:rPr>
                <w:rFonts w:hint="eastAsia" w:ascii="宋体" w:hAnsi="宋体" w:eastAsia="宋体" w:cs="宋体"/>
                <w:i w:val="0"/>
                <w:color w:val="000000"/>
                <w:sz w:val="21"/>
                <w:szCs w:val="21"/>
                <w:u w:val="none"/>
                <w:lang w:val="en-US" w:eastAsia="zh-CN"/>
              </w:rPr>
              <w:t>及精度加工</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DAA330L2</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1台</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1台电梯1台制动器</w:t>
            </w:r>
          </w:p>
        </w:tc>
      </w:tr>
      <w:tr>
        <w:tblPrEx>
          <w:tblCellMar>
            <w:top w:w="0" w:type="dxa"/>
            <w:left w:w="0" w:type="dxa"/>
            <w:bottom w:w="0" w:type="dxa"/>
            <w:right w:w="0" w:type="dxa"/>
          </w:tblCellMar>
        </w:tblPrEx>
        <w:trPr>
          <w:trHeight w:val="58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层门门滑轨防锈处理</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9层</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锈蚀严重</w:t>
            </w:r>
          </w:p>
        </w:tc>
      </w:tr>
      <w:tr>
        <w:tblPrEx>
          <w:tblCellMar>
            <w:top w:w="0" w:type="dxa"/>
            <w:left w:w="0" w:type="dxa"/>
            <w:bottom w:w="0" w:type="dxa"/>
            <w:right w:w="0" w:type="dxa"/>
          </w:tblCellMar>
        </w:tblPrEx>
        <w:trPr>
          <w:trHeight w:val="600" w:hRule="atLeast"/>
        </w:trPr>
        <w:tc>
          <w:tcPr>
            <w:tcW w:w="581"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更换变频器驱动板</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奥的斯原装</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1张</w:t>
            </w:r>
          </w:p>
        </w:tc>
        <w:tc>
          <w:tcPr>
            <w:tcW w:w="2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已多次维修，</w:t>
            </w:r>
            <w:r>
              <w:rPr>
                <w:rFonts w:hint="eastAsia" w:ascii="宋体" w:hAnsi="宋体" w:eastAsia="宋体" w:cs="宋体"/>
                <w:i w:val="0"/>
                <w:color w:val="000000"/>
                <w:sz w:val="21"/>
                <w:szCs w:val="21"/>
                <w:u w:val="none"/>
                <w:lang w:val="en-US" w:eastAsia="zh-CN"/>
              </w:rPr>
              <w:br w:type="textWrapping"/>
            </w:r>
            <w:r>
              <w:rPr>
                <w:rFonts w:hint="eastAsia" w:ascii="宋体" w:hAnsi="宋体" w:eastAsia="宋体" w:cs="宋体"/>
                <w:i w:val="0"/>
                <w:color w:val="000000"/>
                <w:sz w:val="21"/>
                <w:szCs w:val="21"/>
                <w:u w:val="none"/>
                <w:lang w:val="en-US" w:eastAsia="zh-CN"/>
              </w:rPr>
              <w:t>工作不稳定</w:t>
            </w:r>
          </w:p>
        </w:tc>
      </w:tr>
      <w:tr>
        <w:tblPrEx>
          <w:tblCellMar>
            <w:top w:w="0" w:type="dxa"/>
            <w:left w:w="0" w:type="dxa"/>
            <w:bottom w:w="0" w:type="dxa"/>
            <w:right w:w="0" w:type="dxa"/>
          </w:tblCellMar>
        </w:tblPrEx>
        <w:trPr>
          <w:trHeight w:val="600" w:hRule="atLeast"/>
        </w:trPr>
        <w:tc>
          <w:tcPr>
            <w:tcW w:w="581"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6</w:t>
            </w:r>
          </w:p>
        </w:tc>
        <w:tc>
          <w:tcPr>
            <w:tcW w:w="136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sz w:val="21"/>
                <w:szCs w:val="21"/>
                <w:u w:val="none"/>
                <w:lang w:val="en-US" w:eastAsia="zh-CN"/>
              </w:rPr>
              <w:t>住院部2号电梯</w:t>
            </w:r>
            <w:r>
              <w:rPr>
                <w:rFonts w:hint="eastAsia" w:ascii="宋体" w:hAnsi="宋体" w:eastAsia="宋体" w:cs="宋体"/>
                <w:b/>
                <w:bCs/>
                <w:i w:val="0"/>
                <w:color w:val="000000"/>
                <w:sz w:val="21"/>
                <w:szCs w:val="21"/>
                <w:u w:val="none"/>
                <w:lang w:val="en-US" w:eastAsia="zh-CN"/>
              </w:rPr>
              <w:br w:type="textWrapping"/>
            </w:r>
            <w:r>
              <w:rPr>
                <w:rFonts w:hint="eastAsia" w:ascii="宋体" w:hAnsi="宋体" w:eastAsia="宋体" w:cs="宋体"/>
                <w:b/>
                <w:bCs/>
                <w:i w:val="0"/>
                <w:color w:val="000000"/>
                <w:sz w:val="21"/>
                <w:szCs w:val="21"/>
                <w:u w:val="none"/>
                <w:lang w:val="en-US" w:eastAsia="zh-CN"/>
              </w:rPr>
              <w:t>（9层9站）</w:t>
            </w: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更换中间接触器</w:t>
            </w:r>
          </w:p>
        </w:tc>
        <w:tc>
          <w:tcPr>
            <w:tcW w:w="22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DC24V</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2只</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highlight w:val="none"/>
                <w:u w:val="none"/>
              </w:rPr>
            </w:pPr>
            <w:r>
              <w:rPr>
                <w:rFonts w:hint="eastAsia" w:hAnsi="宋体" w:eastAsia="宋体" w:cs="宋体"/>
                <w:i w:val="0"/>
                <w:color w:val="000000"/>
                <w:sz w:val="21"/>
                <w:szCs w:val="21"/>
                <w:highlight w:val="none"/>
                <w:u w:val="none"/>
                <w:lang w:val="en-US" w:eastAsia="zh-CN"/>
              </w:rPr>
              <w:t>触点氧化，铁芯卡阻</w:t>
            </w:r>
          </w:p>
        </w:tc>
      </w:tr>
      <w:tr>
        <w:tblPrEx>
          <w:tblCellMar>
            <w:top w:w="0" w:type="dxa"/>
            <w:left w:w="0" w:type="dxa"/>
            <w:bottom w:w="0" w:type="dxa"/>
            <w:right w:w="0" w:type="dxa"/>
          </w:tblCellMar>
        </w:tblPrEx>
        <w:trPr>
          <w:trHeight w:val="66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更换中间接触器</w:t>
            </w:r>
          </w:p>
        </w:tc>
        <w:tc>
          <w:tcPr>
            <w:tcW w:w="22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AC110V</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2只</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highlight w:val="none"/>
                <w:u w:val="none"/>
              </w:rPr>
            </w:pPr>
            <w:r>
              <w:rPr>
                <w:rFonts w:hint="eastAsia" w:hAnsi="宋体" w:eastAsia="宋体" w:cs="宋体"/>
                <w:i w:val="0"/>
                <w:color w:val="000000"/>
                <w:sz w:val="21"/>
                <w:szCs w:val="21"/>
                <w:highlight w:val="none"/>
                <w:u w:val="none"/>
                <w:lang w:val="en-US" w:eastAsia="zh-CN"/>
              </w:rPr>
              <w:t>触点氧化，铁芯卡阻</w:t>
            </w:r>
          </w:p>
        </w:tc>
      </w:tr>
      <w:tr>
        <w:tblPrEx>
          <w:tblCellMar>
            <w:top w:w="0" w:type="dxa"/>
            <w:left w:w="0" w:type="dxa"/>
            <w:bottom w:w="0" w:type="dxa"/>
            <w:right w:w="0" w:type="dxa"/>
          </w:tblCellMar>
        </w:tblPrEx>
        <w:trPr>
          <w:trHeight w:val="62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更换主接触器</w:t>
            </w:r>
          </w:p>
        </w:tc>
        <w:tc>
          <w:tcPr>
            <w:tcW w:w="22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br w:type="textWrapping"/>
            </w:r>
            <w:r>
              <w:rPr>
                <w:rFonts w:hint="eastAsia" w:ascii="宋体" w:hAnsi="宋体" w:eastAsia="宋体" w:cs="宋体"/>
                <w:i w:val="0"/>
                <w:color w:val="000000"/>
                <w:sz w:val="21"/>
                <w:szCs w:val="21"/>
                <w:u w:val="none"/>
                <w:lang w:val="en-US" w:eastAsia="zh-CN"/>
              </w:rPr>
              <w:t>AC110V 65A</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1只</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highlight w:val="none"/>
                <w:u w:val="none"/>
              </w:rPr>
            </w:pPr>
            <w:r>
              <w:rPr>
                <w:rFonts w:hint="eastAsia" w:hAnsi="宋体" w:eastAsia="宋体" w:cs="宋体"/>
                <w:i w:val="0"/>
                <w:color w:val="000000"/>
                <w:sz w:val="21"/>
                <w:szCs w:val="21"/>
                <w:highlight w:val="none"/>
                <w:u w:val="none"/>
                <w:lang w:val="en-US" w:eastAsia="zh-CN"/>
              </w:rPr>
              <w:t>触点氧化，铁芯卡阻</w:t>
            </w:r>
          </w:p>
        </w:tc>
      </w:tr>
      <w:tr>
        <w:tblPrEx>
          <w:tblCellMar>
            <w:top w:w="0" w:type="dxa"/>
            <w:left w:w="0" w:type="dxa"/>
            <w:bottom w:w="0" w:type="dxa"/>
            <w:right w:w="0" w:type="dxa"/>
          </w:tblCellMar>
        </w:tblPrEx>
        <w:trPr>
          <w:trHeight w:val="50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更换曳引钢丝绳</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¢12mm</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600米</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6根，100米/根</w:t>
            </w:r>
          </w:p>
        </w:tc>
      </w:tr>
      <w:tr>
        <w:tblPrEx>
          <w:tblCellMar>
            <w:top w:w="0" w:type="dxa"/>
            <w:left w:w="0" w:type="dxa"/>
            <w:bottom w:w="0" w:type="dxa"/>
            <w:right w:w="0" w:type="dxa"/>
          </w:tblCellMar>
        </w:tblPrEx>
        <w:trPr>
          <w:trHeight w:val="50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更换平层感应器</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GLS  126NT</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4只</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hAnsi="宋体" w:eastAsia="宋体" w:cs="宋体"/>
                <w:i w:val="0"/>
                <w:color w:val="000000"/>
                <w:sz w:val="21"/>
                <w:szCs w:val="21"/>
                <w:u w:val="none"/>
                <w:lang w:val="en-US" w:eastAsia="zh-CN"/>
              </w:rPr>
              <w:t>元器件老化，动作不灵敏</w:t>
            </w:r>
          </w:p>
        </w:tc>
      </w:tr>
      <w:tr>
        <w:tblPrEx>
          <w:tblCellMar>
            <w:top w:w="0" w:type="dxa"/>
            <w:left w:w="0" w:type="dxa"/>
            <w:bottom w:w="0" w:type="dxa"/>
            <w:right w:w="0" w:type="dxa"/>
          </w:tblCellMar>
        </w:tblPrEx>
        <w:trPr>
          <w:trHeight w:val="50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更换层门锁触点</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奥的斯原装</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9副</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9层，1层1副</w:t>
            </w:r>
          </w:p>
        </w:tc>
      </w:tr>
      <w:tr>
        <w:tblPrEx>
          <w:tblCellMar>
            <w:top w:w="0" w:type="dxa"/>
            <w:left w:w="0" w:type="dxa"/>
            <w:bottom w:w="0" w:type="dxa"/>
            <w:right w:w="0" w:type="dxa"/>
          </w:tblCellMar>
        </w:tblPrEx>
        <w:trPr>
          <w:trHeight w:val="58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制动器深度保养</w:t>
            </w:r>
            <w:r>
              <w:rPr>
                <w:rFonts w:hint="eastAsia" w:ascii="宋体" w:hAnsi="宋体" w:eastAsia="宋体" w:cs="宋体"/>
                <w:i w:val="0"/>
                <w:color w:val="000000"/>
                <w:sz w:val="21"/>
                <w:szCs w:val="21"/>
                <w:u w:val="none"/>
                <w:lang w:val="en-US" w:eastAsia="zh-CN"/>
              </w:rPr>
              <w:br w:type="textWrapping"/>
            </w:r>
            <w:r>
              <w:rPr>
                <w:rFonts w:hint="eastAsia" w:ascii="宋体" w:hAnsi="宋体" w:eastAsia="宋体" w:cs="宋体"/>
                <w:i w:val="0"/>
                <w:color w:val="000000"/>
                <w:sz w:val="21"/>
                <w:szCs w:val="21"/>
                <w:u w:val="none"/>
                <w:lang w:val="en-US" w:eastAsia="zh-CN"/>
              </w:rPr>
              <w:t>及精度加工</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DAA330L2</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1台</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1台电梯1台制动器</w:t>
            </w:r>
          </w:p>
        </w:tc>
      </w:tr>
      <w:tr>
        <w:tblPrEx>
          <w:tblCellMar>
            <w:top w:w="0" w:type="dxa"/>
            <w:left w:w="0" w:type="dxa"/>
            <w:bottom w:w="0" w:type="dxa"/>
            <w:right w:w="0" w:type="dxa"/>
          </w:tblCellMar>
        </w:tblPrEx>
        <w:trPr>
          <w:trHeight w:val="54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层门门滑轨防锈处理</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9层</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锈蚀严重</w:t>
            </w:r>
          </w:p>
        </w:tc>
      </w:tr>
      <w:tr>
        <w:tblPrEx>
          <w:tblCellMar>
            <w:top w:w="0" w:type="dxa"/>
            <w:left w:w="0" w:type="dxa"/>
            <w:bottom w:w="0" w:type="dxa"/>
            <w:right w:w="0" w:type="dxa"/>
          </w:tblCellMar>
        </w:tblPrEx>
        <w:trPr>
          <w:trHeight w:val="500" w:hRule="atLeast"/>
        </w:trPr>
        <w:tc>
          <w:tcPr>
            <w:tcW w:w="581"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更换电梯主板</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GECB-EN</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1张</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工作不稳定</w:t>
            </w:r>
          </w:p>
        </w:tc>
      </w:tr>
      <w:tr>
        <w:tblPrEx>
          <w:tblCellMar>
            <w:top w:w="0" w:type="dxa"/>
            <w:left w:w="0" w:type="dxa"/>
            <w:bottom w:w="0" w:type="dxa"/>
            <w:right w:w="0" w:type="dxa"/>
          </w:tblCellMar>
        </w:tblPrEx>
        <w:trPr>
          <w:trHeight w:val="620" w:hRule="atLeast"/>
        </w:trPr>
        <w:tc>
          <w:tcPr>
            <w:tcW w:w="581"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7</w:t>
            </w:r>
          </w:p>
        </w:tc>
        <w:tc>
          <w:tcPr>
            <w:tcW w:w="136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sz w:val="21"/>
                <w:szCs w:val="21"/>
                <w:u w:val="none"/>
                <w:lang w:val="en-US" w:eastAsia="zh-CN"/>
              </w:rPr>
              <w:t>住院部3号电梯</w:t>
            </w:r>
            <w:r>
              <w:rPr>
                <w:rFonts w:hint="eastAsia" w:ascii="宋体" w:hAnsi="宋体" w:eastAsia="宋体" w:cs="宋体"/>
                <w:b/>
                <w:bCs/>
                <w:i w:val="0"/>
                <w:color w:val="000000"/>
                <w:sz w:val="21"/>
                <w:szCs w:val="21"/>
                <w:u w:val="none"/>
                <w:lang w:val="en-US" w:eastAsia="zh-CN"/>
              </w:rPr>
              <w:br w:type="textWrapping"/>
            </w:r>
            <w:r>
              <w:rPr>
                <w:rFonts w:hint="eastAsia" w:ascii="宋体" w:hAnsi="宋体" w:eastAsia="宋体" w:cs="宋体"/>
                <w:b/>
                <w:bCs/>
                <w:i w:val="0"/>
                <w:color w:val="000000"/>
                <w:sz w:val="21"/>
                <w:szCs w:val="21"/>
                <w:u w:val="none"/>
                <w:lang w:val="en-US" w:eastAsia="zh-CN"/>
              </w:rPr>
              <w:t>（9层9站）</w:t>
            </w: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更换中间接触器</w:t>
            </w:r>
          </w:p>
        </w:tc>
        <w:tc>
          <w:tcPr>
            <w:tcW w:w="22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DC24V</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2只</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highlight w:val="none"/>
                <w:u w:val="none"/>
              </w:rPr>
            </w:pPr>
            <w:r>
              <w:rPr>
                <w:rFonts w:hint="eastAsia" w:hAnsi="宋体" w:eastAsia="宋体" w:cs="宋体"/>
                <w:i w:val="0"/>
                <w:color w:val="000000"/>
                <w:sz w:val="21"/>
                <w:szCs w:val="21"/>
                <w:highlight w:val="none"/>
                <w:u w:val="none"/>
                <w:lang w:val="en-US" w:eastAsia="zh-CN"/>
              </w:rPr>
              <w:t>触点氧化，铁芯卡阻</w:t>
            </w:r>
          </w:p>
        </w:tc>
      </w:tr>
      <w:tr>
        <w:tblPrEx>
          <w:tblCellMar>
            <w:top w:w="0" w:type="dxa"/>
            <w:left w:w="0" w:type="dxa"/>
            <w:bottom w:w="0" w:type="dxa"/>
            <w:right w:w="0" w:type="dxa"/>
          </w:tblCellMar>
        </w:tblPrEx>
        <w:trPr>
          <w:trHeight w:val="62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更换中间接触器</w:t>
            </w:r>
          </w:p>
        </w:tc>
        <w:tc>
          <w:tcPr>
            <w:tcW w:w="22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br w:type="textWrapping"/>
            </w:r>
            <w:r>
              <w:rPr>
                <w:rFonts w:hint="eastAsia" w:ascii="宋体" w:hAnsi="宋体" w:eastAsia="宋体" w:cs="宋体"/>
                <w:i w:val="0"/>
                <w:color w:val="000000"/>
                <w:sz w:val="21"/>
                <w:szCs w:val="21"/>
                <w:u w:val="none"/>
                <w:lang w:val="en-US" w:eastAsia="zh-CN"/>
              </w:rPr>
              <w:t>AC110V</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2只</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highlight w:val="none"/>
                <w:u w:val="none"/>
              </w:rPr>
            </w:pPr>
            <w:r>
              <w:rPr>
                <w:rFonts w:hint="eastAsia" w:hAnsi="宋体" w:eastAsia="宋体" w:cs="宋体"/>
                <w:i w:val="0"/>
                <w:color w:val="000000"/>
                <w:sz w:val="21"/>
                <w:szCs w:val="21"/>
                <w:highlight w:val="none"/>
                <w:u w:val="none"/>
                <w:lang w:val="en-US" w:eastAsia="zh-CN"/>
              </w:rPr>
              <w:t>触点氧化，铁芯卡阻</w:t>
            </w:r>
          </w:p>
        </w:tc>
      </w:tr>
      <w:tr>
        <w:tblPrEx>
          <w:tblCellMar>
            <w:top w:w="0" w:type="dxa"/>
            <w:left w:w="0" w:type="dxa"/>
            <w:bottom w:w="0" w:type="dxa"/>
            <w:right w:w="0" w:type="dxa"/>
          </w:tblCellMar>
        </w:tblPrEx>
        <w:trPr>
          <w:trHeight w:val="66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更换主接触器</w:t>
            </w:r>
          </w:p>
        </w:tc>
        <w:tc>
          <w:tcPr>
            <w:tcW w:w="22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br w:type="textWrapping"/>
            </w:r>
            <w:r>
              <w:rPr>
                <w:rFonts w:hint="eastAsia" w:ascii="宋体" w:hAnsi="宋体" w:eastAsia="宋体" w:cs="宋体"/>
                <w:i w:val="0"/>
                <w:color w:val="000000"/>
                <w:sz w:val="21"/>
                <w:szCs w:val="21"/>
                <w:u w:val="none"/>
                <w:lang w:val="en-US" w:eastAsia="zh-CN"/>
              </w:rPr>
              <w:t>AC110V 65A</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1只</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highlight w:val="none"/>
                <w:u w:val="none"/>
              </w:rPr>
            </w:pPr>
            <w:r>
              <w:rPr>
                <w:rFonts w:hint="eastAsia" w:hAnsi="宋体" w:eastAsia="宋体" w:cs="宋体"/>
                <w:i w:val="0"/>
                <w:color w:val="000000"/>
                <w:sz w:val="21"/>
                <w:szCs w:val="21"/>
                <w:highlight w:val="none"/>
                <w:u w:val="none"/>
                <w:lang w:val="en-US" w:eastAsia="zh-CN"/>
              </w:rPr>
              <w:t>触点氧化，铁芯卡阻</w:t>
            </w:r>
          </w:p>
        </w:tc>
      </w:tr>
      <w:tr>
        <w:tblPrEx>
          <w:tblCellMar>
            <w:top w:w="0" w:type="dxa"/>
            <w:left w:w="0" w:type="dxa"/>
            <w:bottom w:w="0" w:type="dxa"/>
            <w:right w:w="0" w:type="dxa"/>
          </w:tblCellMar>
        </w:tblPrEx>
        <w:trPr>
          <w:trHeight w:val="50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更换曳引钢丝绳</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¢12mm</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600米</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6根，100米/根</w:t>
            </w:r>
          </w:p>
        </w:tc>
      </w:tr>
      <w:tr>
        <w:tblPrEx>
          <w:tblCellMar>
            <w:top w:w="0" w:type="dxa"/>
            <w:left w:w="0" w:type="dxa"/>
            <w:bottom w:w="0" w:type="dxa"/>
            <w:right w:w="0" w:type="dxa"/>
          </w:tblCellMar>
        </w:tblPrEx>
        <w:trPr>
          <w:trHeight w:val="50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更换平层感应器</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GLS  126NT</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4只</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hAnsi="宋体" w:eastAsia="宋体" w:cs="宋体"/>
                <w:i w:val="0"/>
                <w:color w:val="000000"/>
                <w:sz w:val="21"/>
                <w:szCs w:val="21"/>
                <w:u w:val="none"/>
                <w:lang w:val="en-US" w:eastAsia="zh-CN"/>
              </w:rPr>
              <w:t>元器件老化，动作不灵敏</w:t>
            </w:r>
          </w:p>
        </w:tc>
      </w:tr>
      <w:tr>
        <w:tblPrEx>
          <w:tblCellMar>
            <w:top w:w="0" w:type="dxa"/>
            <w:left w:w="0" w:type="dxa"/>
            <w:bottom w:w="0" w:type="dxa"/>
            <w:right w:w="0" w:type="dxa"/>
          </w:tblCellMar>
        </w:tblPrEx>
        <w:trPr>
          <w:trHeight w:val="50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更换层门锁触点</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奥的斯原装</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9副</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9层，1层1副</w:t>
            </w:r>
          </w:p>
        </w:tc>
      </w:tr>
      <w:tr>
        <w:tblPrEx>
          <w:tblCellMar>
            <w:top w:w="0" w:type="dxa"/>
            <w:left w:w="0" w:type="dxa"/>
            <w:bottom w:w="0" w:type="dxa"/>
            <w:right w:w="0" w:type="dxa"/>
          </w:tblCellMar>
        </w:tblPrEx>
        <w:trPr>
          <w:trHeight w:val="58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制动器深度保养</w:t>
            </w:r>
            <w:r>
              <w:rPr>
                <w:rFonts w:hint="eastAsia" w:ascii="宋体" w:hAnsi="宋体" w:eastAsia="宋体" w:cs="宋体"/>
                <w:i w:val="0"/>
                <w:color w:val="000000"/>
                <w:sz w:val="21"/>
                <w:szCs w:val="21"/>
                <w:u w:val="none"/>
                <w:lang w:val="en-US" w:eastAsia="zh-CN"/>
              </w:rPr>
              <w:br w:type="textWrapping"/>
            </w:r>
            <w:r>
              <w:rPr>
                <w:rFonts w:hint="eastAsia" w:ascii="宋体" w:hAnsi="宋体" w:eastAsia="宋体" w:cs="宋体"/>
                <w:i w:val="0"/>
                <w:color w:val="000000"/>
                <w:sz w:val="21"/>
                <w:szCs w:val="21"/>
                <w:u w:val="none"/>
                <w:lang w:val="en-US" w:eastAsia="zh-CN"/>
              </w:rPr>
              <w:t>及精度加工</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DAA330L2</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1台</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1台电梯1台制动器</w:t>
            </w:r>
          </w:p>
        </w:tc>
      </w:tr>
      <w:tr>
        <w:tblPrEx>
          <w:tblCellMar>
            <w:top w:w="0" w:type="dxa"/>
            <w:left w:w="0" w:type="dxa"/>
            <w:bottom w:w="0" w:type="dxa"/>
            <w:right w:w="0" w:type="dxa"/>
          </w:tblCellMar>
        </w:tblPrEx>
        <w:trPr>
          <w:trHeight w:val="56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层门门滑轨防锈处理</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9层</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锈蚀严重</w:t>
            </w:r>
          </w:p>
        </w:tc>
      </w:tr>
      <w:tr>
        <w:tblPrEx>
          <w:tblCellMar>
            <w:top w:w="0" w:type="dxa"/>
            <w:left w:w="0" w:type="dxa"/>
            <w:bottom w:w="0" w:type="dxa"/>
            <w:right w:w="0" w:type="dxa"/>
          </w:tblCellMar>
        </w:tblPrEx>
        <w:trPr>
          <w:trHeight w:val="56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更换轿门锁装置</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奥的斯原装</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1套</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宋体" w:hAnsi="宋体" w:eastAsia="宋体" w:cs="宋体"/>
                <w:i w:val="0"/>
                <w:color w:val="000000"/>
                <w:sz w:val="21"/>
                <w:szCs w:val="21"/>
                <w:u w:val="none"/>
                <w:lang w:val="en-US"/>
              </w:rPr>
            </w:pPr>
            <w:r>
              <w:rPr>
                <w:rFonts w:hint="eastAsia" w:hAnsi="宋体" w:eastAsia="宋体" w:cs="宋体"/>
                <w:i w:val="0"/>
                <w:color w:val="000000"/>
                <w:sz w:val="24"/>
                <w:szCs w:val="24"/>
                <w:highlight w:val="none"/>
                <w:u w:val="none"/>
                <w:lang w:val="en-US" w:eastAsia="zh-CN"/>
              </w:rPr>
              <w:t>磨损</w:t>
            </w:r>
            <w:r>
              <w:rPr>
                <w:rFonts w:hint="eastAsia" w:ascii="宋体" w:hAnsi="宋体" w:eastAsia="宋体" w:cs="宋体"/>
                <w:i w:val="0"/>
                <w:color w:val="000000"/>
                <w:sz w:val="24"/>
                <w:szCs w:val="24"/>
                <w:highlight w:val="none"/>
                <w:u w:val="none"/>
                <w:lang w:val="en-US" w:eastAsia="zh-CN"/>
              </w:rPr>
              <w:t>严重</w:t>
            </w:r>
            <w:r>
              <w:rPr>
                <w:rFonts w:hint="eastAsia" w:hAnsi="宋体" w:eastAsia="宋体" w:cs="宋体"/>
                <w:i w:val="0"/>
                <w:color w:val="000000"/>
                <w:sz w:val="24"/>
                <w:szCs w:val="24"/>
                <w:highlight w:val="none"/>
                <w:u w:val="none"/>
                <w:lang w:val="en-US" w:eastAsia="zh-CN"/>
              </w:rPr>
              <w:t>，吻合不严实</w:t>
            </w:r>
          </w:p>
        </w:tc>
      </w:tr>
      <w:tr>
        <w:tblPrEx>
          <w:tblCellMar>
            <w:top w:w="0" w:type="dxa"/>
            <w:left w:w="0" w:type="dxa"/>
            <w:bottom w:w="0" w:type="dxa"/>
            <w:right w:w="0" w:type="dxa"/>
          </w:tblCellMar>
        </w:tblPrEx>
        <w:trPr>
          <w:trHeight w:val="560" w:hRule="atLeast"/>
        </w:trPr>
        <w:tc>
          <w:tcPr>
            <w:tcW w:w="581"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更换IC卡控制系统</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HLC-DTWH-01</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1套</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含100张IC卡</w:t>
            </w:r>
          </w:p>
        </w:tc>
      </w:tr>
      <w:tr>
        <w:tblPrEx>
          <w:tblCellMar>
            <w:top w:w="0" w:type="dxa"/>
            <w:left w:w="0" w:type="dxa"/>
            <w:bottom w:w="0" w:type="dxa"/>
            <w:right w:w="0" w:type="dxa"/>
          </w:tblCellMar>
        </w:tblPrEx>
        <w:trPr>
          <w:trHeight w:val="620" w:hRule="atLeast"/>
        </w:trPr>
        <w:tc>
          <w:tcPr>
            <w:tcW w:w="581"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8</w:t>
            </w:r>
          </w:p>
        </w:tc>
        <w:tc>
          <w:tcPr>
            <w:tcW w:w="136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sz w:val="21"/>
                <w:szCs w:val="21"/>
                <w:u w:val="none"/>
                <w:lang w:val="en-US" w:eastAsia="zh-CN"/>
              </w:rPr>
              <w:t>住院部4号电梯</w:t>
            </w:r>
            <w:r>
              <w:rPr>
                <w:rFonts w:hint="eastAsia" w:ascii="宋体" w:hAnsi="宋体" w:eastAsia="宋体" w:cs="宋体"/>
                <w:b/>
                <w:bCs/>
                <w:i w:val="0"/>
                <w:color w:val="000000"/>
                <w:sz w:val="21"/>
                <w:szCs w:val="21"/>
                <w:u w:val="none"/>
                <w:lang w:val="en-US" w:eastAsia="zh-CN"/>
              </w:rPr>
              <w:br w:type="textWrapping"/>
            </w:r>
            <w:r>
              <w:rPr>
                <w:rFonts w:hint="eastAsia" w:ascii="宋体" w:hAnsi="宋体" w:eastAsia="宋体" w:cs="宋体"/>
                <w:b/>
                <w:bCs/>
                <w:i w:val="0"/>
                <w:color w:val="000000"/>
                <w:sz w:val="21"/>
                <w:szCs w:val="21"/>
                <w:u w:val="none"/>
                <w:lang w:val="en-US" w:eastAsia="zh-CN"/>
              </w:rPr>
              <w:t>(9层9站）</w:t>
            </w: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更换中间接触器</w:t>
            </w:r>
          </w:p>
        </w:tc>
        <w:tc>
          <w:tcPr>
            <w:tcW w:w="22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DC24V</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2只</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highlight w:val="none"/>
                <w:u w:val="none"/>
              </w:rPr>
            </w:pPr>
            <w:r>
              <w:rPr>
                <w:rFonts w:hint="eastAsia" w:hAnsi="宋体" w:eastAsia="宋体" w:cs="宋体"/>
                <w:i w:val="0"/>
                <w:color w:val="000000"/>
                <w:sz w:val="21"/>
                <w:szCs w:val="21"/>
                <w:highlight w:val="none"/>
                <w:u w:val="none"/>
                <w:lang w:val="en-US" w:eastAsia="zh-CN"/>
              </w:rPr>
              <w:t>触点氧化，铁芯卡阻</w:t>
            </w:r>
          </w:p>
        </w:tc>
      </w:tr>
      <w:tr>
        <w:tblPrEx>
          <w:tblCellMar>
            <w:top w:w="0" w:type="dxa"/>
            <w:left w:w="0" w:type="dxa"/>
            <w:bottom w:w="0" w:type="dxa"/>
            <w:right w:w="0" w:type="dxa"/>
          </w:tblCellMar>
        </w:tblPrEx>
        <w:trPr>
          <w:trHeight w:val="62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更换中间接触器</w:t>
            </w:r>
          </w:p>
        </w:tc>
        <w:tc>
          <w:tcPr>
            <w:tcW w:w="22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AC110V</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2只</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highlight w:val="none"/>
                <w:u w:val="none"/>
              </w:rPr>
            </w:pPr>
            <w:r>
              <w:rPr>
                <w:rFonts w:hint="eastAsia" w:hAnsi="宋体" w:eastAsia="宋体" w:cs="宋体"/>
                <w:i w:val="0"/>
                <w:color w:val="000000"/>
                <w:sz w:val="21"/>
                <w:szCs w:val="21"/>
                <w:highlight w:val="none"/>
                <w:u w:val="none"/>
                <w:lang w:val="en-US" w:eastAsia="zh-CN"/>
              </w:rPr>
              <w:t>触点氧化，铁芯卡阻</w:t>
            </w:r>
          </w:p>
        </w:tc>
      </w:tr>
      <w:tr>
        <w:tblPrEx>
          <w:tblCellMar>
            <w:top w:w="0" w:type="dxa"/>
            <w:left w:w="0" w:type="dxa"/>
            <w:bottom w:w="0" w:type="dxa"/>
            <w:right w:w="0" w:type="dxa"/>
          </w:tblCellMar>
        </w:tblPrEx>
        <w:trPr>
          <w:trHeight w:val="62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更换主接触器</w:t>
            </w:r>
          </w:p>
        </w:tc>
        <w:tc>
          <w:tcPr>
            <w:tcW w:w="22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br w:type="textWrapping"/>
            </w:r>
            <w:r>
              <w:rPr>
                <w:rFonts w:hint="eastAsia" w:ascii="宋体" w:hAnsi="宋体" w:eastAsia="宋体" w:cs="宋体"/>
                <w:i w:val="0"/>
                <w:color w:val="000000"/>
                <w:sz w:val="21"/>
                <w:szCs w:val="21"/>
                <w:u w:val="none"/>
                <w:lang w:val="en-US" w:eastAsia="zh-CN"/>
              </w:rPr>
              <w:t>AC110V 65A</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1只</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highlight w:val="none"/>
                <w:u w:val="none"/>
              </w:rPr>
            </w:pPr>
            <w:r>
              <w:rPr>
                <w:rFonts w:hint="eastAsia" w:hAnsi="宋体" w:eastAsia="宋体" w:cs="宋体"/>
                <w:i w:val="0"/>
                <w:color w:val="000000"/>
                <w:sz w:val="21"/>
                <w:szCs w:val="21"/>
                <w:highlight w:val="none"/>
                <w:u w:val="none"/>
                <w:lang w:val="en-US" w:eastAsia="zh-CN"/>
              </w:rPr>
              <w:t>触点氧化，铁芯卡阻</w:t>
            </w:r>
          </w:p>
        </w:tc>
      </w:tr>
      <w:tr>
        <w:tblPrEx>
          <w:tblCellMar>
            <w:top w:w="0" w:type="dxa"/>
            <w:left w:w="0" w:type="dxa"/>
            <w:bottom w:w="0" w:type="dxa"/>
            <w:right w:w="0" w:type="dxa"/>
          </w:tblCellMar>
        </w:tblPrEx>
        <w:trPr>
          <w:trHeight w:val="50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更换曳引钢丝绳</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¢12mm</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600米</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6根，100米/根</w:t>
            </w:r>
          </w:p>
        </w:tc>
      </w:tr>
      <w:tr>
        <w:tblPrEx>
          <w:tblCellMar>
            <w:top w:w="0" w:type="dxa"/>
            <w:left w:w="0" w:type="dxa"/>
            <w:bottom w:w="0" w:type="dxa"/>
            <w:right w:w="0" w:type="dxa"/>
          </w:tblCellMar>
        </w:tblPrEx>
        <w:trPr>
          <w:trHeight w:val="50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更换平层感应器</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GLS  126NT</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4只</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hAnsi="宋体" w:eastAsia="宋体" w:cs="宋体"/>
                <w:i w:val="0"/>
                <w:color w:val="000000"/>
                <w:sz w:val="21"/>
                <w:szCs w:val="21"/>
                <w:u w:val="none"/>
                <w:lang w:val="en-US" w:eastAsia="zh-CN"/>
              </w:rPr>
              <w:t>元器件老化，动作不灵敏</w:t>
            </w:r>
          </w:p>
        </w:tc>
      </w:tr>
      <w:tr>
        <w:tblPrEx>
          <w:tblCellMar>
            <w:top w:w="0" w:type="dxa"/>
            <w:left w:w="0" w:type="dxa"/>
            <w:bottom w:w="0" w:type="dxa"/>
            <w:right w:w="0" w:type="dxa"/>
          </w:tblCellMar>
        </w:tblPrEx>
        <w:trPr>
          <w:trHeight w:val="50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更换层门锁触点</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奥的斯原装</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9副</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9层，1层1副</w:t>
            </w:r>
          </w:p>
        </w:tc>
      </w:tr>
      <w:tr>
        <w:tblPrEx>
          <w:tblCellMar>
            <w:top w:w="0" w:type="dxa"/>
            <w:left w:w="0" w:type="dxa"/>
            <w:bottom w:w="0" w:type="dxa"/>
            <w:right w:w="0" w:type="dxa"/>
          </w:tblCellMar>
        </w:tblPrEx>
        <w:trPr>
          <w:trHeight w:val="62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制动器深度保养</w:t>
            </w:r>
            <w:r>
              <w:rPr>
                <w:rFonts w:hint="eastAsia" w:ascii="宋体" w:hAnsi="宋体" w:eastAsia="宋体" w:cs="宋体"/>
                <w:i w:val="0"/>
                <w:color w:val="000000"/>
                <w:sz w:val="21"/>
                <w:szCs w:val="21"/>
                <w:u w:val="none"/>
                <w:lang w:val="en-US" w:eastAsia="zh-CN"/>
              </w:rPr>
              <w:br w:type="textWrapping"/>
            </w:r>
            <w:r>
              <w:rPr>
                <w:rFonts w:hint="eastAsia" w:ascii="宋体" w:hAnsi="宋体" w:eastAsia="宋体" w:cs="宋体"/>
                <w:i w:val="0"/>
                <w:color w:val="000000"/>
                <w:sz w:val="21"/>
                <w:szCs w:val="21"/>
                <w:u w:val="none"/>
                <w:lang w:val="en-US" w:eastAsia="zh-CN"/>
              </w:rPr>
              <w:t>及精度加工</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DAA330L2</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1台</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1台电梯1台制动器</w:t>
            </w:r>
          </w:p>
        </w:tc>
      </w:tr>
      <w:tr>
        <w:tblPrEx>
          <w:tblCellMar>
            <w:top w:w="0" w:type="dxa"/>
            <w:left w:w="0" w:type="dxa"/>
            <w:bottom w:w="0" w:type="dxa"/>
            <w:right w:w="0" w:type="dxa"/>
          </w:tblCellMar>
        </w:tblPrEx>
        <w:trPr>
          <w:trHeight w:val="60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层门门滑轨防锈处理</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9层</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锈蚀严重</w:t>
            </w:r>
          </w:p>
        </w:tc>
      </w:tr>
      <w:tr>
        <w:tblPrEx>
          <w:tblCellMar>
            <w:top w:w="0" w:type="dxa"/>
            <w:left w:w="0" w:type="dxa"/>
            <w:bottom w:w="0" w:type="dxa"/>
            <w:right w:w="0" w:type="dxa"/>
          </w:tblCellMar>
        </w:tblPrEx>
        <w:trPr>
          <w:trHeight w:val="50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更换轿门锁装置</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奥的斯原装</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1套</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宋体" w:hAnsi="宋体" w:eastAsia="宋体" w:cs="宋体"/>
                <w:i w:val="0"/>
                <w:color w:val="000000"/>
                <w:sz w:val="21"/>
                <w:szCs w:val="21"/>
                <w:u w:val="none"/>
                <w:lang w:val="en-US" w:eastAsia="zh-CN"/>
              </w:rPr>
            </w:pPr>
            <w:r>
              <w:rPr>
                <w:rFonts w:hint="eastAsia" w:hAnsi="宋体" w:eastAsia="宋体" w:cs="宋体"/>
                <w:i w:val="0"/>
                <w:color w:val="000000"/>
                <w:sz w:val="21"/>
                <w:szCs w:val="21"/>
                <w:u w:val="none"/>
                <w:lang w:val="en-US" w:eastAsia="zh-CN"/>
              </w:rPr>
              <w:t>磨损严重，吻合不严实</w:t>
            </w:r>
          </w:p>
        </w:tc>
      </w:tr>
      <w:tr>
        <w:tblPrEx>
          <w:tblCellMar>
            <w:top w:w="0" w:type="dxa"/>
            <w:left w:w="0" w:type="dxa"/>
            <w:bottom w:w="0" w:type="dxa"/>
            <w:right w:w="0" w:type="dxa"/>
          </w:tblCellMar>
        </w:tblPrEx>
        <w:trPr>
          <w:trHeight w:val="540" w:hRule="atLeast"/>
        </w:trPr>
        <w:tc>
          <w:tcPr>
            <w:tcW w:w="581"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更换变频器驱动板</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奥的斯原装</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1张</w:t>
            </w:r>
          </w:p>
        </w:tc>
        <w:tc>
          <w:tcPr>
            <w:tcW w:w="2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已多次维修，</w:t>
            </w:r>
            <w:r>
              <w:rPr>
                <w:rFonts w:hint="eastAsia" w:ascii="宋体" w:hAnsi="宋体" w:eastAsia="宋体" w:cs="宋体"/>
                <w:i w:val="0"/>
                <w:color w:val="000000"/>
                <w:sz w:val="21"/>
                <w:szCs w:val="21"/>
                <w:u w:val="none"/>
                <w:lang w:val="en-US" w:eastAsia="zh-CN"/>
              </w:rPr>
              <w:br w:type="textWrapping"/>
            </w:r>
            <w:r>
              <w:rPr>
                <w:rFonts w:hint="eastAsia" w:ascii="宋体" w:hAnsi="宋体" w:eastAsia="宋体" w:cs="宋体"/>
                <w:i w:val="0"/>
                <w:color w:val="000000"/>
                <w:sz w:val="21"/>
                <w:szCs w:val="21"/>
                <w:u w:val="none"/>
                <w:lang w:val="en-US" w:eastAsia="zh-CN"/>
              </w:rPr>
              <w:t>工作不稳定</w:t>
            </w:r>
          </w:p>
        </w:tc>
      </w:tr>
      <w:tr>
        <w:tblPrEx>
          <w:tblCellMar>
            <w:top w:w="0" w:type="dxa"/>
            <w:left w:w="0" w:type="dxa"/>
            <w:bottom w:w="0" w:type="dxa"/>
            <w:right w:w="0" w:type="dxa"/>
          </w:tblCellMar>
        </w:tblPrEx>
        <w:trPr>
          <w:trHeight w:val="620" w:hRule="atLeast"/>
        </w:trPr>
        <w:tc>
          <w:tcPr>
            <w:tcW w:w="581"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9</w:t>
            </w:r>
          </w:p>
        </w:tc>
        <w:tc>
          <w:tcPr>
            <w:tcW w:w="136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sz w:val="21"/>
                <w:szCs w:val="21"/>
                <w:u w:val="none"/>
                <w:lang w:val="en-US" w:eastAsia="zh-CN"/>
              </w:rPr>
              <w:t>住院部5号电梯</w:t>
            </w:r>
            <w:r>
              <w:rPr>
                <w:rFonts w:hint="eastAsia" w:ascii="宋体" w:hAnsi="宋体" w:eastAsia="宋体" w:cs="宋体"/>
                <w:b/>
                <w:bCs/>
                <w:i w:val="0"/>
                <w:color w:val="000000"/>
                <w:sz w:val="21"/>
                <w:szCs w:val="21"/>
                <w:u w:val="none"/>
                <w:lang w:val="en-US" w:eastAsia="zh-CN"/>
              </w:rPr>
              <w:br w:type="textWrapping"/>
            </w:r>
            <w:r>
              <w:rPr>
                <w:rFonts w:hint="eastAsia" w:ascii="宋体" w:hAnsi="宋体" w:eastAsia="宋体" w:cs="宋体"/>
                <w:b/>
                <w:bCs/>
                <w:i w:val="0"/>
                <w:color w:val="000000"/>
                <w:sz w:val="21"/>
                <w:szCs w:val="21"/>
                <w:u w:val="none"/>
                <w:lang w:val="en-US" w:eastAsia="zh-CN"/>
              </w:rPr>
              <w:t>（9层9站）</w:t>
            </w: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更换中间接触器</w:t>
            </w:r>
          </w:p>
        </w:tc>
        <w:tc>
          <w:tcPr>
            <w:tcW w:w="22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DC24V</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2只</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highlight w:val="none"/>
                <w:u w:val="none"/>
              </w:rPr>
            </w:pPr>
            <w:r>
              <w:rPr>
                <w:rFonts w:hint="eastAsia" w:hAnsi="宋体" w:eastAsia="宋体" w:cs="宋体"/>
                <w:i w:val="0"/>
                <w:color w:val="000000"/>
                <w:sz w:val="21"/>
                <w:szCs w:val="21"/>
                <w:highlight w:val="none"/>
                <w:u w:val="none"/>
                <w:lang w:val="en-US" w:eastAsia="zh-CN"/>
              </w:rPr>
              <w:t>触点氧化，铁芯卡阻</w:t>
            </w:r>
          </w:p>
        </w:tc>
      </w:tr>
      <w:tr>
        <w:tblPrEx>
          <w:tblCellMar>
            <w:top w:w="0" w:type="dxa"/>
            <w:left w:w="0" w:type="dxa"/>
            <w:bottom w:w="0" w:type="dxa"/>
            <w:right w:w="0" w:type="dxa"/>
          </w:tblCellMar>
        </w:tblPrEx>
        <w:trPr>
          <w:trHeight w:val="635"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更换中间接触器</w:t>
            </w:r>
          </w:p>
        </w:tc>
        <w:tc>
          <w:tcPr>
            <w:tcW w:w="22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AC110V</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2只</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highlight w:val="none"/>
                <w:u w:val="none"/>
              </w:rPr>
            </w:pPr>
            <w:r>
              <w:rPr>
                <w:rFonts w:hint="eastAsia" w:hAnsi="宋体" w:eastAsia="宋体" w:cs="宋体"/>
                <w:i w:val="0"/>
                <w:color w:val="000000"/>
                <w:sz w:val="21"/>
                <w:szCs w:val="21"/>
                <w:highlight w:val="none"/>
                <w:u w:val="none"/>
                <w:lang w:val="en-US" w:eastAsia="zh-CN"/>
              </w:rPr>
              <w:t>触点氧化，铁芯卡阻</w:t>
            </w:r>
          </w:p>
        </w:tc>
      </w:tr>
      <w:tr>
        <w:tblPrEx>
          <w:tblCellMar>
            <w:top w:w="0" w:type="dxa"/>
            <w:left w:w="0" w:type="dxa"/>
            <w:bottom w:w="0" w:type="dxa"/>
            <w:right w:w="0" w:type="dxa"/>
          </w:tblCellMar>
        </w:tblPrEx>
        <w:trPr>
          <w:trHeight w:val="62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更换主接触器</w:t>
            </w:r>
          </w:p>
        </w:tc>
        <w:tc>
          <w:tcPr>
            <w:tcW w:w="22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AC110V 65A</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1只</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highlight w:val="none"/>
                <w:u w:val="none"/>
              </w:rPr>
            </w:pPr>
            <w:r>
              <w:rPr>
                <w:rFonts w:hint="eastAsia" w:hAnsi="宋体" w:eastAsia="宋体" w:cs="宋体"/>
                <w:i w:val="0"/>
                <w:color w:val="000000"/>
                <w:sz w:val="21"/>
                <w:szCs w:val="21"/>
                <w:highlight w:val="none"/>
                <w:u w:val="none"/>
                <w:lang w:val="en-US" w:eastAsia="zh-CN"/>
              </w:rPr>
              <w:t>触点氧化，铁芯卡阻</w:t>
            </w:r>
          </w:p>
        </w:tc>
      </w:tr>
      <w:tr>
        <w:tblPrEx>
          <w:tblCellMar>
            <w:top w:w="0" w:type="dxa"/>
            <w:left w:w="0" w:type="dxa"/>
            <w:bottom w:w="0" w:type="dxa"/>
            <w:right w:w="0" w:type="dxa"/>
          </w:tblCellMar>
        </w:tblPrEx>
        <w:trPr>
          <w:trHeight w:val="50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更换曳引钢丝绳</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¢12mm</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600米</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6根，100米/根</w:t>
            </w:r>
          </w:p>
        </w:tc>
      </w:tr>
      <w:tr>
        <w:tblPrEx>
          <w:tblCellMar>
            <w:top w:w="0" w:type="dxa"/>
            <w:left w:w="0" w:type="dxa"/>
            <w:bottom w:w="0" w:type="dxa"/>
            <w:right w:w="0" w:type="dxa"/>
          </w:tblCellMar>
        </w:tblPrEx>
        <w:trPr>
          <w:trHeight w:val="50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更换平层感应器</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GLS  126NT</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4只</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hAnsi="宋体" w:eastAsia="宋体" w:cs="宋体"/>
                <w:i w:val="0"/>
                <w:color w:val="000000"/>
                <w:sz w:val="21"/>
                <w:szCs w:val="21"/>
                <w:u w:val="none"/>
                <w:lang w:val="en-US" w:eastAsia="zh-CN"/>
              </w:rPr>
              <w:t>元器件老化，动作不灵敏</w:t>
            </w:r>
          </w:p>
        </w:tc>
      </w:tr>
      <w:tr>
        <w:tblPrEx>
          <w:tblCellMar>
            <w:top w:w="0" w:type="dxa"/>
            <w:left w:w="0" w:type="dxa"/>
            <w:bottom w:w="0" w:type="dxa"/>
            <w:right w:w="0" w:type="dxa"/>
          </w:tblCellMar>
        </w:tblPrEx>
        <w:trPr>
          <w:trHeight w:val="50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更换层门锁触点</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奥的斯原装</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9副</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9层，1层1副</w:t>
            </w:r>
          </w:p>
        </w:tc>
      </w:tr>
      <w:tr>
        <w:tblPrEx>
          <w:tblCellMar>
            <w:top w:w="0" w:type="dxa"/>
            <w:left w:w="0" w:type="dxa"/>
            <w:bottom w:w="0" w:type="dxa"/>
            <w:right w:w="0" w:type="dxa"/>
          </w:tblCellMar>
        </w:tblPrEx>
        <w:trPr>
          <w:trHeight w:val="54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制动器深度保养</w:t>
            </w:r>
            <w:r>
              <w:rPr>
                <w:rFonts w:hint="eastAsia" w:ascii="宋体" w:hAnsi="宋体" w:eastAsia="宋体" w:cs="宋体"/>
                <w:i w:val="0"/>
                <w:color w:val="000000"/>
                <w:sz w:val="21"/>
                <w:szCs w:val="21"/>
                <w:u w:val="none"/>
                <w:lang w:val="en-US" w:eastAsia="zh-CN"/>
              </w:rPr>
              <w:br w:type="textWrapping"/>
            </w:r>
            <w:r>
              <w:rPr>
                <w:rFonts w:hint="eastAsia" w:ascii="宋体" w:hAnsi="宋体" w:eastAsia="宋体" w:cs="宋体"/>
                <w:i w:val="0"/>
                <w:color w:val="000000"/>
                <w:sz w:val="21"/>
                <w:szCs w:val="21"/>
                <w:u w:val="none"/>
                <w:lang w:val="en-US" w:eastAsia="zh-CN"/>
              </w:rPr>
              <w:t>及精度加工</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DAA330L2</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1台</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1台电梯1台制动器</w:t>
            </w:r>
          </w:p>
        </w:tc>
      </w:tr>
      <w:tr>
        <w:tblPrEx>
          <w:tblCellMar>
            <w:top w:w="0" w:type="dxa"/>
            <w:left w:w="0" w:type="dxa"/>
            <w:bottom w:w="0" w:type="dxa"/>
            <w:right w:w="0" w:type="dxa"/>
          </w:tblCellMar>
        </w:tblPrEx>
        <w:trPr>
          <w:trHeight w:val="600" w:hRule="atLeast"/>
        </w:trPr>
        <w:tc>
          <w:tcPr>
            <w:tcW w:w="581"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层门门滑轨防锈处理</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9层</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锈蚀严重</w:t>
            </w:r>
          </w:p>
        </w:tc>
      </w:tr>
      <w:tr>
        <w:tblPrEx>
          <w:tblCellMar>
            <w:top w:w="0" w:type="dxa"/>
            <w:left w:w="0" w:type="dxa"/>
            <w:bottom w:w="0" w:type="dxa"/>
            <w:right w:w="0" w:type="dxa"/>
          </w:tblCellMar>
        </w:tblPrEx>
        <w:trPr>
          <w:trHeight w:val="660" w:hRule="atLeast"/>
        </w:trPr>
        <w:tc>
          <w:tcPr>
            <w:tcW w:w="581"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10</w:t>
            </w:r>
          </w:p>
        </w:tc>
        <w:tc>
          <w:tcPr>
            <w:tcW w:w="136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sz w:val="21"/>
                <w:szCs w:val="21"/>
                <w:u w:val="none"/>
                <w:lang w:val="en-US" w:eastAsia="zh-CN"/>
              </w:rPr>
              <w:t>住院部7号电梯</w:t>
            </w:r>
            <w:r>
              <w:rPr>
                <w:rFonts w:hint="eastAsia" w:ascii="宋体" w:hAnsi="宋体" w:eastAsia="宋体" w:cs="宋体"/>
                <w:b/>
                <w:bCs/>
                <w:i w:val="0"/>
                <w:color w:val="000000"/>
                <w:sz w:val="21"/>
                <w:szCs w:val="21"/>
                <w:u w:val="none"/>
                <w:lang w:val="en-US" w:eastAsia="zh-CN"/>
              </w:rPr>
              <w:br w:type="textWrapping"/>
            </w:r>
            <w:r>
              <w:rPr>
                <w:rFonts w:hint="eastAsia" w:ascii="宋体" w:hAnsi="宋体" w:eastAsia="宋体" w:cs="宋体"/>
                <w:b/>
                <w:bCs/>
                <w:i w:val="0"/>
                <w:color w:val="000000"/>
                <w:sz w:val="21"/>
                <w:szCs w:val="21"/>
                <w:u w:val="none"/>
                <w:lang w:val="en-US" w:eastAsia="zh-CN"/>
              </w:rPr>
              <w:t>（1 0层9站）</w:t>
            </w: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更换中间接触器</w:t>
            </w:r>
          </w:p>
        </w:tc>
        <w:tc>
          <w:tcPr>
            <w:tcW w:w="22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DC24V</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2只</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highlight w:val="none"/>
                <w:u w:val="none"/>
              </w:rPr>
            </w:pPr>
            <w:r>
              <w:rPr>
                <w:rFonts w:hint="eastAsia" w:hAnsi="宋体" w:eastAsia="宋体" w:cs="宋体"/>
                <w:i w:val="0"/>
                <w:color w:val="000000"/>
                <w:sz w:val="21"/>
                <w:szCs w:val="21"/>
                <w:highlight w:val="none"/>
                <w:u w:val="none"/>
                <w:lang w:val="en-US" w:eastAsia="zh-CN"/>
              </w:rPr>
              <w:t>触点氧化，铁芯卡阻</w:t>
            </w:r>
          </w:p>
        </w:tc>
      </w:tr>
      <w:tr>
        <w:tblPrEx>
          <w:tblCellMar>
            <w:top w:w="0" w:type="dxa"/>
            <w:left w:w="0" w:type="dxa"/>
            <w:bottom w:w="0" w:type="dxa"/>
            <w:right w:w="0" w:type="dxa"/>
          </w:tblCellMar>
        </w:tblPrEx>
        <w:trPr>
          <w:trHeight w:val="66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更换中间接触器</w:t>
            </w:r>
          </w:p>
        </w:tc>
        <w:tc>
          <w:tcPr>
            <w:tcW w:w="22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AC110V</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2只</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highlight w:val="none"/>
                <w:u w:val="none"/>
              </w:rPr>
            </w:pPr>
            <w:r>
              <w:rPr>
                <w:rFonts w:hint="eastAsia" w:hAnsi="宋体" w:eastAsia="宋体" w:cs="宋体"/>
                <w:i w:val="0"/>
                <w:color w:val="000000"/>
                <w:sz w:val="21"/>
                <w:szCs w:val="21"/>
                <w:highlight w:val="none"/>
                <w:u w:val="none"/>
                <w:lang w:val="en-US" w:eastAsia="zh-CN"/>
              </w:rPr>
              <w:t>触点氧化，铁芯卡阻</w:t>
            </w:r>
          </w:p>
        </w:tc>
      </w:tr>
      <w:tr>
        <w:tblPrEx>
          <w:tblCellMar>
            <w:top w:w="0" w:type="dxa"/>
            <w:left w:w="0" w:type="dxa"/>
            <w:bottom w:w="0" w:type="dxa"/>
            <w:right w:w="0" w:type="dxa"/>
          </w:tblCellMar>
        </w:tblPrEx>
        <w:trPr>
          <w:trHeight w:val="74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更换主接触器</w:t>
            </w:r>
          </w:p>
        </w:tc>
        <w:tc>
          <w:tcPr>
            <w:tcW w:w="22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AC110V 65A</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1只</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highlight w:val="none"/>
                <w:u w:val="none"/>
              </w:rPr>
            </w:pPr>
            <w:r>
              <w:rPr>
                <w:rFonts w:hint="eastAsia" w:hAnsi="宋体" w:eastAsia="宋体" w:cs="宋体"/>
                <w:i w:val="0"/>
                <w:color w:val="000000"/>
                <w:sz w:val="21"/>
                <w:szCs w:val="21"/>
                <w:highlight w:val="none"/>
                <w:u w:val="none"/>
                <w:lang w:val="en-US" w:eastAsia="zh-CN"/>
              </w:rPr>
              <w:t>触点氧化，铁芯卡阻</w:t>
            </w:r>
          </w:p>
        </w:tc>
      </w:tr>
      <w:tr>
        <w:tblPrEx>
          <w:tblCellMar>
            <w:top w:w="0" w:type="dxa"/>
            <w:left w:w="0" w:type="dxa"/>
            <w:bottom w:w="0" w:type="dxa"/>
            <w:right w:w="0" w:type="dxa"/>
          </w:tblCellMar>
        </w:tblPrEx>
        <w:trPr>
          <w:trHeight w:val="50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更换曳引钢丝绳</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¢12mm</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660米</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6根，110米/根</w:t>
            </w:r>
          </w:p>
        </w:tc>
      </w:tr>
      <w:tr>
        <w:tblPrEx>
          <w:tblCellMar>
            <w:top w:w="0" w:type="dxa"/>
            <w:left w:w="0" w:type="dxa"/>
            <w:bottom w:w="0" w:type="dxa"/>
            <w:right w:w="0" w:type="dxa"/>
          </w:tblCellMar>
        </w:tblPrEx>
        <w:trPr>
          <w:trHeight w:val="50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更换平层感应器</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GLS  126NT</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4只</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hAnsi="宋体" w:eastAsia="宋体" w:cs="宋体"/>
                <w:i w:val="0"/>
                <w:color w:val="000000"/>
                <w:sz w:val="21"/>
                <w:szCs w:val="21"/>
                <w:u w:val="none"/>
                <w:lang w:val="en-US" w:eastAsia="zh-CN"/>
              </w:rPr>
              <w:t>元器件老化，动作不灵敏</w:t>
            </w:r>
          </w:p>
        </w:tc>
      </w:tr>
      <w:tr>
        <w:tblPrEx>
          <w:tblCellMar>
            <w:top w:w="0" w:type="dxa"/>
            <w:left w:w="0" w:type="dxa"/>
            <w:bottom w:w="0" w:type="dxa"/>
            <w:right w:w="0" w:type="dxa"/>
          </w:tblCellMar>
        </w:tblPrEx>
        <w:trPr>
          <w:trHeight w:val="50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更换层门锁触点</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奥的斯原装</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9副</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9层，1层1副</w:t>
            </w:r>
          </w:p>
        </w:tc>
      </w:tr>
      <w:tr>
        <w:tblPrEx>
          <w:tblCellMar>
            <w:top w:w="0" w:type="dxa"/>
            <w:left w:w="0" w:type="dxa"/>
            <w:bottom w:w="0" w:type="dxa"/>
            <w:right w:w="0" w:type="dxa"/>
          </w:tblCellMar>
        </w:tblPrEx>
        <w:trPr>
          <w:trHeight w:val="56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制动器深度保养</w:t>
            </w:r>
            <w:r>
              <w:rPr>
                <w:rFonts w:hint="eastAsia" w:ascii="宋体" w:hAnsi="宋体" w:eastAsia="宋体" w:cs="宋体"/>
                <w:i w:val="0"/>
                <w:color w:val="000000"/>
                <w:sz w:val="21"/>
                <w:szCs w:val="21"/>
                <w:u w:val="none"/>
                <w:lang w:val="en-US" w:eastAsia="zh-CN"/>
              </w:rPr>
              <w:br w:type="textWrapping"/>
            </w:r>
            <w:r>
              <w:rPr>
                <w:rFonts w:hint="eastAsia" w:ascii="宋体" w:hAnsi="宋体" w:eastAsia="宋体" w:cs="宋体"/>
                <w:i w:val="0"/>
                <w:color w:val="000000"/>
                <w:sz w:val="21"/>
                <w:szCs w:val="21"/>
                <w:u w:val="none"/>
                <w:lang w:val="en-US" w:eastAsia="zh-CN"/>
              </w:rPr>
              <w:t>及精度加工</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DAA330L2</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1台</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1台电梯1台制动器</w:t>
            </w:r>
          </w:p>
        </w:tc>
      </w:tr>
      <w:tr>
        <w:tblPrEx>
          <w:tblCellMar>
            <w:top w:w="0" w:type="dxa"/>
            <w:left w:w="0" w:type="dxa"/>
            <w:bottom w:w="0" w:type="dxa"/>
            <w:right w:w="0" w:type="dxa"/>
          </w:tblCellMar>
        </w:tblPrEx>
        <w:trPr>
          <w:trHeight w:val="560" w:hRule="atLeast"/>
        </w:trPr>
        <w:tc>
          <w:tcPr>
            <w:tcW w:w="58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层门门滑轨防锈处理</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9层</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锈蚀严重</w:t>
            </w:r>
          </w:p>
        </w:tc>
      </w:tr>
      <w:tr>
        <w:tblPrEx>
          <w:tblCellMar>
            <w:top w:w="0" w:type="dxa"/>
            <w:left w:w="0" w:type="dxa"/>
            <w:bottom w:w="0" w:type="dxa"/>
            <w:right w:w="0" w:type="dxa"/>
          </w:tblCellMar>
        </w:tblPrEx>
        <w:trPr>
          <w:trHeight w:val="560" w:hRule="atLeast"/>
        </w:trPr>
        <w:tc>
          <w:tcPr>
            <w:tcW w:w="581"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p>
        </w:tc>
        <w:tc>
          <w:tcPr>
            <w:tcW w:w="19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更换层门组件</w:t>
            </w:r>
          </w:p>
        </w:tc>
        <w:tc>
          <w:tcPr>
            <w:tcW w:w="2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奥的斯原装</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1套</w:t>
            </w:r>
          </w:p>
        </w:tc>
        <w:tc>
          <w:tcPr>
            <w:tcW w:w="2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严重锈蚀；包含门扇、</w:t>
            </w:r>
            <w:r>
              <w:rPr>
                <w:rFonts w:hint="eastAsia" w:ascii="宋体" w:hAnsi="宋体" w:eastAsia="宋体" w:cs="宋体"/>
                <w:i w:val="0"/>
                <w:color w:val="000000"/>
                <w:sz w:val="21"/>
                <w:szCs w:val="21"/>
                <w:u w:val="none"/>
                <w:lang w:val="en-US" w:eastAsia="zh-CN"/>
              </w:rPr>
              <w:br w:type="textWrapping"/>
            </w:r>
            <w:r>
              <w:rPr>
                <w:rFonts w:hint="eastAsia" w:ascii="宋体" w:hAnsi="宋体" w:eastAsia="宋体" w:cs="宋体"/>
                <w:i w:val="0"/>
                <w:color w:val="000000"/>
                <w:sz w:val="21"/>
                <w:szCs w:val="21"/>
                <w:u w:val="none"/>
                <w:lang w:val="en-US" w:eastAsia="zh-CN"/>
              </w:rPr>
              <w:t>门头、门滑轨、地坎。</w:t>
            </w:r>
          </w:p>
        </w:tc>
      </w:tr>
    </w:tbl>
    <w:p>
      <w:pPr>
        <w:autoSpaceDE w:val="0"/>
        <w:autoSpaceDN w:val="0"/>
        <w:adjustRightInd w:val="0"/>
        <w:spacing w:line="360" w:lineRule="auto"/>
        <w:jc w:val="left"/>
        <w:rPr>
          <w:rFonts w:hint="eastAsia" w:hAnsi="宋体"/>
          <w:b w:val="0"/>
          <w:bCs/>
          <w:i w:val="0"/>
          <w:iCs w:val="0"/>
          <w:sz w:val="24"/>
          <w:szCs w:val="22"/>
          <w:lang w:val="en-US" w:eastAsia="zh-CN"/>
        </w:rPr>
      </w:pPr>
    </w:p>
    <w:p>
      <w:pPr>
        <w:autoSpaceDE w:val="0"/>
        <w:autoSpaceDN w:val="0"/>
        <w:adjustRightInd w:val="0"/>
        <w:spacing w:line="360" w:lineRule="auto"/>
        <w:jc w:val="left"/>
        <w:rPr>
          <w:rFonts w:hint="eastAsia" w:ascii="宋体" w:hAnsi="宋体"/>
          <w:b w:val="0"/>
          <w:bCs/>
          <w:i w:val="0"/>
          <w:iCs w:val="0"/>
          <w:sz w:val="24"/>
          <w:szCs w:val="22"/>
        </w:rPr>
      </w:pPr>
      <w:r>
        <w:rPr>
          <w:rFonts w:hint="eastAsia" w:hAnsi="宋体"/>
          <w:b w:val="0"/>
          <w:bCs/>
          <w:i w:val="0"/>
          <w:iCs w:val="0"/>
          <w:sz w:val="24"/>
          <w:szCs w:val="22"/>
          <w:lang w:val="en-US" w:eastAsia="zh-CN"/>
        </w:rPr>
        <w:t>注：1</w:t>
      </w:r>
      <w:r>
        <w:rPr>
          <w:rFonts w:hint="eastAsia" w:ascii="宋体" w:hAnsi="宋体"/>
          <w:b w:val="0"/>
          <w:bCs/>
          <w:i w:val="0"/>
          <w:iCs w:val="0"/>
          <w:sz w:val="24"/>
          <w:szCs w:val="22"/>
          <w:lang w:val="en-US" w:eastAsia="zh-CN"/>
        </w:rPr>
        <w:t>.</w:t>
      </w:r>
      <w:r>
        <w:rPr>
          <w:rFonts w:hint="eastAsia" w:ascii="宋体" w:hAnsi="宋体"/>
          <w:b w:val="0"/>
          <w:bCs/>
          <w:i w:val="0"/>
          <w:iCs w:val="0"/>
          <w:sz w:val="24"/>
          <w:szCs w:val="22"/>
        </w:rPr>
        <w:t>按照清单</w:t>
      </w:r>
      <w:r>
        <w:rPr>
          <w:rFonts w:hint="eastAsia" w:hAnsi="宋体"/>
          <w:b w:val="0"/>
          <w:bCs/>
          <w:i w:val="0"/>
          <w:iCs w:val="0"/>
          <w:sz w:val="24"/>
          <w:szCs w:val="22"/>
          <w:lang w:val="en-US" w:eastAsia="zh-CN"/>
        </w:rPr>
        <w:t>内容服务</w:t>
      </w:r>
      <w:r>
        <w:rPr>
          <w:rFonts w:hint="eastAsia" w:ascii="宋体" w:hAnsi="宋体"/>
          <w:b w:val="0"/>
          <w:bCs/>
          <w:i w:val="0"/>
          <w:iCs w:val="0"/>
          <w:sz w:val="24"/>
          <w:szCs w:val="22"/>
        </w:rPr>
        <w:t>，其它部位上油、去污（例如导轨润滑，缓冲器油位检查、补充。轴承加油等）</w:t>
      </w:r>
    </w:p>
    <w:p>
      <w:pPr>
        <w:ind w:left="0" w:leftChars="0" w:firstLine="480" w:firstLineChars="200"/>
        <w:jc w:val="left"/>
        <w:rPr>
          <w:rFonts w:hint="eastAsia" w:hAnsi="宋体"/>
          <w:b w:val="0"/>
          <w:bCs/>
          <w:i w:val="0"/>
          <w:iCs w:val="0"/>
          <w:color w:val="auto"/>
          <w:sz w:val="24"/>
          <w:szCs w:val="22"/>
          <w:lang w:val="en-US" w:eastAsia="zh-CN"/>
        </w:rPr>
      </w:pPr>
      <w:r>
        <w:rPr>
          <w:rFonts w:hint="eastAsia" w:hAnsi="宋体"/>
          <w:b w:val="0"/>
          <w:bCs/>
          <w:i w:val="0"/>
          <w:iCs w:val="0"/>
          <w:color w:val="auto"/>
          <w:sz w:val="24"/>
          <w:szCs w:val="22"/>
          <w:lang w:val="en-US" w:eastAsia="zh-CN"/>
        </w:rPr>
        <w:t>2.供应商提供清单中需要更换或维修的部件，须与原电梯相匹配，保证更换或维修后电梯能正常运行。</w:t>
      </w:r>
      <w:r>
        <w:rPr>
          <w:rFonts w:hint="eastAsia" w:ascii="宋体" w:hAnsi="宋体" w:eastAsia="宋体" w:cs="宋体"/>
          <w:b/>
          <w:bCs/>
          <w:color w:val="000000"/>
          <w:kern w:val="0"/>
          <w:sz w:val="24"/>
          <w:szCs w:val="24"/>
          <w:lang w:val="en-US" w:eastAsia="zh-CN" w:bidi="ar"/>
        </w:rPr>
        <w:t>（实质性要求）</w:t>
      </w:r>
    </w:p>
    <w:p>
      <w:pPr>
        <w:numPr>
          <w:ilvl w:val="0"/>
          <w:numId w:val="0"/>
        </w:numPr>
        <w:ind w:firstLine="240" w:firstLineChars="100"/>
        <w:rPr>
          <w:rFonts w:hint="default" w:ascii="宋体" w:hAnsi="宋体"/>
          <w:b w:val="0"/>
          <w:bCs/>
          <w:i w:val="0"/>
          <w:iCs w:val="0"/>
          <w:color w:val="auto"/>
          <w:sz w:val="24"/>
          <w:szCs w:val="22"/>
          <w:lang w:val="en-US" w:eastAsia="zh-CN" w:bidi="ar-SA"/>
        </w:rPr>
      </w:pPr>
      <w:r>
        <w:rPr>
          <w:rFonts w:hint="eastAsia" w:hAnsi="宋体"/>
          <w:b w:val="0"/>
          <w:bCs/>
          <w:i w:val="0"/>
          <w:iCs w:val="0"/>
          <w:color w:val="auto"/>
          <w:sz w:val="24"/>
          <w:szCs w:val="22"/>
          <w:lang w:val="en-US" w:eastAsia="zh-CN" w:bidi="ar-SA"/>
        </w:rPr>
        <w:t xml:space="preserve">  3.</w:t>
      </w:r>
      <w:r>
        <w:rPr>
          <w:rFonts w:hint="eastAsia" w:ascii="宋体" w:hAnsi="宋体"/>
          <w:b w:val="0"/>
          <w:bCs/>
          <w:i w:val="0"/>
          <w:iCs w:val="0"/>
          <w:color w:val="auto"/>
          <w:sz w:val="24"/>
          <w:szCs w:val="22"/>
          <w:lang w:val="en-US" w:eastAsia="zh-CN" w:bidi="ar-SA"/>
        </w:rPr>
        <w:t>清单中所涉及的品牌，只作为参考。</w:t>
      </w:r>
    </w:p>
    <w:p>
      <w:pPr>
        <w:ind w:left="0" w:leftChars="0" w:firstLine="0" w:firstLineChars="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三</w:t>
      </w:r>
      <w:r>
        <w:rPr>
          <w:rFonts w:hint="eastAsia" w:hAnsi="宋体" w:cs="宋体"/>
          <w:b/>
          <w:bCs/>
          <w:color w:val="000000"/>
          <w:kern w:val="0"/>
          <w:sz w:val="24"/>
          <w:szCs w:val="24"/>
          <w:lang w:val="en-US" w:eastAsia="zh-CN" w:bidi="ar"/>
        </w:rPr>
        <w:t>）</w:t>
      </w:r>
      <w:r>
        <w:rPr>
          <w:rFonts w:hint="eastAsia" w:ascii="宋体" w:hAnsi="宋体" w:eastAsia="宋体" w:cs="宋体"/>
          <w:b/>
          <w:bCs/>
          <w:color w:val="000000"/>
          <w:kern w:val="0"/>
          <w:sz w:val="24"/>
          <w:szCs w:val="24"/>
          <w:lang w:val="en-US" w:eastAsia="zh-CN" w:bidi="ar"/>
        </w:rPr>
        <w:t>、商务要求（实质性要求）</w:t>
      </w:r>
    </w:p>
    <w:p>
      <w:pPr>
        <w:spacing w:line="360" w:lineRule="auto"/>
        <w:ind w:left="0" w:leftChars="0" w:firstLine="240" w:firstLineChars="100"/>
        <w:rPr>
          <w:rFonts w:hint="eastAsia" w:ascii="宋体" w:cs="宋体"/>
          <w:bCs/>
          <w:color w:val="auto"/>
          <w:sz w:val="24"/>
        </w:rPr>
      </w:pPr>
      <w:r>
        <w:rPr>
          <w:rFonts w:ascii="宋体" w:hAnsi="宋体" w:cs="宋体"/>
          <w:bCs/>
          <w:color w:val="000000"/>
          <w:sz w:val="24"/>
        </w:rPr>
        <w:t>1</w:t>
      </w:r>
      <w:r>
        <w:rPr>
          <w:rFonts w:hint="eastAsia" w:ascii="宋体" w:hAnsi="宋体" w:cs="宋体"/>
          <w:bCs/>
          <w:color w:val="000000"/>
          <w:sz w:val="24"/>
        </w:rPr>
        <w:t>、</w:t>
      </w:r>
      <w:r>
        <w:rPr>
          <w:rFonts w:hint="eastAsia" w:ascii="宋体" w:hAnsi="宋体" w:cs="宋体"/>
          <w:bCs/>
          <w:color w:val="auto"/>
          <w:sz w:val="24"/>
          <w:lang w:eastAsia="zh-CN"/>
        </w:rPr>
        <w:t>服务</w:t>
      </w:r>
      <w:r>
        <w:rPr>
          <w:rFonts w:hint="eastAsia" w:ascii="宋体" w:hAnsi="宋体" w:cs="宋体"/>
          <w:bCs/>
          <w:color w:val="auto"/>
          <w:sz w:val="24"/>
        </w:rPr>
        <w:t>时间、地点</w:t>
      </w:r>
    </w:p>
    <w:p>
      <w:pPr>
        <w:spacing w:line="360" w:lineRule="auto"/>
        <w:ind w:firstLine="480" w:firstLineChars="200"/>
        <w:rPr>
          <w:rFonts w:hint="eastAsia" w:ascii="宋体" w:hAnsi="宋体" w:cs="宋体"/>
          <w:color w:val="auto"/>
          <w:sz w:val="24"/>
          <w:szCs w:val="22"/>
          <w:lang w:eastAsia="zh-CN"/>
        </w:rPr>
      </w:pPr>
      <w:r>
        <w:rPr>
          <w:rFonts w:ascii="宋体" w:hAnsi="宋体" w:cs="宋体"/>
          <w:color w:val="auto"/>
          <w:sz w:val="24"/>
        </w:rPr>
        <w:t>1.1</w:t>
      </w:r>
      <w:r>
        <w:rPr>
          <w:rFonts w:hint="eastAsia" w:ascii="宋体" w:hAnsi="宋体" w:cs="宋体"/>
          <w:color w:val="auto"/>
          <w:sz w:val="24"/>
        </w:rPr>
        <w:t>、</w:t>
      </w:r>
      <w:r>
        <w:rPr>
          <w:rFonts w:hint="eastAsia" w:ascii="宋体" w:hAnsi="宋体" w:cs="宋体"/>
          <w:color w:val="auto"/>
          <w:sz w:val="24"/>
          <w:lang w:eastAsia="zh-CN"/>
        </w:rPr>
        <w:t>服务</w:t>
      </w:r>
      <w:r>
        <w:rPr>
          <w:rFonts w:hint="eastAsia" w:ascii="宋体" w:hAnsi="宋体" w:cs="宋体"/>
          <w:color w:val="auto"/>
          <w:sz w:val="24"/>
        </w:rPr>
        <w:t>时间</w:t>
      </w:r>
      <w:r>
        <w:rPr>
          <w:rFonts w:hint="eastAsia" w:ascii="宋体" w:hAnsi="宋体" w:cs="宋体"/>
          <w:color w:val="auto"/>
          <w:sz w:val="24"/>
          <w:szCs w:val="22"/>
          <w:lang w:eastAsia="zh-CN"/>
        </w:rPr>
        <w:t>：合同签订后</w:t>
      </w:r>
      <w:r>
        <w:rPr>
          <w:rFonts w:hint="eastAsia" w:cs="宋体"/>
          <w:color w:val="auto"/>
          <w:sz w:val="24"/>
          <w:szCs w:val="22"/>
          <w:lang w:val="en-US" w:eastAsia="zh-CN"/>
        </w:rPr>
        <w:t>30</w:t>
      </w:r>
      <w:r>
        <w:rPr>
          <w:rFonts w:hint="eastAsia" w:ascii="宋体" w:hAnsi="宋体" w:cs="宋体"/>
          <w:color w:val="auto"/>
          <w:sz w:val="24"/>
          <w:szCs w:val="22"/>
          <w:lang w:eastAsia="zh-CN"/>
        </w:rPr>
        <w:t>日内完成。</w:t>
      </w:r>
    </w:p>
    <w:p>
      <w:pPr>
        <w:ind w:firstLine="480" w:firstLineChars="200"/>
        <w:rPr>
          <w:rFonts w:hint="eastAsia" w:ascii="宋体" w:hAnsi="宋体" w:eastAsia="宋体" w:cs="宋体"/>
          <w:color w:val="auto"/>
          <w:sz w:val="24"/>
          <w:szCs w:val="22"/>
          <w:lang w:eastAsia="zh-CN"/>
        </w:rPr>
      </w:pPr>
      <w:r>
        <w:rPr>
          <w:rFonts w:ascii="宋体" w:hAnsi="宋体" w:cs="宋体"/>
          <w:color w:val="auto"/>
          <w:sz w:val="24"/>
        </w:rPr>
        <w:t>1.2</w:t>
      </w:r>
      <w:r>
        <w:rPr>
          <w:rFonts w:hint="eastAsia" w:ascii="宋体" w:hAnsi="宋体" w:cs="宋体"/>
          <w:color w:val="auto"/>
          <w:sz w:val="24"/>
        </w:rPr>
        <w:t>、</w:t>
      </w:r>
      <w:r>
        <w:rPr>
          <w:rFonts w:hint="eastAsia" w:ascii="宋体" w:hAnsi="宋体" w:cs="宋体"/>
          <w:color w:val="auto"/>
          <w:sz w:val="24"/>
          <w:lang w:eastAsia="zh-CN"/>
        </w:rPr>
        <w:t>服务</w:t>
      </w:r>
      <w:r>
        <w:rPr>
          <w:rFonts w:hint="eastAsia" w:ascii="宋体" w:hAnsi="宋体" w:cs="宋体"/>
          <w:color w:val="auto"/>
          <w:sz w:val="24"/>
        </w:rPr>
        <w:t>地点</w:t>
      </w:r>
      <w:r>
        <w:rPr>
          <w:rFonts w:ascii="宋体" w:hAnsi="宋体" w:cs="宋体"/>
          <w:color w:val="auto"/>
          <w:sz w:val="24"/>
        </w:rPr>
        <w:t>:</w:t>
      </w:r>
      <w:r>
        <w:rPr>
          <w:rFonts w:hint="eastAsia" w:ascii="宋体" w:hAnsi="宋体" w:cs="宋体"/>
          <w:color w:val="auto"/>
          <w:sz w:val="24"/>
          <w:szCs w:val="22"/>
        </w:rPr>
        <w:t xml:space="preserve"> 彭州市人民医院</w:t>
      </w:r>
      <w:r>
        <w:rPr>
          <w:rFonts w:hint="eastAsia" w:cs="宋体"/>
          <w:color w:val="auto"/>
          <w:sz w:val="24"/>
          <w:szCs w:val="22"/>
          <w:lang w:eastAsia="zh-CN"/>
        </w:rPr>
        <w:t>南</w:t>
      </w:r>
      <w:r>
        <w:rPr>
          <w:rFonts w:hint="eastAsia" w:cs="宋体"/>
          <w:color w:val="auto"/>
          <w:sz w:val="24"/>
          <w:szCs w:val="22"/>
          <w:lang w:val="en-US" w:eastAsia="zh-CN"/>
        </w:rPr>
        <w:t>院区</w:t>
      </w:r>
    </w:p>
    <w:p>
      <w:pPr>
        <w:autoSpaceDE w:val="0"/>
        <w:autoSpaceDN w:val="0"/>
        <w:adjustRightInd w:val="0"/>
        <w:spacing w:line="360" w:lineRule="auto"/>
        <w:ind w:left="0" w:leftChars="0" w:firstLine="240" w:firstLineChars="100"/>
        <w:jc w:val="left"/>
        <w:rPr>
          <w:rFonts w:hint="eastAsia" w:ascii="宋体" w:hAnsi="宋体" w:cs="宋体"/>
          <w:color w:val="auto"/>
          <w:sz w:val="24"/>
        </w:rPr>
      </w:pPr>
      <w:r>
        <w:rPr>
          <w:rFonts w:hint="eastAsia" w:ascii="宋体" w:hAnsi="宋体" w:cs="宋体"/>
          <w:bCs/>
          <w:color w:val="auto"/>
          <w:sz w:val="24"/>
        </w:rPr>
        <w:t>2、</w:t>
      </w:r>
      <w:r>
        <w:rPr>
          <w:rFonts w:hint="eastAsia" w:ascii="宋体" w:hAnsi="宋体" w:cs="宋体"/>
          <w:color w:val="auto"/>
          <w:sz w:val="24"/>
        </w:rPr>
        <w:t>付款方式：①签订采购合同后，由采购人在收到等额合法有效票据</w:t>
      </w:r>
      <w:r>
        <w:rPr>
          <w:rFonts w:hint="eastAsia" w:hAnsi="宋体" w:cs="宋体"/>
          <w:color w:val="auto"/>
          <w:sz w:val="24"/>
          <w:lang w:val="en-US" w:eastAsia="zh-CN"/>
        </w:rPr>
        <w:t>后</w:t>
      </w:r>
      <w:r>
        <w:rPr>
          <w:rFonts w:hint="eastAsia" w:ascii="宋体" w:hAnsi="宋体" w:cs="宋体"/>
          <w:color w:val="auto"/>
          <w:sz w:val="24"/>
        </w:rPr>
        <w:t>10个工作日内向成交供应商支付合同总价的30%；②全部设备安装调试完成并经成都市特种设备检</w:t>
      </w:r>
      <w:r>
        <w:rPr>
          <w:rFonts w:hint="eastAsia" w:hAnsi="宋体" w:cs="宋体"/>
          <w:color w:val="auto"/>
          <w:sz w:val="24"/>
          <w:lang w:val="en-US" w:eastAsia="zh-CN"/>
        </w:rPr>
        <w:t>验</w:t>
      </w:r>
      <w:r>
        <w:rPr>
          <w:rFonts w:hint="eastAsia" w:ascii="宋体" w:hAnsi="宋体" w:cs="宋体"/>
          <w:color w:val="auto"/>
          <w:sz w:val="24"/>
        </w:rPr>
        <w:t>院检验合格后同时采购人在收到等额合法有效票据</w:t>
      </w:r>
      <w:r>
        <w:rPr>
          <w:rFonts w:hint="eastAsia" w:hAnsi="宋体" w:cs="宋体"/>
          <w:color w:val="auto"/>
          <w:sz w:val="24"/>
          <w:lang w:val="en-US" w:eastAsia="zh-CN"/>
        </w:rPr>
        <w:t>后</w:t>
      </w:r>
      <w:r>
        <w:rPr>
          <w:rFonts w:hint="eastAsia" w:ascii="宋体" w:hAnsi="宋体" w:cs="宋体"/>
          <w:color w:val="auto"/>
          <w:sz w:val="24"/>
        </w:rPr>
        <w:t>15日内向成交供应商支付至合同总价的95%；③5%作为质保金，质保期满后且无质量问题将剩余5%无息支付给成交供应商。</w:t>
      </w:r>
    </w:p>
    <w:p>
      <w:pPr>
        <w:autoSpaceDE w:val="0"/>
        <w:autoSpaceDN w:val="0"/>
        <w:adjustRightInd w:val="0"/>
        <w:spacing w:line="360" w:lineRule="auto"/>
        <w:ind w:left="0" w:leftChars="0" w:firstLine="240" w:firstLineChars="100"/>
        <w:jc w:val="left"/>
        <w:rPr>
          <w:rFonts w:hint="eastAsia" w:ascii="宋体" w:hAnsi="宋体"/>
          <w:sz w:val="24"/>
        </w:rPr>
      </w:pPr>
      <w:r>
        <w:rPr>
          <w:rFonts w:hint="eastAsia" w:ascii="宋体" w:hAnsi="宋体"/>
          <w:sz w:val="24"/>
          <w:lang w:val="en-US" w:eastAsia="zh-CN"/>
        </w:rPr>
        <w:t>3、</w:t>
      </w:r>
      <w:r>
        <w:rPr>
          <w:rFonts w:hint="eastAsia" w:ascii="宋体" w:hAnsi="宋体"/>
          <w:sz w:val="24"/>
        </w:rPr>
        <w:t>验收标准：成交</w:t>
      </w:r>
      <w:r>
        <w:rPr>
          <w:rFonts w:hint="eastAsia" w:ascii="宋体" w:hAnsi="宋体"/>
          <w:sz w:val="24"/>
          <w:lang w:eastAsia="zh-CN"/>
        </w:rPr>
        <w:t>供应商</w:t>
      </w:r>
      <w:r>
        <w:rPr>
          <w:rFonts w:hint="eastAsia" w:ascii="宋体" w:hAnsi="宋体"/>
          <w:sz w:val="24"/>
        </w:rPr>
        <w:t>与采购人应严格按照《财政部关于进一步加强政府采购需求和履约验收管理的指导意见》（财库〔2016〕205 号）)的要求进行验收。</w:t>
      </w:r>
    </w:p>
    <w:p>
      <w:pPr>
        <w:autoSpaceDE w:val="0"/>
        <w:autoSpaceDN w:val="0"/>
        <w:adjustRightInd w:val="0"/>
        <w:spacing w:line="360" w:lineRule="auto"/>
        <w:ind w:left="0" w:leftChars="0" w:firstLine="240" w:firstLineChars="100"/>
        <w:jc w:val="left"/>
        <w:rPr>
          <w:rFonts w:hint="eastAsia" w:ascii="宋体" w:hAnsi="宋体"/>
          <w:sz w:val="24"/>
        </w:rPr>
      </w:pPr>
      <w:r>
        <w:rPr>
          <w:rFonts w:hint="eastAsia" w:ascii="宋体" w:hAnsi="宋体"/>
          <w:sz w:val="24"/>
          <w:lang w:val="en-US" w:eastAsia="zh-CN"/>
        </w:rPr>
        <w:t>4、</w:t>
      </w:r>
      <w:r>
        <w:rPr>
          <w:rFonts w:hint="eastAsia" w:ascii="宋体" w:hAnsi="宋体" w:cs="宋体"/>
          <w:sz w:val="24"/>
        </w:rPr>
        <w:t>供应商所报价格应包含设备的安装、调试、操作、维修、保养</w:t>
      </w:r>
      <w:r>
        <w:rPr>
          <w:rFonts w:hint="eastAsia" w:ascii="宋体" w:hAnsi="宋体" w:cs="宋体"/>
          <w:sz w:val="24"/>
          <w:lang w:eastAsia="zh-CN"/>
        </w:rPr>
        <w:t>、人工费、税金</w:t>
      </w:r>
      <w:r>
        <w:rPr>
          <w:rFonts w:hint="eastAsia" w:ascii="宋体" w:hAnsi="宋体" w:cs="宋体"/>
          <w:sz w:val="24"/>
        </w:rPr>
        <w:t>等全部价格，采购人将不再支付其他额外费用。</w:t>
      </w:r>
    </w:p>
    <w:p>
      <w:pPr>
        <w:spacing w:line="360" w:lineRule="auto"/>
        <w:ind w:firstLine="240" w:firstLineChars="100"/>
        <w:rPr>
          <w:rFonts w:hint="eastAsia" w:ascii="宋体" w:hAnsi="宋体" w:eastAsia="宋体" w:cs="宋体"/>
          <w:b/>
          <w:bCs/>
          <w:color w:val="0000FF"/>
          <w:kern w:val="0"/>
          <w:sz w:val="24"/>
          <w:szCs w:val="24"/>
          <w:lang w:val="en-US" w:eastAsia="zh-CN" w:bidi="ar"/>
        </w:rPr>
      </w:pPr>
      <w:r>
        <w:rPr>
          <w:rFonts w:hint="eastAsia" w:ascii="宋体" w:hAnsi="宋体" w:cs="宋体"/>
          <w:sz w:val="24"/>
          <w:lang w:val="en-US" w:eastAsia="zh-CN"/>
        </w:rPr>
        <w:t>5、</w:t>
      </w:r>
      <w:r>
        <w:rPr>
          <w:rFonts w:hint="eastAsia" w:ascii="宋体" w:hAnsi="宋体" w:cs="宋体"/>
          <w:color w:val="auto"/>
          <w:sz w:val="24"/>
        </w:rPr>
        <w:t>供应商应按照《中华人民共和国特种设备安全法》规定在施工前将拟进行的特种设备安装、改造、修理情况书面告知负责特种设备安全监督管理的有关部门。</w:t>
      </w:r>
    </w:p>
    <w:p>
      <w:pPr>
        <w:ind w:left="0" w:leftChars="0" w:firstLine="0" w:firstLineChars="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四）、售后服务 </w:t>
      </w:r>
    </w:p>
    <w:p>
      <w:pPr>
        <w:spacing w:line="360" w:lineRule="auto"/>
        <w:rPr>
          <w:rFonts w:hint="eastAsia" w:ascii="宋体" w:hAnsi="宋体" w:cs="宋体"/>
          <w:sz w:val="24"/>
        </w:rPr>
      </w:pPr>
      <w:r>
        <w:rPr>
          <w:rFonts w:hint="eastAsia" w:hAnsi="宋体"/>
          <w:sz w:val="24"/>
          <w:lang w:val="en-US" w:eastAsia="zh-CN"/>
        </w:rPr>
        <w:t>1</w:t>
      </w:r>
      <w:r>
        <w:rPr>
          <w:rFonts w:hint="eastAsia" w:ascii="宋体" w:hAnsi="宋体"/>
          <w:sz w:val="24"/>
          <w:lang w:eastAsia="zh-CN"/>
        </w:rPr>
        <w:t>、</w:t>
      </w:r>
      <w:r>
        <w:rPr>
          <w:rFonts w:hint="eastAsia" w:ascii="宋体" w:hAnsi="宋体" w:cs="宋体"/>
          <w:sz w:val="24"/>
        </w:rPr>
        <w:t>列行巡查巡检。每月开展一次巡查巡检，对因更换产品发现的电梯运行故障和隐患及时维修和排除</w:t>
      </w:r>
      <w:r>
        <w:rPr>
          <w:rFonts w:hint="eastAsia" w:hAnsi="宋体" w:cs="宋体"/>
          <w:sz w:val="24"/>
          <w:lang w:eastAsia="zh-CN"/>
        </w:rPr>
        <w:t>，</w:t>
      </w:r>
      <w:r>
        <w:rPr>
          <w:rFonts w:hint="eastAsia" w:ascii="宋体" w:hAnsi="宋体" w:cs="宋体"/>
          <w:sz w:val="24"/>
        </w:rPr>
        <w:t>同时建立巡查巡检记录台账，经</w:t>
      </w:r>
      <w:r>
        <w:rPr>
          <w:rFonts w:hint="eastAsia" w:ascii="宋体" w:hAnsi="宋体" w:cs="宋体"/>
          <w:sz w:val="24"/>
          <w:lang w:eastAsia="zh-CN"/>
        </w:rPr>
        <w:t>维修人员</w:t>
      </w:r>
      <w:r>
        <w:rPr>
          <w:rFonts w:hint="eastAsia" w:ascii="宋体" w:hAnsi="宋体" w:cs="宋体"/>
          <w:sz w:val="24"/>
        </w:rPr>
        <w:t>签字确认备查。</w:t>
      </w:r>
    </w:p>
    <w:p>
      <w:pPr>
        <w:spacing w:line="360" w:lineRule="auto"/>
        <w:rPr>
          <w:rFonts w:hint="eastAsia" w:ascii="宋体" w:hAnsi="宋体" w:cs="宋体"/>
          <w:sz w:val="24"/>
        </w:rPr>
      </w:pPr>
      <w:r>
        <w:rPr>
          <w:rFonts w:hint="eastAsia" w:hAnsi="宋体" w:cs="宋体"/>
          <w:sz w:val="24"/>
          <w:lang w:val="en-US" w:eastAsia="zh-CN"/>
        </w:rPr>
        <w:t>2</w:t>
      </w:r>
      <w:r>
        <w:rPr>
          <w:rFonts w:hint="eastAsia" w:ascii="宋体" w:hAnsi="宋体" w:cs="宋体"/>
          <w:sz w:val="24"/>
          <w:lang w:eastAsia="zh-CN"/>
        </w:rPr>
        <w:t>、</w:t>
      </w:r>
      <w:r>
        <w:rPr>
          <w:rFonts w:hint="eastAsia" w:ascii="宋体" w:hAnsi="宋体" w:cs="宋体"/>
          <w:sz w:val="24"/>
        </w:rPr>
        <w:t>紧急排障维修服务。在服务期内，涉及成交供应商安装或因更换产品出现的电梯故障，供应商接到通知1小时内指派专业技术人赶到现场，24小时内检修排除故障。对影响整个系统的大故障，要求维修人员加班加点，尽快排除故障，恢复设备系统正常运行；遇特殊情况（如无备件）不能及时修复时，应经</w:t>
      </w:r>
      <w:r>
        <w:rPr>
          <w:rFonts w:hint="eastAsia" w:ascii="宋体" w:hAnsi="宋体" w:cs="宋体"/>
          <w:sz w:val="24"/>
          <w:lang w:eastAsia="zh-CN"/>
        </w:rPr>
        <w:t>采购人</w:t>
      </w:r>
      <w:r>
        <w:rPr>
          <w:rFonts w:hint="eastAsia" w:ascii="宋体" w:hAnsi="宋体" w:cs="宋体"/>
          <w:sz w:val="24"/>
        </w:rPr>
        <w:t>同意并采取应急措施；维修人员在排除故障恢复正常运行后，建立台账，经</w:t>
      </w:r>
      <w:r>
        <w:rPr>
          <w:rFonts w:hint="eastAsia" w:ascii="宋体" w:hAnsi="宋体" w:cs="宋体"/>
          <w:sz w:val="24"/>
          <w:lang w:eastAsia="zh-CN"/>
        </w:rPr>
        <w:t>维修人员</w:t>
      </w:r>
      <w:r>
        <w:rPr>
          <w:rFonts w:hint="eastAsia" w:ascii="宋体" w:hAnsi="宋体" w:cs="宋体"/>
          <w:sz w:val="24"/>
        </w:rPr>
        <w:t>签字确认备查。</w:t>
      </w:r>
    </w:p>
    <w:p>
      <w:pPr>
        <w:spacing w:line="360" w:lineRule="auto"/>
        <w:rPr>
          <w:rFonts w:hAnsi="宋体" w:cs="宋体"/>
          <w:color w:val="000000"/>
          <w:sz w:val="24"/>
        </w:rPr>
      </w:pPr>
      <w:r>
        <w:rPr>
          <w:rFonts w:hint="eastAsia" w:hAnsi="宋体" w:cs="宋体"/>
          <w:color w:val="000000"/>
          <w:sz w:val="24"/>
          <w:lang w:val="en-US" w:eastAsia="zh-CN"/>
        </w:rPr>
        <w:t>3</w:t>
      </w:r>
      <w:r>
        <w:rPr>
          <w:rFonts w:hint="eastAsia" w:hAnsi="宋体" w:cs="宋体"/>
          <w:color w:val="000000"/>
          <w:sz w:val="24"/>
        </w:rPr>
        <w:t>、质保要求</w:t>
      </w:r>
    </w:p>
    <w:p>
      <w:pPr>
        <w:spacing w:line="360" w:lineRule="auto"/>
        <w:ind w:firstLine="720" w:firstLineChars="300"/>
        <w:rPr>
          <w:rFonts w:hint="eastAsia" w:ascii="宋体" w:hAnsi="宋体" w:cs="宋体"/>
          <w:sz w:val="24"/>
        </w:rPr>
      </w:pPr>
      <w:r>
        <w:rPr>
          <w:rFonts w:hint="eastAsia" w:ascii="宋体" w:hAnsi="宋体" w:cs="宋体"/>
          <w:sz w:val="24"/>
          <w:szCs w:val="22"/>
        </w:rPr>
        <w:t>质保期：</w:t>
      </w:r>
      <w:r>
        <w:rPr>
          <w:rFonts w:hint="eastAsia" w:ascii="宋体" w:hAnsi="宋体" w:cs="宋体"/>
          <w:sz w:val="24"/>
          <w:szCs w:val="22"/>
          <w:lang w:val="en-US" w:eastAsia="zh-CN"/>
        </w:rPr>
        <w:t>1</w:t>
      </w:r>
      <w:r>
        <w:rPr>
          <w:rFonts w:hint="eastAsia" w:ascii="宋体" w:hAnsi="宋体" w:cs="宋体"/>
          <w:sz w:val="24"/>
          <w:szCs w:val="22"/>
        </w:rPr>
        <w:t>年</w:t>
      </w:r>
      <w:r>
        <w:rPr>
          <w:rFonts w:hint="eastAsia" w:ascii="宋体" w:hAnsi="宋体" w:cs="宋体"/>
          <w:sz w:val="24"/>
          <w:szCs w:val="22"/>
          <w:lang w:eastAsia="zh-CN"/>
        </w:rPr>
        <w:t>（验收合格之日起计算），</w:t>
      </w:r>
      <w:r>
        <w:rPr>
          <w:rFonts w:hint="eastAsia" w:ascii="宋体" w:hAnsi="宋体" w:cs="宋体"/>
          <w:sz w:val="24"/>
          <w:szCs w:val="22"/>
        </w:rPr>
        <w:t>维修更换产品提供</w:t>
      </w:r>
      <w:r>
        <w:rPr>
          <w:rFonts w:hint="eastAsia" w:ascii="宋体" w:hAnsi="宋体" w:cs="宋体"/>
          <w:sz w:val="24"/>
          <w:szCs w:val="22"/>
          <w:lang w:eastAsia="zh-CN"/>
        </w:rPr>
        <w:t>一</w:t>
      </w:r>
      <w:r>
        <w:rPr>
          <w:rFonts w:hint="eastAsia" w:ascii="宋体" w:hAnsi="宋体" w:cs="宋体"/>
          <w:sz w:val="24"/>
          <w:szCs w:val="22"/>
        </w:rPr>
        <w:t>年质量保证，</w:t>
      </w:r>
      <w:r>
        <w:rPr>
          <w:rFonts w:hint="eastAsia" w:ascii="宋体" w:hAnsi="宋体" w:cs="宋体"/>
          <w:sz w:val="24"/>
        </w:rPr>
        <w:t>除产品另有约定的以各产品要求为准，最终以合同约定为准，质保期内包含维修费用和上门费等一切因产品问题造成的费用。</w:t>
      </w:r>
    </w:p>
    <w:p>
      <w:pPr>
        <w:pStyle w:val="3"/>
        <w:spacing w:before="0" w:afterLines="50" w:line="360" w:lineRule="auto"/>
        <w:ind w:firstLine="482" w:firstLineChars="200"/>
        <w:jc w:val="both"/>
        <w:rPr>
          <w:rFonts w:hint="eastAsia" w:ascii="宋体" w:hAnsi="宋体" w:cs="宋体"/>
          <w:color w:val="000000"/>
          <w:kern w:val="0"/>
          <w:sz w:val="24"/>
          <w:szCs w:val="24"/>
          <w:lang w:val="en-US" w:eastAsia="zh-CN" w:bidi="ar"/>
        </w:rPr>
      </w:pPr>
      <w:bookmarkStart w:id="715" w:name="_Toc11755"/>
      <w:r>
        <w:rPr>
          <w:rFonts w:hint="eastAsia" w:ascii="宋体" w:hAnsi="宋体" w:cs="宋体"/>
          <w:color w:val="000000"/>
          <w:kern w:val="0"/>
          <w:sz w:val="24"/>
          <w:szCs w:val="24"/>
          <w:lang w:val="en-US" w:eastAsia="zh-CN" w:bidi="ar"/>
        </w:rPr>
        <w:t>五）、其他</w:t>
      </w:r>
      <w:r>
        <w:rPr>
          <w:rFonts w:hint="eastAsia" w:ascii="宋体" w:hAnsi="宋体" w:eastAsia="宋体" w:cs="宋体"/>
          <w:b/>
          <w:bCs/>
          <w:color w:val="000000"/>
          <w:kern w:val="0"/>
          <w:sz w:val="24"/>
          <w:szCs w:val="24"/>
          <w:lang w:val="en-US" w:eastAsia="zh-CN" w:bidi="ar"/>
        </w:rPr>
        <w:t>（实质性要求）</w:t>
      </w:r>
      <w:bookmarkEnd w:id="715"/>
    </w:p>
    <w:p>
      <w:pPr>
        <w:autoSpaceDE w:val="0"/>
        <w:autoSpaceDN w:val="0"/>
        <w:adjustRightInd w:val="0"/>
        <w:spacing w:line="360" w:lineRule="auto"/>
        <w:ind w:left="0" w:leftChars="0" w:firstLine="482" w:firstLineChars="200"/>
        <w:jc w:val="left"/>
        <w:rPr>
          <w:rFonts w:hint="eastAsia" w:ascii="宋体" w:hAnsi="宋体" w:cs="宋体"/>
          <w:color w:val="000000"/>
          <w:sz w:val="24"/>
        </w:rPr>
      </w:pPr>
      <w:r>
        <w:rPr>
          <w:rFonts w:hint="eastAsia" w:ascii="宋体" w:hAnsi="宋体"/>
          <w:b/>
          <w:sz w:val="24"/>
          <w:lang w:val="en-US" w:eastAsia="zh-CN"/>
        </w:rPr>
        <w:t>1、</w:t>
      </w:r>
      <w:r>
        <w:rPr>
          <w:rFonts w:hint="eastAsia" w:ascii="宋体" w:hAnsi="宋体" w:cs="仿宋_GB2312"/>
          <w:b/>
          <w:sz w:val="24"/>
        </w:rPr>
        <w:t>关于提供的产品及设备要求：</w:t>
      </w:r>
      <w:r>
        <w:rPr>
          <w:rFonts w:hint="eastAsia" w:ascii="宋体" w:hAnsi="宋体" w:cs="仿宋_GB2312"/>
          <w:sz w:val="24"/>
          <w:lang w:eastAsia="zh-CN"/>
        </w:rPr>
        <w:t>成交供应商</w:t>
      </w:r>
      <w:r>
        <w:rPr>
          <w:rFonts w:hint="eastAsia" w:ascii="宋体" w:hAnsi="宋体" w:cs="仿宋_GB2312"/>
          <w:sz w:val="24"/>
        </w:rPr>
        <w:t>所提供产品须为合法渠道供应的产品，若因所提供产品涉及相关的专利、商标侵权等而产生的纠纷由供应商自行负责，</w:t>
      </w:r>
      <w:r>
        <w:rPr>
          <w:rFonts w:hint="eastAsia" w:hAnsi="宋体" w:cs="仿宋_GB2312"/>
          <w:sz w:val="24"/>
          <w:lang w:val="en-US" w:eastAsia="zh-CN"/>
        </w:rPr>
        <w:t>并承担相应的责任</w:t>
      </w:r>
      <w:r>
        <w:rPr>
          <w:rFonts w:hint="eastAsia" w:ascii="宋体" w:hAnsi="宋体" w:cs="仿宋_GB2312"/>
          <w:sz w:val="24"/>
        </w:rPr>
        <w:t>；严禁借牌、冒牌生产，凡借牌、冒牌生产的一经发现采购人有权拒付相关费用，已经支付了相关费用的，采购人有权追回，同时采购人有权</w:t>
      </w:r>
      <w:r>
        <w:rPr>
          <w:rFonts w:hint="eastAsia" w:ascii="宋体" w:hAnsi="宋体" w:cs="仿宋_GB2312"/>
          <w:sz w:val="24"/>
          <w:lang w:eastAsia="zh-CN"/>
        </w:rPr>
        <w:t>追究责任</w:t>
      </w:r>
      <w:r>
        <w:rPr>
          <w:rFonts w:hint="eastAsia" w:ascii="宋体" w:hAnsi="宋体" w:cs="仿宋_GB2312"/>
          <w:sz w:val="24"/>
        </w:rPr>
        <w:t>。</w:t>
      </w:r>
      <w:r>
        <w:rPr>
          <w:rFonts w:hint="eastAsia" w:ascii="宋体" w:hAnsi="宋体" w:cs="宋体"/>
          <w:b/>
          <w:bCs/>
          <w:color w:val="000000"/>
          <w:sz w:val="24"/>
        </w:rPr>
        <w:t>（提供承诺函原件并加盖单位鲜章）</w:t>
      </w:r>
    </w:p>
    <w:p>
      <w:pPr>
        <w:autoSpaceDE w:val="0"/>
        <w:autoSpaceDN w:val="0"/>
        <w:adjustRightInd w:val="0"/>
        <w:spacing w:line="360" w:lineRule="auto"/>
        <w:ind w:left="0" w:leftChars="0" w:firstLine="482" w:firstLineChars="200"/>
        <w:jc w:val="left"/>
        <w:rPr>
          <w:rFonts w:hint="eastAsia"/>
          <w:lang w:val="en-US" w:eastAsia="zh-CN"/>
        </w:rPr>
      </w:pPr>
      <w:r>
        <w:rPr>
          <w:rFonts w:hint="eastAsia" w:ascii="宋体" w:hAnsi="宋体" w:cs="仿宋_GB2312"/>
          <w:b/>
          <w:sz w:val="24"/>
          <w:lang w:val="en-US" w:eastAsia="zh-CN"/>
        </w:rPr>
        <w:t>2、</w:t>
      </w:r>
      <w:r>
        <w:rPr>
          <w:rFonts w:hint="eastAsia" w:ascii="宋体" w:hAnsi="宋体" w:cs="仿宋_GB2312"/>
          <w:b/>
          <w:sz w:val="24"/>
        </w:rPr>
        <w:t>安全责任要求：</w:t>
      </w:r>
      <w:r>
        <w:rPr>
          <w:rFonts w:hint="eastAsia" w:ascii="宋体" w:hAnsi="宋体" w:cs="仿宋_GB2312"/>
          <w:sz w:val="24"/>
        </w:rPr>
        <w:t>在实施整个项目活动期间，在项目实施地点范围内，所有安全责任均由成交</w:t>
      </w:r>
      <w:r>
        <w:rPr>
          <w:rFonts w:hint="eastAsia" w:ascii="宋体" w:hAnsi="宋体" w:cs="仿宋_GB2312"/>
          <w:sz w:val="24"/>
          <w:lang w:eastAsia="zh-CN"/>
        </w:rPr>
        <w:t>供应商</w:t>
      </w:r>
      <w:r>
        <w:rPr>
          <w:rFonts w:hint="eastAsia" w:ascii="宋体" w:hAnsi="宋体" w:cs="仿宋_GB2312"/>
          <w:sz w:val="24"/>
        </w:rPr>
        <w:t>负责，</w:t>
      </w:r>
      <w:r>
        <w:rPr>
          <w:rFonts w:hint="eastAsia" w:ascii="宋体" w:hAnsi="宋体" w:cs="仿宋_GB2312"/>
          <w:sz w:val="24"/>
          <w:lang w:eastAsia="zh-CN"/>
        </w:rPr>
        <w:t>维修</w:t>
      </w:r>
      <w:r>
        <w:rPr>
          <w:rFonts w:hint="eastAsia" w:ascii="宋体" w:hAnsi="宋体" w:cs="仿宋_GB2312"/>
          <w:sz w:val="24"/>
        </w:rPr>
        <w:t>人员应经过业务培训，方可上岗操作，并应掌握应知应会的施工安全技术，施工前应穿戴好工作服，方可进行施工操作；施工现场以及存放材料的库房，必须通风良好，严禁烟火，有相应的防火措施，施工时要配备必须的灭火设备等消防器材，施工现场不准混放易燃、易爆物品。</w:t>
      </w:r>
      <w:r>
        <w:rPr>
          <w:rFonts w:hint="eastAsia" w:ascii="宋体" w:hAnsi="宋体" w:cs="宋体"/>
          <w:b/>
          <w:bCs/>
          <w:color w:val="000000"/>
          <w:sz w:val="24"/>
        </w:rPr>
        <w:t>（提供承诺函原件并加盖单位鲜章）</w:t>
      </w:r>
    </w:p>
    <w:p>
      <w:pPr>
        <w:spacing w:line="360" w:lineRule="auto"/>
        <w:ind w:right="-94" w:rightChars="-39" w:firstLine="482" w:firstLineChars="200"/>
        <w:jc w:val="left"/>
        <w:rPr>
          <w:rFonts w:hint="eastAsia" w:ascii="宋体" w:hAnsi="宋体" w:eastAsia="宋体" w:cs="宋体"/>
          <w:b/>
          <w:bCs w:val="0"/>
          <w:kern w:val="0"/>
          <w:sz w:val="24"/>
        </w:rPr>
      </w:pPr>
      <w:r>
        <w:rPr>
          <w:rFonts w:hint="eastAsia" w:ascii="宋体" w:hAnsi="宋体" w:eastAsia="宋体" w:cs="宋体"/>
          <w:b/>
          <w:bCs w:val="0"/>
          <w:kern w:val="0"/>
          <w:sz w:val="24"/>
          <w:lang w:val="en-US" w:eastAsia="zh-CN"/>
        </w:rPr>
        <w:t>备注：其他未尽事宜，由采购人与成交供应商另行协商解决。</w:t>
      </w:r>
    </w:p>
    <w:p>
      <w:pPr>
        <w:pStyle w:val="2"/>
        <w:rPr>
          <w:rFonts w:hint="eastAsia" w:ascii="宋体" w:hAnsi="宋体" w:eastAsia="宋体" w:cs="宋体"/>
          <w:b/>
          <w:color w:val="auto"/>
          <w:highlight w:val="none"/>
          <w:lang w:eastAsia="zh-CN"/>
        </w:rPr>
      </w:pPr>
    </w:p>
    <w:p>
      <w:pPr>
        <w:pStyle w:val="25"/>
        <w:rPr>
          <w:rFonts w:hint="eastAsia"/>
          <w:color w:val="auto"/>
          <w:highlight w:val="none"/>
          <w:lang w:eastAsia="zh-CN"/>
        </w:rPr>
      </w:pPr>
    </w:p>
    <w:p>
      <w:pPr>
        <w:rPr>
          <w:rFonts w:hint="eastAsia" w:ascii="宋体" w:hAnsi="宋体" w:eastAsia="宋体" w:cs="宋体"/>
          <w:b/>
          <w:bCs/>
          <w:color w:val="auto"/>
          <w:kern w:val="2"/>
          <w:sz w:val="28"/>
          <w:szCs w:val="28"/>
          <w:highlight w:val="none"/>
          <w:lang w:val="zh-TW" w:eastAsia="zh-CN" w:bidi="ar-SA"/>
        </w:rPr>
      </w:pPr>
      <w:r>
        <w:rPr>
          <w:rFonts w:hint="eastAsia" w:ascii="宋体" w:hAnsi="宋体" w:eastAsia="宋体" w:cs="宋体"/>
          <w:b/>
          <w:bCs/>
          <w:color w:val="auto"/>
          <w:kern w:val="2"/>
          <w:sz w:val="28"/>
          <w:szCs w:val="28"/>
          <w:highlight w:val="none"/>
          <w:lang w:val="zh-TW" w:eastAsia="zh-CN" w:bidi="ar-SA"/>
        </w:rPr>
        <w:br w:type="page"/>
      </w:r>
    </w:p>
    <w:p>
      <w:pPr>
        <w:ind w:left="0" w:leftChars="0" w:firstLine="2530" w:firstLineChars="900"/>
        <w:rPr>
          <w:rFonts w:hint="eastAsia" w:ascii="宋体" w:hAnsi="宋体" w:eastAsia="宋体" w:cs="宋体"/>
          <w:b/>
          <w:bCs/>
          <w:color w:val="auto"/>
          <w:kern w:val="2"/>
          <w:sz w:val="28"/>
          <w:szCs w:val="28"/>
          <w:highlight w:val="none"/>
          <w:lang w:val="zh-TW" w:eastAsia="zh-CN" w:bidi="ar-SA"/>
        </w:rPr>
      </w:pPr>
      <w:r>
        <w:rPr>
          <w:rFonts w:hint="eastAsia" w:ascii="宋体" w:hAnsi="宋体" w:eastAsia="宋体" w:cs="宋体"/>
          <w:b/>
          <w:bCs/>
          <w:color w:val="auto"/>
          <w:kern w:val="2"/>
          <w:sz w:val="28"/>
          <w:szCs w:val="28"/>
          <w:highlight w:val="none"/>
          <w:lang w:val="zh-TW" w:eastAsia="zh-CN" w:bidi="ar-SA"/>
        </w:rPr>
        <w:t>第六章  响应文件格式</w:t>
      </w:r>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12"/>
        <w:spacing w:afterLines="50" w:line="360" w:lineRule="auto"/>
        <w:ind w:right="-94" w:rightChars="-39" w:firstLine="480"/>
        <w:rPr>
          <w:rFonts w:hint="eastAsia" w:ascii="宋体" w:hAnsi="宋体" w:eastAsia="宋体" w:cs="宋体"/>
          <w:color w:val="auto"/>
          <w:highlight w:val="none"/>
        </w:rPr>
      </w:pPr>
    </w:p>
    <w:p>
      <w:pPr>
        <w:pStyle w:val="12"/>
        <w:spacing w:afterLines="50"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一、本章所制响应文件格式，除格式中明确将该格式作为实质性要求的，一律不具有强制性。</w:t>
      </w:r>
    </w:p>
    <w:p>
      <w:pPr>
        <w:pStyle w:val="12"/>
        <w:spacing w:afterLines="50"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二、本章所制响应文件格式有关表格中的备注栏，由供应商根据自身响应情况作解释性说明，不作为必填项。</w:t>
      </w:r>
    </w:p>
    <w:p>
      <w:pPr>
        <w:pStyle w:val="12"/>
        <w:spacing w:afterLines="50"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三、本章所制响应文件格式中需要填写的相关内容事项，可能会与本采购项目无关，在不改变响应文件原义、不影响本项目采购需求的情况下，供应商可以不予填写，但应当注明。</w:t>
      </w:r>
    </w:p>
    <w:p>
      <w:pPr>
        <w:tabs>
          <w:tab w:val="left" w:pos="7665"/>
        </w:tabs>
        <w:spacing w:line="360" w:lineRule="auto"/>
        <w:ind w:right="-94" w:rightChars="-39" w:firstLine="482"/>
        <w:rPr>
          <w:rFonts w:hint="eastAsia" w:ascii="宋体" w:hAnsi="宋体" w:eastAsia="宋体" w:cs="宋体"/>
          <w:b/>
          <w:color w:val="auto"/>
          <w:highlight w:val="none"/>
          <w:lang w:val="zh-CN"/>
        </w:rPr>
      </w:pPr>
      <w:r>
        <w:rPr>
          <w:rFonts w:hint="eastAsia" w:ascii="宋体" w:hAnsi="宋体" w:eastAsia="宋体" w:cs="宋体"/>
          <w:b/>
          <w:color w:val="auto"/>
          <w:highlight w:val="none"/>
          <w:lang w:val="zh-CN"/>
        </w:rPr>
        <w:br w:type="textWrapping"/>
      </w:r>
    </w:p>
    <w:p>
      <w:pPr>
        <w:tabs>
          <w:tab w:val="left" w:pos="7665"/>
        </w:tabs>
        <w:spacing w:line="360" w:lineRule="auto"/>
        <w:ind w:right="-94" w:rightChars="-39" w:firstLine="482"/>
        <w:rPr>
          <w:rFonts w:hint="eastAsia" w:ascii="宋体" w:hAnsi="宋体" w:eastAsia="宋体" w:cs="宋体"/>
          <w:color w:val="auto"/>
          <w:highlight w:val="none"/>
        </w:rPr>
      </w:pPr>
      <w:r>
        <w:rPr>
          <w:rFonts w:hint="eastAsia" w:ascii="宋体" w:hAnsi="宋体" w:eastAsia="宋体" w:cs="宋体"/>
          <w:b/>
          <w:color w:val="auto"/>
          <w:highlight w:val="none"/>
          <w:lang w:val="zh-CN"/>
        </w:rPr>
        <w:br w:type="page"/>
      </w:r>
      <w:bookmarkStart w:id="716" w:name="_Toc9438765"/>
      <w:bookmarkStart w:id="717" w:name="_Toc12006360"/>
      <w:bookmarkStart w:id="718" w:name="_Toc9917"/>
      <w:bookmarkStart w:id="719" w:name="_Toc517422515"/>
      <w:bookmarkStart w:id="720" w:name="_Toc15468"/>
      <w:bookmarkStart w:id="721" w:name="_Toc18194"/>
      <w:bookmarkStart w:id="722" w:name="_Toc22070"/>
      <w:bookmarkStart w:id="723" w:name="_Toc2871"/>
      <w:bookmarkStart w:id="724" w:name="_Toc32618"/>
      <w:bookmarkStart w:id="725" w:name="_Toc14353"/>
      <w:bookmarkStart w:id="726" w:name="_Toc517423543"/>
      <w:bookmarkStart w:id="727" w:name="_Toc28688"/>
      <w:r>
        <w:rPr>
          <w:rFonts w:hint="eastAsia" w:ascii="宋体" w:hAnsi="宋体" w:eastAsia="宋体" w:cs="宋体"/>
          <w:color w:val="auto"/>
          <w:highlight w:val="none"/>
        </w:rPr>
        <w:t>响应文件封面格式</w:t>
      </w:r>
    </w:p>
    <w:p>
      <w:pPr>
        <w:spacing w:line="360" w:lineRule="auto"/>
        <w:ind w:right="-94" w:rightChars="-39" w:firstLine="480"/>
        <w:rPr>
          <w:rFonts w:hint="eastAsia" w:ascii="宋体" w:hAnsi="宋体" w:eastAsia="宋体" w:cs="宋体"/>
          <w:bCs/>
          <w:color w:val="auto"/>
          <w:szCs w:val="21"/>
          <w:highlight w:val="none"/>
        </w:rPr>
      </w:pPr>
      <w:r>
        <w:rPr>
          <w:rFonts w:hint="eastAsia" w:ascii="宋体" w:hAnsi="宋体" w:eastAsia="宋体" w:cs="宋体"/>
          <w:color w:val="auto"/>
          <w:szCs w:val="22"/>
          <w:highlight w:val="none"/>
        </w:rPr>
        <mc:AlternateContent>
          <mc:Choice Requires="wps">
            <w:drawing>
              <wp:anchor distT="0" distB="0" distL="114300" distR="114300" simplePos="0" relativeHeight="251661312" behindDoc="0" locked="0" layoutInCell="1" allowOverlap="1">
                <wp:simplePos x="0" y="0"/>
                <wp:positionH relativeFrom="column">
                  <wp:posOffset>4055745</wp:posOffset>
                </wp:positionH>
                <wp:positionV relativeFrom="paragraph">
                  <wp:posOffset>169545</wp:posOffset>
                </wp:positionV>
                <wp:extent cx="1137285" cy="393065"/>
                <wp:effectExtent l="4445" t="4445" r="20320" b="21590"/>
                <wp:wrapNone/>
                <wp:docPr id="19" name="矩形 19"/>
                <wp:cNvGraphicFramePr/>
                <a:graphic xmlns:a="http://schemas.openxmlformats.org/drawingml/2006/main">
                  <a:graphicData uri="http://schemas.microsoft.com/office/word/2010/wordprocessingShape">
                    <wps:wsp>
                      <wps:cNvSpPr/>
                      <wps:spPr>
                        <a:xfrm>
                          <a:off x="0" y="0"/>
                          <a:ext cx="1137285" cy="3930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rPr>
                                <w:rFonts w:ascii="黑体" w:eastAsia="黑体"/>
                                <w:b/>
                                <w:sz w:val="28"/>
                                <w:szCs w:val="28"/>
                              </w:rPr>
                            </w:pPr>
                            <w:r>
                              <w:rPr>
                                <w:rFonts w:hint="eastAsia" w:ascii="黑体" w:eastAsia="黑体"/>
                                <w:b/>
                                <w:sz w:val="28"/>
                                <w:szCs w:val="28"/>
                              </w:rPr>
                              <w:t>正本或副本</w:t>
                            </w:r>
                          </w:p>
                        </w:txbxContent>
                      </wps:txbx>
                      <wps:bodyPr upright="1">
                        <a:spAutoFit/>
                      </wps:bodyPr>
                    </wps:wsp>
                  </a:graphicData>
                </a:graphic>
              </wp:anchor>
            </w:drawing>
          </mc:Choice>
          <mc:Fallback>
            <w:pict>
              <v:rect id="_x0000_s1026" o:spid="_x0000_s1026" o:spt="1" style="position:absolute;left:0pt;margin-left:319.35pt;margin-top:13.35pt;height:30.95pt;width:89.55pt;z-index:251661312;mso-width-relative:page;mso-height-relative:page;" fillcolor="#FFFFFF" filled="t" stroked="t" coordsize="21600,21600" o:gfxdata="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dcXNW1wAAAAkBAAAPAAAAAAAA&#10;AAEAIAAAACIAAABkcnMvZG93bnJldi54bWxQSwECFAAUAAAACACHTuJA6s15mhMCAABTBAAADgAA&#10;AAAAAAABACAAAAAmAQAAZHJzL2Uyb0RvYy54bWxQSwUGAAAAAAYABgBZAQAAqwUAAAAA&#10;">
                <v:fill on="t" focussize="0,0"/>
                <v:stroke color="#000000" joinstyle="miter"/>
                <v:imagedata o:title=""/>
                <o:lock v:ext="edit" aspectratio="f"/>
                <v:textbox style="mso-fit-shape-to-text:t;">
                  <w:txbxContent>
                    <w:p>
                      <w:pPr>
                        <w:ind w:firstLine="0" w:firstLineChars="0"/>
                        <w:rPr>
                          <w:rFonts w:ascii="黑体" w:eastAsia="黑体"/>
                          <w:b/>
                          <w:sz w:val="28"/>
                          <w:szCs w:val="28"/>
                        </w:rPr>
                      </w:pPr>
                      <w:r>
                        <w:rPr>
                          <w:rFonts w:hint="eastAsia" w:ascii="黑体" w:eastAsia="黑体"/>
                          <w:b/>
                          <w:sz w:val="28"/>
                          <w:szCs w:val="28"/>
                        </w:rPr>
                        <w:t>正本或副本</w:t>
                      </w:r>
                    </w:p>
                  </w:txbxContent>
                </v:textbox>
              </v:rect>
            </w:pict>
          </mc:Fallback>
        </mc:AlternateContent>
      </w:r>
    </w:p>
    <w:p>
      <w:pPr>
        <w:spacing w:line="360" w:lineRule="auto"/>
        <w:ind w:right="-94" w:rightChars="-39" w:firstLine="480"/>
        <w:rPr>
          <w:rFonts w:hint="eastAsia" w:ascii="宋体" w:hAnsi="宋体" w:eastAsia="宋体" w:cs="宋体"/>
          <w:bCs/>
          <w:color w:val="auto"/>
          <w:szCs w:val="21"/>
          <w:highlight w:val="none"/>
        </w:rPr>
      </w:pPr>
    </w:p>
    <w:p>
      <w:pPr>
        <w:spacing w:line="360" w:lineRule="auto"/>
        <w:ind w:right="-94" w:rightChars="-39" w:firstLine="480"/>
        <w:rPr>
          <w:rFonts w:hint="eastAsia" w:ascii="宋体" w:hAnsi="宋体" w:eastAsia="宋体" w:cs="宋体"/>
          <w:bCs/>
          <w:color w:val="auto"/>
          <w:szCs w:val="21"/>
          <w:highlight w:val="none"/>
        </w:rPr>
      </w:pPr>
    </w:p>
    <w:p>
      <w:pPr>
        <w:spacing w:line="360" w:lineRule="auto"/>
        <w:ind w:right="-94" w:rightChars="-39" w:firstLine="480"/>
        <w:jc w:val="right"/>
        <w:rPr>
          <w:rFonts w:hint="eastAsia" w:ascii="宋体" w:hAnsi="宋体" w:eastAsia="宋体" w:cs="宋体"/>
          <w:color w:val="auto"/>
          <w:highlight w:val="none"/>
        </w:rPr>
      </w:pPr>
    </w:p>
    <w:p>
      <w:pPr>
        <w:pStyle w:val="4"/>
        <w:spacing w:line="360" w:lineRule="auto"/>
        <w:ind w:right="-94" w:rightChars="-39"/>
        <w:rPr>
          <w:rFonts w:hint="eastAsia" w:ascii="宋体" w:hAnsi="宋体" w:eastAsia="宋体" w:cs="宋体"/>
          <w:color w:val="auto"/>
          <w:highlight w:val="none"/>
        </w:rPr>
      </w:pPr>
      <w:bookmarkStart w:id="728" w:name="_Toc31774"/>
      <w:bookmarkStart w:id="729" w:name="_Toc517423523"/>
      <w:bookmarkStart w:id="730" w:name="_Toc30609"/>
      <w:bookmarkStart w:id="731" w:name="_Toc27"/>
      <w:bookmarkStart w:id="732" w:name="_Toc517422495"/>
      <w:bookmarkStart w:id="733" w:name="_Toc22497"/>
      <w:bookmarkStart w:id="734" w:name="_Toc13243"/>
      <w:bookmarkStart w:id="735" w:name="_Toc6917"/>
      <w:bookmarkStart w:id="736" w:name="_Toc25606"/>
      <w:r>
        <w:rPr>
          <w:rFonts w:hint="eastAsia" w:ascii="宋体" w:hAnsi="宋体" w:eastAsia="宋体" w:cs="宋体"/>
          <w:color w:val="auto"/>
          <w:highlight w:val="none"/>
        </w:rPr>
        <w:t>资格性响应文件</w:t>
      </w:r>
      <w:bookmarkEnd w:id="728"/>
      <w:bookmarkEnd w:id="729"/>
      <w:bookmarkEnd w:id="730"/>
      <w:bookmarkEnd w:id="731"/>
      <w:bookmarkEnd w:id="732"/>
      <w:bookmarkEnd w:id="733"/>
      <w:bookmarkEnd w:id="734"/>
      <w:bookmarkEnd w:id="735"/>
      <w:bookmarkEnd w:id="736"/>
    </w:p>
    <w:p>
      <w:pPr>
        <w:spacing w:line="360" w:lineRule="auto"/>
        <w:ind w:right="-94" w:rightChars="-39" w:firstLine="2712"/>
        <w:jc w:val="center"/>
        <w:rPr>
          <w:rFonts w:hint="eastAsia" w:ascii="宋体" w:hAnsi="宋体" w:eastAsia="宋体" w:cs="宋体"/>
          <w:color w:val="auto"/>
          <w:spacing w:val="78"/>
          <w:sz w:val="120"/>
          <w:szCs w:val="120"/>
          <w:highlight w:val="none"/>
        </w:rPr>
      </w:pPr>
    </w:p>
    <w:p>
      <w:pPr>
        <w:spacing w:line="360" w:lineRule="auto"/>
        <w:ind w:right="-94" w:rightChars="-39" w:firstLine="2168" w:firstLineChars="675"/>
        <w:rPr>
          <w:rFonts w:hint="eastAsia" w:ascii="宋体" w:hAnsi="宋体" w:eastAsia="宋体" w:cs="宋体"/>
          <w:b/>
          <w:bCs/>
          <w:color w:val="auto"/>
          <w:sz w:val="32"/>
          <w:szCs w:val="32"/>
          <w:highlight w:val="none"/>
          <w:u w:val="single"/>
        </w:rPr>
      </w:pPr>
      <w:r>
        <w:rPr>
          <w:rFonts w:hint="eastAsia" w:ascii="宋体" w:hAnsi="宋体" w:eastAsia="宋体" w:cs="宋体"/>
          <w:b/>
          <w:bCs/>
          <w:color w:val="auto"/>
          <w:sz w:val="32"/>
          <w:szCs w:val="32"/>
          <w:highlight w:val="none"/>
        </w:rPr>
        <w:t>项目名称：</w:t>
      </w:r>
      <w:r>
        <w:rPr>
          <w:rFonts w:hint="eastAsia" w:ascii="宋体" w:hAnsi="宋体" w:eastAsia="宋体" w:cs="宋体"/>
          <w:b/>
          <w:bCs/>
          <w:color w:val="auto"/>
          <w:sz w:val="32"/>
          <w:szCs w:val="32"/>
          <w:highlight w:val="none"/>
          <w:u w:val="single"/>
        </w:rPr>
        <w:t xml:space="preserve">                    </w:t>
      </w:r>
    </w:p>
    <w:p>
      <w:pPr>
        <w:spacing w:line="360" w:lineRule="auto"/>
        <w:ind w:right="-94" w:rightChars="-39" w:firstLine="2168" w:firstLineChars="675"/>
        <w:rPr>
          <w:rFonts w:hint="eastAsia" w:ascii="宋体" w:hAnsi="宋体" w:eastAsia="宋体" w:cs="宋体"/>
          <w:b/>
          <w:bCs/>
          <w:color w:val="auto"/>
          <w:sz w:val="32"/>
          <w:szCs w:val="32"/>
          <w:highlight w:val="none"/>
          <w:u w:val="single"/>
        </w:rPr>
      </w:pPr>
      <w:r>
        <w:rPr>
          <w:rFonts w:hint="eastAsia" w:ascii="宋体" w:hAnsi="宋体" w:eastAsia="宋体" w:cs="宋体"/>
          <w:b/>
          <w:bCs/>
          <w:color w:val="auto"/>
          <w:sz w:val="32"/>
          <w:szCs w:val="32"/>
          <w:highlight w:val="none"/>
        </w:rPr>
        <w:t>项目编号：</w:t>
      </w:r>
      <w:r>
        <w:rPr>
          <w:rFonts w:hint="eastAsia" w:ascii="宋体" w:hAnsi="宋体" w:eastAsia="宋体" w:cs="宋体"/>
          <w:b/>
          <w:bCs/>
          <w:color w:val="auto"/>
          <w:sz w:val="32"/>
          <w:szCs w:val="32"/>
          <w:highlight w:val="none"/>
          <w:u w:val="single"/>
        </w:rPr>
        <w:t xml:space="preserve">                    </w:t>
      </w:r>
    </w:p>
    <w:p>
      <w:pPr>
        <w:spacing w:line="360" w:lineRule="auto"/>
        <w:ind w:right="-94" w:rightChars="-39" w:firstLine="2168" w:firstLineChars="675"/>
        <w:rPr>
          <w:rFonts w:hint="eastAsia" w:ascii="宋体" w:hAnsi="宋体" w:eastAsia="宋体" w:cs="宋体"/>
          <w:b/>
          <w:bCs/>
          <w:color w:val="auto"/>
          <w:sz w:val="32"/>
          <w:szCs w:val="32"/>
          <w:highlight w:val="none"/>
        </w:rPr>
      </w:pPr>
    </w:p>
    <w:p>
      <w:pPr>
        <w:spacing w:line="360" w:lineRule="auto"/>
        <w:ind w:right="-94" w:rightChars="-39" w:firstLine="2168" w:firstLineChars="675"/>
        <w:rPr>
          <w:rFonts w:hint="eastAsia" w:ascii="宋体" w:hAnsi="宋体" w:eastAsia="宋体" w:cs="宋体"/>
          <w:b/>
          <w:bCs/>
          <w:color w:val="auto"/>
          <w:sz w:val="32"/>
          <w:szCs w:val="32"/>
          <w:highlight w:val="none"/>
        </w:rPr>
      </w:pPr>
    </w:p>
    <w:p>
      <w:pPr>
        <w:spacing w:line="360" w:lineRule="auto"/>
        <w:ind w:right="-94" w:rightChars="-39" w:firstLine="2168" w:firstLineChars="675"/>
        <w:rPr>
          <w:rFonts w:hint="eastAsia" w:ascii="宋体" w:hAnsi="宋体" w:eastAsia="宋体" w:cs="宋体"/>
          <w:b/>
          <w:bCs/>
          <w:color w:val="auto"/>
          <w:sz w:val="32"/>
          <w:szCs w:val="32"/>
          <w:highlight w:val="none"/>
        </w:rPr>
      </w:pPr>
    </w:p>
    <w:p>
      <w:pPr>
        <w:spacing w:line="360" w:lineRule="auto"/>
        <w:ind w:right="-94" w:rightChars="-39" w:firstLine="2168" w:firstLineChars="675"/>
        <w:rPr>
          <w:rFonts w:hint="eastAsia" w:ascii="宋体" w:hAnsi="宋体" w:eastAsia="宋体" w:cs="宋体"/>
          <w:b/>
          <w:bCs/>
          <w:color w:val="auto"/>
          <w:sz w:val="32"/>
          <w:szCs w:val="32"/>
          <w:highlight w:val="none"/>
          <w:u w:val="single"/>
        </w:rPr>
      </w:pPr>
      <w:r>
        <w:rPr>
          <w:rFonts w:hint="eastAsia" w:ascii="宋体" w:hAnsi="宋体" w:eastAsia="宋体" w:cs="宋体"/>
          <w:b/>
          <w:bCs/>
          <w:color w:val="auto"/>
          <w:sz w:val="32"/>
          <w:szCs w:val="32"/>
          <w:highlight w:val="none"/>
        </w:rPr>
        <w:t>供应商名称：</w:t>
      </w:r>
      <w:r>
        <w:rPr>
          <w:rFonts w:hint="eastAsia" w:ascii="宋体" w:hAnsi="宋体" w:eastAsia="宋体" w:cs="宋体"/>
          <w:b/>
          <w:bCs/>
          <w:color w:val="auto"/>
          <w:sz w:val="32"/>
          <w:szCs w:val="32"/>
          <w:highlight w:val="none"/>
          <w:u w:val="single"/>
        </w:rPr>
        <w:t xml:space="preserve">                    </w:t>
      </w:r>
    </w:p>
    <w:p>
      <w:pPr>
        <w:spacing w:line="360" w:lineRule="auto"/>
        <w:ind w:right="-94" w:rightChars="-39" w:firstLine="2188" w:firstLineChars="681"/>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日期：</w:t>
      </w:r>
      <w:r>
        <w:rPr>
          <w:rFonts w:hint="eastAsia" w:ascii="宋体" w:hAnsi="宋体" w:eastAsia="宋体" w:cs="宋体"/>
          <w:b/>
          <w:bCs/>
          <w:color w:val="auto"/>
          <w:sz w:val="32"/>
          <w:szCs w:val="32"/>
          <w:highlight w:val="none"/>
          <w:u w:val="single"/>
        </w:rPr>
        <w:t xml:space="preserve">   </w:t>
      </w:r>
      <w:r>
        <w:rPr>
          <w:rFonts w:hint="eastAsia" w:ascii="宋体" w:hAnsi="宋体" w:eastAsia="宋体" w:cs="宋体"/>
          <w:b/>
          <w:bCs/>
          <w:color w:val="auto"/>
          <w:sz w:val="32"/>
          <w:szCs w:val="32"/>
          <w:highlight w:val="none"/>
        </w:rPr>
        <w:t>年</w:t>
      </w:r>
      <w:r>
        <w:rPr>
          <w:rFonts w:hint="eastAsia" w:ascii="宋体" w:hAnsi="宋体" w:eastAsia="宋体" w:cs="宋体"/>
          <w:b/>
          <w:bCs/>
          <w:color w:val="auto"/>
          <w:sz w:val="32"/>
          <w:szCs w:val="32"/>
          <w:highlight w:val="none"/>
          <w:u w:val="single"/>
        </w:rPr>
        <w:t xml:space="preserve">   </w:t>
      </w:r>
      <w:r>
        <w:rPr>
          <w:rFonts w:hint="eastAsia" w:ascii="宋体" w:hAnsi="宋体" w:eastAsia="宋体" w:cs="宋体"/>
          <w:b/>
          <w:bCs/>
          <w:color w:val="auto"/>
          <w:sz w:val="32"/>
          <w:szCs w:val="32"/>
          <w:highlight w:val="none"/>
        </w:rPr>
        <w:t>月</w:t>
      </w:r>
      <w:r>
        <w:rPr>
          <w:rFonts w:hint="eastAsia" w:ascii="宋体" w:hAnsi="宋体" w:eastAsia="宋体" w:cs="宋体"/>
          <w:b/>
          <w:bCs/>
          <w:color w:val="auto"/>
          <w:sz w:val="32"/>
          <w:szCs w:val="32"/>
          <w:highlight w:val="none"/>
          <w:u w:val="single"/>
        </w:rPr>
        <w:t xml:space="preserve">  </w:t>
      </w:r>
      <w:r>
        <w:rPr>
          <w:rFonts w:hint="eastAsia" w:ascii="宋体" w:hAnsi="宋体" w:eastAsia="宋体" w:cs="宋体"/>
          <w:b/>
          <w:bCs/>
          <w:color w:val="auto"/>
          <w:sz w:val="32"/>
          <w:szCs w:val="32"/>
          <w:highlight w:val="none"/>
        </w:rPr>
        <w:t>日</w:t>
      </w:r>
    </w:p>
    <w:p>
      <w:pPr>
        <w:tabs>
          <w:tab w:val="left" w:pos="900"/>
        </w:tabs>
        <w:spacing w:line="360" w:lineRule="auto"/>
        <w:ind w:right="-94" w:rightChars="-39" w:firstLine="643"/>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br w:type="page"/>
      </w:r>
    </w:p>
    <w:p>
      <w:pPr>
        <w:pStyle w:val="5"/>
        <w:spacing w:line="360" w:lineRule="auto"/>
        <w:ind w:right="-94" w:rightChars="-39" w:firstLine="0" w:firstLineChars="0"/>
        <w:jc w:val="center"/>
        <w:rPr>
          <w:rFonts w:hint="eastAsia" w:ascii="宋体" w:hAnsi="宋体" w:eastAsia="宋体" w:cs="宋体"/>
          <w:color w:val="auto"/>
          <w:sz w:val="32"/>
          <w:highlight w:val="none"/>
        </w:rPr>
      </w:pPr>
      <w:bookmarkStart w:id="737" w:name="_Toc17362"/>
      <w:bookmarkStart w:id="738" w:name="_Toc11032"/>
      <w:bookmarkStart w:id="739" w:name="_Toc517422496"/>
      <w:bookmarkStart w:id="740" w:name="_Toc11612"/>
      <w:bookmarkStart w:id="741" w:name="_Toc3900"/>
      <w:bookmarkStart w:id="742" w:name="_Toc31811"/>
      <w:bookmarkStart w:id="743" w:name="_Toc517423524"/>
      <w:bookmarkStart w:id="744" w:name="_Toc15547"/>
      <w:bookmarkStart w:id="745" w:name="_Toc22318"/>
      <w:r>
        <w:rPr>
          <w:rFonts w:hint="eastAsia" w:ascii="宋体" w:hAnsi="宋体" w:eastAsia="宋体" w:cs="宋体"/>
          <w:color w:val="auto"/>
          <w:sz w:val="32"/>
          <w:highlight w:val="none"/>
        </w:rPr>
        <w:t>一、法定代表人授权书</w:t>
      </w:r>
      <w:bookmarkEnd w:id="737"/>
      <w:bookmarkEnd w:id="738"/>
      <w:bookmarkEnd w:id="739"/>
      <w:bookmarkEnd w:id="740"/>
      <w:bookmarkEnd w:id="741"/>
      <w:bookmarkEnd w:id="742"/>
      <w:bookmarkEnd w:id="743"/>
      <w:bookmarkEnd w:id="744"/>
      <w:bookmarkEnd w:id="745"/>
    </w:p>
    <w:p>
      <w:pPr>
        <w:spacing w:line="360" w:lineRule="auto"/>
        <w:ind w:right="-94" w:rightChars="-39" w:firstLine="0" w:firstLineChars="0"/>
        <w:rPr>
          <w:rFonts w:hint="eastAsia" w:ascii="宋体" w:hAnsi="宋体" w:eastAsia="宋体" w:cs="宋体"/>
          <w:color w:val="auto"/>
          <w:highlight w:val="none"/>
        </w:rPr>
      </w:pP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（采购代理机构名称）：</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本授权声明：</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（单位名称）,</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（法定代表人姓名、职务）授权</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（被授权人姓名、职务）为我方参加“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”项目（项目编号：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）磋商采购活动的合法代表，以我方名义全权处理该项目有关磋商、报价、签订合同以及执行合同等一切事宜。</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特此声明。</w:t>
      </w:r>
    </w:p>
    <w:p>
      <w:pPr>
        <w:spacing w:line="360" w:lineRule="auto"/>
        <w:ind w:right="-94" w:rightChars="-39" w:firstLine="480"/>
        <w:rPr>
          <w:rFonts w:hint="eastAsia" w:ascii="宋体" w:hAnsi="宋体" w:eastAsia="宋体" w:cs="宋体"/>
          <w:color w:val="auto"/>
          <w:highlight w:val="none"/>
        </w:rPr>
      </w:pPr>
    </w:p>
    <w:p>
      <w:pPr>
        <w:wordWrap w:val="0"/>
        <w:topLinePunct/>
        <w:spacing w:line="360" w:lineRule="auto"/>
        <w:ind w:right="-94" w:rightChars="-39" w:firstLine="482"/>
        <w:rPr>
          <w:rFonts w:hint="eastAsia" w:ascii="宋体" w:hAnsi="宋体" w:eastAsia="宋体" w:cs="宋体"/>
          <w:b/>
          <w:color w:val="auto"/>
          <w:highlight w:val="none"/>
        </w:rPr>
      </w:pPr>
      <w:r>
        <w:rPr>
          <w:rFonts w:hint="eastAsia" w:ascii="宋体" w:hAnsi="宋体" w:eastAsia="宋体" w:cs="宋体"/>
          <w:b/>
          <w:color w:val="auto"/>
          <w:highlight w:val="none"/>
        </w:rPr>
        <w:t>附：法定代表人和被授权人身份证复印件正反面</w:t>
      </w:r>
      <w:r>
        <w:rPr>
          <w:rFonts w:hint="eastAsia" w:ascii="宋体" w:hAnsi="宋体" w:eastAsia="宋体" w:cs="宋体"/>
          <w:b/>
          <w:bCs/>
          <w:color w:val="auto"/>
          <w:highlight w:val="none"/>
        </w:rPr>
        <w:t>(供应商的法定代表人为外籍人士的，则提供护照复印件)</w:t>
      </w:r>
    </w:p>
    <w:p>
      <w:pPr>
        <w:spacing w:line="360" w:lineRule="auto"/>
        <w:ind w:right="-94" w:rightChars="-39" w:firstLine="480"/>
        <w:rPr>
          <w:rFonts w:hint="eastAsia" w:ascii="宋体" w:hAnsi="宋体" w:eastAsia="宋体" w:cs="宋体"/>
          <w:color w:val="auto"/>
          <w:highlight w:val="none"/>
        </w:rPr>
      </w:pP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供应商名称（盖单位公章）：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spacing w:line="360" w:lineRule="auto"/>
        <w:ind w:right="-94" w:rightChars="-39" w:firstLine="480"/>
        <w:rPr>
          <w:rFonts w:hint="eastAsia" w:ascii="宋体" w:hAnsi="宋体" w:eastAsia="宋体" w:cs="宋体"/>
          <w:color w:val="auto"/>
          <w:highlight w:val="none"/>
          <w:u w:val="single"/>
        </w:rPr>
      </w:pPr>
      <w:r>
        <w:rPr>
          <w:rFonts w:hint="eastAsia" w:ascii="宋体" w:hAnsi="宋体" w:eastAsia="宋体" w:cs="宋体"/>
          <w:color w:val="auto"/>
          <w:highlight w:val="none"/>
        </w:rPr>
        <w:t>法定代表人（签字或加盖个人签名章）：</w:t>
      </w:r>
      <w:r>
        <w:rPr>
          <w:rFonts w:hint="eastAsia" w:ascii="宋体" w:hAnsi="宋体" w:eastAsia="宋体" w:cs="宋体"/>
          <w:color w:val="auto"/>
          <w:highlight w:val="none"/>
          <w:u w:val="single"/>
        </w:rPr>
        <w:t xml:space="preserve">             </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职    务：</w:t>
      </w:r>
      <w:r>
        <w:rPr>
          <w:rFonts w:hint="eastAsia" w:ascii="宋体" w:hAnsi="宋体" w:eastAsia="宋体" w:cs="宋体"/>
          <w:color w:val="auto"/>
          <w:highlight w:val="none"/>
          <w:u w:val="single"/>
        </w:rPr>
        <w:t xml:space="preserve">              </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被授权人签字：</w:t>
      </w:r>
      <w:r>
        <w:rPr>
          <w:rFonts w:hint="eastAsia" w:ascii="宋体" w:hAnsi="宋体" w:eastAsia="宋体" w:cs="宋体"/>
          <w:color w:val="auto"/>
          <w:highlight w:val="none"/>
          <w:u w:val="single"/>
        </w:rPr>
        <w:t xml:space="preserve">          </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职    务：</w:t>
      </w:r>
      <w:r>
        <w:rPr>
          <w:rFonts w:hint="eastAsia" w:ascii="宋体" w:hAnsi="宋体" w:eastAsia="宋体" w:cs="宋体"/>
          <w:color w:val="auto"/>
          <w:highlight w:val="none"/>
          <w:u w:val="single"/>
        </w:rPr>
        <w:t xml:space="preserve">              </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w:t>
      </w:r>
    </w:p>
    <w:p>
      <w:pPr>
        <w:spacing w:line="360" w:lineRule="auto"/>
        <w:ind w:right="-94" w:rightChars="-39" w:firstLine="480"/>
        <w:rPr>
          <w:rFonts w:hint="eastAsia" w:ascii="宋体" w:hAnsi="宋体" w:eastAsia="宋体" w:cs="宋体"/>
          <w:color w:val="auto"/>
          <w:highlight w:val="none"/>
        </w:rPr>
      </w:pPr>
    </w:p>
    <w:p>
      <w:pPr>
        <w:spacing w:line="360" w:lineRule="auto"/>
        <w:ind w:right="-94" w:rightChars="-39"/>
        <w:rPr>
          <w:rFonts w:hint="eastAsia" w:ascii="宋体" w:hAnsi="宋体" w:eastAsia="宋体" w:cs="宋体"/>
          <w:color w:val="auto"/>
          <w:sz w:val="32"/>
          <w:highlight w:val="none"/>
        </w:rPr>
      </w:pPr>
    </w:p>
    <w:p>
      <w:pPr>
        <w:spacing w:line="360" w:lineRule="auto"/>
        <w:ind w:right="-94" w:rightChars="-39"/>
        <w:rPr>
          <w:rFonts w:hint="eastAsia" w:ascii="宋体" w:hAnsi="宋体" w:eastAsia="宋体" w:cs="宋体"/>
          <w:color w:val="auto"/>
          <w:sz w:val="32"/>
          <w:highlight w:val="none"/>
        </w:rPr>
      </w:pPr>
    </w:p>
    <w:p>
      <w:pPr>
        <w:spacing w:line="360" w:lineRule="auto"/>
        <w:ind w:right="-94" w:rightChars="-39"/>
        <w:rPr>
          <w:rFonts w:hint="eastAsia" w:ascii="宋体" w:hAnsi="宋体" w:eastAsia="宋体" w:cs="宋体"/>
          <w:color w:val="auto"/>
          <w:sz w:val="32"/>
          <w:highlight w:val="none"/>
        </w:rPr>
      </w:pPr>
    </w:p>
    <w:p>
      <w:pPr>
        <w:spacing w:line="360" w:lineRule="auto"/>
        <w:ind w:right="-94" w:rightChars="-39"/>
        <w:rPr>
          <w:rFonts w:hint="eastAsia" w:ascii="宋体" w:hAnsi="宋体" w:eastAsia="宋体" w:cs="宋体"/>
          <w:color w:val="auto"/>
          <w:sz w:val="32"/>
          <w:highlight w:val="none"/>
        </w:rPr>
      </w:pPr>
    </w:p>
    <w:p>
      <w:pPr>
        <w:spacing w:line="360" w:lineRule="auto"/>
        <w:ind w:right="-94" w:rightChars="-39"/>
        <w:rPr>
          <w:rFonts w:hint="eastAsia" w:ascii="宋体" w:hAnsi="宋体" w:eastAsia="宋体" w:cs="宋体"/>
          <w:color w:val="auto"/>
          <w:sz w:val="32"/>
          <w:highlight w:val="none"/>
        </w:rPr>
      </w:pPr>
    </w:p>
    <w:p>
      <w:pPr>
        <w:spacing w:line="360" w:lineRule="auto"/>
        <w:ind w:right="-94" w:rightChars="-39" w:firstLine="643"/>
        <w:jc w:val="center"/>
        <w:rPr>
          <w:rFonts w:hint="eastAsia" w:ascii="宋体" w:hAnsi="宋体" w:eastAsia="宋体" w:cs="宋体"/>
          <w:b/>
          <w:color w:val="auto"/>
          <w:sz w:val="32"/>
          <w:szCs w:val="32"/>
          <w:highlight w:val="none"/>
        </w:rPr>
      </w:pPr>
    </w:p>
    <w:p>
      <w:pPr>
        <w:pStyle w:val="5"/>
        <w:spacing w:line="360" w:lineRule="auto"/>
        <w:ind w:right="-94" w:rightChars="-39" w:firstLineChars="0"/>
        <w:jc w:val="center"/>
        <w:rPr>
          <w:rFonts w:hint="eastAsia" w:ascii="宋体" w:hAnsi="宋体" w:eastAsia="宋体" w:cs="宋体"/>
          <w:color w:val="auto"/>
          <w:highlight w:val="none"/>
        </w:rPr>
      </w:pPr>
      <w:bookmarkStart w:id="746" w:name="_Toc1094"/>
      <w:bookmarkStart w:id="747" w:name="_Toc5249"/>
      <w:bookmarkStart w:id="748" w:name="_Toc13994"/>
      <w:bookmarkStart w:id="749" w:name="_Toc10096"/>
      <w:bookmarkStart w:id="750" w:name="_Toc16520"/>
      <w:bookmarkStart w:id="751" w:name="_Toc3616"/>
      <w:bookmarkStart w:id="752" w:name="_Toc13273"/>
      <w:bookmarkStart w:id="753" w:name="_Toc517422497"/>
      <w:bookmarkStart w:id="754" w:name="_Toc13395"/>
      <w:bookmarkStart w:id="755" w:name="_Toc21365"/>
      <w:bookmarkStart w:id="756" w:name="_Toc517423525"/>
      <w:bookmarkStart w:id="757" w:name="_Toc29454"/>
      <w:r>
        <w:rPr>
          <w:rFonts w:hint="eastAsia" w:ascii="宋体" w:hAnsi="宋体" w:eastAsia="宋体" w:cs="宋体"/>
          <w:color w:val="auto"/>
          <w:sz w:val="32"/>
          <w:highlight w:val="none"/>
        </w:rPr>
        <w:t>二、</w:t>
      </w:r>
      <w:bookmarkStart w:id="758" w:name="_Toc318658791"/>
      <w:bookmarkStart w:id="759" w:name="_Toc312417261"/>
      <w:r>
        <w:rPr>
          <w:rFonts w:hint="eastAsia" w:ascii="宋体" w:hAnsi="宋体" w:eastAsia="宋体" w:cs="宋体"/>
          <w:color w:val="auto"/>
          <w:sz w:val="32"/>
          <w:highlight w:val="none"/>
        </w:rPr>
        <w:t>法定代表人身份证明书</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spacing w:line="360" w:lineRule="auto"/>
        <w:ind w:right="-94" w:rightChars="-39" w:firstLine="960" w:firstLineChars="400"/>
        <w:rPr>
          <w:rFonts w:hint="eastAsia" w:ascii="宋体" w:hAnsi="宋体" w:eastAsia="宋体" w:cs="宋体"/>
          <w:color w:val="auto"/>
          <w:highlight w:val="none"/>
        </w:rPr>
      </w:pPr>
      <w:r>
        <w:rPr>
          <w:rFonts w:hint="eastAsia" w:ascii="宋体" w:hAnsi="宋体" w:eastAsia="宋体" w:cs="宋体"/>
          <w:color w:val="auto"/>
          <w:highlight w:val="none"/>
        </w:rPr>
        <w:t>单位名称:</w:t>
      </w:r>
      <w:r>
        <w:rPr>
          <w:rFonts w:hint="eastAsia" w:ascii="宋体" w:hAnsi="宋体" w:eastAsia="宋体" w:cs="宋体"/>
          <w:color w:val="auto"/>
          <w:highlight w:val="none"/>
          <w:u w:val="single"/>
        </w:rPr>
        <w:t xml:space="preserve">                                           </w:t>
      </w:r>
    </w:p>
    <w:p>
      <w:pPr>
        <w:spacing w:line="360" w:lineRule="auto"/>
        <w:ind w:right="-94" w:rightChars="-39" w:firstLine="960" w:firstLineChars="400"/>
        <w:rPr>
          <w:rFonts w:hint="eastAsia" w:ascii="宋体" w:hAnsi="宋体" w:eastAsia="宋体" w:cs="宋体"/>
          <w:color w:val="auto"/>
          <w:highlight w:val="none"/>
          <w:u w:val="single"/>
        </w:rPr>
      </w:pPr>
      <w:r>
        <w:rPr>
          <w:rFonts w:hint="eastAsia" w:ascii="宋体" w:hAnsi="宋体" w:eastAsia="宋体" w:cs="宋体"/>
          <w:color w:val="auto"/>
          <w:highlight w:val="none"/>
        </w:rPr>
        <w:t>单位性质:</w:t>
      </w:r>
      <w:r>
        <w:rPr>
          <w:rFonts w:hint="eastAsia" w:ascii="宋体" w:hAnsi="宋体" w:eastAsia="宋体" w:cs="宋体"/>
          <w:color w:val="auto"/>
          <w:highlight w:val="none"/>
          <w:u w:val="single"/>
        </w:rPr>
        <w:t xml:space="preserve">                                           </w:t>
      </w:r>
    </w:p>
    <w:p>
      <w:pPr>
        <w:spacing w:line="360" w:lineRule="auto"/>
        <w:ind w:right="-94" w:rightChars="-39" w:firstLine="960" w:firstLineChars="400"/>
        <w:rPr>
          <w:rFonts w:hint="eastAsia" w:ascii="宋体" w:hAnsi="宋体" w:eastAsia="宋体" w:cs="宋体"/>
          <w:color w:val="auto"/>
          <w:highlight w:val="none"/>
        </w:rPr>
      </w:pPr>
      <w:r>
        <w:rPr>
          <w:rFonts w:hint="eastAsia" w:ascii="宋体" w:hAnsi="宋体" w:eastAsia="宋体" w:cs="宋体"/>
          <w:color w:val="auto"/>
          <w:highlight w:val="none"/>
        </w:rPr>
        <w:t>地    址:</w:t>
      </w:r>
      <w:r>
        <w:rPr>
          <w:rFonts w:hint="eastAsia" w:ascii="宋体" w:hAnsi="宋体" w:eastAsia="宋体" w:cs="宋体"/>
          <w:color w:val="auto"/>
          <w:highlight w:val="none"/>
          <w:u w:val="single"/>
        </w:rPr>
        <w:t xml:space="preserve">                                           </w:t>
      </w:r>
    </w:p>
    <w:p>
      <w:pPr>
        <w:spacing w:line="360" w:lineRule="auto"/>
        <w:ind w:right="-94" w:rightChars="-39" w:firstLine="960" w:firstLineChars="400"/>
        <w:rPr>
          <w:rFonts w:hint="eastAsia" w:ascii="宋体" w:hAnsi="宋体" w:eastAsia="宋体" w:cs="宋体"/>
          <w:color w:val="auto"/>
          <w:highlight w:val="none"/>
        </w:rPr>
      </w:pPr>
      <w:r>
        <w:rPr>
          <w:rFonts w:hint="eastAsia" w:ascii="宋体" w:hAnsi="宋体" w:eastAsia="宋体" w:cs="宋体"/>
          <w:color w:val="auto"/>
          <w:highlight w:val="none"/>
        </w:rPr>
        <w:t>成立时间: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w:t>
      </w:r>
    </w:p>
    <w:p>
      <w:pPr>
        <w:spacing w:line="360" w:lineRule="auto"/>
        <w:ind w:right="-94" w:rightChars="-39" w:firstLine="960" w:firstLineChars="400"/>
        <w:rPr>
          <w:rFonts w:hint="eastAsia" w:ascii="宋体" w:hAnsi="宋体" w:eastAsia="宋体" w:cs="宋体"/>
          <w:color w:val="auto"/>
          <w:highlight w:val="none"/>
          <w:u w:val="single"/>
        </w:rPr>
      </w:pPr>
      <w:r>
        <w:rPr>
          <w:rFonts w:hint="eastAsia" w:ascii="宋体" w:hAnsi="宋体" w:eastAsia="宋体" w:cs="宋体"/>
          <w:color w:val="auto"/>
          <w:highlight w:val="none"/>
        </w:rPr>
        <w:t>经营期限:</w:t>
      </w:r>
      <w:r>
        <w:rPr>
          <w:rFonts w:hint="eastAsia" w:ascii="宋体" w:hAnsi="宋体" w:eastAsia="宋体" w:cs="宋体"/>
          <w:color w:val="auto"/>
          <w:highlight w:val="none"/>
          <w:u w:val="single"/>
        </w:rPr>
        <w:t xml:space="preserve">                               </w:t>
      </w:r>
    </w:p>
    <w:p>
      <w:pPr>
        <w:spacing w:line="360" w:lineRule="auto"/>
        <w:ind w:right="-94" w:rightChars="-39" w:firstLine="960" w:firstLineChars="400"/>
        <w:rPr>
          <w:rFonts w:hint="eastAsia" w:ascii="宋体" w:hAnsi="宋体" w:eastAsia="宋体" w:cs="宋体"/>
          <w:color w:val="auto"/>
          <w:highlight w:val="none"/>
          <w:u w:val="single"/>
        </w:rPr>
      </w:pPr>
      <w:r>
        <w:rPr>
          <w:rFonts w:hint="eastAsia" w:ascii="宋体" w:hAnsi="宋体" w:eastAsia="宋体" w:cs="宋体"/>
          <w:color w:val="auto"/>
          <w:highlight w:val="none"/>
        </w:rPr>
        <w:t>姓 名:</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性 别:</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年 龄:</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职 务:</w:t>
      </w:r>
      <w:r>
        <w:rPr>
          <w:rFonts w:hint="eastAsia" w:ascii="宋体" w:hAnsi="宋体" w:eastAsia="宋体" w:cs="宋体"/>
          <w:color w:val="auto"/>
          <w:highlight w:val="none"/>
          <w:u w:val="single"/>
        </w:rPr>
        <w:t xml:space="preserve">        </w:t>
      </w:r>
    </w:p>
    <w:p>
      <w:pPr>
        <w:spacing w:line="360" w:lineRule="auto"/>
        <w:ind w:right="-94" w:rightChars="-39" w:firstLine="936" w:firstLineChars="390"/>
        <w:rPr>
          <w:rFonts w:hint="eastAsia" w:ascii="宋体" w:hAnsi="宋体" w:eastAsia="宋体" w:cs="宋体"/>
          <w:color w:val="auto"/>
          <w:highlight w:val="none"/>
        </w:rPr>
      </w:pPr>
      <w:r>
        <w:rPr>
          <w:rFonts w:hint="eastAsia" w:ascii="宋体" w:hAnsi="宋体" w:eastAsia="宋体" w:cs="宋体"/>
          <w:color w:val="auto"/>
          <w:highlight w:val="none"/>
        </w:rPr>
        <w:t>系</w:t>
      </w:r>
      <w:r>
        <w:rPr>
          <w:rFonts w:hint="eastAsia" w:ascii="宋体" w:hAnsi="宋体" w:eastAsia="宋体" w:cs="宋体"/>
          <w:color w:val="auto"/>
          <w:highlight w:val="none"/>
          <w:u w:val="single"/>
        </w:rPr>
        <w:t xml:space="preserve">          (供应商名称)         </w:t>
      </w:r>
      <w:r>
        <w:rPr>
          <w:rFonts w:hint="eastAsia" w:ascii="宋体" w:hAnsi="宋体" w:eastAsia="宋体" w:cs="宋体"/>
          <w:color w:val="auto"/>
          <w:highlight w:val="none"/>
        </w:rPr>
        <w:t>的法定代表人。</w:t>
      </w:r>
    </w:p>
    <w:p>
      <w:pPr>
        <w:spacing w:line="360" w:lineRule="auto"/>
        <w:ind w:right="-94" w:rightChars="-39" w:firstLine="480"/>
        <w:rPr>
          <w:rFonts w:hint="eastAsia" w:ascii="宋体" w:hAnsi="宋体" w:eastAsia="宋体" w:cs="宋体"/>
          <w:color w:val="auto"/>
          <w:highlight w:val="none"/>
        </w:rPr>
      </w:pP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特此证明。</w:t>
      </w:r>
    </w:p>
    <w:p>
      <w:pPr>
        <w:spacing w:line="360" w:lineRule="auto"/>
        <w:ind w:right="-94" w:rightChars="-39" w:firstLine="480"/>
        <w:rPr>
          <w:rFonts w:hint="eastAsia" w:ascii="宋体" w:hAnsi="宋体" w:eastAsia="宋体" w:cs="宋体"/>
          <w:color w:val="auto"/>
          <w:highlight w:val="none"/>
        </w:rPr>
      </w:pPr>
    </w:p>
    <w:p>
      <w:pPr>
        <w:wordWrap w:val="0"/>
        <w:topLinePunct/>
        <w:spacing w:line="360" w:lineRule="auto"/>
        <w:ind w:right="-94" w:rightChars="-39" w:firstLine="482"/>
        <w:rPr>
          <w:rFonts w:hint="eastAsia" w:ascii="宋体" w:hAnsi="宋体" w:eastAsia="宋体" w:cs="宋体"/>
          <w:b/>
          <w:color w:val="auto"/>
          <w:highlight w:val="none"/>
        </w:rPr>
      </w:pPr>
      <w:r>
        <w:rPr>
          <w:rFonts w:hint="eastAsia" w:ascii="宋体" w:hAnsi="宋体" w:eastAsia="宋体" w:cs="宋体"/>
          <w:b/>
          <w:color w:val="auto"/>
          <w:highlight w:val="none"/>
        </w:rPr>
        <w:t>附：法定代表人身份证复印件正反面</w:t>
      </w:r>
      <w:r>
        <w:rPr>
          <w:rFonts w:hint="eastAsia" w:ascii="宋体" w:hAnsi="宋体" w:eastAsia="宋体" w:cs="宋体"/>
          <w:b/>
          <w:bCs/>
          <w:color w:val="auto"/>
          <w:highlight w:val="none"/>
        </w:rPr>
        <w:t>(供应商的法定代表人为外籍人士的，则提供护照复印件)</w:t>
      </w:r>
    </w:p>
    <w:p>
      <w:pPr>
        <w:spacing w:line="360" w:lineRule="auto"/>
        <w:ind w:right="-94" w:rightChars="-39" w:firstLine="480"/>
        <w:rPr>
          <w:rFonts w:hint="eastAsia" w:ascii="宋体" w:hAnsi="宋体" w:eastAsia="宋体" w:cs="宋体"/>
          <w:color w:val="auto"/>
          <w:highlight w:val="none"/>
        </w:rPr>
      </w:pPr>
    </w:p>
    <w:p>
      <w:pPr>
        <w:autoSpaceDE w:val="0"/>
        <w:autoSpaceDN w:val="0"/>
        <w:adjustRightInd w:val="0"/>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供应商名称（盖单位公章）：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autoSpaceDE w:val="0"/>
        <w:autoSpaceDN w:val="0"/>
        <w:adjustRightInd w:val="0"/>
        <w:spacing w:line="360" w:lineRule="auto"/>
        <w:ind w:right="-94" w:rightChars="-39" w:firstLine="480"/>
        <w:rPr>
          <w:rFonts w:hint="eastAsia" w:ascii="宋体" w:hAnsi="宋体" w:eastAsia="宋体" w:cs="宋体"/>
          <w:color w:val="auto"/>
          <w:highlight w:val="none"/>
          <w:u w:val="single"/>
        </w:rPr>
      </w:pPr>
      <w:r>
        <w:rPr>
          <w:rFonts w:hint="eastAsia" w:ascii="宋体" w:hAnsi="宋体" w:eastAsia="宋体" w:cs="宋体"/>
          <w:bCs/>
          <w:color w:val="auto"/>
          <w:highlight w:val="none"/>
        </w:rPr>
        <w:t>法定代表人或授权代表（签字或加盖个人签名章）</w:t>
      </w: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w:t>
      </w:r>
    </w:p>
    <w:p>
      <w:pPr>
        <w:autoSpaceDE w:val="0"/>
        <w:autoSpaceDN w:val="0"/>
        <w:adjustRightInd w:val="0"/>
        <w:spacing w:line="360" w:lineRule="auto"/>
        <w:ind w:right="-94" w:rightChars="-39" w:firstLine="480"/>
        <w:rPr>
          <w:rFonts w:hint="eastAsia" w:ascii="宋体" w:hAnsi="宋体" w:eastAsia="宋体" w:cs="宋体"/>
          <w:bCs/>
          <w:color w:val="auto"/>
          <w:szCs w:val="30"/>
          <w:highlight w:val="non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w:t>
      </w:r>
    </w:p>
    <w:p>
      <w:pPr>
        <w:spacing w:line="360" w:lineRule="auto"/>
        <w:ind w:right="-94" w:rightChars="-39" w:firstLine="480"/>
        <w:jc w:val="left"/>
        <w:rPr>
          <w:rFonts w:hint="eastAsia" w:ascii="宋体" w:hAnsi="宋体" w:eastAsia="宋体" w:cs="宋体"/>
          <w:color w:val="auto"/>
          <w:szCs w:val="24"/>
          <w:highlight w:val="none"/>
        </w:rPr>
      </w:pPr>
    </w:p>
    <w:p>
      <w:pPr>
        <w:pStyle w:val="5"/>
        <w:spacing w:line="360" w:lineRule="auto"/>
        <w:ind w:right="-94" w:rightChars="-39" w:firstLine="48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760" w:name="_Toc517422498"/>
      <w:bookmarkStart w:id="761" w:name="_Toc29749"/>
      <w:bookmarkStart w:id="762" w:name="_Toc25462"/>
      <w:bookmarkStart w:id="763" w:name="_Toc5916"/>
      <w:bookmarkStart w:id="764" w:name="_Toc19123"/>
      <w:bookmarkStart w:id="765" w:name="_Toc31127"/>
      <w:bookmarkStart w:id="766" w:name="_Toc28499"/>
      <w:bookmarkStart w:id="767" w:name="_Toc32462"/>
      <w:bookmarkStart w:id="768" w:name="_Toc517423526"/>
      <w:r>
        <w:rPr>
          <w:rFonts w:hint="eastAsia" w:ascii="宋体" w:hAnsi="宋体" w:eastAsia="宋体" w:cs="宋体"/>
          <w:color w:val="auto"/>
          <w:sz w:val="32"/>
          <w:highlight w:val="none"/>
        </w:rPr>
        <w:t>三、承诺函</w:t>
      </w:r>
      <w:bookmarkEnd w:id="760"/>
      <w:bookmarkEnd w:id="761"/>
      <w:bookmarkEnd w:id="762"/>
      <w:bookmarkEnd w:id="763"/>
      <w:bookmarkEnd w:id="764"/>
      <w:bookmarkEnd w:id="765"/>
      <w:bookmarkEnd w:id="766"/>
      <w:bookmarkEnd w:id="767"/>
      <w:bookmarkEnd w:id="768"/>
    </w:p>
    <w:p>
      <w:pPr>
        <w:spacing w:line="360" w:lineRule="auto"/>
        <w:ind w:right="-94" w:rightChars="-39" w:firstLine="0" w:firstLineChars="0"/>
        <w:rPr>
          <w:rFonts w:hint="eastAsia" w:ascii="宋体" w:hAnsi="宋体" w:eastAsia="宋体" w:cs="宋体"/>
          <w:color w:val="auto"/>
          <w:highlight w:val="none"/>
        </w:rPr>
      </w:pP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（采购代理机构名称）：</w:t>
      </w:r>
    </w:p>
    <w:p>
      <w:pPr>
        <w:widowControl/>
        <w:spacing w:line="360" w:lineRule="auto"/>
        <w:ind w:right="-94" w:rightChars="-39" w:firstLine="480"/>
        <w:jc w:val="left"/>
        <w:rPr>
          <w:rFonts w:hint="eastAsia" w:ascii="宋体" w:hAnsi="宋体" w:eastAsia="宋体" w:cs="宋体"/>
          <w:color w:val="auto"/>
          <w:highlight w:val="none"/>
        </w:rPr>
      </w:pPr>
      <w:r>
        <w:rPr>
          <w:rFonts w:hint="eastAsia" w:ascii="宋体" w:hAnsi="宋体" w:eastAsia="宋体" w:cs="宋体"/>
          <w:color w:val="auto"/>
          <w:highlight w:val="none"/>
        </w:rPr>
        <w:t>我方作为本次采购项目的供应商，根据磋商文件要求，现郑重承诺及声明如下：</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1.具有独立承担民事责任能力；</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2.具有良好的商业信誉和健全的财务会计制度；</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3.具有履行合同所必须的设备和专业技术能力；</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4.有依法缴纳税收和社会保障资金的良好记录；</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5.参加采购活动前三年内，在经营活动中没有重大违法记录，遵守相关的法律和法规供应商成立不足三年的，从成立之日起计算)；</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6.法律、行政法规规定的其他条件。</w:t>
      </w:r>
    </w:p>
    <w:p>
      <w:pPr>
        <w:widowControl/>
        <w:spacing w:line="360" w:lineRule="auto"/>
        <w:ind w:right="-94" w:rightChars="-39" w:firstLine="480"/>
        <w:jc w:val="left"/>
        <w:rPr>
          <w:rFonts w:hint="eastAsia" w:ascii="宋体" w:hAnsi="宋体" w:eastAsia="宋体" w:cs="宋体"/>
          <w:color w:val="auto"/>
          <w:highlight w:val="none"/>
        </w:rPr>
      </w:pPr>
      <w:r>
        <w:rPr>
          <w:rFonts w:hint="eastAsia" w:ascii="宋体" w:hAnsi="宋体" w:eastAsia="宋体" w:cs="宋体"/>
          <w:color w:val="auto"/>
          <w:highlight w:val="none"/>
        </w:rPr>
        <w:t>7.完全接受和满足本项目磋商文件中规定的实质性要求，如对磋商文件有异议，已经在磋商截止时间届满前依法进行维权救济，不存在对磋商文件有异议的同时又参加磋商以求侥幸成交或者为实现其他非法目的的行为。</w:t>
      </w:r>
    </w:p>
    <w:p>
      <w:pPr>
        <w:widowControl/>
        <w:spacing w:line="360" w:lineRule="auto"/>
        <w:ind w:right="-94" w:rightChars="-39" w:firstLine="480"/>
        <w:jc w:val="left"/>
        <w:rPr>
          <w:rFonts w:hint="eastAsia" w:ascii="宋体" w:hAnsi="宋体" w:eastAsia="宋体" w:cs="宋体"/>
          <w:color w:val="auto"/>
          <w:highlight w:val="none"/>
        </w:rPr>
      </w:pPr>
      <w:r>
        <w:rPr>
          <w:rFonts w:hint="eastAsia" w:ascii="宋体" w:hAnsi="宋体" w:eastAsia="宋体" w:cs="宋体"/>
          <w:color w:val="auto"/>
          <w:highlight w:val="none"/>
        </w:rPr>
        <w:t>8.参加本次采购活动，不存在与单位负责人为同一人或者存在直接控股、管理关系的其他供应商参与同一合同项下的采购活动的行为。</w:t>
      </w:r>
    </w:p>
    <w:p>
      <w:pPr>
        <w:widowControl/>
        <w:spacing w:line="360" w:lineRule="auto"/>
        <w:ind w:right="-94" w:rightChars="-39" w:firstLine="480"/>
        <w:jc w:val="left"/>
        <w:rPr>
          <w:rFonts w:hint="eastAsia" w:ascii="宋体" w:hAnsi="宋体" w:eastAsia="宋体" w:cs="宋体"/>
          <w:color w:val="auto"/>
          <w:highlight w:val="none"/>
        </w:rPr>
      </w:pPr>
      <w:r>
        <w:rPr>
          <w:rFonts w:hint="eastAsia" w:ascii="宋体" w:hAnsi="宋体" w:eastAsia="宋体" w:cs="宋体"/>
          <w:color w:val="auto"/>
          <w:highlight w:val="none"/>
        </w:rPr>
        <w:t>9.参加本次采购活动前我方未对本次采购项目提供过整体设计、规范编制或者项目管理、监理、检测等服务。</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10.参加本次采购活动，不存在同一母公司的两家以上的子公司以不同供应商身份同时参加本项目同一合同项下的采购活动的情形。</w:t>
      </w:r>
    </w:p>
    <w:p>
      <w:pPr>
        <w:widowControl/>
        <w:spacing w:line="360" w:lineRule="auto"/>
        <w:ind w:right="-94" w:rightChars="-39" w:firstLine="480"/>
        <w:jc w:val="left"/>
        <w:rPr>
          <w:rFonts w:hint="eastAsia" w:ascii="宋体" w:hAnsi="宋体" w:eastAsia="宋体" w:cs="宋体"/>
          <w:color w:val="auto"/>
          <w:highlight w:val="none"/>
        </w:rPr>
      </w:pPr>
      <w:r>
        <w:rPr>
          <w:rFonts w:hint="eastAsia" w:ascii="宋体" w:hAnsi="宋体" w:eastAsia="宋体" w:cs="宋体"/>
          <w:color w:val="auto"/>
          <w:highlight w:val="none"/>
        </w:rPr>
        <w:t>11.参加本次采购活动，不存在和其他供应商在同一合同项下的采购项目中，同时委托同一个自然人、同一家庭的人员、同一单位的人员作为代理人的行为。</w:t>
      </w:r>
    </w:p>
    <w:p>
      <w:pPr>
        <w:spacing w:line="360" w:lineRule="auto"/>
        <w:ind w:right="-94" w:rightChars="-39" w:firstLine="480"/>
        <w:rPr>
          <w:rFonts w:hint="eastAsia" w:ascii="宋体" w:hAnsi="宋体" w:eastAsia="宋体" w:cs="宋体"/>
          <w:color w:val="auto"/>
          <w:szCs w:val="22"/>
          <w:highlight w:val="none"/>
        </w:rPr>
      </w:pPr>
      <w:r>
        <w:rPr>
          <w:rFonts w:hint="eastAsia" w:ascii="宋体" w:hAnsi="宋体" w:eastAsia="宋体" w:cs="宋体"/>
          <w:color w:val="auto"/>
          <w:szCs w:val="22"/>
          <w:highlight w:val="none"/>
        </w:rPr>
        <w:t>12.如记入诚信档案的失信行为，将在磋商文件中全面如实反映。</w:t>
      </w:r>
    </w:p>
    <w:p>
      <w:pPr>
        <w:spacing w:line="360" w:lineRule="auto"/>
        <w:ind w:right="-94" w:rightChars="-39" w:firstLine="480"/>
        <w:rPr>
          <w:rFonts w:hint="eastAsia" w:ascii="宋体" w:hAnsi="宋体" w:eastAsia="宋体" w:cs="宋体"/>
          <w:color w:val="auto"/>
          <w:szCs w:val="22"/>
          <w:highlight w:val="none"/>
        </w:rPr>
      </w:pPr>
      <w:r>
        <w:rPr>
          <w:rFonts w:hint="eastAsia" w:ascii="宋体" w:hAnsi="宋体" w:eastAsia="宋体" w:cs="宋体"/>
          <w:color w:val="auto"/>
          <w:szCs w:val="22"/>
          <w:highlight w:val="none"/>
        </w:rPr>
        <w:t>1</w:t>
      </w:r>
      <w:r>
        <w:rPr>
          <w:rFonts w:hint="eastAsia" w:ascii="宋体" w:hAnsi="宋体" w:eastAsia="宋体" w:cs="宋体"/>
          <w:color w:val="auto"/>
          <w:szCs w:val="22"/>
          <w:highlight w:val="none"/>
          <w:lang w:val="en-US" w:eastAsia="zh-CN"/>
        </w:rPr>
        <w:t>3</w:t>
      </w:r>
      <w:r>
        <w:rPr>
          <w:rFonts w:hint="eastAsia" w:ascii="宋体" w:hAnsi="宋体" w:eastAsia="宋体" w:cs="宋体"/>
          <w:color w:val="auto"/>
          <w:szCs w:val="22"/>
          <w:highlight w:val="none"/>
        </w:rPr>
        <w:t>.响应文件中提供的能够给予采购单位带来优惠、好处的任何材料资料和技术、服务、商务等响应承诺情况都是真实的、有效的、合法的。</w:t>
      </w:r>
    </w:p>
    <w:p>
      <w:pPr>
        <w:spacing w:line="360" w:lineRule="auto"/>
        <w:ind w:right="-94" w:rightChars="-39" w:firstLine="480"/>
        <w:rPr>
          <w:rFonts w:hint="eastAsia" w:ascii="宋体" w:hAnsi="宋体" w:eastAsia="宋体" w:cs="宋体"/>
          <w:color w:val="auto"/>
          <w:szCs w:val="22"/>
          <w:highlight w:val="none"/>
          <w:lang w:val="en-US" w:eastAsia="zh-CN"/>
        </w:rPr>
      </w:pPr>
      <w:r>
        <w:rPr>
          <w:rFonts w:hint="eastAsia" w:ascii="宋体" w:hAnsi="宋体" w:eastAsia="宋体" w:cs="宋体"/>
          <w:color w:val="auto"/>
          <w:szCs w:val="22"/>
          <w:highlight w:val="none"/>
          <w:lang w:val="en-US" w:eastAsia="zh-CN"/>
        </w:rPr>
        <w:t xml:space="preserve">14.若我方成交，我方承诺按照本磋商文件约定支付招标代理服务费，否则视为虚假应标并承担由此带来的一切后果。 </w:t>
      </w:r>
    </w:p>
    <w:p>
      <w:pPr>
        <w:widowControl/>
        <w:spacing w:line="360" w:lineRule="auto"/>
        <w:ind w:right="-94" w:rightChars="-39" w:firstLine="480"/>
        <w:jc w:val="left"/>
        <w:rPr>
          <w:rFonts w:hint="eastAsia" w:ascii="宋体" w:hAnsi="宋体" w:eastAsia="宋体" w:cs="宋体"/>
          <w:color w:val="auto"/>
          <w:highlight w:val="none"/>
        </w:rPr>
      </w:pPr>
    </w:p>
    <w:p>
      <w:pPr>
        <w:widowControl/>
        <w:spacing w:line="360" w:lineRule="auto"/>
        <w:ind w:right="-94" w:rightChars="-39" w:firstLine="480"/>
        <w:jc w:val="left"/>
        <w:rPr>
          <w:rFonts w:hint="eastAsia" w:ascii="宋体" w:hAnsi="宋体" w:eastAsia="宋体" w:cs="宋体"/>
          <w:color w:val="auto"/>
          <w:highlight w:val="none"/>
        </w:rPr>
      </w:pPr>
    </w:p>
    <w:p>
      <w:pPr>
        <w:widowControl/>
        <w:spacing w:line="360" w:lineRule="auto"/>
        <w:ind w:right="-94" w:rightChars="-39" w:firstLine="480"/>
        <w:jc w:val="left"/>
        <w:rPr>
          <w:rFonts w:hint="eastAsia" w:ascii="宋体" w:hAnsi="宋体" w:eastAsia="宋体" w:cs="宋体"/>
          <w:color w:val="auto"/>
          <w:highlight w:val="none"/>
        </w:rPr>
      </w:pPr>
      <w:r>
        <w:rPr>
          <w:rFonts w:hint="eastAsia" w:ascii="宋体" w:hAnsi="宋体" w:eastAsia="宋体" w:cs="宋体"/>
          <w:color w:val="auto"/>
          <w:highlight w:val="none"/>
        </w:rPr>
        <w:t>我方对上述承诺的内容事项真实性、合法性负责。如经查实上述承诺的内容事项存在虚假，我方自愿接受以提供虚假材料谋取成交所带来的所有法律责任。</w:t>
      </w:r>
    </w:p>
    <w:p>
      <w:pPr>
        <w:spacing w:line="360" w:lineRule="auto"/>
        <w:ind w:right="-94" w:rightChars="-39" w:firstLine="480"/>
        <w:rPr>
          <w:rFonts w:hint="eastAsia" w:ascii="宋体" w:hAnsi="宋体" w:eastAsia="宋体" w:cs="宋体"/>
          <w:color w:val="auto"/>
          <w:highlight w:val="none"/>
        </w:rPr>
      </w:pPr>
    </w:p>
    <w:p>
      <w:pPr>
        <w:autoSpaceDE w:val="0"/>
        <w:autoSpaceDN w:val="0"/>
        <w:adjustRightInd w:val="0"/>
        <w:spacing w:line="360" w:lineRule="auto"/>
        <w:ind w:right="-94" w:rightChars="-39" w:firstLine="480"/>
        <w:rPr>
          <w:rFonts w:hint="eastAsia" w:ascii="宋体" w:hAnsi="宋体" w:eastAsia="宋体" w:cs="宋体"/>
          <w:color w:val="auto"/>
          <w:highlight w:val="none"/>
        </w:rPr>
      </w:pPr>
    </w:p>
    <w:p>
      <w:pPr>
        <w:autoSpaceDE w:val="0"/>
        <w:autoSpaceDN w:val="0"/>
        <w:adjustRightInd w:val="0"/>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供应商名称（盖单位公章）：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autoSpaceDE w:val="0"/>
        <w:autoSpaceDN w:val="0"/>
        <w:adjustRightInd w:val="0"/>
        <w:spacing w:line="360" w:lineRule="auto"/>
        <w:ind w:right="-94" w:rightChars="-39" w:firstLine="480"/>
        <w:rPr>
          <w:rFonts w:hint="eastAsia" w:ascii="宋体" w:hAnsi="宋体" w:eastAsia="宋体" w:cs="宋体"/>
          <w:color w:val="auto"/>
          <w:highlight w:val="none"/>
          <w:u w:val="single"/>
        </w:rPr>
      </w:pPr>
      <w:r>
        <w:rPr>
          <w:rFonts w:hint="eastAsia" w:ascii="宋体" w:hAnsi="宋体" w:eastAsia="宋体" w:cs="宋体"/>
          <w:bCs/>
          <w:color w:val="auto"/>
          <w:highlight w:val="none"/>
        </w:rPr>
        <w:t>法定代表人或授权代表（签字或加盖个人签名章）</w:t>
      </w: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w:t>
      </w:r>
    </w:p>
    <w:p>
      <w:pPr>
        <w:autoSpaceDE w:val="0"/>
        <w:autoSpaceDN w:val="0"/>
        <w:adjustRightInd w:val="0"/>
        <w:spacing w:line="360" w:lineRule="auto"/>
        <w:ind w:right="-94" w:rightChars="-39" w:firstLine="480"/>
        <w:rPr>
          <w:rFonts w:hint="eastAsia" w:ascii="宋体" w:hAnsi="宋体" w:eastAsia="宋体" w:cs="宋体"/>
          <w:bCs/>
          <w:color w:val="auto"/>
          <w:szCs w:val="30"/>
          <w:highlight w:val="non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w:t>
      </w:r>
    </w:p>
    <w:p>
      <w:pPr>
        <w:autoSpaceDE w:val="0"/>
        <w:autoSpaceDN w:val="0"/>
        <w:adjustRightInd w:val="0"/>
        <w:spacing w:line="360" w:lineRule="auto"/>
        <w:ind w:right="-94" w:rightChars="-39" w:firstLine="480"/>
        <w:rPr>
          <w:rFonts w:hint="eastAsia" w:ascii="宋体" w:hAnsi="宋体" w:eastAsia="宋体" w:cs="宋体"/>
          <w:bCs/>
          <w:color w:val="auto"/>
          <w:szCs w:val="30"/>
          <w:highlight w:val="none"/>
        </w:rPr>
      </w:pPr>
    </w:p>
    <w:p>
      <w:pPr>
        <w:keepNext/>
        <w:keepLines/>
        <w:spacing w:beforeLines="100" w:afterLines="100" w:line="360" w:lineRule="auto"/>
        <w:ind w:right="-94" w:rightChars="-39" w:firstLine="643"/>
        <w:jc w:val="center"/>
        <w:rPr>
          <w:rStyle w:val="47"/>
          <w:rFonts w:hint="eastAsia" w:ascii="宋体" w:hAnsi="宋体" w:eastAsia="宋体" w:cs="宋体"/>
          <w:color w:val="auto"/>
          <w:highlight w:val="none"/>
        </w:rPr>
      </w:pPr>
    </w:p>
    <w:p>
      <w:pPr>
        <w:spacing w:line="360" w:lineRule="auto"/>
        <w:ind w:right="-94" w:rightChars="-39" w:firstLine="480"/>
        <w:rPr>
          <w:rFonts w:hint="eastAsia" w:ascii="宋体" w:hAnsi="宋体" w:eastAsia="宋体" w:cs="宋体"/>
          <w:color w:val="auto"/>
          <w:highlight w:val="none"/>
        </w:rPr>
      </w:pPr>
    </w:p>
    <w:p>
      <w:pPr>
        <w:spacing w:line="360" w:lineRule="auto"/>
        <w:ind w:right="-94" w:rightChars="-39" w:firstLine="480"/>
        <w:rPr>
          <w:rFonts w:hint="eastAsia" w:ascii="宋体" w:hAnsi="宋体" w:eastAsia="宋体" w:cs="宋体"/>
          <w:color w:val="auto"/>
          <w:highlight w:val="none"/>
        </w:rPr>
      </w:pPr>
    </w:p>
    <w:p>
      <w:pPr>
        <w:pStyle w:val="5"/>
        <w:numPr>
          <w:ilvl w:val="0"/>
          <w:numId w:val="5"/>
        </w:numPr>
        <w:spacing w:line="360" w:lineRule="auto"/>
        <w:ind w:right="-94" w:rightChars="-39" w:firstLine="0" w:firstLineChars="0"/>
        <w:jc w:val="center"/>
        <w:rPr>
          <w:rFonts w:hint="eastAsia" w:ascii="宋体" w:hAnsi="宋体" w:eastAsia="宋体" w:cs="宋体"/>
          <w:color w:val="auto"/>
          <w:sz w:val="32"/>
          <w:highlight w:val="none"/>
        </w:rPr>
      </w:pPr>
      <w:r>
        <w:rPr>
          <w:rFonts w:hint="eastAsia" w:ascii="宋体" w:hAnsi="宋体" w:eastAsia="宋体" w:cs="宋体"/>
          <w:color w:val="auto"/>
          <w:highlight w:val="none"/>
        </w:rPr>
        <w:br w:type="page"/>
      </w:r>
      <w:bookmarkStart w:id="769" w:name="_Toc28065"/>
      <w:bookmarkStart w:id="770" w:name="_Toc21592"/>
      <w:bookmarkStart w:id="771" w:name="_Toc13154"/>
      <w:bookmarkStart w:id="772" w:name="_Toc22312"/>
      <w:bookmarkStart w:id="773" w:name="_Toc10643"/>
      <w:bookmarkStart w:id="774" w:name="_Toc24809"/>
      <w:bookmarkStart w:id="775" w:name="_Toc517423527"/>
      <w:bookmarkStart w:id="776" w:name="_Toc517422499"/>
      <w:bookmarkStart w:id="777" w:name="_Toc24804"/>
      <w:r>
        <w:rPr>
          <w:rFonts w:hint="eastAsia" w:ascii="宋体" w:hAnsi="宋体" w:eastAsia="宋体" w:cs="宋体"/>
          <w:color w:val="auto"/>
          <w:sz w:val="32"/>
          <w:highlight w:val="none"/>
        </w:rPr>
        <w:t>其他资格性证明文件（</w:t>
      </w:r>
      <w:bookmarkEnd w:id="769"/>
      <w:bookmarkEnd w:id="770"/>
      <w:bookmarkEnd w:id="771"/>
      <w:bookmarkEnd w:id="772"/>
      <w:bookmarkEnd w:id="773"/>
      <w:bookmarkEnd w:id="774"/>
      <w:r>
        <w:rPr>
          <w:rFonts w:hint="eastAsia" w:ascii="宋体" w:hAnsi="宋体" w:eastAsia="宋体" w:cs="宋体"/>
          <w:color w:val="auto"/>
          <w:sz w:val="32"/>
          <w:highlight w:val="none"/>
        </w:rPr>
        <w:t>详见磋商文件第四章）</w:t>
      </w:r>
      <w:bookmarkEnd w:id="775"/>
      <w:bookmarkEnd w:id="776"/>
    </w:p>
    <w:p>
      <w:pPr>
        <w:pStyle w:val="5"/>
        <w:numPr>
          <w:ilvl w:val="0"/>
          <w:numId w:val="0"/>
        </w:numPr>
        <w:spacing w:line="360" w:lineRule="auto"/>
        <w:ind w:right="-94" w:rightChars="-39"/>
        <w:jc w:val="center"/>
        <w:rPr>
          <w:rFonts w:hint="eastAsia" w:ascii="宋体" w:hAnsi="宋体" w:eastAsia="宋体" w:cs="宋体"/>
          <w:color w:val="auto"/>
          <w:highlight w:val="none"/>
        </w:rPr>
        <w:sectPr>
          <w:footerReference r:id="rId14" w:type="default"/>
          <w:pgSz w:w="11906" w:h="16838"/>
          <w:pgMar w:top="1417" w:right="1800" w:bottom="1417" w:left="1800" w:header="567" w:footer="788" w:gutter="0"/>
          <w:pgNumType w:fmt="decimal" w:start="1"/>
          <w:cols w:space="0" w:num="1"/>
          <w:docGrid w:linePitch="326" w:charSpace="0"/>
        </w:sectPr>
      </w:pPr>
      <w:r>
        <w:rPr>
          <w:rFonts w:hint="eastAsia" w:ascii="宋体" w:hAnsi="宋体" w:eastAsia="宋体" w:cs="宋体"/>
          <w:b w:val="0"/>
          <w:bCs w:val="0"/>
          <w:color w:val="auto"/>
          <w:sz w:val="32"/>
          <w:highlight w:val="none"/>
          <w:lang w:eastAsia="zh-CN"/>
        </w:rPr>
        <w:t>格式自拟</w:t>
      </w:r>
      <w:r>
        <w:rPr>
          <w:rFonts w:hint="eastAsia" w:ascii="宋体" w:hAnsi="宋体" w:eastAsia="宋体" w:cs="宋体"/>
          <w:color w:val="auto"/>
          <w:sz w:val="32"/>
          <w:highlight w:val="none"/>
        </w:rPr>
        <w:br w:type="page"/>
      </w:r>
      <w:bookmarkEnd w:id="777"/>
    </w:p>
    <w:p>
      <w:pPr>
        <w:pStyle w:val="5"/>
        <w:tabs>
          <w:tab w:val="left" w:pos="440"/>
        </w:tabs>
        <w:spacing w:line="360" w:lineRule="auto"/>
        <w:ind w:left="955" w:leftChars="398" w:right="1037" w:rightChars="432" w:firstLine="0" w:firstLineChars="0"/>
        <w:jc w:val="center"/>
        <w:rPr>
          <w:rFonts w:hint="eastAsia" w:ascii="宋体" w:hAnsi="宋体" w:eastAsia="宋体" w:cs="宋体"/>
          <w:color w:val="auto"/>
          <w:sz w:val="32"/>
          <w:highlight w:val="none"/>
          <w:lang w:eastAsia="zh-CN"/>
        </w:rPr>
      </w:pPr>
      <w:r>
        <w:rPr>
          <w:rFonts w:hint="eastAsia" w:ascii="宋体" w:hAnsi="宋体" w:eastAsia="宋体" w:cs="宋体"/>
          <w:color w:val="auto"/>
          <w:sz w:val="32"/>
          <w:highlight w:val="none"/>
          <w:lang w:val="en-US" w:eastAsia="zh-CN"/>
        </w:rPr>
        <w:t>五、</w:t>
      </w:r>
      <w:r>
        <w:rPr>
          <w:rFonts w:hint="eastAsia" w:ascii="宋体" w:hAnsi="宋体" w:eastAsia="宋体" w:cs="宋体"/>
          <w:color w:val="auto"/>
          <w:sz w:val="32"/>
          <w:highlight w:val="none"/>
          <w:lang w:val="en-US"/>
        </w:rPr>
        <w:t>中小企业声明函</w:t>
      </w:r>
      <w:r>
        <w:rPr>
          <w:rFonts w:hint="eastAsia" w:ascii="宋体" w:hAnsi="宋体" w:eastAsia="宋体" w:cs="宋体"/>
          <w:color w:val="auto"/>
          <w:sz w:val="32"/>
          <w:highlight w:val="none"/>
          <w:lang w:val="en-US" w:eastAsia="zh-CN"/>
        </w:rPr>
        <w:t>（工程、服务）</w:t>
      </w:r>
    </w:p>
    <w:p>
      <w:pPr>
        <w:keepNext w:val="0"/>
        <w:keepLines w:val="0"/>
        <w:pageBreakBefore w:val="0"/>
        <w:widowControl/>
        <w:tabs>
          <w:tab w:val="left" w:pos="440"/>
        </w:tabs>
        <w:kinsoku/>
        <w:wordWrap/>
        <w:overflowPunct/>
        <w:topLinePunct w:val="0"/>
        <w:autoSpaceDE/>
        <w:autoSpaceDN/>
        <w:bidi w:val="0"/>
        <w:adjustRightInd/>
        <w:snapToGrid/>
        <w:spacing w:before="100" w:beforeAutospacing="1" w:after="100" w:afterAutospacing="1" w:line="360" w:lineRule="auto"/>
        <w:ind w:left="0" w:leftChars="0" w:right="1037" w:rightChars="432" w:firstLine="240" w:firstLineChars="1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highlight w:val="none"/>
          <w:lang w:val="en-US" w:eastAsia="zh-CN"/>
        </w:rPr>
        <w:t xml:space="preserve"> </w:t>
      </w:r>
      <w:r>
        <w:rPr>
          <w:rFonts w:hint="eastAsia" w:ascii="宋体" w:hAnsi="宋体" w:eastAsia="宋体" w:cs="宋体"/>
          <w:color w:val="auto"/>
          <w:sz w:val="24"/>
          <w:szCs w:val="24"/>
          <w:highlight w:val="none"/>
        </w:rPr>
        <w:t>本公司</w:t>
      </w:r>
      <w:r>
        <w:rPr>
          <w:rFonts w:hint="eastAsia" w:ascii="宋体" w:hAnsi="宋体" w:eastAsia="宋体" w:cs="宋体"/>
          <w:color w:val="auto"/>
          <w:sz w:val="24"/>
          <w:szCs w:val="24"/>
          <w:highlight w:val="none"/>
          <w:lang w:eastAsia="zh-CN"/>
        </w:rPr>
        <w:t>（联合体）</w:t>
      </w:r>
      <w:r>
        <w:rPr>
          <w:rFonts w:hint="eastAsia" w:ascii="宋体" w:hAnsi="宋体" w:eastAsia="宋体" w:cs="宋体"/>
          <w:color w:val="auto"/>
          <w:sz w:val="24"/>
          <w:szCs w:val="24"/>
          <w:highlight w:val="none"/>
        </w:rPr>
        <w:t>郑重声明，根据《政府采购促进中小企业发展</w:t>
      </w:r>
      <w:r>
        <w:rPr>
          <w:rFonts w:hint="eastAsia" w:ascii="宋体" w:hAnsi="宋体" w:eastAsia="宋体" w:cs="宋体"/>
          <w:color w:val="auto"/>
          <w:sz w:val="24"/>
          <w:szCs w:val="24"/>
          <w:highlight w:val="none"/>
          <w:lang w:val="en-US" w:eastAsia="zh-CN"/>
        </w:rPr>
        <w:t>管理</w:t>
      </w:r>
      <w:r>
        <w:rPr>
          <w:rFonts w:hint="eastAsia" w:ascii="宋体" w:hAnsi="宋体" w:eastAsia="宋体" w:cs="宋体"/>
          <w:color w:val="auto"/>
          <w:sz w:val="24"/>
          <w:szCs w:val="24"/>
          <w:highlight w:val="none"/>
        </w:rPr>
        <w:t>办法》（财库[20</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46</w:t>
      </w:r>
      <w:r>
        <w:rPr>
          <w:rFonts w:hint="eastAsia" w:ascii="宋体" w:hAnsi="宋体" w:eastAsia="宋体" w:cs="宋体"/>
          <w:color w:val="auto"/>
          <w:sz w:val="24"/>
          <w:szCs w:val="24"/>
          <w:highlight w:val="none"/>
        </w:rPr>
        <w:t>号）的规定，本公司</w:t>
      </w:r>
      <w:r>
        <w:rPr>
          <w:rFonts w:hint="eastAsia" w:ascii="宋体" w:hAnsi="宋体" w:eastAsia="宋体" w:cs="宋体"/>
          <w:color w:val="auto"/>
          <w:sz w:val="24"/>
          <w:szCs w:val="24"/>
          <w:highlight w:val="none"/>
          <w:lang w:eastAsia="zh-CN"/>
        </w:rPr>
        <w:t>（联合体）</w:t>
      </w:r>
      <w:r>
        <w:rPr>
          <w:rFonts w:hint="eastAsia" w:ascii="宋体" w:hAnsi="宋体" w:eastAsia="宋体" w:cs="宋体"/>
          <w:color w:val="auto"/>
          <w:sz w:val="24"/>
          <w:szCs w:val="24"/>
          <w:highlight w:val="none"/>
          <w:lang w:val="en-US" w:eastAsia="zh-CN"/>
        </w:rPr>
        <w:t>参加</w:t>
      </w:r>
      <w:r>
        <w:rPr>
          <w:rFonts w:hint="eastAsia" w:ascii="宋体" w:hAnsi="宋体" w:eastAsia="宋体" w:cs="宋体"/>
          <w:color w:val="auto"/>
          <w:sz w:val="24"/>
          <w:szCs w:val="24"/>
          <w:highlight w:val="none"/>
        </w:rPr>
        <w:t>_____</w:t>
      </w:r>
      <w:r>
        <w:rPr>
          <w:rFonts w:hint="eastAsia" w:ascii="宋体" w:hAnsi="宋体" w:eastAsia="宋体" w:cs="宋体"/>
          <w:color w:val="auto"/>
          <w:sz w:val="24"/>
          <w:szCs w:val="24"/>
          <w:highlight w:val="none"/>
          <w:u w:val="single"/>
          <w:lang w:eastAsia="zh-CN"/>
        </w:rPr>
        <w:t>（单位名称）</w:t>
      </w:r>
      <w:r>
        <w:rPr>
          <w:rFonts w:hint="eastAsia" w:ascii="宋体" w:hAnsi="宋体" w:eastAsia="宋体" w:cs="宋体"/>
          <w:color w:val="auto"/>
          <w:sz w:val="24"/>
          <w:szCs w:val="24"/>
          <w:highlight w:val="none"/>
        </w:rPr>
        <w:t>_的____</w:t>
      </w:r>
      <w:r>
        <w:rPr>
          <w:rFonts w:hint="eastAsia" w:ascii="宋体" w:hAnsi="宋体" w:eastAsia="宋体" w:cs="宋体"/>
          <w:color w:val="auto"/>
          <w:sz w:val="24"/>
          <w:szCs w:val="24"/>
          <w:highlight w:val="none"/>
          <w:u w:val="single"/>
        </w:rPr>
        <w:t>__</w:t>
      </w:r>
      <w:r>
        <w:rPr>
          <w:rFonts w:hint="eastAsia" w:ascii="宋体" w:hAnsi="宋体" w:eastAsia="宋体" w:cs="宋体"/>
          <w:color w:val="auto"/>
          <w:sz w:val="24"/>
          <w:szCs w:val="24"/>
          <w:highlight w:val="none"/>
          <w:u w:val="single"/>
          <w:lang w:val="en-US" w:eastAsia="zh-CN"/>
        </w:rPr>
        <w:t>(项目名称）</w:t>
      </w:r>
      <w:r>
        <w:rPr>
          <w:rFonts w:hint="eastAsia" w:ascii="宋体" w:hAnsi="宋体" w:eastAsia="宋体" w:cs="宋体"/>
          <w:color w:val="auto"/>
          <w:sz w:val="24"/>
          <w:szCs w:val="24"/>
          <w:highlight w:val="none"/>
          <w:lang w:val="en-US" w:eastAsia="zh-CN"/>
        </w:rPr>
        <w:t>采购活动，工程的施工单位全部为符合政策要求的中小企业</w:t>
      </w:r>
      <w:r>
        <w:rPr>
          <w:rFonts w:hint="eastAsia" w:ascii="宋体" w:hAnsi="宋体" w:eastAsia="宋体" w:cs="宋体"/>
          <w:color w:val="auto"/>
          <w:sz w:val="24"/>
          <w:szCs w:val="24"/>
          <w:highlight w:val="none"/>
        </w:rPr>
        <w:t>（或者：服务全部由符合政策要求的中小企业承接</w:t>
      </w:r>
      <w:r>
        <w:rPr>
          <w:rFonts w:hint="eastAsia" w:ascii="宋体" w:hAnsi="宋体" w:eastAsia="宋体" w:cs="宋体"/>
          <w:color w:val="auto"/>
          <w:sz w:val="24"/>
          <w:szCs w:val="24"/>
          <w:highlight w:val="none"/>
          <w:lang w:val="en-US" w:eastAsia="zh-CN"/>
        </w:rPr>
        <w:t>）。相关企业（含联合体中的中小企业、签订分包意向协议的中小企业）的具体情况如下：</w:t>
      </w:r>
    </w:p>
    <w:p>
      <w:pPr>
        <w:keepNext w:val="0"/>
        <w:keepLines w:val="0"/>
        <w:pageBreakBefore w:val="0"/>
        <w:tabs>
          <w:tab w:val="left" w:pos="440"/>
        </w:tabs>
        <w:kinsoku/>
        <w:wordWrap/>
        <w:overflowPunct/>
        <w:topLinePunct w:val="0"/>
        <w:autoSpaceDE/>
        <w:autoSpaceDN/>
        <w:bidi w:val="0"/>
        <w:adjustRightInd/>
        <w:snapToGrid/>
        <w:spacing w:line="360" w:lineRule="auto"/>
        <w:ind w:left="0" w:leftChars="0" w:right="1037" w:rightChars="432"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1.______</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lang w:val="en-US" w:eastAsia="zh-CN"/>
        </w:rPr>
        <w:t>标的名称</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属于</w:t>
      </w:r>
      <w:r>
        <w:rPr>
          <w:rFonts w:hint="eastAsia" w:ascii="宋体" w:hAnsi="宋体" w:eastAsia="宋体" w:cs="宋体"/>
          <w:color w:val="auto"/>
          <w:sz w:val="24"/>
          <w:szCs w:val="24"/>
          <w:highlight w:val="none"/>
        </w:rPr>
        <w:t>____</w:t>
      </w:r>
      <w:r>
        <w:rPr>
          <w:rFonts w:hint="eastAsia" w:ascii="宋体" w:hAnsi="宋体" w:eastAsia="宋体" w:cs="宋体"/>
          <w:color w:val="auto"/>
          <w:sz w:val="24"/>
          <w:szCs w:val="24"/>
          <w:highlight w:val="none"/>
          <w:u w:val="single"/>
        </w:rPr>
        <w:t>__</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lang w:val="en-US" w:eastAsia="zh-CN"/>
        </w:rPr>
        <w:t>采购文件中明确的所属行业</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承建（承接）企业为</w:t>
      </w:r>
      <w:r>
        <w:rPr>
          <w:rFonts w:hint="eastAsia" w:ascii="宋体" w:hAnsi="宋体" w:eastAsia="宋体" w:cs="宋体"/>
          <w:color w:val="auto"/>
          <w:sz w:val="24"/>
          <w:szCs w:val="24"/>
          <w:highlight w:val="none"/>
        </w:rPr>
        <w:t>___</w:t>
      </w:r>
      <w:r>
        <w:rPr>
          <w:rFonts w:hint="eastAsia" w:ascii="宋体" w:hAnsi="宋体" w:eastAsia="宋体" w:cs="宋体"/>
          <w:color w:val="auto"/>
          <w:sz w:val="24"/>
          <w:szCs w:val="24"/>
          <w:highlight w:val="none"/>
          <w:u w:val="single"/>
        </w:rPr>
        <w:t>___</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lang w:val="en-US" w:eastAsia="zh-CN"/>
        </w:rPr>
        <w:t>企业名称</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rPr>
        <w:t>，从业人员______人，营业收入</w:t>
      </w:r>
      <w:r>
        <w:rPr>
          <w:rFonts w:hint="eastAsia" w:ascii="宋体" w:hAnsi="宋体" w:eastAsia="宋体" w:cs="宋体"/>
          <w:color w:val="auto"/>
          <w:sz w:val="24"/>
          <w:szCs w:val="24"/>
          <w:highlight w:val="none"/>
          <w:lang w:eastAsia="zh-CN"/>
        </w:rPr>
        <w:t>为</w:t>
      </w:r>
      <w:r>
        <w:rPr>
          <w:rFonts w:hint="eastAsia" w:ascii="宋体" w:hAnsi="宋体" w:eastAsia="宋体" w:cs="宋体"/>
          <w:color w:val="auto"/>
          <w:sz w:val="24"/>
          <w:szCs w:val="24"/>
          <w:highlight w:val="none"/>
        </w:rPr>
        <w:t>______万元，资产总额</w:t>
      </w:r>
      <w:r>
        <w:rPr>
          <w:rFonts w:hint="eastAsia" w:ascii="宋体" w:hAnsi="宋体" w:eastAsia="宋体" w:cs="宋体"/>
          <w:color w:val="auto"/>
          <w:sz w:val="24"/>
          <w:szCs w:val="24"/>
          <w:highlight w:val="none"/>
          <w:lang w:eastAsia="zh-CN"/>
        </w:rPr>
        <w:t>为</w:t>
      </w:r>
      <w:r>
        <w:rPr>
          <w:rFonts w:hint="eastAsia" w:ascii="宋体" w:hAnsi="宋体" w:eastAsia="宋体" w:cs="宋体"/>
          <w:color w:val="auto"/>
          <w:sz w:val="24"/>
          <w:szCs w:val="24"/>
          <w:highlight w:val="none"/>
        </w:rPr>
        <w:t>______万元，</w:t>
      </w:r>
      <w:r>
        <w:rPr>
          <w:rFonts w:hint="eastAsia" w:ascii="宋体" w:hAnsi="宋体" w:eastAsia="宋体" w:cs="宋体"/>
          <w:color w:val="auto"/>
          <w:sz w:val="24"/>
          <w:szCs w:val="24"/>
          <w:highlight w:val="none"/>
          <w:lang w:val="en-US" w:eastAsia="zh-CN"/>
        </w:rPr>
        <w:t>属于</w:t>
      </w:r>
      <w:r>
        <w:rPr>
          <w:rFonts w:hint="eastAsia" w:ascii="宋体" w:hAnsi="宋体" w:eastAsia="宋体" w:cs="宋体"/>
          <w:color w:val="auto"/>
          <w:sz w:val="24"/>
          <w:szCs w:val="24"/>
          <w:highlight w:val="none"/>
        </w:rPr>
        <w:t>______（中型</w:t>
      </w:r>
      <w:r>
        <w:rPr>
          <w:rFonts w:hint="eastAsia" w:ascii="宋体" w:hAnsi="宋体" w:eastAsia="宋体" w:cs="宋体"/>
          <w:color w:val="auto"/>
          <w:sz w:val="24"/>
          <w:szCs w:val="24"/>
          <w:highlight w:val="none"/>
          <w:lang w:val="en-US" w:eastAsia="zh-CN"/>
        </w:rPr>
        <w:t>企业</w:t>
      </w:r>
      <w:r>
        <w:rPr>
          <w:rFonts w:hint="eastAsia" w:ascii="宋体" w:hAnsi="宋体" w:eastAsia="宋体" w:cs="宋体"/>
          <w:color w:val="auto"/>
          <w:sz w:val="24"/>
          <w:szCs w:val="24"/>
          <w:highlight w:val="none"/>
        </w:rPr>
        <w:t>、小型</w:t>
      </w:r>
      <w:r>
        <w:rPr>
          <w:rFonts w:hint="eastAsia" w:ascii="宋体" w:hAnsi="宋体" w:eastAsia="宋体" w:cs="宋体"/>
          <w:color w:val="auto"/>
          <w:sz w:val="24"/>
          <w:szCs w:val="24"/>
          <w:highlight w:val="none"/>
          <w:lang w:val="en-US" w:eastAsia="zh-CN"/>
        </w:rPr>
        <w:t>企业</w:t>
      </w:r>
      <w:r>
        <w:rPr>
          <w:rFonts w:hint="eastAsia" w:ascii="宋体" w:hAnsi="宋体" w:eastAsia="宋体" w:cs="宋体"/>
          <w:color w:val="auto"/>
          <w:sz w:val="24"/>
          <w:szCs w:val="24"/>
          <w:highlight w:val="none"/>
        </w:rPr>
        <w:t>、微型企业）。</w:t>
      </w:r>
    </w:p>
    <w:p>
      <w:pPr>
        <w:keepNext w:val="0"/>
        <w:keepLines w:val="0"/>
        <w:pageBreakBefore w:val="0"/>
        <w:tabs>
          <w:tab w:val="left" w:pos="440"/>
        </w:tabs>
        <w:kinsoku/>
        <w:wordWrap/>
        <w:overflowPunct/>
        <w:topLinePunct w:val="0"/>
        <w:autoSpaceDE/>
        <w:autoSpaceDN/>
        <w:bidi w:val="0"/>
        <w:adjustRightInd/>
        <w:snapToGrid/>
        <w:spacing w:line="360" w:lineRule="auto"/>
        <w:ind w:left="0" w:leftChars="0" w:right="1037" w:rightChars="432"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.__</w:t>
      </w:r>
      <w:r>
        <w:rPr>
          <w:rFonts w:hint="eastAsia" w:ascii="宋体" w:hAnsi="宋体" w:eastAsia="宋体" w:cs="宋体"/>
          <w:color w:val="auto"/>
          <w:sz w:val="24"/>
          <w:szCs w:val="24"/>
          <w:highlight w:val="none"/>
          <w:u w:val="single"/>
        </w:rPr>
        <w:t>____</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lang w:val="en-US" w:eastAsia="zh-CN"/>
        </w:rPr>
        <w:t>标的名称</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属于</w:t>
      </w:r>
      <w:r>
        <w:rPr>
          <w:rFonts w:hint="eastAsia" w:ascii="宋体" w:hAnsi="宋体" w:eastAsia="宋体" w:cs="宋体"/>
          <w:color w:val="auto"/>
          <w:sz w:val="24"/>
          <w:szCs w:val="24"/>
          <w:highlight w:val="none"/>
        </w:rPr>
        <w:t>______</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lang w:val="en-US" w:eastAsia="zh-CN"/>
        </w:rPr>
        <w:t>采购文件中明确的所属行业</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承建（承接）企业为</w:t>
      </w:r>
      <w:r>
        <w:rPr>
          <w:rFonts w:hint="eastAsia" w:ascii="宋体" w:hAnsi="宋体" w:eastAsia="宋体" w:cs="宋体"/>
          <w:color w:val="auto"/>
          <w:sz w:val="24"/>
          <w:szCs w:val="24"/>
          <w:highlight w:val="none"/>
        </w:rPr>
        <w:t>_____</w:t>
      </w:r>
      <w:r>
        <w:rPr>
          <w:rFonts w:hint="eastAsia" w:ascii="宋体" w:hAnsi="宋体" w:eastAsia="宋体" w:cs="宋体"/>
          <w:color w:val="auto"/>
          <w:sz w:val="24"/>
          <w:szCs w:val="24"/>
          <w:highlight w:val="none"/>
          <w:u w:val="single"/>
        </w:rPr>
        <w:t>_</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lang w:val="en-US" w:eastAsia="zh-CN"/>
        </w:rPr>
        <w:t>企业名称</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rPr>
        <w:t>，从业人员______人，营业收入</w:t>
      </w:r>
      <w:r>
        <w:rPr>
          <w:rFonts w:hint="eastAsia" w:ascii="宋体" w:hAnsi="宋体" w:eastAsia="宋体" w:cs="宋体"/>
          <w:color w:val="auto"/>
          <w:sz w:val="24"/>
          <w:szCs w:val="24"/>
          <w:highlight w:val="none"/>
          <w:lang w:eastAsia="zh-CN"/>
        </w:rPr>
        <w:t>为</w:t>
      </w:r>
      <w:r>
        <w:rPr>
          <w:rFonts w:hint="eastAsia" w:ascii="宋体" w:hAnsi="宋体" w:eastAsia="宋体" w:cs="宋体"/>
          <w:color w:val="auto"/>
          <w:sz w:val="24"/>
          <w:szCs w:val="24"/>
          <w:highlight w:val="none"/>
        </w:rPr>
        <w:t>______万元，资产总额</w:t>
      </w:r>
      <w:r>
        <w:rPr>
          <w:rFonts w:hint="eastAsia" w:ascii="宋体" w:hAnsi="宋体" w:eastAsia="宋体" w:cs="宋体"/>
          <w:color w:val="auto"/>
          <w:sz w:val="24"/>
          <w:szCs w:val="24"/>
          <w:highlight w:val="none"/>
          <w:lang w:eastAsia="zh-CN"/>
        </w:rPr>
        <w:t>为</w:t>
      </w:r>
      <w:r>
        <w:rPr>
          <w:rFonts w:hint="eastAsia" w:ascii="宋体" w:hAnsi="宋体" w:eastAsia="宋体" w:cs="宋体"/>
          <w:color w:val="auto"/>
          <w:sz w:val="24"/>
          <w:szCs w:val="24"/>
          <w:highlight w:val="none"/>
        </w:rPr>
        <w:t>______万元，</w:t>
      </w:r>
      <w:r>
        <w:rPr>
          <w:rFonts w:hint="eastAsia" w:ascii="宋体" w:hAnsi="宋体" w:eastAsia="宋体" w:cs="宋体"/>
          <w:color w:val="auto"/>
          <w:sz w:val="24"/>
          <w:szCs w:val="24"/>
          <w:highlight w:val="none"/>
          <w:lang w:val="en-US" w:eastAsia="zh-CN"/>
        </w:rPr>
        <w:t>属于</w:t>
      </w:r>
      <w:r>
        <w:rPr>
          <w:rFonts w:hint="eastAsia" w:ascii="宋体" w:hAnsi="宋体" w:eastAsia="宋体" w:cs="宋体"/>
          <w:color w:val="auto"/>
          <w:sz w:val="24"/>
          <w:szCs w:val="24"/>
          <w:highlight w:val="none"/>
        </w:rPr>
        <w:t>____</w:t>
      </w:r>
      <w:r>
        <w:rPr>
          <w:rFonts w:hint="eastAsia" w:ascii="宋体" w:hAnsi="宋体" w:eastAsia="宋体" w:cs="宋体"/>
          <w:color w:val="auto"/>
          <w:sz w:val="24"/>
          <w:szCs w:val="24"/>
          <w:highlight w:val="none"/>
          <w:u w:val="single"/>
        </w:rPr>
        <w:t>__（中型</w:t>
      </w:r>
      <w:r>
        <w:rPr>
          <w:rFonts w:hint="eastAsia" w:ascii="宋体" w:hAnsi="宋体" w:eastAsia="宋体" w:cs="宋体"/>
          <w:color w:val="auto"/>
          <w:sz w:val="24"/>
          <w:szCs w:val="24"/>
          <w:highlight w:val="none"/>
          <w:u w:val="single"/>
          <w:lang w:val="en-US" w:eastAsia="zh-CN"/>
        </w:rPr>
        <w:t>企业</w:t>
      </w:r>
      <w:r>
        <w:rPr>
          <w:rFonts w:hint="eastAsia" w:ascii="宋体" w:hAnsi="宋体" w:eastAsia="宋体" w:cs="宋体"/>
          <w:color w:val="auto"/>
          <w:sz w:val="24"/>
          <w:szCs w:val="24"/>
          <w:highlight w:val="none"/>
          <w:u w:val="single"/>
        </w:rPr>
        <w:t>、小型</w:t>
      </w:r>
      <w:r>
        <w:rPr>
          <w:rFonts w:hint="eastAsia" w:ascii="宋体" w:hAnsi="宋体" w:eastAsia="宋体" w:cs="宋体"/>
          <w:color w:val="auto"/>
          <w:sz w:val="24"/>
          <w:szCs w:val="24"/>
          <w:highlight w:val="none"/>
          <w:u w:val="single"/>
          <w:lang w:val="en-US" w:eastAsia="zh-CN"/>
        </w:rPr>
        <w:t>企业</w:t>
      </w:r>
      <w:r>
        <w:rPr>
          <w:rFonts w:hint="eastAsia" w:ascii="宋体" w:hAnsi="宋体" w:eastAsia="宋体" w:cs="宋体"/>
          <w:color w:val="auto"/>
          <w:sz w:val="24"/>
          <w:szCs w:val="24"/>
          <w:highlight w:val="none"/>
          <w:u w:val="single"/>
        </w:rPr>
        <w:t>、微型企业）</w:t>
      </w:r>
      <w:r>
        <w:rPr>
          <w:rFonts w:hint="eastAsia" w:ascii="宋体" w:hAnsi="宋体" w:eastAsia="宋体" w:cs="宋体"/>
          <w:color w:val="auto"/>
          <w:sz w:val="24"/>
          <w:szCs w:val="24"/>
          <w:highlight w:val="none"/>
        </w:rPr>
        <w:t>。</w:t>
      </w:r>
    </w:p>
    <w:p>
      <w:pPr>
        <w:pStyle w:val="42"/>
        <w:tabs>
          <w:tab w:val="left" w:pos="440"/>
        </w:tabs>
        <w:spacing w:line="360" w:lineRule="auto"/>
        <w:ind w:left="955" w:leftChars="398" w:right="1037" w:rightChars="432" w:firstLine="0" w:firstLine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w:t>
      </w:r>
    </w:p>
    <w:p>
      <w:pPr>
        <w:tabs>
          <w:tab w:val="left" w:pos="440"/>
        </w:tabs>
        <w:spacing w:line="360" w:lineRule="auto"/>
        <w:ind w:left="0" w:leftChars="0" w:right="1037" w:rightChars="432"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以上企业，不属于大企业的分支机构，不存在控股股东为大企业的情形，也不存在与大企业的负责人为同一人的情形。</w:t>
      </w:r>
    </w:p>
    <w:p>
      <w:pPr>
        <w:tabs>
          <w:tab w:val="left" w:pos="440"/>
        </w:tabs>
        <w:spacing w:line="360" w:lineRule="auto"/>
        <w:ind w:right="1037" w:rightChars="43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本公司对上述声明</w:t>
      </w:r>
      <w:r>
        <w:rPr>
          <w:rFonts w:hint="eastAsia" w:ascii="宋体" w:hAnsi="宋体" w:eastAsia="宋体" w:cs="宋体"/>
          <w:color w:val="auto"/>
          <w:sz w:val="24"/>
          <w:szCs w:val="24"/>
          <w:highlight w:val="none"/>
          <w:lang w:val="en-US" w:eastAsia="zh-CN"/>
        </w:rPr>
        <w:t>内容</w:t>
      </w:r>
      <w:r>
        <w:rPr>
          <w:rFonts w:hint="eastAsia" w:ascii="宋体" w:hAnsi="宋体" w:eastAsia="宋体" w:cs="宋体"/>
          <w:color w:val="auto"/>
          <w:sz w:val="24"/>
          <w:szCs w:val="24"/>
          <w:highlight w:val="none"/>
        </w:rPr>
        <w:t>的真实性负责。如有虚假，将依法承担相应责任。</w:t>
      </w:r>
    </w:p>
    <w:p>
      <w:pPr>
        <w:tabs>
          <w:tab w:val="left" w:pos="440"/>
        </w:tabs>
        <w:adjustRightInd w:val="0"/>
        <w:spacing w:line="360" w:lineRule="auto"/>
        <w:ind w:left="955" w:leftChars="398" w:right="1037" w:rightChars="432" w:firstLine="0" w:firstLineChars="0"/>
        <w:jc w:val="left"/>
        <w:rPr>
          <w:rFonts w:hint="eastAsia" w:ascii="宋体" w:hAnsi="宋体" w:eastAsia="宋体" w:cs="宋体"/>
          <w:color w:val="auto"/>
          <w:sz w:val="24"/>
          <w:szCs w:val="24"/>
          <w:highlight w:val="none"/>
        </w:rPr>
      </w:pPr>
    </w:p>
    <w:p>
      <w:pPr>
        <w:tabs>
          <w:tab w:val="left" w:pos="440"/>
        </w:tabs>
        <w:adjustRightInd w:val="0"/>
        <w:spacing w:line="360" w:lineRule="auto"/>
        <w:ind w:left="955" w:leftChars="398" w:right="1037" w:rightChars="432" w:firstLine="2160" w:firstLineChars="9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企业</w:t>
      </w:r>
      <w:r>
        <w:rPr>
          <w:rFonts w:hint="eastAsia" w:ascii="宋体" w:hAnsi="宋体" w:eastAsia="宋体" w:cs="宋体"/>
          <w:color w:val="auto"/>
          <w:sz w:val="24"/>
          <w:szCs w:val="24"/>
          <w:highlight w:val="none"/>
        </w:rPr>
        <w:t>名称（盖章）：</w:t>
      </w:r>
    </w:p>
    <w:p>
      <w:pPr>
        <w:tabs>
          <w:tab w:val="left" w:pos="440"/>
        </w:tabs>
        <w:adjustRightInd w:val="0"/>
        <w:spacing w:line="360" w:lineRule="auto"/>
        <w:ind w:left="955" w:leftChars="398" w:right="1037" w:rightChars="432" w:firstLine="2160" w:firstLineChars="90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rPr>
        <w:t>日期：</w:t>
      </w:r>
    </w:p>
    <w:p>
      <w:pPr>
        <w:pStyle w:val="42"/>
        <w:keepNext w:val="0"/>
        <w:keepLines w:val="0"/>
        <w:pageBreakBefore w:val="0"/>
        <w:widowControl w:val="0"/>
        <w:tabs>
          <w:tab w:val="left" w:pos="440"/>
        </w:tabs>
        <w:kinsoku/>
        <w:wordWrap/>
        <w:overflowPunct/>
        <w:topLinePunct w:val="0"/>
        <w:bidi w:val="0"/>
        <w:snapToGrid/>
        <w:spacing w:line="360" w:lineRule="auto"/>
        <w:ind w:left="955" w:leftChars="398" w:right="1037" w:rightChars="432" w:firstLine="0" w:firstLineChars="0"/>
        <w:textAlignment w:val="auto"/>
        <w:rPr>
          <w:rFonts w:hint="eastAsia" w:ascii="宋体" w:hAnsi="宋体" w:eastAsia="宋体" w:cs="宋体"/>
          <w:color w:val="auto"/>
          <w:kern w:val="0"/>
          <w:sz w:val="21"/>
          <w:szCs w:val="20"/>
          <w:highlight w:val="none"/>
        </w:rPr>
      </w:pPr>
    </w:p>
    <w:p>
      <w:pPr>
        <w:pStyle w:val="42"/>
        <w:keepNext w:val="0"/>
        <w:keepLines w:val="0"/>
        <w:pageBreakBefore w:val="0"/>
        <w:widowControl w:val="0"/>
        <w:tabs>
          <w:tab w:val="left" w:pos="440"/>
        </w:tabs>
        <w:kinsoku/>
        <w:wordWrap/>
        <w:overflowPunct/>
        <w:topLinePunct w:val="0"/>
        <w:bidi w:val="0"/>
        <w:snapToGrid/>
        <w:spacing w:line="360" w:lineRule="auto"/>
        <w:ind w:left="955" w:leftChars="398" w:right="1037" w:rightChars="432" w:firstLine="0" w:firstLineChars="0"/>
        <w:textAlignment w:val="auto"/>
        <w:rPr>
          <w:rFonts w:hint="eastAsia" w:ascii="宋体" w:hAnsi="宋体" w:eastAsia="宋体" w:cs="宋体"/>
          <w:color w:val="auto"/>
          <w:kern w:val="0"/>
          <w:sz w:val="21"/>
          <w:szCs w:val="20"/>
          <w:highlight w:val="none"/>
          <w:lang w:val="zh-CN" w:eastAsia="zh-CN" w:bidi="ar-SA"/>
        </w:rPr>
      </w:pPr>
      <w:r>
        <w:rPr>
          <w:rFonts w:hint="eastAsia" w:ascii="宋体" w:hAnsi="宋体" w:eastAsia="宋体" w:cs="宋体"/>
          <w:color w:val="auto"/>
          <w:kern w:val="0"/>
          <w:sz w:val="21"/>
          <w:szCs w:val="20"/>
          <w:highlight w:val="none"/>
        </w:rPr>
        <w:t>注：</w:t>
      </w:r>
      <w:r>
        <w:rPr>
          <w:rFonts w:hint="eastAsia" w:ascii="宋体" w:hAnsi="宋体" w:eastAsia="宋体" w:cs="宋体"/>
          <w:color w:val="auto"/>
          <w:kern w:val="0"/>
          <w:sz w:val="21"/>
          <w:szCs w:val="20"/>
          <w:highlight w:val="none"/>
          <w:lang w:val="en-US" w:eastAsia="zh-CN"/>
        </w:rPr>
        <w:t>1.</w:t>
      </w:r>
      <w:r>
        <w:rPr>
          <w:rFonts w:hint="eastAsia" w:ascii="宋体" w:hAnsi="宋体" w:eastAsia="宋体" w:cs="宋体"/>
          <w:color w:val="auto"/>
          <w:kern w:val="0"/>
          <w:sz w:val="21"/>
          <w:szCs w:val="20"/>
          <w:highlight w:val="none"/>
          <w:lang w:val="zh-CN" w:eastAsia="zh-CN" w:bidi="ar-SA"/>
        </w:rPr>
        <w:t>从业人员、营业收入、资产总额填报上一年度数据，无上一年度数据的新成立企业可不填报。</w:t>
      </w:r>
    </w:p>
    <w:p>
      <w:pPr>
        <w:rPr>
          <w:rFonts w:hint="eastAsia" w:ascii="宋体" w:hAnsi="宋体" w:eastAsia="宋体" w:cs="宋体"/>
          <w:color w:val="auto"/>
          <w:kern w:val="0"/>
          <w:sz w:val="21"/>
          <w:szCs w:val="20"/>
          <w:highlight w:val="none"/>
          <w:lang w:val="zh-CN" w:eastAsia="zh-CN" w:bidi="ar-SA"/>
        </w:rPr>
      </w:pPr>
    </w:p>
    <w:p>
      <w:pPr>
        <w:pStyle w:val="2"/>
        <w:rPr>
          <w:rFonts w:hint="eastAsia" w:ascii="宋体" w:hAnsi="宋体" w:eastAsia="宋体" w:cs="宋体"/>
          <w:color w:val="auto"/>
          <w:kern w:val="0"/>
          <w:sz w:val="21"/>
          <w:szCs w:val="20"/>
          <w:highlight w:val="none"/>
          <w:lang w:val="zh-CN" w:eastAsia="zh-CN" w:bidi="ar-SA"/>
        </w:rPr>
      </w:pPr>
    </w:p>
    <w:p>
      <w:pPr>
        <w:pStyle w:val="5"/>
        <w:spacing w:line="360" w:lineRule="auto"/>
        <w:ind w:right="-94" w:rightChars="-39" w:firstLine="1285" w:firstLineChars="400"/>
        <w:jc w:val="both"/>
        <w:rPr>
          <w:rFonts w:hint="eastAsia" w:ascii="宋体" w:hAnsi="宋体" w:eastAsia="宋体" w:cs="宋体"/>
          <w:color w:val="auto"/>
          <w:sz w:val="32"/>
          <w:highlight w:val="none"/>
          <w:lang w:val="en-US"/>
        </w:rPr>
      </w:pPr>
      <w:r>
        <w:rPr>
          <w:rFonts w:hint="eastAsia" w:ascii="宋体" w:hAnsi="宋体" w:eastAsia="宋体" w:cs="宋体"/>
          <w:color w:val="auto"/>
          <w:sz w:val="32"/>
          <w:highlight w:val="none"/>
          <w:lang w:val="en-US" w:eastAsia="zh-CN"/>
        </w:rPr>
        <w:t>六</w:t>
      </w:r>
      <w:r>
        <w:rPr>
          <w:rFonts w:hint="eastAsia" w:ascii="宋体" w:hAnsi="宋体" w:eastAsia="宋体" w:cs="宋体"/>
          <w:color w:val="auto"/>
          <w:sz w:val="32"/>
          <w:highlight w:val="none"/>
          <w:lang w:val="en-US"/>
        </w:rPr>
        <w:t>、监狱企业证明文件（如适用）</w:t>
      </w:r>
    </w:p>
    <w:p>
      <w:pPr>
        <w:spacing w:line="360" w:lineRule="auto"/>
        <w:ind w:right="-94" w:rightChars="-39" w:firstLine="480"/>
        <w:rPr>
          <w:rFonts w:hint="eastAsia" w:ascii="宋体" w:hAnsi="宋体" w:eastAsia="宋体" w:cs="宋体"/>
          <w:color w:val="auto"/>
          <w:highlight w:val="none"/>
        </w:rPr>
      </w:pPr>
    </w:p>
    <w:p>
      <w:pPr>
        <w:spacing w:line="360" w:lineRule="auto"/>
        <w:ind w:right="-94" w:rightChars="-39" w:firstLine="480"/>
        <w:rPr>
          <w:rFonts w:hint="eastAsia" w:ascii="宋体" w:hAnsi="宋体" w:eastAsia="宋体" w:cs="宋体"/>
          <w:bCs/>
          <w:color w:val="auto"/>
          <w:highlight w:val="none"/>
        </w:rPr>
      </w:pPr>
      <w:r>
        <w:rPr>
          <w:rFonts w:hint="eastAsia" w:ascii="宋体" w:hAnsi="宋体" w:eastAsia="宋体" w:cs="宋体"/>
          <w:bCs/>
          <w:color w:val="auto"/>
          <w:highlight w:val="none"/>
        </w:rPr>
        <w:t>监狱企业参加政府采购活动时，应当提供由省级以上监狱管理局、戒毒管理局（含新疆生产建设兵团）出具的属于监狱企业的证明文件。</w:t>
      </w:r>
    </w:p>
    <w:p>
      <w:pPr>
        <w:spacing w:line="360" w:lineRule="auto"/>
        <w:ind w:right="-94" w:rightChars="-39" w:firstLine="480"/>
        <w:rPr>
          <w:rFonts w:hint="eastAsia" w:ascii="宋体" w:hAnsi="宋体" w:eastAsia="宋体" w:cs="宋体"/>
          <w:bCs/>
          <w:color w:val="auto"/>
          <w:highlight w:val="none"/>
        </w:rPr>
      </w:pPr>
    </w:p>
    <w:p>
      <w:pPr>
        <w:pStyle w:val="2"/>
        <w:ind w:right="-94" w:rightChars="-39" w:firstLine="640"/>
        <w:rPr>
          <w:rFonts w:hint="eastAsia" w:ascii="宋体" w:hAnsi="宋体" w:eastAsia="宋体" w:cs="宋体"/>
          <w:color w:val="auto"/>
          <w:highlight w:val="none"/>
        </w:rPr>
      </w:pPr>
    </w:p>
    <w:p>
      <w:pPr>
        <w:pStyle w:val="2"/>
        <w:ind w:right="-94" w:rightChars="-39" w:firstLine="640"/>
        <w:rPr>
          <w:rFonts w:hint="eastAsia" w:ascii="宋体" w:hAnsi="宋体" w:eastAsia="宋体" w:cs="宋体"/>
          <w:color w:val="auto"/>
          <w:highlight w:val="none"/>
        </w:rPr>
      </w:pPr>
    </w:p>
    <w:p>
      <w:pPr>
        <w:pStyle w:val="2"/>
        <w:ind w:right="-94" w:rightChars="-39" w:firstLine="480"/>
        <w:rPr>
          <w:rFonts w:hint="eastAsia" w:ascii="宋体" w:hAnsi="宋体" w:eastAsia="宋体" w:cs="宋体"/>
          <w:color w:val="auto"/>
          <w:kern w:val="0"/>
          <w:sz w:val="24"/>
          <w:szCs w:val="20"/>
          <w:highlight w:val="none"/>
        </w:rPr>
      </w:pPr>
    </w:p>
    <w:p>
      <w:pPr>
        <w:pStyle w:val="2"/>
        <w:ind w:right="-94" w:rightChars="-39" w:firstLine="420"/>
        <w:rPr>
          <w:rFonts w:hint="eastAsia" w:ascii="宋体" w:hAnsi="宋体" w:eastAsia="宋体" w:cs="宋体"/>
          <w:color w:val="auto"/>
          <w:kern w:val="0"/>
          <w:sz w:val="21"/>
          <w:szCs w:val="20"/>
          <w:highlight w:val="none"/>
        </w:rPr>
      </w:pPr>
      <w:r>
        <w:rPr>
          <w:rFonts w:hint="eastAsia" w:ascii="宋体" w:hAnsi="宋体" w:eastAsia="宋体" w:cs="宋体"/>
          <w:color w:val="auto"/>
          <w:kern w:val="0"/>
          <w:sz w:val="21"/>
          <w:szCs w:val="20"/>
          <w:highlight w:val="none"/>
        </w:rPr>
        <w:t>注：1、在政府采购活动中，监狱企业视同小型、微型企业，享受评审中价格扣除等促进中小企业发展的政府采购政策。</w:t>
      </w:r>
    </w:p>
    <w:p>
      <w:pPr>
        <w:pStyle w:val="2"/>
        <w:ind w:right="-94" w:rightChars="-39" w:firstLine="420"/>
        <w:rPr>
          <w:rFonts w:hint="eastAsia" w:ascii="宋体" w:hAnsi="宋体" w:eastAsia="宋体" w:cs="宋体"/>
          <w:color w:val="auto"/>
          <w:kern w:val="0"/>
          <w:sz w:val="21"/>
          <w:szCs w:val="20"/>
          <w:highlight w:val="none"/>
        </w:rPr>
      </w:pPr>
      <w:r>
        <w:rPr>
          <w:rFonts w:hint="eastAsia" w:ascii="宋体" w:hAnsi="宋体" w:eastAsia="宋体" w:cs="宋体"/>
          <w:color w:val="auto"/>
          <w:kern w:val="0"/>
          <w:sz w:val="21"/>
          <w:szCs w:val="20"/>
          <w:highlight w:val="none"/>
        </w:rPr>
        <w:t>2、供应商为非监狱企业可不提供此证明，不影响磋商文件的有效性。</w:t>
      </w:r>
    </w:p>
    <w:p>
      <w:pPr>
        <w:pStyle w:val="5"/>
        <w:spacing w:line="360" w:lineRule="auto"/>
        <w:ind w:right="-94" w:rightChars="-39" w:firstLine="0" w:firstLineChars="0"/>
        <w:jc w:val="center"/>
        <w:rPr>
          <w:rFonts w:hint="eastAsia" w:ascii="宋体" w:hAnsi="宋体" w:eastAsia="宋体" w:cs="宋体"/>
          <w:color w:val="auto"/>
          <w:sz w:val="32"/>
          <w:highlight w:val="none"/>
        </w:rPr>
      </w:pPr>
      <w:r>
        <w:rPr>
          <w:rFonts w:hint="eastAsia" w:ascii="宋体" w:hAnsi="宋体" w:eastAsia="宋体" w:cs="宋体"/>
          <w:color w:val="auto"/>
          <w:sz w:val="32"/>
          <w:highlight w:val="none"/>
          <w:lang w:val="en-US"/>
        </w:rPr>
        <w:br w:type="page"/>
      </w:r>
      <w:r>
        <w:rPr>
          <w:rFonts w:hint="eastAsia" w:ascii="宋体" w:hAnsi="宋体" w:eastAsia="宋体" w:cs="宋体"/>
          <w:color w:val="auto"/>
          <w:sz w:val="32"/>
          <w:highlight w:val="none"/>
          <w:lang w:val="en-US" w:eastAsia="zh-CN"/>
        </w:rPr>
        <w:t>七</w:t>
      </w:r>
      <w:r>
        <w:rPr>
          <w:rFonts w:hint="eastAsia" w:ascii="宋体" w:hAnsi="宋体" w:eastAsia="宋体" w:cs="宋体"/>
          <w:color w:val="auto"/>
          <w:sz w:val="32"/>
          <w:highlight w:val="none"/>
          <w:lang w:val="en-US"/>
        </w:rPr>
        <w:t>、残疾人福利性单位声明函（如适用）</w:t>
      </w:r>
    </w:p>
    <w:p>
      <w:pPr>
        <w:spacing w:line="360" w:lineRule="auto"/>
        <w:ind w:right="-94" w:rightChars="-39" w:firstLine="626"/>
        <w:rPr>
          <w:rFonts w:hint="eastAsia" w:ascii="宋体" w:hAnsi="宋体" w:eastAsia="宋体" w:cs="宋体"/>
          <w:b/>
          <w:color w:val="auto"/>
          <w:spacing w:val="6"/>
          <w:sz w:val="30"/>
          <w:szCs w:val="30"/>
          <w:highlight w:val="none"/>
        </w:rPr>
      </w:pPr>
    </w:p>
    <w:p>
      <w:pPr>
        <w:spacing w:line="360" w:lineRule="auto"/>
        <w:ind w:right="-94" w:rightChars="-39" w:firstLine="504"/>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我方郑重声明，根据《财政部 民政部 中国残疾人联合会关于促进残疾人就业政府采购政策的通知》（财库</w:t>
      </w:r>
      <w:r>
        <w:rPr>
          <w:rFonts w:hint="eastAsia" w:ascii="宋体" w:hAnsi="宋体" w:eastAsia="宋体" w:cs="宋体"/>
          <w:color w:val="auto"/>
          <w:highlight w:val="none"/>
        </w:rPr>
        <w:t>〔2017〕 141</w:t>
      </w:r>
      <w:r>
        <w:rPr>
          <w:rFonts w:hint="eastAsia" w:ascii="宋体" w:hAnsi="宋体" w:eastAsia="宋体" w:cs="宋体"/>
          <w:color w:val="auto"/>
          <w:spacing w:val="6"/>
          <w:highlight w:val="none"/>
        </w:rPr>
        <w:t>号）的规定，我方为符合条件的残疾人福利性单位，且我方参加</w:t>
      </w:r>
      <w:r>
        <w:rPr>
          <w:rFonts w:hint="eastAsia" w:ascii="宋体" w:hAnsi="宋体" w:eastAsia="宋体" w:cs="宋体"/>
          <w:color w:val="auto"/>
          <w:szCs w:val="24"/>
          <w:highlight w:val="none"/>
        </w:rPr>
        <w:t>_____</w:t>
      </w:r>
      <w:r>
        <w:rPr>
          <w:rFonts w:hint="eastAsia" w:ascii="宋体" w:hAnsi="宋体" w:eastAsia="宋体" w:cs="宋体"/>
          <w:color w:val="auto"/>
          <w:spacing w:val="6"/>
          <w:highlight w:val="none"/>
        </w:rPr>
        <w:t>单位的</w:t>
      </w:r>
      <w:r>
        <w:rPr>
          <w:rFonts w:hint="eastAsia" w:ascii="宋体" w:hAnsi="宋体" w:eastAsia="宋体" w:cs="宋体"/>
          <w:color w:val="auto"/>
          <w:szCs w:val="24"/>
          <w:highlight w:val="none"/>
        </w:rPr>
        <w:t>_____</w:t>
      </w:r>
      <w:r>
        <w:rPr>
          <w:rFonts w:hint="eastAsia" w:ascii="宋体" w:hAnsi="宋体" w:eastAsia="宋体" w:cs="宋体"/>
          <w:color w:val="auto"/>
          <w:spacing w:val="6"/>
          <w:highlight w:val="none"/>
        </w:rPr>
        <w:t>项目采购活动提供我方制造的货物（由我方承担工程/提供服务），或者提供其他残疾人福利性单位制造的货物（不包括使用非残疾人福利性单位注册商标的货物）。</w:t>
      </w:r>
    </w:p>
    <w:p>
      <w:pPr>
        <w:spacing w:line="360" w:lineRule="auto"/>
        <w:ind w:right="-94" w:rightChars="-39" w:firstLine="504"/>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我方对上述声明的真实性负责。如有虚假，将依法承担相应责任。</w:t>
      </w:r>
    </w:p>
    <w:p>
      <w:pPr>
        <w:spacing w:line="360" w:lineRule="auto"/>
        <w:ind w:right="-94" w:rightChars="-39" w:firstLine="624"/>
        <w:rPr>
          <w:rFonts w:hint="eastAsia" w:ascii="宋体" w:hAnsi="宋体" w:eastAsia="宋体" w:cs="宋体"/>
          <w:color w:val="auto"/>
          <w:spacing w:val="6"/>
          <w:sz w:val="30"/>
          <w:szCs w:val="30"/>
          <w:highlight w:val="none"/>
        </w:rPr>
      </w:pPr>
    </w:p>
    <w:p>
      <w:pPr>
        <w:spacing w:line="360" w:lineRule="auto"/>
        <w:ind w:right="-94" w:rightChars="-39" w:firstLine="624"/>
        <w:rPr>
          <w:rFonts w:hint="eastAsia" w:ascii="宋体" w:hAnsi="宋体" w:eastAsia="宋体" w:cs="宋体"/>
          <w:color w:val="auto"/>
          <w:spacing w:val="6"/>
          <w:sz w:val="30"/>
          <w:szCs w:val="30"/>
          <w:highlight w:val="none"/>
        </w:rPr>
      </w:pPr>
    </w:p>
    <w:p>
      <w:pPr>
        <w:widowControl/>
        <w:spacing w:line="360" w:lineRule="auto"/>
        <w:ind w:right="-94" w:rightChars="-39" w:firstLine="624"/>
        <w:jc w:val="left"/>
        <w:rPr>
          <w:rFonts w:hint="eastAsia" w:ascii="宋体" w:hAnsi="宋体" w:eastAsia="宋体" w:cs="宋体"/>
          <w:color w:val="auto"/>
          <w:highlight w:val="none"/>
        </w:rPr>
      </w:pPr>
      <w:r>
        <w:rPr>
          <w:rFonts w:hint="eastAsia" w:ascii="宋体" w:hAnsi="宋体" w:eastAsia="宋体" w:cs="宋体"/>
          <w:color w:val="auto"/>
          <w:spacing w:val="6"/>
          <w:sz w:val="30"/>
          <w:szCs w:val="30"/>
          <w:highlight w:val="none"/>
        </w:rPr>
        <w:t xml:space="preserve">             </w:t>
      </w:r>
    </w:p>
    <w:p>
      <w:pPr>
        <w:widowControl/>
        <w:spacing w:line="360" w:lineRule="auto"/>
        <w:ind w:right="-94" w:rightChars="-39" w:firstLine="480"/>
        <w:jc w:val="left"/>
        <w:rPr>
          <w:rFonts w:hint="eastAsia" w:ascii="宋体" w:hAnsi="宋体" w:eastAsia="宋体" w:cs="宋体"/>
          <w:color w:val="auto"/>
          <w:highlight w:val="none"/>
        </w:rPr>
      </w:pPr>
    </w:p>
    <w:p>
      <w:pPr>
        <w:widowControl/>
        <w:spacing w:line="360" w:lineRule="auto"/>
        <w:ind w:right="-94" w:rightChars="-39" w:firstLine="480"/>
        <w:jc w:val="left"/>
        <w:rPr>
          <w:rFonts w:hint="eastAsia" w:ascii="宋体" w:hAnsi="宋体" w:eastAsia="宋体" w:cs="宋体"/>
          <w:color w:val="auto"/>
          <w:highlight w:val="none"/>
        </w:rPr>
      </w:pPr>
    </w:p>
    <w:p>
      <w:pPr>
        <w:widowControl/>
        <w:spacing w:line="360" w:lineRule="auto"/>
        <w:ind w:right="-94" w:rightChars="-39" w:firstLine="480"/>
        <w:jc w:val="left"/>
        <w:rPr>
          <w:rFonts w:hint="eastAsia" w:ascii="宋体" w:hAnsi="宋体" w:eastAsia="宋体" w:cs="宋体"/>
          <w:color w:val="auto"/>
          <w:highlight w:val="none"/>
        </w:rPr>
      </w:pPr>
    </w:p>
    <w:p>
      <w:pPr>
        <w:autoSpaceDE w:val="0"/>
        <w:autoSpaceDN w:val="0"/>
        <w:adjustRightInd w:val="0"/>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供应商名称（盖单位公章）：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autoSpaceDE w:val="0"/>
        <w:autoSpaceDN w:val="0"/>
        <w:adjustRightInd w:val="0"/>
        <w:spacing w:line="360" w:lineRule="auto"/>
        <w:ind w:right="-94" w:rightChars="-39" w:firstLine="480"/>
        <w:rPr>
          <w:rFonts w:hint="eastAsia" w:ascii="宋体" w:hAnsi="宋体" w:eastAsia="宋体" w:cs="宋体"/>
          <w:color w:val="auto"/>
          <w:highlight w:val="none"/>
          <w:u w:val="single"/>
        </w:rPr>
      </w:pPr>
      <w:r>
        <w:rPr>
          <w:rFonts w:hint="eastAsia" w:ascii="宋体" w:hAnsi="宋体" w:eastAsia="宋体" w:cs="宋体"/>
          <w:bCs/>
          <w:color w:val="auto"/>
          <w:highlight w:val="none"/>
        </w:rPr>
        <w:t>法定代表人或授权代表（签字或加盖个人签名章）</w:t>
      </w: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w:t>
      </w:r>
    </w:p>
    <w:p>
      <w:pPr>
        <w:autoSpaceDE w:val="0"/>
        <w:autoSpaceDN w:val="0"/>
        <w:adjustRightInd w:val="0"/>
        <w:spacing w:line="360" w:lineRule="auto"/>
        <w:ind w:right="-94" w:rightChars="-39" w:firstLine="480"/>
        <w:rPr>
          <w:rFonts w:hint="eastAsia" w:ascii="宋体" w:hAnsi="宋体" w:eastAsia="宋体" w:cs="宋体"/>
          <w:bCs/>
          <w:color w:val="auto"/>
          <w:szCs w:val="30"/>
          <w:highlight w:val="non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w:t>
      </w:r>
    </w:p>
    <w:p>
      <w:pPr>
        <w:autoSpaceDE w:val="0"/>
        <w:autoSpaceDN w:val="0"/>
        <w:adjustRightInd w:val="0"/>
        <w:spacing w:line="360" w:lineRule="auto"/>
        <w:ind w:right="-94" w:rightChars="-39" w:firstLine="0" w:firstLineChars="0"/>
        <w:rPr>
          <w:rFonts w:hint="eastAsia" w:ascii="宋体" w:hAnsi="宋体" w:eastAsia="宋体" w:cs="宋体"/>
          <w:color w:val="auto"/>
          <w:highlight w:val="none"/>
        </w:rPr>
      </w:pPr>
    </w:p>
    <w:p>
      <w:pPr>
        <w:spacing w:line="360" w:lineRule="auto"/>
        <w:ind w:right="-94" w:rightChars="-39" w:firstLine="420"/>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注：1、残疾人福利性单位视同小型、微型企业，享受预留份额、评审中价格扣除等促进中小企业发展的政府采购政策。残疾人福利性单位属于小型、微型企业的，不重复享受政策。</w:t>
      </w:r>
    </w:p>
    <w:p>
      <w:pPr>
        <w:spacing w:line="360" w:lineRule="auto"/>
        <w:ind w:right="-94" w:rightChars="-39" w:firstLine="420"/>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2、供应商为非残疾人福利性单位的，可不提供此声明。</w:t>
      </w:r>
    </w:p>
    <w:p>
      <w:pPr>
        <w:rPr>
          <w:rFonts w:hint="eastAsia" w:ascii="宋体" w:hAnsi="宋体" w:eastAsia="宋体" w:cs="宋体"/>
          <w:color w:val="auto"/>
          <w:kern w:val="0"/>
          <w:sz w:val="21"/>
          <w:szCs w:val="20"/>
          <w:highlight w:val="none"/>
          <w:lang w:val="zh-CN" w:eastAsia="zh-CN" w:bidi="ar-SA"/>
        </w:rPr>
      </w:pPr>
    </w:p>
    <w:p>
      <w:pPr>
        <w:pStyle w:val="2"/>
        <w:rPr>
          <w:rFonts w:hint="eastAsia" w:ascii="宋体" w:hAnsi="宋体" w:eastAsia="宋体" w:cs="宋体"/>
          <w:color w:val="auto"/>
          <w:highlight w:val="none"/>
          <w:lang w:val="zh-CN" w:eastAsia="zh-CN"/>
        </w:rPr>
      </w:pPr>
    </w:p>
    <w:p>
      <w:pPr>
        <w:tabs>
          <w:tab w:val="left" w:pos="7665"/>
        </w:tabs>
        <w:spacing w:line="360" w:lineRule="auto"/>
        <w:ind w:right="-94" w:rightChars="-39" w:firstLine="480"/>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tabs>
          <w:tab w:val="left" w:pos="7665"/>
        </w:tabs>
        <w:spacing w:line="360" w:lineRule="auto"/>
        <w:ind w:right="-94" w:rightChars="-39" w:firstLine="480"/>
        <w:rPr>
          <w:rFonts w:hint="eastAsia" w:ascii="宋体" w:hAnsi="宋体" w:eastAsia="宋体" w:cs="宋体"/>
          <w:color w:val="auto"/>
          <w:highlight w:val="none"/>
        </w:rPr>
      </w:pPr>
    </w:p>
    <w:p>
      <w:pPr>
        <w:tabs>
          <w:tab w:val="left" w:pos="7665"/>
        </w:tabs>
        <w:spacing w:line="360" w:lineRule="auto"/>
        <w:ind w:right="-94" w:rightChars="-39" w:firstLine="480"/>
        <w:rPr>
          <w:rFonts w:hint="eastAsia" w:ascii="宋体" w:hAnsi="宋体" w:eastAsia="宋体" w:cs="宋体"/>
          <w:color w:val="auto"/>
          <w:highlight w:val="none"/>
        </w:rPr>
      </w:pPr>
    </w:p>
    <w:p>
      <w:pPr>
        <w:tabs>
          <w:tab w:val="left" w:pos="7665"/>
        </w:tabs>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响应文件封面格式</w:t>
      </w:r>
    </w:p>
    <w:p>
      <w:pPr>
        <w:spacing w:line="360" w:lineRule="auto"/>
        <w:ind w:right="-94" w:rightChars="-39" w:firstLine="480"/>
        <w:rPr>
          <w:rFonts w:hint="eastAsia" w:ascii="宋体" w:hAnsi="宋体" w:eastAsia="宋体" w:cs="宋体"/>
          <w:bCs/>
          <w:color w:val="auto"/>
          <w:szCs w:val="21"/>
          <w:highlight w:val="none"/>
        </w:rPr>
      </w:pPr>
      <w:r>
        <w:rPr>
          <w:rFonts w:hint="eastAsia" w:ascii="宋体" w:hAnsi="宋体" w:eastAsia="宋体" w:cs="宋体"/>
          <w:color w:val="auto"/>
          <w:szCs w:val="22"/>
          <w:highlight w:val="none"/>
        </w:rPr>
        <mc:AlternateContent>
          <mc:Choice Requires="wps">
            <w:drawing>
              <wp:anchor distT="0" distB="0" distL="114300" distR="114300" simplePos="0" relativeHeight="251662336" behindDoc="0" locked="0" layoutInCell="1" allowOverlap="1">
                <wp:simplePos x="0" y="0"/>
                <wp:positionH relativeFrom="column">
                  <wp:posOffset>4055745</wp:posOffset>
                </wp:positionH>
                <wp:positionV relativeFrom="paragraph">
                  <wp:posOffset>169545</wp:posOffset>
                </wp:positionV>
                <wp:extent cx="1137285" cy="393065"/>
                <wp:effectExtent l="4445" t="4445" r="20320" b="21590"/>
                <wp:wrapNone/>
                <wp:docPr id="18" name="矩形 18"/>
                <wp:cNvGraphicFramePr/>
                <a:graphic xmlns:a="http://schemas.openxmlformats.org/drawingml/2006/main">
                  <a:graphicData uri="http://schemas.microsoft.com/office/word/2010/wordprocessingShape">
                    <wps:wsp>
                      <wps:cNvSpPr/>
                      <wps:spPr>
                        <a:xfrm>
                          <a:off x="0" y="0"/>
                          <a:ext cx="1137285" cy="3930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rPr>
                                <w:rFonts w:ascii="黑体" w:eastAsia="黑体"/>
                                <w:b/>
                                <w:sz w:val="28"/>
                                <w:szCs w:val="28"/>
                              </w:rPr>
                            </w:pPr>
                            <w:r>
                              <w:rPr>
                                <w:rFonts w:hint="eastAsia" w:ascii="黑体" w:eastAsia="黑体"/>
                                <w:b/>
                                <w:sz w:val="28"/>
                                <w:szCs w:val="28"/>
                              </w:rPr>
                              <w:t>正本或副本</w:t>
                            </w:r>
                          </w:p>
                        </w:txbxContent>
                      </wps:txbx>
                      <wps:bodyPr upright="1">
                        <a:spAutoFit/>
                      </wps:bodyPr>
                    </wps:wsp>
                  </a:graphicData>
                </a:graphic>
              </wp:anchor>
            </w:drawing>
          </mc:Choice>
          <mc:Fallback>
            <w:pict>
              <v:rect id="_x0000_s1026" o:spid="_x0000_s1026" o:spt="1" style="position:absolute;left:0pt;margin-left:319.35pt;margin-top:13.35pt;height:30.95pt;width:89.55pt;z-index:251662336;mso-width-relative:page;mso-height-relative:page;" fillcolor="#FFFFFF" filled="t" stroked="t" coordsize="21600,21600" o:gfxdata="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dcXNW1wAAAAkBAAAPAAAAAAAA&#10;AAEAIAAAACIAAABkcnMvZG93bnJldi54bWxQSwECFAAUAAAACACHTuJACDHTbRMCAABTBAAADgAA&#10;AAAAAAABACAAAAAmAQAAZHJzL2Uyb0RvYy54bWxQSwUGAAAAAAYABgBZAQAAqwUAAAAA&#10;">
                <v:fill on="t" focussize="0,0"/>
                <v:stroke color="#000000" joinstyle="miter"/>
                <v:imagedata o:title=""/>
                <o:lock v:ext="edit" aspectratio="f"/>
                <v:textbox style="mso-fit-shape-to-text:t;">
                  <w:txbxContent>
                    <w:p>
                      <w:pPr>
                        <w:ind w:firstLine="0" w:firstLineChars="0"/>
                        <w:rPr>
                          <w:rFonts w:ascii="黑体" w:eastAsia="黑体"/>
                          <w:b/>
                          <w:sz w:val="28"/>
                          <w:szCs w:val="28"/>
                        </w:rPr>
                      </w:pPr>
                      <w:r>
                        <w:rPr>
                          <w:rFonts w:hint="eastAsia" w:ascii="黑体" w:eastAsia="黑体"/>
                          <w:b/>
                          <w:sz w:val="28"/>
                          <w:szCs w:val="28"/>
                        </w:rPr>
                        <w:t>正本或副本</w:t>
                      </w:r>
                    </w:p>
                  </w:txbxContent>
                </v:textbox>
              </v:rect>
            </w:pict>
          </mc:Fallback>
        </mc:AlternateContent>
      </w:r>
    </w:p>
    <w:p>
      <w:pPr>
        <w:spacing w:line="360" w:lineRule="auto"/>
        <w:ind w:right="-94" w:rightChars="-39" w:firstLine="480"/>
        <w:rPr>
          <w:rFonts w:hint="eastAsia" w:ascii="宋体" w:hAnsi="宋体" w:eastAsia="宋体" w:cs="宋体"/>
          <w:bCs/>
          <w:color w:val="auto"/>
          <w:szCs w:val="21"/>
          <w:highlight w:val="none"/>
        </w:rPr>
      </w:pPr>
    </w:p>
    <w:p>
      <w:pPr>
        <w:spacing w:line="360" w:lineRule="auto"/>
        <w:ind w:right="-94" w:rightChars="-39" w:firstLine="480"/>
        <w:rPr>
          <w:rFonts w:hint="eastAsia" w:ascii="宋体" w:hAnsi="宋体" w:eastAsia="宋体" w:cs="宋体"/>
          <w:bCs/>
          <w:color w:val="auto"/>
          <w:szCs w:val="21"/>
          <w:highlight w:val="none"/>
        </w:rPr>
      </w:pPr>
    </w:p>
    <w:p>
      <w:pPr>
        <w:spacing w:line="360" w:lineRule="auto"/>
        <w:ind w:right="-94" w:rightChars="-39" w:firstLine="480"/>
        <w:jc w:val="right"/>
        <w:rPr>
          <w:rFonts w:hint="eastAsia" w:ascii="宋体" w:hAnsi="宋体" w:eastAsia="宋体" w:cs="宋体"/>
          <w:color w:val="auto"/>
          <w:highlight w:val="none"/>
        </w:rPr>
      </w:pPr>
    </w:p>
    <w:p>
      <w:pPr>
        <w:pStyle w:val="4"/>
        <w:spacing w:line="360" w:lineRule="auto"/>
        <w:ind w:right="-94" w:rightChars="-39"/>
        <w:rPr>
          <w:rFonts w:hint="eastAsia" w:ascii="宋体" w:hAnsi="宋体" w:eastAsia="宋体" w:cs="宋体"/>
          <w:color w:val="auto"/>
          <w:highlight w:val="none"/>
        </w:rPr>
      </w:pPr>
      <w:bookmarkStart w:id="778" w:name="_Toc517423528"/>
      <w:bookmarkStart w:id="779" w:name="_Toc4147"/>
      <w:bookmarkStart w:id="780" w:name="_Toc10186"/>
      <w:bookmarkStart w:id="781" w:name="_Toc14926"/>
      <w:bookmarkStart w:id="782" w:name="_Toc20053"/>
      <w:bookmarkStart w:id="783" w:name="_Toc5812"/>
      <w:bookmarkStart w:id="784" w:name="_Toc517422500"/>
      <w:bookmarkStart w:id="785" w:name="_Toc24579"/>
      <w:bookmarkStart w:id="786" w:name="_Toc12449"/>
      <w:r>
        <w:rPr>
          <w:rFonts w:hint="eastAsia" w:ascii="宋体" w:hAnsi="宋体" w:eastAsia="宋体" w:cs="宋体"/>
          <w:color w:val="auto"/>
          <w:highlight w:val="none"/>
        </w:rPr>
        <w:t>其他响应文件</w:t>
      </w:r>
      <w:bookmarkEnd w:id="778"/>
      <w:bookmarkEnd w:id="779"/>
      <w:bookmarkEnd w:id="780"/>
      <w:bookmarkEnd w:id="781"/>
      <w:bookmarkEnd w:id="782"/>
      <w:bookmarkEnd w:id="783"/>
      <w:bookmarkEnd w:id="784"/>
      <w:bookmarkEnd w:id="785"/>
      <w:bookmarkEnd w:id="786"/>
    </w:p>
    <w:p>
      <w:pPr>
        <w:spacing w:line="360" w:lineRule="auto"/>
        <w:ind w:right="-94" w:rightChars="-39" w:firstLine="2712"/>
        <w:jc w:val="center"/>
        <w:rPr>
          <w:rFonts w:hint="eastAsia" w:ascii="宋体" w:hAnsi="宋体" w:eastAsia="宋体" w:cs="宋体"/>
          <w:color w:val="auto"/>
          <w:spacing w:val="78"/>
          <w:sz w:val="120"/>
          <w:szCs w:val="120"/>
          <w:highlight w:val="none"/>
        </w:rPr>
      </w:pPr>
    </w:p>
    <w:p>
      <w:pPr>
        <w:spacing w:line="360" w:lineRule="auto"/>
        <w:ind w:right="-94" w:rightChars="-39" w:firstLine="2168" w:firstLineChars="675"/>
        <w:rPr>
          <w:rFonts w:hint="eastAsia" w:ascii="宋体" w:hAnsi="宋体" w:eastAsia="宋体" w:cs="宋体"/>
          <w:b/>
          <w:bCs/>
          <w:color w:val="auto"/>
          <w:sz w:val="32"/>
          <w:szCs w:val="32"/>
          <w:highlight w:val="none"/>
          <w:u w:val="single"/>
        </w:rPr>
      </w:pPr>
      <w:r>
        <w:rPr>
          <w:rFonts w:hint="eastAsia" w:ascii="宋体" w:hAnsi="宋体" w:eastAsia="宋体" w:cs="宋体"/>
          <w:b/>
          <w:bCs/>
          <w:color w:val="auto"/>
          <w:sz w:val="32"/>
          <w:szCs w:val="32"/>
          <w:highlight w:val="none"/>
        </w:rPr>
        <w:t>项目名称：</w:t>
      </w:r>
      <w:r>
        <w:rPr>
          <w:rFonts w:hint="eastAsia" w:ascii="宋体" w:hAnsi="宋体" w:eastAsia="宋体" w:cs="宋体"/>
          <w:b/>
          <w:bCs/>
          <w:color w:val="auto"/>
          <w:sz w:val="32"/>
          <w:szCs w:val="32"/>
          <w:highlight w:val="none"/>
          <w:u w:val="single"/>
        </w:rPr>
        <w:t xml:space="preserve">                    </w:t>
      </w:r>
    </w:p>
    <w:p>
      <w:pPr>
        <w:spacing w:line="360" w:lineRule="auto"/>
        <w:ind w:right="-94" w:rightChars="-39" w:firstLine="2168" w:firstLineChars="675"/>
        <w:rPr>
          <w:rFonts w:hint="eastAsia" w:ascii="宋体" w:hAnsi="宋体" w:eastAsia="宋体" w:cs="宋体"/>
          <w:b/>
          <w:bCs/>
          <w:color w:val="auto"/>
          <w:sz w:val="32"/>
          <w:szCs w:val="32"/>
          <w:highlight w:val="none"/>
          <w:u w:val="single"/>
        </w:rPr>
      </w:pPr>
      <w:r>
        <w:rPr>
          <w:rFonts w:hint="eastAsia" w:ascii="宋体" w:hAnsi="宋体" w:eastAsia="宋体" w:cs="宋体"/>
          <w:b/>
          <w:bCs/>
          <w:color w:val="auto"/>
          <w:sz w:val="32"/>
          <w:szCs w:val="32"/>
          <w:highlight w:val="none"/>
        </w:rPr>
        <w:t>项目编号：</w:t>
      </w:r>
      <w:r>
        <w:rPr>
          <w:rFonts w:hint="eastAsia" w:ascii="宋体" w:hAnsi="宋体" w:eastAsia="宋体" w:cs="宋体"/>
          <w:b/>
          <w:bCs/>
          <w:color w:val="auto"/>
          <w:sz w:val="32"/>
          <w:szCs w:val="32"/>
          <w:highlight w:val="none"/>
          <w:u w:val="single"/>
        </w:rPr>
        <w:t xml:space="preserve">                    </w:t>
      </w:r>
    </w:p>
    <w:p>
      <w:pPr>
        <w:spacing w:line="360" w:lineRule="auto"/>
        <w:ind w:right="-94" w:rightChars="-39" w:firstLine="2168" w:firstLineChars="675"/>
        <w:rPr>
          <w:rFonts w:hint="eastAsia" w:ascii="宋体" w:hAnsi="宋体" w:eastAsia="宋体" w:cs="宋体"/>
          <w:b/>
          <w:bCs/>
          <w:color w:val="auto"/>
          <w:sz w:val="32"/>
          <w:szCs w:val="32"/>
          <w:highlight w:val="none"/>
        </w:rPr>
      </w:pPr>
    </w:p>
    <w:p>
      <w:pPr>
        <w:spacing w:line="360" w:lineRule="auto"/>
        <w:ind w:right="-94" w:rightChars="-39" w:firstLine="2168" w:firstLineChars="675"/>
        <w:rPr>
          <w:rFonts w:hint="eastAsia" w:ascii="宋体" w:hAnsi="宋体" w:eastAsia="宋体" w:cs="宋体"/>
          <w:b/>
          <w:bCs/>
          <w:color w:val="auto"/>
          <w:sz w:val="32"/>
          <w:szCs w:val="32"/>
          <w:highlight w:val="none"/>
        </w:rPr>
      </w:pPr>
    </w:p>
    <w:p>
      <w:pPr>
        <w:spacing w:line="360" w:lineRule="auto"/>
        <w:ind w:right="-94" w:rightChars="-39" w:firstLine="2168" w:firstLineChars="675"/>
        <w:rPr>
          <w:rFonts w:hint="eastAsia" w:ascii="宋体" w:hAnsi="宋体" w:eastAsia="宋体" w:cs="宋体"/>
          <w:b/>
          <w:bCs/>
          <w:color w:val="auto"/>
          <w:sz w:val="32"/>
          <w:szCs w:val="32"/>
          <w:highlight w:val="none"/>
        </w:rPr>
      </w:pPr>
    </w:p>
    <w:p>
      <w:pPr>
        <w:spacing w:line="360" w:lineRule="auto"/>
        <w:ind w:right="-94" w:rightChars="-39" w:firstLine="2168" w:firstLineChars="675"/>
        <w:rPr>
          <w:rFonts w:hint="eastAsia" w:ascii="宋体" w:hAnsi="宋体" w:eastAsia="宋体" w:cs="宋体"/>
          <w:b/>
          <w:bCs/>
          <w:color w:val="auto"/>
          <w:sz w:val="32"/>
          <w:szCs w:val="32"/>
          <w:highlight w:val="none"/>
          <w:u w:val="single"/>
        </w:rPr>
      </w:pPr>
      <w:r>
        <w:rPr>
          <w:rFonts w:hint="eastAsia" w:ascii="宋体" w:hAnsi="宋体" w:eastAsia="宋体" w:cs="宋体"/>
          <w:b/>
          <w:bCs/>
          <w:color w:val="auto"/>
          <w:sz w:val="32"/>
          <w:szCs w:val="32"/>
          <w:highlight w:val="none"/>
        </w:rPr>
        <w:t>供应商名称：</w:t>
      </w:r>
      <w:r>
        <w:rPr>
          <w:rFonts w:hint="eastAsia" w:ascii="宋体" w:hAnsi="宋体" w:eastAsia="宋体" w:cs="宋体"/>
          <w:b/>
          <w:bCs/>
          <w:color w:val="auto"/>
          <w:sz w:val="32"/>
          <w:szCs w:val="32"/>
          <w:highlight w:val="none"/>
          <w:u w:val="single"/>
        </w:rPr>
        <w:t xml:space="preserve">                    </w:t>
      </w:r>
    </w:p>
    <w:p>
      <w:pPr>
        <w:spacing w:line="360" w:lineRule="auto"/>
        <w:ind w:right="-94" w:rightChars="-39" w:firstLine="2188" w:firstLineChars="681"/>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日期：</w:t>
      </w:r>
      <w:r>
        <w:rPr>
          <w:rFonts w:hint="eastAsia" w:ascii="宋体" w:hAnsi="宋体" w:eastAsia="宋体" w:cs="宋体"/>
          <w:b/>
          <w:bCs/>
          <w:color w:val="auto"/>
          <w:sz w:val="32"/>
          <w:szCs w:val="32"/>
          <w:highlight w:val="none"/>
          <w:u w:val="single"/>
        </w:rPr>
        <w:t xml:space="preserve">   </w:t>
      </w:r>
      <w:r>
        <w:rPr>
          <w:rFonts w:hint="eastAsia" w:ascii="宋体" w:hAnsi="宋体" w:eastAsia="宋体" w:cs="宋体"/>
          <w:b/>
          <w:bCs/>
          <w:color w:val="auto"/>
          <w:sz w:val="32"/>
          <w:szCs w:val="32"/>
          <w:highlight w:val="none"/>
        </w:rPr>
        <w:t>年</w:t>
      </w:r>
      <w:r>
        <w:rPr>
          <w:rFonts w:hint="eastAsia" w:ascii="宋体" w:hAnsi="宋体" w:eastAsia="宋体" w:cs="宋体"/>
          <w:b/>
          <w:bCs/>
          <w:color w:val="auto"/>
          <w:sz w:val="32"/>
          <w:szCs w:val="32"/>
          <w:highlight w:val="none"/>
          <w:u w:val="single"/>
        </w:rPr>
        <w:t xml:space="preserve">   </w:t>
      </w:r>
      <w:r>
        <w:rPr>
          <w:rFonts w:hint="eastAsia" w:ascii="宋体" w:hAnsi="宋体" w:eastAsia="宋体" w:cs="宋体"/>
          <w:b/>
          <w:bCs/>
          <w:color w:val="auto"/>
          <w:sz w:val="32"/>
          <w:szCs w:val="32"/>
          <w:highlight w:val="none"/>
        </w:rPr>
        <w:t>月</w:t>
      </w:r>
      <w:r>
        <w:rPr>
          <w:rFonts w:hint="eastAsia" w:ascii="宋体" w:hAnsi="宋体" w:eastAsia="宋体" w:cs="宋体"/>
          <w:b/>
          <w:bCs/>
          <w:color w:val="auto"/>
          <w:sz w:val="32"/>
          <w:szCs w:val="32"/>
          <w:highlight w:val="none"/>
          <w:u w:val="single"/>
        </w:rPr>
        <w:t xml:space="preserve">  </w:t>
      </w:r>
      <w:r>
        <w:rPr>
          <w:rFonts w:hint="eastAsia" w:ascii="宋体" w:hAnsi="宋体" w:eastAsia="宋体" w:cs="宋体"/>
          <w:b/>
          <w:bCs/>
          <w:color w:val="auto"/>
          <w:sz w:val="32"/>
          <w:szCs w:val="32"/>
          <w:highlight w:val="none"/>
        </w:rPr>
        <w:t>日</w:t>
      </w:r>
    </w:p>
    <w:p>
      <w:pPr>
        <w:pStyle w:val="5"/>
        <w:spacing w:line="360" w:lineRule="auto"/>
        <w:ind w:right="-94" w:rightChars="-39" w:firstLine="0" w:firstLineChars="0"/>
        <w:jc w:val="center"/>
        <w:rPr>
          <w:rFonts w:hint="eastAsia" w:ascii="宋体" w:hAnsi="宋体" w:eastAsia="宋体" w:cs="宋体"/>
          <w:b/>
          <w:bCs/>
          <w:color w:val="auto"/>
          <w:sz w:val="32"/>
          <w:szCs w:val="32"/>
          <w:highlight w:val="none"/>
        </w:rPr>
      </w:pPr>
      <w:r>
        <w:rPr>
          <w:rFonts w:hint="eastAsia" w:ascii="宋体" w:hAnsi="宋体" w:eastAsia="宋体" w:cs="宋体"/>
          <w:color w:val="auto"/>
          <w:highlight w:val="none"/>
        </w:rPr>
        <w:br w:type="page"/>
      </w:r>
      <w:bookmarkStart w:id="787" w:name="_Toc517423529"/>
      <w:bookmarkStart w:id="788" w:name="_Toc29370"/>
      <w:bookmarkStart w:id="789" w:name="_Toc25958"/>
      <w:bookmarkStart w:id="790" w:name="_Toc29853"/>
      <w:bookmarkStart w:id="791" w:name="_Toc27974"/>
      <w:bookmarkStart w:id="792" w:name="_Toc28925"/>
      <w:bookmarkStart w:id="793" w:name="_Toc25507"/>
      <w:bookmarkStart w:id="794" w:name="_Toc12103"/>
      <w:bookmarkStart w:id="795" w:name="_Toc517422501"/>
      <w:r>
        <w:rPr>
          <w:rFonts w:hint="eastAsia" w:ascii="宋体" w:hAnsi="宋体" w:eastAsia="宋体" w:cs="宋体"/>
          <w:color w:val="auto"/>
          <w:sz w:val="32"/>
          <w:highlight w:val="none"/>
        </w:rPr>
        <w:t>一、供应商基本情况表</w:t>
      </w:r>
      <w:bookmarkEnd w:id="787"/>
      <w:bookmarkEnd w:id="788"/>
      <w:bookmarkEnd w:id="789"/>
      <w:bookmarkEnd w:id="790"/>
      <w:bookmarkEnd w:id="791"/>
      <w:bookmarkEnd w:id="792"/>
      <w:bookmarkEnd w:id="793"/>
      <w:bookmarkEnd w:id="794"/>
      <w:bookmarkEnd w:id="795"/>
    </w:p>
    <w:tbl>
      <w:tblPr>
        <w:tblStyle w:val="30"/>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供应商名称</w:t>
            </w:r>
          </w:p>
        </w:tc>
        <w:tc>
          <w:tcPr>
            <w:tcW w:w="7560" w:type="dxa"/>
            <w:gridSpan w:val="11"/>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注册地址</w:t>
            </w:r>
          </w:p>
        </w:tc>
        <w:tc>
          <w:tcPr>
            <w:tcW w:w="4680" w:type="dxa"/>
            <w:gridSpan w:val="6"/>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c>
          <w:tcPr>
            <w:tcW w:w="1260" w:type="dxa"/>
            <w:gridSpan w:val="3"/>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邮政编码</w:t>
            </w:r>
          </w:p>
        </w:tc>
        <w:tc>
          <w:tcPr>
            <w:tcW w:w="1620" w:type="dxa"/>
            <w:gridSpan w:val="2"/>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联系方式</w:t>
            </w:r>
          </w:p>
        </w:tc>
        <w:tc>
          <w:tcPr>
            <w:tcW w:w="1080"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联系人</w:t>
            </w:r>
          </w:p>
        </w:tc>
        <w:tc>
          <w:tcPr>
            <w:tcW w:w="3600" w:type="dxa"/>
            <w:gridSpan w:val="5"/>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c>
          <w:tcPr>
            <w:tcW w:w="1260" w:type="dxa"/>
            <w:gridSpan w:val="3"/>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联系电话</w:t>
            </w:r>
          </w:p>
        </w:tc>
        <w:tc>
          <w:tcPr>
            <w:tcW w:w="1620" w:type="dxa"/>
            <w:gridSpan w:val="2"/>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c>
          <w:tcPr>
            <w:tcW w:w="1080"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传真</w:t>
            </w:r>
          </w:p>
        </w:tc>
        <w:tc>
          <w:tcPr>
            <w:tcW w:w="3600" w:type="dxa"/>
            <w:gridSpan w:val="5"/>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c>
          <w:tcPr>
            <w:tcW w:w="1260" w:type="dxa"/>
            <w:gridSpan w:val="3"/>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网址</w:t>
            </w:r>
          </w:p>
        </w:tc>
        <w:tc>
          <w:tcPr>
            <w:tcW w:w="1620" w:type="dxa"/>
            <w:gridSpan w:val="2"/>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组织结构</w:t>
            </w:r>
          </w:p>
        </w:tc>
        <w:tc>
          <w:tcPr>
            <w:tcW w:w="7560" w:type="dxa"/>
            <w:gridSpan w:val="11"/>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法定代表人</w:t>
            </w:r>
          </w:p>
        </w:tc>
        <w:tc>
          <w:tcPr>
            <w:tcW w:w="1260" w:type="dxa"/>
            <w:gridSpan w:val="2"/>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姓名</w:t>
            </w:r>
          </w:p>
        </w:tc>
        <w:tc>
          <w:tcPr>
            <w:tcW w:w="1260"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c>
          <w:tcPr>
            <w:tcW w:w="1260"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技术职称</w:t>
            </w:r>
          </w:p>
        </w:tc>
        <w:tc>
          <w:tcPr>
            <w:tcW w:w="1260" w:type="dxa"/>
            <w:gridSpan w:val="3"/>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c>
          <w:tcPr>
            <w:tcW w:w="1260" w:type="dxa"/>
            <w:gridSpan w:val="3"/>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联系电话</w:t>
            </w:r>
          </w:p>
        </w:tc>
        <w:tc>
          <w:tcPr>
            <w:tcW w:w="1260"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技术负责人</w:t>
            </w:r>
          </w:p>
        </w:tc>
        <w:tc>
          <w:tcPr>
            <w:tcW w:w="1260" w:type="dxa"/>
            <w:gridSpan w:val="2"/>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姓名</w:t>
            </w:r>
          </w:p>
        </w:tc>
        <w:tc>
          <w:tcPr>
            <w:tcW w:w="1260"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c>
          <w:tcPr>
            <w:tcW w:w="1260"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技术职称</w:t>
            </w:r>
          </w:p>
        </w:tc>
        <w:tc>
          <w:tcPr>
            <w:tcW w:w="1260" w:type="dxa"/>
            <w:gridSpan w:val="3"/>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c>
          <w:tcPr>
            <w:tcW w:w="1260" w:type="dxa"/>
            <w:gridSpan w:val="3"/>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联系电话</w:t>
            </w:r>
          </w:p>
        </w:tc>
        <w:tc>
          <w:tcPr>
            <w:tcW w:w="1260"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成立时间</w:t>
            </w:r>
          </w:p>
        </w:tc>
        <w:tc>
          <w:tcPr>
            <w:tcW w:w="2520" w:type="dxa"/>
            <w:gridSpan w:val="3"/>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c>
          <w:tcPr>
            <w:tcW w:w="5040" w:type="dxa"/>
            <w:gridSpan w:val="8"/>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企业资质等级</w:t>
            </w:r>
          </w:p>
        </w:tc>
        <w:tc>
          <w:tcPr>
            <w:tcW w:w="2520" w:type="dxa"/>
            <w:gridSpan w:val="3"/>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c>
          <w:tcPr>
            <w:tcW w:w="1680" w:type="dxa"/>
            <w:gridSpan w:val="2"/>
            <w:vMerge w:val="restart"/>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其中</w:t>
            </w:r>
          </w:p>
        </w:tc>
        <w:tc>
          <w:tcPr>
            <w:tcW w:w="1680" w:type="dxa"/>
            <w:gridSpan w:val="3"/>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项目经理</w:t>
            </w:r>
          </w:p>
        </w:tc>
        <w:tc>
          <w:tcPr>
            <w:tcW w:w="1680" w:type="dxa"/>
            <w:gridSpan w:val="3"/>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营业执照</w:t>
            </w:r>
            <w:r>
              <w:rPr>
                <w:rFonts w:hint="eastAsia" w:ascii="宋体" w:hAnsi="宋体" w:eastAsia="宋体" w:cs="宋体"/>
                <w:color w:val="auto"/>
                <w:sz w:val="21"/>
                <w:szCs w:val="21"/>
                <w:highlight w:val="none"/>
              </w:rPr>
              <w:t>号</w:t>
            </w:r>
          </w:p>
        </w:tc>
        <w:tc>
          <w:tcPr>
            <w:tcW w:w="2520" w:type="dxa"/>
            <w:gridSpan w:val="3"/>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c>
          <w:tcPr>
            <w:tcW w:w="1680" w:type="dxa"/>
            <w:gridSpan w:val="2"/>
            <w:vMerge w:val="continue"/>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c>
          <w:tcPr>
            <w:tcW w:w="1680" w:type="dxa"/>
            <w:gridSpan w:val="3"/>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高级职称人员</w:t>
            </w:r>
          </w:p>
        </w:tc>
        <w:tc>
          <w:tcPr>
            <w:tcW w:w="1680" w:type="dxa"/>
            <w:gridSpan w:val="3"/>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注册资金</w:t>
            </w:r>
          </w:p>
        </w:tc>
        <w:tc>
          <w:tcPr>
            <w:tcW w:w="2520" w:type="dxa"/>
            <w:gridSpan w:val="3"/>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c>
          <w:tcPr>
            <w:tcW w:w="1680" w:type="dxa"/>
            <w:gridSpan w:val="2"/>
            <w:vMerge w:val="continue"/>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c>
          <w:tcPr>
            <w:tcW w:w="1680" w:type="dxa"/>
            <w:gridSpan w:val="3"/>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中级职称人员</w:t>
            </w:r>
          </w:p>
        </w:tc>
        <w:tc>
          <w:tcPr>
            <w:tcW w:w="1680" w:type="dxa"/>
            <w:gridSpan w:val="3"/>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开户银行</w:t>
            </w:r>
          </w:p>
        </w:tc>
        <w:tc>
          <w:tcPr>
            <w:tcW w:w="2520" w:type="dxa"/>
            <w:gridSpan w:val="3"/>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c>
          <w:tcPr>
            <w:tcW w:w="1680" w:type="dxa"/>
            <w:gridSpan w:val="2"/>
            <w:vMerge w:val="continue"/>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c>
          <w:tcPr>
            <w:tcW w:w="1680" w:type="dxa"/>
            <w:gridSpan w:val="3"/>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初级职称人员</w:t>
            </w:r>
          </w:p>
        </w:tc>
        <w:tc>
          <w:tcPr>
            <w:tcW w:w="1680" w:type="dxa"/>
            <w:gridSpan w:val="3"/>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账号</w:t>
            </w:r>
          </w:p>
        </w:tc>
        <w:tc>
          <w:tcPr>
            <w:tcW w:w="2520" w:type="dxa"/>
            <w:gridSpan w:val="3"/>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c>
          <w:tcPr>
            <w:tcW w:w="1680" w:type="dxa"/>
            <w:gridSpan w:val="2"/>
            <w:vMerge w:val="continue"/>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c>
          <w:tcPr>
            <w:tcW w:w="1680" w:type="dxa"/>
            <w:gridSpan w:val="3"/>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技工</w:t>
            </w:r>
          </w:p>
        </w:tc>
        <w:tc>
          <w:tcPr>
            <w:tcW w:w="1680" w:type="dxa"/>
            <w:gridSpan w:val="3"/>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经营范围</w:t>
            </w:r>
          </w:p>
        </w:tc>
        <w:tc>
          <w:tcPr>
            <w:tcW w:w="7560" w:type="dxa"/>
            <w:gridSpan w:val="11"/>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备注</w:t>
            </w:r>
          </w:p>
        </w:tc>
        <w:tc>
          <w:tcPr>
            <w:tcW w:w="7560" w:type="dxa"/>
            <w:gridSpan w:val="11"/>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r>
    </w:tbl>
    <w:p>
      <w:pPr>
        <w:adjustRightInd w:val="0"/>
        <w:spacing w:line="360" w:lineRule="auto"/>
        <w:ind w:right="-94" w:rightChars="-39" w:firstLine="480"/>
        <w:jc w:val="left"/>
        <w:rPr>
          <w:rFonts w:hint="eastAsia" w:ascii="宋体" w:hAnsi="宋体" w:eastAsia="宋体" w:cs="宋体"/>
          <w:color w:val="auto"/>
          <w:highlight w:val="none"/>
        </w:rPr>
      </w:pPr>
    </w:p>
    <w:p>
      <w:pPr>
        <w:adjustRightInd w:val="0"/>
        <w:spacing w:line="360" w:lineRule="auto"/>
        <w:ind w:right="-94" w:rightChars="-39" w:firstLine="480"/>
        <w:jc w:val="left"/>
        <w:rPr>
          <w:rFonts w:hint="eastAsia" w:ascii="宋体" w:hAnsi="宋体" w:eastAsia="宋体" w:cs="宋体"/>
          <w:color w:val="auto"/>
          <w:highlight w:val="none"/>
        </w:rPr>
      </w:pPr>
      <w:r>
        <w:rPr>
          <w:rFonts w:hint="eastAsia" w:ascii="宋体" w:hAnsi="宋体" w:eastAsia="宋体" w:cs="宋体"/>
          <w:color w:val="auto"/>
          <w:highlight w:val="none"/>
        </w:rPr>
        <w:t>供应商名称（盖单位公章）：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adjustRightInd w:val="0"/>
        <w:spacing w:line="360" w:lineRule="auto"/>
        <w:ind w:right="-94" w:rightChars="-39" w:firstLine="480"/>
        <w:jc w:val="left"/>
        <w:rPr>
          <w:rFonts w:hint="eastAsia" w:ascii="宋体" w:hAnsi="宋体" w:eastAsia="宋体" w:cs="宋体"/>
          <w:bCs/>
          <w:color w:val="auto"/>
          <w:highlight w:val="none"/>
        </w:rPr>
      </w:pPr>
      <w:r>
        <w:rPr>
          <w:rFonts w:hint="eastAsia" w:ascii="宋体" w:hAnsi="宋体" w:eastAsia="宋体" w:cs="宋体"/>
          <w:bCs/>
          <w:color w:val="auto"/>
          <w:highlight w:val="none"/>
        </w:rPr>
        <w:t>法定代表人或授权代表（签字或加盖个人签名章）：</w:t>
      </w:r>
      <w:r>
        <w:rPr>
          <w:rFonts w:hint="eastAsia" w:ascii="宋体" w:hAnsi="宋体" w:eastAsia="宋体" w:cs="宋体"/>
          <w:color w:val="auto"/>
          <w:highlight w:val="none"/>
          <w:u w:val="single"/>
        </w:rPr>
        <w:t xml:space="preserve">         </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bCs/>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w:t>
      </w:r>
    </w:p>
    <w:p>
      <w:pPr>
        <w:pStyle w:val="5"/>
        <w:spacing w:line="360" w:lineRule="auto"/>
        <w:ind w:right="-94" w:rightChars="-39" w:firstLine="0" w:firstLineChars="0"/>
        <w:jc w:val="center"/>
        <w:rPr>
          <w:rFonts w:hint="eastAsia" w:ascii="宋体" w:hAnsi="宋体" w:eastAsia="宋体" w:cs="宋体"/>
          <w:color w:val="auto"/>
          <w:sz w:val="32"/>
          <w:highlight w:val="none"/>
        </w:rPr>
      </w:pPr>
      <w:r>
        <w:rPr>
          <w:rFonts w:hint="eastAsia" w:ascii="宋体" w:hAnsi="宋体" w:eastAsia="宋体" w:cs="宋体"/>
          <w:color w:val="auto"/>
          <w:highlight w:val="none"/>
        </w:rPr>
        <w:br w:type="page"/>
      </w:r>
      <w:bookmarkStart w:id="796" w:name="_Toc8466"/>
      <w:bookmarkStart w:id="797" w:name="_Toc727"/>
      <w:bookmarkStart w:id="798" w:name="_Toc517422502"/>
      <w:bookmarkStart w:id="799" w:name="_Toc21051"/>
      <w:bookmarkStart w:id="800" w:name="_Toc30350"/>
      <w:bookmarkStart w:id="801" w:name="_Toc22871"/>
      <w:bookmarkStart w:id="802" w:name="_Toc18454"/>
      <w:bookmarkStart w:id="803" w:name="_Toc517423530"/>
      <w:bookmarkStart w:id="804" w:name="_Toc29936"/>
      <w:r>
        <w:rPr>
          <w:rFonts w:hint="eastAsia" w:ascii="宋体" w:hAnsi="宋体" w:eastAsia="宋体" w:cs="宋体"/>
          <w:color w:val="auto"/>
          <w:sz w:val="32"/>
          <w:highlight w:val="none"/>
        </w:rPr>
        <w:t>二、报价函</w:t>
      </w:r>
      <w:bookmarkEnd w:id="796"/>
      <w:bookmarkEnd w:id="797"/>
      <w:bookmarkEnd w:id="798"/>
      <w:bookmarkEnd w:id="799"/>
      <w:bookmarkEnd w:id="800"/>
      <w:bookmarkEnd w:id="801"/>
      <w:bookmarkEnd w:id="802"/>
      <w:bookmarkEnd w:id="803"/>
      <w:bookmarkEnd w:id="804"/>
    </w:p>
    <w:p>
      <w:pPr>
        <w:spacing w:line="360" w:lineRule="auto"/>
        <w:ind w:right="-94" w:rightChars="-39" w:firstLine="480"/>
        <w:rPr>
          <w:rFonts w:hint="eastAsia" w:ascii="宋体" w:hAnsi="宋体" w:eastAsia="宋体" w:cs="宋体"/>
          <w:color w:val="auto"/>
          <w:highlight w:val="none"/>
        </w:rPr>
      </w:pPr>
    </w:p>
    <w:p>
      <w:pPr>
        <w:spacing w:line="360" w:lineRule="auto"/>
        <w:ind w:right="-94" w:rightChars="-39" w:firstLine="0" w:firstLineChars="0"/>
        <w:rPr>
          <w:rFonts w:hint="eastAsia" w:ascii="宋体" w:hAnsi="宋体" w:eastAsia="宋体" w:cs="宋体"/>
          <w:color w:val="auto"/>
          <w:highlight w:val="none"/>
        </w:rPr>
      </w:pP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（采购代理机构名称）：</w:t>
      </w:r>
    </w:p>
    <w:p>
      <w:pPr>
        <w:spacing w:line="360" w:lineRule="auto"/>
        <w:ind w:right="-94" w:rightChars="-39" w:firstLine="480"/>
        <w:jc w:val="left"/>
        <w:rPr>
          <w:rFonts w:hint="eastAsia" w:ascii="宋体" w:hAnsi="宋体" w:eastAsia="宋体" w:cs="宋体"/>
          <w:color w:val="auto"/>
          <w:highlight w:val="none"/>
        </w:rPr>
      </w:pPr>
      <w:r>
        <w:rPr>
          <w:rFonts w:hint="eastAsia" w:ascii="宋体" w:hAnsi="宋体" w:eastAsia="宋体" w:cs="宋体"/>
          <w:color w:val="auto"/>
          <w:highlight w:val="none"/>
        </w:rPr>
        <w:t>1.我方全面研究了“</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”项目磋商文件（项目编号：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），决定参加贵单位组织的本项目磋商采购。</w:t>
      </w:r>
    </w:p>
    <w:p>
      <w:pPr>
        <w:spacing w:line="360" w:lineRule="auto"/>
        <w:ind w:right="-94" w:rightChars="-39" w:firstLine="480"/>
        <w:jc w:val="left"/>
        <w:rPr>
          <w:rFonts w:hint="eastAsia" w:ascii="宋体" w:hAnsi="宋体" w:eastAsia="宋体" w:cs="宋体"/>
          <w:color w:val="auto"/>
          <w:highlight w:val="none"/>
        </w:rPr>
      </w:pPr>
      <w:r>
        <w:rPr>
          <w:rFonts w:hint="eastAsia" w:ascii="宋体" w:hAnsi="宋体" w:eastAsia="宋体" w:cs="宋体"/>
          <w:color w:val="auto"/>
          <w:highlight w:val="none"/>
        </w:rPr>
        <w:t>2.我方自愿按照磋商文件规定的各项要求向采购人提供所需服务，</w:t>
      </w:r>
      <w:r>
        <w:rPr>
          <w:rFonts w:hint="eastAsia" w:cs="宋体"/>
          <w:color w:val="auto"/>
          <w:highlight w:val="none"/>
          <w:lang w:eastAsia="zh-CN"/>
        </w:rPr>
        <w:t>总</w:t>
      </w:r>
      <w:r>
        <w:rPr>
          <w:rFonts w:hint="eastAsia" w:ascii="宋体" w:hAnsi="宋体" w:eastAsia="宋体" w:cs="宋体"/>
          <w:color w:val="auto"/>
          <w:highlight w:val="none"/>
        </w:rPr>
        <w:t>报价为人民币</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元（大写：</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spacing w:line="360" w:lineRule="auto"/>
        <w:ind w:right="-94" w:rightChars="-39" w:firstLine="480"/>
        <w:jc w:val="left"/>
        <w:rPr>
          <w:rFonts w:hint="eastAsia" w:ascii="宋体" w:hAnsi="宋体" w:eastAsia="宋体" w:cs="宋体"/>
          <w:color w:val="auto"/>
          <w:highlight w:val="none"/>
        </w:rPr>
      </w:pPr>
      <w:r>
        <w:rPr>
          <w:rFonts w:hint="eastAsia" w:ascii="宋体" w:hAnsi="宋体" w:eastAsia="宋体" w:cs="宋体"/>
          <w:color w:val="auto"/>
          <w:highlight w:val="none"/>
        </w:rPr>
        <w:t>3.一旦我方成交，我方将严格履行采购合同规定的责任和义务。</w:t>
      </w:r>
    </w:p>
    <w:p>
      <w:pPr>
        <w:spacing w:line="360" w:lineRule="auto"/>
        <w:ind w:right="-94" w:rightChars="-39" w:firstLine="480"/>
        <w:jc w:val="left"/>
        <w:rPr>
          <w:rFonts w:hint="eastAsia" w:ascii="宋体" w:hAnsi="宋体" w:eastAsia="宋体" w:cs="宋体"/>
          <w:color w:val="auto"/>
          <w:highlight w:val="none"/>
        </w:rPr>
      </w:pPr>
      <w:r>
        <w:rPr>
          <w:rFonts w:hint="eastAsia" w:ascii="宋体" w:hAnsi="宋体" w:eastAsia="宋体" w:cs="宋体"/>
          <w:color w:val="auto"/>
          <w:highlight w:val="none"/>
        </w:rPr>
        <w:t>4.我方同意本磋商文件对我方可能存在的失信行为进行惩戒。</w:t>
      </w:r>
    </w:p>
    <w:p>
      <w:pPr>
        <w:spacing w:line="360" w:lineRule="auto"/>
        <w:ind w:right="-94" w:rightChars="-39" w:firstLine="480"/>
        <w:jc w:val="left"/>
        <w:rPr>
          <w:rFonts w:hint="eastAsia" w:ascii="宋体" w:hAnsi="宋体" w:eastAsia="宋体" w:cs="宋体"/>
          <w:color w:val="auto"/>
          <w:highlight w:val="none"/>
        </w:rPr>
      </w:pPr>
      <w:r>
        <w:rPr>
          <w:rFonts w:hint="eastAsia" w:ascii="宋体" w:hAnsi="宋体" w:eastAsia="宋体" w:cs="宋体"/>
          <w:color w:val="auto"/>
          <w:highlight w:val="none"/>
        </w:rPr>
        <w:t>5.我方为本项目提交的响应文件正本1份，副本2份。</w:t>
      </w:r>
    </w:p>
    <w:p>
      <w:pPr>
        <w:spacing w:line="360" w:lineRule="auto"/>
        <w:ind w:right="-94" w:rightChars="-39" w:firstLine="480"/>
        <w:jc w:val="left"/>
        <w:rPr>
          <w:rFonts w:hint="eastAsia" w:ascii="宋体" w:hAnsi="宋体" w:eastAsia="宋体" w:cs="宋体"/>
          <w:color w:val="auto"/>
          <w:highlight w:val="none"/>
        </w:rPr>
      </w:pPr>
      <w:r>
        <w:rPr>
          <w:rFonts w:hint="eastAsia" w:ascii="宋体" w:hAnsi="宋体" w:eastAsia="宋体" w:cs="宋体"/>
          <w:color w:val="auto"/>
          <w:highlight w:val="none"/>
        </w:rPr>
        <w:t>6.我方愿意提供贵单位可能另外要求的，与磋商报价有关的文件资料，并保证我方已提供和将要提供的文件资料是真实、准确的。</w:t>
      </w:r>
    </w:p>
    <w:p>
      <w:pPr>
        <w:spacing w:line="360" w:lineRule="auto"/>
        <w:ind w:right="-94" w:rightChars="-39" w:firstLine="480"/>
        <w:jc w:val="left"/>
        <w:rPr>
          <w:rFonts w:hint="eastAsia" w:ascii="宋体" w:hAnsi="宋体" w:eastAsia="宋体" w:cs="宋体"/>
          <w:color w:val="auto"/>
          <w:highlight w:val="none"/>
        </w:rPr>
      </w:pPr>
      <w:r>
        <w:rPr>
          <w:rFonts w:hint="eastAsia" w:ascii="宋体" w:hAnsi="宋体" w:eastAsia="宋体" w:cs="宋体"/>
          <w:color w:val="auto"/>
          <w:highlight w:val="none"/>
        </w:rPr>
        <w:t>7.本次磋商，我方递交的响应文件有效期为</w:t>
      </w:r>
      <w:r>
        <w:rPr>
          <w:rFonts w:hint="eastAsia" w:ascii="宋体" w:hAnsi="宋体" w:eastAsia="宋体" w:cs="宋体"/>
          <w:color w:val="auto"/>
          <w:szCs w:val="21"/>
          <w:highlight w:val="none"/>
          <w:lang w:val="zh-CN"/>
        </w:rPr>
        <w:t>递交响应文件截止之日起</w:t>
      </w:r>
      <w:r>
        <w:rPr>
          <w:rFonts w:hint="eastAsia" w:ascii="宋体" w:hAnsi="宋体" w:eastAsia="宋体" w:cs="宋体"/>
          <w:b/>
          <w:bCs/>
          <w:color w:val="auto"/>
          <w:szCs w:val="21"/>
          <w:highlight w:val="none"/>
        </w:rPr>
        <w:t>90</w:t>
      </w:r>
      <w:r>
        <w:rPr>
          <w:rFonts w:hint="eastAsia" w:ascii="宋体" w:hAnsi="宋体" w:eastAsia="宋体" w:cs="宋体"/>
          <w:color w:val="auto"/>
          <w:szCs w:val="21"/>
          <w:highlight w:val="none"/>
          <w:lang w:val="zh-CN"/>
        </w:rPr>
        <w:t>天。</w:t>
      </w:r>
    </w:p>
    <w:p>
      <w:pPr>
        <w:adjustRightInd w:val="0"/>
        <w:spacing w:line="360" w:lineRule="auto"/>
        <w:ind w:right="-94" w:rightChars="-39" w:firstLine="480"/>
        <w:jc w:val="left"/>
        <w:rPr>
          <w:rFonts w:hint="eastAsia" w:ascii="宋体" w:hAnsi="宋体" w:eastAsia="宋体" w:cs="宋体"/>
          <w:color w:val="auto"/>
          <w:highlight w:val="none"/>
        </w:rPr>
      </w:pPr>
    </w:p>
    <w:p>
      <w:pPr>
        <w:adjustRightInd w:val="0"/>
        <w:spacing w:line="360" w:lineRule="auto"/>
        <w:ind w:right="-94" w:rightChars="-39" w:firstLine="480"/>
        <w:jc w:val="left"/>
        <w:rPr>
          <w:rFonts w:hint="eastAsia" w:ascii="宋体" w:hAnsi="宋体" w:eastAsia="宋体" w:cs="宋体"/>
          <w:color w:val="auto"/>
          <w:highlight w:val="none"/>
        </w:rPr>
      </w:pPr>
    </w:p>
    <w:p>
      <w:pPr>
        <w:adjustRightInd w:val="0"/>
        <w:spacing w:line="360" w:lineRule="auto"/>
        <w:ind w:right="-94" w:rightChars="-39" w:firstLine="480"/>
        <w:jc w:val="left"/>
        <w:rPr>
          <w:rFonts w:hint="eastAsia" w:ascii="宋体" w:hAnsi="宋体" w:eastAsia="宋体" w:cs="宋体"/>
          <w:color w:val="auto"/>
          <w:highlight w:val="none"/>
        </w:rPr>
      </w:pPr>
      <w:r>
        <w:rPr>
          <w:rFonts w:hint="eastAsia" w:ascii="宋体" w:hAnsi="宋体" w:eastAsia="宋体" w:cs="宋体"/>
          <w:color w:val="auto"/>
          <w:highlight w:val="none"/>
        </w:rPr>
        <w:t>供应商名称（盖单位公章）：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spacing w:line="360" w:lineRule="auto"/>
        <w:ind w:right="-94" w:rightChars="-39" w:firstLine="470" w:firstLineChars="196"/>
        <w:rPr>
          <w:rFonts w:hint="eastAsia" w:ascii="宋体" w:hAnsi="宋体" w:eastAsia="宋体" w:cs="宋体"/>
          <w:color w:val="auto"/>
          <w:highlight w:val="none"/>
        </w:rPr>
      </w:pPr>
      <w:r>
        <w:rPr>
          <w:rFonts w:hint="eastAsia" w:ascii="宋体" w:hAnsi="宋体" w:eastAsia="宋体" w:cs="宋体"/>
          <w:color w:val="auto"/>
          <w:highlight w:val="none"/>
        </w:rPr>
        <w:t>法定代表人或授权代表（签字或加盖个人签名章）：</w:t>
      </w:r>
      <w:r>
        <w:rPr>
          <w:rFonts w:hint="eastAsia" w:ascii="宋体" w:hAnsi="宋体" w:eastAsia="宋体" w:cs="宋体"/>
          <w:color w:val="auto"/>
          <w:highlight w:val="none"/>
          <w:u w:val="single"/>
        </w:rPr>
        <w:t xml:space="preserve">            </w:t>
      </w:r>
    </w:p>
    <w:p>
      <w:pPr>
        <w:spacing w:line="360" w:lineRule="auto"/>
        <w:ind w:right="-94" w:rightChars="-39" w:firstLine="470" w:firstLineChars="196"/>
        <w:rPr>
          <w:rFonts w:hint="eastAsia" w:ascii="宋体" w:hAnsi="宋体" w:eastAsia="宋体" w:cs="宋体"/>
          <w:color w:val="auto"/>
          <w:highlight w:val="none"/>
        </w:rPr>
      </w:pPr>
      <w:r>
        <w:rPr>
          <w:rFonts w:hint="eastAsia" w:ascii="宋体" w:hAnsi="宋体" w:eastAsia="宋体" w:cs="宋体"/>
          <w:color w:val="auto"/>
          <w:highlight w:val="none"/>
        </w:rPr>
        <w:t>通讯地址：</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spacing w:line="360" w:lineRule="auto"/>
        <w:ind w:right="-94" w:rightChars="-39" w:firstLine="470" w:firstLineChars="196"/>
        <w:rPr>
          <w:rFonts w:hint="eastAsia" w:ascii="宋体" w:hAnsi="宋体" w:eastAsia="宋体" w:cs="宋体"/>
          <w:color w:val="auto"/>
          <w:highlight w:val="none"/>
        </w:rPr>
      </w:pPr>
      <w:r>
        <w:rPr>
          <w:rFonts w:hint="eastAsia" w:ascii="宋体" w:hAnsi="宋体" w:eastAsia="宋体" w:cs="宋体"/>
          <w:color w:val="auto"/>
          <w:highlight w:val="none"/>
        </w:rPr>
        <w:t>邮政编码：</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spacing w:line="360" w:lineRule="auto"/>
        <w:ind w:right="-94" w:rightChars="-39" w:firstLine="470" w:firstLineChars="196"/>
        <w:rPr>
          <w:rFonts w:hint="eastAsia" w:ascii="宋体" w:hAnsi="宋体" w:eastAsia="宋体" w:cs="宋体"/>
          <w:color w:val="auto"/>
          <w:highlight w:val="none"/>
        </w:rPr>
      </w:pPr>
      <w:r>
        <w:rPr>
          <w:rFonts w:hint="eastAsia" w:ascii="宋体" w:hAnsi="宋体" w:eastAsia="宋体" w:cs="宋体"/>
          <w:color w:val="auto"/>
          <w:highlight w:val="none"/>
        </w:rPr>
        <w:t>联系电话：</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spacing w:line="360" w:lineRule="auto"/>
        <w:ind w:right="-94" w:rightChars="-39" w:firstLine="470" w:firstLineChars="196"/>
        <w:rPr>
          <w:rFonts w:hint="eastAsia" w:ascii="宋体" w:hAnsi="宋体" w:eastAsia="宋体" w:cs="宋体"/>
          <w:color w:val="auto"/>
          <w:highlight w:val="none"/>
        </w:rPr>
      </w:pPr>
      <w:r>
        <w:rPr>
          <w:rFonts w:hint="eastAsia" w:ascii="宋体" w:hAnsi="宋体" w:eastAsia="宋体" w:cs="宋体"/>
          <w:color w:val="auto"/>
          <w:highlight w:val="none"/>
        </w:rPr>
        <w:t>传    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spacing w:line="360" w:lineRule="auto"/>
        <w:ind w:right="-94" w:rightChars="-39" w:firstLine="470" w:firstLineChars="196"/>
        <w:rPr>
          <w:rFonts w:hint="eastAsia" w:ascii="宋体" w:hAnsi="宋体" w:eastAsia="宋体" w:cs="宋体"/>
          <w:color w:val="auto"/>
          <w:highlight w:val="non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w:t>
      </w:r>
    </w:p>
    <w:p>
      <w:pPr>
        <w:pStyle w:val="5"/>
        <w:spacing w:line="360" w:lineRule="auto"/>
        <w:ind w:right="-94" w:rightChars="-39" w:firstLine="0" w:firstLineChars="0"/>
        <w:jc w:val="center"/>
        <w:rPr>
          <w:rFonts w:hint="eastAsia" w:ascii="宋体" w:hAnsi="宋体" w:eastAsia="宋体" w:cs="宋体"/>
          <w:color w:val="auto"/>
          <w:highlight w:val="none"/>
        </w:rPr>
        <w:sectPr>
          <w:pgSz w:w="11906" w:h="16838"/>
          <w:pgMar w:top="1417" w:right="1800" w:bottom="1417" w:left="1800" w:header="567" w:footer="788" w:gutter="0"/>
          <w:pgNumType w:fmt="decimal"/>
          <w:cols w:space="0" w:num="1"/>
          <w:docGrid w:linePitch="326" w:charSpace="0"/>
        </w:sectPr>
      </w:pPr>
      <w:r>
        <w:rPr>
          <w:rFonts w:hint="eastAsia" w:ascii="宋体" w:hAnsi="宋体" w:eastAsia="宋体" w:cs="宋体"/>
          <w:color w:val="auto"/>
          <w:highlight w:val="none"/>
        </w:rPr>
        <w:br w:type="page"/>
      </w:r>
      <w:bookmarkStart w:id="805" w:name="_Toc517422514"/>
      <w:bookmarkStart w:id="806" w:name="_Toc16652"/>
      <w:bookmarkStart w:id="807" w:name="_Toc517423542"/>
    </w:p>
    <w:bookmarkEnd w:id="805"/>
    <w:bookmarkEnd w:id="806"/>
    <w:bookmarkEnd w:id="807"/>
    <w:p>
      <w:pPr>
        <w:numPr>
          <w:ilvl w:val="0"/>
          <w:numId w:val="6"/>
        </w:numPr>
        <w:snapToGrid w:val="0"/>
        <w:spacing w:before="0" w:beforeAutospacing="0" w:after="0" w:afterAutospacing="0" w:line="460" w:lineRule="exact"/>
        <w:ind w:firstLine="643" w:firstLineChars="200"/>
        <w:jc w:val="center"/>
        <w:textAlignment w:val="baseline"/>
        <w:rPr>
          <w:rFonts w:hint="eastAsia" w:ascii="宋体" w:hAnsi="宋体" w:eastAsia="宋体" w:cs="宋体"/>
          <w:b/>
          <w:i w:val="0"/>
          <w:caps w:val="0"/>
          <w:color w:val="auto"/>
          <w:spacing w:val="0"/>
          <w:w w:val="100"/>
          <w:sz w:val="32"/>
          <w:szCs w:val="32"/>
          <w:highlight w:val="none"/>
        </w:rPr>
      </w:pPr>
      <w:r>
        <w:rPr>
          <w:rFonts w:hint="eastAsia" w:ascii="宋体" w:hAnsi="宋体" w:eastAsia="宋体" w:cs="宋体"/>
          <w:b/>
          <w:i w:val="0"/>
          <w:caps w:val="0"/>
          <w:color w:val="auto"/>
          <w:spacing w:val="0"/>
          <w:w w:val="100"/>
          <w:sz w:val="32"/>
          <w:szCs w:val="32"/>
          <w:highlight w:val="none"/>
        </w:rPr>
        <w:t>报价明细表</w:t>
      </w:r>
    </w:p>
    <w:p>
      <w:pPr>
        <w:pStyle w:val="15"/>
        <w:snapToGrid w:val="0"/>
        <w:spacing w:before="0" w:beforeAutospacing="0" w:after="0" w:afterAutospacing="0" w:line="460" w:lineRule="exact"/>
        <w:ind w:firstLine="480" w:firstLineChars="200"/>
        <w:jc w:val="both"/>
        <w:textAlignment w:val="baseline"/>
        <w:rPr>
          <w:rFonts w:hint="eastAsia" w:ascii="宋体" w:hAnsi="宋体" w:eastAsia="宋体" w:cs="宋体"/>
          <w:b w:val="0"/>
          <w:i w:val="0"/>
          <w:caps w:val="0"/>
          <w:color w:val="auto"/>
          <w:spacing w:val="0"/>
          <w:w w:val="100"/>
          <w:sz w:val="24"/>
          <w:highlight w:val="none"/>
        </w:rPr>
      </w:pPr>
    </w:p>
    <w:p>
      <w:pPr>
        <w:rPr>
          <w:rFonts w:hint="eastAsia" w:ascii="宋体" w:hAnsi="宋体" w:eastAsia="宋体" w:cs="宋体"/>
          <w:b w:val="0"/>
          <w:i w:val="0"/>
          <w:caps w:val="0"/>
          <w:color w:val="auto"/>
          <w:spacing w:val="0"/>
          <w:w w:val="100"/>
          <w:sz w:val="24"/>
          <w:highlight w:val="none"/>
        </w:rPr>
      </w:pPr>
    </w:p>
    <w:tbl>
      <w:tblPr>
        <w:tblStyle w:val="3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6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996" w:type="dxa"/>
            <w:noWrap w:val="0"/>
            <w:vAlign w:val="center"/>
          </w:tcPr>
          <w:p>
            <w:pPr>
              <w:keepLines w:val="0"/>
              <w:widowControl/>
              <w:suppressLineNumbers w:val="0"/>
              <w:snapToGrid w:val="0"/>
              <w:spacing w:before="0" w:beforeAutospacing="0" w:after="0" w:afterAutospacing="0" w:line="460" w:lineRule="exact"/>
              <w:ind w:left="0" w:leftChars="0" w:firstLine="0" w:firstLineChars="0"/>
              <w:jc w:val="both"/>
              <w:textAlignment w:val="baseline"/>
              <w:rPr>
                <w:rFonts w:hint="eastAsia" w:ascii="宋体" w:hAnsi="宋体" w:eastAsia="宋体" w:cs="宋体"/>
                <w:b w:val="0"/>
                <w:i w:val="0"/>
                <w:caps w:val="0"/>
                <w:color w:val="auto"/>
                <w:spacing w:val="0"/>
                <w:w w:val="100"/>
                <w:sz w:val="28"/>
                <w:szCs w:val="28"/>
              </w:rPr>
            </w:pPr>
            <w:r>
              <w:rPr>
                <w:rFonts w:hint="eastAsia" w:ascii="宋体" w:hAnsi="宋体" w:eastAsia="宋体" w:cs="宋体"/>
                <w:b w:val="0"/>
                <w:i w:val="0"/>
                <w:caps w:val="0"/>
                <w:color w:val="auto"/>
                <w:spacing w:val="0"/>
                <w:w w:val="100"/>
                <w:kern w:val="0"/>
                <w:sz w:val="28"/>
                <w:szCs w:val="28"/>
                <w:lang w:val="en-US" w:eastAsia="zh-CN" w:bidi="ar"/>
              </w:rPr>
              <w:t>项目名称</w:t>
            </w:r>
          </w:p>
        </w:tc>
        <w:tc>
          <w:tcPr>
            <w:tcW w:w="6526" w:type="dxa"/>
            <w:noWrap w:val="0"/>
            <w:vAlign w:val="top"/>
          </w:tcPr>
          <w:p>
            <w:pPr>
              <w:pStyle w:val="12"/>
              <w:snapToGrid w:val="0"/>
              <w:spacing w:before="0" w:beforeAutospacing="0" w:after="0" w:afterAutospacing="0" w:line="460" w:lineRule="exact"/>
              <w:ind w:firstLine="560" w:firstLineChars="200"/>
              <w:jc w:val="both"/>
              <w:textAlignment w:val="baseline"/>
              <w:rPr>
                <w:rFonts w:hint="eastAsia" w:ascii="宋体" w:hAnsi="宋体" w:eastAsia="宋体" w:cs="宋体"/>
                <w:b w:val="0"/>
                <w:i w:val="0"/>
                <w:caps w:val="0"/>
                <w:color w:val="auto"/>
                <w:spacing w:val="0"/>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996" w:type="dxa"/>
            <w:noWrap w:val="0"/>
            <w:vAlign w:val="center"/>
          </w:tcPr>
          <w:p>
            <w:pPr>
              <w:keepLines w:val="0"/>
              <w:widowControl/>
              <w:suppressLineNumbers w:val="0"/>
              <w:snapToGrid w:val="0"/>
              <w:spacing w:before="0" w:beforeAutospacing="0" w:after="0" w:afterAutospacing="0" w:line="460" w:lineRule="exact"/>
              <w:ind w:left="0" w:leftChars="0" w:firstLine="0" w:firstLineChars="0"/>
              <w:jc w:val="both"/>
              <w:textAlignment w:val="baseline"/>
              <w:rPr>
                <w:rFonts w:hint="eastAsia" w:ascii="宋体" w:hAnsi="宋体" w:eastAsia="宋体" w:cs="宋体"/>
                <w:b w:val="0"/>
                <w:i w:val="0"/>
                <w:caps w:val="0"/>
                <w:color w:val="auto"/>
                <w:spacing w:val="0"/>
                <w:w w:val="100"/>
                <w:sz w:val="28"/>
                <w:szCs w:val="28"/>
              </w:rPr>
            </w:pPr>
            <w:r>
              <w:rPr>
                <w:rFonts w:hint="eastAsia" w:ascii="宋体" w:hAnsi="宋体" w:eastAsia="宋体" w:cs="宋体"/>
                <w:b w:val="0"/>
                <w:i w:val="0"/>
                <w:caps w:val="0"/>
                <w:color w:val="auto"/>
                <w:spacing w:val="0"/>
                <w:w w:val="100"/>
                <w:kern w:val="0"/>
                <w:sz w:val="28"/>
                <w:szCs w:val="28"/>
                <w:lang w:val="en-US" w:eastAsia="zh-CN" w:bidi="ar"/>
              </w:rPr>
              <w:t>项目编号</w:t>
            </w:r>
          </w:p>
        </w:tc>
        <w:tc>
          <w:tcPr>
            <w:tcW w:w="6526" w:type="dxa"/>
            <w:noWrap w:val="0"/>
            <w:vAlign w:val="top"/>
          </w:tcPr>
          <w:p>
            <w:pPr>
              <w:pStyle w:val="12"/>
              <w:snapToGrid w:val="0"/>
              <w:spacing w:before="0" w:beforeAutospacing="0" w:after="0" w:afterAutospacing="0" w:line="460" w:lineRule="exact"/>
              <w:ind w:firstLine="560" w:firstLineChars="200"/>
              <w:jc w:val="both"/>
              <w:textAlignment w:val="baseline"/>
              <w:rPr>
                <w:rFonts w:hint="eastAsia" w:ascii="宋体" w:hAnsi="宋体" w:eastAsia="宋体" w:cs="宋体"/>
                <w:b w:val="0"/>
                <w:i w:val="0"/>
                <w:caps w:val="0"/>
                <w:color w:val="auto"/>
                <w:spacing w:val="0"/>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1996" w:type="dxa"/>
            <w:noWrap w:val="0"/>
            <w:vAlign w:val="center"/>
          </w:tcPr>
          <w:p>
            <w:pPr>
              <w:pStyle w:val="12"/>
              <w:snapToGrid w:val="0"/>
              <w:spacing w:before="0" w:beforeAutospacing="0" w:after="0" w:afterAutospacing="0" w:line="460" w:lineRule="exact"/>
              <w:ind w:left="0" w:leftChars="0" w:firstLine="0" w:firstLineChars="0"/>
              <w:jc w:val="both"/>
              <w:textAlignment w:val="baseline"/>
              <w:rPr>
                <w:rFonts w:hint="eastAsia" w:ascii="宋体" w:hAnsi="宋体" w:eastAsia="宋体" w:cs="宋体"/>
                <w:b w:val="0"/>
                <w:i w:val="0"/>
                <w:caps w:val="0"/>
                <w:color w:val="auto"/>
                <w:spacing w:val="0"/>
                <w:w w:val="100"/>
                <w:sz w:val="28"/>
                <w:szCs w:val="28"/>
              </w:rPr>
            </w:pPr>
            <w:r>
              <w:rPr>
                <w:rFonts w:hint="eastAsia" w:ascii="宋体" w:hAnsi="宋体" w:eastAsia="宋体" w:cs="宋体"/>
                <w:b w:val="0"/>
                <w:i w:val="0"/>
                <w:caps w:val="0"/>
                <w:color w:val="auto"/>
                <w:spacing w:val="0"/>
                <w:w w:val="100"/>
                <w:kern w:val="0"/>
                <w:sz w:val="28"/>
                <w:szCs w:val="28"/>
                <w:lang w:val="en-US" w:eastAsia="zh-CN" w:bidi="ar"/>
              </w:rPr>
              <w:t>服务周期</w:t>
            </w:r>
          </w:p>
        </w:tc>
        <w:tc>
          <w:tcPr>
            <w:tcW w:w="6526" w:type="dxa"/>
            <w:noWrap w:val="0"/>
            <w:vAlign w:val="top"/>
          </w:tcPr>
          <w:p>
            <w:pPr>
              <w:pStyle w:val="12"/>
              <w:snapToGrid w:val="0"/>
              <w:spacing w:before="0" w:beforeAutospacing="0" w:after="0" w:afterAutospacing="0" w:line="460" w:lineRule="exact"/>
              <w:ind w:firstLine="560" w:firstLineChars="200"/>
              <w:jc w:val="both"/>
              <w:textAlignment w:val="baseline"/>
              <w:rPr>
                <w:rFonts w:hint="eastAsia" w:ascii="宋体" w:hAnsi="宋体" w:eastAsia="宋体" w:cs="宋体"/>
                <w:b w:val="0"/>
                <w:i w:val="0"/>
                <w:caps w:val="0"/>
                <w:color w:val="auto"/>
                <w:spacing w:val="0"/>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6" w:type="dxa"/>
            <w:noWrap w:val="0"/>
            <w:vAlign w:val="center"/>
          </w:tcPr>
          <w:p>
            <w:pPr>
              <w:keepLines w:val="0"/>
              <w:widowControl/>
              <w:suppressLineNumbers w:val="0"/>
              <w:snapToGrid w:val="0"/>
              <w:spacing w:before="0" w:beforeAutospacing="0" w:after="0" w:afterAutospacing="0" w:line="460" w:lineRule="exact"/>
              <w:ind w:left="0" w:leftChars="0" w:firstLine="0" w:firstLineChars="0"/>
              <w:jc w:val="both"/>
              <w:textAlignment w:val="baseline"/>
              <w:rPr>
                <w:rFonts w:hint="eastAsia" w:ascii="宋体" w:hAnsi="宋体" w:eastAsia="宋体" w:cs="宋体"/>
                <w:b w:val="0"/>
                <w:i w:val="0"/>
                <w:caps w:val="0"/>
                <w:color w:val="auto"/>
                <w:spacing w:val="0"/>
                <w:w w:val="100"/>
                <w:sz w:val="28"/>
                <w:szCs w:val="28"/>
              </w:rPr>
            </w:pPr>
            <w:r>
              <w:rPr>
                <w:rFonts w:hint="eastAsia" w:ascii="宋体" w:hAnsi="宋体" w:eastAsia="宋体" w:cs="宋体"/>
                <w:b w:val="0"/>
                <w:i w:val="0"/>
                <w:caps w:val="0"/>
                <w:color w:val="auto"/>
                <w:spacing w:val="0"/>
                <w:w w:val="100"/>
                <w:kern w:val="0"/>
                <w:sz w:val="28"/>
                <w:szCs w:val="28"/>
                <w:lang w:val="en-US" w:eastAsia="zh-CN" w:bidi="ar"/>
              </w:rPr>
              <w:t>采购应答价</w:t>
            </w:r>
          </w:p>
          <w:p>
            <w:pPr>
              <w:pStyle w:val="12"/>
              <w:snapToGrid w:val="0"/>
              <w:spacing w:before="0" w:beforeAutospacing="0" w:after="0" w:afterAutospacing="0" w:line="460" w:lineRule="exact"/>
              <w:ind w:firstLine="560" w:firstLineChars="200"/>
              <w:jc w:val="center"/>
              <w:textAlignment w:val="baseline"/>
              <w:rPr>
                <w:rFonts w:hint="eastAsia" w:ascii="宋体" w:hAnsi="宋体" w:eastAsia="宋体" w:cs="宋体"/>
                <w:b w:val="0"/>
                <w:i w:val="0"/>
                <w:caps w:val="0"/>
                <w:color w:val="auto"/>
                <w:spacing w:val="0"/>
                <w:w w:val="100"/>
                <w:sz w:val="28"/>
                <w:szCs w:val="28"/>
              </w:rPr>
            </w:pPr>
          </w:p>
        </w:tc>
        <w:tc>
          <w:tcPr>
            <w:tcW w:w="6526" w:type="dxa"/>
            <w:noWrap w:val="0"/>
            <w:vAlign w:val="top"/>
          </w:tcPr>
          <w:p>
            <w:pPr>
              <w:keepLines w:val="0"/>
              <w:widowControl/>
              <w:suppressLineNumbers w:val="0"/>
              <w:snapToGrid w:val="0"/>
              <w:spacing w:before="0" w:beforeAutospacing="0" w:after="0" w:afterAutospacing="0" w:line="460" w:lineRule="exact"/>
              <w:ind w:left="0" w:leftChars="0" w:firstLine="0" w:firstLineChars="0"/>
              <w:jc w:val="left"/>
              <w:textAlignment w:val="baseline"/>
              <w:rPr>
                <w:rFonts w:hint="eastAsia" w:ascii="宋体" w:hAnsi="宋体" w:eastAsia="宋体" w:cs="宋体"/>
                <w:b w:val="0"/>
                <w:i w:val="0"/>
                <w:caps w:val="0"/>
                <w:color w:val="auto"/>
                <w:spacing w:val="0"/>
                <w:w w:val="1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6" w:type="dxa"/>
            <w:noWrap w:val="0"/>
            <w:vAlign w:val="center"/>
          </w:tcPr>
          <w:p>
            <w:pPr>
              <w:keepLines w:val="0"/>
              <w:widowControl/>
              <w:suppressLineNumbers w:val="0"/>
              <w:snapToGrid w:val="0"/>
              <w:spacing w:before="0" w:beforeAutospacing="0" w:after="0" w:afterAutospacing="0" w:line="460" w:lineRule="exact"/>
              <w:ind w:left="0" w:leftChars="0" w:firstLine="0" w:firstLineChars="0"/>
              <w:jc w:val="both"/>
              <w:textAlignment w:val="baseline"/>
              <w:rPr>
                <w:rFonts w:hint="eastAsia" w:ascii="宋体" w:hAnsi="宋体" w:eastAsia="宋体" w:cs="宋体"/>
                <w:b w:val="0"/>
                <w:i w:val="0"/>
                <w:caps w:val="0"/>
                <w:color w:val="auto"/>
                <w:spacing w:val="0"/>
                <w:w w:val="100"/>
                <w:kern w:val="0"/>
                <w:sz w:val="28"/>
                <w:szCs w:val="28"/>
                <w:lang w:val="en-US" w:eastAsia="zh-CN" w:bidi="ar"/>
              </w:rPr>
            </w:pPr>
            <w:r>
              <w:rPr>
                <w:rFonts w:hint="eastAsia" w:ascii="宋体" w:hAnsi="宋体" w:eastAsia="宋体" w:cs="宋体"/>
                <w:b w:val="0"/>
                <w:i w:val="0"/>
                <w:caps w:val="0"/>
                <w:color w:val="auto"/>
                <w:spacing w:val="0"/>
                <w:w w:val="100"/>
                <w:kern w:val="0"/>
                <w:sz w:val="28"/>
                <w:szCs w:val="28"/>
                <w:lang w:val="en-US" w:eastAsia="zh-CN" w:bidi="ar"/>
              </w:rPr>
              <w:t>其他</w:t>
            </w:r>
          </w:p>
        </w:tc>
        <w:tc>
          <w:tcPr>
            <w:tcW w:w="6526" w:type="dxa"/>
            <w:noWrap w:val="0"/>
            <w:vAlign w:val="top"/>
          </w:tcPr>
          <w:p>
            <w:pPr>
              <w:keepLines w:val="0"/>
              <w:widowControl/>
              <w:suppressLineNumbers w:val="0"/>
              <w:snapToGrid w:val="0"/>
              <w:spacing w:before="0" w:beforeAutospacing="0" w:after="0" w:afterAutospacing="0" w:line="460" w:lineRule="exact"/>
              <w:ind w:left="0" w:leftChars="0" w:firstLine="0" w:firstLineChars="0"/>
              <w:jc w:val="both"/>
              <w:textAlignment w:val="baseline"/>
              <w:rPr>
                <w:rFonts w:hint="eastAsia" w:ascii="宋体" w:hAnsi="宋体" w:eastAsia="宋体" w:cs="宋体"/>
                <w:b w:val="0"/>
                <w:i w:val="0"/>
                <w:caps w:val="0"/>
                <w:color w:val="auto"/>
                <w:spacing w:val="0"/>
                <w:w w:val="100"/>
                <w:kern w:val="0"/>
                <w:sz w:val="28"/>
                <w:szCs w:val="28"/>
                <w:lang w:val="en-US" w:eastAsia="zh-CN" w:bidi="ar"/>
              </w:rPr>
            </w:pPr>
          </w:p>
        </w:tc>
      </w:tr>
    </w:tbl>
    <w:p>
      <w:pPr>
        <w:pStyle w:val="12"/>
        <w:spacing w:line="400" w:lineRule="exact"/>
        <w:ind w:firstLine="480"/>
        <w:rPr>
          <w:rFonts w:hint="eastAsia" w:ascii="宋体" w:hAnsi="宋体" w:eastAsia="宋体" w:cs="宋体"/>
          <w:color w:val="auto"/>
          <w:sz w:val="24"/>
          <w:highlight w:val="none"/>
        </w:rPr>
      </w:pPr>
    </w:p>
    <w:p>
      <w:pPr>
        <w:autoSpaceDE w:val="0"/>
        <w:autoSpaceDN w:val="0"/>
        <w:adjustRightInd w:val="0"/>
        <w:spacing w:line="360" w:lineRule="auto"/>
        <w:ind w:left="0" w:leftChars="0" w:firstLine="240" w:firstLineChars="100"/>
        <w:jc w:val="left"/>
        <w:rPr>
          <w:rFonts w:hint="eastAsia" w:ascii="宋体" w:hAnsi="宋体"/>
          <w:sz w:val="24"/>
        </w:rPr>
      </w:pPr>
      <w:r>
        <w:rPr>
          <w:rFonts w:hint="eastAsia" w:ascii="宋体" w:hAnsi="宋体" w:cs="宋体"/>
          <w:sz w:val="24"/>
          <w:lang w:eastAsia="zh-CN"/>
        </w:rPr>
        <w:t>注：</w:t>
      </w:r>
      <w:r>
        <w:rPr>
          <w:rFonts w:hint="eastAsia" w:ascii="宋体" w:hAnsi="宋体" w:cs="宋体"/>
          <w:sz w:val="24"/>
        </w:rPr>
        <w:t>供应商所报价格应包含设备的安装、调试、操作、维修、保养</w:t>
      </w:r>
      <w:r>
        <w:rPr>
          <w:rFonts w:hint="eastAsia" w:ascii="宋体" w:hAnsi="宋体" w:cs="宋体"/>
          <w:sz w:val="24"/>
          <w:lang w:eastAsia="zh-CN"/>
        </w:rPr>
        <w:t>、人工费、税金</w:t>
      </w:r>
      <w:r>
        <w:rPr>
          <w:rFonts w:hint="eastAsia" w:ascii="宋体" w:hAnsi="宋体" w:cs="宋体"/>
          <w:sz w:val="24"/>
        </w:rPr>
        <w:t>等全部价格，采购人将不再支付其他额外费用。</w:t>
      </w:r>
    </w:p>
    <w:p>
      <w:pPr>
        <w:pStyle w:val="2"/>
        <w:rPr>
          <w:rFonts w:hint="eastAsia" w:ascii="宋体" w:hAnsi="宋体" w:eastAsia="宋体" w:cs="宋体"/>
          <w:color w:val="auto"/>
          <w:sz w:val="24"/>
          <w:highlight w:val="none"/>
          <w:lang w:val="en-US" w:eastAsia="zh-CN"/>
        </w:rPr>
      </w:pPr>
    </w:p>
    <w:p>
      <w:pPr>
        <w:autoSpaceDE w:val="0"/>
        <w:autoSpaceDN w:val="0"/>
        <w:adjustRightInd w:val="0"/>
        <w:spacing w:line="360" w:lineRule="auto"/>
        <w:ind w:right="-94" w:rightChars="-39" w:firstLine="240" w:firstLineChars="100"/>
        <w:jc w:val="left"/>
        <w:rPr>
          <w:rFonts w:hint="eastAsia" w:ascii="宋体" w:hAnsi="宋体" w:eastAsia="宋体" w:cs="宋体"/>
          <w:color w:val="auto"/>
          <w:highlight w:val="none"/>
        </w:rPr>
      </w:pPr>
    </w:p>
    <w:p>
      <w:pPr>
        <w:autoSpaceDE w:val="0"/>
        <w:autoSpaceDN w:val="0"/>
        <w:adjustRightInd w:val="0"/>
        <w:spacing w:line="360" w:lineRule="auto"/>
        <w:ind w:right="-94" w:rightChars="-39" w:firstLine="240" w:firstLineChars="100"/>
        <w:jc w:val="left"/>
        <w:rPr>
          <w:rFonts w:hint="eastAsia" w:ascii="宋体" w:hAnsi="宋体" w:eastAsia="宋体" w:cs="宋体"/>
          <w:color w:val="auto"/>
          <w:highlight w:val="none"/>
        </w:rPr>
      </w:pPr>
    </w:p>
    <w:p>
      <w:pPr>
        <w:autoSpaceDE w:val="0"/>
        <w:autoSpaceDN w:val="0"/>
        <w:adjustRightInd w:val="0"/>
        <w:spacing w:line="360" w:lineRule="auto"/>
        <w:ind w:right="-94" w:rightChars="-39" w:firstLine="240" w:firstLineChars="100"/>
        <w:jc w:val="left"/>
        <w:rPr>
          <w:rFonts w:hint="eastAsia" w:ascii="宋体" w:hAnsi="宋体" w:eastAsia="宋体" w:cs="宋体"/>
          <w:color w:val="auto"/>
          <w:highlight w:val="none"/>
        </w:rPr>
      </w:pPr>
    </w:p>
    <w:p>
      <w:pPr>
        <w:autoSpaceDE w:val="0"/>
        <w:autoSpaceDN w:val="0"/>
        <w:adjustRightInd w:val="0"/>
        <w:spacing w:line="360" w:lineRule="auto"/>
        <w:ind w:right="-94" w:rightChars="-39" w:firstLine="240" w:firstLineChars="100"/>
        <w:jc w:val="left"/>
        <w:rPr>
          <w:rFonts w:hint="eastAsia" w:ascii="宋体" w:hAnsi="宋体" w:eastAsia="宋体" w:cs="宋体"/>
          <w:color w:val="auto"/>
          <w:highlight w:val="none"/>
        </w:rPr>
      </w:pPr>
    </w:p>
    <w:p>
      <w:pPr>
        <w:autoSpaceDE w:val="0"/>
        <w:autoSpaceDN w:val="0"/>
        <w:adjustRightInd w:val="0"/>
        <w:spacing w:line="360" w:lineRule="auto"/>
        <w:ind w:right="-94" w:rightChars="-39" w:firstLine="240" w:firstLineChars="100"/>
        <w:jc w:val="left"/>
        <w:rPr>
          <w:rFonts w:hint="eastAsia" w:ascii="宋体" w:hAnsi="宋体" w:eastAsia="宋体" w:cs="宋体"/>
          <w:color w:val="auto"/>
          <w:highlight w:val="none"/>
        </w:rPr>
      </w:pPr>
    </w:p>
    <w:p>
      <w:pPr>
        <w:autoSpaceDE w:val="0"/>
        <w:autoSpaceDN w:val="0"/>
        <w:adjustRightInd w:val="0"/>
        <w:spacing w:line="360" w:lineRule="auto"/>
        <w:ind w:right="-94" w:rightChars="-39" w:firstLine="240" w:firstLineChars="100"/>
        <w:jc w:val="left"/>
        <w:rPr>
          <w:rFonts w:hint="eastAsia" w:ascii="宋体" w:hAnsi="宋体" w:eastAsia="宋体" w:cs="宋体"/>
          <w:color w:val="auto"/>
          <w:highlight w:val="none"/>
        </w:rPr>
      </w:pPr>
    </w:p>
    <w:p>
      <w:pPr>
        <w:autoSpaceDE w:val="0"/>
        <w:autoSpaceDN w:val="0"/>
        <w:adjustRightInd w:val="0"/>
        <w:spacing w:line="360" w:lineRule="auto"/>
        <w:ind w:right="-94" w:rightChars="-39" w:firstLine="240" w:firstLineChars="100"/>
        <w:jc w:val="left"/>
        <w:rPr>
          <w:rFonts w:hint="eastAsia" w:ascii="宋体" w:hAnsi="宋体" w:eastAsia="宋体" w:cs="宋体"/>
          <w:color w:val="auto"/>
          <w:highlight w:val="none"/>
        </w:rPr>
      </w:pPr>
      <w:r>
        <w:rPr>
          <w:rFonts w:hint="eastAsia" w:ascii="宋体" w:hAnsi="宋体" w:eastAsia="宋体" w:cs="宋体"/>
          <w:color w:val="auto"/>
          <w:highlight w:val="none"/>
        </w:rPr>
        <w:t>供应商名称（盖单位公章）：</w:t>
      </w:r>
      <w:r>
        <w:rPr>
          <w:rFonts w:hint="eastAsia" w:ascii="宋体" w:hAnsi="宋体" w:eastAsia="宋体" w:cs="宋体"/>
          <w:color w:val="auto"/>
          <w:highlight w:val="none"/>
          <w:u w:val="single"/>
        </w:rPr>
        <w:t xml:space="preserve">                     </w:t>
      </w:r>
    </w:p>
    <w:p>
      <w:pPr>
        <w:autoSpaceDE w:val="0"/>
        <w:autoSpaceDN w:val="0"/>
        <w:adjustRightInd w:val="0"/>
        <w:spacing w:line="360" w:lineRule="auto"/>
        <w:ind w:right="-94" w:rightChars="-39" w:firstLine="240" w:firstLineChars="100"/>
        <w:rPr>
          <w:rFonts w:hint="eastAsia" w:ascii="宋体" w:hAnsi="宋体" w:eastAsia="宋体" w:cs="宋体"/>
          <w:color w:val="auto"/>
          <w:highlight w:val="none"/>
        </w:rPr>
      </w:pPr>
      <w:r>
        <w:rPr>
          <w:rFonts w:hint="eastAsia" w:ascii="宋体" w:hAnsi="宋体" w:eastAsia="宋体" w:cs="宋体"/>
          <w:color w:val="auto"/>
          <w:highlight w:val="none"/>
        </w:rPr>
        <w:t>法定代表人或授权代表（签字或加盖个人签名章）：</w:t>
      </w:r>
      <w:r>
        <w:rPr>
          <w:rFonts w:hint="eastAsia" w:ascii="宋体" w:hAnsi="宋体" w:eastAsia="宋体" w:cs="宋体"/>
          <w:color w:val="auto"/>
          <w:highlight w:val="none"/>
          <w:u w:val="single"/>
        </w:rPr>
        <w:t xml:space="preserve">           </w:t>
      </w:r>
    </w:p>
    <w:p>
      <w:pPr>
        <w:autoSpaceDE w:val="0"/>
        <w:autoSpaceDN w:val="0"/>
        <w:adjustRightInd w:val="0"/>
        <w:spacing w:line="360" w:lineRule="auto"/>
        <w:ind w:right="-94" w:rightChars="-39" w:firstLine="240" w:firstLineChars="100"/>
        <w:rPr>
          <w:rFonts w:hint="eastAsia" w:ascii="宋体" w:hAnsi="宋体" w:eastAsia="宋体" w:cs="宋体"/>
          <w:color w:val="auto"/>
          <w:highlight w:val="non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日 </w:t>
      </w:r>
    </w:p>
    <w:p>
      <w:pPr>
        <w:rPr>
          <w:rFonts w:hint="eastAsia" w:ascii="宋体" w:hAnsi="宋体" w:eastAsia="宋体" w:cs="宋体"/>
          <w:color w:val="auto"/>
          <w:highlight w:val="none"/>
          <w:lang w:eastAsia="zh-CN"/>
        </w:rPr>
        <w:sectPr>
          <w:pgSz w:w="11906" w:h="16838"/>
          <w:pgMar w:top="1417" w:right="1800" w:bottom="1417" w:left="1800" w:header="567" w:footer="788" w:gutter="0"/>
          <w:pgNumType w:fmt="decimal"/>
          <w:cols w:space="0" w:num="1"/>
          <w:docGrid w:linePitch="326" w:charSpace="0"/>
        </w:sectPr>
      </w:pPr>
    </w:p>
    <w:p>
      <w:pPr>
        <w:pStyle w:val="5"/>
        <w:spacing w:line="360" w:lineRule="auto"/>
        <w:ind w:right="-94" w:rightChars="-39" w:firstLine="0" w:firstLineChars="0"/>
        <w:jc w:val="center"/>
        <w:rPr>
          <w:rFonts w:hint="eastAsia" w:ascii="宋体" w:hAnsi="宋体" w:eastAsia="宋体" w:cs="宋体"/>
          <w:color w:val="auto"/>
          <w:sz w:val="32"/>
          <w:highlight w:val="none"/>
        </w:rPr>
      </w:pPr>
      <w:r>
        <w:rPr>
          <w:rFonts w:hint="eastAsia" w:ascii="宋体" w:hAnsi="宋体" w:eastAsia="宋体" w:cs="宋体"/>
          <w:color w:val="auto"/>
          <w:sz w:val="32"/>
          <w:szCs w:val="28"/>
          <w:highlight w:val="none"/>
          <w:lang w:eastAsia="zh-CN"/>
        </w:rPr>
        <w:t>四</w:t>
      </w:r>
      <w:r>
        <w:rPr>
          <w:rFonts w:hint="eastAsia" w:ascii="宋体" w:hAnsi="宋体" w:eastAsia="宋体" w:cs="宋体"/>
          <w:color w:val="auto"/>
          <w:sz w:val="32"/>
          <w:szCs w:val="28"/>
          <w:highlight w:val="none"/>
        </w:rPr>
        <w:t>、</w:t>
      </w:r>
      <w:r>
        <w:rPr>
          <w:rFonts w:hint="eastAsia" w:ascii="宋体" w:hAnsi="宋体" w:eastAsia="宋体" w:cs="宋体"/>
          <w:color w:val="auto"/>
          <w:sz w:val="32"/>
          <w:highlight w:val="none"/>
          <w:lang w:val="en-US"/>
        </w:rPr>
        <w:t>服务要求应答表</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项目名称：</w:t>
      </w:r>
    </w:p>
    <w:p>
      <w:pPr>
        <w:spacing w:line="360" w:lineRule="auto"/>
        <w:ind w:right="-94" w:rightChars="-39" w:firstLine="480"/>
        <w:rPr>
          <w:rFonts w:hint="eastAsia" w:ascii="宋体" w:hAnsi="宋体" w:eastAsia="宋体" w:cs="宋体"/>
          <w:color w:val="auto"/>
          <w:szCs w:val="24"/>
          <w:highlight w:val="none"/>
        </w:rPr>
      </w:pPr>
      <w:r>
        <w:rPr>
          <w:rFonts w:hint="eastAsia" w:ascii="宋体" w:hAnsi="宋体" w:eastAsia="宋体" w:cs="宋体"/>
          <w:color w:val="auto"/>
          <w:highlight w:val="none"/>
        </w:rPr>
        <w:t>项目编号：</w:t>
      </w:r>
    </w:p>
    <w:tbl>
      <w:tblPr>
        <w:tblStyle w:val="30"/>
        <w:tblW w:w="93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3002"/>
        <w:gridCol w:w="2546"/>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250"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
                <w:color w:val="auto"/>
                <w:sz w:val="21"/>
                <w:highlight w:val="none"/>
              </w:rPr>
            </w:pPr>
            <w:r>
              <w:rPr>
                <w:rFonts w:hint="eastAsia" w:ascii="宋体" w:hAnsi="宋体" w:eastAsia="宋体" w:cs="宋体"/>
                <w:b/>
                <w:color w:val="auto"/>
                <w:sz w:val="21"/>
                <w:highlight w:val="none"/>
              </w:rPr>
              <w:t>序号</w:t>
            </w:r>
          </w:p>
        </w:tc>
        <w:tc>
          <w:tcPr>
            <w:tcW w:w="3002"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
                <w:color w:val="auto"/>
                <w:sz w:val="21"/>
                <w:highlight w:val="none"/>
              </w:rPr>
            </w:pPr>
            <w:r>
              <w:rPr>
                <w:rFonts w:hint="eastAsia" w:ascii="宋体" w:hAnsi="宋体" w:eastAsia="宋体" w:cs="宋体"/>
                <w:b/>
                <w:color w:val="auto"/>
                <w:sz w:val="21"/>
                <w:highlight w:val="none"/>
              </w:rPr>
              <w:t>采购文件要求</w:t>
            </w:r>
          </w:p>
        </w:tc>
        <w:tc>
          <w:tcPr>
            <w:tcW w:w="2546"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
                <w:color w:val="auto"/>
                <w:sz w:val="21"/>
                <w:highlight w:val="none"/>
              </w:rPr>
            </w:pPr>
            <w:r>
              <w:rPr>
                <w:rFonts w:hint="eastAsia" w:ascii="宋体" w:hAnsi="宋体" w:eastAsia="宋体" w:cs="宋体"/>
                <w:b/>
                <w:color w:val="auto"/>
                <w:sz w:val="21"/>
                <w:highlight w:val="none"/>
              </w:rPr>
              <w:t>响应文件响应</w:t>
            </w:r>
          </w:p>
        </w:tc>
        <w:tc>
          <w:tcPr>
            <w:tcW w:w="2546"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
                <w:color w:val="auto"/>
                <w:sz w:val="21"/>
                <w:highlight w:val="none"/>
              </w:rPr>
            </w:pPr>
            <w:r>
              <w:rPr>
                <w:rFonts w:hint="eastAsia" w:ascii="宋体" w:hAnsi="宋体" w:eastAsia="宋体" w:cs="宋体"/>
                <w:b/>
                <w:color w:val="auto"/>
                <w:sz w:val="21"/>
                <w:highlight w:val="none"/>
              </w:rPr>
              <w:t>偏离情况说明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50" w:type="dxa"/>
          </w:tcPr>
          <w:p>
            <w:pPr>
              <w:spacing w:line="360" w:lineRule="auto"/>
              <w:ind w:right="-94" w:rightChars="-39" w:firstLine="420"/>
              <w:jc w:val="center"/>
              <w:rPr>
                <w:rFonts w:hint="eastAsia" w:ascii="宋体" w:hAnsi="宋体" w:eastAsia="宋体" w:cs="宋体"/>
                <w:color w:val="auto"/>
                <w:sz w:val="21"/>
                <w:highlight w:val="none"/>
              </w:rPr>
            </w:pPr>
          </w:p>
        </w:tc>
        <w:tc>
          <w:tcPr>
            <w:tcW w:w="3002" w:type="dxa"/>
          </w:tcPr>
          <w:p>
            <w:pPr>
              <w:spacing w:line="360" w:lineRule="auto"/>
              <w:ind w:right="-94" w:rightChars="-39" w:firstLine="420"/>
              <w:jc w:val="center"/>
              <w:rPr>
                <w:rFonts w:hint="eastAsia" w:ascii="宋体" w:hAnsi="宋体" w:eastAsia="宋体" w:cs="宋体"/>
                <w:color w:val="auto"/>
                <w:sz w:val="21"/>
                <w:highlight w:val="none"/>
              </w:rPr>
            </w:pPr>
          </w:p>
        </w:tc>
        <w:tc>
          <w:tcPr>
            <w:tcW w:w="2546" w:type="dxa"/>
          </w:tcPr>
          <w:p>
            <w:pPr>
              <w:spacing w:line="360" w:lineRule="auto"/>
              <w:ind w:right="-94" w:rightChars="-39" w:firstLine="420"/>
              <w:jc w:val="center"/>
              <w:rPr>
                <w:rFonts w:hint="eastAsia" w:ascii="宋体" w:hAnsi="宋体" w:eastAsia="宋体" w:cs="宋体"/>
                <w:color w:val="auto"/>
                <w:sz w:val="21"/>
                <w:highlight w:val="none"/>
              </w:rPr>
            </w:pPr>
          </w:p>
        </w:tc>
        <w:tc>
          <w:tcPr>
            <w:tcW w:w="2546" w:type="dxa"/>
          </w:tcPr>
          <w:p>
            <w:pPr>
              <w:spacing w:line="360" w:lineRule="auto"/>
              <w:ind w:right="-94" w:rightChars="-39" w:firstLine="420"/>
              <w:jc w:val="center"/>
              <w:rPr>
                <w:rFonts w:hint="eastAsia" w:ascii="宋体" w:hAnsi="宋体" w:eastAsia="宋体" w:cs="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50" w:type="dxa"/>
          </w:tcPr>
          <w:p>
            <w:pPr>
              <w:spacing w:line="360" w:lineRule="auto"/>
              <w:ind w:right="-94" w:rightChars="-39" w:firstLine="420"/>
              <w:jc w:val="center"/>
              <w:rPr>
                <w:rFonts w:hint="eastAsia" w:ascii="宋体" w:hAnsi="宋体" w:eastAsia="宋体" w:cs="宋体"/>
                <w:color w:val="auto"/>
                <w:sz w:val="21"/>
                <w:highlight w:val="none"/>
              </w:rPr>
            </w:pPr>
          </w:p>
        </w:tc>
        <w:tc>
          <w:tcPr>
            <w:tcW w:w="3002" w:type="dxa"/>
          </w:tcPr>
          <w:p>
            <w:pPr>
              <w:spacing w:line="360" w:lineRule="auto"/>
              <w:ind w:right="-94" w:rightChars="-39" w:firstLine="420"/>
              <w:jc w:val="center"/>
              <w:rPr>
                <w:rFonts w:hint="eastAsia" w:ascii="宋体" w:hAnsi="宋体" w:eastAsia="宋体" w:cs="宋体"/>
                <w:color w:val="auto"/>
                <w:sz w:val="21"/>
                <w:highlight w:val="none"/>
              </w:rPr>
            </w:pPr>
          </w:p>
        </w:tc>
        <w:tc>
          <w:tcPr>
            <w:tcW w:w="2546" w:type="dxa"/>
          </w:tcPr>
          <w:p>
            <w:pPr>
              <w:spacing w:line="360" w:lineRule="auto"/>
              <w:ind w:right="-94" w:rightChars="-39" w:firstLine="420"/>
              <w:jc w:val="center"/>
              <w:rPr>
                <w:rFonts w:hint="eastAsia" w:ascii="宋体" w:hAnsi="宋体" w:eastAsia="宋体" w:cs="宋体"/>
                <w:color w:val="auto"/>
                <w:sz w:val="21"/>
                <w:highlight w:val="none"/>
              </w:rPr>
            </w:pPr>
          </w:p>
        </w:tc>
        <w:tc>
          <w:tcPr>
            <w:tcW w:w="2546" w:type="dxa"/>
          </w:tcPr>
          <w:p>
            <w:pPr>
              <w:spacing w:line="360" w:lineRule="auto"/>
              <w:ind w:right="-94" w:rightChars="-39" w:firstLine="420"/>
              <w:jc w:val="center"/>
              <w:rPr>
                <w:rFonts w:hint="eastAsia" w:ascii="宋体" w:hAnsi="宋体" w:eastAsia="宋体" w:cs="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50" w:type="dxa"/>
          </w:tcPr>
          <w:p>
            <w:pPr>
              <w:spacing w:line="360" w:lineRule="auto"/>
              <w:ind w:right="-94" w:rightChars="-39" w:firstLine="420"/>
              <w:jc w:val="center"/>
              <w:rPr>
                <w:rFonts w:hint="eastAsia" w:ascii="宋体" w:hAnsi="宋体" w:eastAsia="宋体" w:cs="宋体"/>
                <w:color w:val="auto"/>
                <w:sz w:val="21"/>
                <w:highlight w:val="none"/>
              </w:rPr>
            </w:pPr>
          </w:p>
        </w:tc>
        <w:tc>
          <w:tcPr>
            <w:tcW w:w="3002" w:type="dxa"/>
          </w:tcPr>
          <w:p>
            <w:pPr>
              <w:spacing w:line="360" w:lineRule="auto"/>
              <w:ind w:right="-94" w:rightChars="-39" w:firstLine="420"/>
              <w:jc w:val="center"/>
              <w:rPr>
                <w:rFonts w:hint="eastAsia" w:ascii="宋体" w:hAnsi="宋体" w:eastAsia="宋体" w:cs="宋体"/>
                <w:color w:val="auto"/>
                <w:sz w:val="21"/>
                <w:highlight w:val="none"/>
              </w:rPr>
            </w:pPr>
          </w:p>
        </w:tc>
        <w:tc>
          <w:tcPr>
            <w:tcW w:w="2546" w:type="dxa"/>
          </w:tcPr>
          <w:p>
            <w:pPr>
              <w:spacing w:line="360" w:lineRule="auto"/>
              <w:ind w:right="-94" w:rightChars="-39" w:firstLine="420"/>
              <w:jc w:val="center"/>
              <w:rPr>
                <w:rFonts w:hint="eastAsia" w:ascii="宋体" w:hAnsi="宋体" w:eastAsia="宋体" w:cs="宋体"/>
                <w:color w:val="auto"/>
                <w:sz w:val="21"/>
                <w:highlight w:val="none"/>
              </w:rPr>
            </w:pPr>
          </w:p>
        </w:tc>
        <w:tc>
          <w:tcPr>
            <w:tcW w:w="2546" w:type="dxa"/>
          </w:tcPr>
          <w:p>
            <w:pPr>
              <w:spacing w:line="360" w:lineRule="auto"/>
              <w:ind w:right="-94" w:rightChars="-39" w:firstLine="420"/>
              <w:jc w:val="center"/>
              <w:rPr>
                <w:rFonts w:hint="eastAsia" w:ascii="宋体" w:hAnsi="宋体" w:eastAsia="宋体" w:cs="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50" w:type="dxa"/>
          </w:tcPr>
          <w:p>
            <w:pPr>
              <w:spacing w:line="360" w:lineRule="auto"/>
              <w:ind w:right="-94" w:rightChars="-39" w:firstLine="420"/>
              <w:jc w:val="center"/>
              <w:rPr>
                <w:rFonts w:hint="eastAsia" w:ascii="宋体" w:hAnsi="宋体" w:eastAsia="宋体" w:cs="宋体"/>
                <w:color w:val="auto"/>
                <w:sz w:val="21"/>
                <w:highlight w:val="none"/>
              </w:rPr>
            </w:pPr>
          </w:p>
        </w:tc>
        <w:tc>
          <w:tcPr>
            <w:tcW w:w="3002" w:type="dxa"/>
          </w:tcPr>
          <w:p>
            <w:pPr>
              <w:spacing w:line="360" w:lineRule="auto"/>
              <w:ind w:right="-94" w:rightChars="-39" w:firstLine="420"/>
              <w:jc w:val="center"/>
              <w:rPr>
                <w:rFonts w:hint="eastAsia" w:ascii="宋体" w:hAnsi="宋体" w:eastAsia="宋体" w:cs="宋体"/>
                <w:color w:val="auto"/>
                <w:sz w:val="21"/>
                <w:highlight w:val="none"/>
              </w:rPr>
            </w:pPr>
          </w:p>
        </w:tc>
        <w:tc>
          <w:tcPr>
            <w:tcW w:w="2546" w:type="dxa"/>
          </w:tcPr>
          <w:p>
            <w:pPr>
              <w:spacing w:line="360" w:lineRule="auto"/>
              <w:ind w:right="-94" w:rightChars="-39" w:firstLine="420"/>
              <w:jc w:val="center"/>
              <w:rPr>
                <w:rFonts w:hint="eastAsia" w:ascii="宋体" w:hAnsi="宋体" w:eastAsia="宋体" w:cs="宋体"/>
                <w:color w:val="auto"/>
                <w:sz w:val="21"/>
                <w:highlight w:val="none"/>
              </w:rPr>
            </w:pPr>
          </w:p>
        </w:tc>
        <w:tc>
          <w:tcPr>
            <w:tcW w:w="2546" w:type="dxa"/>
          </w:tcPr>
          <w:p>
            <w:pPr>
              <w:spacing w:line="360" w:lineRule="auto"/>
              <w:ind w:right="-94" w:rightChars="-39" w:firstLine="420"/>
              <w:jc w:val="center"/>
              <w:rPr>
                <w:rFonts w:hint="eastAsia" w:ascii="宋体" w:hAnsi="宋体" w:eastAsia="宋体" w:cs="宋体"/>
                <w:color w:val="auto"/>
                <w:sz w:val="21"/>
                <w:highlight w:val="none"/>
              </w:rPr>
            </w:pPr>
          </w:p>
        </w:tc>
      </w:tr>
    </w:tbl>
    <w:p>
      <w:pPr>
        <w:spacing w:line="360" w:lineRule="auto"/>
        <w:ind w:right="-94" w:rightChars="-39" w:firstLine="482"/>
        <w:rPr>
          <w:rFonts w:hint="eastAsia" w:ascii="宋体" w:hAnsi="宋体" w:eastAsia="宋体" w:cs="宋体"/>
          <w:b/>
          <w:color w:val="auto"/>
          <w:highlight w:val="none"/>
        </w:rPr>
      </w:pP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注：1、本表只填写响应文件中与磋商文件有偏离（包括正偏离和负偏离）的内容，响应文件中技术服务条款响应与磋商文件要求完全一致的，可以不用在此表中列出。</w:t>
      </w:r>
    </w:p>
    <w:p>
      <w:pPr>
        <w:adjustRightInd w:val="0"/>
        <w:spacing w:line="360" w:lineRule="auto"/>
        <w:ind w:right="-94" w:rightChars="-39" w:firstLine="480"/>
        <w:jc w:val="left"/>
        <w:rPr>
          <w:rFonts w:hint="eastAsia" w:ascii="宋体" w:hAnsi="宋体" w:eastAsia="宋体" w:cs="宋体"/>
          <w:color w:val="auto"/>
          <w:highlight w:val="none"/>
        </w:rPr>
      </w:pPr>
      <w:r>
        <w:rPr>
          <w:rFonts w:hint="eastAsia" w:ascii="宋体" w:hAnsi="宋体" w:eastAsia="宋体" w:cs="宋体"/>
          <w:color w:val="auto"/>
          <w:highlight w:val="none"/>
        </w:rPr>
        <w:t>2、供应商不得虚假填写，否则一切责任由供应商承担</w:t>
      </w:r>
    </w:p>
    <w:p>
      <w:pPr>
        <w:autoSpaceDE w:val="0"/>
        <w:autoSpaceDN w:val="0"/>
        <w:adjustRightInd w:val="0"/>
        <w:spacing w:line="360" w:lineRule="auto"/>
        <w:ind w:right="-94" w:rightChars="-39" w:firstLine="240" w:firstLineChars="100"/>
        <w:jc w:val="left"/>
        <w:rPr>
          <w:rFonts w:hint="eastAsia" w:ascii="宋体" w:hAnsi="宋体" w:eastAsia="宋体" w:cs="宋体"/>
          <w:color w:val="auto"/>
          <w:highlight w:val="none"/>
        </w:rPr>
      </w:pPr>
    </w:p>
    <w:p>
      <w:pPr>
        <w:autoSpaceDE w:val="0"/>
        <w:autoSpaceDN w:val="0"/>
        <w:adjustRightInd w:val="0"/>
        <w:spacing w:line="360" w:lineRule="auto"/>
        <w:ind w:right="-94" w:rightChars="-39" w:firstLine="240" w:firstLineChars="100"/>
        <w:jc w:val="left"/>
        <w:rPr>
          <w:rFonts w:hint="eastAsia" w:ascii="宋体" w:hAnsi="宋体" w:eastAsia="宋体" w:cs="宋体"/>
          <w:color w:val="auto"/>
          <w:highlight w:val="none"/>
        </w:rPr>
      </w:pPr>
      <w:r>
        <w:rPr>
          <w:rFonts w:hint="eastAsia" w:ascii="宋体" w:hAnsi="宋体" w:eastAsia="宋体" w:cs="宋体"/>
          <w:color w:val="auto"/>
          <w:highlight w:val="none"/>
        </w:rPr>
        <w:t>供应商名称（盖单位公章）：</w:t>
      </w:r>
      <w:r>
        <w:rPr>
          <w:rFonts w:hint="eastAsia" w:ascii="宋体" w:hAnsi="宋体" w:eastAsia="宋体" w:cs="宋体"/>
          <w:color w:val="auto"/>
          <w:highlight w:val="none"/>
          <w:u w:val="single"/>
        </w:rPr>
        <w:t xml:space="preserve">                     </w:t>
      </w:r>
    </w:p>
    <w:p>
      <w:pPr>
        <w:autoSpaceDE w:val="0"/>
        <w:autoSpaceDN w:val="0"/>
        <w:adjustRightInd w:val="0"/>
        <w:spacing w:line="360" w:lineRule="auto"/>
        <w:ind w:right="-94" w:rightChars="-39" w:firstLine="240" w:firstLineChars="100"/>
        <w:rPr>
          <w:rFonts w:hint="eastAsia" w:ascii="宋体" w:hAnsi="宋体" w:eastAsia="宋体" w:cs="宋体"/>
          <w:color w:val="auto"/>
          <w:highlight w:val="none"/>
        </w:rPr>
      </w:pPr>
      <w:r>
        <w:rPr>
          <w:rFonts w:hint="eastAsia" w:ascii="宋体" w:hAnsi="宋体" w:eastAsia="宋体" w:cs="宋体"/>
          <w:color w:val="auto"/>
          <w:highlight w:val="none"/>
        </w:rPr>
        <w:t>法定代表人或授权代表（签字或加盖个人签名章）：</w:t>
      </w:r>
      <w:r>
        <w:rPr>
          <w:rFonts w:hint="eastAsia" w:ascii="宋体" w:hAnsi="宋体" w:eastAsia="宋体" w:cs="宋体"/>
          <w:color w:val="auto"/>
          <w:highlight w:val="none"/>
          <w:u w:val="single"/>
        </w:rPr>
        <w:t xml:space="preserve">           </w:t>
      </w:r>
    </w:p>
    <w:p>
      <w:pPr>
        <w:autoSpaceDE w:val="0"/>
        <w:autoSpaceDN w:val="0"/>
        <w:adjustRightInd w:val="0"/>
        <w:spacing w:line="360" w:lineRule="auto"/>
        <w:ind w:right="-94" w:rightChars="-39" w:firstLine="240" w:firstLineChars="100"/>
        <w:rPr>
          <w:rFonts w:hint="eastAsia" w:ascii="宋体" w:hAnsi="宋体" w:eastAsia="宋体" w:cs="宋体"/>
          <w:color w:val="auto"/>
          <w:highlight w:val="non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日 </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5"/>
        <w:spacing w:line="360" w:lineRule="auto"/>
        <w:ind w:right="-94" w:rightChars="-39" w:firstLine="0" w:firstLineChars="0"/>
        <w:jc w:val="center"/>
        <w:rPr>
          <w:rFonts w:hint="eastAsia" w:ascii="宋体" w:hAnsi="宋体" w:eastAsia="宋体" w:cs="宋体"/>
          <w:color w:val="auto"/>
          <w:sz w:val="32"/>
          <w:highlight w:val="none"/>
        </w:rPr>
      </w:pPr>
      <w:r>
        <w:rPr>
          <w:rFonts w:hint="eastAsia" w:ascii="宋体" w:hAnsi="宋体" w:eastAsia="宋体" w:cs="宋体"/>
          <w:color w:val="auto"/>
          <w:sz w:val="32"/>
          <w:highlight w:val="none"/>
          <w:lang w:val="en-US" w:eastAsia="zh-CN"/>
        </w:rPr>
        <w:t>五</w:t>
      </w:r>
      <w:r>
        <w:rPr>
          <w:rFonts w:hint="eastAsia" w:ascii="宋体" w:hAnsi="宋体" w:eastAsia="宋体" w:cs="宋体"/>
          <w:color w:val="auto"/>
          <w:sz w:val="32"/>
          <w:highlight w:val="none"/>
          <w:lang w:val="en-US"/>
        </w:rPr>
        <w:t>、商务应答表</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项目名称：</w:t>
      </w:r>
    </w:p>
    <w:p>
      <w:pPr>
        <w:spacing w:line="360" w:lineRule="auto"/>
        <w:ind w:right="-94" w:rightChars="-39" w:firstLine="480"/>
        <w:rPr>
          <w:rFonts w:hint="eastAsia" w:ascii="宋体" w:hAnsi="宋体" w:eastAsia="宋体" w:cs="宋体"/>
          <w:color w:val="auto"/>
          <w:szCs w:val="24"/>
          <w:highlight w:val="none"/>
        </w:rPr>
      </w:pPr>
      <w:r>
        <w:rPr>
          <w:rFonts w:hint="eastAsia" w:ascii="宋体" w:hAnsi="宋体" w:eastAsia="宋体" w:cs="宋体"/>
          <w:color w:val="auto"/>
          <w:highlight w:val="none"/>
        </w:rPr>
        <w:t>项目编号：</w:t>
      </w:r>
    </w:p>
    <w:tbl>
      <w:tblPr>
        <w:tblStyle w:val="30"/>
        <w:tblW w:w="8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2853"/>
        <w:gridCol w:w="2419"/>
        <w:gridCol w:w="2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187"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
                <w:color w:val="auto"/>
                <w:sz w:val="21"/>
                <w:highlight w:val="none"/>
              </w:rPr>
            </w:pPr>
            <w:r>
              <w:rPr>
                <w:rFonts w:hint="eastAsia" w:ascii="宋体" w:hAnsi="宋体" w:eastAsia="宋体" w:cs="宋体"/>
                <w:b/>
                <w:color w:val="auto"/>
                <w:sz w:val="21"/>
                <w:highlight w:val="none"/>
              </w:rPr>
              <w:t>序号</w:t>
            </w:r>
          </w:p>
        </w:tc>
        <w:tc>
          <w:tcPr>
            <w:tcW w:w="2853"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
                <w:color w:val="auto"/>
                <w:sz w:val="21"/>
                <w:highlight w:val="none"/>
              </w:rPr>
            </w:pPr>
            <w:r>
              <w:rPr>
                <w:rFonts w:hint="eastAsia" w:ascii="宋体" w:hAnsi="宋体" w:eastAsia="宋体" w:cs="宋体"/>
                <w:b/>
                <w:color w:val="auto"/>
                <w:sz w:val="21"/>
                <w:highlight w:val="none"/>
              </w:rPr>
              <w:t>采购文件要求</w:t>
            </w:r>
          </w:p>
        </w:tc>
        <w:tc>
          <w:tcPr>
            <w:tcW w:w="2419"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
                <w:color w:val="auto"/>
                <w:sz w:val="21"/>
                <w:highlight w:val="none"/>
              </w:rPr>
            </w:pPr>
            <w:r>
              <w:rPr>
                <w:rFonts w:hint="eastAsia" w:ascii="宋体" w:hAnsi="宋体" w:eastAsia="宋体" w:cs="宋体"/>
                <w:b/>
                <w:color w:val="auto"/>
                <w:sz w:val="21"/>
                <w:highlight w:val="none"/>
              </w:rPr>
              <w:t>响应文件响应</w:t>
            </w:r>
          </w:p>
        </w:tc>
        <w:tc>
          <w:tcPr>
            <w:tcW w:w="2419"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
                <w:color w:val="auto"/>
                <w:sz w:val="21"/>
                <w:highlight w:val="none"/>
              </w:rPr>
            </w:pPr>
            <w:r>
              <w:rPr>
                <w:rFonts w:hint="eastAsia" w:ascii="宋体" w:hAnsi="宋体" w:eastAsia="宋体" w:cs="宋体"/>
                <w:b/>
                <w:color w:val="auto"/>
                <w:sz w:val="21"/>
                <w:highlight w:val="none"/>
              </w:rPr>
              <w:t>偏离情况说明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1187" w:type="dxa"/>
          </w:tcPr>
          <w:p>
            <w:pPr>
              <w:spacing w:line="360" w:lineRule="auto"/>
              <w:ind w:right="-94" w:rightChars="-39" w:firstLine="480"/>
              <w:jc w:val="center"/>
              <w:rPr>
                <w:rFonts w:hint="eastAsia" w:ascii="宋体" w:hAnsi="宋体" w:eastAsia="宋体" w:cs="宋体"/>
                <w:color w:val="auto"/>
                <w:highlight w:val="none"/>
              </w:rPr>
            </w:pPr>
          </w:p>
        </w:tc>
        <w:tc>
          <w:tcPr>
            <w:tcW w:w="2853" w:type="dxa"/>
          </w:tcPr>
          <w:p>
            <w:pPr>
              <w:spacing w:line="360" w:lineRule="auto"/>
              <w:ind w:right="-94" w:rightChars="-39" w:firstLine="480"/>
              <w:jc w:val="center"/>
              <w:rPr>
                <w:rFonts w:hint="eastAsia" w:ascii="宋体" w:hAnsi="宋体" w:eastAsia="宋体" w:cs="宋体"/>
                <w:color w:val="auto"/>
                <w:highlight w:val="none"/>
              </w:rPr>
            </w:pPr>
          </w:p>
        </w:tc>
        <w:tc>
          <w:tcPr>
            <w:tcW w:w="2419" w:type="dxa"/>
          </w:tcPr>
          <w:p>
            <w:pPr>
              <w:spacing w:line="360" w:lineRule="auto"/>
              <w:ind w:right="-94" w:rightChars="-39" w:firstLine="480"/>
              <w:jc w:val="center"/>
              <w:rPr>
                <w:rFonts w:hint="eastAsia" w:ascii="宋体" w:hAnsi="宋体" w:eastAsia="宋体" w:cs="宋体"/>
                <w:color w:val="auto"/>
                <w:highlight w:val="none"/>
              </w:rPr>
            </w:pPr>
          </w:p>
        </w:tc>
        <w:tc>
          <w:tcPr>
            <w:tcW w:w="2419" w:type="dxa"/>
          </w:tcPr>
          <w:p>
            <w:pPr>
              <w:spacing w:line="360" w:lineRule="auto"/>
              <w:ind w:right="-94" w:rightChars="-39" w:firstLine="48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1187" w:type="dxa"/>
          </w:tcPr>
          <w:p>
            <w:pPr>
              <w:spacing w:line="360" w:lineRule="auto"/>
              <w:ind w:right="-94" w:rightChars="-39" w:firstLine="480"/>
              <w:jc w:val="center"/>
              <w:rPr>
                <w:rFonts w:hint="eastAsia" w:ascii="宋体" w:hAnsi="宋体" w:eastAsia="宋体" w:cs="宋体"/>
                <w:color w:val="auto"/>
                <w:highlight w:val="none"/>
              </w:rPr>
            </w:pPr>
          </w:p>
        </w:tc>
        <w:tc>
          <w:tcPr>
            <w:tcW w:w="2853" w:type="dxa"/>
          </w:tcPr>
          <w:p>
            <w:pPr>
              <w:spacing w:line="360" w:lineRule="auto"/>
              <w:ind w:right="-94" w:rightChars="-39" w:firstLine="480"/>
              <w:jc w:val="center"/>
              <w:rPr>
                <w:rFonts w:hint="eastAsia" w:ascii="宋体" w:hAnsi="宋体" w:eastAsia="宋体" w:cs="宋体"/>
                <w:color w:val="auto"/>
                <w:highlight w:val="none"/>
              </w:rPr>
            </w:pPr>
          </w:p>
        </w:tc>
        <w:tc>
          <w:tcPr>
            <w:tcW w:w="2419" w:type="dxa"/>
          </w:tcPr>
          <w:p>
            <w:pPr>
              <w:spacing w:line="360" w:lineRule="auto"/>
              <w:ind w:right="-94" w:rightChars="-39" w:firstLine="480"/>
              <w:jc w:val="center"/>
              <w:rPr>
                <w:rFonts w:hint="eastAsia" w:ascii="宋体" w:hAnsi="宋体" w:eastAsia="宋体" w:cs="宋体"/>
                <w:color w:val="auto"/>
                <w:highlight w:val="none"/>
              </w:rPr>
            </w:pPr>
          </w:p>
        </w:tc>
        <w:tc>
          <w:tcPr>
            <w:tcW w:w="2419" w:type="dxa"/>
          </w:tcPr>
          <w:p>
            <w:pPr>
              <w:spacing w:line="360" w:lineRule="auto"/>
              <w:ind w:right="-94" w:rightChars="-39" w:firstLine="48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1187" w:type="dxa"/>
          </w:tcPr>
          <w:p>
            <w:pPr>
              <w:spacing w:line="360" w:lineRule="auto"/>
              <w:ind w:right="-94" w:rightChars="-39" w:firstLine="480"/>
              <w:jc w:val="center"/>
              <w:rPr>
                <w:rFonts w:hint="eastAsia" w:ascii="宋体" w:hAnsi="宋体" w:eastAsia="宋体" w:cs="宋体"/>
                <w:color w:val="auto"/>
                <w:highlight w:val="none"/>
              </w:rPr>
            </w:pPr>
          </w:p>
        </w:tc>
        <w:tc>
          <w:tcPr>
            <w:tcW w:w="2853" w:type="dxa"/>
          </w:tcPr>
          <w:p>
            <w:pPr>
              <w:spacing w:line="360" w:lineRule="auto"/>
              <w:ind w:right="-94" w:rightChars="-39" w:firstLine="480"/>
              <w:jc w:val="center"/>
              <w:rPr>
                <w:rFonts w:hint="eastAsia" w:ascii="宋体" w:hAnsi="宋体" w:eastAsia="宋体" w:cs="宋体"/>
                <w:color w:val="auto"/>
                <w:highlight w:val="none"/>
              </w:rPr>
            </w:pPr>
          </w:p>
        </w:tc>
        <w:tc>
          <w:tcPr>
            <w:tcW w:w="2419" w:type="dxa"/>
          </w:tcPr>
          <w:p>
            <w:pPr>
              <w:spacing w:line="360" w:lineRule="auto"/>
              <w:ind w:right="-94" w:rightChars="-39" w:firstLine="480"/>
              <w:jc w:val="center"/>
              <w:rPr>
                <w:rFonts w:hint="eastAsia" w:ascii="宋体" w:hAnsi="宋体" w:eastAsia="宋体" w:cs="宋体"/>
                <w:color w:val="auto"/>
                <w:highlight w:val="none"/>
              </w:rPr>
            </w:pPr>
          </w:p>
        </w:tc>
        <w:tc>
          <w:tcPr>
            <w:tcW w:w="2419" w:type="dxa"/>
          </w:tcPr>
          <w:p>
            <w:pPr>
              <w:spacing w:line="360" w:lineRule="auto"/>
              <w:ind w:right="-94" w:rightChars="-39" w:firstLine="48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1187" w:type="dxa"/>
          </w:tcPr>
          <w:p>
            <w:pPr>
              <w:spacing w:line="360" w:lineRule="auto"/>
              <w:ind w:right="-94" w:rightChars="-39" w:firstLine="480"/>
              <w:jc w:val="center"/>
              <w:rPr>
                <w:rFonts w:hint="eastAsia" w:ascii="宋体" w:hAnsi="宋体" w:eastAsia="宋体" w:cs="宋体"/>
                <w:color w:val="auto"/>
                <w:highlight w:val="none"/>
              </w:rPr>
            </w:pPr>
          </w:p>
        </w:tc>
        <w:tc>
          <w:tcPr>
            <w:tcW w:w="2853" w:type="dxa"/>
          </w:tcPr>
          <w:p>
            <w:pPr>
              <w:spacing w:line="360" w:lineRule="auto"/>
              <w:ind w:right="-94" w:rightChars="-39" w:firstLine="480"/>
              <w:jc w:val="center"/>
              <w:rPr>
                <w:rFonts w:hint="eastAsia" w:ascii="宋体" w:hAnsi="宋体" w:eastAsia="宋体" w:cs="宋体"/>
                <w:color w:val="auto"/>
                <w:highlight w:val="none"/>
              </w:rPr>
            </w:pPr>
          </w:p>
        </w:tc>
        <w:tc>
          <w:tcPr>
            <w:tcW w:w="2419" w:type="dxa"/>
          </w:tcPr>
          <w:p>
            <w:pPr>
              <w:spacing w:line="360" w:lineRule="auto"/>
              <w:ind w:right="-94" w:rightChars="-39" w:firstLine="480"/>
              <w:jc w:val="center"/>
              <w:rPr>
                <w:rFonts w:hint="eastAsia" w:ascii="宋体" w:hAnsi="宋体" w:eastAsia="宋体" w:cs="宋体"/>
                <w:color w:val="auto"/>
                <w:highlight w:val="none"/>
              </w:rPr>
            </w:pPr>
          </w:p>
        </w:tc>
        <w:tc>
          <w:tcPr>
            <w:tcW w:w="2419" w:type="dxa"/>
          </w:tcPr>
          <w:p>
            <w:pPr>
              <w:spacing w:line="360" w:lineRule="auto"/>
              <w:ind w:right="-94" w:rightChars="-39" w:firstLine="480"/>
              <w:jc w:val="center"/>
              <w:rPr>
                <w:rFonts w:hint="eastAsia" w:ascii="宋体" w:hAnsi="宋体" w:eastAsia="宋体" w:cs="宋体"/>
                <w:color w:val="auto"/>
                <w:highlight w:val="none"/>
              </w:rPr>
            </w:pPr>
          </w:p>
        </w:tc>
      </w:tr>
    </w:tbl>
    <w:p>
      <w:pPr>
        <w:spacing w:line="360" w:lineRule="auto"/>
        <w:ind w:right="-94" w:rightChars="-39" w:firstLine="482"/>
        <w:rPr>
          <w:rFonts w:hint="eastAsia" w:ascii="宋体" w:hAnsi="宋体" w:eastAsia="宋体" w:cs="宋体"/>
          <w:b/>
          <w:color w:val="auto"/>
          <w:highlight w:val="none"/>
        </w:rPr>
      </w:pPr>
    </w:p>
    <w:p>
      <w:pPr>
        <w:pStyle w:val="2"/>
        <w:ind w:right="-94" w:rightChars="-39" w:firstLine="480"/>
        <w:rPr>
          <w:rFonts w:hint="eastAsia" w:ascii="宋体" w:hAnsi="宋体" w:eastAsia="宋体" w:cs="宋体"/>
          <w:color w:val="auto"/>
          <w:kern w:val="0"/>
          <w:sz w:val="24"/>
          <w:szCs w:val="22"/>
          <w:highlight w:val="none"/>
          <w:lang w:val="en-US"/>
        </w:rPr>
      </w:pPr>
      <w:r>
        <w:rPr>
          <w:rFonts w:hint="eastAsia" w:ascii="宋体" w:hAnsi="宋体" w:eastAsia="宋体" w:cs="宋体"/>
          <w:color w:val="auto"/>
          <w:kern w:val="0"/>
          <w:sz w:val="24"/>
          <w:szCs w:val="22"/>
          <w:highlight w:val="none"/>
          <w:lang w:val="en-US"/>
        </w:rPr>
        <w:t>注：1、本表只填写响应文件中与磋商文件有偏离（包括正偏离和负偏离）的内容，响应文件中商务条款响应与磋商文件要求完全一致的，可以不用在此表中列出。如有偏离条款，请将偏离条款逐条应答，未明确偏离的条款，均视为默认接受，供应商不得因为未作答而拒不接受。</w:t>
      </w:r>
    </w:p>
    <w:p>
      <w:pPr>
        <w:pStyle w:val="2"/>
        <w:ind w:right="-94" w:rightChars="-39" w:firstLine="480"/>
        <w:rPr>
          <w:rFonts w:hint="eastAsia" w:ascii="宋体" w:hAnsi="宋体" w:eastAsia="宋体" w:cs="宋体"/>
          <w:color w:val="auto"/>
          <w:kern w:val="0"/>
          <w:sz w:val="24"/>
          <w:szCs w:val="22"/>
          <w:highlight w:val="none"/>
          <w:lang w:val="en-US"/>
        </w:rPr>
      </w:pPr>
      <w:r>
        <w:rPr>
          <w:rFonts w:hint="eastAsia" w:ascii="宋体" w:hAnsi="宋体" w:eastAsia="宋体" w:cs="宋体"/>
          <w:color w:val="auto"/>
          <w:kern w:val="0"/>
          <w:sz w:val="24"/>
          <w:szCs w:val="22"/>
          <w:highlight w:val="none"/>
          <w:lang w:val="en-US"/>
        </w:rPr>
        <w:t>2、供应商不得虚假响应，否则一切责任由供应商承担。</w:t>
      </w:r>
    </w:p>
    <w:p>
      <w:pPr>
        <w:pStyle w:val="2"/>
        <w:ind w:right="-94" w:rightChars="-39" w:firstLine="420"/>
        <w:rPr>
          <w:rFonts w:hint="eastAsia" w:ascii="宋体" w:hAnsi="宋体" w:eastAsia="宋体" w:cs="宋体"/>
          <w:color w:val="auto"/>
          <w:kern w:val="0"/>
          <w:sz w:val="21"/>
          <w:szCs w:val="20"/>
          <w:highlight w:val="none"/>
        </w:rPr>
      </w:pPr>
    </w:p>
    <w:p>
      <w:pPr>
        <w:autoSpaceDE w:val="0"/>
        <w:autoSpaceDN w:val="0"/>
        <w:adjustRightInd w:val="0"/>
        <w:spacing w:line="360" w:lineRule="auto"/>
        <w:ind w:right="-94" w:rightChars="-39" w:firstLine="240" w:firstLineChars="100"/>
        <w:jc w:val="left"/>
        <w:rPr>
          <w:rFonts w:hint="eastAsia" w:ascii="宋体" w:hAnsi="宋体" w:eastAsia="宋体" w:cs="宋体"/>
          <w:color w:val="auto"/>
          <w:highlight w:val="none"/>
        </w:rPr>
      </w:pPr>
      <w:r>
        <w:rPr>
          <w:rFonts w:hint="eastAsia" w:ascii="宋体" w:hAnsi="宋体" w:eastAsia="宋体" w:cs="宋体"/>
          <w:color w:val="auto"/>
          <w:highlight w:val="none"/>
        </w:rPr>
        <w:t>供应商名称（盖单位公章）：</w:t>
      </w:r>
      <w:r>
        <w:rPr>
          <w:rFonts w:hint="eastAsia" w:ascii="宋体" w:hAnsi="宋体" w:eastAsia="宋体" w:cs="宋体"/>
          <w:color w:val="auto"/>
          <w:highlight w:val="none"/>
          <w:u w:val="single"/>
        </w:rPr>
        <w:t xml:space="preserve">                     </w:t>
      </w:r>
    </w:p>
    <w:p>
      <w:pPr>
        <w:autoSpaceDE w:val="0"/>
        <w:autoSpaceDN w:val="0"/>
        <w:adjustRightInd w:val="0"/>
        <w:spacing w:line="360" w:lineRule="auto"/>
        <w:ind w:right="-94" w:rightChars="-39" w:firstLine="240" w:firstLineChars="100"/>
        <w:rPr>
          <w:rFonts w:hint="eastAsia" w:ascii="宋体" w:hAnsi="宋体" w:eastAsia="宋体" w:cs="宋体"/>
          <w:color w:val="auto"/>
          <w:highlight w:val="none"/>
        </w:rPr>
      </w:pPr>
      <w:r>
        <w:rPr>
          <w:rFonts w:hint="eastAsia" w:ascii="宋体" w:hAnsi="宋体" w:eastAsia="宋体" w:cs="宋体"/>
          <w:color w:val="auto"/>
          <w:highlight w:val="none"/>
        </w:rPr>
        <w:t>法定代表人或授权代表（签字或加盖个人签名章）：</w:t>
      </w:r>
      <w:r>
        <w:rPr>
          <w:rFonts w:hint="eastAsia" w:ascii="宋体" w:hAnsi="宋体" w:eastAsia="宋体" w:cs="宋体"/>
          <w:color w:val="auto"/>
          <w:highlight w:val="none"/>
          <w:u w:val="single"/>
        </w:rPr>
        <w:t xml:space="preserve">           </w:t>
      </w:r>
    </w:p>
    <w:p>
      <w:pPr>
        <w:autoSpaceDE w:val="0"/>
        <w:autoSpaceDN w:val="0"/>
        <w:adjustRightInd w:val="0"/>
        <w:spacing w:line="360" w:lineRule="auto"/>
        <w:ind w:right="-94" w:rightChars="-39" w:firstLine="240" w:firstLineChars="100"/>
        <w:rPr>
          <w:rFonts w:hint="eastAsia" w:ascii="宋体" w:hAnsi="宋体" w:eastAsia="宋体" w:cs="宋体"/>
          <w:color w:val="auto"/>
          <w:highlight w:val="non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日 </w:t>
      </w:r>
    </w:p>
    <w:p>
      <w:pPr>
        <w:pStyle w:val="19"/>
        <w:tabs>
          <w:tab w:val="left" w:pos="0"/>
        </w:tabs>
        <w:spacing w:line="360" w:lineRule="auto"/>
        <w:ind w:left="480" w:right="-94" w:rightChars="-39" w:firstLine="480"/>
        <w:jc w:val="center"/>
        <w:rPr>
          <w:rFonts w:hint="eastAsia" w:ascii="宋体" w:hAnsi="宋体" w:eastAsia="宋体" w:cs="宋体"/>
          <w:color w:val="auto"/>
          <w:highlight w:val="none"/>
        </w:rPr>
      </w:pPr>
    </w:p>
    <w:p>
      <w:pPr>
        <w:pStyle w:val="19"/>
        <w:tabs>
          <w:tab w:val="left" w:pos="0"/>
        </w:tabs>
        <w:spacing w:line="360" w:lineRule="auto"/>
        <w:ind w:left="480" w:right="-94" w:rightChars="-39" w:firstLine="480"/>
        <w:jc w:val="center"/>
        <w:rPr>
          <w:rFonts w:hint="eastAsia" w:ascii="宋体" w:hAnsi="宋体" w:eastAsia="宋体" w:cs="宋体"/>
          <w:color w:val="auto"/>
          <w:highlight w:val="none"/>
        </w:rPr>
      </w:pPr>
    </w:p>
    <w:p>
      <w:pPr>
        <w:adjustRightInd w:val="0"/>
        <w:spacing w:line="360" w:lineRule="auto"/>
        <w:ind w:right="-94" w:rightChars="-39" w:firstLine="560"/>
        <w:jc w:val="left"/>
        <w:rPr>
          <w:rFonts w:hint="eastAsia" w:ascii="宋体" w:hAnsi="宋体" w:eastAsia="宋体" w:cs="宋体"/>
          <w:color w:val="auto"/>
          <w:sz w:val="28"/>
          <w:highlight w:val="none"/>
        </w:rPr>
        <w:sectPr>
          <w:pgSz w:w="11906" w:h="16838"/>
          <w:pgMar w:top="1417" w:right="1800" w:bottom="1417" w:left="1800" w:header="567" w:footer="788" w:gutter="0"/>
          <w:pgNumType w:fmt="decimal"/>
          <w:cols w:space="0" w:num="1"/>
          <w:docGrid w:linePitch="326" w:charSpace="0"/>
        </w:sectPr>
      </w:pPr>
    </w:p>
    <w:p>
      <w:pPr>
        <w:widowControl/>
        <w:spacing w:line="360" w:lineRule="auto"/>
        <w:ind w:right="-94" w:rightChars="-39" w:firstLine="2249" w:firstLineChars="700"/>
        <w:jc w:val="left"/>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lang w:val="en-US" w:eastAsia="zh-CN"/>
        </w:rPr>
        <w:t>六</w:t>
      </w:r>
      <w:r>
        <w:rPr>
          <w:rFonts w:hint="eastAsia" w:ascii="宋体" w:hAnsi="宋体" w:eastAsia="宋体" w:cs="宋体"/>
          <w:b/>
          <w:bCs/>
          <w:color w:val="auto"/>
          <w:sz w:val="32"/>
          <w:highlight w:val="none"/>
          <w:lang w:val="en-US"/>
        </w:rPr>
        <w:t>、供应</w:t>
      </w:r>
      <w:r>
        <w:rPr>
          <w:rFonts w:hint="eastAsia" w:ascii="宋体" w:hAnsi="宋体" w:eastAsia="宋体" w:cs="宋体"/>
          <w:b/>
          <w:bCs/>
          <w:color w:val="auto"/>
          <w:sz w:val="32"/>
          <w:highlight w:val="none"/>
        </w:rPr>
        <w:t>商类似项目业绩一览表</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项目名称：</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项目编号:</w:t>
      </w:r>
    </w:p>
    <w:tbl>
      <w:tblPr>
        <w:tblStyle w:val="30"/>
        <w:tblW w:w="90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8"/>
        <w:gridCol w:w="1439"/>
        <w:gridCol w:w="1319"/>
        <w:gridCol w:w="1160"/>
        <w:gridCol w:w="1415"/>
        <w:gridCol w:w="6"/>
        <w:gridCol w:w="1599"/>
        <w:gridCol w:w="15"/>
        <w:gridCol w:w="1377"/>
        <w:gridCol w:w="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tcBorders>
              <w:top w:val="single" w:color="auto" w:sz="4" w:space="0"/>
            </w:tcBorders>
            <w:vAlign w:val="center"/>
          </w:tcPr>
          <w:p>
            <w:pPr>
              <w:spacing w:line="360" w:lineRule="auto"/>
              <w:ind w:right="-94" w:rightChars="-39" w:firstLine="0" w:firstLineChars="0"/>
              <w:jc w:val="center"/>
              <w:rPr>
                <w:rFonts w:hint="eastAsia" w:ascii="宋体" w:hAnsi="宋体" w:eastAsia="宋体" w:cs="宋体"/>
                <w:b/>
                <w:color w:val="auto"/>
                <w:sz w:val="21"/>
                <w:highlight w:val="none"/>
              </w:rPr>
            </w:pPr>
            <w:r>
              <w:rPr>
                <w:rFonts w:hint="eastAsia" w:ascii="宋体" w:hAnsi="宋体" w:eastAsia="宋体" w:cs="宋体"/>
                <w:b/>
                <w:color w:val="auto"/>
                <w:sz w:val="21"/>
                <w:highlight w:val="none"/>
              </w:rPr>
              <w:t>年份</w:t>
            </w:r>
          </w:p>
        </w:tc>
        <w:tc>
          <w:tcPr>
            <w:tcW w:w="1439" w:type="dxa"/>
            <w:vAlign w:val="center"/>
          </w:tcPr>
          <w:p>
            <w:pPr>
              <w:spacing w:line="360" w:lineRule="auto"/>
              <w:ind w:right="-94" w:rightChars="-39" w:firstLine="0" w:firstLineChars="0"/>
              <w:jc w:val="center"/>
              <w:rPr>
                <w:rFonts w:hint="eastAsia" w:ascii="宋体" w:hAnsi="宋体" w:eastAsia="宋体" w:cs="宋体"/>
                <w:b/>
                <w:color w:val="auto"/>
                <w:sz w:val="21"/>
                <w:highlight w:val="none"/>
              </w:rPr>
            </w:pPr>
            <w:r>
              <w:rPr>
                <w:rFonts w:hint="eastAsia" w:ascii="宋体" w:hAnsi="宋体" w:eastAsia="宋体" w:cs="宋体"/>
                <w:b/>
                <w:color w:val="auto"/>
                <w:sz w:val="21"/>
                <w:highlight w:val="none"/>
              </w:rPr>
              <w:t>用户名称</w:t>
            </w:r>
          </w:p>
        </w:tc>
        <w:tc>
          <w:tcPr>
            <w:tcW w:w="1319" w:type="dxa"/>
            <w:vAlign w:val="center"/>
          </w:tcPr>
          <w:p>
            <w:pPr>
              <w:spacing w:line="360" w:lineRule="auto"/>
              <w:ind w:right="-94" w:rightChars="-39" w:firstLine="0" w:firstLineChars="0"/>
              <w:jc w:val="center"/>
              <w:rPr>
                <w:rFonts w:hint="eastAsia" w:ascii="宋体" w:hAnsi="宋体" w:eastAsia="宋体" w:cs="宋体"/>
                <w:b/>
                <w:color w:val="auto"/>
                <w:sz w:val="21"/>
                <w:highlight w:val="none"/>
              </w:rPr>
            </w:pPr>
            <w:r>
              <w:rPr>
                <w:rFonts w:hint="eastAsia" w:ascii="宋体" w:hAnsi="宋体" w:eastAsia="宋体" w:cs="宋体"/>
                <w:b/>
                <w:color w:val="auto"/>
                <w:sz w:val="21"/>
                <w:highlight w:val="none"/>
              </w:rPr>
              <w:t>项目名称</w:t>
            </w:r>
          </w:p>
        </w:tc>
        <w:tc>
          <w:tcPr>
            <w:tcW w:w="1160" w:type="dxa"/>
            <w:vAlign w:val="center"/>
          </w:tcPr>
          <w:p>
            <w:pPr>
              <w:spacing w:line="360" w:lineRule="auto"/>
              <w:ind w:right="-94" w:rightChars="-39" w:firstLine="0" w:firstLineChars="0"/>
              <w:jc w:val="center"/>
              <w:rPr>
                <w:rFonts w:hint="eastAsia" w:ascii="宋体" w:hAnsi="宋体" w:eastAsia="宋体" w:cs="宋体"/>
                <w:b/>
                <w:color w:val="auto"/>
                <w:sz w:val="21"/>
                <w:highlight w:val="none"/>
              </w:rPr>
            </w:pPr>
            <w:r>
              <w:rPr>
                <w:rFonts w:hint="eastAsia" w:ascii="宋体" w:hAnsi="宋体" w:eastAsia="宋体" w:cs="宋体"/>
                <w:b/>
                <w:color w:val="auto"/>
                <w:sz w:val="21"/>
                <w:highlight w:val="none"/>
              </w:rPr>
              <w:t>完成时间</w:t>
            </w:r>
          </w:p>
        </w:tc>
        <w:tc>
          <w:tcPr>
            <w:tcW w:w="1421" w:type="dxa"/>
            <w:gridSpan w:val="2"/>
            <w:vAlign w:val="center"/>
          </w:tcPr>
          <w:p>
            <w:pPr>
              <w:spacing w:line="360" w:lineRule="auto"/>
              <w:ind w:right="-94" w:rightChars="-39" w:firstLine="0" w:firstLineChars="0"/>
              <w:jc w:val="center"/>
              <w:rPr>
                <w:rFonts w:hint="eastAsia" w:ascii="宋体" w:hAnsi="宋体" w:eastAsia="宋体" w:cs="宋体"/>
                <w:b/>
                <w:color w:val="auto"/>
                <w:sz w:val="21"/>
                <w:highlight w:val="none"/>
              </w:rPr>
            </w:pPr>
            <w:r>
              <w:rPr>
                <w:rFonts w:hint="eastAsia" w:ascii="宋体" w:hAnsi="宋体" w:eastAsia="宋体" w:cs="宋体"/>
                <w:b/>
                <w:color w:val="auto"/>
                <w:sz w:val="21"/>
                <w:highlight w:val="none"/>
              </w:rPr>
              <w:t>合同金额</w:t>
            </w:r>
          </w:p>
        </w:tc>
        <w:tc>
          <w:tcPr>
            <w:tcW w:w="1614" w:type="dxa"/>
            <w:gridSpan w:val="2"/>
            <w:tcBorders>
              <w:right w:val="single" w:color="auto" w:sz="4" w:space="0"/>
            </w:tcBorders>
            <w:vAlign w:val="center"/>
          </w:tcPr>
          <w:p>
            <w:pPr>
              <w:spacing w:line="360" w:lineRule="auto"/>
              <w:ind w:right="-94" w:rightChars="-39" w:firstLine="0" w:firstLineChars="0"/>
              <w:jc w:val="center"/>
              <w:rPr>
                <w:rFonts w:hint="eastAsia" w:ascii="宋体" w:hAnsi="宋体" w:eastAsia="宋体" w:cs="宋体"/>
                <w:b/>
                <w:color w:val="auto"/>
                <w:sz w:val="21"/>
                <w:highlight w:val="none"/>
              </w:rPr>
            </w:pPr>
            <w:r>
              <w:rPr>
                <w:rFonts w:hint="eastAsia" w:ascii="宋体" w:hAnsi="宋体" w:eastAsia="宋体" w:cs="宋体"/>
                <w:b/>
                <w:color w:val="auto"/>
                <w:sz w:val="21"/>
                <w:highlight w:val="none"/>
              </w:rPr>
              <w:t>是否通过验收</w:t>
            </w:r>
          </w:p>
        </w:tc>
        <w:tc>
          <w:tcPr>
            <w:tcW w:w="1387" w:type="dxa"/>
            <w:gridSpan w:val="2"/>
            <w:tcBorders>
              <w:left w:val="single" w:color="auto" w:sz="4" w:space="0"/>
            </w:tcBorders>
            <w:vAlign w:val="center"/>
          </w:tcPr>
          <w:p>
            <w:pPr>
              <w:spacing w:line="360" w:lineRule="auto"/>
              <w:ind w:right="-94" w:rightChars="-39" w:firstLine="0" w:firstLineChars="0"/>
              <w:jc w:val="center"/>
              <w:rPr>
                <w:rFonts w:hint="eastAsia" w:ascii="宋体" w:hAnsi="宋体" w:eastAsia="宋体" w:cs="宋体"/>
                <w:b/>
                <w:color w:val="auto"/>
                <w:sz w:val="21"/>
                <w:highlight w:val="none"/>
              </w:rPr>
            </w:pPr>
            <w:r>
              <w:rPr>
                <w:rFonts w:hint="eastAsia" w:ascii="宋体" w:hAnsi="宋体" w:eastAsia="宋体" w:cs="宋体"/>
                <w:b/>
                <w:color w:val="auto"/>
                <w:sz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360" w:lineRule="auto"/>
              <w:ind w:right="-94" w:rightChars="-39" w:firstLine="480"/>
              <w:jc w:val="center"/>
              <w:rPr>
                <w:rFonts w:hint="eastAsia" w:ascii="宋体" w:hAnsi="宋体" w:eastAsia="宋体" w:cs="宋体"/>
                <w:color w:val="auto"/>
                <w:highlight w:val="none"/>
              </w:rPr>
            </w:pPr>
          </w:p>
        </w:tc>
        <w:tc>
          <w:tcPr>
            <w:tcW w:w="1439" w:type="dxa"/>
            <w:vAlign w:val="center"/>
          </w:tcPr>
          <w:p>
            <w:pPr>
              <w:spacing w:line="360" w:lineRule="auto"/>
              <w:ind w:right="-94" w:rightChars="-39" w:firstLine="480"/>
              <w:jc w:val="center"/>
              <w:rPr>
                <w:rFonts w:hint="eastAsia" w:ascii="宋体" w:hAnsi="宋体" w:eastAsia="宋体" w:cs="宋体"/>
                <w:color w:val="auto"/>
                <w:highlight w:val="none"/>
              </w:rPr>
            </w:pPr>
          </w:p>
        </w:tc>
        <w:tc>
          <w:tcPr>
            <w:tcW w:w="1319" w:type="dxa"/>
            <w:vAlign w:val="center"/>
          </w:tcPr>
          <w:p>
            <w:pPr>
              <w:spacing w:line="360" w:lineRule="auto"/>
              <w:ind w:right="-94" w:rightChars="-39" w:firstLine="480"/>
              <w:jc w:val="center"/>
              <w:rPr>
                <w:rFonts w:hint="eastAsia" w:ascii="宋体" w:hAnsi="宋体" w:eastAsia="宋体" w:cs="宋体"/>
                <w:color w:val="auto"/>
                <w:highlight w:val="none"/>
              </w:rPr>
            </w:pPr>
          </w:p>
        </w:tc>
        <w:tc>
          <w:tcPr>
            <w:tcW w:w="1160" w:type="dxa"/>
            <w:vAlign w:val="center"/>
          </w:tcPr>
          <w:p>
            <w:pPr>
              <w:spacing w:line="360" w:lineRule="auto"/>
              <w:ind w:right="-94" w:rightChars="-39" w:firstLine="480"/>
              <w:jc w:val="center"/>
              <w:rPr>
                <w:rFonts w:hint="eastAsia" w:ascii="宋体" w:hAnsi="宋体" w:eastAsia="宋体" w:cs="宋体"/>
                <w:color w:val="auto"/>
                <w:highlight w:val="none"/>
              </w:rPr>
            </w:pPr>
          </w:p>
        </w:tc>
        <w:tc>
          <w:tcPr>
            <w:tcW w:w="1421" w:type="dxa"/>
            <w:gridSpan w:val="2"/>
            <w:vAlign w:val="center"/>
          </w:tcPr>
          <w:p>
            <w:pPr>
              <w:spacing w:line="360" w:lineRule="auto"/>
              <w:ind w:right="-94" w:rightChars="-39" w:firstLine="480"/>
              <w:jc w:val="center"/>
              <w:rPr>
                <w:rFonts w:hint="eastAsia" w:ascii="宋体" w:hAnsi="宋体" w:eastAsia="宋体" w:cs="宋体"/>
                <w:color w:val="auto"/>
                <w:highlight w:val="none"/>
              </w:rPr>
            </w:pPr>
          </w:p>
        </w:tc>
        <w:tc>
          <w:tcPr>
            <w:tcW w:w="1614" w:type="dxa"/>
            <w:gridSpan w:val="2"/>
            <w:tcBorders>
              <w:righ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387" w:type="dxa"/>
            <w:gridSpan w:val="2"/>
            <w:tcBorders>
              <w:lef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360" w:lineRule="auto"/>
              <w:ind w:right="-94" w:rightChars="-39" w:firstLine="480"/>
              <w:jc w:val="center"/>
              <w:rPr>
                <w:rFonts w:hint="eastAsia" w:ascii="宋体" w:hAnsi="宋体" w:eastAsia="宋体" w:cs="宋体"/>
                <w:color w:val="auto"/>
                <w:highlight w:val="none"/>
              </w:rPr>
            </w:pPr>
          </w:p>
        </w:tc>
        <w:tc>
          <w:tcPr>
            <w:tcW w:w="1439" w:type="dxa"/>
            <w:vAlign w:val="center"/>
          </w:tcPr>
          <w:p>
            <w:pPr>
              <w:spacing w:line="360" w:lineRule="auto"/>
              <w:ind w:right="-94" w:rightChars="-39" w:firstLine="480"/>
              <w:jc w:val="center"/>
              <w:rPr>
                <w:rFonts w:hint="eastAsia" w:ascii="宋体" w:hAnsi="宋体" w:eastAsia="宋体" w:cs="宋体"/>
                <w:color w:val="auto"/>
                <w:highlight w:val="none"/>
              </w:rPr>
            </w:pPr>
          </w:p>
        </w:tc>
        <w:tc>
          <w:tcPr>
            <w:tcW w:w="1319" w:type="dxa"/>
            <w:vAlign w:val="center"/>
          </w:tcPr>
          <w:p>
            <w:pPr>
              <w:spacing w:line="360" w:lineRule="auto"/>
              <w:ind w:right="-94" w:rightChars="-39" w:firstLine="480"/>
              <w:jc w:val="center"/>
              <w:rPr>
                <w:rFonts w:hint="eastAsia" w:ascii="宋体" w:hAnsi="宋体" w:eastAsia="宋体" w:cs="宋体"/>
                <w:color w:val="auto"/>
                <w:highlight w:val="none"/>
              </w:rPr>
            </w:pPr>
          </w:p>
        </w:tc>
        <w:tc>
          <w:tcPr>
            <w:tcW w:w="1160" w:type="dxa"/>
            <w:vAlign w:val="center"/>
          </w:tcPr>
          <w:p>
            <w:pPr>
              <w:spacing w:line="360" w:lineRule="auto"/>
              <w:ind w:right="-94" w:rightChars="-39" w:firstLine="480"/>
              <w:jc w:val="center"/>
              <w:rPr>
                <w:rFonts w:hint="eastAsia" w:ascii="宋体" w:hAnsi="宋体" w:eastAsia="宋体" w:cs="宋体"/>
                <w:color w:val="auto"/>
                <w:highlight w:val="none"/>
              </w:rPr>
            </w:pPr>
          </w:p>
        </w:tc>
        <w:tc>
          <w:tcPr>
            <w:tcW w:w="1421" w:type="dxa"/>
            <w:gridSpan w:val="2"/>
            <w:vAlign w:val="center"/>
          </w:tcPr>
          <w:p>
            <w:pPr>
              <w:spacing w:line="360" w:lineRule="auto"/>
              <w:ind w:right="-94" w:rightChars="-39" w:firstLine="480"/>
              <w:jc w:val="center"/>
              <w:rPr>
                <w:rFonts w:hint="eastAsia" w:ascii="宋体" w:hAnsi="宋体" w:eastAsia="宋体" w:cs="宋体"/>
                <w:color w:val="auto"/>
                <w:highlight w:val="none"/>
              </w:rPr>
            </w:pPr>
          </w:p>
        </w:tc>
        <w:tc>
          <w:tcPr>
            <w:tcW w:w="1614" w:type="dxa"/>
            <w:gridSpan w:val="2"/>
            <w:tcBorders>
              <w:righ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387" w:type="dxa"/>
            <w:gridSpan w:val="2"/>
            <w:tcBorders>
              <w:lef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360" w:lineRule="auto"/>
              <w:ind w:right="-94" w:rightChars="-39" w:firstLine="480"/>
              <w:jc w:val="center"/>
              <w:rPr>
                <w:rFonts w:hint="eastAsia" w:ascii="宋体" w:hAnsi="宋体" w:eastAsia="宋体" w:cs="宋体"/>
                <w:color w:val="auto"/>
                <w:highlight w:val="none"/>
              </w:rPr>
            </w:pPr>
          </w:p>
        </w:tc>
        <w:tc>
          <w:tcPr>
            <w:tcW w:w="1439" w:type="dxa"/>
            <w:vAlign w:val="center"/>
          </w:tcPr>
          <w:p>
            <w:pPr>
              <w:spacing w:line="360" w:lineRule="auto"/>
              <w:ind w:right="-94" w:rightChars="-39" w:firstLine="480"/>
              <w:jc w:val="center"/>
              <w:rPr>
                <w:rFonts w:hint="eastAsia" w:ascii="宋体" w:hAnsi="宋体" w:eastAsia="宋体" w:cs="宋体"/>
                <w:color w:val="auto"/>
                <w:highlight w:val="none"/>
              </w:rPr>
            </w:pPr>
          </w:p>
        </w:tc>
        <w:tc>
          <w:tcPr>
            <w:tcW w:w="1319" w:type="dxa"/>
            <w:vAlign w:val="center"/>
          </w:tcPr>
          <w:p>
            <w:pPr>
              <w:spacing w:line="360" w:lineRule="auto"/>
              <w:ind w:right="-94" w:rightChars="-39" w:firstLine="480"/>
              <w:jc w:val="center"/>
              <w:rPr>
                <w:rFonts w:hint="eastAsia" w:ascii="宋体" w:hAnsi="宋体" w:eastAsia="宋体" w:cs="宋体"/>
                <w:color w:val="auto"/>
                <w:highlight w:val="none"/>
              </w:rPr>
            </w:pPr>
          </w:p>
        </w:tc>
        <w:tc>
          <w:tcPr>
            <w:tcW w:w="1160" w:type="dxa"/>
            <w:vAlign w:val="center"/>
          </w:tcPr>
          <w:p>
            <w:pPr>
              <w:spacing w:line="360" w:lineRule="auto"/>
              <w:ind w:right="-94" w:rightChars="-39" w:firstLine="480"/>
              <w:jc w:val="center"/>
              <w:rPr>
                <w:rFonts w:hint="eastAsia" w:ascii="宋体" w:hAnsi="宋体" w:eastAsia="宋体" w:cs="宋体"/>
                <w:color w:val="auto"/>
                <w:highlight w:val="none"/>
              </w:rPr>
            </w:pPr>
          </w:p>
        </w:tc>
        <w:tc>
          <w:tcPr>
            <w:tcW w:w="1421" w:type="dxa"/>
            <w:gridSpan w:val="2"/>
            <w:vAlign w:val="center"/>
          </w:tcPr>
          <w:p>
            <w:pPr>
              <w:spacing w:line="360" w:lineRule="auto"/>
              <w:ind w:right="-94" w:rightChars="-39" w:firstLine="480"/>
              <w:jc w:val="center"/>
              <w:rPr>
                <w:rFonts w:hint="eastAsia" w:ascii="宋体" w:hAnsi="宋体" w:eastAsia="宋体" w:cs="宋体"/>
                <w:color w:val="auto"/>
                <w:highlight w:val="none"/>
              </w:rPr>
            </w:pPr>
          </w:p>
        </w:tc>
        <w:tc>
          <w:tcPr>
            <w:tcW w:w="1614" w:type="dxa"/>
            <w:gridSpan w:val="2"/>
            <w:tcBorders>
              <w:righ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387" w:type="dxa"/>
            <w:gridSpan w:val="2"/>
            <w:tcBorders>
              <w:lef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360" w:lineRule="auto"/>
              <w:ind w:right="-94" w:rightChars="-39" w:firstLine="480"/>
              <w:jc w:val="center"/>
              <w:rPr>
                <w:rFonts w:hint="eastAsia" w:ascii="宋体" w:hAnsi="宋体" w:eastAsia="宋体" w:cs="宋体"/>
                <w:color w:val="auto"/>
                <w:highlight w:val="none"/>
              </w:rPr>
            </w:pPr>
          </w:p>
        </w:tc>
        <w:tc>
          <w:tcPr>
            <w:tcW w:w="1439" w:type="dxa"/>
            <w:tcBorders>
              <w:righ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319" w:type="dxa"/>
            <w:tcBorders>
              <w:lef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160" w:type="dxa"/>
            <w:vAlign w:val="center"/>
          </w:tcPr>
          <w:p>
            <w:pPr>
              <w:spacing w:line="360" w:lineRule="auto"/>
              <w:ind w:right="-94" w:rightChars="-39" w:firstLine="480"/>
              <w:jc w:val="center"/>
              <w:rPr>
                <w:rFonts w:hint="eastAsia" w:ascii="宋体" w:hAnsi="宋体" w:eastAsia="宋体" w:cs="宋体"/>
                <w:color w:val="auto"/>
                <w:highlight w:val="none"/>
              </w:rPr>
            </w:pPr>
          </w:p>
        </w:tc>
        <w:tc>
          <w:tcPr>
            <w:tcW w:w="1421" w:type="dxa"/>
            <w:gridSpan w:val="2"/>
            <w:vAlign w:val="center"/>
          </w:tcPr>
          <w:p>
            <w:pPr>
              <w:spacing w:line="360" w:lineRule="auto"/>
              <w:ind w:right="-94" w:rightChars="-39" w:firstLine="480"/>
              <w:jc w:val="center"/>
              <w:rPr>
                <w:rFonts w:hint="eastAsia" w:ascii="宋体" w:hAnsi="宋体" w:eastAsia="宋体" w:cs="宋体"/>
                <w:color w:val="auto"/>
                <w:highlight w:val="none"/>
              </w:rPr>
            </w:pPr>
          </w:p>
        </w:tc>
        <w:tc>
          <w:tcPr>
            <w:tcW w:w="1614" w:type="dxa"/>
            <w:gridSpan w:val="2"/>
            <w:tcBorders>
              <w:righ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387" w:type="dxa"/>
            <w:gridSpan w:val="2"/>
            <w:tcBorders>
              <w:lef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0" w:type="dxa"/>
          <w:cantSplit/>
          <w:trHeight w:val="600" w:hRule="atLeast"/>
          <w:jc w:val="center"/>
        </w:trPr>
        <w:tc>
          <w:tcPr>
            <w:tcW w:w="718" w:type="dxa"/>
            <w:tcBorders>
              <w:right w:val="single" w:color="auto" w:sz="4" w:space="0"/>
            </w:tcBorders>
            <w:vAlign w:val="center"/>
          </w:tcPr>
          <w:p>
            <w:pPr>
              <w:spacing w:line="360" w:lineRule="auto"/>
              <w:ind w:right="-94" w:rightChars="-39" w:firstLine="480"/>
              <w:rPr>
                <w:rFonts w:hint="eastAsia" w:ascii="宋体" w:hAnsi="宋体" w:eastAsia="宋体" w:cs="宋体"/>
                <w:color w:val="auto"/>
                <w:highlight w:val="none"/>
              </w:rPr>
            </w:pPr>
          </w:p>
        </w:tc>
        <w:tc>
          <w:tcPr>
            <w:tcW w:w="1439" w:type="dxa"/>
            <w:tcBorders>
              <w:left w:val="single" w:color="auto" w:sz="4" w:space="0"/>
              <w:right w:val="single" w:color="auto" w:sz="4" w:space="0"/>
            </w:tcBorders>
            <w:vAlign w:val="center"/>
          </w:tcPr>
          <w:p>
            <w:pPr>
              <w:spacing w:line="360" w:lineRule="auto"/>
              <w:ind w:right="-94" w:rightChars="-39" w:firstLine="480"/>
              <w:rPr>
                <w:rFonts w:hint="eastAsia" w:ascii="宋体" w:hAnsi="宋体" w:eastAsia="宋体" w:cs="宋体"/>
                <w:color w:val="auto"/>
                <w:highlight w:val="none"/>
              </w:rPr>
            </w:pPr>
          </w:p>
        </w:tc>
        <w:tc>
          <w:tcPr>
            <w:tcW w:w="1319" w:type="dxa"/>
            <w:tcBorders>
              <w:left w:val="single" w:color="auto" w:sz="4" w:space="0"/>
              <w:right w:val="single" w:color="auto" w:sz="4" w:space="0"/>
            </w:tcBorders>
            <w:vAlign w:val="center"/>
          </w:tcPr>
          <w:p>
            <w:pPr>
              <w:spacing w:line="360" w:lineRule="auto"/>
              <w:ind w:right="-94" w:rightChars="-39" w:firstLine="480"/>
              <w:rPr>
                <w:rFonts w:hint="eastAsia" w:ascii="宋体" w:hAnsi="宋体" w:eastAsia="宋体" w:cs="宋体"/>
                <w:color w:val="auto"/>
                <w:highlight w:val="none"/>
              </w:rPr>
            </w:pPr>
          </w:p>
        </w:tc>
        <w:tc>
          <w:tcPr>
            <w:tcW w:w="1160" w:type="dxa"/>
            <w:tcBorders>
              <w:left w:val="single" w:color="auto" w:sz="4" w:space="0"/>
              <w:right w:val="single" w:color="auto" w:sz="4" w:space="0"/>
            </w:tcBorders>
            <w:vAlign w:val="center"/>
          </w:tcPr>
          <w:p>
            <w:pPr>
              <w:spacing w:line="360" w:lineRule="auto"/>
              <w:ind w:right="-94" w:rightChars="-39" w:firstLine="480"/>
              <w:rPr>
                <w:rFonts w:hint="eastAsia" w:ascii="宋体" w:hAnsi="宋体" w:eastAsia="宋体" w:cs="宋体"/>
                <w:color w:val="auto"/>
                <w:highlight w:val="none"/>
              </w:rPr>
            </w:pPr>
          </w:p>
        </w:tc>
        <w:tc>
          <w:tcPr>
            <w:tcW w:w="1415" w:type="dxa"/>
            <w:tcBorders>
              <w:left w:val="single" w:color="auto" w:sz="4" w:space="0"/>
              <w:right w:val="single" w:color="auto" w:sz="4" w:space="0"/>
            </w:tcBorders>
            <w:vAlign w:val="center"/>
          </w:tcPr>
          <w:p>
            <w:pPr>
              <w:spacing w:line="360" w:lineRule="auto"/>
              <w:ind w:right="-94" w:rightChars="-39" w:firstLine="480"/>
              <w:rPr>
                <w:rFonts w:hint="eastAsia" w:ascii="宋体" w:hAnsi="宋体" w:eastAsia="宋体" w:cs="宋体"/>
                <w:color w:val="auto"/>
                <w:highlight w:val="none"/>
              </w:rPr>
            </w:pPr>
          </w:p>
        </w:tc>
        <w:tc>
          <w:tcPr>
            <w:tcW w:w="1605" w:type="dxa"/>
            <w:gridSpan w:val="2"/>
            <w:tcBorders>
              <w:left w:val="single" w:color="auto" w:sz="4" w:space="0"/>
              <w:right w:val="single" w:color="auto" w:sz="4" w:space="0"/>
            </w:tcBorders>
            <w:vAlign w:val="center"/>
          </w:tcPr>
          <w:p>
            <w:pPr>
              <w:spacing w:line="360" w:lineRule="auto"/>
              <w:ind w:right="-94" w:rightChars="-39" w:firstLine="480"/>
              <w:rPr>
                <w:rFonts w:hint="eastAsia" w:ascii="宋体" w:hAnsi="宋体" w:eastAsia="宋体" w:cs="宋体"/>
                <w:color w:val="auto"/>
                <w:highlight w:val="none"/>
              </w:rPr>
            </w:pPr>
          </w:p>
        </w:tc>
        <w:tc>
          <w:tcPr>
            <w:tcW w:w="1392" w:type="dxa"/>
            <w:gridSpan w:val="2"/>
            <w:tcBorders>
              <w:left w:val="single" w:color="auto" w:sz="4" w:space="0"/>
            </w:tcBorders>
            <w:vAlign w:val="center"/>
          </w:tcPr>
          <w:p>
            <w:pPr>
              <w:spacing w:line="360" w:lineRule="auto"/>
              <w:ind w:right="-94" w:rightChars="-39" w:firstLine="48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360" w:lineRule="auto"/>
              <w:ind w:right="-94" w:rightChars="-39" w:firstLine="480"/>
              <w:rPr>
                <w:rFonts w:hint="eastAsia" w:ascii="宋体" w:hAnsi="宋体" w:eastAsia="宋体" w:cs="宋体"/>
                <w:color w:val="auto"/>
                <w:highlight w:val="none"/>
              </w:rPr>
            </w:pPr>
          </w:p>
        </w:tc>
        <w:tc>
          <w:tcPr>
            <w:tcW w:w="1439" w:type="dxa"/>
            <w:vAlign w:val="center"/>
          </w:tcPr>
          <w:p>
            <w:pPr>
              <w:spacing w:line="360" w:lineRule="auto"/>
              <w:ind w:right="-94" w:rightChars="-39" w:firstLine="480"/>
              <w:rPr>
                <w:rFonts w:hint="eastAsia" w:ascii="宋体" w:hAnsi="宋体" w:eastAsia="宋体" w:cs="宋体"/>
                <w:color w:val="auto"/>
                <w:highlight w:val="none"/>
              </w:rPr>
            </w:pPr>
          </w:p>
        </w:tc>
        <w:tc>
          <w:tcPr>
            <w:tcW w:w="1319" w:type="dxa"/>
            <w:vAlign w:val="center"/>
          </w:tcPr>
          <w:p>
            <w:pPr>
              <w:spacing w:line="360" w:lineRule="auto"/>
              <w:ind w:right="-94" w:rightChars="-39" w:firstLine="480"/>
              <w:rPr>
                <w:rFonts w:hint="eastAsia" w:ascii="宋体" w:hAnsi="宋体" w:eastAsia="宋体" w:cs="宋体"/>
                <w:color w:val="auto"/>
                <w:highlight w:val="none"/>
              </w:rPr>
            </w:pPr>
          </w:p>
        </w:tc>
        <w:tc>
          <w:tcPr>
            <w:tcW w:w="1160" w:type="dxa"/>
            <w:vAlign w:val="center"/>
          </w:tcPr>
          <w:p>
            <w:pPr>
              <w:spacing w:line="360" w:lineRule="auto"/>
              <w:ind w:right="-94" w:rightChars="-39" w:firstLine="480"/>
              <w:rPr>
                <w:rFonts w:hint="eastAsia" w:ascii="宋体" w:hAnsi="宋体" w:eastAsia="宋体" w:cs="宋体"/>
                <w:color w:val="auto"/>
                <w:highlight w:val="none"/>
              </w:rPr>
            </w:pPr>
          </w:p>
        </w:tc>
        <w:tc>
          <w:tcPr>
            <w:tcW w:w="1421" w:type="dxa"/>
            <w:gridSpan w:val="2"/>
            <w:tcBorders>
              <w:right w:val="single" w:color="auto" w:sz="4" w:space="0"/>
            </w:tcBorders>
            <w:vAlign w:val="center"/>
          </w:tcPr>
          <w:p>
            <w:pPr>
              <w:spacing w:line="360" w:lineRule="auto"/>
              <w:ind w:right="-94" w:rightChars="-39" w:firstLine="480"/>
              <w:rPr>
                <w:rFonts w:hint="eastAsia" w:ascii="宋体" w:hAnsi="宋体" w:eastAsia="宋体" w:cs="宋体"/>
                <w:color w:val="auto"/>
                <w:highlight w:val="none"/>
              </w:rPr>
            </w:pPr>
          </w:p>
        </w:tc>
        <w:tc>
          <w:tcPr>
            <w:tcW w:w="1614" w:type="dxa"/>
            <w:gridSpan w:val="2"/>
            <w:tcBorders>
              <w:left w:val="single" w:color="auto" w:sz="4" w:space="0"/>
              <w:right w:val="single" w:color="auto" w:sz="4" w:space="0"/>
            </w:tcBorders>
            <w:vAlign w:val="center"/>
          </w:tcPr>
          <w:p>
            <w:pPr>
              <w:spacing w:line="360" w:lineRule="auto"/>
              <w:ind w:right="-94" w:rightChars="-39" w:firstLine="480"/>
              <w:rPr>
                <w:rFonts w:hint="eastAsia" w:ascii="宋体" w:hAnsi="宋体" w:eastAsia="宋体" w:cs="宋体"/>
                <w:color w:val="auto"/>
                <w:highlight w:val="none"/>
              </w:rPr>
            </w:pPr>
          </w:p>
        </w:tc>
        <w:tc>
          <w:tcPr>
            <w:tcW w:w="1387" w:type="dxa"/>
            <w:gridSpan w:val="2"/>
            <w:tcBorders>
              <w:left w:val="single" w:color="auto" w:sz="4" w:space="0"/>
            </w:tcBorders>
            <w:vAlign w:val="center"/>
          </w:tcPr>
          <w:p>
            <w:pPr>
              <w:spacing w:line="360" w:lineRule="auto"/>
              <w:ind w:right="-94" w:rightChars="-39" w:firstLine="48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360" w:lineRule="auto"/>
              <w:ind w:right="-94" w:rightChars="-39" w:firstLine="480"/>
              <w:jc w:val="center"/>
              <w:rPr>
                <w:rFonts w:hint="eastAsia" w:ascii="宋体" w:hAnsi="宋体" w:eastAsia="宋体" w:cs="宋体"/>
                <w:color w:val="auto"/>
                <w:highlight w:val="none"/>
              </w:rPr>
            </w:pPr>
          </w:p>
        </w:tc>
        <w:tc>
          <w:tcPr>
            <w:tcW w:w="1439" w:type="dxa"/>
            <w:vAlign w:val="center"/>
          </w:tcPr>
          <w:p>
            <w:pPr>
              <w:spacing w:line="360" w:lineRule="auto"/>
              <w:ind w:right="-94" w:rightChars="-39" w:firstLine="480"/>
              <w:jc w:val="center"/>
              <w:rPr>
                <w:rFonts w:hint="eastAsia" w:ascii="宋体" w:hAnsi="宋体" w:eastAsia="宋体" w:cs="宋体"/>
                <w:color w:val="auto"/>
                <w:highlight w:val="none"/>
              </w:rPr>
            </w:pPr>
          </w:p>
        </w:tc>
        <w:tc>
          <w:tcPr>
            <w:tcW w:w="1319" w:type="dxa"/>
            <w:vAlign w:val="center"/>
          </w:tcPr>
          <w:p>
            <w:pPr>
              <w:spacing w:line="360" w:lineRule="auto"/>
              <w:ind w:right="-94" w:rightChars="-39" w:firstLine="480"/>
              <w:jc w:val="center"/>
              <w:rPr>
                <w:rFonts w:hint="eastAsia" w:ascii="宋体" w:hAnsi="宋体" w:eastAsia="宋体" w:cs="宋体"/>
                <w:color w:val="auto"/>
                <w:highlight w:val="none"/>
              </w:rPr>
            </w:pPr>
          </w:p>
        </w:tc>
        <w:tc>
          <w:tcPr>
            <w:tcW w:w="1160" w:type="dxa"/>
            <w:vAlign w:val="center"/>
          </w:tcPr>
          <w:p>
            <w:pPr>
              <w:spacing w:line="360" w:lineRule="auto"/>
              <w:ind w:right="-94" w:rightChars="-39" w:firstLine="480"/>
              <w:jc w:val="center"/>
              <w:rPr>
                <w:rFonts w:hint="eastAsia" w:ascii="宋体" w:hAnsi="宋体" w:eastAsia="宋体" w:cs="宋体"/>
                <w:color w:val="auto"/>
                <w:highlight w:val="none"/>
              </w:rPr>
            </w:pPr>
          </w:p>
        </w:tc>
        <w:tc>
          <w:tcPr>
            <w:tcW w:w="1421" w:type="dxa"/>
            <w:gridSpan w:val="2"/>
            <w:tcBorders>
              <w:righ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614" w:type="dxa"/>
            <w:gridSpan w:val="2"/>
            <w:tcBorders>
              <w:left w:val="single" w:color="auto" w:sz="4" w:space="0"/>
              <w:righ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387" w:type="dxa"/>
            <w:gridSpan w:val="2"/>
            <w:tcBorders>
              <w:lef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360" w:lineRule="auto"/>
              <w:ind w:right="-94" w:rightChars="-39" w:firstLine="480"/>
              <w:jc w:val="center"/>
              <w:rPr>
                <w:rFonts w:hint="eastAsia" w:ascii="宋体" w:hAnsi="宋体" w:eastAsia="宋体" w:cs="宋体"/>
                <w:color w:val="auto"/>
                <w:highlight w:val="none"/>
              </w:rPr>
            </w:pPr>
          </w:p>
        </w:tc>
        <w:tc>
          <w:tcPr>
            <w:tcW w:w="1439" w:type="dxa"/>
            <w:vAlign w:val="center"/>
          </w:tcPr>
          <w:p>
            <w:pPr>
              <w:spacing w:line="360" w:lineRule="auto"/>
              <w:ind w:right="-94" w:rightChars="-39" w:firstLine="480"/>
              <w:jc w:val="center"/>
              <w:rPr>
                <w:rFonts w:hint="eastAsia" w:ascii="宋体" w:hAnsi="宋体" w:eastAsia="宋体" w:cs="宋体"/>
                <w:color w:val="auto"/>
                <w:highlight w:val="none"/>
              </w:rPr>
            </w:pPr>
          </w:p>
        </w:tc>
        <w:tc>
          <w:tcPr>
            <w:tcW w:w="1319" w:type="dxa"/>
            <w:vAlign w:val="center"/>
          </w:tcPr>
          <w:p>
            <w:pPr>
              <w:spacing w:line="360" w:lineRule="auto"/>
              <w:ind w:right="-94" w:rightChars="-39" w:firstLine="480"/>
              <w:jc w:val="center"/>
              <w:rPr>
                <w:rFonts w:hint="eastAsia" w:ascii="宋体" w:hAnsi="宋体" w:eastAsia="宋体" w:cs="宋体"/>
                <w:color w:val="auto"/>
                <w:highlight w:val="none"/>
              </w:rPr>
            </w:pPr>
          </w:p>
        </w:tc>
        <w:tc>
          <w:tcPr>
            <w:tcW w:w="1160" w:type="dxa"/>
            <w:vAlign w:val="center"/>
          </w:tcPr>
          <w:p>
            <w:pPr>
              <w:spacing w:line="360" w:lineRule="auto"/>
              <w:ind w:right="-94" w:rightChars="-39" w:firstLine="480"/>
              <w:jc w:val="center"/>
              <w:rPr>
                <w:rFonts w:hint="eastAsia" w:ascii="宋体" w:hAnsi="宋体" w:eastAsia="宋体" w:cs="宋体"/>
                <w:color w:val="auto"/>
                <w:highlight w:val="none"/>
              </w:rPr>
            </w:pPr>
          </w:p>
        </w:tc>
        <w:tc>
          <w:tcPr>
            <w:tcW w:w="1421" w:type="dxa"/>
            <w:gridSpan w:val="2"/>
            <w:tcBorders>
              <w:righ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614" w:type="dxa"/>
            <w:gridSpan w:val="2"/>
            <w:tcBorders>
              <w:left w:val="single" w:color="auto" w:sz="4" w:space="0"/>
              <w:righ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387" w:type="dxa"/>
            <w:gridSpan w:val="2"/>
            <w:tcBorders>
              <w:lef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18" w:type="dxa"/>
            <w:tcBorders>
              <w:bottom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439" w:type="dxa"/>
            <w:tcBorders>
              <w:bottom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319" w:type="dxa"/>
            <w:tcBorders>
              <w:bottom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160" w:type="dxa"/>
            <w:tcBorders>
              <w:bottom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421" w:type="dxa"/>
            <w:gridSpan w:val="2"/>
            <w:tcBorders>
              <w:bottom w:val="single" w:color="auto" w:sz="4" w:space="0"/>
              <w:righ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614" w:type="dxa"/>
            <w:gridSpan w:val="2"/>
            <w:tcBorders>
              <w:left w:val="single" w:color="auto" w:sz="4" w:space="0"/>
              <w:bottom w:val="single" w:color="auto" w:sz="4" w:space="0"/>
              <w:righ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387" w:type="dxa"/>
            <w:gridSpan w:val="2"/>
            <w:tcBorders>
              <w:left w:val="single" w:color="auto" w:sz="4" w:space="0"/>
              <w:bottom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439" w:type="dxa"/>
            <w:tcBorders>
              <w:top w:val="single" w:color="auto" w:sz="4" w:space="0"/>
              <w:bottom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319" w:type="dxa"/>
            <w:tcBorders>
              <w:top w:val="single" w:color="auto" w:sz="4" w:space="0"/>
              <w:bottom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160" w:type="dxa"/>
            <w:tcBorders>
              <w:top w:val="single" w:color="auto" w:sz="4" w:space="0"/>
              <w:bottom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421" w:type="dxa"/>
            <w:gridSpan w:val="2"/>
            <w:tcBorders>
              <w:top w:val="single" w:color="auto" w:sz="4" w:space="0"/>
              <w:bottom w:val="single" w:color="auto" w:sz="4" w:space="0"/>
              <w:righ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387" w:type="dxa"/>
            <w:gridSpan w:val="2"/>
            <w:tcBorders>
              <w:top w:val="single" w:color="auto" w:sz="4" w:space="0"/>
              <w:left w:val="single" w:color="auto" w:sz="4" w:space="0"/>
              <w:bottom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439" w:type="dxa"/>
            <w:tcBorders>
              <w:top w:val="single" w:color="auto" w:sz="4" w:space="0"/>
              <w:bottom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319" w:type="dxa"/>
            <w:tcBorders>
              <w:top w:val="single" w:color="auto" w:sz="4" w:space="0"/>
              <w:bottom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160" w:type="dxa"/>
            <w:tcBorders>
              <w:top w:val="single" w:color="auto" w:sz="4" w:space="0"/>
              <w:bottom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421" w:type="dxa"/>
            <w:gridSpan w:val="2"/>
            <w:tcBorders>
              <w:top w:val="single" w:color="auto" w:sz="4" w:space="0"/>
              <w:bottom w:val="single" w:color="auto" w:sz="4" w:space="0"/>
              <w:righ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387" w:type="dxa"/>
            <w:gridSpan w:val="2"/>
            <w:tcBorders>
              <w:top w:val="single" w:color="auto" w:sz="4" w:space="0"/>
              <w:left w:val="single" w:color="auto" w:sz="4" w:space="0"/>
              <w:bottom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18" w:type="dxa"/>
            <w:tcBorders>
              <w:top w:val="single" w:color="auto" w:sz="4" w:space="0"/>
              <w:bottom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439" w:type="dxa"/>
            <w:tcBorders>
              <w:top w:val="single" w:color="auto" w:sz="4" w:space="0"/>
              <w:bottom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319" w:type="dxa"/>
            <w:tcBorders>
              <w:top w:val="single" w:color="auto" w:sz="4" w:space="0"/>
              <w:bottom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160" w:type="dxa"/>
            <w:tcBorders>
              <w:top w:val="single" w:color="auto" w:sz="4" w:space="0"/>
              <w:bottom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421" w:type="dxa"/>
            <w:gridSpan w:val="2"/>
            <w:tcBorders>
              <w:top w:val="single" w:color="auto" w:sz="4" w:space="0"/>
              <w:bottom w:val="single" w:color="auto" w:sz="4" w:space="0"/>
              <w:righ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387" w:type="dxa"/>
            <w:gridSpan w:val="2"/>
            <w:tcBorders>
              <w:top w:val="single" w:color="auto" w:sz="4" w:space="0"/>
              <w:left w:val="single" w:color="auto" w:sz="4" w:space="0"/>
              <w:bottom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18" w:type="dxa"/>
            <w:tcBorders>
              <w:top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439" w:type="dxa"/>
            <w:tcBorders>
              <w:top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319" w:type="dxa"/>
            <w:tcBorders>
              <w:top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160" w:type="dxa"/>
            <w:tcBorders>
              <w:top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421" w:type="dxa"/>
            <w:gridSpan w:val="2"/>
            <w:tcBorders>
              <w:top w:val="single" w:color="auto" w:sz="4" w:space="0"/>
              <w:righ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614" w:type="dxa"/>
            <w:gridSpan w:val="2"/>
            <w:tcBorders>
              <w:top w:val="single" w:color="auto" w:sz="4" w:space="0"/>
              <w:left w:val="single" w:color="auto" w:sz="4" w:space="0"/>
              <w:righ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387" w:type="dxa"/>
            <w:gridSpan w:val="2"/>
            <w:tcBorders>
              <w:top w:val="single" w:color="auto" w:sz="4" w:space="0"/>
              <w:lef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r>
    </w:tbl>
    <w:p>
      <w:pPr>
        <w:pStyle w:val="2"/>
        <w:ind w:right="-94" w:rightChars="-39" w:firstLine="420"/>
        <w:rPr>
          <w:rFonts w:hint="eastAsia" w:ascii="宋体" w:hAnsi="宋体" w:eastAsia="宋体" w:cs="宋体"/>
          <w:color w:val="auto"/>
          <w:kern w:val="0"/>
          <w:sz w:val="21"/>
          <w:szCs w:val="20"/>
          <w:highlight w:val="none"/>
        </w:rPr>
      </w:pPr>
      <w:r>
        <w:rPr>
          <w:rFonts w:hint="eastAsia" w:ascii="宋体" w:hAnsi="宋体" w:eastAsia="宋体" w:cs="宋体"/>
          <w:color w:val="auto"/>
          <w:kern w:val="0"/>
          <w:sz w:val="21"/>
          <w:szCs w:val="20"/>
          <w:highlight w:val="none"/>
        </w:rPr>
        <w:t>注：供应商（仅限于供应商自己的）以上业绩需提供有关书面证明材料。如未涉及的内容，用“/”表示。</w:t>
      </w:r>
    </w:p>
    <w:p>
      <w:pPr>
        <w:tabs>
          <w:tab w:val="left" w:pos="555"/>
          <w:tab w:val="left" w:pos="2214"/>
          <w:tab w:val="left" w:pos="3774"/>
          <w:tab w:val="left" w:pos="4854"/>
          <w:tab w:val="left" w:pos="5934"/>
          <w:tab w:val="left" w:pos="7014"/>
          <w:tab w:val="left" w:pos="8214"/>
          <w:tab w:val="left" w:pos="10134"/>
          <w:tab w:val="left" w:pos="11124"/>
        </w:tabs>
        <w:spacing w:line="360" w:lineRule="auto"/>
        <w:ind w:right="-94" w:rightChars="-39" w:firstLine="480"/>
        <w:rPr>
          <w:rFonts w:hint="eastAsia" w:ascii="宋体" w:hAnsi="宋体" w:eastAsia="宋体" w:cs="宋体"/>
          <w:color w:val="auto"/>
          <w:highlight w:val="none"/>
        </w:rPr>
      </w:pPr>
    </w:p>
    <w:p>
      <w:pPr>
        <w:autoSpaceDE w:val="0"/>
        <w:autoSpaceDN w:val="0"/>
        <w:adjustRightInd w:val="0"/>
        <w:spacing w:line="360" w:lineRule="auto"/>
        <w:ind w:right="-94" w:rightChars="-39" w:firstLine="240" w:firstLineChars="100"/>
        <w:jc w:val="left"/>
        <w:rPr>
          <w:rFonts w:hint="eastAsia" w:ascii="宋体" w:hAnsi="宋体" w:eastAsia="宋体" w:cs="宋体"/>
          <w:color w:val="auto"/>
          <w:highlight w:val="none"/>
        </w:rPr>
      </w:pPr>
      <w:r>
        <w:rPr>
          <w:rFonts w:hint="eastAsia" w:ascii="宋体" w:hAnsi="宋体" w:eastAsia="宋体" w:cs="宋体"/>
          <w:color w:val="auto"/>
          <w:highlight w:val="none"/>
        </w:rPr>
        <w:t>供应商名称（盖单位公章）：</w:t>
      </w:r>
      <w:r>
        <w:rPr>
          <w:rFonts w:hint="eastAsia" w:ascii="宋体" w:hAnsi="宋体" w:eastAsia="宋体" w:cs="宋体"/>
          <w:color w:val="auto"/>
          <w:highlight w:val="none"/>
          <w:u w:val="single"/>
        </w:rPr>
        <w:t xml:space="preserve">                     </w:t>
      </w:r>
    </w:p>
    <w:p>
      <w:pPr>
        <w:autoSpaceDE w:val="0"/>
        <w:autoSpaceDN w:val="0"/>
        <w:adjustRightInd w:val="0"/>
        <w:spacing w:line="360" w:lineRule="auto"/>
        <w:ind w:right="-94" w:rightChars="-39" w:firstLine="240" w:firstLineChars="100"/>
        <w:rPr>
          <w:rFonts w:hint="eastAsia" w:ascii="宋体" w:hAnsi="宋体" w:eastAsia="宋体" w:cs="宋体"/>
          <w:color w:val="auto"/>
          <w:highlight w:val="none"/>
        </w:rPr>
      </w:pPr>
      <w:r>
        <w:rPr>
          <w:rFonts w:hint="eastAsia" w:ascii="宋体" w:hAnsi="宋体" w:eastAsia="宋体" w:cs="宋体"/>
          <w:color w:val="auto"/>
          <w:highlight w:val="none"/>
        </w:rPr>
        <w:t>法定代表人或授权代表（签字或加盖个人签名章）：</w:t>
      </w:r>
      <w:r>
        <w:rPr>
          <w:rFonts w:hint="eastAsia" w:ascii="宋体" w:hAnsi="宋体" w:eastAsia="宋体" w:cs="宋体"/>
          <w:color w:val="auto"/>
          <w:highlight w:val="none"/>
          <w:u w:val="single"/>
        </w:rPr>
        <w:t xml:space="preserve">           </w:t>
      </w:r>
    </w:p>
    <w:p>
      <w:pPr>
        <w:autoSpaceDE w:val="0"/>
        <w:autoSpaceDN w:val="0"/>
        <w:adjustRightInd w:val="0"/>
        <w:spacing w:line="360" w:lineRule="auto"/>
        <w:ind w:right="-94" w:rightChars="-39" w:firstLine="240" w:firstLineChars="100"/>
        <w:rPr>
          <w:rFonts w:hint="eastAsia" w:ascii="宋体" w:hAnsi="宋体" w:eastAsia="宋体" w:cs="宋体"/>
          <w:color w:val="auto"/>
          <w:highlight w:val="non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日 </w:t>
      </w:r>
    </w:p>
    <w:p>
      <w:pPr>
        <w:spacing w:line="360" w:lineRule="auto"/>
        <w:ind w:right="-94" w:rightChars="-39" w:firstLine="480"/>
        <w:jc w:val="left"/>
        <w:rPr>
          <w:rFonts w:hint="eastAsia" w:ascii="宋体" w:hAnsi="宋体" w:eastAsia="宋体" w:cs="宋体"/>
          <w:color w:val="auto"/>
          <w:highlight w:val="none"/>
        </w:rPr>
      </w:pPr>
    </w:p>
    <w:p>
      <w:pPr>
        <w:pStyle w:val="5"/>
        <w:spacing w:line="360" w:lineRule="auto"/>
        <w:ind w:right="-94" w:rightChars="-39"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br w:type="page"/>
      </w:r>
      <w:r>
        <w:rPr>
          <w:rFonts w:hint="eastAsia" w:ascii="宋体" w:hAnsi="宋体" w:eastAsia="宋体" w:cs="宋体"/>
          <w:color w:val="auto"/>
          <w:sz w:val="32"/>
          <w:highlight w:val="none"/>
          <w:lang w:eastAsia="zh-CN"/>
        </w:rPr>
        <w:t>七</w:t>
      </w:r>
      <w:r>
        <w:rPr>
          <w:rFonts w:hint="eastAsia" w:ascii="宋体" w:hAnsi="宋体" w:eastAsia="宋体" w:cs="宋体"/>
          <w:color w:val="auto"/>
          <w:sz w:val="32"/>
          <w:highlight w:val="none"/>
        </w:rPr>
        <w:t>、服务方案</w:t>
      </w:r>
    </w:p>
    <w:p>
      <w:pPr>
        <w:spacing w:before="120" w:line="360" w:lineRule="auto"/>
        <w:ind w:left="480" w:right="-94" w:rightChars="-39" w:firstLine="480"/>
        <w:contextualSpacing/>
        <w:rPr>
          <w:rFonts w:hint="eastAsia" w:ascii="宋体" w:hAnsi="宋体" w:eastAsia="宋体" w:cs="宋体"/>
          <w:color w:val="auto"/>
          <w:highlight w:val="none"/>
        </w:rPr>
      </w:pPr>
      <w:r>
        <w:rPr>
          <w:rFonts w:hint="eastAsia" w:ascii="宋体" w:hAnsi="宋体" w:eastAsia="宋体" w:cs="宋体"/>
          <w:color w:val="auto"/>
          <w:highlight w:val="none"/>
        </w:rPr>
        <w:t>注：由供应商自行编写（格式不限）。</w:t>
      </w:r>
    </w:p>
    <w:p>
      <w:pPr>
        <w:spacing w:line="360" w:lineRule="auto"/>
        <w:ind w:right="-94" w:rightChars="-39" w:firstLine="643"/>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br w:type="page"/>
      </w:r>
    </w:p>
    <w:p>
      <w:pPr>
        <w:pStyle w:val="5"/>
        <w:spacing w:line="360" w:lineRule="auto"/>
        <w:ind w:right="-94" w:rightChars="-39" w:firstLineChars="0"/>
        <w:jc w:val="center"/>
        <w:rPr>
          <w:rFonts w:hint="eastAsia" w:ascii="宋体" w:hAnsi="宋体" w:eastAsia="宋体" w:cs="宋体"/>
          <w:color w:val="auto"/>
          <w:highlight w:val="none"/>
        </w:rPr>
      </w:pPr>
      <w:r>
        <w:rPr>
          <w:rFonts w:hint="eastAsia" w:ascii="宋体" w:hAnsi="宋体" w:eastAsia="宋体" w:cs="宋体"/>
          <w:color w:val="auto"/>
          <w:sz w:val="32"/>
          <w:highlight w:val="none"/>
          <w:lang w:eastAsia="zh-CN"/>
        </w:rPr>
        <w:t>八</w:t>
      </w:r>
      <w:r>
        <w:rPr>
          <w:rFonts w:hint="eastAsia" w:ascii="宋体" w:hAnsi="宋体" w:eastAsia="宋体" w:cs="宋体"/>
          <w:color w:val="auto"/>
          <w:sz w:val="32"/>
          <w:highlight w:val="none"/>
        </w:rPr>
        <w:t>、供应商本项目管理、服务人员情况表</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项目名称：</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项目编号：</w:t>
      </w:r>
    </w:p>
    <w:tbl>
      <w:tblPr>
        <w:tblStyle w:val="30"/>
        <w:tblpPr w:leftFromText="180" w:rightFromText="180" w:vertAnchor="text" w:horzAnchor="page" w:tblpX="1291" w:tblpY="72"/>
        <w:tblOverlap w:val="never"/>
        <w:tblW w:w="94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1052"/>
        <w:gridCol w:w="1052"/>
        <w:gridCol w:w="1052"/>
        <w:gridCol w:w="1052"/>
        <w:gridCol w:w="1227"/>
        <w:gridCol w:w="877"/>
        <w:gridCol w:w="1052"/>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2" w:type="dxa"/>
            <w:vMerge w:val="restart"/>
            <w:vAlign w:val="center"/>
          </w:tcPr>
          <w:p>
            <w:pPr>
              <w:spacing w:line="360" w:lineRule="auto"/>
              <w:ind w:right="-94" w:rightChars="-39"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类别</w:t>
            </w:r>
          </w:p>
        </w:tc>
        <w:tc>
          <w:tcPr>
            <w:tcW w:w="1052" w:type="dxa"/>
            <w:vMerge w:val="restart"/>
            <w:vAlign w:val="center"/>
          </w:tcPr>
          <w:p>
            <w:pPr>
              <w:spacing w:line="360" w:lineRule="auto"/>
              <w:ind w:right="-94" w:rightChars="-39"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职务</w:t>
            </w:r>
          </w:p>
        </w:tc>
        <w:tc>
          <w:tcPr>
            <w:tcW w:w="1052" w:type="dxa"/>
            <w:vMerge w:val="restart"/>
            <w:vAlign w:val="center"/>
          </w:tcPr>
          <w:p>
            <w:pPr>
              <w:spacing w:line="360" w:lineRule="auto"/>
              <w:ind w:right="-94" w:rightChars="-39"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姓名</w:t>
            </w:r>
          </w:p>
        </w:tc>
        <w:tc>
          <w:tcPr>
            <w:tcW w:w="1052" w:type="dxa"/>
            <w:vMerge w:val="restart"/>
            <w:vAlign w:val="center"/>
          </w:tcPr>
          <w:p>
            <w:pPr>
              <w:spacing w:line="360" w:lineRule="auto"/>
              <w:ind w:right="-94" w:rightChars="-39"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职称</w:t>
            </w:r>
          </w:p>
        </w:tc>
        <w:tc>
          <w:tcPr>
            <w:tcW w:w="1052" w:type="dxa"/>
            <w:vMerge w:val="restart"/>
            <w:vAlign w:val="center"/>
          </w:tcPr>
          <w:p>
            <w:pPr>
              <w:spacing w:line="360" w:lineRule="auto"/>
              <w:ind w:right="-94" w:rightChars="-39"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常住地</w:t>
            </w:r>
          </w:p>
        </w:tc>
        <w:tc>
          <w:tcPr>
            <w:tcW w:w="4209" w:type="dxa"/>
            <w:gridSpan w:val="4"/>
            <w:vAlign w:val="center"/>
          </w:tcPr>
          <w:p>
            <w:pPr>
              <w:spacing w:line="360" w:lineRule="auto"/>
              <w:ind w:right="-94" w:rightChars="-39" w:firstLine="42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2" w:type="dxa"/>
            <w:vMerge w:val="continue"/>
            <w:vAlign w:val="center"/>
          </w:tcPr>
          <w:p>
            <w:pPr>
              <w:spacing w:line="360" w:lineRule="auto"/>
              <w:ind w:right="-94" w:rightChars="-39" w:firstLine="420"/>
              <w:jc w:val="center"/>
              <w:rPr>
                <w:rFonts w:hint="eastAsia" w:ascii="宋体" w:hAnsi="宋体" w:eastAsia="宋体" w:cs="宋体"/>
                <w:color w:val="auto"/>
                <w:sz w:val="21"/>
                <w:szCs w:val="21"/>
                <w:highlight w:val="none"/>
              </w:rPr>
            </w:pPr>
          </w:p>
        </w:tc>
        <w:tc>
          <w:tcPr>
            <w:tcW w:w="1052" w:type="dxa"/>
            <w:vMerge w:val="continue"/>
            <w:vAlign w:val="center"/>
          </w:tcPr>
          <w:p>
            <w:pPr>
              <w:spacing w:line="360" w:lineRule="auto"/>
              <w:ind w:right="-94" w:rightChars="-39" w:firstLine="420"/>
              <w:jc w:val="center"/>
              <w:rPr>
                <w:rFonts w:hint="eastAsia" w:ascii="宋体" w:hAnsi="宋体" w:eastAsia="宋体" w:cs="宋体"/>
                <w:color w:val="auto"/>
                <w:sz w:val="21"/>
                <w:szCs w:val="21"/>
                <w:highlight w:val="none"/>
              </w:rPr>
            </w:pPr>
          </w:p>
        </w:tc>
        <w:tc>
          <w:tcPr>
            <w:tcW w:w="1052" w:type="dxa"/>
            <w:vMerge w:val="continue"/>
            <w:vAlign w:val="center"/>
          </w:tcPr>
          <w:p>
            <w:pPr>
              <w:spacing w:line="360" w:lineRule="auto"/>
              <w:ind w:right="-94" w:rightChars="-39" w:firstLine="420"/>
              <w:jc w:val="center"/>
              <w:rPr>
                <w:rFonts w:hint="eastAsia" w:ascii="宋体" w:hAnsi="宋体" w:eastAsia="宋体" w:cs="宋体"/>
                <w:color w:val="auto"/>
                <w:sz w:val="21"/>
                <w:szCs w:val="21"/>
                <w:highlight w:val="none"/>
              </w:rPr>
            </w:pPr>
          </w:p>
        </w:tc>
        <w:tc>
          <w:tcPr>
            <w:tcW w:w="1052" w:type="dxa"/>
            <w:vMerge w:val="continue"/>
            <w:vAlign w:val="center"/>
          </w:tcPr>
          <w:p>
            <w:pPr>
              <w:spacing w:line="360" w:lineRule="auto"/>
              <w:ind w:right="-94" w:rightChars="-39" w:firstLine="420"/>
              <w:jc w:val="center"/>
              <w:rPr>
                <w:rFonts w:hint="eastAsia" w:ascii="宋体" w:hAnsi="宋体" w:eastAsia="宋体" w:cs="宋体"/>
                <w:color w:val="auto"/>
                <w:sz w:val="21"/>
                <w:szCs w:val="21"/>
                <w:highlight w:val="none"/>
              </w:rPr>
            </w:pPr>
          </w:p>
        </w:tc>
        <w:tc>
          <w:tcPr>
            <w:tcW w:w="1052" w:type="dxa"/>
            <w:vMerge w:val="continue"/>
            <w:vAlign w:val="center"/>
          </w:tcPr>
          <w:p>
            <w:pPr>
              <w:spacing w:line="360" w:lineRule="auto"/>
              <w:ind w:right="-94" w:rightChars="-39" w:firstLine="420"/>
              <w:jc w:val="center"/>
              <w:rPr>
                <w:rFonts w:hint="eastAsia" w:ascii="宋体" w:hAnsi="宋体" w:eastAsia="宋体" w:cs="宋体"/>
                <w:color w:val="auto"/>
                <w:sz w:val="21"/>
                <w:szCs w:val="21"/>
                <w:highlight w:val="none"/>
              </w:rPr>
            </w:pPr>
          </w:p>
        </w:tc>
        <w:tc>
          <w:tcPr>
            <w:tcW w:w="1227" w:type="dxa"/>
            <w:vAlign w:val="center"/>
          </w:tcPr>
          <w:p>
            <w:pPr>
              <w:spacing w:line="360" w:lineRule="auto"/>
              <w:ind w:right="-94" w:rightChars="-39"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证书名称</w:t>
            </w:r>
          </w:p>
        </w:tc>
        <w:tc>
          <w:tcPr>
            <w:tcW w:w="877" w:type="dxa"/>
            <w:vAlign w:val="center"/>
          </w:tcPr>
          <w:p>
            <w:pPr>
              <w:spacing w:line="360" w:lineRule="auto"/>
              <w:ind w:right="-94" w:rightChars="-39"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级别</w:t>
            </w:r>
          </w:p>
        </w:tc>
        <w:tc>
          <w:tcPr>
            <w:tcW w:w="1052" w:type="dxa"/>
            <w:vAlign w:val="center"/>
          </w:tcPr>
          <w:p>
            <w:pPr>
              <w:spacing w:line="360" w:lineRule="auto"/>
              <w:ind w:right="-94" w:rightChars="-39"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证号</w:t>
            </w:r>
          </w:p>
        </w:tc>
        <w:tc>
          <w:tcPr>
            <w:tcW w:w="1053" w:type="dxa"/>
            <w:vAlign w:val="center"/>
          </w:tcPr>
          <w:p>
            <w:pPr>
              <w:spacing w:line="360" w:lineRule="auto"/>
              <w:ind w:right="-94" w:rightChars="-39"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52" w:type="dxa"/>
            <w:vMerge w:val="restart"/>
            <w:vAlign w:val="center"/>
          </w:tcPr>
          <w:p>
            <w:pPr>
              <w:spacing w:line="360" w:lineRule="auto"/>
              <w:ind w:right="-94" w:rightChars="-39"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管理</w:t>
            </w:r>
          </w:p>
          <w:p>
            <w:pPr>
              <w:spacing w:line="360" w:lineRule="auto"/>
              <w:ind w:right="-94" w:rightChars="-39"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人员</w:t>
            </w: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227"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877"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3" w:type="dxa"/>
          </w:tcPr>
          <w:p>
            <w:pPr>
              <w:spacing w:line="360" w:lineRule="auto"/>
              <w:ind w:right="-94" w:rightChars="-39" w:firstLine="420"/>
              <w:jc w:val="lef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52" w:type="dxa"/>
            <w:vMerge w:val="continue"/>
            <w:vAlign w:val="center"/>
          </w:tcPr>
          <w:p>
            <w:pPr>
              <w:spacing w:line="360" w:lineRule="auto"/>
              <w:ind w:right="-94" w:rightChars="-39" w:firstLine="420"/>
              <w:jc w:val="center"/>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227"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877"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3" w:type="dxa"/>
          </w:tcPr>
          <w:p>
            <w:pPr>
              <w:spacing w:line="360" w:lineRule="auto"/>
              <w:ind w:right="-94" w:rightChars="-39" w:firstLine="420"/>
              <w:jc w:val="lef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52" w:type="dxa"/>
            <w:vMerge w:val="continue"/>
            <w:vAlign w:val="center"/>
          </w:tcPr>
          <w:p>
            <w:pPr>
              <w:spacing w:line="360" w:lineRule="auto"/>
              <w:ind w:right="-94" w:rightChars="-39" w:firstLine="420"/>
              <w:jc w:val="center"/>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227"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877"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3" w:type="dxa"/>
          </w:tcPr>
          <w:p>
            <w:pPr>
              <w:spacing w:line="360" w:lineRule="auto"/>
              <w:ind w:right="-94" w:rightChars="-39" w:firstLine="420"/>
              <w:jc w:val="lef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52" w:type="dxa"/>
            <w:vMerge w:val="restart"/>
            <w:vAlign w:val="center"/>
          </w:tcPr>
          <w:p>
            <w:pPr>
              <w:spacing w:line="360" w:lineRule="auto"/>
              <w:ind w:right="-94" w:rightChars="-39"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w:t>
            </w:r>
          </w:p>
          <w:p>
            <w:pPr>
              <w:spacing w:line="360" w:lineRule="auto"/>
              <w:ind w:right="-94" w:rightChars="-39"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人员</w:t>
            </w: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227"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877"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3" w:type="dxa"/>
          </w:tcPr>
          <w:p>
            <w:pPr>
              <w:spacing w:line="360" w:lineRule="auto"/>
              <w:ind w:right="-94" w:rightChars="-39" w:firstLine="420"/>
              <w:jc w:val="lef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52" w:type="dxa"/>
            <w:vMerge w:val="continue"/>
            <w:vAlign w:val="center"/>
          </w:tcPr>
          <w:p>
            <w:pPr>
              <w:spacing w:line="360" w:lineRule="auto"/>
              <w:ind w:right="-94" w:rightChars="-39" w:firstLine="420"/>
              <w:jc w:val="center"/>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227"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877"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3" w:type="dxa"/>
          </w:tcPr>
          <w:p>
            <w:pPr>
              <w:spacing w:line="360" w:lineRule="auto"/>
              <w:ind w:right="-94" w:rightChars="-39" w:firstLine="420"/>
              <w:jc w:val="lef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52" w:type="dxa"/>
            <w:vMerge w:val="continue"/>
            <w:vAlign w:val="center"/>
          </w:tcPr>
          <w:p>
            <w:pPr>
              <w:spacing w:line="360" w:lineRule="auto"/>
              <w:ind w:right="-94" w:rightChars="-39" w:firstLine="420"/>
              <w:jc w:val="center"/>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227"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877"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3" w:type="dxa"/>
          </w:tcPr>
          <w:p>
            <w:pPr>
              <w:spacing w:line="360" w:lineRule="auto"/>
              <w:ind w:right="-94" w:rightChars="-39" w:firstLine="420"/>
              <w:jc w:val="lef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52" w:type="dxa"/>
            <w:vMerge w:val="restart"/>
            <w:vAlign w:val="center"/>
          </w:tcPr>
          <w:p>
            <w:pPr>
              <w:spacing w:line="360" w:lineRule="auto"/>
              <w:ind w:right="-94" w:rightChars="-39"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售后服务人员</w:t>
            </w: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227"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877"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3" w:type="dxa"/>
          </w:tcPr>
          <w:p>
            <w:pPr>
              <w:spacing w:line="360" w:lineRule="auto"/>
              <w:ind w:right="-94" w:rightChars="-39" w:firstLine="420"/>
              <w:jc w:val="lef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52" w:type="dxa"/>
            <w:vMerge w:val="continue"/>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227"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877"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3" w:type="dxa"/>
          </w:tcPr>
          <w:p>
            <w:pPr>
              <w:spacing w:line="360" w:lineRule="auto"/>
              <w:ind w:right="-94" w:rightChars="-39" w:firstLine="420"/>
              <w:jc w:val="lef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52" w:type="dxa"/>
            <w:vMerge w:val="continue"/>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227"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877"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3" w:type="dxa"/>
          </w:tcPr>
          <w:p>
            <w:pPr>
              <w:spacing w:line="360" w:lineRule="auto"/>
              <w:ind w:right="-94" w:rightChars="-39" w:firstLine="420"/>
              <w:jc w:val="left"/>
              <w:rPr>
                <w:rFonts w:hint="eastAsia" w:ascii="宋体" w:hAnsi="宋体" w:eastAsia="宋体" w:cs="宋体"/>
                <w:color w:val="auto"/>
                <w:sz w:val="21"/>
                <w:szCs w:val="21"/>
                <w:highlight w:val="none"/>
              </w:rPr>
            </w:pPr>
          </w:p>
        </w:tc>
      </w:tr>
    </w:tbl>
    <w:p>
      <w:pPr>
        <w:spacing w:line="360" w:lineRule="auto"/>
        <w:ind w:right="-94" w:rightChars="-39" w:firstLine="480"/>
        <w:rPr>
          <w:rFonts w:hint="eastAsia" w:ascii="宋体" w:hAnsi="宋体" w:eastAsia="宋体" w:cs="宋体"/>
          <w:color w:val="auto"/>
          <w:highlight w:val="none"/>
        </w:rPr>
      </w:pPr>
    </w:p>
    <w:p>
      <w:pPr>
        <w:spacing w:line="360" w:lineRule="auto"/>
        <w:ind w:right="-94" w:rightChars="-39" w:firstLine="480"/>
        <w:rPr>
          <w:rFonts w:hint="eastAsia" w:ascii="宋体" w:hAnsi="宋体" w:eastAsia="宋体" w:cs="宋体"/>
          <w:color w:val="auto"/>
          <w:highlight w:val="none"/>
        </w:rPr>
      </w:pPr>
    </w:p>
    <w:p>
      <w:pPr>
        <w:spacing w:line="360" w:lineRule="auto"/>
        <w:ind w:right="-94" w:rightChars="-39" w:firstLine="480"/>
        <w:rPr>
          <w:rFonts w:hint="eastAsia" w:ascii="宋体" w:hAnsi="宋体" w:eastAsia="宋体" w:cs="宋体"/>
          <w:color w:val="auto"/>
          <w:highlight w:val="none"/>
        </w:rPr>
      </w:pPr>
    </w:p>
    <w:p>
      <w:pPr>
        <w:spacing w:line="360" w:lineRule="auto"/>
        <w:ind w:right="-94" w:rightChars="-39" w:firstLine="480"/>
        <w:rPr>
          <w:rFonts w:hint="eastAsia" w:ascii="宋体" w:hAnsi="宋体" w:eastAsia="宋体" w:cs="宋体"/>
          <w:color w:val="auto"/>
          <w:highlight w:val="none"/>
        </w:rPr>
      </w:pPr>
    </w:p>
    <w:p>
      <w:pPr>
        <w:spacing w:line="360" w:lineRule="auto"/>
        <w:ind w:right="-94" w:rightChars="-39" w:firstLine="480"/>
        <w:rPr>
          <w:rFonts w:hint="eastAsia" w:ascii="宋体" w:hAnsi="宋体" w:eastAsia="宋体" w:cs="宋体"/>
          <w:color w:val="auto"/>
          <w:highlight w:val="none"/>
        </w:rPr>
      </w:pPr>
    </w:p>
    <w:p>
      <w:pPr>
        <w:autoSpaceDE w:val="0"/>
        <w:autoSpaceDN w:val="0"/>
        <w:adjustRightInd w:val="0"/>
        <w:spacing w:line="360" w:lineRule="auto"/>
        <w:ind w:right="-94" w:rightChars="-39" w:firstLine="0" w:firstLineChars="0"/>
        <w:jc w:val="left"/>
        <w:rPr>
          <w:rFonts w:hint="eastAsia" w:ascii="宋体" w:hAnsi="宋体" w:eastAsia="宋体" w:cs="宋体"/>
          <w:color w:val="auto"/>
          <w:highlight w:val="none"/>
        </w:rPr>
      </w:pPr>
    </w:p>
    <w:p>
      <w:pPr>
        <w:autoSpaceDE w:val="0"/>
        <w:autoSpaceDN w:val="0"/>
        <w:adjustRightInd w:val="0"/>
        <w:spacing w:line="360" w:lineRule="auto"/>
        <w:ind w:right="-94" w:rightChars="-39" w:firstLine="0" w:firstLineChars="0"/>
        <w:jc w:val="left"/>
        <w:rPr>
          <w:rFonts w:hint="eastAsia" w:ascii="宋体" w:hAnsi="宋体" w:eastAsia="宋体" w:cs="宋体"/>
          <w:color w:val="auto"/>
          <w:highlight w:val="none"/>
        </w:rPr>
      </w:pPr>
    </w:p>
    <w:p>
      <w:pPr>
        <w:autoSpaceDE w:val="0"/>
        <w:autoSpaceDN w:val="0"/>
        <w:adjustRightInd w:val="0"/>
        <w:spacing w:afterLines="50" w:line="360" w:lineRule="auto"/>
        <w:ind w:right="-94" w:rightChars="-39" w:firstLine="480"/>
        <w:jc w:val="left"/>
        <w:rPr>
          <w:rFonts w:hint="eastAsia" w:ascii="宋体" w:hAnsi="宋体" w:eastAsia="宋体" w:cs="宋体"/>
          <w:color w:val="auto"/>
          <w:highlight w:val="none"/>
        </w:rPr>
      </w:pPr>
      <w:r>
        <w:rPr>
          <w:rFonts w:hint="eastAsia" w:ascii="宋体" w:hAnsi="宋体" w:eastAsia="宋体" w:cs="宋体"/>
          <w:color w:val="auto"/>
          <w:highlight w:val="none"/>
        </w:rPr>
        <w:t>供应商名称（盖单位公章）：</w:t>
      </w:r>
      <w:r>
        <w:rPr>
          <w:rFonts w:hint="eastAsia" w:ascii="宋体" w:hAnsi="宋体" w:eastAsia="宋体" w:cs="宋体"/>
          <w:color w:val="auto"/>
          <w:highlight w:val="none"/>
          <w:u w:val="single"/>
        </w:rPr>
        <w:t xml:space="preserve">                     </w:t>
      </w:r>
    </w:p>
    <w:p>
      <w:pPr>
        <w:autoSpaceDE w:val="0"/>
        <w:autoSpaceDN w:val="0"/>
        <w:adjustRightInd w:val="0"/>
        <w:spacing w:afterLines="50"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法定代表人或授权代表（签字或加盖个人签名章）：</w:t>
      </w:r>
      <w:r>
        <w:rPr>
          <w:rFonts w:hint="eastAsia" w:ascii="宋体" w:hAnsi="宋体" w:eastAsia="宋体" w:cs="宋体"/>
          <w:color w:val="auto"/>
          <w:highlight w:val="none"/>
          <w:u w:val="single"/>
        </w:rPr>
        <w:t xml:space="preserve">           </w:t>
      </w:r>
    </w:p>
    <w:p>
      <w:pPr>
        <w:autoSpaceDE w:val="0"/>
        <w:autoSpaceDN w:val="0"/>
        <w:adjustRightInd w:val="0"/>
        <w:spacing w:afterLines="50"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日 </w:t>
      </w:r>
    </w:p>
    <w:p>
      <w:pPr>
        <w:spacing w:line="360" w:lineRule="auto"/>
        <w:ind w:right="-94" w:rightChars="-39" w:firstLine="470" w:firstLineChars="196"/>
        <w:rPr>
          <w:rFonts w:hint="eastAsia" w:ascii="宋体" w:hAnsi="宋体" w:eastAsia="宋体" w:cs="宋体"/>
          <w:color w:val="auto"/>
          <w:highlight w:val="none"/>
        </w:rPr>
      </w:pPr>
    </w:p>
    <w:p>
      <w:pPr>
        <w:spacing w:line="360" w:lineRule="auto"/>
        <w:ind w:right="-94" w:rightChars="-39" w:firstLine="480"/>
        <w:jc w:val="center"/>
        <w:rPr>
          <w:rFonts w:hint="eastAsia" w:ascii="宋体" w:hAnsi="宋体" w:eastAsia="宋体" w:cs="宋体"/>
          <w:color w:val="auto"/>
          <w:highlight w:val="none"/>
        </w:rPr>
      </w:pPr>
    </w:p>
    <w:p>
      <w:pPr>
        <w:widowControl/>
        <w:spacing w:line="360" w:lineRule="auto"/>
        <w:ind w:firstLine="480"/>
        <w:jc w:val="left"/>
        <w:rPr>
          <w:rFonts w:hint="eastAsia" w:ascii="宋体" w:hAnsi="宋体" w:eastAsia="宋体" w:cs="宋体"/>
          <w:color w:val="auto"/>
          <w:highlight w:val="none"/>
          <w:lang w:val="en-US" w:eastAsia="zh-CN"/>
        </w:rPr>
        <w:sectPr>
          <w:headerReference r:id="rId15" w:type="default"/>
          <w:footerReference r:id="rId16" w:type="default"/>
          <w:type w:val="continuous"/>
          <w:pgSz w:w="11850" w:h="16783"/>
          <w:pgMar w:top="1440" w:right="1800" w:bottom="1440" w:left="1800" w:header="851" w:footer="992" w:gutter="0"/>
          <w:pgNumType w:fmt="decimal"/>
          <w:cols w:space="720" w:num="1"/>
          <w:docGrid w:linePitch="312" w:charSpace="0"/>
        </w:sectPr>
      </w:pPr>
      <w:bookmarkStart w:id="808" w:name="_Toc1403"/>
      <w:bookmarkStart w:id="809" w:name="_Toc517422505"/>
      <w:bookmarkStart w:id="810" w:name="_Toc21307"/>
      <w:bookmarkStart w:id="811" w:name="_Toc31947"/>
      <w:bookmarkStart w:id="812" w:name="_Toc16380"/>
      <w:bookmarkStart w:id="813" w:name="_Toc517423533"/>
      <w:bookmarkStart w:id="814" w:name="_Toc27819"/>
      <w:bookmarkStart w:id="815" w:name="_Toc10271"/>
      <w:bookmarkStart w:id="816" w:name="_Toc21721"/>
    </w:p>
    <w:bookmarkEnd w:id="808"/>
    <w:bookmarkEnd w:id="809"/>
    <w:bookmarkEnd w:id="810"/>
    <w:bookmarkEnd w:id="811"/>
    <w:bookmarkEnd w:id="812"/>
    <w:bookmarkEnd w:id="813"/>
    <w:bookmarkEnd w:id="814"/>
    <w:bookmarkEnd w:id="815"/>
    <w:bookmarkEnd w:id="816"/>
    <w:p>
      <w:pPr>
        <w:pStyle w:val="5"/>
        <w:spacing w:line="360" w:lineRule="auto"/>
        <w:ind w:right="-94" w:rightChars="-39" w:firstLine="0" w:firstLineChars="0"/>
        <w:jc w:val="center"/>
        <w:rPr>
          <w:rFonts w:hint="eastAsia" w:ascii="宋体" w:hAnsi="宋体" w:eastAsia="宋体" w:cs="宋体"/>
          <w:color w:val="auto"/>
          <w:sz w:val="32"/>
          <w:szCs w:val="28"/>
          <w:highlight w:val="none"/>
        </w:rPr>
      </w:pPr>
      <w:bookmarkStart w:id="817" w:name="_Toc29285"/>
      <w:r>
        <w:rPr>
          <w:rFonts w:hint="eastAsia" w:ascii="宋体" w:hAnsi="宋体" w:eastAsia="宋体" w:cs="宋体"/>
          <w:color w:val="auto"/>
          <w:sz w:val="32"/>
          <w:highlight w:val="none"/>
          <w:lang w:val="en-US" w:eastAsia="zh-CN"/>
        </w:rPr>
        <w:t>九</w:t>
      </w:r>
      <w:r>
        <w:rPr>
          <w:rFonts w:hint="eastAsia" w:ascii="宋体" w:hAnsi="宋体" w:eastAsia="宋体" w:cs="宋体"/>
          <w:color w:val="auto"/>
          <w:sz w:val="32"/>
          <w:highlight w:val="none"/>
        </w:rPr>
        <w:t>、</w:t>
      </w:r>
      <w:bookmarkEnd w:id="817"/>
      <w:bookmarkStart w:id="818" w:name="_Toc517422513"/>
      <w:bookmarkStart w:id="819" w:name="_Toc517423541"/>
      <w:bookmarkStart w:id="820" w:name="_Toc24566"/>
      <w:r>
        <w:rPr>
          <w:rFonts w:hint="eastAsia" w:ascii="宋体" w:hAnsi="宋体" w:eastAsia="宋体" w:cs="宋体"/>
          <w:color w:val="auto"/>
          <w:sz w:val="32"/>
          <w:highlight w:val="none"/>
        </w:rPr>
        <w:t>其他相关资料</w:t>
      </w:r>
      <w:bookmarkEnd w:id="818"/>
      <w:bookmarkEnd w:id="819"/>
      <w:bookmarkEnd w:id="820"/>
    </w:p>
    <w:p>
      <w:pPr>
        <w:spacing w:line="360" w:lineRule="auto"/>
        <w:ind w:right="-94" w:rightChars="-39" w:firstLine="562"/>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(格式不限)</w:t>
      </w:r>
    </w:p>
    <w:p>
      <w:pPr>
        <w:spacing w:line="360" w:lineRule="auto"/>
        <w:ind w:right="-94" w:rightChars="-39"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rPr>
        <w:br w:type="page"/>
      </w:r>
    </w:p>
    <w:p>
      <w:pPr>
        <w:spacing w:line="360" w:lineRule="auto"/>
        <w:ind w:right="-94" w:rightChars="-39" w:firstLine="0" w:firstLineChars="0"/>
        <w:outlineLvl w:val="1"/>
        <w:rPr>
          <w:rFonts w:hint="eastAsia" w:ascii="宋体" w:hAnsi="宋体" w:eastAsia="宋体" w:cs="宋体"/>
          <w:b/>
          <w:bCs/>
          <w:color w:val="auto"/>
          <w:sz w:val="28"/>
          <w:szCs w:val="28"/>
          <w:highlight w:val="none"/>
        </w:rPr>
      </w:pPr>
      <w:bookmarkStart w:id="821" w:name="_Toc20446"/>
      <w:r>
        <w:rPr>
          <w:rFonts w:hint="eastAsia" w:ascii="宋体" w:hAnsi="宋体" w:eastAsia="宋体" w:cs="宋体"/>
          <w:color w:val="auto"/>
          <w:highlight w:val="none"/>
        </w:rPr>
        <w:t>附件一：</w:t>
      </w:r>
      <w:r>
        <w:rPr>
          <w:rFonts w:hint="eastAsia" w:ascii="宋体" w:hAnsi="宋体" w:eastAsia="宋体" w:cs="宋体"/>
          <w:color w:val="auto"/>
          <w:sz w:val="28"/>
          <w:szCs w:val="28"/>
          <w:highlight w:val="none"/>
        </w:rPr>
        <w:t>最终报价表</w:t>
      </w:r>
      <w:r>
        <w:rPr>
          <w:rFonts w:hint="eastAsia" w:ascii="宋体" w:hAnsi="宋体" w:eastAsia="宋体" w:cs="宋体"/>
          <w:b/>
          <w:bCs/>
          <w:color w:val="auto"/>
          <w:sz w:val="28"/>
          <w:szCs w:val="28"/>
          <w:highlight w:val="none"/>
        </w:rPr>
        <w:t>（此表为现场报价使用）</w:t>
      </w:r>
      <w:bookmarkEnd w:id="821"/>
    </w:p>
    <w:tbl>
      <w:tblPr>
        <w:tblStyle w:val="30"/>
        <w:tblpPr w:leftFromText="180" w:rightFromText="180" w:vertAnchor="text" w:horzAnchor="page" w:tblpX="1202" w:tblpY="170"/>
        <w:tblOverlap w:val="never"/>
        <w:tblW w:w="9750" w:type="dxa"/>
        <w:tblInd w:w="0" w:type="dxa"/>
        <w:tblLayout w:type="fixed"/>
        <w:tblCellMar>
          <w:top w:w="15" w:type="dxa"/>
          <w:left w:w="15" w:type="dxa"/>
          <w:bottom w:w="15" w:type="dxa"/>
          <w:right w:w="15" w:type="dxa"/>
        </w:tblCellMar>
      </w:tblPr>
      <w:tblGrid>
        <w:gridCol w:w="3103"/>
        <w:gridCol w:w="2457"/>
        <w:gridCol w:w="4190"/>
      </w:tblGrid>
      <w:tr>
        <w:tblPrEx>
          <w:tblCellMar>
            <w:top w:w="15" w:type="dxa"/>
            <w:left w:w="15" w:type="dxa"/>
            <w:bottom w:w="15" w:type="dxa"/>
            <w:right w:w="15" w:type="dxa"/>
          </w:tblCellMar>
        </w:tblPrEx>
        <w:trPr>
          <w:trHeight w:val="3431" w:hRule="atLeast"/>
        </w:trPr>
        <w:tc>
          <w:tcPr>
            <w:tcW w:w="9750"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ind w:right="-94" w:rightChars="-39" w:firstLine="0" w:firstLineChars="0"/>
              <w:jc w:val="center"/>
              <w:textAlignment w:val="center"/>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t>最终报价表</w:t>
            </w:r>
          </w:p>
          <w:p>
            <w:pPr>
              <w:spacing w:line="360" w:lineRule="auto"/>
              <w:ind w:right="-94" w:rightChars="-39" w:firstLine="0" w:firstLineChars="0"/>
              <w:rPr>
                <w:rFonts w:hint="eastAsia" w:ascii="宋体" w:hAnsi="宋体" w:eastAsia="宋体" w:cs="宋体"/>
                <w:color w:val="auto"/>
                <w:szCs w:val="24"/>
                <w:highlight w:val="none"/>
              </w:rPr>
            </w:pPr>
            <w:r>
              <w:rPr>
                <w:rFonts w:hint="eastAsia" w:ascii="宋体" w:hAnsi="宋体" w:eastAsia="宋体" w:cs="宋体"/>
                <w:color w:val="auto"/>
                <w:szCs w:val="24"/>
                <w:highlight w:val="none"/>
              </w:rPr>
              <w:t>四川至善工程项目管理有限公司：</w:t>
            </w:r>
          </w:p>
          <w:p>
            <w:pPr>
              <w:spacing w:line="360" w:lineRule="auto"/>
              <w:ind w:right="-94" w:rightChars="-39" w:firstLine="0" w:firstLineChars="0"/>
              <w:rPr>
                <w:rFonts w:hint="eastAsia" w:ascii="宋体" w:hAnsi="宋体" w:eastAsia="宋体" w:cs="宋体"/>
                <w:color w:val="auto"/>
                <w:szCs w:val="22"/>
                <w:highlight w:val="none"/>
                <w:u w:val="single"/>
              </w:rPr>
            </w:pPr>
            <w:r>
              <w:rPr>
                <w:rFonts w:hint="eastAsia" w:ascii="宋体" w:hAnsi="宋体" w:eastAsia="宋体" w:cs="宋体"/>
                <w:color w:val="auto"/>
                <w:szCs w:val="24"/>
                <w:highlight w:val="none"/>
              </w:rPr>
              <w:t xml:space="preserve">    我公司（企业）认真阅读了</w:t>
            </w:r>
            <w:r>
              <w:rPr>
                <w:rFonts w:hint="eastAsia" w:ascii="宋体" w:hAnsi="宋体" w:eastAsia="宋体" w:cs="宋体"/>
                <w:color w:val="auto"/>
                <w:highlight w:val="none"/>
                <w:u w:val="single"/>
              </w:rPr>
              <w:t xml:space="preserve">                                   </w:t>
            </w:r>
            <w:r>
              <w:rPr>
                <w:rFonts w:hint="eastAsia" w:ascii="宋体" w:hAnsi="宋体" w:eastAsia="宋体" w:cs="宋体"/>
                <w:color w:val="auto"/>
                <w:szCs w:val="24"/>
                <w:highlight w:val="none"/>
              </w:rPr>
              <w:t>（项目编号：</w:t>
            </w:r>
            <w:r>
              <w:rPr>
                <w:rFonts w:hint="eastAsia" w:ascii="宋体" w:hAnsi="宋体" w:eastAsia="宋体" w:cs="宋体"/>
                <w:color w:val="auto"/>
                <w:szCs w:val="22"/>
                <w:highlight w:val="none"/>
                <w:u w:val="single"/>
              </w:rPr>
              <w:t xml:space="preserve">     </w:t>
            </w:r>
          </w:p>
          <w:p>
            <w:pPr>
              <w:spacing w:line="360" w:lineRule="auto"/>
              <w:ind w:right="-94" w:rightChars="-39" w:firstLine="0" w:firstLineChars="0"/>
              <w:rPr>
                <w:rFonts w:hint="eastAsia" w:ascii="宋体" w:hAnsi="宋体" w:eastAsia="宋体" w:cs="宋体"/>
                <w:color w:val="auto"/>
                <w:szCs w:val="24"/>
                <w:highlight w:val="none"/>
              </w:rPr>
            </w:pPr>
            <w:r>
              <w:rPr>
                <w:rFonts w:hint="eastAsia" w:ascii="宋体" w:hAnsi="宋体" w:eastAsia="宋体" w:cs="宋体"/>
                <w:color w:val="auto"/>
                <w:szCs w:val="22"/>
                <w:highlight w:val="none"/>
                <w:u w:val="single"/>
              </w:rPr>
              <w:t xml:space="preserve">               </w:t>
            </w:r>
            <w:r>
              <w:rPr>
                <w:rFonts w:hint="eastAsia" w:ascii="宋体" w:hAnsi="宋体" w:eastAsia="宋体" w:cs="宋体"/>
                <w:color w:val="auto"/>
                <w:szCs w:val="24"/>
                <w:highlight w:val="none"/>
              </w:rPr>
              <w:t>）竞争性磋商文件的采购内容，并严格按竞争性磋商文件、修改补充文件中规定的要求以及技术参数，通过仔细核算，作出如下最终报价：</w:t>
            </w:r>
          </w:p>
        </w:tc>
      </w:tr>
      <w:tr>
        <w:tblPrEx>
          <w:tblCellMar>
            <w:top w:w="15" w:type="dxa"/>
            <w:left w:w="15" w:type="dxa"/>
            <w:bottom w:w="15" w:type="dxa"/>
            <w:right w:w="15" w:type="dxa"/>
          </w:tblCellMar>
        </w:tblPrEx>
        <w:trPr>
          <w:trHeight w:val="663" w:hRule="atLeast"/>
        </w:trPr>
        <w:tc>
          <w:tcPr>
            <w:tcW w:w="310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right="-94" w:rightChars="-39" w:firstLine="0" w:firstLineChars="0"/>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项目名称</w:t>
            </w:r>
          </w:p>
        </w:tc>
        <w:tc>
          <w:tcPr>
            <w:tcW w:w="245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right="-94" w:rightChars="-39" w:firstLine="0" w:firstLineChars="0"/>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具体要求</w:t>
            </w:r>
          </w:p>
        </w:tc>
        <w:tc>
          <w:tcPr>
            <w:tcW w:w="419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right="-94" w:rightChars="-39" w:firstLine="480"/>
              <w:jc w:val="center"/>
              <w:rPr>
                <w:rFonts w:hint="eastAsia" w:ascii="宋体" w:hAnsi="宋体" w:eastAsia="宋体" w:cs="宋体"/>
                <w:color w:val="auto"/>
                <w:szCs w:val="24"/>
                <w:highlight w:val="none"/>
              </w:rPr>
            </w:pPr>
            <w:r>
              <w:rPr>
                <w:rFonts w:hint="eastAsia" w:cs="宋体"/>
                <w:color w:val="auto"/>
                <w:szCs w:val="24"/>
                <w:highlight w:val="none"/>
                <w:lang w:val="en-US" w:eastAsia="zh-CN"/>
              </w:rPr>
              <w:t>总价</w:t>
            </w:r>
            <w:r>
              <w:rPr>
                <w:rFonts w:hint="eastAsia" w:ascii="宋体" w:hAnsi="宋体" w:eastAsia="宋体" w:cs="宋体"/>
                <w:color w:val="auto"/>
                <w:szCs w:val="24"/>
                <w:highlight w:val="none"/>
              </w:rPr>
              <w:t>（人民币元）</w:t>
            </w:r>
          </w:p>
        </w:tc>
      </w:tr>
      <w:tr>
        <w:tblPrEx>
          <w:tblCellMar>
            <w:top w:w="15" w:type="dxa"/>
            <w:left w:w="15" w:type="dxa"/>
            <w:bottom w:w="15" w:type="dxa"/>
            <w:right w:w="15" w:type="dxa"/>
          </w:tblCellMar>
        </w:tblPrEx>
        <w:trPr>
          <w:trHeight w:val="2606" w:hRule="atLeast"/>
        </w:trPr>
        <w:tc>
          <w:tcPr>
            <w:tcW w:w="310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right="-94" w:rightChars="-39" w:firstLine="0" w:firstLineChars="0"/>
              <w:jc w:val="left"/>
              <w:rPr>
                <w:rFonts w:hint="eastAsia" w:ascii="宋体" w:hAnsi="宋体" w:eastAsia="宋体" w:cs="宋体"/>
                <w:color w:val="auto"/>
                <w:szCs w:val="24"/>
                <w:highlight w:val="none"/>
              </w:rPr>
            </w:pPr>
            <w:r>
              <w:rPr>
                <w:rFonts w:hint="eastAsia" w:ascii="宋体" w:hAnsi="宋体" w:eastAsia="宋体" w:cs="宋体"/>
                <w:color w:val="auto"/>
                <w:szCs w:val="22"/>
                <w:highlight w:val="none"/>
              </w:rPr>
              <w:t xml:space="preserve">      </w:t>
            </w:r>
          </w:p>
        </w:tc>
        <w:tc>
          <w:tcPr>
            <w:tcW w:w="245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right="-94" w:rightChars="-39" w:firstLine="0" w:firstLineChars="0"/>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完全响应竞争性磋商文件要求（详见竞争性磋</w:t>
            </w:r>
          </w:p>
          <w:p>
            <w:pPr>
              <w:snapToGrid w:val="0"/>
              <w:spacing w:line="360" w:lineRule="auto"/>
              <w:ind w:right="-94" w:rightChars="-39" w:firstLine="0" w:firstLineChars="0"/>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商响应文件）</w:t>
            </w:r>
          </w:p>
        </w:tc>
        <w:tc>
          <w:tcPr>
            <w:tcW w:w="4190" w:type="dxa"/>
            <w:tcBorders>
              <w:top w:val="single" w:color="auto" w:sz="4" w:space="0"/>
              <w:left w:val="single" w:color="auto" w:sz="4" w:space="0"/>
              <w:bottom w:val="single" w:color="auto" w:sz="4" w:space="0"/>
              <w:right w:val="single" w:color="auto" w:sz="4" w:space="0"/>
            </w:tcBorders>
          </w:tcPr>
          <w:p>
            <w:pPr>
              <w:snapToGrid w:val="0"/>
              <w:spacing w:line="360" w:lineRule="auto"/>
              <w:ind w:right="-94" w:rightChars="-39" w:firstLine="480"/>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 </w:t>
            </w:r>
          </w:p>
          <w:p>
            <w:pPr>
              <w:snapToGrid w:val="0"/>
              <w:spacing w:line="360" w:lineRule="auto"/>
              <w:ind w:right="-94" w:rightChars="-39" w:firstLine="480"/>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 </w:t>
            </w:r>
          </w:p>
          <w:p>
            <w:pPr>
              <w:snapToGrid w:val="0"/>
              <w:spacing w:line="360" w:lineRule="auto"/>
              <w:ind w:right="-94" w:rightChars="-39" w:firstLine="480"/>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小写：</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u w:val="single"/>
              </w:rPr>
              <w:br w:type="textWrapping"/>
            </w:r>
          </w:p>
          <w:p>
            <w:pPr>
              <w:snapToGrid w:val="0"/>
              <w:spacing w:line="360" w:lineRule="auto"/>
              <w:ind w:right="-94" w:rightChars="-39" w:firstLine="480"/>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大写：</w:t>
            </w:r>
            <w:r>
              <w:rPr>
                <w:rFonts w:hint="eastAsia" w:ascii="宋体" w:hAnsi="宋体" w:eastAsia="宋体" w:cs="宋体"/>
                <w:color w:val="auto"/>
                <w:szCs w:val="24"/>
                <w:highlight w:val="none"/>
                <w:u w:val="single"/>
              </w:rPr>
              <w:t xml:space="preserve">                      </w:t>
            </w:r>
          </w:p>
        </w:tc>
      </w:tr>
      <w:tr>
        <w:tblPrEx>
          <w:tblCellMar>
            <w:top w:w="15" w:type="dxa"/>
            <w:left w:w="15" w:type="dxa"/>
            <w:bottom w:w="15" w:type="dxa"/>
            <w:right w:w="15" w:type="dxa"/>
          </w:tblCellMar>
        </w:tblPrEx>
        <w:trPr>
          <w:trHeight w:val="1887" w:hRule="atLeast"/>
        </w:trPr>
        <w:tc>
          <w:tcPr>
            <w:tcW w:w="9750"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ind w:right="-94" w:rightChars="-39" w:firstLine="480"/>
              <w:jc w:val="left"/>
              <w:textAlignment w:val="center"/>
              <w:rPr>
                <w:rFonts w:hint="eastAsia" w:ascii="宋体" w:hAnsi="宋体" w:eastAsia="宋体" w:cs="Times New Roman"/>
                <w:color w:val="auto"/>
                <w:highlight w:val="none"/>
                <w:lang w:eastAsia="zh-CN"/>
              </w:rPr>
            </w:pPr>
            <w:r>
              <w:rPr>
                <w:rFonts w:hint="eastAsia"/>
                <w:color w:val="auto"/>
                <w:highlight w:val="none"/>
              </w:rPr>
              <w:t xml:space="preserve"> </w:t>
            </w:r>
            <w:r>
              <w:rPr>
                <w:rFonts w:hint="eastAsia" w:ascii="宋体" w:hAnsi="宋体" w:eastAsia="宋体" w:cs="Times New Roman"/>
                <w:color w:val="auto"/>
                <w:highlight w:val="none"/>
                <w:lang w:eastAsia="zh-CN"/>
              </w:rPr>
              <w:t>注：</w:t>
            </w:r>
          </w:p>
          <w:p>
            <w:pPr>
              <w:widowControl/>
              <w:snapToGrid w:val="0"/>
              <w:spacing w:line="360" w:lineRule="auto"/>
              <w:ind w:right="-94" w:rightChars="-39" w:firstLine="960" w:firstLineChars="400"/>
              <w:jc w:val="left"/>
              <w:textAlignment w:val="center"/>
              <w:rPr>
                <w:rFonts w:hint="eastAsia" w:ascii="宋体" w:hAnsi="宋体" w:eastAsia="宋体" w:cs="Times New Roman"/>
                <w:color w:val="auto"/>
                <w:highlight w:val="none"/>
                <w:lang w:eastAsia="zh-CN"/>
              </w:rPr>
            </w:pPr>
            <w:r>
              <w:rPr>
                <w:rFonts w:hint="eastAsia" w:ascii="宋体" w:hAnsi="宋体" w:eastAsia="宋体" w:cs="Times New Roman"/>
                <w:color w:val="auto"/>
                <w:highlight w:val="none"/>
                <w:lang w:eastAsia="zh-CN"/>
              </w:rPr>
              <w:t>1、报价表必须逐一填写完整；否则，视为无效响应报价。</w:t>
            </w:r>
          </w:p>
          <w:p>
            <w:pPr>
              <w:widowControl/>
              <w:snapToGrid w:val="0"/>
              <w:spacing w:line="360" w:lineRule="auto"/>
              <w:ind w:right="-94" w:rightChars="-39" w:firstLine="480"/>
              <w:jc w:val="left"/>
              <w:textAlignment w:val="center"/>
              <w:rPr>
                <w:rFonts w:hint="eastAsia" w:ascii="宋体" w:hAnsi="宋体" w:eastAsia="宋体" w:cs="Times New Roman"/>
                <w:color w:val="auto"/>
                <w:highlight w:val="none"/>
                <w:lang w:eastAsia="zh-CN"/>
              </w:rPr>
            </w:pPr>
            <w:r>
              <w:rPr>
                <w:rFonts w:hint="eastAsia" w:ascii="宋体" w:hAnsi="宋体" w:eastAsia="宋体" w:cs="Times New Roman"/>
                <w:color w:val="auto"/>
                <w:highlight w:val="none"/>
                <w:lang w:eastAsia="zh-CN"/>
              </w:rPr>
              <w:t xml:space="preserve">    2、响应报价保留小数点后两位。</w:t>
            </w:r>
          </w:p>
          <w:p>
            <w:pPr>
              <w:widowControl/>
              <w:snapToGrid w:val="0"/>
              <w:spacing w:line="360" w:lineRule="auto"/>
              <w:ind w:right="-94" w:rightChars="-39" w:firstLine="480"/>
              <w:jc w:val="left"/>
              <w:textAlignment w:val="center"/>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eastAsia="zh-CN"/>
              </w:rPr>
              <w:t xml:space="preserve">    3、</w:t>
            </w:r>
            <w:r>
              <w:rPr>
                <w:rFonts w:hint="eastAsia" w:ascii="宋体" w:hAnsi="宋体" w:eastAsia="宋体" w:cs="Times New Roman"/>
                <w:color w:val="auto"/>
                <w:highlight w:val="none"/>
                <w:lang w:val="en-US" w:eastAsia="zh-CN"/>
              </w:rPr>
              <w:t>最终报价不超过第一轮报价。</w:t>
            </w:r>
          </w:p>
          <w:p>
            <w:pPr>
              <w:widowControl/>
              <w:snapToGrid w:val="0"/>
              <w:spacing w:line="360" w:lineRule="auto"/>
              <w:ind w:right="-94" w:rightChars="-39" w:firstLine="480"/>
              <w:jc w:val="left"/>
              <w:textAlignment w:val="center"/>
              <w:rPr>
                <w:rFonts w:hint="default" w:eastAsia="仿宋_GB2312"/>
                <w:color w:val="auto"/>
                <w:highlight w:val="none"/>
                <w:lang w:val="en-US" w:eastAsia="zh-CN"/>
              </w:rPr>
            </w:pPr>
            <w:r>
              <w:rPr>
                <w:rFonts w:hint="eastAsia" w:ascii="宋体" w:hAnsi="宋体" w:eastAsia="宋体" w:cs="Times New Roman"/>
                <w:color w:val="auto"/>
                <w:highlight w:val="none"/>
                <w:lang w:val="en-US" w:eastAsia="zh-CN"/>
              </w:rPr>
              <w:t xml:space="preserve">    4、</w:t>
            </w:r>
            <w:r>
              <w:rPr>
                <w:rFonts w:hint="eastAsia" w:ascii="宋体" w:hAnsi="宋体" w:eastAsia="宋体" w:cs="Times New Roman"/>
                <w:color w:val="auto"/>
                <w:highlight w:val="none"/>
                <w:lang w:eastAsia="zh-CN"/>
              </w:rPr>
              <w:t>此报价是最终用户验收合格后据实结算的依据。</w:t>
            </w:r>
          </w:p>
        </w:tc>
      </w:tr>
      <w:tr>
        <w:tblPrEx>
          <w:tblCellMar>
            <w:top w:w="15" w:type="dxa"/>
            <w:left w:w="15" w:type="dxa"/>
            <w:bottom w:w="15" w:type="dxa"/>
            <w:right w:w="15" w:type="dxa"/>
          </w:tblCellMar>
        </w:tblPrEx>
        <w:trPr>
          <w:trHeight w:val="2446" w:hRule="atLeast"/>
        </w:trPr>
        <w:tc>
          <w:tcPr>
            <w:tcW w:w="9750"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ind w:right="-94" w:rightChars="-39" w:firstLine="480"/>
              <w:jc w:val="left"/>
              <w:textAlignment w:val="center"/>
              <w:rPr>
                <w:rFonts w:hint="eastAsia" w:ascii="宋体" w:hAnsi="宋体" w:eastAsia="宋体" w:cs="宋体"/>
                <w:color w:val="auto"/>
                <w:szCs w:val="24"/>
                <w:highlight w:val="none"/>
                <w:u w:val="single"/>
              </w:rPr>
            </w:pPr>
            <w:r>
              <w:rPr>
                <w:rFonts w:hint="eastAsia" w:ascii="宋体" w:hAnsi="宋体" w:eastAsia="宋体" w:cs="宋体"/>
                <w:color w:val="auto"/>
                <w:szCs w:val="24"/>
                <w:highlight w:val="none"/>
              </w:rPr>
              <w:t xml:space="preserve"> 供应商名称：</w:t>
            </w:r>
            <w:r>
              <w:rPr>
                <w:rFonts w:hint="eastAsia" w:ascii="宋体" w:hAnsi="宋体" w:eastAsia="宋体" w:cs="宋体"/>
                <w:color w:val="auto"/>
                <w:szCs w:val="24"/>
                <w:highlight w:val="none"/>
                <w:u w:val="single"/>
              </w:rPr>
              <w:t xml:space="preserve">                                       </w:t>
            </w:r>
          </w:p>
          <w:p>
            <w:pPr>
              <w:widowControl/>
              <w:snapToGrid w:val="0"/>
              <w:spacing w:line="360" w:lineRule="auto"/>
              <w:ind w:right="-94" w:rightChars="-39" w:firstLine="480"/>
              <w:jc w:val="left"/>
              <w:textAlignment w:val="center"/>
              <w:rPr>
                <w:rFonts w:hint="eastAsia" w:ascii="宋体" w:hAnsi="宋体" w:eastAsia="宋体" w:cs="宋体"/>
                <w:color w:val="auto"/>
                <w:szCs w:val="24"/>
                <w:highlight w:val="none"/>
                <w:u w:val="single"/>
              </w:rPr>
            </w:pPr>
            <w:r>
              <w:rPr>
                <w:rFonts w:hint="eastAsia" w:ascii="宋体" w:hAnsi="宋体" w:eastAsia="宋体" w:cs="宋体"/>
                <w:color w:val="auto"/>
                <w:szCs w:val="24"/>
                <w:highlight w:val="none"/>
              </w:rPr>
              <w:t xml:space="preserve"> 法定代表人或授权代表</w:t>
            </w:r>
            <w:r>
              <w:rPr>
                <w:rFonts w:hint="eastAsia" w:ascii="宋体" w:hAnsi="宋体" w:eastAsia="宋体" w:cs="宋体"/>
                <w:color w:val="auto"/>
                <w:highlight w:val="none"/>
              </w:rPr>
              <w:t>（签字）</w:t>
            </w:r>
            <w:r>
              <w:rPr>
                <w:rFonts w:hint="eastAsia" w:ascii="宋体" w:hAnsi="宋体" w:eastAsia="宋体" w:cs="宋体"/>
                <w:color w:val="auto"/>
                <w:szCs w:val="24"/>
                <w:highlight w:val="none"/>
              </w:rPr>
              <w:t>：</w:t>
            </w:r>
            <w:r>
              <w:rPr>
                <w:rFonts w:hint="eastAsia" w:ascii="宋体" w:hAnsi="宋体" w:eastAsia="宋体" w:cs="宋体"/>
                <w:color w:val="auto"/>
                <w:szCs w:val="24"/>
                <w:highlight w:val="none"/>
                <w:u w:val="single"/>
              </w:rPr>
              <w:t xml:space="preserve">                     </w:t>
            </w:r>
          </w:p>
          <w:p>
            <w:pPr>
              <w:widowControl/>
              <w:snapToGrid w:val="0"/>
              <w:spacing w:line="360" w:lineRule="auto"/>
              <w:ind w:right="-94" w:rightChars="-39" w:firstLine="480"/>
              <w:jc w:val="left"/>
              <w:textAlignment w:val="center"/>
              <w:rPr>
                <w:rFonts w:hint="eastAsia" w:ascii="宋体" w:hAnsi="宋体" w:eastAsia="宋体" w:cs="宋体"/>
                <w:color w:val="auto"/>
                <w:szCs w:val="24"/>
                <w:highlight w:val="none"/>
                <w:u w:val="single"/>
              </w:rPr>
            </w:pPr>
            <w:r>
              <w:rPr>
                <w:rFonts w:hint="eastAsia" w:ascii="宋体" w:hAnsi="宋体" w:eastAsia="宋体" w:cs="宋体"/>
                <w:color w:val="auto"/>
                <w:szCs w:val="24"/>
                <w:highlight w:val="none"/>
              </w:rPr>
              <w:t xml:space="preserve"> 联系电话：</w:t>
            </w:r>
            <w:r>
              <w:rPr>
                <w:rFonts w:hint="eastAsia" w:ascii="宋体" w:hAnsi="宋体" w:eastAsia="宋体" w:cs="宋体"/>
                <w:color w:val="auto"/>
                <w:szCs w:val="24"/>
                <w:highlight w:val="none"/>
                <w:u w:val="single"/>
              </w:rPr>
              <w:t xml:space="preserve">                                         </w:t>
            </w:r>
          </w:p>
          <w:p>
            <w:pPr>
              <w:widowControl/>
              <w:snapToGrid w:val="0"/>
              <w:spacing w:line="360" w:lineRule="auto"/>
              <w:ind w:right="-94" w:rightChars="-39" w:firstLine="480"/>
              <w:jc w:val="left"/>
              <w:textAlignment w:val="center"/>
              <w:rPr>
                <w:rFonts w:hint="eastAsia" w:ascii="宋体" w:hAnsi="宋体" w:eastAsia="宋体" w:cs="宋体"/>
                <w:color w:val="auto"/>
                <w:szCs w:val="24"/>
                <w:highlight w:val="none"/>
                <w:u w:val="single"/>
              </w:rPr>
            </w:pPr>
            <w:r>
              <w:rPr>
                <w:rFonts w:hint="eastAsia" w:ascii="宋体" w:hAnsi="宋体" w:eastAsia="宋体" w:cs="宋体"/>
                <w:color w:val="auto"/>
                <w:szCs w:val="24"/>
                <w:highlight w:val="none"/>
              </w:rPr>
              <w:t xml:space="preserve"> 磋商日期：</w:t>
            </w:r>
            <w:r>
              <w:rPr>
                <w:rFonts w:hint="eastAsia" w:ascii="宋体" w:hAnsi="宋体" w:eastAsia="宋体" w:cs="宋体"/>
                <w:color w:val="auto"/>
                <w:szCs w:val="24"/>
                <w:highlight w:val="none"/>
                <w:u w:val="single"/>
              </w:rPr>
              <w:t xml:space="preserve">                                         </w:t>
            </w:r>
          </w:p>
        </w:tc>
      </w:tr>
    </w:tbl>
    <w:p>
      <w:pPr>
        <w:spacing w:line="360" w:lineRule="auto"/>
        <w:ind w:right="-94" w:rightChars="-39" w:firstLine="482"/>
        <w:rPr>
          <w:rFonts w:hint="eastAsia" w:ascii="宋体" w:hAnsi="宋体" w:eastAsia="宋体" w:cs="宋体"/>
          <w:color w:val="auto"/>
          <w:highlight w:val="none"/>
        </w:rPr>
      </w:pPr>
      <w:r>
        <w:rPr>
          <w:rFonts w:hint="eastAsia" w:ascii="宋体" w:hAnsi="宋体" w:eastAsia="宋体" w:cs="宋体"/>
          <w:b/>
          <w:color w:val="auto"/>
          <w:szCs w:val="24"/>
          <w:highlight w:val="none"/>
        </w:rPr>
        <w:t>注：本报价表不需要附在响应文件里，持空白页至磋商现场根据实际需要填写（现场填写），盖企业公章或法定代表人或授权代表签字确认。</w:t>
      </w:r>
    </w:p>
    <w:p>
      <w:pPr>
        <w:pStyle w:val="3"/>
        <w:keepNext w:val="0"/>
        <w:keepLines w:val="0"/>
        <w:spacing w:before="260" w:after="260" w:line="360" w:lineRule="auto"/>
        <w:ind w:right="-94" w:rightChars="-39" w:firstLine="723"/>
        <w:rPr>
          <w:rFonts w:hint="eastAsia" w:ascii="宋体" w:hAnsi="宋体" w:eastAsia="宋体" w:cs="宋体"/>
          <w:color w:val="auto"/>
          <w:sz w:val="24"/>
          <w:szCs w:val="24"/>
          <w:highlight w:val="none"/>
        </w:rPr>
      </w:pPr>
      <w:bookmarkStart w:id="822" w:name="_Toc17578"/>
      <w:r>
        <w:rPr>
          <w:rFonts w:hint="eastAsia" w:ascii="宋体" w:hAnsi="宋体" w:eastAsia="宋体" w:cs="宋体"/>
          <w:color w:val="auto"/>
          <w:highlight w:val="none"/>
        </w:rPr>
        <w:t xml:space="preserve">第七章  </w:t>
      </w:r>
      <w:bookmarkEnd w:id="15"/>
      <w:bookmarkEnd w:id="716"/>
      <w:bookmarkEnd w:id="717"/>
      <w:bookmarkEnd w:id="718"/>
      <w:bookmarkEnd w:id="719"/>
      <w:bookmarkEnd w:id="720"/>
      <w:bookmarkEnd w:id="721"/>
      <w:bookmarkEnd w:id="722"/>
      <w:bookmarkEnd w:id="723"/>
      <w:bookmarkEnd w:id="724"/>
      <w:bookmarkEnd w:id="725"/>
      <w:bookmarkEnd w:id="726"/>
      <w:bookmarkEnd w:id="727"/>
      <w:bookmarkStart w:id="823" w:name="_Toc9438766"/>
      <w:bookmarkStart w:id="824" w:name="_Toc12006361"/>
      <w:r>
        <w:rPr>
          <w:rStyle w:val="98"/>
          <w:rFonts w:hint="eastAsia" w:ascii="宋体" w:hAnsi="宋体" w:eastAsia="宋体" w:cs="宋体"/>
          <w:color w:val="auto"/>
          <w:highlight w:val="none"/>
        </w:rPr>
        <w:t>评审方法</w:t>
      </w:r>
      <w:bookmarkEnd w:id="822"/>
      <w:bookmarkStart w:id="825" w:name="_Toc209847065"/>
      <w:bookmarkStart w:id="826" w:name="_Toc101250640"/>
      <w:bookmarkStart w:id="827" w:name="_Toc101338358"/>
      <w:bookmarkStart w:id="828" w:name="_Toc101174146"/>
      <w:bookmarkStart w:id="829" w:name="_Toc430773924"/>
    </w:p>
    <w:p>
      <w:pPr>
        <w:pStyle w:val="4"/>
        <w:keepNext w:val="0"/>
        <w:keepLines w:val="0"/>
        <w:spacing w:before="0" w:after="0" w:line="360" w:lineRule="auto"/>
        <w:ind w:right="-94" w:rightChars="-39" w:firstLine="472" w:firstLineChars="196"/>
        <w:jc w:val="both"/>
        <w:rPr>
          <w:rFonts w:hint="eastAsia" w:ascii="宋体" w:hAnsi="宋体" w:eastAsia="宋体" w:cs="宋体"/>
          <w:color w:val="auto"/>
          <w:sz w:val="24"/>
          <w:szCs w:val="24"/>
          <w:highlight w:val="none"/>
        </w:rPr>
      </w:pPr>
      <w:bookmarkStart w:id="830" w:name="_Toc6261"/>
      <w:bookmarkStart w:id="831" w:name="_Toc9167"/>
      <w:bookmarkStart w:id="832" w:name="_Toc20982"/>
      <w:r>
        <w:rPr>
          <w:rFonts w:hint="eastAsia" w:ascii="宋体" w:hAnsi="宋体" w:eastAsia="宋体" w:cs="宋体"/>
          <w:color w:val="auto"/>
          <w:sz w:val="24"/>
          <w:szCs w:val="24"/>
          <w:highlight w:val="none"/>
        </w:rPr>
        <w:t>1.总则</w:t>
      </w:r>
      <w:bookmarkEnd w:id="830"/>
      <w:bookmarkEnd w:id="831"/>
      <w:bookmarkEnd w:id="832"/>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1.1 根据《中华人民共和国政府采购法》、《中华人民共和国政府采购法实施条例》、《政府采购竞争性磋商采购方式管理暂行办法》等法律制度，结合本采购项目特点制定本磋商方法。</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1.2 磋商工作由采购人及采购代理机构负责组织，具体磋商由采购人及采购代理机构依法组建的磋商小组负责。</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1.3 磋商工作应遵循公平、公正、科学及择优的原则，并以相同的磋商程序和标准对待所有的供应商。</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1.4 磋商小组按照磋商文件规定的磋商程序、评分方法和标准进行评审，并独立履行下列职责：</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（一）熟悉和理解磋商文件，确定磋商文件内容是否违反国家有关强制性规定或者磋商文件存在歧义、重大缺陷，根据需要书面要求采购人、采购代理机构对磋商文件作出解释；</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（二）审查供应商响应文件是否满足磋商文件要求，并作出公正评价；</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（三）根据需要要求供应商对响应文件中含义不明确、同类问题表述不一致或者有明显文字和计算错误的内容等作出必要的澄清、说明或者更正；</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（四）推荐成交供应商，或者受采购人委托确定成交供应商；</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（五）起草评审报告并进行签署；</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（六）向采购人及采购代理机构、财政部门或者其他监督部门报告非法干预评审工作的行为；</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（七）法律、法规和规章规定的其他职责。</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1.5 （实质性要求）磋商过程独立、保密。供应商非法干预磋商过程的，其响应文件作无效处理。</w:t>
      </w:r>
    </w:p>
    <w:p>
      <w:pPr>
        <w:pStyle w:val="4"/>
        <w:keepNext w:val="0"/>
        <w:keepLines w:val="0"/>
        <w:spacing w:before="0" w:after="0" w:line="360" w:lineRule="auto"/>
        <w:ind w:right="-94" w:rightChars="-39" w:firstLine="472" w:firstLineChars="196"/>
        <w:jc w:val="both"/>
        <w:rPr>
          <w:rFonts w:hint="eastAsia" w:ascii="宋体" w:hAnsi="宋体" w:eastAsia="宋体" w:cs="宋体"/>
          <w:color w:val="auto"/>
          <w:sz w:val="24"/>
          <w:szCs w:val="24"/>
          <w:highlight w:val="none"/>
        </w:rPr>
      </w:pPr>
      <w:bookmarkStart w:id="833" w:name="_Toc14333"/>
      <w:bookmarkStart w:id="834" w:name="_Toc30930"/>
      <w:bookmarkStart w:id="835" w:name="_Toc20118"/>
      <w:r>
        <w:rPr>
          <w:rFonts w:hint="eastAsia" w:ascii="宋体" w:hAnsi="宋体" w:eastAsia="宋体" w:cs="宋体"/>
          <w:color w:val="auto"/>
          <w:sz w:val="24"/>
          <w:szCs w:val="24"/>
          <w:highlight w:val="none"/>
        </w:rPr>
        <w:t>2.磋商程序</w:t>
      </w:r>
      <w:bookmarkEnd w:id="833"/>
      <w:bookmarkEnd w:id="834"/>
      <w:bookmarkEnd w:id="835"/>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2.1审查磋商文件和停止评审。</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2.1.1 磋商小组正式评审前，应当对磋商文件进行熟悉和理解，内容主要包括磋商文件中供应商资格条件要求、采购项目技术、服务和商务要求、磋商办法和标准、政府采购政策要求以及采购合同主要条款等。</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2.1.2 本磋商文件有下列情形之一的，磋商小组应当停止评审：</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（1）磋商文件的规定存在歧义、重大缺陷的；</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（2）磋商文件明显以不合理条件对供应商实行差别待遇或者歧视待遇的；</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（3）采购项目属于国家规定的优先、强制采购范围，但是磋商文件未依法体现优先、强制采购相关规定的；</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（4）采购项目属于政府采购促进中小企业发展的范围，但是磋商文件未依法体现促进中小企业发展相关规定的；</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（5）磋商文件将供应商的资格条件列为评分因素的；</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（6）磋商文件载明的成交原则不合法的；</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（7）磋商文件有违反国家其他有关强制性规定的情形。</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2.1.3 出现本条2.1.2规定应当停止评审情形的，磋商小组应当向采购人书面说明情况。除本条规定的情形外，磋商小组不得以任何方式和理由停止评审。</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2.2资格性审查。</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2.2.1本项目需要磋商小组进行资格性检查。磋商小组应依据法律法规和磋商文件的规定，对响应文件是否按照规定要求提供资格性证明材料、是否属于禁止参加磋商的供应商等进行审查，以确定供应商是否具备磋商资格。</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2.2.2资格性审查结束后，磋商小组应当出具资格性审查报告，没有通过资格审查的供应商，磋商小组应当在资格审查报告中说明原因。</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2.2.3磋商小组应依据磋商文件规定的实质性要求，对符合资格的响应文件进行有效性、完整性和响应程度审查，以确定参加磋商的供应商名单。</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2.2.4采购人或者采购代理机构宣布未通过资格性审查的供应商名单时，应当告知供应商未通过审查的原因。</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2.3 通过资格性审查的供应商不足3家的，终止本次采购活动，并发布终止采购活动公告。</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2.4磋商。</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2.4.2每轮磋商开始前，磋商小组应根据磋商文件的规定，并结合各供应商的响应文件拟定磋商内容。</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2.4.3在磋商过程中，磋商小组可以根据磋商文件和磋商情况实质性变动磋商文件的技术、服务要求以及合同草案条款，但不得变动磋商文件中的其他内容。实质性变动的内容，须经采购人代表书面确认。</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2.4.4对磋商文件作出的实质性变动是磋商文件的有效组成部分，磋商小组应当及时以书面形式同时通知所有参加磋商的供应商。</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2.4.5磋商过程中，磋商文件变动的，供应商应当按照磋商文件的变动情况和磋商小组的要求重新提交响应文件，并由其法定代表人/主要负责人/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2.4.6磋商过程中，磋商的任何一方不得透露与磋商有关的其他供应商的技术资料、价格和其他信息。</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2.4.7磋商过程中，磋商小组发现或者知晓供应商存在违法、违纪行为的，磋商小组应当将该供应商响应文件作无效处理，不允许其提交最后报价。</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2.4.8磋商完成后，磋商小组应出具磋商情况记录表，磋商情况记录表需包含磋商内容、磋商意见、实质性变动内容等。   </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2.5最后报价。</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2.5.1磋商文件能够详细列明采购标的的技术、服务要求的，磋商结束后，磋商小组应当要求所有实质性响应的供应商在规定时间内提交最后报价，提交最后报价的供应商</w:t>
      </w:r>
      <w:r>
        <w:rPr>
          <w:rFonts w:hint="eastAsia" w:ascii="宋体" w:hAnsi="宋体" w:eastAsia="宋体" w:cs="宋体"/>
          <w:b/>
          <w:bCs/>
          <w:color w:val="auto"/>
          <w:highlight w:val="none"/>
        </w:rPr>
        <w:t>不得少于3家</w:t>
      </w:r>
      <w:r>
        <w:rPr>
          <w:rFonts w:hint="eastAsia" w:ascii="宋体" w:hAnsi="宋体" w:eastAsia="宋体" w:cs="宋体"/>
          <w:color w:val="auto"/>
          <w:highlight w:val="none"/>
        </w:rPr>
        <w:t>（符合市场竞争不充分的科研项目,以及需要扶持的科技成果转化项目以及财库(2015) 124 号文规定情形的，可为2家）。或磋商文件不能详细列明采购标的的技术、服务要求，需经磋商由供应商提供最终设计方案或解决方案的，磋商结束后，磋商小组应当按照少数服从多数的原则投票</w:t>
      </w:r>
      <w:r>
        <w:rPr>
          <w:rFonts w:hint="eastAsia" w:ascii="宋体" w:hAnsi="宋体" w:eastAsia="宋体" w:cs="宋体"/>
          <w:b/>
          <w:bCs/>
          <w:color w:val="auto"/>
          <w:highlight w:val="none"/>
        </w:rPr>
        <w:t>推荐3家</w:t>
      </w:r>
      <w:r>
        <w:rPr>
          <w:rFonts w:hint="eastAsia" w:ascii="宋体" w:hAnsi="宋体" w:eastAsia="宋体" w:cs="宋体"/>
          <w:color w:val="auto"/>
          <w:highlight w:val="none"/>
        </w:rPr>
        <w:t>（符合市场竞争不充分的科研项目,以及需要扶持的科技成果转化项目以及财库(2015) 124 号文规定情形的，可为2家）以上供应商的设计方案或者解决方案，并要求其在规定时间内提交最后报价。</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2.5.2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2.5.3供应商最后报价应当由法定代表人/主要负责人/本人或其授权代表签字确认或加盖公章。最后报价是供应商响应文件的有效组成部分。</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2.6比较与评价。由磋商小组采用综合评分法对提交最后报价的供应商的响应文件和最后报价进行综合评分，具体要求详见本章综合评分部分。</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2.7推荐成交候选供应商。磋商小组应当根据综合评分情况，按照评审得分由高到低顺序</w:t>
      </w:r>
      <w:r>
        <w:rPr>
          <w:rFonts w:hint="eastAsia" w:ascii="宋体" w:hAnsi="宋体" w:eastAsia="宋体" w:cs="宋体"/>
          <w:b/>
          <w:bCs/>
          <w:color w:val="auto"/>
          <w:highlight w:val="none"/>
        </w:rPr>
        <w:t>推荐3家</w:t>
      </w:r>
      <w:r>
        <w:rPr>
          <w:rFonts w:hint="eastAsia" w:ascii="宋体" w:hAnsi="宋体" w:eastAsia="宋体" w:cs="宋体"/>
          <w:color w:val="auto"/>
          <w:highlight w:val="none"/>
        </w:rPr>
        <w:t>以上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2.8磋商小组复核。磋商小组评分汇总结束后，磋商小组应当进行评审复核，对拟推荐为成交候选供应商的、报价最低的、供应商资格审查未通过的、供应商响应文件作无效处理的重点复核。</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2.9采购组织单位现场复核评审结果。</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2.9.1评审结果汇总完成后，磋商小组拟出具磋商评审报告前，采购人及采购代理机构应当组织2名以上的本单位工作人员，在采购现场监督人员的监督之下，依据有关的法律制度和磋商文件对评审结果进行复核，出具复核报告，存在下列情形之一的，采购人及采购代理机构应当根据情况书面建议磋商小组现场修改评审结果：</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（1）资格性审查认定错误的；</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（2）分值汇总计算错误的；</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（3）分项评分超出评分标准范围的；</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（4）客观评分不一致的。</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存在本条上述情形的，由磋商小组自主决定是否采纳采购人及采购代理机构的书面建议，并承担独立评审责任。磋商小组采纳采购人及采购代理机构书面建议的，应当按照规定现场修改评审结果或者重新评审，并在磋商报告中详细记载有关事宜；不采纳采购人及采购代理机构书面建议的，应当书面说明理由。采购人及采购代理机构书面建议未被磋商小组采纳的，应当按照规定程序要求继续组织实施采购活动，不得擅自中止采购活动。采购人及采购代理机构认为磋商小组评审结果不合法的，应当书面报告采购项目同级财政部门。</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采购人及采购代理机构复核过程中，磋商小组成员不得离开评审现场。</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2.9.2有下列情形之一的，不得现场修改评审结果：</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（1）磋商小组已经出具磋商报告并且离开评审现场的；</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（2）采购人及采购代理机构现场复核时，复核工作人员数量不足的；</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（3）采购人及采购代理机构现场复核时，没有采购监督人员现场监督的；</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（4）采购人及采购代理机构现场复核内容超出规定范围的；</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（5）采购人及采购代理机构未提供书面建议的。</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2.10编写磋商报告。磋商小组推荐成交候选供应商后，应向采购人及采购代理机构出具磋商报告。磋商报告应当包括以下主要内容：</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（1）邀请供应商参加采购活动的具体方式和相关情况；</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（2）响应文件开启日期和地点；</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（3）获取磋商文件的供应商名单和磋商小组成员名单；</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（4）评审情况记录和说明，包括对供应商的资格审查情况、供应商响应文件审查情况、磋商情况、报价情况等；</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（5）提出的成交候选供应商的排序名单及理由。</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2.12供应商澄清、说明</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2.12.2磋商小组要求供应商澄清、说明或者更正响应文件应当以书面形式作出。供应商的澄清、说明或者更正应当由法定代表人/主要负责人/本人或其授权代表签字或者加盖公章。</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2.13终止磋商采购活动。</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出现下列情形之一的，采购人或者采购代理机构应当终止竞争性磋商采购活动，发布项目终止公告并说明原因，重新开展采购活动：</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（1）因情况变化，不再符合规定的竞争性磋商采购方式适用情形的；</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（2）出现影响采购公正的违法、违规行为的；</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（3）在采购过程中符合要求的供应商或者报价未超过采购预算的供应商不足3家的。</w:t>
      </w:r>
    </w:p>
    <w:p>
      <w:pPr>
        <w:spacing w:line="360" w:lineRule="auto"/>
        <w:ind w:right="-94" w:rightChars="-39" w:firstLine="482"/>
        <w:rPr>
          <w:rFonts w:hint="eastAsia" w:ascii="宋体" w:hAnsi="宋体" w:eastAsia="宋体" w:cs="宋体"/>
          <w:b/>
          <w:color w:val="auto"/>
          <w:highlight w:val="none"/>
        </w:rPr>
      </w:pPr>
      <w:r>
        <w:rPr>
          <w:rFonts w:hint="eastAsia" w:ascii="宋体" w:hAnsi="宋体" w:eastAsia="宋体" w:cs="宋体"/>
          <w:b/>
          <w:color w:val="auto"/>
          <w:highlight w:val="none"/>
        </w:rPr>
        <w:t>3.综合评分</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3.1本次综合评分的因素是：详见综合评分明细表。</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3.2 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和同类的评分因素由抽取的法律方面磋商小组成员独立评分。采购人代表原则上对技术、与技术有关的服务及其他技术类评分因素独立评分。价格及其他不能明确区分的评分因素由磋商小组成员共同评分。</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3.3综合评分明细表</w:t>
      </w:r>
    </w:p>
    <w:p>
      <w:pPr>
        <w:spacing w:line="360" w:lineRule="auto"/>
        <w:ind w:right="-94" w:rightChars="-39" w:firstLine="480"/>
        <w:rPr>
          <w:rFonts w:hint="eastAsia" w:ascii="宋体" w:hAnsi="宋体" w:eastAsia="宋体" w:cs="宋体"/>
          <w:b/>
          <w:bCs/>
          <w:color w:val="auto"/>
          <w:highlight w:val="none"/>
        </w:rPr>
      </w:pPr>
      <w:r>
        <w:rPr>
          <w:rFonts w:hint="eastAsia" w:ascii="宋体" w:hAnsi="宋体" w:eastAsia="宋体" w:cs="宋体"/>
          <w:color w:val="auto"/>
          <w:highlight w:val="none"/>
        </w:rPr>
        <w:t>3.3.1综合评分明细表的制定以科学合理、降低评委会自由裁量权为原则。</w:t>
      </w:r>
    </w:p>
    <w:p>
      <w:pPr>
        <w:spacing w:line="360" w:lineRule="auto"/>
        <w:ind w:right="-94" w:rightChars="-39" w:firstLine="482"/>
        <w:rPr>
          <w:rFonts w:hint="eastAsia" w:ascii="宋体" w:hAnsi="宋体" w:eastAsia="宋体" w:cs="宋体"/>
          <w:b/>
          <w:bCs/>
          <w:color w:val="auto"/>
          <w:highlight w:val="none"/>
        </w:rPr>
      </w:pPr>
      <w:r>
        <w:rPr>
          <w:rFonts w:hint="eastAsia" w:ascii="宋体" w:hAnsi="宋体" w:eastAsia="宋体" w:cs="宋体"/>
          <w:b/>
          <w:bCs/>
          <w:color w:val="auto"/>
          <w:highlight w:val="none"/>
        </w:rPr>
        <w:t>3.3.2综合评分明细表</w:t>
      </w:r>
    </w:p>
    <w:p>
      <w:pPr>
        <w:pStyle w:val="109"/>
        <w:spacing w:line="360" w:lineRule="auto"/>
        <w:ind w:left="-323" w:firstLineChars="0"/>
        <w:rPr>
          <w:rFonts w:hint="eastAsia" w:ascii="宋体" w:hAnsi="宋体" w:eastAsia="宋体" w:cs="宋体"/>
          <w:color w:val="auto"/>
          <w:highlight w:val="none"/>
        </w:rPr>
      </w:pPr>
      <w:r>
        <w:rPr>
          <w:rFonts w:hint="eastAsia" w:ascii="宋体" w:hAnsi="宋体" w:eastAsia="宋体" w:cs="宋体"/>
          <w:color w:val="auto"/>
          <w:highlight w:val="none"/>
        </w:rPr>
        <w:t>综合评分明细表的制定以科学合理、降低评委会自由裁量权为原则。</w:t>
      </w:r>
    </w:p>
    <w:p>
      <w:pPr>
        <w:pStyle w:val="109"/>
        <w:spacing w:line="360" w:lineRule="auto"/>
        <w:ind w:left="-323" w:firstLineChars="0"/>
        <w:rPr>
          <w:rFonts w:hint="eastAsia" w:ascii="宋体" w:hAnsi="宋体" w:eastAsia="宋体" w:cs="宋体"/>
          <w:color w:val="auto"/>
          <w:highlight w:val="none"/>
        </w:rPr>
      </w:pPr>
      <w:r>
        <w:rPr>
          <w:rFonts w:hint="eastAsia" w:ascii="宋体" w:hAnsi="宋体" w:eastAsia="宋体" w:cs="宋体"/>
          <w:color w:val="auto"/>
          <w:highlight w:val="none"/>
        </w:rPr>
        <w:t>综合评分明细表</w:t>
      </w:r>
    </w:p>
    <w:tbl>
      <w:tblPr>
        <w:tblStyle w:val="30"/>
        <w:tblpPr w:leftFromText="180" w:rightFromText="180" w:vertAnchor="text" w:horzAnchor="page" w:tblpX="896" w:tblpY="1020"/>
        <w:tblOverlap w:val="never"/>
        <w:tblW w:w="10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1446"/>
        <w:gridCol w:w="930"/>
        <w:gridCol w:w="6135"/>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609" w:type="dxa"/>
            <w:noWrap w:val="0"/>
            <w:vAlign w:val="center"/>
          </w:tcPr>
          <w:p>
            <w:pPr>
              <w:spacing w:line="400" w:lineRule="exact"/>
              <w:ind w:left="0" w:leftChars="0" w:firstLine="0" w:firstLineChars="0"/>
              <w:jc w:val="left"/>
              <w:rPr>
                <w:rFonts w:hint="eastAsia" w:ascii="宋体" w:hAnsi="宋体" w:eastAsia="宋体" w:cs="宋体"/>
                <w:color w:val="000000"/>
                <w:sz w:val="24"/>
                <w:szCs w:val="22"/>
              </w:rPr>
            </w:pPr>
            <w:bookmarkStart w:id="836" w:name="_Toc473103440"/>
            <w:bookmarkStart w:id="837" w:name="_Toc476133677"/>
            <w:bookmarkStart w:id="838" w:name="_Toc479347054"/>
            <w:r>
              <w:rPr>
                <w:rFonts w:hint="eastAsia" w:ascii="宋体" w:hAnsi="宋体" w:eastAsia="宋体" w:cs="宋体"/>
                <w:color w:val="000000"/>
                <w:sz w:val="24"/>
                <w:szCs w:val="22"/>
              </w:rPr>
              <w:t>序号</w:t>
            </w:r>
          </w:p>
        </w:tc>
        <w:tc>
          <w:tcPr>
            <w:tcW w:w="1446" w:type="dxa"/>
            <w:noWrap w:val="0"/>
            <w:vAlign w:val="center"/>
          </w:tcPr>
          <w:p>
            <w:pPr>
              <w:spacing w:line="400" w:lineRule="exact"/>
              <w:ind w:left="0" w:leftChars="0" w:firstLine="0" w:firstLineChars="0"/>
              <w:jc w:val="left"/>
              <w:rPr>
                <w:rFonts w:hint="eastAsia" w:ascii="宋体" w:hAnsi="宋体" w:eastAsia="宋体" w:cs="宋体"/>
                <w:color w:val="000000"/>
                <w:sz w:val="24"/>
                <w:szCs w:val="22"/>
              </w:rPr>
            </w:pPr>
            <w:r>
              <w:rPr>
                <w:rFonts w:hint="eastAsia" w:ascii="宋体" w:hAnsi="宋体" w:eastAsia="宋体" w:cs="宋体"/>
                <w:color w:val="000000"/>
                <w:sz w:val="24"/>
                <w:szCs w:val="22"/>
              </w:rPr>
              <w:t>评分因素及权重</w:t>
            </w:r>
          </w:p>
        </w:tc>
        <w:tc>
          <w:tcPr>
            <w:tcW w:w="930" w:type="dxa"/>
            <w:noWrap w:val="0"/>
            <w:vAlign w:val="center"/>
          </w:tcPr>
          <w:p>
            <w:pPr>
              <w:spacing w:line="400" w:lineRule="exact"/>
              <w:ind w:left="0" w:leftChars="0" w:firstLine="0" w:firstLineChars="0"/>
              <w:jc w:val="left"/>
              <w:rPr>
                <w:rFonts w:hint="eastAsia" w:ascii="宋体" w:hAnsi="宋体" w:eastAsia="宋体" w:cs="宋体"/>
                <w:color w:val="000000"/>
                <w:sz w:val="24"/>
                <w:szCs w:val="22"/>
              </w:rPr>
            </w:pPr>
            <w:r>
              <w:rPr>
                <w:rFonts w:hint="eastAsia" w:ascii="宋体" w:hAnsi="宋体" w:eastAsia="宋体" w:cs="宋体"/>
                <w:color w:val="000000"/>
                <w:sz w:val="24"/>
                <w:szCs w:val="22"/>
              </w:rPr>
              <w:t>分值</w:t>
            </w:r>
          </w:p>
        </w:tc>
        <w:tc>
          <w:tcPr>
            <w:tcW w:w="6135" w:type="dxa"/>
            <w:noWrap w:val="0"/>
            <w:vAlign w:val="center"/>
          </w:tcPr>
          <w:p>
            <w:pPr>
              <w:spacing w:line="400" w:lineRule="exact"/>
              <w:ind w:left="0" w:leftChars="0" w:firstLine="0" w:firstLineChars="0"/>
              <w:jc w:val="left"/>
              <w:rPr>
                <w:rFonts w:hint="eastAsia" w:ascii="宋体" w:hAnsi="宋体" w:eastAsia="宋体" w:cs="宋体"/>
                <w:color w:val="000000"/>
                <w:sz w:val="24"/>
                <w:szCs w:val="22"/>
              </w:rPr>
            </w:pPr>
            <w:r>
              <w:rPr>
                <w:rFonts w:hint="eastAsia" w:ascii="宋体" w:hAnsi="宋体" w:eastAsia="宋体" w:cs="宋体"/>
                <w:color w:val="000000"/>
                <w:sz w:val="24"/>
                <w:szCs w:val="22"/>
              </w:rPr>
              <w:t>评分标准</w:t>
            </w:r>
          </w:p>
        </w:tc>
        <w:tc>
          <w:tcPr>
            <w:tcW w:w="1560" w:type="dxa"/>
            <w:noWrap w:val="0"/>
            <w:vAlign w:val="center"/>
          </w:tcPr>
          <w:p>
            <w:pPr>
              <w:spacing w:line="400" w:lineRule="exact"/>
              <w:ind w:left="0" w:leftChars="0" w:firstLine="0" w:firstLineChars="0"/>
              <w:jc w:val="left"/>
              <w:rPr>
                <w:rFonts w:hint="eastAsia" w:ascii="宋体" w:hAnsi="宋体" w:eastAsia="宋体" w:cs="宋体"/>
                <w:color w:val="000000"/>
                <w:sz w:val="24"/>
                <w:szCs w:val="22"/>
              </w:rPr>
            </w:pPr>
            <w:r>
              <w:rPr>
                <w:rFonts w:hint="eastAsia" w:ascii="宋体" w:hAnsi="宋体" w:eastAsia="宋体" w:cs="宋体"/>
                <w:color w:val="000000"/>
                <w:sz w:val="24"/>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609" w:type="dxa"/>
            <w:noWrap w:val="0"/>
            <w:vAlign w:val="center"/>
          </w:tcPr>
          <w:p>
            <w:pPr>
              <w:spacing w:line="400" w:lineRule="exact"/>
              <w:ind w:left="0" w:leftChars="0" w:firstLine="0" w:firstLineChars="0"/>
              <w:jc w:val="left"/>
              <w:rPr>
                <w:rFonts w:hint="eastAsia" w:ascii="宋体" w:hAnsi="宋体" w:eastAsia="宋体" w:cs="宋体"/>
                <w:color w:val="000000"/>
                <w:sz w:val="24"/>
                <w:szCs w:val="22"/>
              </w:rPr>
            </w:pPr>
            <w:r>
              <w:rPr>
                <w:rFonts w:hint="eastAsia" w:ascii="宋体" w:hAnsi="宋体" w:eastAsia="宋体" w:cs="宋体"/>
                <w:color w:val="000000"/>
                <w:sz w:val="24"/>
                <w:szCs w:val="22"/>
              </w:rPr>
              <w:t>1</w:t>
            </w:r>
          </w:p>
        </w:tc>
        <w:tc>
          <w:tcPr>
            <w:tcW w:w="1446" w:type="dxa"/>
            <w:noWrap w:val="0"/>
            <w:vAlign w:val="center"/>
          </w:tcPr>
          <w:p>
            <w:pPr>
              <w:spacing w:line="400" w:lineRule="exact"/>
              <w:ind w:left="0" w:leftChars="0" w:firstLine="0" w:firstLineChars="0"/>
              <w:jc w:val="left"/>
              <w:rPr>
                <w:rFonts w:hint="eastAsia" w:ascii="宋体" w:hAnsi="宋体" w:eastAsia="宋体" w:cs="宋体"/>
                <w:color w:val="000000"/>
                <w:sz w:val="24"/>
                <w:szCs w:val="22"/>
              </w:rPr>
            </w:pPr>
            <w:r>
              <w:rPr>
                <w:rFonts w:hint="eastAsia" w:ascii="宋体" w:hAnsi="宋体" w:eastAsia="宋体" w:cs="宋体"/>
                <w:color w:val="000000"/>
                <w:sz w:val="24"/>
                <w:szCs w:val="22"/>
              </w:rPr>
              <w:t>报价</w:t>
            </w:r>
            <w:r>
              <w:rPr>
                <w:rFonts w:hint="eastAsia" w:cs="宋体"/>
                <w:color w:val="000000"/>
                <w:sz w:val="24"/>
                <w:szCs w:val="22"/>
                <w:lang w:val="en-US" w:eastAsia="zh-CN"/>
              </w:rPr>
              <w:t>20</w:t>
            </w:r>
            <w:r>
              <w:rPr>
                <w:rFonts w:hint="eastAsia" w:ascii="宋体" w:hAnsi="宋体" w:eastAsia="宋体" w:cs="宋体"/>
                <w:color w:val="000000"/>
                <w:sz w:val="24"/>
                <w:szCs w:val="22"/>
              </w:rPr>
              <w:t>%</w:t>
            </w:r>
          </w:p>
        </w:tc>
        <w:tc>
          <w:tcPr>
            <w:tcW w:w="930" w:type="dxa"/>
            <w:noWrap w:val="0"/>
            <w:vAlign w:val="center"/>
          </w:tcPr>
          <w:p>
            <w:pPr>
              <w:spacing w:line="400" w:lineRule="exact"/>
              <w:ind w:left="0" w:leftChars="0" w:firstLine="0" w:firstLineChars="0"/>
              <w:jc w:val="left"/>
              <w:rPr>
                <w:rFonts w:hint="eastAsia" w:ascii="宋体" w:hAnsi="宋体" w:eastAsia="宋体" w:cs="宋体"/>
                <w:color w:val="000000"/>
                <w:sz w:val="24"/>
                <w:szCs w:val="22"/>
              </w:rPr>
            </w:pPr>
            <w:r>
              <w:rPr>
                <w:rFonts w:hint="eastAsia" w:cs="宋体"/>
                <w:color w:val="000000"/>
                <w:sz w:val="24"/>
                <w:szCs w:val="22"/>
                <w:lang w:val="en-US" w:eastAsia="zh-CN"/>
              </w:rPr>
              <w:t>20</w:t>
            </w:r>
            <w:r>
              <w:rPr>
                <w:rFonts w:hint="eastAsia" w:ascii="宋体" w:hAnsi="宋体" w:eastAsia="宋体" w:cs="宋体"/>
                <w:color w:val="000000"/>
                <w:sz w:val="24"/>
                <w:szCs w:val="22"/>
              </w:rPr>
              <w:t>分</w:t>
            </w:r>
          </w:p>
        </w:tc>
        <w:tc>
          <w:tcPr>
            <w:tcW w:w="6135" w:type="dxa"/>
            <w:noWrap w:val="0"/>
            <w:vAlign w:val="center"/>
          </w:tcPr>
          <w:p>
            <w:pPr>
              <w:numPr>
                <w:ilvl w:val="0"/>
                <w:numId w:val="0"/>
              </w:numPr>
              <w:ind w:leftChars="0"/>
              <w:rPr>
                <w:rFonts w:hint="eastAsia" w:ascii="宋体" w:hAnsi="Times New Roman" w:eastAsia="宋体" w:cs="Times New Roman"/>
                <w:color w:val="auto"/>
                <w:sz w:val="24"/>
                <w:szCs w:val="24"/>
                <w:lang w:val="en-US" w:eastAsia="zh-CN"/>
              </w:rPr>
            </w:pPr>
            <w:r>
              <w:rPr>
                <w:rFonts w:hint="eastAsia" w:ascii="宋体" w:hAnsi="Times New Roman" w:eastAsia="宋体" w:cs="Times New Roman"/>
                <w:color w:val="auto"/>
                <w:sz w:val="24"/>
                <w:szCs w:val="24"/>
                <w:lang w:val="en-US" w:eastAsia="zh-CN"/>
              </w:rPr>
              <w:t>满足</w:t>
            </w:r>
            <w:r>
              <w:rPr>
                <w:rFonts w:hint="eastAsia" w:hAnsi="Times New Roman" w:eastAsia="宋体" w:cs="Times New Roman"/>
                <w:color w:val="auto"/>
                <w:sz w:val="24"/>
                <w:szCs w:val="24"/>
                <w:lang w:val="en-US" w:eastAsia="zh-CN"/>
              </w:rPr>
              <w:t>磋商</w:t>
            </w:r>
            <w:r>
              <w:rPr>
                <w:rFonts w:hint="eastAsia" w:ascii="宋体" w:hAnsi="Times New Roman" w:eastAsia="宋体" w:cs="Times New Roman"/>
                <w:color w:val="auto"/>
                <w:sz w:val="24"/>
                <w:szCs w:val="24"/>
                <w:lang w:val="en-US" w:eastAsia="zh-CN"/>
              </w:rPr>
              <w:t>文件要求且响应价格最低的响应报价为基准价，其价格分为满分。其他供应商的价格分统一按照下列公式计算：报价得分=(基准价／报价)×20%×100。</w:t>
            </w:r>
          </w:p>
          <w:p>
            <w:pPr>
              <w:numPr>
                <w:ilvl w:val="0"/>
                <w:numId w:val="0"/>
              </w:numPr>
              <w:ind w:leftChars="0"/>
              <w:rPr>
                <w:rFonts w:hint="eastAsia"/>
              </w:rPr>
            </w:pPr>
            <w:r>
              <w:rPr>
                <w:rFonts w:hint="eastAsia" w:ascii="宋体" w:hAnsi="Times New Roman" w:eastAsia="宋体" w:cs="Times New Roman"/>
                <w:color w:val="auto"/>
                <w:sz w:val="24"/>
                <w:szCs w:val="24"/>
                <w:lang w:val="en-US" w:eastAsia="zh-CN"/>
              </w:rPr>
              <w:t>注：对供应商的失信行为给予10%/次的报价累加加成，加成后的报价超过预算的，视为无效响应文件。</w:t>
            </w:r>
          </w:p>
        </w:tc>
        <w:tc>
          <w:tcPr>
            <w:tcW w:w="1560" w:type="dxa"/>
            <w:noWrap w:val="0"/>
            <w:vAlign w:val="center"/>
          </w:tcPr>
          <w:p>
            <w:pPr>
              <w:numPr>
                <w:ilvl w:val="0"/>
                <w:numId w:val="0"/>
              </w:numPr>
              <w:spacing w:line="400" w:lineRule="exact"/>
              <w:jc w:val="left"/>
              <w:rPr>
                <w:rFonts w:hint="eastAsia" w:ascii="宋体" w:hAnsi="宋体" w:eastAsia="宋体" w:cs="宋体"/>
                <w:color w:val="000000"/>
                <w:sz w:val="24"/>
                <w:szCs w:val="22"/>
              </w:rPr>
            </w:pPr>
            <w:r>
              <w:rPr>
                <w:rFonts w:hint="eastAsia" w:ascii="宋体" w:hAnsi="宋体" w:eastAsia="宋体" w:cs="宋体"/>
                <w:color w:val="000000"/>
                <w:sz w:val="24"/>
                <w:szCs w:val="22"/>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9" w:type="dxa"/>
            <w:noWrap w:val="0"/>
            <w:vAlign w:val="center"/>
          </w:tcPr>
          <w:p>
            <w:pPr>
              <w:spacing w:line="400" w:lineRule="exact"/>
              <w:ind w:left="0" w:leftChars="0" w:firstLine="0" w:firstLineChars="0"/>
              <w:jc w:val="left"/>
              <w:rPr>
                <w:rFonts w:hint="eastAsia" w:ascii="宋体" w:hAnsi="宋体" w:eastAsia="宋体" w:cs="宋体"/>
                <w:color w:val="000000"/>
                <w:sz w:val="24"/>
                <w:szCs w:val="22"/>
                <w:lang w:val="en-US" w:eastAsia="zh-CN"/>
              </w:rPr>
            </w:pPr>
            <w:r>
              <w:rPr>
                <w:rFonts w:hint="eastAsia" w:cs="宋体"/>
                <w:color w:val="000000"/>
                <w:sz w:val="24"/>
                <w:szCs w:val="22"/>
                <w:lang w:val="en-US" w:eastAsia="zh-CN"/>
              </w:rPr>
              <w:t>2</w:t>
            </w:r>
          </w:p>
        </w:tc>
        <w:tc>
          <w:tcPr>
            <w:tcW w:w="1446" w:type="dxa"/>
            <w:noWrap w:val="0"/>
            <w:vAlign w:val="center"/>
          </w:tcPr>
          <w:p>
            <w:pPr>
              <w:spacing w:line="400" w:lineRule="exact"/>
              <w:ind w:left="0" w:leftChars="0" w:firstLine="0" w:firstLineChars="0"/>
              <w:jc w:val="both"/>
              <w:rPr>
                <w:rFonts w:hint="eastAsia" w:ascii="宋体" w:hAnsi="宋体" w:eastAsia="宋体" w:cs="Times New Roman"/>
                <w:color w:val="auto"/>
                <w:sz w:val="24"/>
                <w:lang w:val="en-US" w:eastAsia="zh-CN" w:bidi="ar-SA"/>
              </w:rPr>
            </w:pPr>
            <w:r>
              <w:rPr>
                <w:rFonts w:hint="eastAsia" w:ascii="宋体" w:hAnsi="宋体"/>
                <w:color w:val="auto"/>
                <w:sz w:val="24"/>
              </w:rPr>
              <w:t>维修维保服务方案</w:t>
            </w:r>
            <w:r>
              <w:rPr>
                <w:rFonts w:hint="eastAsia" w:ascii="宋体" w:hAnsi="宋体"/>
                <w:color w:val="auto"/>
                <w:sz w:val="24"/>
                <w:lang w:val="en-US" w:eastAsia="zh-CN"/>
              </w:rPr>
              <w:t>18</w:t>
            </w:r>
            <w:r>
              <w:rPr>
                <w:rFonts w:hint="eastAsia" w:ascii="宋体" w:hAnsi="宋体"/>
                <w:color w:val="auto"/>
                <w:sz w:val="24"/>
              </w:rPr>
              <w:t>%</w:t>
            </w:r>
          </w:p>
        </w:tc>
        <w:tc>
          <w:tcPr>
            <w:tcW w:w="930" w:type="dxa"/>
            <w:noWrap w:val="0"/>
            <w:vAlign w:val="center"/>
          </w:tcPr>
          <w:p>
            <w:pPr>
              <w:spacing w:line="400" w:lineRule="exact"/>
              <w:ind w:left="0" w:leftChars="0" w:firstLine="0" w:firstLineChars="0"/>
              <w:jc w:val="both"/>
              <w:rPr>
                <w:rFonts w:hint="eastAsia" w:ascii="宋体" w:hAnsi="宋体" w:eastAsia="宋体" w:cs="Times New Roman"/>
                <w:color w:val="auto"/>
                <w:sz w:val="24"/>
                <w:lang w:val="en-US" w:eastAsia="zh-CN" w:bidi="ar-SA"/>
              </w:rPr>
            </w:pPr>
            <w:r>
              <w:rPr>
                <w:rFonts w:hint="eastAsia" w:ascii="宋体" w:hAnsi="宋体"/>
                <w:color w:val="auto"/>
                <w:sz w:val="24"/>
                <w:lang w:val="en-US" w:eastAsia="zh-CN"/>
              </w:rPr>
              <w:t>18</w:t>
            </w:r>
            <w:r>
              <w:rPr>
                <w:rFonts w:hint="eastAsia" w:ascii="宋体" w:hAnsi="宋体"/>
                <w:color w:val="auto"/>
                <w:sz w:val="24"/>
              </w:rPr>
              <w:t>分</w:t>
            </w:r>
          </w:p>
        </w:tc>
        <w:tc>
          <w:tcPr>
            <w:tcW w:w="6135" w:type="dxa"/>
            <w:noWrap w:val="0"/>
            <w:vAlign w:val="center"/>
          </w:tcPr>
          <w:p>
            <w:pPr>
              <w:numPr>
                <w:ilvl w:val="0"/>
                <w:numId w:val="0"/>
              </w:numPr>
              <w:ind w:leftChars="0"/>
              <w:rPr>
                <w:rFonts w:hint="eastAsia" w:ascii="宋体" w:hAnsi="宋体" w:eastAsia="宋体" w:cs="Times New Roman"/>
                <w:color w:val="auto"/>
                <w:sz w:val="24"/>
                <w:lang w:val="en-US" w:eastAsia="zh-CN" w:bidi="ar-SA"/>
              </w:rPr>
            </w:pPr>
            <w:r>
              <w:rPr>
                <w:rFonts w:hint="eastAsia" w:ascii="宋体" w:hAnsi="宋体"/>
                <w:color w:val="auto"/>
                <w:sz w:val="24"/>
              </w:rPr>
              <w:t>供应商提供</w:t>
            </w:r>
            <w:r>
              <w:rPr>
                <w:rFonts w:hint="eastAsia" w:ascii="宋体" w:hAnsi="宋体"/>
                <w:color w:val="auto"/>
                <w:sz w:val="24"/>
                <w:lang w:val="en-US" w:eastAsia="zh-CN"/>
              </w:rPr>
              <w:t>完整的</w:t>
            </w:r>
            <w:r>
              <w:rPr>
                <w:rFonts w:hint="eastAsia" w:ascii="宋体" w:hAnsi="宋体"/>
                <w:color w:val="auto"/>
                <w:sz w:val="24"/>
              </w:rPr>
              <w:t>维修维保服务方案（包括1.项目服务流程</w:t>
            </w:r>
            <w:r>
              <w:rPr>
                <w:rFonts w:hint="eastAsia" w:ascii="宋体" w:hAnsi="宋体"/>
                <w:color w:val="auto"/>
                <w:sz w:val="24"/>
                <w:lang w:eastAsia="zh-CN"/>
              </w:rPr>
              <w:t>；</w:t>
            </w:r>
            <w:r>
              <w:rPr>
                <w:rFonts w:hint="eastAsia" w:ascii="宋体" w:hAnsi="宋体"/>
                <w:color w:val="auto"/>
                <w:sz w:val="24"/>
              </w:rPr>
              <w:t>2.</w:t>
            </w:r>
            <w:r>
              <w:rPr>
                <w:rFonts w:hint="eastAsia" w:ascii="宋体" w:hAnsi="宋体" w:cs="宋体"/>
                <w:sz w:val="24"/>
              </w:rPr>
              <w:t>材料和构件供应计划</w:t>
            </w:r>
            <w:r>
              <w:rPr>
                <w:rFonts w:hint="eastAsia" w:ascii="宋体" w:hAnsi="宋体"/>
                <w:color w:val="auto"/>
                <w:sz w:val="24"/>
                <w:lang w:eastAsia="zh-CN"/>
              </w:rPr>
              <w:t>；</w:t>
            </w:r>
            <w:r>
              <w:rPr>
                <w:rFonts w:hint="eastAsia" w:ascii="宋体" w:hAnsi="宋体"/>
                <w:color w:val="auto"/>
                <w:sz w:val="24"/>
              </w:rPr>
              <w:t>3.组织措施</w:t>
            </w:r>
            <w:r>
              <w:rPr>
                <w:rFonts w:hint="eastAsia" w:ascii="宋体" w:hAnsi="宋体"/>
                <w:color w:val="auto"/>
                <w:sz w:val="24"/>
                <w:lang w:eastAsia="zh-CN"/>
              </w:rPr>
              <w:t>；</w:t>
            </w:r>
            <w:r>
              <w:rPr>
                <w:rFonts w:hint="eastAsia" w:ascii="宋体" w:hAnsi="宋体"/>
                <w:color w:val="auto"/>
                <w:sz w:val="24"/>
              </w:rPr>
              <w:t>4.技术措施</w:t>
            </w:r>
            <w:r>
              <w:rPr>
                <w:rFonts w:hint="eastAsia" w:ascii="宋体" w:hAnsi="宋体"/>
                <w:color w:val="auto"/>
                <w:sz w:val="24"/>
                <w:lang w:eastAsia="zh-CN"/>
              </w:rPr>
              <w:t>；</w:t>
            </w:r>
            <w:r>
              <w:rPr>
                <w:rFonts w:hint="eastAsia" w:ascii="宋体" w:hAnsi="宋体"/>
                <w:color w:val="auto"/>
                <w:sz w:val="24"/>
              </w:rPr>
              <w:t>5.巡检方案</w:t>
            </w:r>
            <w:r>
              <w:rPr>
                <w:rFonts w:hint="eastAsia" w:ascii="宋体" w:hAnsi="宋体"/>
                <w:color w:val="auto"/>
                <w:sz w:val="24"/>
                <w:lang w:eastAsia="zh-CN"/>
              </w:rPr>
              <w:t>；</w:t>
            </w:r>
            <w:r>
              <w:rPr>
                <w:rFonts w:hint="eastAsia" w:ascii="宋体" w:hAnsi="宋体"/>
                <w:color w:val="auto"/>
                <w:sz w:val="24"/>
              </w:rPr>
              <w:t>6.服务质量保证措施）</w:t>
            </w:r>
            <w:r>
              <w:rPr>
                <w:rFonts w:hint="eastAsia"/>
                <w:color w:val="auto"/>
                <w:sz w:val="24"/>
                <w:szCs w:val="24"/>
                <w:lang w:val="en-US" w:eastAsia="zh-CN"/>
              </w:rPr>
              <w:t>得18分；每缺失一项扣3分；每有一处具有缺陷（缺陷是指：存在不适用项目实际情况的情形、凭空编造、内容前后不一致、前后逻辑错误、涉及的规范及标准错误、地点区域错误、套用其他无关内容、不符合采购需求等）的扣1.5分，扣完为止。</w:t>
            </w:r>
          </w:p>
        </w:tc>
        <w:tc>
          <w:tcPr>
            <w:tcW w:w="1560" w:type="dxa"/>
            <w:noWrap w:val="0"/>
            <w:vAlign w:val="center"/>
          </w:tcPr>
          <w:p>
            <w:pPr>
              <w:numPr>
                <w:ilvl w:val="0"/>
                <w:numId w:val="0"/>
              </w:numPr>
              <w:spacing w:line="400" w:lineRule="exact"/>
              <w:jc w:val="left"/>
              <w:rPr>
                <w:rFonts w:hint="eastAsia" w:ascii="宋体" w:hAnsi="宋体" w:eastAsia="宋体" w:cs="宋体"/>
                <w:color w:val="000000"/>
                <w:sz w:val="24"/>
                <w:szCs w:val="22"/>
              </w:rPr>
            </w:pPr>
            <w:r>
              <w:rPr>
                <w:rFonts w:hint="eastAsia" w:ascii="宋体" w:hAnsi="宋体" w:eastAsia="宋体" w:cs="宋体"/>
                <w:color w:val="000000"/>
                <w:sz w:val="24"/>
                <w:szCs w:val="22"/>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trPr>
        <w:tc>
          <w:tcPr>
            <w:tcW w:w="609" w:type="dxa"/>
            <w:noWrap w:val="0"/>
            <w:vAlign w:val="center"/>
          </w:tcPr>
          <w:p>
            <w:pPr>
              <w:spacing w:line="400" w:lineRule="exact"/>
              <w:ind w:left="0" w:leftChars="0" w:firstLine="0" w:firstLineChars="0"/>
              <w:jc w:val="left"/>
              <w:rPr>
                <w:rFonts w:hint="eastAsia" w:ascii="宋体" w:hAnsi="宋体" w:eastAsia="宋体" w:cs="宋体"/>
                <w:color w:val="000000"/>
                <w:sz w:val="24"/>
                <w:szCs w:val="22"/>
                <w:lang w:val="en-US" w:eastAsia="zh-CN"/>
              </w:rPr>
            </w:pPr>
            <w:r>
              <w:rPr>
                <w:rFonts w:hint="eastAsia" w:cs="宋体"/>
                <w:color w:val="000000"/>
                <w:sz w:val="24"/>
                <w:szCs w:val="22"/>
                <w:lang w:val="en-US" w:eastAsia="zh-CN"/>
              </w:rPr>
              <w:t>3</w:t>
            </w:r>
          </w:p>
        </w:tc>
        <w:tc>
          <w:tcPr>
            <w:tcW w:w="1446" w:type="dxa"/>
            <w:noWrap w:val="0"/>
            <w:vAlign w:val="center"/>
          </w:tcPr>
          <w:p>
            <w:pPr>
              <w:spacing w:line="400" w:lineRule="exact"/>
              <w:ind w:left="0" w:leftChars="0" w:firstLine="0" w:firstLineChars="0"/>
              <w:jc w:val="both"/>
              <w:rPr>
                <w:rFonts w:hint="eastAsia" w:ascii="宋体" w:hAnsi="宋体" w:eastAsia="宋体" w:cs="Times New Roman"/>
                <w:color w:val="auto"/>
                <w:sz w:val="24"/>
                <w:lang w:val="en-US" w:eastAsia="zh-CN" w:bidi="ar-SA"/>
              </w:rPr>
            </w:pPr>
            <w:r>
              <w:rPr>
                <w:rFonts w:hint="eastAsia" w:ascii="宋体" w:hAnsi="宋体"/>
                <w:color w:val="auto"/>
                <w:sz w:val="24"/>
              </w:rPr>
              <w:t>应急方案</w:t>
            </w:r>
            <w:r>
              <w:rPr>
                <w:rFonts w:hint="eastAsia" w:ascii="宋体" w:hAnsi="宋体"/>
                <w:color w:val="auto"/>
                <w:sz w:val="24"/>
                <w:lang w:val="en-US" w:eastAsia="zh-CN"/>
              </w:rPr>
              <w:t>1</w:t>
            </w:r>
            <w:r>
              <w:rPr>
                <w:rFonts w:hint="eastAsia" w:hAnsi="宋体"/>
                <w:color w:val="auto"/>
                <w:sz w:val="24"/>
                <w:lang w:val="en-US" w:eastAsia="zh-CN"/>
              </w:rPr>
              <w:t>6</w:t>
            </w:r>
            <w:r>
              <w:rPr>
                <w:rFonts w:hint="eastAsia" w:ascii="宋体" w:hAnsi="宋体"/>
                <w:color w:val="auto"/>
                <w:sz w:val="24"/>
              </w:rPr>
              <w:t>%</w:t>
            </w:r>
          </w:p>
        </w:tc>
        <w:tc>
          <w:tcPr>
            <w:tcW w:w="930" w:type="dxa"/>
            <w:noWrap w:val="0"/>
            <w:vAlign w:val="center"/>
          </w:tcPr>
          <w:p>
            <w:pPr>
              <w:spacing w:line="400" w:lineRule="exact"/>
              <w:ind w:left="0" w:leftChars="0" w:firstLine="0" w:firstLineChars="0"/>
              <w:jc w:val="both"/>
              <w:rPr>
                <w:rFonts w:hint="eastAsia" w:ascii="宋体" w:hAnsi="宋体" w:eastAsia="宋体" w:cs="Times New Roman"/>
                <w:color w:val="auto"/>
                <w:sz w:val="24"/>
                <w:lang w:val="en-US" w:eastAsia="zh-CN" w:bidi="ar-SA"/>
              </w:rPr>
            </w:pPr>
            <w:r>
              <w:rPr>
                <w:rFonts w:hint="eastAsia" w:ascii="宋体" w:hAnsi="宋体"/>
                <w:color w:val="auto"/>
                <w:sz w:val="24"/>
                <w:lang w:val="en-US" w:eastAsia="zh-CN"/>
              </w:rPr>
              <w:t>1</w:t>
            </w:r>
            <w:r>
              <w:rPr>
                <w:rFonts w:hint="eastAsia" w:hAnsi="宋体"/>
                <w:color w:val="auto"/>
                <w:sz w:val="24"/>
                <w:lang w:val="en-US" w:eastAsia="zh-CN"/>
              </w:rPr>
              <w:t>6</w:t>
            </w:r>
            <w:r>
              <w:rPr>
                <w:rFonts w:hint="eastAsia" w:ascii="宋体" w:hAnsi="宋体"/>
                <w:color w:val="auto"/>
                <w:sz w:val="24"/>
              </w:rPr>
              <w:t>分</w:t>
            </w:r>
          </w:p>
        </w:tc>
        <w:tc>
          <w:tcPr>
            <w:tcW w:w="6135" w:type="dxa"/>
            <w:noWrap w:val="0"/>
            <w:vAlign w:val="center"/>
          </w:tcPr>
          <w:p>
            <w:pPr>
              <w:numPr>
                <w:ilvl w:val="0"/>
                <w:numId w:val="0"/>
              </w:numPr>
              <w:ind w:leftChars="0"/>
              <w:rPr>
                <w:rFonts w:hint="eastAsia" w:ascii="宋体" w:hAnsi="宋体" w:eastAsia="宋体" w:cs="Times New Roman"/>
                <w:color w:val="auto"/>
                <w:sz w:val="24"/>
                <w:lang w:val="en-US" w:eastAsia="zh-CN" w:bidi="ar-SA"/>
              </w:rPr>
            </w:pPr>
            <w:r>
              <w:rPr>
                <w:rFonts w:hint="eastAsia" w:ascii="宋体" w:hAnsi="宋体"/>
                <w:color w:val="auto"/>
                <w:sz w:val="24"/>
              </w:rPr>
              <w:t>供应商提供</w:t>
            </w:r>
            <w:r>
              <w:rPr>
                <w:rFonts w:hint="eastAsia" w:ascii="宋体" w:hAnsi="宋体"/>
                <w:color w:val="auto"/>
                <w:sz w:val="24"/>
                <w:lang w:val="en-US" w:eastAsia="zh-CN"/>
              </w:rPr>
              <w:t>完整的</w:t>
            </w:r>
            <w:r>
              <w:rPr>
                <w:rFonts w:hint="eastAsia" w:ascii="宋体" w:hAnsi="宋体"/>
                <w:color w:val="auto"/>
                <w:sz w:val="24"/>
              </w:rPr>
              <w:t>应急方案（包括1.应急组成人员、2.事故发生后的应急措施、3.应急响应时间、4.</w:t>
            </w:r>
            <w:r>
              <w:rPr>
                <w:rFonts w:hint="eastAsia" w:ascii="宋体" w:hAnsi="宋体" w:eastAsia="宋体" w:cs="宋体"/>
                <w:sz w:val="24"/>
                <w:szCs w:val="22"/>
              </w:rPr>
              <w:t>应急预案</w:t>
            </w:r>
            <w:r>
              <w:rPr>
                <w:rFonts w:hint="eastAsia" w:ascii="宋体" w:hAnsi="宋体"/>
                <w:color w:val="auto"/>
                <w:sz w:val="24"/>
              </w:rPr>
              <w:t>）</w:t>
            </w:r>
            <w:r>
              <w:rPr>
                <w:rFonts w:hint="eastAsia"/>
                <w:color w:val="auto"/>
                <w:sz w:val="24"/>
                <w:szCs w:val="24"/>
                <w:lang w:val="en-US" w:eastAsia="zh-CN"/>
              </w:rPr>
              <w:t>得16分；每缺失一项扣4分；每有一处具有缺陷（缺陷是指：存在不适用项目实际情况的情形、凭空编造、内容前后不一致、前后逻辑错误、涉及的规范及标准错误、地点区域错误、套用其他无关内容、不符合采购需求等）的扣2分，扣完为止。</w:t>
            </w:r>
          </w:p>
        </w:tc>
        <w:tc>
          <w:tcPr>
            <w:tcW w:w="1560" w:type="dxa"/>
            <w:noWrap w:val="0"/>
            <w:vAlign w:val="center"/>
          </w:tcPr>
          <w:p>
            <w:pPr>
              <w:numPr>
                <w:ilvl w:val="0"/>
                <w:numId w:val="0"/>
              </w:numPr>
              <w:spacing w:line="400" w:lineRule="exact"/>
              <w:jc w:val="left"/>
              <w:rPr>
                <w:rFonts w:hint="eastAsia" w:ascii="宋体" w:hAnsi="宋体" w:eastAsia="宋体" w:cs="宋体"/>
                <w:color w:val="000000"/>
                <w:sz w:val="24"/>
                <w:szCs w:val="22"/>
              </w:rPr>
            </w:pPr>
            <w:r>
              <w:rPr>
                <w:rFonts w:hint="eastAsia" w:ascii="宋体" w:hAnsi="宋体" w:eastAsia="宋体" w:cs="宋体"/>
                <w:color w:val="000000"/>
                <w:sz w:val="24"/>
                <w:szCs w:val="22"/>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09" w:type="dxa"/>
            <w:noWrap w:val="0"/>
            <w:vAlign w:val="center"/>
          </w:tcPr>
          <w:p>
            <w:pPr>
              <w:spacing w:line="400" w:lineRule="exact"/>
              <w:ind w:left="0" w:leftChars="0" w:firstLine="0" w:firstLineChars="0"/>
              <w:jc w:val="left"/>
              <w:rPr>
                <w:rFonts w:hint="eastAsia" w:ascii="宋体" w:hAnsi="宋体" w:eastAsia="宋体" w:cs="宋体"/>
                <w:color w:val="000000"/>
                <w:sz w:val="24"/>
                <w:szCs w:val="22"/>
                <w:lang w:val="en-US" w:eastAsia="zh-CN"/>
              </w:rPr>
            </w:pPr>
            <w:r>
              <w:rPr>
                <w:rFonts w:hint="eastAsia" w:cs="宋体"/>
                <w:color w:val="000000"/>
                <w:sz w:val="24"/>
                <w:szCs w:val="22"/>
                <w:lang w:val="en-US" w:eastAsia="zh-CN"/>
              </w:rPr>
              <w:t>4</w:t>
            </w:r>
          </w:p>
        </w:tc>
        <w:tc>
          <w:tcPr>
            <w:tcW w:w="1446" w:type="dxa"/>
            <w:noWrap w:val="0"/>
            <w:vAlign w:val="center"/>
          </w:tcPr>
          <w:p>
            <w:pPr>
              <w:spacing w:line="400" w:lineRule="exact"/>
              <w:ind w:left="0" w:leftChars="0" w:firstLine="0" w:firstLineChars="0"/>
              <w:jc w:val="both"/>
              <w:rPr>
                <w:rFonts w:hint="eastAsia" w:ascii="宋体" w:hAnsi="宋体" w:eastAsia="宋体" w:cs="Times New Roman"/>
                <w:color w:val="auto"/>
                <w:sz w:val="24"/>
                <w:lang w:val="en-US" w:eastAsia="zh-CN" w:bidi="ar-SA"/>
              </w:rPr>
            </w:pPr>
            <w:r>
              <w:rPr>
                <w:rFonts w:hint="eastAsia" w:ascii="宋体" w:hAnsi="宋体"/>
                <w:color w:val="auto"/>
                <w:sz w:val="24"/>
              </w:rPr>
              <w:t>安全作业保障方案</w:t>
            </w:r>
            <w:r>
              <w:rPr>
                <w:rFonts w:hint="eastAsia" w:ascii="宋体" w:hAnsi="宋体"/>
                <w:color w:val="auto"/>
                <w:sz w:val="24"/>
                <w:lang w:val="en-US" w:eastAsia="zh-CN"/>
              </w:rPr>
              <w:t>9</w:t>
            </w:r>
            <w:r>
              <w:rPr>
                <w:rFonts w:hint="eastAsia" w:ascii="宋体" w:hAnsi="宋体"/>
                <w:color w:val="auto"/>
                <w:sz w:val="24"/>
              </w:rPr>
              <w:t>%</w:t>
            </w:r>
          </w:p>
        </w:tc>
        <w:tc>
          <w:tcPr>
            <w:tcW w:w="930" w:type="dxa"/>
            <w:noWrap w:val="0"/>
            <w:vAlign w:val="center"/>
          </w:tcPr>
          <w:p>
            <w:pPr>
              <w:spacing w:line="400" w:lineRule="exact"/>
              <w:ind w:left="0" w:leftChars="0" w:firstLine="0" w:firstLineChars="0"/>
              <w:jc w:val="both"/>
              <w:rPr>
                <w:rFonts w:hint="eastAsia" w:ascii="宋体" w:hAnsi="宋体" w:eastAsia="宋体" w:cs="Times New Roman"/>
                <w:color w:val="auto"/>
                <w:sz w:val="24"/>
                <w:lang w:val="en-US" w:eastAsia="zh-CN" w:bidi="ar-SA"/>
              </w:rPr>
            </w:pPr>
            <w:r>
              <w:rPr>
                <w:rFonts w:hint="eastAsia" w:ascii="宋体" w:hAnsi="宋体"/>
                <w:color w:val="auto"/>
                <w:sz w:val="24"/>
                <w:lang w:val="en-US" w:eastAsia="zh-CN"/>
              </w:rPr>
              <w:t>9</w:t>
            </w:r>
            <w:r>
              <w:rPr>
                <w:rFonts w:hint="eastAsia" w:ascii="宋体" w:hAnsi="宋体"/>
                <w:color w:val="auto"/>
                <w:sz w:val="24"/>
              </w:rPr>
              <w:t>分</w:t>
            </w:r>
          </w:p>
        </w:tc>
        <w:tc>
          <w:tcPr>
            <w:tcW w:w="6135" w:type="dxa"/>
            <w:noWrap w:val="0"/>
            <w:vAlign w:val="center"/>
          </w:tcPr>
          <w:p>
            <w:pPr>
              <w:numPr>
                <w:ilvl w:val="0"/>
                <w:numId w:val="0"/>
              </w:numPr>
              <w:ind w:leftChars="0"/>
              <w:rPr>
                <w:rFonts w:hint="eastAsia" w:ascii="宋体" w:hAnsi="宋体" w:eastAsia="宋体" w:cs="Times New Roman"/>
                <w:color w:val="auto"/>
                <w:sz w:val="24"/>
                <w:lang w:val="en-US" w:eastAsia="zh-CN" w:bidi="ar-SA"/>
              </w:rPr>
            </w:pPr>
            <w:r>
              <w:rPr>
                <w:rFonts w:hint="eastAsia" w:ascii="宋体" w:hAnsi="宋体"/>
                <w:color w:val="auto"/>
                <w:sz w:val="24"/>
              </w:rPr>
              <w:t>供应商提供</w:t>
            </w:r>
            <w:r>
              <w:rPr>
                <w:rFonts w:hint="eastAsia" w:ascii="宋体" w:hAnsi="宋体"/>
                <w:color w:val="auto"/>
                <w:sz w:val="24"/>
                <w:lang w:val="en-US" w:eastAsia="zh-CN"/>
              </w:rPr>
              <w:t>完整的</w:t>
            </w:r>
            <w:r>
              <w:rPr>
                <w:rFonts w:hint="eastAsia" w:ascii="宋体" w:hAnsi="宋体"/>
                <w:color w:val="auto"/>
                <w:sz w:val="24"/>
              </w:rPr>
              <w:t>安全作业保障方案（包括1.安全文明措施、2.安全管理及设施、3.安全维护及现场秩序保障</w:t>
            </w:r>
            <w:r>
              <w:rPr>
                <w:rFonts w:hint="eastAsia" w:ascii="宋体" w:hAnsi="宋体"/>
                <w:color w:val="auto"/>
                <w:sz w:val="24"/>
                <w:lang w:eastAsia="zh-CN"/>
              </w:rPr>
              <w:t>）</w:t>
            </w:r>
            <w:r>
              <w:rPr>
                <w:rFonts w:hint="eastAsia"/>
                <w:color w:val="auto"/>
                <w:sz w:val="24"/>
                <w:szCs w:val="24"/>
                <w:lang w:val="en-US" w:eastAsia="zh-CN"/>
              </w:rPr>
              <w:t>得9分；每缺失一项扣3分；每有一处具有缺陷（缺陷是指：存在不适用项目实际情况的情形、凭空编造、内容前后不一致、前后逻辑错误、涉及的规范及标准错误、地点区域错误、套用其他无关内容、不符合采购需求等）的扣1.5分，扣完为止。</w:t>
            </w:r>
          </w:p>
        </w:tc>
        <w:tc>
          <w:tcPr>
            <w:tcW w:w="1560" w:type="dxa"/>
            <w:noWrap w:val="0"/>
            <w:vAlign w:val="center"/>
          </w:tcPr>
          <w:p>
            <w:pPr>
              <w:numPr>
                <w:ilvl w:val="0"/>
                <w:numId w:val="0"/>
              </w:numPr>
              <w:spacing w:line="400" w:lineRule="exact"/>
              <w:jc w:val="left"/>
              <w:rPr>
                <w:rFonts w:hint="eastAsia" w:ascii="宋体" w:hAnsi="宋体" w:eastAsia="宋体" w:cs="宋体"/>
                <w:color w:val="000000"/>
                <w:sz w:val="24"/>
                <w:szCs w:val="22"/>
              </w:rPr>
            </w:pPr>
            <w:r>
              <w:rPr>
                <w:rFonts w:hint="eastAsia" w:ascii="宋体" w:hAnsi="宋体" w:eastAsia="宋体" w:cs="宋体"/>
                <w:color w:val="000000"/>
                <w:sz w:val="24"/>
                <w:szCs w:val="22"/>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trPr>
        <w:tc>
          <w:tcPr>
            <w:tcW w:w="609" w:type="dxa"/>
            <w:noWrap w:val="0"/>
            <w:vAlign w:val="center"/>
          </w:tcPr>
          <w:p>
            <w:pPr>
              <w:spacing w:line="400" w:lineRule="exact"/>
              <w:ind w:left="0" w:leftChars="0" w:firstLine="0" w:firstLineChars="0"/>
              <w:jc w:val="left"/>
              <w:rPr>
                <w:rFonts w:hint="eastAsia" w:ascii="宋体" w:hAnsi="宋体" w:eastAsia="宋体" w:cs="宋体"/>
                <w:color w:val="000000"/>
                <w:sz w:val="24"/>
                <w:szCs w:val="22"/>
                <w:lang w:val="en-US" w:eastAsia="zh-CN" w:bidi="ar-SA"/>
              </w:rPr>
            </w:pPr>
            <w:r>
              <w:rPr>
                <w:rFonts w:hint="eastAsia" w:ascii="宋体" w:hAnsi="宋体" w:eastAsia="宋体" w:cs="宋体"/>
                <w:color w:val="000000"/>
                <w:sz w:val="24"/>
                <w:szCs w:val="22"/>
                <w:lang w:val="en-US" w:eastAsia="zh-CN"/>
              </w:rPr>
              <w:t>5</w:t>
            </w:r>
          </w:p>
        </w:tc>
        <w:tc>
          <w:tcPr>
            <w:tcW w:w="1446" w:type="dxa"/>
            <w:noWrap w:val="0"/>
            <w:vAlign w:val="center"/>
          </w:tcPr>
          <w:p>
            <w:pPr>
              <w:ind w:left="0" w:leftChars="0" w:firstLine="0" w:firstLineChars="0"/>
              <w:rPr>
                <w:rFonts w:hint="eastAsia" w:ascii="宋体" w:hAnsi="宋体" w:eastAsia="宋体" w:cs="宋体"/>
                <w:sz w:val="24"/>
                <w:szCs w:val="22"/>
                <w:lang w:val="en-US" w:eastAsia="zh-CN"/>
              </w:rPr>
            </w:pPr>
            <w:r>
              <w:rPr>
                <w:rFonts w:hint="eastAsia" w:ascii="宋体" w:hAnsi="宋体" w:eastAsia="宋体" w:cs="宋体"/>
                <w:sz w:val="24"/>
                <w:szCs w:val="22"/>
              </w:rPr>
              <w:t>售后服务10%</w:t>
            </w:r>
          </w:p>
        </w:tc>
        <w:tc>
          <w:tcPr>
            <w:tcW w:w="930" w:type="dxa"/>
            <w:noWrap w:val="0"/>
            <w:vAlign w:val="center"/>
          </w:tcPr>
          <w:p>
            <w:pPr>
              <w:ind w:left="0" w:leftChars="0" w:firstLine="0" w:firstLineChars="0"/>
              <w:rPr>
                <w:rFonts w:hint="eastAsia" w:ascii="宋体" w:hAnsi="宋体" w:eastAsia="宋体" w:cs="宋体"/>
                <w:sz w:val="24"/>
                <w:szCs w:val="22"/>
                <w:lang w:val="en-US" w:eastAsia="zh-CN"/>
              </w:rPr>
            </w:pPr>
            <w:r>
              <w:rPr>
                <w:rFonts w:hint="eastAsia" w:ascii="宋体" w:hAnsi="宋体" w:eastAsia="宋体" w:cs="宋体"/>
                <w:sz w:val="24"/>
                <w:szCs w:val="22"/>
              </w:rPr>
              <w:t>10分</w:t>
            </w:r>
          </w:p>
        </w:tc>
        <w:tc>
          <w:tcPr>
            <w:tcW w:w="6135" w:type="dxa"/>
            <w:noWrap w:val="0"/>
            <w:vAlign w:val="center"/>
          </w:tcPr>
          <w:p>
            <w:pPr>
              <w:ind w:left="0" w:leftChars="0" w:firstLine="0" w:firstLineChars="0"/>
              <w:rPr>
                <w:rFonts w:hint="eastAsia" w:ascii="宋体" w:hAnsi="宋体" w:eastAsia="宋体" w:cs="宋体"/>
                <w:sz w:val="24"/>
                <w:szCs w:val="22"/>
                <w:lang w:val="en-US" w:eastAsia="zh-CN"/>
              </w:rPr>
            </w:pPr>
            <w:r>
              <w:rPr>
                <w:rFonts w:hint="eastAsia" w:ascii="宋体" w:hAnsi="宋体" w:eastAsia="宋体" w:cs="宋体"/>
                <w:sz w:val="24"/>
                <w:szCs w:val="22"/>
                <w:lang w:val="en-US" w:eastAsia="zh-CN"/>
              </w:rPr>
              <w:t>1、</w:t>
            </w:r>
            <w:r>
              <w:rPr>
                <w:rFonts w:hint="eastAsia" w:ascii="宋体" w:hAnsi="宋体" w:eastAsia="宋体" w:cs="宋体"/>
                <w:sz w:val="24"/>
                <w:szCs w:val="22"/>
              </w:rPr>
              <w:t>供应商</w:t>
            </w:r>
            <w:r>
              <w:rPr>
                <w:rFonts w:hint="eastAsia" w:ascii="宋体" w:hAnsi="宋体" w:eastAsia="宋体" w:cs="宋体"/>
                <w:sz w:val="24"/>
                <w:szCs w:val="22"/>
                <w:lang w:val="en-US" w:eastAsia="zh-CN"/>
              </w:rPr>
              <w:t>提供完整</w:t>
            </w:r>
            <w:r>
              <w:rPr>
                <w:rFonts w:hint="eastAsia" w:ascii="宋体" w:hAnsi="宋体" w:eastAsia="宋体" w:cs="宋体"/>
                <w:sz w:val="24"/>
                <w:szCs w:val="22"/>
              </w:rPr>
              <w:t>的售后服务方案</w:t>
            </w:r>
            <w:r>
              <w:rPr>
                <w:rFonts w:hint="eastAsia" w:ascii="宋体" w:hAnsi="宋体" w:eastAsia="宋体" w:cs="宋体"/>
                <w:sz w:val="24"/>
                <w:szCs w:val="22"/>
                <w:lang w:eastAsia="zh-CN"/>
              </w:rPr>
              <w:t>（</w:t>
            </w:r>
            <w:r>
              <w:rPr>
                <w:rFonts w:hint="eastAsia" w:ascii="宋体" w:hAnsi="宋体" w:eastAsia="宋体" w:cs="宋体"/>
                <w:sz w:val="24"/>
                <w:szCs w:val="22"/>
              </w:rPr>
              <w:t>包括</w:t>
            </w:r>
            <w:r>
              <w:rPr>
                <w:rFonts w:hint="eastAsia" w:ascii="宋体" w:hAnsi="宋体" w:eastAsia="宋体" w:cs="宋体"/>
                <w:sz w:val="24"/>
                <w:szCs w:val="22"/>
                <w:lang w:val="en-US" w:eastAsia="zh-CN"/>
              </w:rPr>
              <w:t>1.</w:t>
            </w:r>
            <w:r>
              <w:rPr>
                <w:rFonts w:hint="eastAsia" w:ascii="宋体" w:hAnsi="宋体" w:eastAsia="宋体" w:cs="宋体"/>
                <w:sz w:val="24"/>
                <w:szCs w:val="22"/>
              </w:rPr>
              <w:t>日常巡检方案</w:t>
            </w:r>
            <w:r>
              <w:rPr>
                <w:rFonts w:hint="eastAsia" w:ascii="宋体" w:hAnsi="宋体" w:eastAsia="宋体" w:cs="宋体"/>
                <w:sz w:val="24"/>
                <w:szCs w:val="22"/>
                <w:lang w:eastAsia="zh-CN"/>
              </w:rPr>
              <w:t>、</w:t>
            </w:r>
            <w:r>
              <w:rPr>
                <w:rFonts w:hint="eastAsia" w:ascii="宋体" w:hAnsi="宋体" w:eastAsia="宋体" w:cs="宋体"/>
                <w:sz w:val="24"/>
                <w:szCs w:val="22"/>
                <w:lang w:val="en-US" w:eastAsia="zh-CN"/>
              </w:rPr>
              <w:t>2.</w:t>
            </w:r>
            <w:r>
              <w:rPr>
                <w:rFonts w:hint="eastAsia" w:ascii="宋体" w:hAnsi="宋体" w:eastAsia="宋体" w:cs="宋体"/>
                <w:sz w:val="24"/>
                <w:szCs w:val="22"/>
              </w:rPr>
              <w:t>定期保养方案</w:t>
            </w:r>
            <w:r>
              <w:rPr>
                <w:rFonts w:hint="eastAsia" w:ascii="宋体" w:hAnsi="宋体" w:eastAsia="宋体" w:cs="宋体"/>
                <w:sz w:val="24"/>
                <w:szCs w:val="22"/>
                <w:lang w:val="en-US" w:eastAsia="zh-CN"/>
              </w:rPr>
              <w:t>、3.</w:t>
            </w:r>
            <w:r>
              <w:rPr>
                <w:rFonts w:hint="eastAsia" w:ascii="宋体" w:hAnsi="宋体" w:eastAsia="宋体" w:cs="宋体"/>
                <w:sz w:val="24"/>
                <w:szCs w:val="22"/>
              </w:rPr>
              <w:t>故障排除方案</w:t>
            </w:r>
            <w:r>
              <w:rPr>
                <w:rFonts w:hint="eastAsia" w:ascii="宋体" w:hAnsi="宋体" w:eastAsia="宋体" w:cs="宋体"/>
                <w:sz w:val="24"/>
                <w:szCs w:val="22"/>
                <w:lang w:eastAsia="zh-CN"/>
              </w:rPr>
              <w:t>、</w:t>
            </w:r>
            <w:r>
              <w:rPr>
                <w:rFonts w:hint="eastAsia" w:ascii="宋体" w:hAnsi="宋体" w:eastAsia="宋体" w:cs="宋体"/>
                <w:sz w:val="24"/>
                <w:szCs w:val="22"/>
                <w:lang w:val="en-US" w:eastAsia="zh-CN"/>
              </w:rPr>
              <w:t>4.</w:t>
            </w:r>
            <w:r>
              <w:rPr>
                <w:rFonts w:hint="eastAsia" w:ascii="宋体" w:hAnsi="宋体" w:eastAsia="宋体" w:cs="宋体"/>
                <w:sz w:val="24"/>
                <w:szCs w:val="22"/>
              </w:rPr>
              <w:t>人员培训计划</w:t>
            </w:r>
            <w:r>
              <w:rPr>
                <w:rFonts w:hint="eastAsia" w:ascii="宋体" w:hAnsi="宋体" w:eastAsia="宋体" w:cs="宋体"/>
                <w:sz w:val="24"/>
                <w:szCs w:val="22"/>
                <w:lang w:eastAsia="zh-CN"/>
              </w:rPr>
              <w:t>）</w:t>
            </w:r>
            <w:r>
              <w:rPr>
                <w:rFonts w:hint="eastAsia"/>
                <w:color w:val="auto"/>
                <w:sz w:val="24"/>
                <w:szCs w:val="24"/>
                <w:lang w:val="en-US" w:eastAsia="zh-CN"/>
              </w:rPr>
              <w:t>得10分。每缺失一项扣2.5分；每有一处具有缺陷（缺陷是指：存在不适用项目实际情况的情形、凭空编造、内容前后不一致、前后逻辑错误、涉及的规范及标准错误、地点区域错误、套用其他无关内容、不符合采购需求等）的扣1.25分，扣完为止。</w:t>
            </w:r>
          </w:p>
        </w:tc>
        <w:tc>
          <w:tcPr>
            <w:tcW w:w="1560" w:type="dxa"/>
            <w:noWrap w:val="0"/>
            <w:vAlign w:val="center"/>
          </w:tcPr>
          <w:p>
            <w:pPr>
              <w:numPr>
                <w:ilvl w:val="0"/>
                <w:numId w:val="0"/>
              </w:numPr>
              <w:spacing w:line="400" w:lineRule="exact"/>
              <w:jc w:val="left"/>
              <w:rPr>
                <w:rFonts w:hint="eastAsia" w:ascii="宋体" w:hAnsi="宋体" w:eastAsia="宋体" w:cs="宋体"/>
                <w:color w:val="000000"/>
                <w:sz w:val="24"/>
                <w:szCs w:val="22"/>
                <w:lang w:val="en-US" w:eastAsia="zh-CN"/>
              </w:rPr>
            </w:pPr>
            <w:r>
              <w:rPr>
                <w:rFonts w:hint="eastAsia" w:ascii="宋体" w:hAnsi="宋体" w:eastAsia="宋体" w:cs="宋体"/>
                <w:color w:val="000000"/>
                <w:sz w:val="24"/>
                <w:szCs w:val="22"/>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609" w:type="dxa"/>
            <w:noWrap w:val="0"/>
            <w:vAlign w:val="center"/>
          </w:tcPr>
          <w:p>
            <w:pPr>
              <w:spacing w:line="400" w:lineRule="exact"/>
              <w:ind w:left="0" w:leftChars="0" w:firstLine="0" w:firstLineChars="0"/>
              <w:jc w:val="left"/>
              <w:rPr>
                <w:rFonts w:hint="eastAsia" w:ascii="宋体" w:hAnsi="宋体" w:eastAsia="宋体" w:cs="宋体"/>
                <w:color w:val="000000"/>
                <w:sz w:val="24"/>
                <w:szCs w:val="22"/>
                <w:lang w:val="en-US" w:eastAsia="zh-CN" w:bidi="ar-SA"/>
              </w:rPr>
            </w:pPr>
            <w:r>
              <w:rPr>
                <w:rFonts w:hint="eastAsia" w:ascii="宋体" w:hAnsi="宋体" w:eastAsia="宋体" w:cs="宋体"/>
                <w:color w:val="000000"/>
                <w:sz w:val="24"/>
                <w:szCs w:val="22"/>
                <w:lang w:val="en-US" w:eastAsia="zh-CN"/>
              </w:rPr>
              <w:t>6</w:t>
            </w:r>
          </w:p>
        </w:tc>
        <w:tc>
          <w:tcPr>
            <w:tcW w:w="1446" w:type="dxa"/>
            <w:noWrap w:val="0"/>
            <w:vAlign w:val="center"/>
          </w:tcPr>
          <w:p>
            <w:pPr>
              <w:spacing w:line="400" w:lineRule="exact"/>
              <w:ind w:left="0" w:leftChars="0" w:firstLine="0" w:firstLineChars="0"/>
              <w:jc w:val="center"/>
              <w:rPr>
                <w:rFonts w:hint="eastAsia" w:ascii="宋体" w:hAnsi="宋体" w:eastAsia="宋体" w:cs="宋体"/>
                <w:color w:val="000000"/>
                <w:sz w:val="24"/>
                <w:szCs w:val="22"/>
                <w:lang w:val="en-US" w:eastAsia="zh-CN"/>
              </w:rPr>
            </w:pPr>
            <w:r>
              <w:rPr>
                <w:rFonts w:hint="eastAsia" w:ascii="宋体" w:hAnsi="宋体" w:eastAsia="宋体" w:cs="宋体"/>
                <w:color w:val="000000"/>
                <w:sz w:val="24"/>
                <w:szCs w:val="22"/>
              </w:rPr>
              <w:t>履约能力</w:t>
            </w:r>
            <w:r>
              <w:rPr>
                <w:rFonts w:hint="eastAsia" w:ascii="宋体" w:hAnsi="宋体" w:eastAsia="宋体" w:cs="宋体"/>
                <w:color w:val="000000"/>
                <w:sz w:val="24"/>
                <w:szCs w:val="22"/>
                <w:lang w:val="en-US" w:eastAsia="zh-CN"/>
              </w:rPr>
              <w:t>12</w:t>
            </w:r>
            <w:r>
              <w:rPr>
                <w:rFonts w:hint="eastAsia" w:ascii="宋体" w:hAnsi="宋体" w:eastAsia="宋体" w:cs="宋体"/>
                <w:color w:val="000000"/>
                <w:sz w:val="24"/>
                <w:szCs w:val="22"/>
              </w:rPr>
              <w:t>%</w:t>
            </w:r>
          </w:p>
        </w:tc>
        <w:tc>
          <w:tcPr>
            <w:tcW w:w="930" w:type="dxa"/>
            <w:noWrap w:val="0"/>
            <w:vAlign w:val="center"/>
          </w:tcPr>
          <w:p>
            <w:pPr>
              <w:spacing w:line="400" w:lineRule="exact"/>
              <w:ind w:left="0" w:leftChars="0" w:firstLine="0" w:firstLineChars="0"/>
              <w:jc w:val="left"/>
              <w:rPr>
                <w:rFonts w:hint="eastAsia" w:ascii="宋体" w:hAnsi="宋体" w:eastAsia="宋体" w:cs="宋体"/>
                <w:color w:val="000000"/>
                <w:sz w:val="24"/>
                <w:szCs w:val="22"/>
                <w:highlight w:val="none"/>
                <w:lang w:val="en-US" w:eastAsia="zh-CN"/>
              </w:rPr>
            </w:pPr>
            <w:r>
              <w:rPr>
                <w:rFonts w:hint="eastAsia" w:ascii="宋体" w:hAnsi="宋体" w:eastAsia="宋体" w:cs="宋体"/>
                <w:color w:val="000000"/>
                <w:sz w:val="24"/>
                <w:szCs w:val="22"/>
                <w:highlight w:val="none"/>
                <w:lang w:val="en-US" w:eastAsia="zh-CN"/>
              </w:rPr>
              <w:t>12</w:t>
            </w:r>
            <w:r>
              <w:rPr>
                <w:rFonts w:hint="eastAsia" w:ascii="宋体" w:hAnsi="宋体" w:eastAsia="宋体" w:cs="宋体"/>
                <w:color w:val="000000"/>
                <w:sz w:val="24"/>
                <w:szCs w:val="22"/>
                <w:highlight w:val="none"/>
              </w:rPr>
              <w:t>分</w:t>
            </w:r>
          </w:p>
        </w:tc>
        <w:tc>
          <w:tcPr>
            <w:tcW w:w="6135" w:type="dxa"/>
            <w:noWrap w:val="0"/>
            <w:vAlign w:val="top"/>
          </w:tcPr>
          <w:p>
            <w:pPr>
              <w:spacing w:line="400" w:lineRule="exact"/>
              <w:ind w:left="0" w:leftChars="0" w:firstLine="0" w:firstLineChars="0"/>
              <w:jc w:val="left"/>
              <w:rPr>
                <w:rFonts w:hint="eastAsia" w:ascii="宋体" w:hAnsi="宋体" w:eastAsia="宋体" w:cs="宋体"/>
                <w:color w:val="000000"/>
                <w:sz w:val="24"/>
                <w:szCs w:val="22"/>
                <w:highlight w:val="none"/>
                <w:lang w:val="en-US" w:eastAsia="zh-CN"/>
              </w:rPr>
            </w:pPr>
            <w:r>
              <w:rPr>
                <w:rFonts w:hint="eastAsia"/>
                <w:color w:val="auto"/>
                <w:sz w:val="24"/>
                <w:szCs w:val="24"/>
                <w:highlight w:val="none"/>
                <w:lang w:val="en-US" w:eastAsia="zh-CN"/>
              </w:rPr>
              <w:t>供应商在2019年1月以来每具一个类似业绩得3分，最多得12分。（业绩提供中标（成交）通知书或合同协议复印件并加盖供应商盖章）</w:t>
            </w:r>
          </w:p>
        </w:tc>
        <w:tc>
          <w:tcPr>
            <w:tcW w:w="1560" w:type="dxa"/>
            <w:noWrap w:val="0"/>
            <w:vAlign w:val="center"/>
          </w:tcPr>
          <w:p>
            <w:pPr>
              <w:numPr>
                <w:ilvl w:val="0"/>
                <w:numId w:val="0"/>
              </w:numPr>
              <w:spacing w:line="400" w:lineRule="exact"/>
              <w:jc w:val="left"/>
              <w:rPr>
                <w:rFonts w:hint="eastAsia" w:ascii="宋体" w:hAnsi="宋体" w:eastAsia="宋体" w:cs="宋体"/>
                <w:color w:val="000000"/>
                <w:sz w:val="24"/>
                <w:szCs w:val="22"/>
                <w:lang w:val="en-US" w:eastAsia="zh-CN"/>
              </w:rPr>
            </w:pPr>
            <w:r>
              <w:rPr>
                <w:rFonts w:hint="eastAsia" w:ascii="宋体" w:hAnsi="宋体" w:eastAsia="宋体" w:cs="宋体"/>
                <w:color w:val="000000"/>
                <w:sz w:val="24"/>
                <w:szCs w:val="22"/>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609" w:type="dxa"/>
            <w:noWrap w:val="0"/>
            <w:vAlign w:val="center"/>
          </w:tcPr>
          <w:p>
            <w:pPr>
              <w:spacing w:line="400" w:lineRule="exact"/>
              <w:ind w:left="0" w:leftChars="0" w:firstLine="0" w:firstLineChars="0"/>
              <w:jc w:val="left"/>
              <w:rPr>
                <w:rFonts w:hint="eastAsia" w:ascii="宋体" w:hAnsi="宋体" w:eastAsia="宋体" w:cs="宋体"/>
                <w:color w:val="000000"/>
                <w:sz w:val="24"/>
                <w:szCs w:val="22"/>
                <w:lang w:val="en-US" w:eastAsia="zh-CN"/>
              </w:rPr>
            </w:pPr>
            <w:r>
              <w:rPr>
                <w:rFonts w:hint="eastAsia" w:ascii="宋体" w:hAnsi="宋体" w:eastAsia="宋体" w:cs="宋体"/>
                <w:color w:val="000000"/>
                <w:sz w:val="24"/>
                <w:szCs w:val="22"/>
                <w:lang w:val="en-US" w:eastAsia="zh-CN"/>
              </w:rPr>
              <w:t>7</w:t>
            </w:r>
          </w:p>
        </w:tc>
        <w:tc>
          <w:tcPr>
            <w:tcW w:w="1446" w:type="dxa"/>
            <w:noWrap w:val="0"/>
            <w:vAlign w:val="center"/>
          </w:tcPr>
          <w:p>
            <w:pPr>
              <w:spacing w:line="400" w:lineRule="exact"/>
              <w:ind w:left="0" w:leftChars="0" w:firstLine="0" w:firstLineChars="0"/>
              <w:jc w:val="center"/>
              <w:rPr>
                <w:rFonts w:hint="eastAsia" w:ascii="宋体" w:hAnsi="宋体" w:eastAsia="宋体" w:cs="宋体"/>
                <w:color w:val="000000"/>
                <w:sz w:val="24"/>
                <w:szCs w:val="22"/>
                <w:lang w:eastAsia="zh-CN"/>
              </w:rPr>
            </w:pPr>
            <w:r>
              <w:rPr>
                <w:rFonts w:hint="eastAsia" w:cs="宋体"/>
                <w:color w:val="000000"/>
                <w:sz w:val="24"/>
                <w:szCs w:val="22"/>
                <w:lang w:eastAsia="zh-CN"/>
              </w:rPr>
              <w:t>综合实力</w:t>
            </w:r>
            <w:r>
              <w:rPr>
                <w:rFonts w:hint="eastAsia" w:ascii="宋体" w:hAnsi="宋体" w:eastAsia="宋体" w:cs="宋体"/>
                <w:color w:val="000000"/>
                <w:sz w:val="24"/>
                <w:szCs w:val="22"/>
                <w:lang w:val="en-US" w:eastAsia="zh-CN"/>
              </w:rPr>
              <w:t>15</w:t>
            </w:r>
            <w:r>
              <w:rPr>
                <w:rFonts w:hint="eastAsia" w:ascii="宋体" w:hAnsi="宋体" w:eastAsia="宋体" w:cs="宋体"/>
                <w:color w:val="000000"/>
                <w:sz w:val="24"/>
                <w:szCs w:val="22"/>
              </w:rPr>
              <w:t>%</w:t>
            </w:r>
          </w:p>
        </w:tc>
        <w:tc>
          <w:tcPr>
            <w:tcW w:w="930" w:type="dxa"/>
            <w:noWrap w:val="0"/>
            <w:vAlign w:val="center"/>
          </w:tcPr>
          <w:p>
            <w:pPr>
              <w:spacing w:line="400" w:lineRule="exact"/>
              <w:ind w:left="0" w:leftChars="0" w:firstLine="0" w:firstLineChars="0"/>
              <w:jc w:val="left"/>
              <w:rPr>
                <w:rFonts w:hint="default" w:ascii="宋体" w:hAnsi="宋体" w:eastAsia="宋体" w:cs="宋体"/>
                <w:color w:val="000000"/>
                <w:sz w:val="24"/>
                <w:szCs w:val="22"/>
                <w:highlight w:val="none"/>
                <w:lang w:val="en-US" w:eastAsia="zh-CN"/>
              </w:rPr>
            </w:pPr>
            <w:r>
              <w:rPr>
                <w:rFonts w:hint="eastAsia" w:cs="宋体"/>
                <w:color w:val="000000"/>
                <w:sz w:val="24"/>
                <w:szCs w:val="22"/>
                <w:highlight w:val="none"/>
                <w:lang w:val="en-US" w:eastAsia="zh-CN"/>
              </w:rPr>
              <w:t>15分</w:t>
            </w:r>
          </w:p>
        </w:tc>
        <w:tc>
          <w:tcPr>
            <w:tcW w:w="6135" w:type="dxa"/>
            <w:noWrap w:val="0"/>
            <w:vAlign w:val="top"/>
          </w:tcPr>
          <w:p>
            <w:pPr>
              <w:numPr>
                <w:ilvl w:val="0"/>
                <w:numId w:val="0"/>
              </w:numPr>
              <w:ind w:leftChars="0"/>
              <w:rPr>
                <w:rFonts w:hint="eastAsia"/>
                <w:color w:val="auto"/>
                <w:sz w:val="24"/>
                <w:szCs w:val="24"/>
                <w:highlight w:val="none"/>
                <w:lang w:val="en-US" w:eastAsia="zh-CN"/>
              </w:rPr>
            </w:pPr>
            <w:r>
              <w:rPr>
                <w:rFonts w:hint="eastAsia"/>
                <w:color w:val="auto"/>
                <w:sz w:val="24"/>
                <w:szCs w:val="24"/>
                <w:highlight w:val="none"/>
                <w:lang w:val="en-US" w:eastAsia="zh-CN"/>
              </w:rPr>
              <w:t xml:space="preserve">1、供应商为本项目配备人员：每具有一个机电类或电气类高级及以上工程师职称得3分，最多得6分；每具有一个机电类或电气类工程师职称得1分，最多得3分； 本项最多得9分。 </w:t>
            </w:r>
          </w:p>
          <w:p>
            <w:pPr>
              <w:numPr>
                <w:ilvl w:val="0"/>
                <w:numId w:val="0"/>
              </w:numPr>
              <w:ind w:leftChars="0"/>
              <w:rPr>
                <w:rFonts w:hint="eastAsia"/>
                <w:color w:val="auto"/>
                <w:sz w:val="24"/>
                <w:szCs w:val="24"/>
                <w:highlight w:val="none"/>
                <w:lang w:val="en-US" w:eastAsia="zh-CN"/>
              </w:rPr>
            </w:pPr>
            <w:r>
              <w:rPr>
                <w:rFonts w:hint="eastAsia"/>
                <w:color w:val="auto"/>
                <w:sz w:val="24"/>
                <w:szCs w:val="24"/>
                <w:highlight w:val="none"/>
                <w:lang w:val="en-US" w:eastAsia="zh-CN"/>
              </w:rPr>
              <w:t xml:space="preserve">(提供相关证书复印件及在职证明材料并加盖供应商公章。) </w:t>
            </w:r>
          </w:p>
          <w:p>
            <w:pPr>
              <w:numPr>
                <w:ilvl w:val="0"/>
                <w:numId w:val="7"/>
              </w:numPr>
              <w:ind w:left="0" w:leftChars="0" w:firstLine="0" w:firstLineChars="0"/>
              <w:rPr>
                <w:rFonts w:hint="eastAsia"/>
                <w:color w:val="auto"/>
                <w:sz w:val="24"/>
                <w:szCs w:val="24"/>
                <w:highlight w:val="none"/>
                <w:lang w:val="en-US" w:eastAsia="zh-CN"/>
              </w:rPr>
            </w:pPr>
            <w:r>
              <w:rPr>
                <w:rFonts w:hint="eastAsia"/>
                <w:color w:val="auto"/>
                <w:sz w:val="24"/>
                <w:szCs w:val="24"/>
                <w:highlight w:val="none"/>
                <w:lang w:val="en-US" w:eastAsia="zh-CN"/>
              </w:rPr>
              <w:t>每具有一个特种设备（电梯）作业人员证得2分，本项最多得6分。(提供相关证书复印件及在职证明材料并加盖供应商公章。)</w:t>
            </w:r>
          </w:p>
          <w:p>
            <w:pPr>
              <w:ind w:left="0" w:leftChars="0" w:firstLine="0" w:firstLineChars="0"/>
              <w:rPr>
                <w:rFonts w:hint="eastAsia" w:eastAsia="宋体"/>
                <w:highlight w:val="none"/>
                <w:lang w:eastAsia="zh-CN"/>
              </w:rPr>
            </w:pPr>
            <w:r>
              <w:rPr>
                <w:rFonts w:hint="eastAsia"/>
                <w:color w:val="auto"/>
                <w:sz w:val="24"/>
                <w:szCs w:val="24"/>
                <w:highlight w:val="none"/>
                <w:lang w:val="en-US" w:eastAsia="zh-CN"/>
              </w:rPr>
              <w:t>注：以上人员不重复计分</w:t>
            </w:r>
          </w:p>
        </w:tc>
        <w:tc>
          <w:tcPr>
            <w:tcW w:w="1560" w:type="dxa"/>
            <w:noWrap w:val="0"/>
            <w:vAlign w:val="center"/>
          </w:tcPr>
          <w:p>
            <w:pPr>
              <w:numPr>
                <w:ilvl w:val="0"/>
                <w:numId w:val="0"/>
              </w:numPr>
              <w:spacing w:line="400" w:lineRule="exact"/>
              <w:jc w:val="left"/>
              <w:rPr>
                <w:rFonts w:hint="eastAsia" w:ascii="宋体" w:hAnsi="宋体" w:eastAsia="宋体" w:cs="宋体"/>
                <w:color w:val="000000"/>
                <w:sz w:val="24"/>
                <w:szCs w:val="22"/>
              </w:rPr>
            </w:pPr>
            <w:r>
              <w:rPr>
                <w:rFonts w:hint="eastAsia" w:ascii="宋体" w:hAnsi="宋体" w:eastAsia="宋体" w:cs="宋体"/>
                <w:color w:val="000000"/>
                <w:sz w:val="24"/>
                <w:szCs w:val="22"/>
              </w:rPr>
              <w:t>共同评分因素</w:t>
            </w:r>
          </w:p>
        </w:tc>
      </w:tr>
      <w:bookmarkEnd w:id="836"/>
      <w:bookmarkEnd w:id="837"/>
      <w:bookmarkEnd w:id="838"/>
    </w:tbl>
    <w:p>
      <w:pPr>
        <w:spacing w:line="360" w:lineRule="auto"/>
        <w:ind w:right="144" w:rightChars="60" w:firstLine="420"/>
        <w:rPr>
          <w:rFonts w:hint="eastAsia" w:ascii="宋体" w:hAnsi="宋体" w:eastAsia="宋体" w:cs="宋体"/>
          <w:color w:val="auto"/>
          <w:sz w:val="21"/>
          <w:szCs w:val="21"/>
          <w:highlight w:val="none"/>
        </w:rPr>
      </w:pPr>
    </w:p>
    <w:p>
      <w:pPr>
        <w:spacing w:line="360" w:lineRule="auto"/>
        <w:ind w:right="-94" w:rightChars="-39"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注：①本表中要求提供各类证明材料，均须加盖供应商单位公章，否则将不认可该项材料的有效性。</w:t>
      </w:r>
    </w:p>
    <w:p>
      <w:pPr>
        <w:spacing w:line="360" w:lineRule="auto"/>
        <w:ind w:right="-94" w:rightChars="-39" w:firstLine="42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2、评分的取值按四舍五入法，保留小数点后两位。</w:t>
      </w:r>
      <w:bookmarkEnd w:id="825"/>
      <w:bookmarkEnd w:id="826"/>
      <w:bookmarkEnd w:id="827"/>
      <w:bookmarkEnd w:id="828"/>
    </w:p>
    <w:p>
      <w:pPr>
        <w:tabs>
          <w:tab w:val="left" w:pos="851"/>
        </w:tabs>
        <w:spacing w:line="360" w:lineRule="auto"/>
        <w:ind w:right="-94" w:rightChars="-39" w:firstLine="482"/>
        <w:rPr>
          <w:rFonts w:hint="eastAsia" w:ascii="宋体" w:hAnsi="宋体" w:eastAsia="宋体" w:cs="宋体"/>
          <w:b/>
          <w:color w:val="auto"/>
          <w:highlight w:val="none"/>
        </w:rPr>
      </w:pPr>
      <w:r>
        <w:rPr>
          <w:rFonts w:hint="eastAsia" w:ascii="宋体" w:hAnsi="宋体" w:eastAsia="宋体" w:cs="宋体"/>
          <w:b/>
          <w:color w:val="auto"/>
          <w:highlight w:val="none"/>
        </w:rPr>
        <w:t>4.磋商纪律及注意事项</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4.1磋商小组内部讨论的情况和意见必须保密，任何人不得以任何形式透露给供应商或与供应商有关的单位或个人。</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4.2在磋商过程中，供应商不得以任何形式对磋商小组成员进行旨在影响磋商结果的私下接触，否则将取消其参与磋商的资格。</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4.3对各供应商的商业秘密，磋商小组成员应予以保密，不得泄露给其他供应商。</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4.4 磋商小组独立评判，推荐成交候选人，并写出书面报告。</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4.5 磋商小组可根据需要对供应商进行实地考察。</w:t>
      </w:r>
    </w:p>
    <w:p>
      <w:pPr>
        <w:tabs>
          <w:tab w:val="left" w:pos="7665"/>
        </w:tabs>
        <w:spacing w:line="360" w:lineRule="auto"/>
        <w:ind w:right="-94" w:rightChars="-39" w:firstLine="482"/>
        <w:rPr>
          <w:rFonts w:hint="eastAsia" w:ascii="宋体" w:hAnsi="宋体" w:eastAsia="宋体" w:cs="宋体"/>
          <w:b/>
          <w:color w:val="auto"/>
          <w:highlight w:val="none"/>
        </w:rPr>
      </w:pPr>
      <w:r>
        <w:rPr>
          <w:rFonts w:hint="eastAsia" w:ascii="宋体" w:hAnsi="宋体" w:eastAsia="宋体" w:cs="宋体"/>
          <w:b/>
          <w:bCs/>
          <w:color w:val="auto"/>
          <w:highlight w:val="none"/>
        </w:rPr>
        <w:t>5.</w:t>
      </w:r>
      <w:bookmarkEnd w:id="829"/>
      <w:r>
        <w:rPr>
          <w:rFonts w:hint="eastAsia" w:ascii="宋体" w:hAnsi="宋体" w:eastAsia="宋体" w:cs="宋体"/>
          <w:b/>
          <w:color w:val="auto"/>
          <w:highlight w:val="none"/>
        </w:rPr>
        <w:t>磋商小组在采购活动中承担以下义务：</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（一）遵守评审工作纪律；</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（二）按照客观、公正、审慎的原则，根据磋商文件规定的评审程序、评审方法和评审标准进行独立评审；</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（三）不得泄露评审文件、评审情况和在评审过程中获悉的商业秘密；</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（四）及时向财政部门报告评审过程中发现的采购人、采购代理机构向评审专家做倾向性、误导性的解释或者说明，以及供应商行贿、提供虚假材料或者串通等违法行为；</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（五）发现磋商文件内容违反国家有关强制性规定或者磋商文件存在歧义、重大缺陷导致评审工作无法进行时，停止评审并向采购人或者采购代理机构书面说明情况；</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（六）及时向财政、监察等部门举报在评审过程中受到非法干预的情况；</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（七）配合答复处理供应商的询问、质疑和投诉等事项；</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（八）法律、法规和规章规定的其他义务。</w:t>
      </w:r>
    </w:p>
    <w:p>
      <w:pPr>
        <w:tabs>
          <w:tab w:val="left" w:pos="7665"/>
        </w:tabs>
        <w:spacing w:line="360" w:lineRule="auto"/>
        <w:ind w:right="-94" w:rightChars="-39" w:firstLine="482"/>
        <w:rPr>
          <w:rFonts w:hint="eastAsia" w:ascii="宋体" w:hAnsi="宋体" w:eastAsia="宋体" w:cs="宋体"/>
          <w:b/>
          <w:color w:val="auto"/>
          <w:highlight w:val="none"/>
        </w:rPr>
      </w:pPr>
      <w:r>
        <w:rPr>
          <w:rFonts w:hint="eastAsia" w:ascii="宋体" w:hAnsi="宋体" w:eastAsia="宋体" w:cs="宋体"/>
          <w:b/>
          <w:color w:val="auto"/>
          <w:highlight w:val="none"/>
        </w:rPr>
        <w:t>6.评审专家在采购活动中应当遵守以下工作纪律：</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（一）不得参加与自己有《中华人民共和国政府采购法实施条例》第九条规定的利害关系的政府采购项目的评标活动。发现参加了与自己有利害关系的评审活动，须主动提出回避，退出评审；</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（二）评审前，应当将通讯工具或者相关电子设备交由采购代理机构统一保管；</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（三）评审过程中，不得与外界联系，因发生不可预见情况，确实需要与外界联系的，应当在监督人员监督之下办理；</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（五）在评审过程中和评审结束后，不得记录、复制或带走任何评审资料，不得向外界透露评审内容；</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（六）评审现场服从采购代理机构工作人员的管理，接受现场监督人员的合法监督；</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（七）遵守有关廉洁自律规定，不得私下接触供应商，不得收受供应商及有关业务单位和个人的财物或好处，不得接受采购代理机构的请托。</w:t>
      </w:r>
    </w:p>
    <w:p>
      <w:pPr>
        <w:pStyle w:val="3"/>
        <w:spacing w:before="0" w:afterLines="50" w:line="360" w:lineRule="auto"/>
        <w:ind w:firstLine="723" w:firstLineChars="200"/>
        <w:rPr>
          <w:rFonts w:hint="eastAsia" w:ascii="宋体" w:hAnsi="宋体" w:eastAsia="宋体" w:cs="宋体"/>
          <w:color w:val="auto"/>
          <w:highlight w:val="none"/>
        </w:rPr>
      </w:pPr>
      <w:r>
        <w:rPr>
          <w:rFonts w:hint="eastAsia" w:ascii="宋体" w:hAnsi="宋体" w:eastAsia="宋体" w:cs="宋体"/>
          <w:color w:val="auto"/>
          <w:szCs w:val="36"/>
          <w:highlight w:val="none"/>
        </w:rPr>
        <w:br w:type="page"/>
      </w:r>
      <w:bookmarkEnd w:id="823"/>
      <w:bookmarkEnd w:id="824"/>
      <w:bookmarkStart w:id="839" w:name="_Toc26837"/>
      <w:bookmarkStart w:id="840" w:name="_Toc31962"/>
      <w:r>
        <w:rPr>
          <w:rFonts w:hint="eastAsia" w:ascii="宋体" w:hAnsi="宋体" w:eastAsia="宋体" w:cs="宋体"/>
          <w:color w:val="auto"/>
          <w:highlight w:val="none"/>
        </w:rPr>
        <w:t xml:space="preserve">第八章  </w:t>
      </w:r>
      <w:r>
        <w:rPr>
          <w:rStyle w:val="46"/>
          <w:rFonts w:hint="eastAsia" w:ascii="宋体" w:hAnsi="宋体" w:eastAsia="宋体" w:cs="宋体"/>
          <w:b/>
          <w:bCs/>
          <w:color w:val="auto"/>
          <w:highlight w:val="none"/>
        </w:rPr>
        <w:t>采购合同（样例）</w:t>
      </w:r>
      <w:bookmarkEnd w:id="839"/>
      <w:bookmarkEnd w:id="840"/>
    </w:p>
    <w:p>
      <w:pPr>
        <w:spacing w:line="360" w:lineRule="auto"/>
        <w:ind w:firstLine="482"/>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（仅供参考，特别提醒：采购合同的签订不得偏离磋商文件要约及响应文件承诺的实质性内容）</w:t>
      </w:r>
    </w:p>
    <w:p>
      <w:pPr>
        <w:spacing w:line="360" w:lineRule="auto"/>
        <w:ind w:firstLine="480"/>
        <w:rPr>
          <w:rFonts w:hint="eastAsia" w:ascii="宋体" w:hAnsi="宋体" w:eastAsia="宋体" w:cs="宋体"/>
          <w:color w:val="auto"/>
          <w:highlight w:val="none"/>
        </w:rPr>
      </w:pPr>
    </w:p>
    <w:p>
      <w:pPr>
        <w:spacing w:line="360" w:lineRule="auto"/>
        <w:ind w:firstLine="480"/>
        <w:rPr>
          <w:rFonts w:hint="eastAsia" w:ascii="宋体" w:hAnsi="宋体" w:eastAsia="宋体" w:cs="宋体"/>
          <w:color w:val="auto"/>
          <w:highlight w:val="none"/>
        </w:rPr>
      </w:pP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合同编号：   </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签订地点：   </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签订时间：   年   月   日。</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采购人（甲方）：                              </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供应商（乙方）：                              </w:t>
      </w:r>
    </w:p>
    <w:p>
      <w:pPr>
        <w:spacing w:line="360" w:lineRule="auto"/>
        <w:ind w:firstLine="480"/>
        <w:rPr>
          <w:rFonts w:hint="eastAsia" w:ascii="宋体" w:hAnsi="宋体" w:eastAsia="宋体" w:cs="宋体"/>
          <w:color w:val="auto"/>
          <w:highlight w:val="none"/>
        </w:rPr>
      </w:pP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依据《中华人民共和国民法典》《中华人民共和国政府采购法》与项目行业有关的法律法规，以及XX项目（项目编号：    ）的《磋商文件》、乙方的《响应文件》及《成交通知书》，甲、乙双方同意签订本合同。详细技术说明及其他有关合同项目的特定信息由合同附件予以说明，合同附件及本项目的《磋商文件》、《响应文件》、《成交通知书》等均为本合同的组成部分。 </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第一条、项目基本情况</w:t>
      </w:r>
    </w:p>
    <w:p>
      <w:pPr>
        <w:spacing w:line="360" w:lineRule="auto"/>
        <w:ind w:firstLine="480"/>
        <w:rPr>
          <w:rFonts w:hint="eastAsia" w:ascii="宋体" w:hAnsi="宋体" w:eastAsia="宋体" w:cs="宋体"/>
          <w:color w:val="auto"/>
          <w:highlight w:val="none"/>
        </w:rPr>
      </w:pP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第二条、合同期限</w:t>
      </w:r>
    </w:p>
    <w:p>
      <w:pPr>
        <w:spacing w:line="360" w:lineRule="auto"/>
        <w:ind w:firstLine="480"/>
        <w:rPr>
          <w:rFonts w:hint="eastAsia" w:ascii="宋体" w:hAnsi="宋体" w:eastAsia="宋体" w:cs="宋体"/>
          <w:color w:val="auto"/>
          <w:highlight w:val="none"/>
        </w:rPr>
      </w:pP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第三条、服务内容与质量标准</w:t>
      </w:r>
    </w:p>
    <w:p>
      <w:pPr>
        <w:spacing w:line="360" w:lineRule="auto"/>
        <w:ind w:firstLine="480"/>
        <w:rPr>
          <w:rFonts w:hint="eastAsia" w:ascii="宋体" w:hAnsi="宋体" w:eastAsia="宋体" w:cs="宋体"/>
          <w:color w:val="auto"/>
          <w:highlight w:val="none"/>
        </w:rPr>
      </w:pP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第四条、服务费用及支付方式</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本项目服务费用由以下组成：</w:t>
      </w:r>
    </w:p>
    <w:p>
      <w:pPr>
        <w:spacing w:line="360" w:lineRule="auto"/>
        <w:ind w:firstLine="480"/>
        <w:rPr>
          <w:rFonts w:hint="eastAsia" w:ascii="宋体" w:hAnsi="宋体" w:eastAsia="宋体" w:cs="宋体"/>
          <w:color w:val="auto"/>
          <w:highlight w:val="none"/>
        </w:rPr>
      </w:pP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服务费支付方式：</w:t>
      </w:r>
    </w:p>
    <w:p>
      <w:pPr>
        <w:spacing w:line="360" w:lineRule="auto"/>
        <w:ind w:firstLine="480"/>
        <w:rPr>
          <w:rFonts w:hint="eastAsia" w:ascii="宋体" w:hAnsi="宋体" w:eastAsia="宋体" w:cs="宋体"/>
          <w:color w:val="auto"/>
          <w:highlight w:val="none"/>
        </w:rPr>
      </w:pP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第五条、知识产权</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乙方应保证所提供的服务或其任何一部分均不会侵犯第三方的专利权、商标权或著作权。</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第六条、无产权瑕疵条款</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乙方保证所提供的服务的所有权完全属于乙方且无任何抵押、查封等产权瑕疵。如有产权瑕疵的，视为乙方违约。乙方应负担由此而产生的一切损失。</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第七条、质量保证金</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xxxxxxxxxxxxxxxxxxxxxx</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第八条、甲方的权利和义务</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1、甲方有权对合同规定范围内乙方的服务行为进行监督和检查，拥有监管权。有权定期核对乙方提供服务所配备的人员数量。对甲方认为不合理的部分有权下达整改通知书，并要求乙方限期整改。</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2、甲方有权依据双方签订的考评办法对乙方提供的服务进行定期考评。当考评结果未达到标准时，有权依据考评办法约定的数额扣除质量保证金。</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3、负责检查监督乙方管理工作的实施及制度的执行情况。</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4、根据本合同规定，按时向乙方支付应付服务费用。</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5、国家法律、法规所规定由甲方承担的其它责任。</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第九条、乙方的权利和义务</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1、对本合同规定的委托服务范围内的项目享有管理权及服务义务。</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2、根据本合同的规定向甲方收取相关服务费用，并有权在本项目管理范围内管理及合理使用。</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3、及时向甲方通告本项目服务范围内有关服务的重大事项，及时配合处理投诉。</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4、接受项目行业管理部门及政府有关部门的指导，接受甲方的监督。</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5、国家法律、法规所规定由乙方承担的其它责任。</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第十条、违约责任</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1、甲乙双方必须遵守本合同并执行合同中的各项规定，保证本合同的正常履行。</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第十一条、不可抗力事件处理</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1、在合同有效期内，任何一方因不可抗力事件导致不能履行合同，则合同履行期可延长，其延长期与不可抗力影响期相同。</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2、不可抗力事件发生后，应立即通知对方，并寄送有关权威机构出具的证明。</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3、不可抗力事件延续    天以上，双方应通过友好协商，确定是否继续履行合同。</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第十二条、解决合同纠纷的方式</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1、在执行本合同中发生的或与本合同有关的争端，双方应通过友好协商解决，经协商在14个日历天内不能达成协议时，应提交项目属地仲裁委员会仲裁。</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2、仲裁裁决应为最终决定，并对双方具有约束力。</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3、除另有裁决外，仲裁费应由败诉方负担。 </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4、在仲裁期间，除正在进行仲裁部分外，合同其他部分继续执行。  </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第十三条、合同生效及其他</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1、合同经双方法定代表人/单位负责人或授权委托代理人签字并加盖单位公章后生效。</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2、合同执行中涉及采购资金和采购内容修改或补充的，须经政府采购监管部门审批，并签书面补充协议报政府采购监督管理部门备案，方可作为主合同不可分割的一部分。</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3、本合同一式六份，自双方签章之日起起效。甲方三份，乙方二份，采购代理机构一份，具有同等法律效力。</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甲方：         （盖章）               乙方：        （盖章）</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法定代表人/单位负责人（授权代表）：法定代表人/单位负责人（授权代表）：</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地    址：                            地    址：</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开户银行：                            开户银行：</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账    号：                            账    号：</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电    话：                            电    话：</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传    真：                            传    真：</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签约日期：  年    月    日 </w:t>
      </w:r>
      <w:r>
        <w:rPr>
          <w:rFonts w:hint="eastAsia" w:ascii="宋体" w:hAnsi="宋体" w:eastAsia="宋体" w:cs="宋体"/>
          <w:color w:val="auto"/>
          <w:highlight w:val="none"/>
        </w:rPr>
        <w:tab/>
      </w:r>
      <w:r>
        <w:rPr>
          <w:rFonts w:hint="eastAsia" w:ascii="宋体" w:hAnsi="宋体" w:eastAsia="宋体" w:cs="宋体"/>
          <w:color w:val="auto"/>
          <w:highlight w:val="none"/>
        </w:rPr>
        <w:tab/>
      </w:r>
      <w:r>
        <w:rPr>
          <w:rFonts w:hint="eastAsia" w:ascii="宋体" w:hAnsi="宋体" w:eastAsia="宋体" w:cs="宋体"/>
          <w:color w:val="auto"/>
          <w:highlight w:val="none"/>
        </w:rPr>
        <w:tab/>
      </w:r>
      <w:r>
        <w:rPr>
          <w:rFonts w:hint="eastAsia" w:ascii="宋体" w:hAnsi="宋体" w:eastAsia="宋体" w:cs="宋体"/>
          <w:color w:val="auto"/>
          <w:highlight w:val="none"/>
        </w:rPr>
        <w:t xml:space="preserve">  签约日期：  年   月   日</w:t>
      </w:r>
    </w:p>
    <w:sectPr>
      <w:headerReference r:id="rId17" w:type="default"/>
      <w:footerReference r:id="rId18" w:type="default"/>
      <w:type w:val="continuous"/>
      <w:pgSz w:w="11906" w:h="16838"/>
      <w:pgMar w:top="1440" w:right="1800" w:bottom="1440" w:left="1800" w:header="568" w:footer="44" w:gutter="0"/>
      <w:pgNumType w:fmt="decimal"/>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roman"/>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楷体à.ā">
    <w:altName w:val="黑体"/>
    <w:panose1 w:val="00000000000000000000"/>
    <w:charset w:val="86"/>
    <w:family w:val="modern"/>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rFonts w:ascii="宋体" w:hAnsi="宋体"/>
        <w:sz w:val="32"/>
        <w:szCs w:val="32"/>
      </w:rPr>
    </w:pPr>
    <w:r>
      <w:rPr>
        <w:sz w:val="3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46</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49</w:t>
                    </w:r>
                    <w:r>
                      <w:fldChar w:fldCharType="end"/>
                    </w:r>
                  </w:p>
                </w:txbxContent>
              </v:textbox>
            </v:shape>
          </w:pict>
        </mc:Fallback>
      </mc:AlternateContent>
    </w:r>
  </w:p>
  <w:p>
    <w:pPr>
      <w:pStyle w:val="2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34" w:rightChars="-139" w:firstLine="240" w:firstLineChars="100"/>
    </w:pPr>
    <w:r>
      <w:rPr>
        <w:rStyle w:val="34"/>
        <w:rFonts w:hint="eastAsia" w:ascii="Arial" w:hAnsi="Arial"/>
        <w:color w:val="auto"/>
        <w:szCs w:val="24"/>
      </w:rPr>
      <w:t>公开、公平、公正</w:t>
    </w:r>
    <w:r>
      <w:rPr>
        <w:rStyle w:val="34"/>
        <w:rFonts w:ascii="Arial" w:hAnsi="Arial" w:cs="Arial"/>
        <w:color w:val="auto"/>
        <w:szCs w:val="24"/>
      </w:rPr>
      <w:t xml:space="preserve">       </w:t>
    </w:r>
    <w:r>
      <w:rPr>
        <w:rStyle w:val="34"/>
        <w:rFonts w:hint="eastAsia" w:ascii="Arial" w:hAnsi="Arial" w:cs="Arial"/>
        <w:color w:val="auto"/>
        <w:szCs w:val="24"/>
      </w:rPr>
      <w:t xml:space="preserve">                  </w:t>
    </w:r>
    <w:r>
      <w:rPr>
        <w:rStyle w:val="34"/>
        <w:rFonts w:ascii="Arial" w:hAnsi="Arial" w:cs="Arial"/>
        <w:color w:val="auto"/>
        <w:szCs w:val="24"/>
      </w:rPr>
      <w:t xml:space="preserve"> </w:t>
    </w:r>
    <w:r>
      <w:rPr>
        <w:rStyle w:val="34"/>
        <w:rFonts w:hint="eastAsia" w:ascii="Arial" w:hAnsi="Arial"/>
        <w:color w:val="auto"/>
        <w:szCs w:val="24"/>
      </w:rPr>
      <w:t>四川至善工程项目管理有限公司</w:t>
    </w:r>
  </w:p>
  <w:p>
    <w:pP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34" w:rightChars="-139" w:firstLine="240" w:firstLineChars="100"/>
    </w:pPr>
    <w:r>
      <w:rPr>
        <w:rStyle w:val="34"/>
        <w:rFonts w:hint="eastAsia" w:ascii="Arial" w:hAnsi="Arial"/>
        <w:color w:val="auto"/>
        <w:szCs w:val="24"/>
      </w:rPr>
      <w:t>公开、公平、公正</w:t>
    </w:r>
    <w:r>
      <w:rPr>
        <w:rStyle w:val="34"/>
        <w:rFonts w:ascii="Arial" w:hAnsi="Arial" w:cs="Arial"/>
        <w:color w:val="auto"/>
        <w:szCs w:val="24"/>
      </w:rPr>
      <w:t xml:space="preserve">       </w:t>
    </w:r>
    <w:r>
      <w:rPr>
        <w:rStyle w:val="34"/>
        <w:rFonts w:hint="eastAsia" w:ascii="Arial" w:hAnsi="Arial" w:cs="Arial"/>
        <w:color w:val="auto"/>
        <w:szCs w:val="24"/>
      </w:rPr>
      <w:t xml:space="preserve">                  </w:t>
    </w:r>
    <w:r>
      <w:rPr>
        <w:rStyle w:val="34"/>
        <w:rFonts w:ascii="Arial" w:hAnsi="Arial" w:cs="Arial"/>
        <w:color w:val="auto"/>
        <w:szCs w:val="24"/>
      </w:rPr>
      <w:t xml:space="preserve"> </w:t>
    </w:r>
    <w:r>
      <w:rPr>
        <w:rStyle w:val="34"/>
        <w:rFonts w:hint="eastAsia" w:ascii="Arial" w:hAnsi="Arial"/>
        <w:color w:val="auto"/>
        <w:szCs w:val="24"/>
      </w:rPr>
      <w:t>四川至善工程项目管理有限公司</w:t>
    </w:r>
  </w:p>
  <w:p>
    <w:pPr>
      <w:ind w:firstLine="0" w:firstLineChars="0"/>
      <w:rPr>
        <w:rFonts w:ascii="隶书" w:eastAsia="隶书"/>
        <w:sz w:val="21"/>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34" w:rightChars="-139" w:firstLine="210" w:firstLineChars="100"/>
    </w:pPr>
    <w:r>
      <w:rPr>
        <w:rFonts w:hint="eastAsia" w:ascii="隶书" w:eastAsia="隶书"/>
        <w:sz w:val="21"/>
        <w:szCs w:val="22"/>
      </w:rPr>
      <w:tab/>
    </w:r>
    <w:r>
      <w:rPr>
        <w:rStyle w:val="34"/>
        <w:rFonts w:hint="eastAsia" w:ascii="Arial" w:hAnsi="Arial"/>
        <w:color w:val="auto"/>
        <w:szCs w:val="24"/>
      </w:rPr>
      <w:t>公开、公平、公正</w:t>
    </w:r>
    <w:r>
      <w:rPr>
        <w:rStyle w:val="34"/>
        <w:rFonts w:ascii="Arial" w:hAnsi="Arial" w:cs="Arial"/>
        <w:color w:val="auto"/>
        <w:szCs w:val="24"/>
      </w:rPr>
      <w:t xml:space="preserve">       </w:t>
    </w:r>
    <w:r>
      <w:rPr>
        <w:rStyle w:val="34"/>
        <w:rFonts w:hint="eastAsia" w:ascii="Arial" w:hAnsi="Arial" w:cs="Arial"/>
        <w:color w:val="auto"/>
        <w:szCs w:val="24"/>
      </w:rPr>
      <w:t xml:space="preserve">                 </w:t>
    </w:r>
    <w:r>
      <w:rPr>
        <w:rStyle w:val="34"/>
        <w:rFonts w:ascii="Arial" w:hAnsi="Arial" w:cs="Arial"/>
        <w:color w:val="auto"/>
        <w:szCs w:val="24"/>
      </w:rPr>
      <w:t xml:space="preserve"> </w:t>
    </w:r>
    <w:r>
      <w:rPr>
        <w:rStyle w:val="34"/>
        <w:rFonts w:hint="eastAsia" w:ascii="Arial" w:hAnsi="Arial"/>
        <w:color w:val="auto"/>
        <w:szCs w:val="24"/>
      </w:rPr>
      <w:t>四川至善工程项目管理有限公司</w:t>
    </w:r>
  </w:p>
  <w:p>
    <w:pPr>
      <w:tabs>
        <w:tab w:val="left" w:pos="4786"/>
      </w:tabs>
      <w:ind w:firstLine="0" w:firstLineChars="0"/>
      <w:rPr>
        <w:rFonts w:ascii="隶书" w:eastAsia="隶书"/>
        <w:sz w:val="21"/>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34" w:rightChars="-139" w:firstLine="240" w:firstLineChars="100"/>
    </w:pPr>
    <w:r>
      <w:rPr>
        <w:rStyle w:val="34"/>
        <w:rFonts w:hint="eastAsia" w:ascii="Arial" w:hAnsi="Arial"/>
        <w:color w:val="auto"/>
        <w:szCs w:val="24"/>
      </w:rPr>
      <w:t>公开、公平、公正</w:t>
    </w:r>
    <w:r>
      <w:rPr>
        <w:rStyle w:val="34"/>
        <w:rFonts w:ascii="Arial" w:hAnsi="Arial" w:cs="Arial"/>
        <w:color w:val="auto"/>
        <w:szCs w:val="24"/>
      </w:rPr>
      <w:t xml:space="preserve">       </w:t>
    </w:r>
    <w:r>
      <w:rPr>
        <w:rStyle w:val="34"/>
        <w:rFonts w:hint="eastAsia" w:ascii="Arial" w:hAnsi="Arial" w:cs="Arial"/>
        <w:color w:val="auto"/>
        <w:szCs w:val="24"/>
      </w:rPr>
      <w:t xml:space="preserve">                  </w:t>
    </w:r>
    <w:r>
      <w:rPr>
        <w:rStyle w:val="34"/>
        <w:rFonts w:ascii="Arial" w:hAnsi="Arial" w:cs="Arial"/>
        <w:color w:val="auto"/>
        <w:szCs w:val="24"/>
      </w:rPr>
      <w:t xml:space="preserve"> </w:t>
    </w:r>
    <w:r>
      <w:rPr>
        <w:rStyle w:val="34"/>
        <w:rFonts w:hint="eastAsia" w:ascii="Arial" w:hAnsi="Arial"/>
        <w:color w:val="auto"/>
        <w:szCs w:val="24"/>
      </w:rPr>
      <w:t>四川至善工程项目管理有限公司</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rPr>
        <w:bCs/>
        <w:sz w:val="21"/>
        <w:szCs w:val="21"/>
      </w:rPr>
    </w:pPr>
  </w:p>
  <w:p>
    <w:pPr>
      <w:ind w:firstLine="0" w:firstLineChars="0"/>
      <w:rPr>
        <w:rFonts w:ascii="隶书" w:eastAsia="隶书"/>
        <w:sz w:val="21"/>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934A9E"/>
    <w:multiLevelType w:val="singleLevel"/>
    <w:tmpl w:val="9E934A9E"/>
    <w:lvl w:ilvl="0" w:tentative="0">
      <w:start w:val="2"/>
      <w:numFmt w:val="decimal"/>
      <w:suff w:val="nothing"/>
      <w:lvlText w:val="%1、"/>
      <w:lvlJc w:val="left"/>
    </w:lvl>
  </w:abstractNum>
  <w:abstractNum w:abstractNumId="1">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decimal"/>
      <w:pStyle w:val="109"/>
      <w:suff w:val="nothing"/>
      <w:lvlText w:val="%3."/>
      <w:lvlJc w:val="left"/>
      <w:pPr>
        <w:ind w:left="0" w:firstLine="0"/>
      </w:pPr>
      <w:rPr>
        <w:rFonts w:hint="eastAsia" w:ascii="宋体" w:hAnsi="宋体" w:eastAsia="宋体" w:cs="宋体"/>
      </w:rPr>
    </w:lvl>
    <w:lvl w:ilvl="3" w:tentative="0">
      <w:start w:val="1"/>
      <w:numFmt w:val="decimal"/>
      <w:suff w:val="nothing"/>
      <w:lvlText w:val="%3.%4"/>
      <w:lvlJc w:val="left"/>
      <w:pPr>
        <w:ind w:left="0" w:firstLine="0"/>
      </w:pPr>
      <w:rPr>
        <w:rFonts w:hint="eastAsia" w:ascii="宋体" w:hAnsi="宋体" w:eastAsia="宋体" w:cs="宋体"/>
      </w:rPr>
    </w:lvl>
    <w:lvl w:ilvl="4" w:tentative="0">
      <w:start w:val="1"/>
      <w:numFmt w:val="decimal"/>
      <w:suff w:val="nothing"/>
      <w:lvlText w:val="(%5)"/>
      <w:lvlJc w:val="left"/>
      <w:pPr>
        <w:ind w:left="0" w:firstLine="0"/>
      </w:pPr>
      <w:rPr>
        <w:rFonts w:hint="eastAsia" w:ascii="宋体" w:hAnsi="宋体" w:eastAsia="宋体" w:cs="宋体"/>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FA29E39D"/>
    <w:multiLevelType w:val="singleLevel"/>
    <w:tmpl w:val="FA29E39D"/>
    <w:lvl w:ilvl="0" w:tentative="0">
      <w:start w:val="3"/>
      <w:numFmt w:val="chineseCounting"/>
      <w:suff w:val="nothing"/>
      <w:lvlText w:val="%1、"/>
      <w:lvlJc w:val="left"/>
      <w:rPr>
        <w:rFonts w:hint="eastAsia"/>
      </w:rPr>
    </w:lvl>
  </w:abstractNum>
  <w:abstractNum w:abstractNumId="3">
    <w:nsid w:val="0787A831"/>
    <w:multiLevelType w:val="singleLevel"/>
    <w:tmpl w:val="0787A831"/>
    <w:lvl w:ilvl="0" w:tentative="0">
      <w:start w:val="9"/>
      <w:numFmt w:val="chineseCounting"/>
      <w:suff w:val="nothing"/>
      <w:lvlText w:val="%1、"/>
      <w:lvlJc w:val="left"/>
      <w:rPr>
        <w:rFonts w:hint="eastAsia"/>
      </w:rPr>
    </w:lvl>
  </w:abstractNum>
  <w:abstractNum w:abstractNumId="4">
    <w:nsid w:val="0B49F450"/>
    <w:multiLevelType w:val="singleLevel"/>
    <w:tmpl w:val="0B49F450"/>
    <w:lvl w:ilvl="0" w:tentative="0">
      <w:start w:val="3"/>
      <w:numFmt w:val="chineseCounting"/>
      <w:suff w:val="nothing"/>
      <w:lvlText w:val="（%1）"/>
      <w:lvlJc w:val="left"/>
      <w:rPr>
        <w:rFonts w:hint="eastAsia"/>
      </w:rPr>
    </w:lvl>
  </w:abstractNum>
  <w:abstractNum w:abstractNumId="5">
    <w:nsid w:val="136ED701"/>
    <w:multiLevelType w:val="singleLevel"/>
    <w:tmpl w:val="136ED701"/>
    <w:lvl w:ilvl="0" w:tentative="0">
      <w:start w:val="4"/>
      <w:numFmt w:val="chineseCounting"/>
      <w:suff w:val="nothing"/>
      <w:lvlText w:val="%1、"/>
      <w:lvlJc w:val="left"/>
      <w:rPr>
        <w:rFonts w:hint="eastAsia"/>
      </w:rPr>
    </w:lvl>
  </w:abstractNum>
  <w:abstractNum w:abstractNumId="6">
    <w:nsid w:val="19336E0B"/>
    <w:multiLevelType w:val="multilevel"/>
    <w:tmpl w:val="19336E0B"/>
    <w:lvl w:ilvl="0" w:tentative="0">
      <w:start w:val="1"/>
      <w:numFmt w:val="japaneseCounting"/>
      <w:lvlText w:val="%1、"/>
      <w:lvlJc w:val="left"/>
      <w:pPr>
        <w:tabs>
          <w:tab w:val="left" w:pos="960"/>
        </w:tabs>
        <w:ind w:left="960" w:hanging="480"/>
      </w:pPr>
      <w:rPr>
        <w:rFonts w:hint="default"/>
        <w:color w:val="auto"/>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pStyle w:val="10"/>
      <w:lvlText w:val="%8)"/>
      <w:lvlJc w:val="left"/>
      <w:pPr>
        <w:tabs>
          <w:tab w:val="left" w:pos="3840"/>
        </w:tabs>
        <w:ind w:left="3840" w:hanging="420"/>
      </w:pPr>
    </w:lvl>
    <w:lvl w:ilvl="8" w:tentative="0">
      <w:start w:val="1"/>
      <w:numFmt w:val="lowerRoman"/>
      <w:pStyle w:val="11"/>
      <w:lvlText w:val="%9."/>
      <w:lvlJc w:val="right"/>
      <w:pPr>
        <w:tabs>
          <w:tab w:val="left" w:pos="4260"/>
        </w:tabs>
        <w:ind w:left="4260" w:hanging="420"/>
      </w:pPr>
    </w:lvl>
  </w:abstractNum>
  <w:num w:numId="1">
    <w:abstractNumId w:val="6"/>
  </w:num>
  <w:num w:numId="2">
    <w:abstractNumId w:val="1"/>
  </w:num>
  <w:num w:numId="3">
    <w:abstractNumId w:val="4"/>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9CA"/>
    <w:rsid w:val="0000116A"/>
    <w:rsid w:val="000018A7"/>
    <w:rsid w:val="000049EC"/>
    <w:rsid w:val="0002301B"/>
    <w:rsid w:val="000258EA"/>
    <w:rsid w:val="000278C6"/>
    <w:rsid w:val="000336BF"/>
    <w:rsid w:val="00077490"/>
    <w:rsid w:val="00081FDF"/>
    <w:rsid w:val="000916E3"/>
    <w:rsid w:val="00096847"/>
    <w:rsid w:val="000973A8"/>
    <w:rsid w:val="000A3DCE"/>
    <w:rsid w:val="000B038D"/>
    <w:rsid w:val="000D208F"/>
    <w:rsid w:val="000D4CBE"/>
    <w:rsid w:val="000F0747"/>
    <w:rsid w:val="00114412"/>
    <w:rsid w:val="00116586"/>
    <w:rsid w:val="001176CE"/>
    <w:rsid w:val="00124317"/>
    <w:rsid w:val="00124629"/>
    <w:rsid w:val="001349AB"/>
    <w:rsid w:val="00164613"/>
    <w:rsid w:val="0018530F"/>
    <w:rsid w:val="001B0A44"/>
    <w:rsid w:val="001B285C"/>
    <w:rsid w:val="001C773C"/>
    <w:rsid w:val="001F1350"/>
    <w:rsid w:val="002634D4"/>
    <w:rsid w:val="00297415"/>
    <w:rsid w:val="002B7685"/>
    <w:rsid w:val="002C1552"/>
    <w:rsid w:val="002D472B"/>
    <w:rsid w:val="002D656C"/>
    <w:rsid w:val="002F5A5A"/>
    <w:rsid w:val="00314B9C"/>
    <w:rsid w:val="003229B3"/>
    <w:rsid w:val="00350B3E"/>
    <w:rsid w:val="00354C21"/>
    <w:rsid w:val="0036496E"/>
    <w:rsid w:val="00385F57"/>
    <w:rsid w:val="003B142F"/>
    <w:rsid w:val="003C051B"/>
    <w:rsid w:val="003C6007"/>
    <w:rsid w:val="003D2A05"/>
    <w:rsid w:val="003D42E6"/>
    <w:rsid w:val="003E329C"/>
    <w:rsid w:val="003F7E39"/>
    <w:rsid w:val="004052CA"/>
    <w:rsid w:val="00430B40"/>
    <w:rsid w:val="00483525"/>
    <w:rsid w:val="004C5E88"/>
    <w:rsid w:val="004E1E84"/>
    <w:rsid w:val="00520DA1"/>
    <w:rsid w:val="00524928"/>
    <w:rsid w:val="005636DF"/>
    <w:rsid w:val="00570A95"/>
    <w:rsid w:val="005B42B1"/>
    <w:rsid w:val="005C1D72"/>
    <w:rsid w:val="005F7E34"/>
    <w:rsid w:val="00604445"/>
    <w:rsid w:val="00604B0F"/>
    <w:rsid w:val="0060716E"/>
    <w:rsid w:val="00630AFC"/>
    <w:rsid w:val="00642AB0"/>
    <w:rsid w:val="006450E1"/>
    <w:rsid w:val="00647938"/>
    <w:rsid w:val="006561B7"/>
    <w:rsid w:val="00676E21"/>
    <w:rsid w:val="00692186"/>
    <w:rsid w:val="006C4BCE"/>
    <w:rsid w:val="00715173"/>
    <w:rsid w:val="00717624"/>
    <w:rsid w:val="00755507"/>
    <w:rsid w:val="00775038"/>
    <w:rsid w:val="007A45F1"/>
    <w:rsid w:val="007C282C"/>
    <w:rsid w:val="007D486C"/>
    <w:rsid w:val="007E3B19"/>
    <w:rsid w:val="008331D0"/>
    <w:rsid w:val="00833A9A"/>
    <w:rsid w:val="00846234"/>
    <w:rsid w:val="00847306"/>
    <w:rsid w:val="008513FF"/>
    <w:rsid w:val="00892A1C"/>
    <w:rsid w:val="008B0000"/>
    <w:rsid w:val="008B78CE"/>
    <w:rsid w:val="008D7EA5"/>
    <w:rsid w:val="0090173D"/>
    <w:rsid w:val="0090719F"/>
    <w:rsid w:val="00921E2E"/>
    <w:rsid w:val="00924638"/>
    <w:rsid w:val="009316F3"/>
    <w:rsid w:val="0094196A"/>
    <w:rsid w:val="00961C36"/>
    <w:rsid w:val="0096394E"/>
    <w:rsid w:val="009819CA"/>
    <w:rsid w:val="009878BD"/>
    <w:rsid w:val="009A24B3"/>
    <w:rsid w:val="009A3B3A"/>
    <w:rsid w:val="009B566B"/>
    <w:rsid w:val="009B703A"/>
    <w:rsid w:val="009D08AC"/>
    <w:rsid w:val="00A1233C"/>
    <w:rsid w:val="00A42136"/>
    <w:rsid w:val="00A520A7"/>
    <w:rsid w:val="00A65413"/>
    <w:rsid w:val="00A663FC"/>
    <w:rsid w:val="00A716C2"/>
    <w:rsid w:val="00A74898"/>
    <w:rsid w:val="00A751A9"/>
    <w:rsid w:val="00AB63B8"/>
    <w:rsid w:val="00AD43B3"/>
    <w:rsid w:val="00AE7CB5"/>
    <w:rsid w:val="00B07A5B"/>
    <w:rsid w:val="00B1322E"/>
    <w:rsid w:val="00B36A61"/>
    <w:rsid w:val="00B865CA"/>
    <w:rsid w:val="00B9234C"/>
    <w:rsid w:val="00B9480A"/>
    <w:rsid w:val="00BB3B57"/>
    <w:rsid w:val="00BB490D"/>
    <w:rsid w:val="00BB7FA1"/>
    <w:rsid w:val="00BF0160"/>
    <w:rsid w:val="00C10878"/>
    <w:rsid w:val="00C11473"/>
    <w:rsid w:val="00C368EA"/>
    <w:rsid w:val="00C61BE9"/>
    <w:rsid w:val="00C623C6"/>
    <w:rsid w:val="00C67606"/>
    <w:rsid w:val="00C80B24"/>
    <w:rsid w:val="00C91449"/>
    <w:rsid w:val="00C954B3"/>
    <w:rsid w:val="00CB4EF0"/>
    <w:rsid w:val="00CC5C49"/>
    <w:rsid w:val="00CE5AFE"/>
    <w:rsid w:val="00CF4605"/>
    <w:rsid w:val="00D10A00"/>
    <w:rsid w:val="00D35AFD"/>
    <w:rsid w:val="00D53FA7"/>
    <w:rsid w:val="00D64412"/>
    <w:rsid w:val="00D74407"/>
    <w:rsid w:val="00D81D83"/>
    <w:rsid w:val="00D93325"/>
    <w:rsid w:val="00D93810"/>
    <w:rsid w:val="00DA72E5"/>
    <w:rsid w:val="00DB159A"/>
    <w:rsid w:val="00DB1E04"/>
    <w:rsid w:val="00DB29D1"/>
    <w:rsid w:val="00DD1829"/>
    <w:rsid w:val="00DE0252"/>
    <w:rsid w:val="00DE1A5D"/>
    <w:rsid w:val="00DE54D2"/>
    <w:rsid w:val="00DF72A3"/>
    <w:rsid w:val="00E024DB"/>
    <w:rsid w:val="00E14167"/>
    <w:rsid w:val="00E22CF5"/>
    <w:rsid w:val="00E32F05"/>
    <w:rsid w:val="00E42AB3"/>
    <w:rsid w:val="00E465E4"/>
    <w:rsid w:val="00E516A8"/>
    <w:rsid w:val="00E72897"/>
    <w:rsid w:val="00E768C3"/>
    <w:rsid w:val="00E9370E"/>
    <w:rsid w:val="00ED7770"/>
    <w:rsid w:val="00F13A3E"/>
    <w:rsid w:val="00F37A9B"/>
    <w:rsid w:val="00F47F9C"/>
    <w:rsid w:val="00F64987"/>
    <w:rsid w:val="00F701BC"/>
    <w:rsid w:val="00F72DE1"/>
    <w:rsid w:val="00F93AC6"/>
    <w:rsid w:val="00F93EBF"/>
    <w:rsid w:val="00FB1FBE"/>
    <w:rsid w:val="00FB2A3F"/>
    <w:rsid w:val="00FB2DA8"/>
    <w:rsid w:val="00FB2E42"/>
    <w:rsid w:val="00FC1620"/>
    <w:rsid w:val="00FC4BD9"/>
    <w:rsid w:val="00FD7F8E"/>
    <w:rsid w:val="00FE7A4F"/>
    <w:rsid w:val="01144D08"/>
    <w:rsid w:val="012F10F5"/>
    <w:rsid w:val="01617E27"/>
    <w:rsid w:val="01720BE0"/>
    <w:rsid w:val="018E1843"/>
    <w:rsid w:val="01C3378F"/>
    <w:rsid w:val="01DF7B7D"/>
    <w:rsid w:val="01FE4173"/>
    <w:rsid w:val="020C3A65"/>
    <w:rsid w:val="02606858"/>
    <w:rsid w:val="026F29D8"/>
    <w:rsid w:val="02896087"/>
    <w:rsid w:val="02B67C70"/>
    <w:rsid w:val="02C72DE9"/>
    <w:rsid w:val="02E01B43"/>
    <w:rsid w:val="02EA69DB"/>
    <w:rsid w:val="02EC54E5"/>
    <w:rsid w:val="02FC38F3"/>
    <w:rsid w:val="0305345C"/>
    <w:rsid w:val="03316E37"/>
    <w:rsid w:val="03626865"/>
    <w:rsid w:val="036F7F8C"/>
    <w:rsid w:val="03767C59"/>
    <w:rsid w:val="037E59F5"/>
    <w:rsid w:val="03993F72"/>
    <w:rsid w:val="03BB50B0"/>
    <w:rsid w:val="03C3374A"/>
    <w:rsid w:val="03D53F24"/>
    <w:rsid w:val="04336537"/>
    <w:rsid w:val="04620940"/>
    <w:rsid w:val="04773305"/>
    <w:rsid w:val="04A1100B"/>
    <w:rsid w:val="04D336D1"/>
    <w:rsid w:val="04E44406"/>
    <w:rsid w:val="050328C5"/>
    <w:rsid w:val="050A4D93"/>
    <w:rsid w:val="050F3340"/>
    <w:rsid w:val="05146B00"/>
    <w:rsid w:val="051F274C"/>
    <w:rsid w:val="05594459"/>
    <w:rsid w:val="05612C7C"/>
    <w:rsid w:val="056568BF"/>
    <w:rsid w:val="057B6936"/>
    <w:rsid w:val="05956D5C"/>
    <w:rsid w:val="05B934A5"/>
    <w:rsid w:val="05D44A8A"/>
    <w:rsid w:val="05EB697B"/>
    <w:rsid w:val="05F13D36"/>
    <w:rsid w:val="05FD3FE6"/>
    <w:rsid w:val="06105413"/>
    <w:rsid w:val="0646042B"/>
    <w:rsid w:val="06735441"/>
    <w:rsid w:val="06CA449B"/>
    <w:rsid w:val="06EA4424"/>
    <w:rsid w:val="06F50F8C"/>
    <w:rsid w:val="0716571C"/>
    <w:rsid w:val="07305005"/>
    <w:rsid w:val="07976FFA"/>
    <w:rsid w:val="07A35AAA"/>
    <w:rsid w:val="07B97C7F"/>
    <w:rsid w:val="07C5587A"/>
    <w:rsid w:val="081B55D6"/>
    <w:rsid w:val="082422E5"/>
    <w:rsid w:val="083006CA"/>
    <w:rsid w:val="08647AA7"/>
    <w:rsid w:val="08687F5F"/>
    <w:rsid w:val="0869028C"/>
    <w:rsid w:val="086C7A4A"/>
    <w:rsid w:val="0890424F"/>
    <w:rsid w:val="089367A0"/>
    <w:rsid w:val="090B36E4"/>
    <w:rsid w:val="093761B1"/>
    <w:rsid w:val="094E145D"/>
    <w:rsid w:val="097D1756"/>
    <w:rsid w:val="099C7E85"/>
    <w:rsid w:val="09EF3CEE"/>
    <w:rsid w:val="09FE30A6"/>
    <w:rsid w:val="0A17222C"/>
    <w:rsid w:val="0A264483"/>
    <w:rsid w:val="0A476879"/>
    <w:rsid w:val="0A7B073A"/>
    <w:rsid w:val="0A7B6306"/>
    <w:rsid w:val="0AA612EA"/>
    <w:rsid w:val="0AA61C58"/>
    <w:rsid w:val="0B00665F"/>
    <w:rsid w:val="0B0117B1"/>
    <w:rsid w:val="0B1922D1"/>
    <w:rsid w:val="0B36752B"/>
    <w:rsid w:val="0B542D91"/>
    <w:rsid w:val="0B662FA0"/>
    <w:rsid w:val="0B734C08"/>
    <w:rsid w:val="0B942168"/>
    <w:rsid w:val="0BAE745D"/>
    <w:rsid w:val="0BBD469D"/>
    <w:rsid w:val="0BC51814"/>
    <w:rsid w:val="0BC85C9A"/>
    <w:rsid w:val="0BCD322F"/>
    <w:rsid w:val="0BF863DE"/>
    <w:rsid w:val="0C067BAA"/>
    <w:rsid w:val="0C0F684C"/>
    <w:rsid w:val="0C7007DD"/>
    <w:rsid w:val="0C7E59ED"/>
    <w:rsid w:val="0C812C4F"/>
    <w:rsid w:val="0C98541F"/>
    <w:rsid w:val="0CBA0D98"/>
    <w:rsid w:val="0CBB494C"/>
    <w:rsid w:val="0CE02803"/>
    <w:rsid w:val="0D0238A8"/>
    <w:rsid w:val="0D090548"/>
    <w:rsid w:val="0D19404A"/>
    <w:rsid w:val="0D287484"/>
    <w:rsid w:val="0D394588"/>
    <w:rsid w:val="0D5B3086"/>
    <w:rsid w:val="0D5F365F"/>
    <w:rsid w:val="0D857FBE"/>
    <w:rsid w:val="0D8F7230"/>
    <w:rsid w:val="0D916276"/>
    <w:rsid w:val="0D9B70F3"/>
    <w:rsid w:val="0DBE4CF8"/>
    <w:rsid w:val="0DC122DE"/>
    <w:rsid w:val="0DCC6139"/>
    <w:rsid w:val="0DD34402"/>
    <w:rsid w:val="0E05281F"/>
    <w:rsid w:val="0E135614"/>
    <w:rsid w:val="0E594DE3"/>
    <w:rsid w:val="0E840518"/>
    <w:rsid w:val="0EC4079F"/>
    <w:rsid w:val="0EEB1ABD"/>
    <w:rsid w:val="0F0529AE"/>
    <w:rsid w:val="0F0C6485"/>
    <w:rsid w:val="0F2C0B4A"/>
    <w:rsid w:val="0F2F4DB3"/>
    <w:rsid w:val="0F451AC5"/>
    <w:rsid w:val="0F4639DA"/>
    <w:rsid w:val="0F57257A"/>
    <w:rsid w:val="0F9636A2"/>
    <w:rsid w:val="0FAA618F"/>
    <w:rsid w:val="0FC5657A"/>
    <w:rsid w:val="0FCF17FA"/>
    <w:rsid w:val="0FD53364"/>
    <w:rsid w:val="0FFE1660"/>
    <w:rsid w:val="100B4FC2"/>
    <w:rsid w:val="104C3B53"/>
    <w:rsid w:val="1057567E"/>
    <w:rsid w:val="105B6398"/>
    <w:rsid w:val="1071307F"/>
    <w:rsid w:val="107943D4"/>
    <w:rsid w:val="109E7EA8"/>
    <w:rsid w:val="10AA6CF1"/>
    <w:rsid w:val="110F737A"/>
    <w:rsid w:val="1130502B"/>
    <w:rsid w:val="11416F2B"/>
    <w:rsid w:val="1156087C"/>
    <w:rsid w:val="115E7C22"/>
    <w:rsid w:val="11613E31"/>
    <w:rsid w:val="116248A0"/>
    <w:rsid w:val="1171291D"/>
    <w:rsid w:val="117B164F"/>
    <w:rsid w:val="11A60891"/>
    <w:rsid w:val="11B9773B"/>
    <w:rsid w:val="11D505A2"/>
    <w:rsid w:val="11E65185"/>
    <w:rsid w:val="11FC58F3"/>
    <w:rsid w:val="120638F9"/>
    <w:rsid w:val="120F5FAC"/>
    <w:rsid w:val="127C477A"/>
    <w:rsid w:val="12821E2D"/>
    <w:rsid w:val="128A5ACE"/>
    <w:rsid w:val="12B42133"/>
    <w:rsid w:val="12C53091"/>
    <w:rsid w:val="12F90633"/>
    <w:rsid w:val="130F5883"/>
    <w:rsid w:val="13165F24"/>
    <w:rsid w:val="135B645A"/>
    <w:rsid w:val="13781A70"/>
    <w:rsid w:val="13AC0EDF"/>
    <w:rsid w:val="13B03F31"/>
    <w:rsid w:val="13DC2B3B"/>
    <w:rsid w:val="13DE5461"/>
    <w:rsid w:val="13F93ADB"/>
    <w:rsid w:val="141B336D"/>
    <w:rsid w:val="14241559"/>
    <w:rsid w:val="144F38FD"/>
    <w:rsid w:val="14541B75"/>
    <w:rsid w:val="14637BD5"/>
    <w:rsid w:val="14723139"/>
    <w:rsid w:val="14733059"/>
    <w:rsid w:val="147A74D0"/>
    <w:rsid w:val="14894101"/>
    <w:rsid w:val="149C69D8"/>
    <w:rsid w:val="14A649CA"/>
    <w:rsid w:val="14D31C8E"/>
    <w:rsid w:val="14DC4427"/>
    <w:rsid w:val="14E65AF5"/>
    <w:rsid w:val="151D3A3E"/>
    <w:rsid w:val="152145AA"/>
    <w:rsid w:val="156C6086"/>
    <w:rsid w:val="15A70E75"/>
    <w:rsid w:val="15A93722"/>
    <w:rsid w:val="15AE482A"/>
    <w:rsid w:val="15C01B3D"/>
    <w:rsid w:val="15C86EEF"/>
    <w:rsid w:val="15DB60F3"/>
    <w:rsid w:val="160045D2"/>
    <w:rsid w:val="160C4BFB"/>
    <w:rsid w:val="161441E9"/>
    <w:rsid w:val="16292350"/>
    <w:rsid w:val="162E7831"/>
    <w:rsid w:val="16466B98"/>
    <w:rsid w:val="16566530"/>
    <w:rsid w:val="1665013F"/>
    <w:rsid w:val="1666406E"/>
    <w:rsid w:val="16675068"/>
    <w:rsid w:val="16722E15"/>
    <w:rsid w:val="167509AA"/>
    <w:rsid w:val="16812A2A"/>
    <w:rsid w:val="16A258DA"/>
    <w:rsid w:val="16A3251A"/>
    <w:rsid w:val="16C62AC2"/>
    <w:rsid w:val="16D55E19"/>
    <w:rsid w:val="16DA6646"/>
    <w:rsid w:val="16ED7B0C"/>
    <w:rsid w:val="173F4314"/>
    <w:rsid w:val="174B317F"/>
    <w:rsid w:val="17523139"/>
    <w:rsid w:val="17534F73"/>
    <w:rsid w:val="177057C7"/>
    <w:rsid w:val="177F6975"/>
    <w:rsid w:val="17DD4B06"/>
    <w:rsid w:val="17E179E5"/>
    <w:rsid w:val="17EF1608"/>
    <w:rsid w:val="18000945"/>
    <w:rsid w:val="181A1E9B"/>
    <w:rsid w:val="182C135E"/>
    <w:rsid w:val="18355E9F"/>
    <w:rsid w:val="185640DE"/>
    <w:rsid w:val="185C6ED3"/>
    <w:rsid w:val="189F0E21"/>
    <w:rsid w:val="18A45892"/>
    <w:rsid w:val="18C72454"/>
    <w:rsid w:val="18DC5CD6"/>
    <w:rsid w:val="18DD65C7"/>
    <w:rsid w:val="18E001EA"/>
    <w:rsid w:val="18E64693"/>
    <w:rsid w:val="18EA6E09"/>
    <w:rsid w:val="18F23647"/>
    <w:rsid w:val="18FE6D19"/>
    <w:rsid w:val="19025382"/>
    <w:rsid w:val="197C1F7E"/>
    <w:rsid w:val="1981138F"/>
    <w:rsid w:val="198D608A"/>
    <w:rsid w:val="19994CF0"/>
    <w:rsid w:val="19C747D9"/>
    <w:rsid w:val="19CE1FD1"/>
    <w:rsid w:val="19D3004F"/>
    <w:rsid w:val="19DE17FE"/>
    <w:rsid w:val="19E5453B"/>
    <w:rsid w:val="1A2E60AA"/>
    <w:rsid w:val="1A422307"/>
    <w:rsid w:val="1A601D92"/>
    <w:rsid w:val="1A656149"/>
    <w:rsid w:val="1A7A2084"/>
    <w:rsid w:val="1A944186"/>
    <w:rsid w:val="1ABA07B6"/>
    <w:rsid w:val="1ABF1612"/>
    <w:rsid w:val="1AE30EED"/>
    <w:rsid w:val="1AF11C82"/>
    <w:rsid w:val="1AFC6AD2"/>
    <w:rsid w:val="1AFD4923"/>
    <w:rsid w:val="1B037594"/>
    <w:rsid w:val="1B174E86"/>
    <w:rsid w:val="1B2538E9"/>
    <w:rsid w:val="1B282197"/>
    <w:rsid w:val="1B3B1F9C"/>
    <w:rsid w:val="1B614B5E"/>
    <w:rsid w:val="1B6F0262"/>
    <w:rsid w:val="1B864452"/>
    <w:rsid w:val="1B983BE8"/>
    <w:rsid w:val="1BC126EE"/>
    <w:rsid w:val="1BD82300"/>
    <w:rsid w:val="1BEE35CB"/>
    <w:rsid w:val="1BF87922"/>
    <w:rsid w:val="1BFA3C35"/>
    <w:rsid w:val="1C104B09"/>
    <w:rsid w:val="1C1A2FC0"/>
    <w:rsid w:val="1C234A89"/>
    <w:rsid w:val="1C3B2D18"/>
    <w:rsid w:val="1C73789D"/>
    <w:rsid w:val="1CC235F4"/>
    <w:rsid w:val="1CD97394"/>
    <w:rsid w:val="1CE26F58"/>
    <w:rsid w:val="1CF20B2C"/>
    <w:rsid w:val="1CFE5C6D"/>
    <w:rsid w:val="1D1F770D"/>
    <w:rsid w:val="1D2409A0"/>
    <w:rsid w:val="1D2C3E95"/>
    <w:rsid w:val="1D36638B"/>
    <w:rsid w:val="1D6956CE"/>
    <w:rsid w:val="1D7772D9"/>
    <w:rsid w:val="1D847BAF"/>
    <w:rsid w:val="1D9F741F"/>
    <w:rsid w:val="1DB161B9"/>
    <w:rsid w:val="1E013246"/>
    <w:rsid w:val="1E083E2F"/>
    <w:rsid w:val="1E473061"/>
    <w:rsid w:val="1E6A07EA"/>
    <w:rsid w:val="1E98681B"/>
    <w:rsid w:val="1E9E3B14"/>
    <w:rsid w:val="1EBA5FB9"/>
    <w:rsid w:val="1EE44B03"/>
    <w:rsid w:val="1EE80998"/>
    <w:rsid w:val="1F0748A3"/>
    <w:rsid w:val="1F0F5906"/>
    <w:rsid w:val="1F192387"/>
    <w:rsid w:val="1F1F2426"/>
    <w:rsid w:val="1F217B24"/>
    <w:rsid w:val="1F253DCF"/>
    <w:rsid w:val="1F486238"/>
    <w:rsid w:val="1F4E14D2"/>
    <w:rsid w:val="1FDA3BF5"/>
    <w:rsid w:val="200A73D8"/>
    <w:rsid w:val="207633E1"/>
    <w:rsid w:val="20AC3F65"/>
    <w:rsid w:val="20AE6516"/>
    <w:rsid w:val="20D0332B"/>
    <w:rsid w:val="20D953C8"/>
    <w:rsid w:val="20EC04B2"/>
    <w:rsid w:val="20F32E8D"/>
    <w:rsid w:val="211A10D0"/>
    <w:rsid w:val="215E43BE"/>
    <w:rsid w:val="21633E75"/>
    <w:rsid w:val="21842747"/>
    <w:rsid w:val="22177882"/>
    <w:rsid w:val="222800E1"/>
    <w:rsid w:val="22370018"/>
    <w:rsid w:val="224A675A"/>
    <w:rsid w:val="226F66B5"/>
    <w:rsid w:val="229E23BD"/>
    <w:rsid w:val="229F052F"/>
    <w:rsid w:val="22A129C7"/>
    <w:rsid w:val="22A95BEF"/>
    <w:rsid w:val="22CF37C1"/>
    <w:rsid w:val="22E63E96"/>
    <w:rsid w:val="22F318D6"/>
    <w:rsid w:val="22FB46A2"/>
    <w:rsid w:val="233F4B83"/>
    <w:rsid w:val="235B4BDA"/>
    <w:rsid w:val="23617FB9"/>
    <w:rsid w:val="23A15B12"/>
    <w:rsid w:val="23EB0B30"/>
    <w:rsid w:val="24055C61"/>
    <w:rsid w:val="241323B5"/>
    <w:rsid w:val="24217E47"/>
    <w:rsid w:val="242661C7"/>
    <w:rsid w:val="24640FFE"/>
    <w:rsid w:val="247368F2"/>
    <w:rsid w:val="247F6B0D"/>
    <w:rsid w:val="248C2748"/>
    <w:rsid w:val="24984BD8"/>
    <w:rsid w:val="24A23676"/>
    <w:rsid w:val="24A25540"/>
    <w:rsid w:val="24A6214B"/>
    <w:rsid w:val="24BC172F"/>
    <w:rsid w:val="24CE75C2"/>
    <w:rsid w:val="24D86D86"/>
    <w:rsid w:val="24DF0F3B"/>
    <w:rsid w:val="24ED4DD0"/>
    <w:rsid w:val="24FA1493"/>
    <w:rsid w:val="250E73CD"/>
    <w:rsid w:val="2510589C"/>
    <w:rsid w:val="251A234D"/>
    <w:rsid w:val="25265D67"/>
    <w:rsid w:val="254D3444"/>
    <w:rsid w:val="25627106"/>
    <w:rsid w:val="25655C58"/>
    <w:rsid w:val="256E4088"/>
    <w:rsid w:val="2591200C"/>
    <w:rsid w:val="259E102B"/>
    <w:rsid w:val="25AA3E15"/>
    <w:rsid w:val="25E227F3"/>
    <w:rsid w:val="261E68E5"/>
    <w:rsid w:val="264D62F0"/>
    <w:rsid w:val="26600A90"/>
    <w:rsid w:val="26974919"/>
    <w:rsid w:val="26C80752"/>
    <w:rsid w:val="26E244FD"/>
    <w:rsid w:val="26F749F3"/>
    <w:rsid w:val="26FD7858"/>
    <w:rsid w:val="270065E5"/>
    <w:rsid w:val="27141487"/>
    <w:rsid w:val="272A0D4C"/>
    <w:rsid w:val="273F62AD"/>
    <w:rsid w:val="27586335"/>
    <w:rsid w:val="28036271"/>
    <w:rsid w:val="280C50FA"/>
    <w:rsid w:val="28140543"/>
    <w:rsid w:val="287E5E93"/>
    <w:rsid w:val="2880563B"/>
    <w:rsid w:val="28EB3E82"/>
    <w:rsid w:val="29061A15"/>
    <w:rsid w:val="29445433"/>
    <w:rsid w:val="294A543E"/>
    <w:rsid w:val="29597E42"/>
    <w:rsid w:val="297E3770"/>
    <w:rsid w:val="29D85777"/>
    <w:rsid w:val="29E660DE"/>
    <w:rsid w:val="2A062BD0"/>
    <w:rsid w:val="2A0B2741"/>
    <w:rsid w:val="2A0D3442"/>
    <w:rsid w:val="2A264A51"/>
    <w:rsid w:val="2A320BA8"/>
    <w:rsid w:val="2A342771"/>
    <w:rsid w:val="2A7860A5"/>
    <w:rsid w:val="2A892935"/>
    <w:rsid w:val="2A9B1B5D"/>
    <w:rsid w:val="2AA6666C"/>
    <w:rsid w:val="2B066313"/>
    <w:rsid w:val="2B1D418F"/>
    <w:rsid w:val="2B213FD7"/>
    <w:rsid w:val="2B226542"/>
    <w:rsid w:val="2B2861CA"/>
    <w:rsid w:val="2B342A62"/>
    <w:rsid w:val="2B63085A"/>
    <w:rsid w:val="2B911FDB"/>
    <w:rsid w:val="2BDC5726"/>
    <w:rsid w:val="2BE1179E"/>
    <w:rsid w:val="2C1D7744"/>
    <w:rsid w:val="2C25376E"/>
    <w:rsid w:val="2C300283"/>
    <w:rsid w:val="2C754519"/>
    <w:rsid w:val="2CA066DB"/>
    <w:rsid w:val="2CB509B3"/>
    <w:rsid w:val="2CB703E7"/>
    <w:rsid w:val="2CD05FAF"/>
    <w:rsid w:val="2CEC56A2"/>
    <w:rsid w:val="2D307920"/>
    <w:rsid w:val="2D3B56BE"/>
    <w:rsid w:val="2D6B43DF"/>
    <w:rsid w:val="2D726C2E"/>
    <w:rsid w:val="2D851A5B"/>
    <w:rsid w:val="2D9D431E"/>
    <w:rsid w:val="2DA576C4"/>
    <w:rsid w:val="2DAC2964"/>
    <w:rsid w:val="2DC84CB5"/>
    <w:rsid w:val="2DCA35E5"/>
    <w:rsid w:val="2DD54673"/>
    <w:rsid w:val="2DE36530"/>
    <w:rsid w:val="2E012E80"/>
    <w:rsid w:val="2E3976BC"/>
    <w:rsid w:val="2EAA7065"/>
    <w:rsid w:val="2EB358E8"/>
    <w:rsid w:val="2ED53236"/>
    <w:rsid w:val="2EDA66A9"/>
    <w:rsid w:val="2EE101B5"/>
    <w:rsid w:val="2EF16A8B"/>
    <w:rsid w:val="2F1A6151"/>
    <w:rsid w:val="2F335D3C"/>
    <w:rsid w:val="2F3A449B"/>
    <w:rsid w:val="2F453D67"/>
    <w:rsid w:val="2F7A6094"/>
    <w:rsid w:val="2F7F6A3E"/>
    <w:rsid w:val="300112B8"/>
    <w:rsid w:val="300F6179"/>
    <w:rsid w:val="30101BF2"/>
    <w:rsid w:val="301B3F69"/>
    <w:rsid w:val="302E1717"/>
    <w:rsid w:val="303A3C06"/>
    <w:rsid w:val="30754DC1"/>
    <w:rsid w:val="3079788E"/>
    <w:rsid w:val="3082168D"/>
    <w:rsid w:val="30AF3291"/>
    <w:rsid w:val="30B6120E"/>
    <w:rsid w:val="30EA0DDF"/>
    <w:rsid w:val="30EB1B2D"/>
    <w:rsid w:val="30FB4953"/>
    <w:rsid w:val="315F3BB9"/>
    <w:rsid w:val="31B316C4"/>
    <w:rsid w:val="31BE629E"/>
    <w:rsid w:val="31E43E8B"/>
    <w:rsid w:val="323303DE"/>
    <w:rsid w:val="32364673"/>
    <w:rsid w:val="324D3D70"/>
    <w:rsid w:val="325F30DC"/>
    <w:rsid w:val="326438B9"/>
    <w:rsid w:val="326B297A"/>
    <w:rsid w:val="3290391A"/>
    <w:rsid w:val="32D2138A"/>
    <w:rsid w:val="32FF5756"/>
    <w:rsid w:val="33100E3B"/>
    <w:rsid w:val="332C65DF"/>
    <w:rsid w:val="33320FF8"/>
    <w:rsid w:val="33384257"/>
    <w:rsid w:val="335C448B"/>
    <w:rsid w:val="338B7E78"/>
    <w:rsid w:val="33CB1CF6"/>
    <w:rsid w:val="33D91556"/>
    <w:rsid w:val="34267DAD"/>
    <w:rsid w:val="342D4CA7"/>
    <w:rsid w:val="34307EB3"/>
    <w:rsid w:val="349424DB"/>
    <w:rsid w:val="34A3591F"/>
    <w:rsid w:val="34B052F0"/>
    <w:rsid w:val="34EA0752"/>
    <w:rsid w:val="34FF627A"/>
    <w:rsid w:val="353C18DF"/>
    <w:rsid w:val="35472057"/>
    <w:rsid w:val="356B0C1F"/>
    <w:rsid w:val="35783653"/>
    <w:rsid w:val="358A01A2"/>
    <w:rsid w:val="35DE4362"/>
    <w:rsid w:val="35E54EB2"/>
    <w:rsid w:val="35F854CC"/>
    <w:rsid w:val="361A3902"/>
    <w:rsid w:val="363527D0"/>
    <w:rsid w:val="363B56CC"/>
    <w:rsid w:val="363C0236"/>
    <w:rsid w:val="3650455D"/>
    <w:rsid w:val="365956A5"/>
    <w:rsid w:val="36817E0B"/>
    <w:rsid w:val="36DE1B90"/>
    <w:rsid w:val="36FC2500"/>
    <w:rsid w:val="37014837"/>
    <w:rsid w:val="371870D9"/>
    <w:rsid w:val="37364CD3"/>
    <w:rsid w:val="376A5B62"/>
    <w:rsid w:val="37A87A1F"/>
    <w:rsid w:val="37AA03E0"/>
    <w:rsid w:val="37EB14A6"/>
    <w:rsid w:val="37F1551E"/>
    <w:rsid w:val="37F73DA9"/>
    <w:rsid w:val="381F3020"/>
    <w:rsid w:val="383369C6"/>
    <w:rsid w:val="386564B5"/>
    <w:rsid w:val="386778D6"/>
    <w:rsid w:val="38770426"/>
    <w:rsid w:val="38895137"/>
    <w:rsid w:val="38AF616F"/>
    <w:rsid w:val="38DB5B5F"/>
    <w:rsid w:val="38DE772D"/>
    <w:rsid w:val="38E62918"/>
    <w:rsid w:val="38F055DE"/>
    <w:rsid w:val="39910201"/>
    <w:rsid w:val="39920DAA"/>
    <w:rsid w:val="39A27DCD"/>
    <w:rsid w:val="39A31B62"/>
    <w:rsid w:val="39A87D2F"/>
    <w:rsid w:val="39DA0A61"/>
    <w:rsid w:val="39E7165D"/>
    <w:rsid w:val="3A137B35"/>
    <w:rsid w:val="3A3C4B1A"/>
    <w:rsid w:val="3AC84C09"/>
    <w:rsid w:val="3ADB2A52"/>
    <w:rsid w:val="3AE56B5C"/>
    <w:rsid w:val="3AE63E0E"/>
    <w:rsid w:val="3AED1586"/>
    <w:rsid w:val="3B131AC7"/>
    <w:rsid w:val="3B135060"/>
    <w:rsid w:val="3B2C4CAD"/>
    <w:rsid w:val="3B3E680A"/>
    <w:rsid w:val="3B5B4BC2"/>
    <w:rsid w:val="3B73321F"/>
    <w:rsid w:val="3B7D4005"/>
    <w:rsid w:val="3B9220B8"/>
    <w:rsid w:val="3BAF7BE2"/>
    <w:rsid w:val="3BFF4B91"/>
    <w:rsid w:val="3C0034F2"/>
    <w:rsid w:val="3C354CC7"/>
    <w:rsid w:val="3C682C15"/>
    <w:rsid w:val="3CB203C2"/>
    <w:rsid w:val="3CBB6128"/>
    <w:rsid w:val="3CC16FAB"/>
    <w:rsid w:val="3CD94D6D"/>
    <w:rsid w:val="3CF72697"/>
    <w:rsid w:val="3D022E52"/>
    <w:rsid w:val="3D3434C0"/>
    <w:rsid w:val="3D3B38B9"/>
    <w:rsid w:val="3D3B47BF"/>
    <w:rsid w:val="3D45243D"/>
    <w:rsid w:val="3D5D4059"/>
    <w:rsid w:val="3D6939C6"/>
    <w:rsid w:val="3D6A28E6"/>
    <w:rsid w:val="3D821D4F"/>
    <w:rsid w:val="3DA83154"/>
    <w:rsid w:val="3DA877F3"/>
    <w:rsid w:val="3DB523EF"/>
    <w:rsid w:val="3DB9339B"/>
    <w:rsid w:val="3DBF5B2F"/>
    <w:rsid w:val="3DCD1C54"/>
    <w:rsid w:val="3DD068A1"/>
    <w:rsid w:val="3DD4408F"/>
    <w:rsid w:val="3DEA11E6"/>
    <w:rsid w:val="3E160B7E"/>
    <w:rsid w:val="3E187DF6"/>
    <w:rsid w:val="3E2F0CE5"/>
    <w:rsid w:val="3E4F0EB4"/>
    <w:rsid w:val="3E965054"/>
    <w:rsid w:val="3EA85CA6"/>
    <w:rsid w:val="3ECD67C8"/>
    <w:rsid w:val="3EDD67C6"/>
    <w:rsid w:val="3EE03F24"/>
    <w:rsid w:val="3EEB68AD"/>
    <w:rsid w:val="3EFA0BB0"/>
    <w:rsid w:val="3F0B78EA"/>
    <w:rsid w:val="3F1C3DB3"/>
    <w:rsid w:val="3F22118F"/>
    <w:rsid w:val="3F2676D0"/>
    <w:rsid w:val="3F720213"/>
    <w:rsid w:val="3F8179BA"/>
    <w:rsid w:val="3FAE7C68"/>
    <w:rsid w:val="3FB6000C"/>
    <w:rsid w:val="3FDE665A"/>
    <w:rsid w:val="3FFA5547"/>
    <w:rsid w:val="404F448F"/>
    <w:rsid w:val="406D1460"/>
    <w:rsid w:val="407A176A"/>
    <w:rsid w:val="408A23CD"/>
    <w:rsid w:val="4094461F"/>
    <w:rsid w:val="40951247"/>
    <w:rsid w:val="40C36324"/>
    <w:rsid w:val="40C404B8"/>
    <w:rsid w:val="40CB717E"/>
    <w:rsid w:val="40EB5A12"/>
    <w:rsid w:val="4109712E"/>
    <w:rsid w:val="415C2596"/>
    <w:rsid w:val="415D4F99"/>
    <w:rsid w:val="41657540"/>
    <w:rsid w:val="416F3533"/>
    <w:rsid w:val="41784417"/>
    <w:rsid w:val="41A818AD"/>
    <w:rsid w:val="41AB62AD"/>
    <w:rsid w:val="41C07BEC"/>
    <w:rsid w:val="41CB1391"/>
    <w:rsid w:val="41FD23E6"/>
    <w:rsid w:val="42073531"/>
    <w:rsid w:val="42097F0D"/>
    <w:rsid w:val="421113D1"/>
    <w:rsid w:val="42152C81"/>
    <w:rsid w:val="421A6AA7"/>
    <w:rsid w:val="42237563"/>
    <w:rsid w:val="42464CB6"/>
    <w:rsid w:val="424715B2"/>
    <w:rsid w:val="42497DD8"/>
    <w:rsid w:val="426505CE"/>
    <w:rsid w:val="42674ABD"/>
    <w:rsid w:val="426D32A4"/>
    <w:rsid w:val="42733DFD"/>
    <w:rsid w:val="42884999"/>
    <w:rsid w:val="42AD4AB5"/>
    <w:rsid w:val="42C658EC"/>
    <w:rsid w:val="42CA217A"/>
    <w:rsid w:val="42D9538B"/>
    <w:rsid w:val="42EB180A"/>
    <w:rsid w:val="42F31D87"/>
    <w:rsid w:val="430D1B83"/>
    <w:rsid w:val="4322584F"/>
    <w:rsid w:val="432416FE"/>
    <w:rsid w:val="43242CB3"/>
    <w:rsid w:val="433C6EE9"/>
    <w:rsid w:val="434E3FC6"/>
    <w:rsid w:val="43551403"/>
    <w:rsid w:val="437C4494"/>
    <w:rsid w:val="43D64CAD"/>
    <w:rsid w:val="44065A46"/>
    <w:rsid w:val="440C3FB4"/>
    <w:rsid w:val="44162D43"/>
    <w:rsid w:val="44230657"/>
    <w:rsid w:val="44241194"/>
    <w:rsid w:val="443D0448"/>
    <w:rsid w:val="443D194E"/>
    <w:rsid w:val="44776E5C"/>
    <w:rsid w:val="449B0D5D"/>
    <w:rsid w:val="44C65725"/>
    <w:rsid w:val="44C85588"/>
    <w:rsid w:val="44E75B5D"/>
    <w:rsid w:val="44F37C3A"/>
    <w:rsid w:val="450478DB"/>
    <w:rsid w:val="45433E85"/>
    <w:rsid w:val="455C139D"/>
    <w:rsid w:val="455F6BC2"/>
    <w:rsid w:val="456A522C"/>
    <w:rsid w:val="45857DCE"/>
    <w:rsid w:val="45BA42BA"/>
    <w:rsid w:val="45C54076"/>
    <w:rsid w:val="45DD698E"/>
    <w:rsid w:val="45EC2158"/>
    <w:rsid w:val="45F4011A"/>
    <w:rsid w:val="45FE436F"/>
    <w:rsid w:val="46035979"/>
    <w:rsid w:val="460631C5"/>
    <w:rsid w:val="469345AE"/>
    <w:rsid w:val="4698299D"/>
    <w:rsid w:val="470B387A"/>
    <w:rsid w:val="47472F11"/>
    <w:rsid w:val="47861E3F"/>
    <w:rsid w:val="47874E2F"/>
    <w:rsid w:val="47A101D6"/>
    <w:rsid w:val="47B53DE4"/>
    <w:rsid w:val="47C15F43"/>
    <w:rsid w:val="47C962F6"/>
    <w:rsid w:val="47D6748F"/>
    <w:rsid w:val="47EC4D22"/>
    <w:rsid w:val="47EC5C17"/>
    <w:rsid w:val="47ED6BAB"/>
    <w:rsid w:val="48161BB5"/>
    <w:rsid w:val="481679F9"/>
    <w:rsid w:val="485C7D6C"/>
    <w:rsid w:val="486E6C87"/>
    <w:rsid w:val="489428F3"/>
    <w:rsid w:val="48A31395"/>
    <w:rsid w:val="48B02E44"/>
    <w:rsid w:val="48CF7825"/>
    <w:rsid w:val="48E826D8"/>
    <w:rsid w:val="48FD67BD"/>
    <w:rsid w:val="49060F44"/>
    <w:rsid w:val="493865DF"/>
    <w:rsid w:val="49A20613"/>
    <w:rsid w:val="49D340FF"/>
    <w:rsid w:val="4A2A0F84"/>
    <w:rsid w:val="4A406A9D"/>
    <w:rsid w:val="4A55703F"/>
    <w:rsid w:val="4A5F76E7"/>
    <w:rsid w:val="4A720E01"/>
    <w:rsid w:val="4A7B4489"/>
    <w:rsid w:val="4AAD6B38"/>
    <w:rsid w:val="4AC55C80"/>
    <w:rsid w:val="4AC639C5"/>
    <w:rsid w:val="4B356B1B"/>
    <w:rsid w:val="4B5F644E"/>
    <w:rsid w:val="4BAB7C99"/>
    <w:rsid w:val="4BE53003"/>
    <w:rsid w:val="4BEF6944"/>
    <w:rsid w:val="4BF8031B"/>
    <w:rsid w:val="4BFE260E"/>
    <w:rsid w:val="4C4178FC"/>
    <w:rsid w:val="4C8B4AAE"/>
    <w:rsid w:val="4CE83D66"/>
    <w:rsid w:val="4CF447F9"/>
    <w:rsid w:val="4D2F21A4"/>
    <w:rsid w:val="4D394AEF"/>
    <w:rsid w:val="4D4B3705"/>
    <w:rsid w:val="4D4C078D"/>
    <w:rsid w:val="4D5D62CD"/>
    <w:rsid w:val="4D6D4837"/>
    <w:rsid w:val="4D814480"/>
    <w:rsid w:val="4D8C767D"/>
    <w:rsid w:val="4DC425C4"/>
    <w:rsid w:val="4E355027"/>
    <w:rsid w:val="4E480C0D"/>
    <w:rsid w:val="4E4829C9"/>
    <w:rsid w:val="4E6B481B"/>
    <w:rsid w:val="4E7052F7"/>
    <w:rsid w:val="4E797798"/>
    <w:rsid w:val="4E7C2F72"/>
    <w:rsid w:val="4E9151C3"/>
    <w:rsid w:val="4EA405B0"/>
    <w:rsid w:val="4EA66A5F"/>
    <w:rsid w:val="4ED53E95"/>
    <w:rsid w:val="4F3A6106"/>
    <w:rsid w:val="4F686B6F"/>
    <w:rsid w:val="4F7A79CD"/>
    <w:rsid w:val="4FAD23C5"/>
    <w:rsid w:val="50100176"/>
    <w:rsid w:val="50311B04"/>
    <w:rsid w:val="50373796"/>
    <w:rsid w:val="504D3C16"/>
    <w:rsid w:val="506278FD"/>
    <w:rsid w:val="50903155"/>
    <w:rsid w:val="50A20D70"/>
    <w:rsid w:val="50C76FAE"/>
    <w:rsid w:val="50D02E08"/>
    <w:rsid w:val="50E47CCF"/>
    <w:rsid w:val="51091E28"/>
    <w:rsid w:val="51177FAA"/>
    <w:rsid w:val="5118161A"/>
    <w:rsid w:val="512D63BF"/>
    <w:rsid w:val="51320A59"/>
    <w:rsid w:val="513E522B"/>
    <w:rsid w:val="51642944"/>
    <w:rsid w:val="51B95E77"/>
    <w:rsid w:val="51D14D89"/>
    <w:rsid w:val="51DD18FB"/>
    <w:rsid w:val="51F95466"/>
    <w:rsid w:val="521B1751"/>
    <w:rsid w:val="52276618"/>
    <w:rsid w:val="524F713C"/>
    <w:rsid w:val="5254263E"/>
    <w:rsid w:val="52B901D2"/>
    <w:rsid w:val="52CC049D"/>
    <w:rsid w:val="52D73966"/>
    <w:rsid w:val="52F76148"/>
    <w:rsid w:val="533775B7"/>
    <w:rsid w:val="535F279E"/>
    <w:rsid w:val="536A6651"/>
    <w:rsid w:val="53872BF9"/>
    <w:rsid w:val="53A9592C"/>
    <w:rsid w:val="53AF2AA5"/>
    <w:rsid w:val="53B7705D"/>
    <w:rsid w:val="53C0449F"/>
    <w:rsid w:val="53CF2AED"/>
    <w:rsid w:val="53D33579"/>
    <w:rsid w:val="53F92BFA"/>
    <w:rsid w:val="54320BDD"/>
    <w:rsid w:val="5455125E"/>
    <w:rsid w:val="545958B8"/>
    <w:rsid w:val="5460774F"/>
    <w:rsid w:val="54660872"/>
    <w:rsid w:val="546A3557"/>
    <w:rsid w:val="546D1B15"/>
    <w:rsid w:val="54802393"/>
    <w:rsid w:val="548646F0"/>
    <w:rsid w:val="54B65E96"/>
    <w:rsid w:val="54C658F2"/>
    <w:rsid w:val="54CC0797"/>
    <w:rsid w:val="54D7436F"/>
    <w:rsid w:val="5501153C"/>
    <w:rsid w:val="5502572A"/>
    <w:rsid w:val="55280DC1"/>
    <w:rsid w:val="55330825"/>
    <w:rsid w:val="55360BCD"/>
    <w:rsid w:val="557B157C"/>
    <w:rsid w:val="557D7188"/>
    <w:rsid w:val="5581398B"/>
    <w:rsid w:val="55887F0A"/>
    <w:rsid w:val="55997927"/>
    <w:rsid w:val="55A570E0"/>
    <w:rsid w:val="55BC36D0"/>
    <w:rsid w:val="55CB1E8A"/>
    <w:rsid w:val="565D317E"/>
    <w:rsid w:val="565F53CC"/>
    <w:rsid w:val="56705C6F"/>
    <w:rsid w:val="567E06DE"/>
    <w:rsid w:val="56BB29F8"/>
    <w:rsid w:val="56C977F9"/>
    <w:rsid w:val="56D668F5"/>
    <w:rsid w:val="56F956AB"/>
    <w:rsid w:val="5715543F"/>
    <w:rsid w:val="571D7A27"/>
    <w:rsid w:val="57253D2B"/>
    <w:rsid w:val="57421772"/>
    <w:rsid w:val="57481BD1"/>
    <w:rsid w:val="574A351B"/>
    <w:rsid w:val="57576D9A"/>
    <w:rsid w:val="57690071"/>
    <w:rsid w:val="57CF71AD"/>
    <w:rsid w:val="57E658B2"/>
    <w:rsid w:val="585B6543"/>
    <w:rsid w:val="58A365E5"/>
    <w:rsid w:val="58BE3BBB"/>
    <w:rsid w:val="58C130C1"/>
    <w:rsid w:val="58DF1847"/>
    <w:rsid w:val="58DF1D0E"/>
    <w:rsid w:val="58EA7D5F"/>
    <w:rsid w:val="58F6099C"/>
    <w:rsid w:val="59203CD4"/>
    <w:rsid w:val="593C4A7F"/>
    <w:rsid w:val="59737D00"/>
    <w:rsid w:val="59885A23"/>
    <w:rsid w:val="599D7F43"/>
    <w:rsid w:val="59CD725B"/>
    <w:rsid w:val="59E5670D"/>
    <w:rsid w:val="59EF00ED"/>
    <w:rsid w:val="5A1266FB"/>
    <w:rsid w:val="5A1A57F0"/>
    <w:rsid w:val="5A2A1110"/>
    <w:rsid w:val="5A567AE4"/>
    <w:rsid w:val="5A720621"/>
    <w:rsid w:val="5A7227B9"/>
    <w:rsid w:val="5A99767F"/>
    <w:rsid w:val="5ACE0755"/>
    <w:rsid w:val="5AF72029"/>
    <w:rsid w:val="5B0B043B"/>
    <w:rsid w:val="5B14296F"/>
    <w:rsid w:val="5B19654F"/>
    <w:rsid w:val="5B435B31"/>
    <w:rsid w:val="5B580C22"/>
    <w:rsid w:val="5B591F6B"/>
    <w:rsid w:val="5B96212B"/>
    <w:rsid w:val="5BAF356A"/>
    <w:rsid w:val="5BD267A7"/>
    <w:rsid w:val="5C0E2E23"/>
    <w:rsid w:val="5C2C5CAC"/>
    <w:rsid w:val="5C3A1D2E"/>
    <w:rsid w:val="5C51042E"/>
    <w:rsid w:val="5C7247CA"/>
    <w:rsid w:val="5C856B65"/>
    <w:rsid w:val="5CB7684D"/>
    <w:rsid w:val="5CE77856"/>
    <w:rsid w:val="5CF01C39"/>
    <w:rsid w:val="5CF81CA6"/>
    <w:rsid w:val="5D600730"/>
    <w:rsid w:val="5D944EC8"/>
    <w:rsid w:val="5DAD30A4"/>
    <w:rsid w:val="5DB172C0"/>
    <w:rsid w:val="5DB322DE"/>
    <w:rsid w:val="5DCD3D0A"/>
    <w:rsid w:val="5DCF165D"/>
    <w:rsid w:val="5DD11E13"/>
    <w:rsid w:val="5DDE0B78"/>
    <w:rsid w:val="5DF62C79"/>
    <w:rsid w:val="5E026C58"/>
    <w:rsid w:val="5E261D74"/>
    <w:rsid w:val="5E626A67"/>
    <w:rsid w:val="5E995681"/>
    <w:rsid w:val="5EA52683"/>
    <w:rsid w:val="5EC731BF"/>
    <w:rsid w:val="5EDC2D83"/>
    <w:rsid w:val="5EE633C3"/>
    <w:rsid w:val="5EEF73FA"/>
    <w:rsid w:val="5EF71434"/>
    <w:rsid w:val="5F2A4F4C"/>
    <w:rsid w:val="5F311139"/>
    <w:rsid w:val="5F3F0D82"/>
    <w:rsid w:val="5F402331"/>
    <w:rsid w:val="5F954A32"/>
    <w:rsid w:val="5FA01236"/>
    <w:rsid w:val="5FDD2C08"/>
    <w:rsid w:val="5FEC744C"/>
    <w:rsid w:val="5FF86B06"/>
    <w:rsid w:val="601971B0"/>
    <w:rsid w:val="60401AE6"/>
    <w:rsid w:val="604B0881"/>
    <w:rsid w:val="609612A0"/>
    <w:rsid w:val="609F2C02"/>
    <w:rsid w:val="60A60293"/>
    <w:rsid w:val="60AB23AE"/>
    <w:rsid w:val="60D37980"/>
    <w:rsid w:val="60D73838"/>
    <w:rsid w:val="60E72A0C"/>
    <w:rsid w:val="60F52562"/>
    <w:rsid w:val="61035EB8"/>
    <w:rsid w:val="61213C9C"/>
    <w:rsid w:val="61762488"/>
    <w:rsid w:val="6176562A"/>
    <w:rsid w:val="61875B50"/>
    <w:rsid w:val="61946DA3"/>
    <w:rsid w:val="61AA6B27"/>
    <w:rsid w:val="61C227E4"/>
    <w:rsid w:val="61ED215E"/>
    <w:rsid w:val="620B3C9D"/>
    <w:rsid w:val="621330AD"/>
    <w:rsid w:val="62544E84"/>
    <w:rsid w:val="629023A3"/>
    <w:rsid w:val="62AE5FFF"/>
    <w:rsid w:val="62CD62E4"/>
    <w:rsid w:val="62FA1848"/>
    <w:rsid w:val="63106792"/>
    <w:rsid w:val="631946DD"/>
    <w:rsid w:val="63393EF7"/>
    <w:rsid w:val="63503F8C"/>
    <w:rsid w:val="63801D56"/>
    <w:rsid w:val="63821F77"/>
    <w:rsid w:val="638A3BC8"/>
    <w:rsid w:val="6393623C"/>
    <w:rsid w:val="639854AA"/>
    <w:rsid w:val="63C2628E"/>
    <w:rsid w:val="63C33079"/>
    <w:rsid w:val="63CF1F3E"/>
    <w:rsid w:val="64020C5D"/>
    <w:rsid w:val="64232149"/>
    <w:rsid w:val="644374CD"/>
    <w:rsid w:val="6454166C"/>
    <w:rsid w:val="64957FBC"/>
    <w:rsid w:val="649E5D78"/>
    <w:rsid w:val="64AC39DB"/>
    <w:rsid w:val="64AC5A0C"/>
    <w:rsid w:val="64B0177D"/>
    <w:rsid w:val="64C05850"/>
    <w:rsid w:val="64C671E6"/>
    <w:rsid w:val="64CE76D8"/>
    <w:rsid w:val="6508668E"/>
    <w:rsid w:val="65087E90"/>
    <w:rsid w:val="651937E7"/>
    <w:rsid w:val="653E50F5"/>
    <w:rsid w:val="656677CA"/>
    <w:rsid w:val="6568716C"/>
    <w:rsid w:val="65AD4911"/>
    <w:rsid w:val="65B77147"/>
    <w:rsid w:val="65D72794"/>
    <w:rsid w:val="65D930BD"/>
    <w:rsid w:val="66063696"/>
    <w:rsid w:val="6625272E"/>
    <w:rsid w:val="665747FA"/>
    <w:rsid w:val="66591451"/>
    <w:rsid w:val="66942DCC"/>
    <w:rsid w:val="6695239D"/>
    <w:rsid w:val="66982A24"/>
    <w:rsid w:val="66A74B82"/>
    <w:rsid w:val="66C0063E"/>
    <w:rsid w:val="66D87137"/>
    <w:rsid w:val="66DD7075"/>
    <w:rsid w:val="66E731C9"/>
    <w:rsid w:val="66F52B75"/>
    <w:rsid w:val="670145AA"/>
    <w:rsid w:val="67163D60"/>
    <w:rsid w:val="67272D57"/>
    <w:rsid w:val="67356CE6"/>
    <w:rsid w:val="67805D9D"/>
    <w:rsid w:val="67F372DA"/>
    <w:rsid w:val="683400F2"/>
    <w:rsid w:val="68423BE0"/>
    <w:rsid w:val="684321E9"/>
    <w:rsid w:val="6869468E"/>
    <w:rsid w:val="686D1C63"/>
    <w:rsid w:val="68732045"/>
    <w:rsid w:val="68906240"/>
    <w:rsid w:val="689608F3"/>
    <w:rsid w:val="68C1769D"/>
    <w:rsid w:val="68CE412B"/>
    <w:rsid w:val="68E102E9"/>
    <w:rsid w:val="68E44AFF"/>
    <w:rsid w:val="68E603BF"/>
    <w:rsid w:val="68E717BC"/>
    <w:rsid w:val="68F80247"/>
    <w:rsid w:val="68FD7340"/>
    <w:rsid w:val="692357DA"/>
    <w:rsid w:val="693E4D7A"/>
    <w:rsid w:val="695C1BAB"/>
    <w:rsid w:val="69696AFA"/>
    <w:rsid w:val="698473B5"/>
    <w:rsid w:val="6988726E"/>
    <w:rsid w:val="69A70395"/>
    <w:rsid w:val="69B17899"/>
    <w:rsid w:val="69DC3734"/>
    <w:rsid w:val="69FC700D"/>
    <w:rsid w:val="6A1C3194"/>
    <w:rsid w:val="6A257E03"/>
    <w:rsid w:val="6A304A85"/>
    <w:rsid w:val="6A4851D3"/>
    <w:rsid w:val="6A4F245F"/>
    <w:rsid w:val="6A65399A"/>
    <w:rsid w:val="6A6E5FDA"/>
    <w:rsid w:val="6A6F3B84"/>
    <w:rsid w:val="6AA11F70"/>
    <w:rsid w:val="6AE6525E"/>
    <w:rsid w:val="6AF7363A"/>
    <w:rsid w:val="6B2C3335"/>
    <w:rsid w:val="6B4A5E44"/>
    <w:rsid w:val="6B551A3E"/>
    <w:rsid w:val="6B783333"/>
    <w:rsid w:val="6B883A35"/>
    <w:rsid w:val="6B996ED3"/>
    <w:rsid w:val="6BB14578"/>
    <w:rsid w:val="6BE575AC"/>
    <w:rsid w:val="6BF81937"/>
    <w:rsid w:val="6C0653E4"/>
    <w:rsid w:val="6C427F30"/>
    <w:rsid w:val="6C4A61C2"/>
    <w:rsid w:val="6C4B3584"/>
    <w:rsid w:val="6C6329EE"/>
    <w:rsid w:val="6C78179C"/>
    <w:rsid w:val="6C7B208C"/>
    <w:rsid w:val="6C816A31"/>
    <w:rsid w:val="6CA738D5"/>
    <w:rsid w:val="6CE1247D"/>
    <w:rsid w:val="6D0531D6"/>
    <w:rsid w:val="6D232D3F"/>
    <w:rsid w:val="6D422EC7"/>
    <w:rsid w:val="6D5543F8"/>
    <w:rsid w:val="6D685FAD"/>
    <w:rsid w:val="6D7E5DA8"/>
    <w:rsid w:val="6D85320E"/>
    <w:rsid w:val="6D8F18C2"/>
    <w:rsid w:val="6D8F6D15"/>
    <w:rsid w:val="6DA36053"/>
    <w:rsid w:val="6DAB64CB"/>
    <w:rsid w:val="6DB26652"/>
    <w:rsid w:val="6DB81C05"/>
    <w:rsid w:val="6DBC4BAD"/>
    <w:rsid w:val="6DD02897"/>
    <w:rsid w:val="6DFA6383"/>
    <w:rsid w:val="6E1327C4"/>
    <w:rsid w:val="6E1E0D40"/>
    <w:rsid w:val="6E25790A"/>
    <w:rsid w:val="6E302727"/>
    <w:rsid w:val="6E3D491B"/>
    <w:rsid w:val="6E6A5B82"/>
    <w:rsid w:val="6E711301"/>
    <w:rsid w:val="6E7966A2"/>
    <w:rsid w:val="6E89513B"/>
    <w:rsid w:val="6E8A023C"/>
    <w:rsid w:val="6E8F5819"/>
    <w:rsid w:val="6EA61108"/>
    <w:rsid w:val="6ED9783D"/>
    <w:rsid w:val="6F17767E"/>
    <w:rsid w:val="6F1B3C45"/>
    <w:rsid w:val="6F643705"/>
    <w:rsid w:val="6F797150"/>
    <w:rsid w:val="6FB26204"/>
    <w:rsid w:val="6FC01BF6"/>
    <w:rsid w:val="6FD36C1F"/>
    <w:rsid w:val="6FE53E21"/>
    <w:rsid w:val="6FF70EFD"/>
    <w:rsid w:val="700F7904"/>
    <w:rsid w:val="701B2F27"/>
    <w:rsid w:val="701E3C4F"/>
    <w:rsid w:val="705F4DE1"/>
    <w:rsid w:val="707C5B0F"/>
    <w:rsid w:val="707E0781"/>
    <w:rsid w:val="70846C96"/>
    <w:rsid w:val="708C5ED4"/>
    <w:rsid w:val="70915039"/>
    <w:rsid w:val="70A42F1B"/>
    <w:rsid w:val="70B47603"/>
    <w:rsid w:val="70DE7B9A"/>
    <w:rsid w:val="70F036AB"/>
    <w:rsid w:val="71196D35"/>
    <w:rsid w:val="71290EFB"/>
    <w:rsid w:val="71295F9D"/>
    <w:rsid w:val="71375846"/>
    <w:rsid w:val="71381047"/>
    <w:rsid w:val="713A6044"/>
    <w:rsid w:val="715B4123"/>
    <w:rsid w:val="716523D0"/>
    <w:rsid w:val="71997F25"/>
    <w:rsid w:val="71A95DCE"/>
    <w:rsid w:val="71E6509D"/>
    <w:rsid w:val="71EA6065"/>
    <w:rsid w:val="71FE69D6"/>
    <w:rsid w:val="72012E31"/>
    <w:rsid w:val="720B2606"/>
    <w:rsid w:val="72551D02"/>
    <w:rsid w:val="72910468"/>
    <w:rsid w:val="72BB7BDA"/>
    <w:rsid w:val="72BD664C"/>
    <w:rsid w:val="72D77F6B"/>
    <w:rsid w:val="72E27185"/>
    <w:rsid w:val="72EC4C4C"/>
    <w:rsid w:val="731429BE"/>
    <w:rsid w:val="73146F4A"/>
    <w:rsid w:val="731D7BD1"/>
    <w:rsid w:val="733C1269"/>
    <w:rsid w:val="733E73F4"/>
    <w:rsid w:val="73404701"/>
    <w:rsid w:val="734E5454"/>
    <w:rsid w:val="735B7305"/>
    <w:rsid w:val="736700F9"/>
    <w:rsid w:val="7379638D"/>
    <w:rsid w:val="73997159"/>
    <w:rsid w:val="739C0D45"/>
    <w:rsid w:val="73AF30B2"/>
    <w:rsid w:val="73CF48C4"/>
    <w:rsid w:val="73F73650"/>
    <w:rsid w:val="73FE636F"/>
    <w:rsid w:val="74200655"/>
    <w:rsid w:val="74291D7C"/>
    <w:rsid w:val="744838A2"/>
    <w:rsid w:val="746B0EFE"/>
    <w:rsid w:val="74835FAA"/>
    <w:rsid w:val="7484211F"/>
    <w:rsid w:val="74A42840"/>
    <w:rsid w:val="74A67528"/>
    <w:rsid w:val="74C0173E"/>
    <w:rsid w:val="74CF2354"/>
    <w:rsid w:val="74D73294"/>
    <w:rsid w:val="74FD4872"/>
    <w:rsid w:val="75452878"/>
    <w:rsid w:val="754E3219"/>
    <w:rsid w:val="75756D95"/>
    <w:rsid w:val="757E5EC0"/>
    <w:rsid w:val="75802A33"/>
    <w:rsid w:val="75816AE8"/>
    <w:rsid w:val="758B1422"/>
    <w:rsid w:val="759925EB"/>
    <w:rsid w:val="7622086A"/>
    <w:rsid w:val="763843DE"/>
    <w:rsid w:val="76596D3D"/>
    <w:rsid w:val="767D14B9"/>
    <w:rsid w:val="768027C8"/>
    <w:rsid w:val="76B11C82"/>
    <w:rsid w:val="76C33BF4"/>
    <w:rsid w:val="76C43AED"/>
    <w:rsid w:val="76DB1700"/>
    <w:rsid w:val="76E24EFD"/>
    <w:rsid w:val="76FF6A3F"/>
    <w:rsid w:val="771354CD"/>
    <w:rsid w:val="77167BFA"/>
    <w:rsid w:val="771C44B0"/>
    <w:rsid w:val="772C6812"/>
    <w:rsid w:val="7741428A"/>
    <w:rsid w:val="77980622"/>
    <w:rsid w:val="77F04704"/>
    <w:rsid w:val="77FD4A20"/>
    <w:rsid w:val="77FD5BF8"/>
    <w:rsid w:val="782C5F12"/>
    <w:rsid w:val="784F2BE8"/>
    <w:rsid w:val="78DB23AD"/>
    <w:rsid w:val="78DF282C"/>
    <w:rsid w:val="790C35FE"/>
    <w:rsid w:val="79196224"/>
    <w:rsid w:val="791B5FD0"/>
    <w:rsid w:val="791C4BC1"/>
    <w:rsid w:val="79207AE8"/>
    <w:rsid w:val="795265C4"/>
    <w:rsid w:val="795C2ABE"/>
    <w:rsid w:val="79747EAA"/>
    <w:rsid w:val="797F1B7D"/>
    <w:rsid w:val="798518F6"/>
    <w:rsid w:val="79BD135D"/>
    <w:rsid w:val="79BD1919"/>
    <w:rsid w:val="79BF3E9D"/>
    <w:rsid w:val="79D409FF"/>
    <w:rsid w:val="79D45D20"/>
    <w:rsid w:val="79D64AC2"/>
    <w:rsid w:val="7A03509C"/>
    <w:rsid w:val="7A071AD3"/>
    <w:rsid w:val="7A192CFB"/>
    <w:rsid w:val="7A2D3C91"/>
    <w:rsid w:val="7A3060AD"/>
    <w:rsid w:val="7A330491"/>
    <w:rsid w:val="7A406C32"/>
    <w:rsid w:val="7A496FA1"/>
    <w:rsid w:val="7A563E0D"/>
    <w:rsid w:val="7A6D629E"/>
    <w:rsid w:val="7A9D4069"/>
    <w:rsid w:val="7A9E02DB"/>
    <w:rsid w:val="7AA25850"/>
    <w:rsid w:val="7AA36BD9"/>
    <w:rsid w:val="7AF35A06"/>
    <w:rsid w:val="7B5B2B16"/>
    <w:rsid w:val="7BA34BC4"/>
    <w:rsid w:val="7BAC3C32"/>
    <w:rsid w:val="7BCE0F1A"/>
    <w:rsid w:val="7BF2094B"/>
    <w:rsid w:val="7BF51435"/>
    <w:rsid w:val="7BFF3699"/>
    <w:rsid w:val="7C087FAE"/>
    <w:rsid w:val="7C1F2BF9"/>
    <w:rsid w:val="7C327201"/>
    <w:rsid w:val="7C41534A"/>
    <w:rsid w:val="7C5A41EB"/>
    <w:rsid w:val="7C5E095F"/>
    <w:rsid w:val="7C8850C1"/>
    <w:rsid w:val="7CB36590"/>
    <w:rsid w:val="7CB82558"/>
    <w:rsid w:val="7CD722AB"/>
    <w:rsid w:val="7D451A00"/>
    <w:rsid w:val="7D6548B2"/>
    <w:rsid w:val="7D917EBB"/>
    <w:rsid w:val="7DB14999"/>
    <w:rsid w:val="7DC52357"/>
    <w:rsid w:val="7DEE2528"/>
    <w:rsid w:val="7E1F6F1D"/>
    <w:rsid w:val="7E293E09"/>
    <w:rsid w:val="7E8E7B70"/>
    <w:rsid w:val="7EA41D05"/>
    <w:rsid w:val="7EC64C38"/>
    <w:rsid w:val="7ED963A0"/>
    <w:rsid w:val="7EE31342"/>
    <w:rsid w:val="7EF266D2"/>
    <w:rsid w:val="7EF44D6A"/>
    <w:rsid w:val="7F0F36F4"/>
    <w:rsid w:val="7F3F3E95"/>
    <w:rsid w:val="7F8E187F"/>
    <w:rsid w:val="7F907FEE"/>
    <w:rsid w:val="7F9E70AD"/>
    <w:rsid w:val="7FB91E3B"/>
    <w:rsid w:val="7FC07DC7"/>
    <w:rsid w:val="7FC36FD6"/>
    <w:rsid w:val="7FDA1FB9"/>
    <w:rsid w:val="7FDB5519"/>
    <w:rsid w:val="7FE365CE"/>
    <w:rsid w:val="7FF14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name="toc 2"/>
    <w:lsdException w:qFormat="1" w:uiPriority="39" w:name="toc 3"/>
    <w:lsdException w:qFormat="1" w:uiPriority="39" w:semiHidden="0" w:name="toc 4"/>
    <w:lsdException w:qFormat="1" w:uiPriority="39" w:name="toc 5"/>
    <w:lsdException w:qFormat="1" w:uiPriority="39" w:name="toc 6"/>
    <w:lsdException w:qFormat="1" w:uiPriority="39" w:name="toc 7"/>
    <w:lsdException w:qFormat="1" w:uiPriority="39" w:name="toc 8"/>
    <w:lsdException w:qFormat="1"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iPriority="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iPriority="0" w:name="HTML Cite"/>
    <w:lsdException w:qFormat="1" w:uiPriority="0" w:name="HTML Code"/>
    <w:lsdException w:qFormat="1" w:uiPriority="0" w:name="HTML Definition"/>
    <w:lsdException w:uiPriority="99" w:name="HTML Keyboard"/>
    <w:lsdException w:uiPriority="99" w:name="HTML Preformatted"/>
    <w:lsdException w:qFormat="1" w:uiPriority="99" w:name="HTML Sample"/>
    <w:lsdException w:uiPriority="99" w:name="HTML Typewriter"/>
    <w:lsdException w:qFormat="1" w:uiPriority="0"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iPriority="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60" w:lineRule="exact"/>
      <w:ind w:firstLine="640" w:firstLineChars="200"/>
      <w:jc w:val="both"/>
    </w:pPr>
    <w:rPr>
      <w:rFonts w:ascii="宋体" w:hAnsi="宋体" w:eastAsia="宋体" w:cs="Times New Roman"/>
      <w:sz w:val="24"/>
      <w:lang w:val="en-US" w:eastAsia="zh-CN" w:bidi="ar-SA"/>
    </w:rPr>
  </w:style>
  <w:style w:type="paragraph" w:styleId="3">
    <w:name w:val="heading 1"/>
    <w:basedOn w:val="1"/>
    <w:next w:val="1"/>
    <w:link w:val="46"/>
    <w:qFormat/>
    <w:uiPriority w:val="9"/>
    <w:pPr>
      <w:keepNext/>
      <w:keepLines/>
      <w:spacing w:before="340" w:after="330" w:line="520" w:lineRule="exact"/>
      <w:ind w:firstLine="0" w:firstLineChars="0"/>
      <w:jc w:val="center"/>
      <w:outlineLvl w:val="0"/>
    </w:pPr>
    <w:rPr>
      <w:rFonts w:ascii="Times New Roman" w:hAnsi="Times New Roman"/>
      <w:b/>
      <w:bCs/>
      <w:kern w:val="44"/>
      <w:sz w:val="36"/>
      <w:szCs w:val="44"/>
      <w:lang w:val="zh-CN"/>
    </w:rPr>
  </w:style>
  <w:style w:type="paragraph" w:styleId="4">
    <w:name w:val="heading 2"/>
    <w:basedOn w:val="1"/>
    <w:next w:val="1"/>
    <w:link w:val="47"/>
    <w:qFormat/>
    <w:uiPriority w:val="9"/>
    <w:pPr>
      <w:keepNext/>
      <w:keepLines/>
      <w:spacing w:before="260" w:after="260" w:line="520" w:lineRule="exact"/>
      <w:ind w:firstLine="0" w:firstLineChars="0"/>
      <w:jc w:val="center"/>
      <w:outlineLvl w:val="1"/>
    </w:pPr>
    <w:rPr>
      <w:rFonts w:ascii="Arial" w:hAnsi="Arial"/>
      <w:b/>
      <w:bCs/>
      <w:kern w:val="2"/>
      <w:sz w:val="32"/>
      <w:szCs w:val="32"/>
      <w:lang w:val="zh-CN"/>
    </w:rPr>
  </w:style>
  <w:style w:type="paragraph" w:styleId="5">
    <w:name w:val="heading 3"/>
    <w:basedOn w:val="1"/>
    <w:next w:val="1"/>
    <w:link w:val="48"/>
    <w:qFormat/>
    <w:uiPriority w:val="0"/>
    <w:pPr>
      <w:keepNext/>
      <w:keepLines/>
      <w:spacing w:before="260" w:after="260"/>
      <w:outlineLvl w:val="2"/>
    </w:pPr>
    <w:rPr>
      <w:rFonts w:ascii="Times New Roman" w:hAnsi="Times New Roman"/>
      <w:b/>
      <w:bCs/>
      <w:kern w:val="2"/>
      <w:szCs w:val="32"/>
      <w:lang w:val="zh-CN"/>
    </w:rPr>
  </w:style>
  <w:style w:type="paragraph" w:styleId="6">
    <w:name w:val="heading 4"/>
    <w:basedOn w:val="1"/>
    <w:next w:val="1"/>
    <w:link w:val="51"/>
    <w:qFormat/>
    <w:uiPriority w:val="0"/>
    <w:pPr>
      <w:keepNext/>
      <w:keepLines/>
      <w:spacing w:before="280" w:after="290" w:line="376" w:lineRule="auto"/>
      <w:outlineLvl w:val="3"/>
    </w:pPr>
    <w:rPr>
      <w:rFonts w:ascii="Cambria" w:hAnsi="Cambria"/>
      <w:b/>
      <w:bCs/>
      <w:kern w:val="2"/>
      <w:szCs w:val="28"/>
      <w:lang w:val="zh-CN"/>
    </w:rPr>
  </w:style>
  <w:style w:type="paragraph" w:styleId="7">
    <w:name w:val="heading 5"/>
    <w:basedOn w:val="1"/>
    <w:next w:val="1"/>
    <w:link w:val="52"/>
    <w:qFormat/>
    <w:uiPriority w:val="9"/>
    <w:pPr>
      <w:keepNext/>
      <w:keepLines/>
      <w:spacing w:before="280" w:after="290"/>
      <w:outlineLvl w:val="4"/>
    </w:pPr>
    <w:rPr>
      <w:rFonts w:ascii="Times New Roman" w:hAnsi="Times New Roman"/>
      <w:b/>
      <w:bCs/>
      <w:szCs w:val="28"/>
      <w:lang w:val="zh-CN"/>
    </w:rPr>
  </w:style>
  <w:style w:type="paragraph" w:styleId="8">
    <w:name w:val="heading 6"/>
    <w:basedOn w:val="1"/>
    <w:next w:val="1"/>
    <w:link w:val="53"/>
    <w:qFormat/>
    <w:uiPriority w:val="0"/>
    <w:pPr>
      <w:keepNext/>
      <w:keepLines/>
      <w:spacing w:before="240" w:after="64" w:line="320" w:lineRule="auto"/>
      <w:outlineLvl w:val="5"/>
    </w:pPr>
    <w:rPr>
      <w:rFonts w:ascii="Calibri Light" w:hAnsi="Calibri Light"/>
      <w:b/>
      <w:bCs/>
      <w:kern w:val="2"/>
      <w:szCs w:val="24"/>
      <w:lang w:val="zh-CN"/>
    </w:rPr>
  </w:style>
  <w:style w:type="paragraph" w:styleId="9">
    <w:name w:val="heading 7"/>
    <w:basedOn w:val="1"/>
    <w:next w:val="1"/>
    <w:link w:val="54"/>
    <w:qFormat/>
    <w:uiPriority w:val="0"/>
    <w:pPr>
      <w:keepNext/>
      <w:keepLines/>
      <w:spacing w:before="240" w:after="64" w:line="317" w:lineRule="auto"/>
      <w:outlineLvl w:val="6"/>
    </w:pPr>
    <w:rPr>
      <w:rFonts w:ascii="Times New Roman" w:hAnsi="Times New Roman"/>
      <w:b/>
      <w:kern w:val="2"/>
      <w:lang w:val="zh-CN"/>
    </w:rPr>
  </w:style>
  <w:style w:type="paragraph" w:styleId="10">
    <w:name w:val="heading 8"/>
    <w:basedOn w:val="1"/>
    <w:next w:val="1"/>
    <w:link w:val="49"/>
    <w:qFormat/>
    <w:uiPriority w:val="0"/>
    <w:pPr>
      <w:keepNext/>
      <w:keepLines/>
      <w:numPr>
        <w:ilvl w:val="7"/>
        <w:numId w:val="1"/>
      </w:numPr>
      <w:spacing w:before="240" w:after="64" w:line="317" w:lineRule="auto"/>
      <w:outlineLvl w:val="7"/>
    </w:pPr>
    <w:rPr>
      <w:rFonts w:ascii="Arial" w:hAnsi="Arial" w:eastAsia="黑体"/>
      <w:kern w:val="2"/>
      <w:lang w:val="zh-CN"/>
    </w:rPr>
  </w:style>
  <w:style w:type="paragraph" w:styleId="11">
    <w:name w:val="heading 9"/>
    <w:basedOn w:val="1"/>
    <w:next w:val="1"/>
    <w:link w:val="50"/>
    <w:qFormat/>
    <w:uiPriority w:val="0"/>
    <w:pPr>
      <w:keepNext/>
      <w:keepLines/>
      <w:numPr>
        <w:ilvl w:val="8"/>
        <w:numId w:val="1"/>
      </w:numPr>
      <w:spacing w:before="240" w:after="64" w:line="317" w:lineRule="auto"/>
      <w:outlineLvl w:val="8"/>
    </w:pPr>
    <w:rPr>
      <w:rFonts w:ascii="Arial" w:hAnsi="Arial" w:eastAsia="黑体"/>
      <w:kern w:val="2"/>
      <w:sz w:val="21"/>
      <w:lang w:val="zh-CN"/>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45"/>
    <w:qFormat/>
    <w:uiPriority w:val="99"/>
    <w:pPr>
      <w:spacing w:before="60" w:after="60" w:line="360" w:lineRule="auto"/>
      <w:ind w:firstLine="200"/>
    </w:pPr>
    <w:rPr>
      <w:rFonts w:ascii="Times New Roman" w:hAnsi="Times New Roman" w:eastAsia="仿宋_GB2312"/>
      <w:kern w:val="2"/>
      <w:sz w:val="32"/>
      <w:szCs w:val="24"/>
      <w:lang w:val="zh-CN"/>
    </w:rPr>
  </w:style>
  <w:style w:type="paragraph" w:styleId="12">
    <w:name w:val="Normal Indent"/>
    <w:basedOn w:val="1"/>
    <w:link w:val="55"/>
    <w:qFormat/>
    <w:uiPriority w:val="0"/>
    <w:pPr>
      <w:ind w:firstLine="420"/>
    </w:pPr>
    <w:rPr>
      <w:szCs w:val="24"/>
      <w:lang w:val="zh-CN"/>
    </w:rPr>
  </w:style>
  <w:style w:type="paragraph" w:styleId="13">
    <w:name w:val="Document Map"/>
    <w:basedOn w:val="1"/>
    <w:link w:val="56"/>
    <w:qFormat/>
    <w:uiPriority w:val="0"/>
    <w:pPr>
      <w:shd w:val="clear" w:color="auto" w:fill="000080"/>
    </w:pPr>
    <w:rPr>
      <w:rFonts w:ascii="Times New Roman" w:hAnsi="Times New Roman"/>
      <w:kern w:val="2"/>
      <w:sz w:val="21"/>
      <w:szCs w:val="21"/>
      <w:lang w:val="zh-CN"/>
    </w:rPr>
  </w:style>
  <w:style w:type="paragraph" w:styleId="14">
    <w:name w:val="annotation text"/>
    <w:basedOn w:val="1"/>
    <w:link w:val="57"/>
    <w:qFormat/>
    <w:uiPriority w:val="0"/>
    <w:pPr>
      <w:jc w:val="left"/>
    </w:pPr>
    <w:rPr>
      <w:rFonts w:ascii="Times New Roman" w:hAnsi="Times New Roman"/>
      <w:kern w:val="2"/>
      <w:sz w:val="21"/>
      <w:szCs w:val="21"/>
      <w:lang w:val="zh-CN"/>
    </w:rPr>
  </w:style>
  <w:style w:type="paragraph" w:styleId="15">
    <w:name w:val="Salutation"/>
    <w:basedOn w:val="1"/>
    <w:next w:val="1"/>
    <w:unhideWhenUsed/>
    <w:qFormat/>
    <w:uiPriority w:val="99"/>
  </w:style>
  <w:style w:type="paragraph" w:styleId="16">
    <w:name w:val="Body Text Indent"/>
    <w:basedOn w:val="1"/>
    <w:link w:val="59"/>
    <w:qFormat/>
    <w:uiPriority w:val="0"/>
    <w:pPr>
      <w:ind w:firstLine="630"/>
    </w:pPr>
    <w:rPr>
      <w:rFonts w:ascii="Times New Roman" w:hAnsi="Times New Roman"/>
      <w:kern w:val="2"/>
      <w:sz w:val="32"/>
      <w:lang w:val="zh-CN"/>
    </w:rPr>
  </w:style>
  <w:style w:type="paragraph" w:styleId="17">
    <w:name w:val="Plain Text"/>
    <w:basedOn w:val="1"/>
    <w:link w:val="60"/>
    <w:qFormat/>
    <w:uiPriority w:val="0"/>
    <w:pPr>
      <w:autoSpaceDE w:val="0"/>
      <w:autoSpaceDN w:val="0"/>
      <w:adjustRightInd w:val="0"/>
    </w:pPr>
    <w:rPr>
      <w:rFonts w:hAnsi="Tms Rmn" w:cs="宋体"/>
      <w:sz w:val="21"/>
      <w:szCs w:val="21"/>
    </w:rPr>
  </w:style>
  <w:style w:type="paragraph" w:styleId="18">
    <w:name w:val="Date"/>
    <w:basedOn w:val="1"/>
    <w:next w:val="1"/>
    <w:link w:val="61"/>
    <w:qFormat/>
    <w:uiPriority w:val="0"/>
    <w:pPr>
      <w:ind w:left="100" w:leftChars="2500"/>
    </w:pPr>
    <w:rPr>
      <w:rFonts w:ascii="Times New Roman" w:hAnsi="Times New Roman"/>
      <w:kern w:val="2"/>
      <w:sz w:val="21"/>
      <w:szCs w:val="21"/>
      <w:lang w:val="zh-CN"/>
    </w:rPr>
  </w:style>
  <w:style w:type="paragraph" w:styleId="19">
    <w:name w:val="Body Text Indent 2"/>
    <w:basedOn w:val="1"/>
    <w:link w:val="62"/>
    <w:qFormat/>
    <w:uiPriority w:val="0"/>
    <w:pPr>
      <w:spacing w:after="120" w:line="480" w:lineRule="auto"/>
      <w:ind w:left="420" w:leftChars="200"/>
    </w:pPr>
  </w:style>
  <w:style w:type="paragraph" w:styleId="20">
    <w:name w:val="Balloon Text"/>
    <w:basedOn w:val="1"/>
    <w:link w:val="63"/>
    <w:qFormat/>
    <w:uiPriority w:val="0"/>
    <w:rPr>
      <w:rFonts w:ascii="Times New Roman" w:hAnsi="Times New Roman"/>
      <w:kern w:val="2"/>
      <w:sz w:val="18"/>
      <w:szCs w:val="18"/>
      <w:lang w:val="zh-CN"/>
    </w:rPr>
  </w:style>
  <w:style w:type="paragraph" w:styleId="21">
    <w:name w:val="footer"/>
    <w:basedOn w:val="1"/>
    <w:link w:val="64"/>
    <w:qFormat/>
    <w:uiPriority w:val="99"/>
    <w:pPr>
      <w:tabs>
        <w:tab w:val="center" w:pos="4153"/>
        <w:tab w:val="right" w:pos="8306"/>
      </w:tabs>
      <w:snapToGrid w:val="0"/>
      <w:jc w:val="left"/>
    </w:pPr>
    <w:rPr>
      <w:rFonts w:ascii="Times New Roman" w:hAnsi="Times New Roman"/>
      <w:kern w:val="2"/>
      <w:sz w:val="18"/>
      <w:szCs w:val="18"/>
      <w:lang w:val="zh-CN"/>
    </w:rPr>
  </w:style>
  <w:style w:type="paragraph" w:styleId="22">
    <w:name w:val="header"/>
    <w:basedOn w:val="1"/>
    <w:link w:val="65"/>
    <w:qFormat/>
    <w:uiPriority w:val="99"/>
    <w:pPr>
      <w:pBdr>
        <w:bottom w:val="single" w:color="auto" w:sz="6" w:space="1"/>
      </w:pBdr>
      <w:tabs>
        <w:tab w:val="center" w:pos="4153"/>
        <w:tab w:val="right" w:pos="8306"/>
      </w:tabs>
      <w:snapToGrid w:val="0"/>
      <w:jc w:val="center"/>
    </w:pPr>
    <w:rPr>
      <w:rFonts w:ascii="Times New Roman" w:hAnsi="Times New Roman"/>
      <w:kern w:val="2"/>
      <w:sz w:val="18"/>
      <w:szCs w:val="18"/>
    </w:rPr>
  </w:style>
  <w:style w:type="paragraph" w:styleId="23">
    <w:name w:val="toc 1"/>
    <w:basedOn w:val="1"/>
    <w:next w:val="1"/>
    <w:qFormat/>
    <w:uiPriority w:val="39"/>
  </w:style>
  <w:style w:type="paragraph" w:styleId="24">
    <w:name w:val="toc 4"/>
    <w:basedOn w:val="1"/>
    <w:next w:val="1"/>
    <w:unhideWhenUsed/>
    <w:qFormat/>
    <w:uiPriority w:val="39"/>
    <w:pPr>
      <w:ind w:left="1260" w:leftChars="600"/>
    </w:pPr>
  </w:style>
  <w:style w:type="paragraph" w:styleId="25">
    <w:name w:val="Subtitle"/>
    <w:basedOn w:val="1"/>
    <w:next w:val="1"/>
    <w:link w:val="105"/>
    <w:qFormat/>
    <w:uiPriority w:val="11"/>
    <w:pPr>
      <w:spacing w:before="240" w:after="60" w:line="312" w:lineRule="auto"/>
      <w:jc w:val="center"/>
      <w:outlineLvl w:val="1"/>
    </w:pPr>
    <w:rPr>
      <w:rFonts w:ascii="Calibri Light" w:hAnsi="Calibri Light"/>
      <w:b/>
      <w:bCs/>
      <w:kern w:val="28"/>
      <w:sz w:val="32"/>
      <w:szCs w:val="32"/>
      <w:lang w:val="zh-CN"/>
    </w:rPr>
  </w:style>
  <w:style w:type="paragraph" w:styleId="26">
    <w:name w:val="Normal (Web)"/>
    <w:basedOn w:val="1"/>
    <w:qFormat/>
    <w:uiPriority w:val="0"/>
    <w:pPr>
      <w:spacing w:before="100" w:beforeAutospacing="1" w:after="100" w:afterAutospacing="1"/>
      <w:jc w:val="left"/>
    </w:pPr>
  </w:style>
  <w:style w:type="paragraph" w:styleId="27">
    <w:name w:val="Title"/>
    <w:basedOn w:val="1"/>
    <w:next w:val="1"/>
    <w:link w:val="67"/>
    <w:qFormat/>
    <w:uiPriority w:val="99"/>
    <w:pPr>
      <w:spacing w:before="240" w:after="60"/>
      <w:jc w:val="center"/>
      <w:outlineLvl w:val="0"/>
    </w:pPr>
    <w:rPr>
      <w:rFonts w:ascii="Calibri Light" w:hAnsi="Calibri Light"/>
      <w:b/>
      <w:bCs/>
      <w:kern w:val="2"/>
      <w:sz w:val="32"/>
      <w:szCs w:val="32"/>
      <w:lang w:val="zh-CN"/>
    </w:rPr>
  </w:style>
  <w:style w:type="paragraph" w:styleId="28">
    <w:name w:val="annotation subject"/>
    <w:basedOn w:val="14"/>
    <w:next w:val="14"/>
    <w:link w:val="68"/>
    <w:qFormat/>
    <w:uiPriority w:val="99"/>
    <w:rPr>
      <w:b/>
      <w:bCs/>
    </w:rPr>
  </w:style>
  <w:style w:type="paragraph" w:styleId="29">
    <w:name w:val="Body Text First Indent"/>
    <w:basedOn w:val="2"/>
    <w:link w:val="69"/>
    <w:qFormat/>
    <w:uiPriority w:val="0"/>
    <w:pPr>
      <w:spacing w:before="0" w:after="120" w:line="240" w:lineRule="auto"/>
      <w:ind w:firstLine="420" w:firstLineChars="100"/>
    </w:pPr>
    <w:rPr>
      <w:rFonts w:ascii="宋体"/>
      <w:sz w:val="34"/>
    </w:rPr>
  </w:style>
  <w:style w:type="table" w:styleId="31">
    <w:name w:val="Table Grid"/>
    <w:basedOn w:val="3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FollowedHyperlink"/>
    <w:basedOn w:val="32"/>
    <w:semiHidden/>
    <w:unhideWhenUsed/>
    <w:qFormat/>
    <w:uiPriority w:val="0"/>
    <w:rPr>
      <w:color w:val="3D3D3D"/>
      <w:u w:val="none"/>
    </w:rPr>
  </w:style>
  <w:style w:type="character" w:styleId="34">
    <w:name w:val="Emphasis"/>
    <w:basedOn w:val="32"/>
    <w:qFormat/>
    <w:uiPriority w:val="20"/>
    <w:rPr>
      <w:color w:val="CC0000"/>
    </w:rPr>
  </w:style>
  <w:style w:type="character" w:styleId="35">
    <w:name w:val="HTML Definition"/>
    <w:basedOn w:val="32"/>
    <w:semiHidden/>
    <w:unhideWhenUsed/>
    <w:qFormat/>
    <w:uiPriority w:val="0"/>
  </w:style>
  <w:style w:type="character" w:styleId="36">
    <w:name w:val="HTML Variable"/>
    <w:basedOn w:val="32"/>
    <w:semiHidden/>
    <w:unhideWhenUsed/>
    <w:qFormat/>
    <w:uiPriority w:val="0"/>
  </w:style>
  <w:style w:type="character" w:styleId="37">
    <w:name w:val="Hyperlink"/>
    <w:basedOn w:val="32"/>
    <w:unhideWhenUsed/>
    <w:qFormat/>
    <w:uiPriority w:val="99"/>
    <w:rPr>
      <w:color w:val="0000FF" w:themeColor="hyperlink"/>
      <w:u w:val="single"/>
      <w14:textFill>
        <w14:solidFill>
          <w14:schemeClr w14:val="hlink"/>
        </w14:solidFill>
      </w14:textFill>
    </w:rPr>
  </w:style>
  <w:style w:type="character" w:styleId="38">
    <w:name w:val="HTML Code"/>
    <w:basedOn w:val="32"/>
    <w:semiHidden/>
    <w:unhideWhenUsed/>
    <w:qFormat/>
    <w:uiPriority w:val="0"/>
    <w:rPr>
      <w:rFonts w:ascii="Courier New" w:hAnsi="Courier New"/>
      <w:sz w:val="20"/>
    </w:rPr>
  </w:style>
  <w:style w:type="character" w:styleId="39">
    <w:name w:val="annotation reference"/>
    <w:qFormat/>
    <w:uiPriority w:val="0"/>
    <w:rPr>
      <w:sz w:val="21"/>
      <w:szCs w:val="21"/>
    </w:rPr>
  </w:style>
  <w:style w:type="character" w:styleId="40">
    <w:name w:val="HTML Cite"/>
    <w:basedOn w:val="32"/>
    <w:semiHidden/>
    <w:unhideWhenUsed/>
    <w:qFormat/>
    <w:uiPriority w:val="0"/>
  </w:style>
  <w:style w:type="character" w:styleId="41">
    <w:name w:val="HTML Sample"/>
    <w:basedOn w:val="32"/>
    <w:semiHidden/>
    <w:unhideWhenUsed/>
    <w:qFormat/>
    <w:uiPriority w:val="99"/>
    <w:rPr>
      <w:rFonts w:ascii="Courier New" w:hAnsi="Courier New"/>
    </w:rPr>
  </w:style>
  <w:style w:type="paragraph" w:customStyle="1" w:styleId="42">
    <w:name w:val="Default"/>
    <w:next w:val="1"/>
    <w:qFormat/>
    <w:uiPriority w:val="0"/>
    <w:pPr>
      <w:widowControl w:val="0"/>
      <w:autoSpaceDE w:val="0"/>
      <w:autoSpaceDN w:val="0"/>
      <w:adjustRightInd w:val="0"/>
    </w:pPr>
    <w:rPr>
      <w:rFonts w:ascii="楷体à.ā" w:hAnsi="Times New Roman" w:eastAsia="楷体à.ā" w:cs="Times New Roman"/>
      <w:color w:val="000000"/>
      <w:sz w:val="24"/>
      <w:szCs w:val="22"/>
      <w:lang w:val="en-US" w:eastAsia="zh-CN" w:bidi="ar-SA"/>
    </w:rPr>
  </w:style>
  <w:style w:type="paragraph" w:customStyle="1" w:styleId="43">
    <w:name w:val="标题 5（有编号）（绿盟科技）"/>
    <w:basedOn w:val="1"/>
    <w:next w:val="44"/>
    <w:qFormat/>
    <w:uiPriority w:val="0"/>
    <w:pPr>
      <w:keepNext/>
      <w:keepLines/>
      <w:spacing w:before="280" w:after="156" w:line="377" w:lineRule="auto"/>
      <w:jc w:val="left"/>
      <w:outlineLvl w:val="4"/>
    </w:pPr>
    <w:rPr>
      <w:rFonts w:ascii="Arial" w:hAnsi="Arial" w:eastAsia="黑体"/>
      <w:b/>
      <w:szCs w:val="28"/>
    </w:rPr>
  </w:style>
  <w:style w:type="paragraph" w:customStyle="1" w:styleId="44">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45">
    <w:name w:val="正文文本 Char"/>
    <w:basedOn w:val="32"/>
    <w:link w:val="2"/>
    <w:qFormat/>
    <w:uiPriority w:val="99"/>
    <w:rPr>
      <w:rFonts w:ascii="Times New Roman" w:hAnsi="Times New Roman" w:eastAsia="仿宋_GB2312" w:cs="Times New Roman"/>
      <w:sz w:val="32"/>
      <w:szCs w:val="24"/>
      <w:lang w:val="zh-CN"/>
    </w:rPr>
  </w:style>
  <w:style w:type="character" w:customStyle="1" w:styleId="46">
    <w:name w:val="标题 1 Char"/>
    <w:basedOn w:val="32"/>
    <w:link w:val="3"/>
    <w:qFormat/>
    <w:uiPriority w:val="9"/>
    <w:rPr>
      <w:rFonts w:ascii="Times New Roman" w:hAnsi="Times New Roman" w:eastAsia="宋体" w:cs="Times New Roman"/>
      <w:b/>
      <w:bCs/>
      <w:kern w:val="44"/>
      <w:sz w:val="36"/>
      <w:szCs w:val="44"/>
      <w:lang w:val="zh-CN"/>
    </w:rPr>
  </w:style>
  <w:style w:type="character" w:customStyle="1" w:styleId="47">
    <w:name w:val="标题 2 Char"/>
    <w:basedOn w:val="32"/>
    <w:link w:val="4"/>
    <w:qFormat/>
    <w:uiPriority w:val="9"/>
    <w:rPr>
      <w:rFonts w:ascii="Arial" w:hAnsi="Arial" w:eastAsia="宋体" w:cs="Times New Roman"/>
      <w:b/>
      <w:bCs/>
      <w:sz w:val="32"/>
      <w:szCs w:val="32"/>
      <w:lang w:val="zh-CN"/>
    </w:rPr>
  </w:style>
  <w:style w:type="character" w:customStyle="1" w:styleId="48">
    <w:name w:val="标题 3 Char"/>
    <w:basedOn w:val="32"/>
    <w:link w:val="5"/>
    <w:qFormat/>
    <w:uiPriority w:val="0"/>
    <w:rPr>
      <w:rFonts w:ascii="Times New Roman" w:hAnsi="Times New Roman" w:eastAsia="宋体" w:cs="Times New Roman"/>
      <w:b/>
      <w:bCs/>
      <w:sz w:val="24"/>
      <w:szCs w:val="32"/>
      <w:lang w:val="zh-CN"/>
    </w:rPr>
  </w:style>
  <w:style w:type="character" w:customStyle="1" w:styleId="49">
    <w:name w:val="标题 8 Char"/>
    <w:basedOn w:val="32"/>
    <w:link w:val="10"/>
    <w:qFormat/>
    <w:uiPriority w:val="0"/>
    <w:rPr>
      <w:rFonts w:ascii="Arial" w:hAnsi="Arial" w:eastAsia="黑体" w:cs="Times New Roman"/>
      <w:sz w:val="24"/>
      <w:szCs w:val="20"/>
      <w:lang w:val="zh-CN"/>
    </w:rPr>
  </w:style>
  <w:style w:type="character" w:customStyle="1" w:styleId="50">
    <w:name w:val="标题 9 Char"/>
    <w:basedOn w:val="32"/>
    <w:link w:val="11"/>
    <w:qFormat/>
    <w:uiPriority w:val="0"/>
    <w:rPr>
      <w:rFonts w:ascii="Arial" w:hAnsi="Arial" w:eastAsia="黑体" w:cs="Times New Roman"/>
      <w:szCs w:val="20"/>
      <w:lang w:val="zh-CN"/>
    </w:rPr>
  </w:style>
  <w:style w:type="character" w:customStyle="1" w:styleId="51">
    <w:name w:val="标题 4 Char"/>
    <w:basedOn w:val="32"/>
    <w:link w:val="6"/>
    <w:qFormat/>
    <w:uiPriority w:val="0"/>
    <w:rPr>
      <w:rFonts w:ascii="Cambria" w:hAnsi="Cambria" w:eastAsia="宋体" w:cs="Times New Roman"/>
      <w:b/>
      <w:bCs/>
      <w:sz w:val="24"/>
      <w:szCs w:val="28"/>
      <w:lang w:val="zh-CN"/>
    </w:rPr>
  </w:style>
  <w:style w:type="character" w:customStyle="1" w:styleId="52">
    <w:name w:val="标题 5 Char"/>
    <w:basedOn w:val="32"/>
    <w:link w:val="7"/>
    <w:qFormat/>
    <w:uiPriority w:val="9"/>
    <w:rPr>
      <w:rFonts w:ascii="Times New Roman" w:hAnsi="Times New Roman" w:eastAsia="宋体" w:cs="Times New Roman"/>
      <w:b/>
      <w:bCs/>
      <w:kern w:val="0"/>
      <w:sz w:val="24"/>
      <w:szCs w:val="28"/>
      <w:lang w:val="zh-CN"/>
    </w:rPr>
  </w:style>
  <w:style w:type="character" w:customStyle="1" w:styleId="53">
    <w:name w:val="标题 6 Char"/>
    <w:basedOn w:val="32"/>
    <w:link w:val="8"/>
    <w:qFormat/>
    <w:uiPriority w:val="0"/>
    <w:rPr>
      <w:rFonts w:ascii="Calibri Light" w:hAnsi="Calibri Light" w:eastAsia="宋体" w:cs="Times New Roman"/>
      <w:b/>
      <w:bCs/>
      <w:sz w:val="24"/>
      <w:szCs w:val="24"/>
      <w:lang w:val="zh-CN"/>
    </w:rPr>
  </w:style>
  <w:style w:type="character" w:customStyle="1" w:styleId="54">
    <w:name w:val="标题 7 Char"/>
    <w:basedOn w:val="32"/>
    <w:link w:val="9"/>
    <w:qFormat/>
    <w:uiPriority w:val="0"/>
    <w:rPr>
      <w:rFonts w:ascii="Times New Roman" w:hAnsi="Times New Roman" w:eastAsia="宋体" w:cs="Times New Roman"/>
      <w:b/>
      <w:sz w:val="24"/>
      <w:szCs w:val="20"/>
      <w:lang w:val="zh-CN"/>
    </w:rPr>
  </w:style>
  <w:style w:type="character" w:customStyle="1" w:styleId="55">
    <w:name w:val="正文缩进 Char"/>
    <w:link w:val="12"/>
    <w:qFormat/>
    <w:uiPriority w:val="0"/>
    <w:rPr>
      <w:rFonts w:ascii="宋体" w:hAnsi="宋体" w:eastAsia="宋体" w:cs="Times New Roman"/>
      <w:kern w:val="0"/>
      <w:sz w:val="24"/>
      <w:szCs w:val="24"/>
      <w:lang w:val="zh-CN"/>
    </w:rPr>
  </w:style>
  <w:style w:type="character" w:customStyle="1" w:styleId="56">
    <w:name w:val="文档结构图 Char"/>
    <w:basedOn w:val="32"/>
    <w:link w:val="13"/>
    <w:qFormat/>
    <w:uiPriority w:val="0"/>
    <w:rPr>
      <w:rFonts w:ascii="Times New Roman" w:hAnsi="Times New Roman" w:eastAsia="宋体" w:cs="Times New Roman"/>
      <w:szCs w:val="21"/>
      <w:shd w:val="clear" w:color="auto" w:fill="000080"/>
      <w:lang w:val="zh-CN"/>
    </w:rPr>
  </w:style>
  <w:style w:type="character" w:customStyle="1" w:styleId="57">
    <w:name w:val="批注文字 Char1"/>
    <w:link w:val="14"/>
    <w:qFormat/>
    <w:uiPriority w:val="99"/>
    <w:rPr>
      <w:rFonts w:ascii="Times New Roman" w:hAnsi="Times New Roman" w:eastAsia="宋体" w:cs="Times New Roman"/>
      <w:szCs w:val="21"/>
      <w:lang w:val="zh-CN"/>
    </w:rPr>
  </w:style>
  <w:style w:type="character" w:customStyle="1" w:styleId="58">
    <w:name w:val="批注文字 Char"/>
    <w:basedOn w:val="32"/>
    <w:qFormat/>
    <w:uiPriority w:val="99"/>
    <w:rPr>
      <w:rFonts w:ascii="宋体" w:hAnsi="宋体" w:eastAsia="宋体" w:cs="Times New Roman"/>
      <w:kern w:val="0"/>
      <w:sz w:val="24"/>
      <w:szCs w:val="20"/>
    </w:rPr>
  </w:style>
  <w:style w:type="character" w:customStyle="1" w:styleId="59">
    <w:name w:val="正文文本缩进 Char"/>
    <w:basedOn w:val="32"/>
    <w:link w:val="16"/>
    <w:qFormat/>
    <w:uiPriority w:val="0"/>
    <w:rPr>
      <w:rFonts w:ascii="Times New Roman" w:hAnsi="Times New Roman" w:eastAsia="宋体" w:cs="Times New Roman"/>
      <w:sz w:val="32"/>
      <w:szCs w:val="20"/>
      <w:lang w:val="zh-CN"/>
    </w:rPr>
  </w:style>
  <w:style w:type="character" w:customStyle="1" w:styleId="60">
    <w:name w:val="纯文本 Char"/>
    <w:basedOn w:val="32"/>
    <w:link w:val="17"/>
    <w:qFormat/>
    <w:uiPriority w:val="0"/>
    <w:rPr>
      <w:rFonts w:ascii="宋体" w:hAnsi="Tms Rmn" w:eastAsia="宋体" w:cs="宋体"/>
      <w:kern w:val="0"/>
      <w:szCs w:val="21"/>
    </w:rPr>
  </w:style>
  <w:style w:type="character" w:customStyle="1" w:styleId="61">
    <w:name w:val="日期 Char"/>
    <w:basedOn w:val="32"/>
    <w:link w:val="18"/>
    <w:qFormat/>
    <w:uiPriority w:val="0"/>
    <w:rPr>
      <w:rFonts w:ascii="Times New Roman" w:hAnsi="Times New Roman" w:eastAsia="宋体" w:cs="Times New Roman"/>
      <w:szCs w:val="21"/>
      <w:lang w:val="zh-CN"/>
    </w:rPr>
  </w:style>
  <w:style w:type="character" w:customStyle="1" w:styleId="62">
    <w:name w:val="正文文本缩进 2 Char"/>
    <w:basedOn w:val="32"/>
    <w:link w:val="19"/>
    <w:qFormat/>
    <w:uiPriority w:val="0"/>
    <w:rPr>
      <w:rFonts w:ascii="宋体" w:hAnsi="宋体" w:eastAsia="宋体" w:cs="Times New Roman"/>
      <w:kern w:val="0"/>
      <w:sz w:val="24"/>
      <w:szCs w:val="20"/>
    </w:rPr>
  </w:style>
  <w:style w:type="character" w:customStyle="1" w:styleId="63">
    <w:name w:val="批注框文本 Char"/>
    <w:basedOn w:val="32"/>
    <w:link w:val="20"/>
    <w:qFormat/>
    <w:uiPriority w:val="0"/>
    <w:rPr>
      <w:rFonts w:ascii="Times New Roman" w:hAnsi="Times New Roman" w:eastAsia="宋体" w:cs="Times New Roman"/>
      <w:sz w:val="18"/>
      <w:szCs w:val="18"/>
      <w:lang w:val="zh-CN"/>
    </w:rPr>
  </w:style>
  <w:style w:type="character" w:customStyle="1" w:styleId="64">
    <w:name w:val="页脚 Char"/>
    <w:basedOn w:val="32"/>
    <w:link w:val="21"/>
    <w:qFormat/>
    <w:uiPriority w:val="99"/>
    <w:rPr>
      <w:rFonts w:ascii="Times New Roman" w:hAnsi="Times New Roman" w:eastAsia="宋体" w:cs="Times New Roman"/>
      <w:sz w:val="18"/>
      <w:szCs w:val="18"/>
      <w:lang w:val="zh-CN"/>
    </w:rPr>
  </w:style>
  <w:style w:type="character" w:customStyle="1" w:styleId="65">
    <w:name w:val="页眉 Char"/>
    <w:basedOn w:val="32"/>
    <w:link w:val="22"/>
    <w:qFormat/>
    <w:uiPriority w:val="99"/>
    <w:rPr>
      <w:rFonts w:ascii="Times New Roman" w:hAnsi="Times New Roman" w:eastAsia="宋体" w:cs="Times New Roman"/>
      <w:sz w:val="18"/>
      <w:szCs w:val="18"/>
    </w:rPr>
  </w:style>
  <w:style w:type="character" w:customStyle="1" w:styleId="66">
    <w:name w:val="副标题 Char"/>
    <w:basedOn w:val="32"/>
    <w:link w:val="25"/>
    <w:qFormat/>
    <w:uiPriority w:val="11"/>
    <w:rPr>
      <w:rFonts w:ascii="Calibri Light" w:hAnsi="Calibri Light" w:eastAsia="宋体" w:cs="Times New Roman"/>
      <w:b/>
      <w:bCs/>
      <w:kern w:val="28"/>
      <w:sz w:val="32"/>
      <w:szCs w:val="32"/>
      <w:lang w:val="zh-CN"/>
    </w:rPr>
  </w:style>
  <w:style w:type="character" w:customStyle="1" w:styleId="67">
    <w:name w:val="标题 Char"/>
    <w:basedOn w:val="32"/>
    <w:link w:val="27"/>
    <w:qFormat/>
    <w:uiPriority w:val="99"/>
    <w:rPr>
      <w:rFonts w:ascii="Calibri Light" w:hAnsi="Calibri Light" w:eastAsia="宋体" w:cs="Times New Roman"/>
      <w:b/>
      <w:bCs/>
      <w:sz w:val="32"/>
      <w:szCs w:val="32"/>
      <w:lang w:val="zh-CN"/>
    </w:rPr>
  </w:style>
  <w:style w:type="character" w:customStyle="1" w:styleId="68">
    <w:name w:val="批注主题 Char"/>
    <w:basedOn w:val="58"/>
    <w:link w:val="28"/>
    <w:qFormat/>
    <w:uiPriority w:val="99"/>
    <w:rPr>
      <w:rFonts w:ascii="Times New Roman" w:hAnsi="Times New Roman" w:eastAsia="宋体" w:cs="Times New Roman"/>
      <w:b/>
      <w:bCs/>
      <w:kern w:val="0"/>
      <w:sz w:val="24"/>
      <w:szCs w:val="21"/>
      <w:lang w:val="zh-CN"/>
    </w:rPr>
  </w:style>
  <w:style w:type="character" w:customStyle="1" w:styleId="69">
    <w:name w:val="正文首行缩进 Char"/>
    <w:basedOn w:val="45"/>
    <w:link w:val="29"/>
    <w:qFormat/>
    <w:uiPriority w:val="0"/>
    <w:rPr>
      <w:rFonts w:ascii="宋体" w:hAnsi="Times New Roman" w:eastAsia="仿宋_GB2312" w:cs="Times New Roman"/>
      <w:sz w:val="34"/>
      <w:szCs w:val="24"/>
      <w:lang w:val="zh-CN"/>
    </w:rPr>
  </w:style>
  <w:style w:type="character" w:customStyle="1" w:styleId="70">
    <w:name w:val="My1 Char Char"/>
    <w:link w:val="71"/>
    <w:qFormat/>
    <w:locked/>
    <w:uiPriority w:val="99"/>
    <w:rPr>
      <w:rFonts w:ascii="宋体" w:hAnsi="宋体" w:eastAsia="黑体" w:cs="宋体"/>
      <w:b/>
      <w:bCs/>
      <w:color w:val="000000"/>
      <w:kern w:val="44"/>
      <w:sz w:val="44"/>
      <w:szCs w:val="44"/>
    </w:rPr>
  </w:style>
  <w:style w:type="paragraph" w:customStyle="1" w:styleId="71">
    <w:name w:val="My1"/>
    <w:basedOn w:val="72"/>
    <w:link w:val="70"/>
    <w:qFormat/>
    <w:uiPriority w:val="99"/>
    <w:pPr>
      <w:tabs>
        <w:tab w:val="left" w:pos="1260"/>
      </w:tabs>
      <w:ind w:left="1260" w:hanging="360"/>
      <w:outlineLvl w:val="1"/>
    </w:pPr>
    <w:rPr>
      <w:rFonts w:eastAsia="黑体" w:cs="宋体"/>
      <w:lang w:val="en-US"/>
    </w:rPr>
  </w:style>
  <w:style w:type="paragraph" w:customStyle="1" w:styleId="72">
    <w:name w:val="样式 标题 1 + 宋体"/>
    <w:basedOn w:val="3"/>
    <w:link w:val="73"/>
    <w:qFormat/>
    <w:uiPriority w:val="0"/>
    <w:pPr>
      <w:spacing w:line="576" w:lineRule="auto"/>
    </w:pPr>
    <w:rPr>
      <w:rFonts w:ascii="宋体" w:hAnsi="宋体"/>
      <w:color w:val="000000"/>
      <w:sz w:val="44"/>
    </w:rPr>
  </w:style>
  <w:style w:type="character" w:customStyle="1" w:styleId="73">
    <w:name w:val="样式 标题 1 + 宋体 Char Char"/>
    <w:link w:val="72"/>
    <w:qFormat/>
    <w:locked/>
    <w:uiPriority w:val="0"/>
    <w:rPr>
      <w:rFonts w:ascii="宋体" w:hAnsi="宋体" w:eastAsia="宋体" w:cs="Times New Roman"/>
      <w:b/>
      <w:bCs/>
      <w:color w:val="000000"/>
      <w:kern w:val="44"/>
      <w:sz w:val="44"/>
      <w:szCs w:val="44"/>
      <w:lang w:val="zh-CN"/>
    </w:rPr>
  </w:style>
  <w:style w:type="character" w:customStyle="1" w:styleId="74">
    <w:name w:val="表格正文 Char"/>
    <w:link w:val="75"/>
    <w:qFormat/>
    <w:uiPriority w:val="0"/>
    <w:rPr>
      <w:szCs w:val="21"/>
    </w:rPr>
  </w:style>
  <w:style w:type="paragraph" w:customStyle="1" w:styleId="75">
    <w:name w:val="表格正文"/>
    <w:basedOn w:val="1"/>
    <w:link w:val="74"/>
    <w:qFormat/>
    <w:uiPriority w:val="0"/>
    <w:pPr>
      <w:spacing w:line="300" w:lineRule="auto"/>
    </w:pPr>
    <w:rPr>
      <w:rFonts w:asciiTheme="minorHAnsi" w:hAnsiTheme="minorHAnsi" w:eastAsiaTheme="minorEastAsia" w:cstheme="minorBidi"/>
      <w:kern w:val="2"/>
      <w:sz w:val="21"/>
      <w:szCs w:val="21"/>
    </w:rPr>
  </w:style>
  <w:style w:type="character" w:customStyle="1" w:styleId="76">
    <w:name w:val="标题6 Char"/>
    <w:link w:val="77"/>
    <w:qFormat/>
    <w:uiPriority w:val="0"/>
    <w:rPr>
      <w:rFonts w:ascii="Calibri Light" w:hAnsi="Calibri Light"/>
      <w:b/>
      <w:bCs/>
      <w:sz w:val="24"/>
      <w:szCs w:val="24"/>
    </w:rPr>
  </w:style>
  <w:style w:type="paragraph" w:customStyle="1" w:styleId="77">
    <w:name w:val="标题6"/>
    <w:basedOn w:val="8"/>
    <w:link w:val="76"/>
    <w:qFormat/>
    <w:uiPriority w:val="0"/>
    <w:rPr>
      <w:rFonts w:eastAsiaTheme="minorEastAsia" w:cstheme="minorBidi"/>
      <w:lang w:val="en-US"/>
    </w:rPr>
  </w:style>
  <w:style w:type="character" w:customStyle="1" w:styleId="78">
    <w:name w:val="标题5 Char"/>
    <w:link w:val="79"/>
    <w:qFormat/>
    <w:uiPriority w:val="0"/>
    <w:rPr>
      <w:rFonts w:ascii="Calibri Light" w:hAnsi="Calibri Light"/>
      <w:b/>
      <w:bCs/>
      <w:sz w:val="28"/>
      <w:szCs w:val="28"/>
    </w:rPr>
  </w:style>
  <w:style w:type="paragraph" w:customStyle="1" w:styleId="79">
    <w:name w:val="标题5"/>
    <w:basedOn w:val="7"/>
    <w:next w:val="7"/>
    <w:link w:val="78"/>
    <w:qFormat/>
    <w:uiPriority w:val="0"/>
    <w:pPr>
      <w:tabs>
        <w:tab w:val="left" w:pos="2580"/>
      </w:tabs>
      <w:spacing w:line="376" w:lineRule="auto"/>
      <w:ind w:left="2580" w:hanging="420"/>
    </w:pPr>
    <w:rPr>
      <w:rFonts w:ascii="Calibri Light" w:hAnsi="Calibri Light" w:eastAsiaTheme="minorEastAsia" w:cstheme="minorBidi"/>
      <w:kern w:val="2"/>
      <w:sz w:val="28"/>
      <w:lang w:val="en-US"/>
    </w:rPr>
  </w:style>
  <w:style w:type="character" w:customStyle="1" w:styleId="80">
    <w:name w:val="列出段落 Char"/>
    <w:link w:val="81"/>
    <w:qFormat/>
    <w:uiPriority w:val="0"/>
    <w:rPr>
      <w:sz w:val="18"/>
      <w:szCs w:val="18"/>
    </w:rPr>
  </w:style>
  <w:style w:type="paragraph" w:styleId="81">
    <w:name w:val="List Paragraph"/>
    <w:basedOn w:val="1"/>
    <w:link w:val="80"/>
    <w:qFormat/>
    <w:uiPriority w:val="0"/>
    <w:pPr>
      <w:ind w:firstLine="420"/>
    </w:pPr>
    <w:rPr>
      <w:rFonts w:asciiTheme="minorHAnsi" w:hAnsiTheme="minorHAnsi" w:eastAsiaTheme="minorEastAsia" w:cstheme="minorBidi"/>
      <w:kern w:val="2"/>
      <w:sz w:val="18"/>
      <w:szCs w:val="18"/>
    </w:rPr>
  </w:style>
  <w:style w:type="character" w:customStyle="1" w:styleId="82">
    <w:name w:val="二级列表 Char"/>
    <w:link w:val="83"/>
    <w:qFormat/>
    <w:uiPriority w:val="0"/>
    <w:rPr>
      <w:sz w:val="24"/>
    </w:rPr>
  </w:style>
  <w:style w:type="paragraph" w:customStyle="1" w:styleId="83">
    <w:name w:val="二级列表"/>
    <w:basedOn w:val="1"/>
    <w:link w:val="82"/>
    <w:qFormat/>
    <w:uiPriority w:val="0"/>
    <w:pPr>
      <w:tabs>
        <w:tab w:val="left" w:pos="960"/>
      </w:tabs>
      <w:spacing w:line="300" w:lineRule="auto"/>
      <w:ind w:left="1296" w:hanging="288"/>
    </w:pPr>
    <w:rPr>
      <w:rFonts w:asciiTheme="minorHAnsi" w:hAnsiTheme="minorHAnsi" w:eastAsiaTheme="minorEastAsia" w:cstheme="minorBidi"/>
      <w:kern w:val="2"/>
      <w:szCs w:val="22"/>
    </w:rPr>
  </w:style>
  <w:style w:type="paragraph" w:customStyle="1" w:styleId="84">
    <w:name w:val="样式3"/>
    <w:basedOn w:val="12"/>
    <w:qFormat/>
    <w:uiPriority w:val="0"/>
    <w:pPr>
      <w:spacing w:after="60" w:line="360" w:lineRule="auto"/>
      <w:ind w:firstLine="476"/>
    </w:pPr>
    <w:rPr>
      <w:rFonts w:ascii="Times New Roman"/>
      <w:kern w:val="2"/>
    </w:rPr>
  </w:style>
  <w:style w:type="paragraph" w:customStyle="1" w:styleId="85">
    <w:name w:val="正文首行缩进两字符"/>
    <w:basedOn w:val="1"/>
    <w:qFormat/>
    <w:uiPriority w:val="0"/>
    <w:pPr>
      <w:spacing w:line="360" w:lineRule="auto"/>
      <w:ind w:firstLine="200"/>
    </w:pPr>
  </w:style>
  <w:style w:type="paragraph" w:customStyle="1" w:styleId="86">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8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88">
    <w:name w:val="reader-word-layer reader-word-s1-3"/>
    <w:basedOn w:val="1"/>
    <w:qFormat/>
    <w:uiPriority w:val="0"/>
    <w:pPr>
      <w:widowControl/>
      <w:spacing w:before="100" w:beforeAutospacing="1" w:after="100" w:afterAutospacing="1"/>
      <w:jc w:val="left"/>
    </w:pPr>
    <w:rPr>
      <w:rFonts w:cs="宋体"/>
      <w:szCs w:val="24"/>
    </w:rPr>
  </w:style>
  <w:style w:type="paragraph" w:customStyle="1" w:styleId="89">
    <w:name w:val="2级"/>
    <w:basedOn w:val="4"/>
    <w:qFormat/>
    <w:uiPriority w:val="0"/>
    <w:pPr>
      <w:widowControl/>
      <w:spacing w:beforeLines="50" w:afterLines="50" w:line="259" w:lineRule="auto"/>
      <w:jc w:val="left"/>
    </w:pPr>
    <w:rPr>
      <w:rFonts w:ascii="黑体" w:hAnsi="黑体"/>
      <w:b w:val="0"/>
      <w:bCs w:val="0"/>
      <w:kern w:val="0"/>
      <w:sz w:val="28"/>
      <w:szCs w:val="24"/>
    </w:rPr>
  </w:style>
  <w:style w:type="paragraph" w:customStyle="1" w:styleId="90">
    <w:name w:val="图表脚注"/>
    <w:next w:val="1"/>
    <w:qFormat/>
    <w:uiPriority w:val="0"/>
    <w:pPr>
      <w:tabs>
        <w:tab w:val="left" w:pos="3420"/>
      </w:tabs>
      <w:ind w:left="300" w:leftChars="200" w:hanging="100" w:hangingChars="100"/>
      <w:jc w:val="both"/>
    </w:pPr>
    <w:rPr>
      <w:rFonts w:ascii="宋体" w:hAnsi="Times New Roman" w:eastAsia="宋体" w:cs="Times New Roman"/>
      <w:sz w:val="18"/>
      <w:lang w:val="en-US" w:eastAsia="zh-CN" w:bidi="ar-SA"/>
    </w:rPr>
  </w:style>
  <w:style w:type="paragraph" w:customStyle="1" w:styleId="91">
    <w:name w:val="p0"/>
    <w:basedOn w:val="1"/>
    <w:qFormat/>
    <w:uiPriority w:val="0"/>
    <w:pPr>
      <w:widowControl/>
    </w:pPr>
    <w:rPr>
      <w:sz w:val="34"/>
    </w:rPr>
  </w:style>
  <w:style w:type="paragraph" w:customStyle="1" w:styleId="92">
    <w:name w:val="09正文_wh"/>
    <w:qFormat/>
    <w:uiPriority w:val="0"/>
    <w:pPr>
      <w:spacing w:line="300" w:lineRule="auto"/>
      <w:ind w:firstLine="200" w:firstLineChars="200"/>
      <w:jc w:val="both"/>
    </w:pPr>
    <w:rPr>
      <w:rFonts w:ascii="Calibri" w:hAnsi="Calibri" w:eastAsia="宋体" w:cs="黑体"/>
      <w:kern w:val="2"/>
      <w:sz w:val="28"/>
      <w:szCs w:val="24"/>
      <w:lang w:val="en-US" w:eastAsia="zh-CN" w:bidi="ar-SA"/>
    </w:rPr>
  </w:style>
  <w:style w:type="paragraph" w:customStyle="1" w:styleId="93">
    <w:name w:val="标准书眉一"/>
    <w:qFormat/>
    <w:uiPriority w:val="0"/>
    <w:pPr>
      <w:tabs>
        <w:tab w:val="left" w:pos="840"/>
      </w:tabs>
      <w:ind w:left="840" w:hanging="360"/>
      <w:jc w:val="both"/>
    </w:pPr>
    <w:rPr>
      <w:rFonts w:ascii="Times New Roman" w:hAnsi="Times New Roman" w:eastAsia="宋体" w:cs="Times New Roman"/>
      <w:lang w:val="en-US" w:eastAsia="zh-CN" w:bidi="ar-SA"/>
    </w:rPr>
  </w:style>
  <w:style w:type="paragraph" w:customStyle="1" w:styleId="94">
    <w:name w:val="reader-word-layer reader-word-s1-6"/>
    <w:basedOn w:val="1"/>
    <w:qFormat/>
    <w:uiPriority w:val="0"/>
    <w:pPr>
      <w:widowControl/>
      <w:spacing w:before="100" w:beforeAutospacing="1" w:after="100" w:afterAutospacing="1"/>
      <w:jc w:val="left"/>
    </w:pPr>
    <w:rPr>
      <w:rFonts w:cs="宋体"/>
      <w:szCs w:val="24"/>
    </w:rPr>
  </w:style>
  <w:style w:type="paragraph" w:customStyle="1" w:styleId="95">
    <w:name w:val="正文2"/>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96">
    <w:name w:val="列出段落1"/>
    <w:basedOn w:val="1"/>
    <w:qFormat/>
    <w:uiPriority w:val="34"/>
    <w:pPr>
      <w:spacing w:line="240" w:lineRule="auto"/>
      <w:ind w:firstLine="420"/>
    </w:pPr>
    <w:rPr>
      <w:rFonts w:hAnsi="Calibri" w:cs="黑体"/>
      <w:sz w:val="34"/>
      <w:szCs w:val="34"/>
    </w:rPr>
  </w:style>
  <w:style w:type="paragraph" w:customStyle="1" w:styleId="97">
    <w:name w:val="修订1"/>
    <w:hidden/>
    <w:semiHidden/>
    <w:qFormat/>
    <w:uiPriority w:val="99"/>
    <w:rPr>
      <w:rFonts w:ascii="宋体" w:hAnsi="宋体" w:eastAsia="宋体" w:cs="Times New Roman"/>
      <w:sz w:val="24"/>
      <w:lang w:val="en-US" w:eastAsia="zh-CN" w:bidi="ar-SA"/>
    </w:rPr>
  </w:style>
  <w:style w:type="character" w:customStyle="1" w:styleId="98">
    <w:name w:val="标题· Char"/>
    <w:link w:val="99"/>
    <w:qFormat/>
    <w:uiPriority w:val="0"/>
    <w:rPr>
      <w:rFonts w:ascii="Times New Roman" w:hAnsi="Times New Roman"/>
      <w:sz w:val="36"/>
      <w:szCs w:val="20"/>
    </w:rPr>
  </w:style>
  <w:style w:type="paragraph" w:customStyle="1" w:styleId="99">
    <w:name w:val="标题·"/>
    <w:basedOn w:val="4"/>
    <w:next w:val="1"/>
    <w:link w:val="98"/>
    <w:qFormat/>
    <w:uiPriority w:val="0"/>
    <w:rPr>
      <w:rFonts w:ascii="Times New Roman" w:hAnsi="Times New Roman"/>
      <w:bCs w:val="0"/>
      <w:sz w:val="36"/>
      <w:szCs w:val="20"/>
    </w:rPr>
  </w:style>
  <w:style w:type="paragraph" w:customStyle="1" w:styleId="100">
    <w:name w:val="样式 首行缩进:  2 字符"/>
    <w:basedOn w:val="1"/>
    <w:qFormat/>
    <w:uiPriority w:val="0"/>
    <w:pPr>
      <w:spacing w:line="400" w:lineRule="exact"/>
      <w:ind w:firstLine="200"/>
    </w:pPr>
    <w:rPr>
      <w:rFonts w:cs="宋体"/>
    </w:rPr>
  </w:style>
  <w:style w:type="paragraph" w:customStyle="1" w:styleId="101">
    <w:name w:val="_Style 5"/>
    <w:basedOn w:val="3"/>
    <w:next w:val="1"/>
    <w:qFormat/>
    <w:uiPriority w:val="0"/>
    <w:pPr>
      <w:outlineLvl w:val="9"/>
    </w:pPr>
  </w:style>
  <w:style w:type="character" w:customStyle="1" w:styleId="102">
    <w:name w:val="img"/>
    <w:basedOn w:val="32"/>
    <w:qFormat/>
    <w:uiPriority w:val="0"/>
  </w:style>
  <w:style w:type="character" w:customStyle="1" w:styleId="103">
    <w:name w:val="img1"/>
    <w:basedOn w:val="32"/>
    <w:qFormat/>
    <w:uiPriority w:val="0"/>
  </w:style>
  <w:style w:type="paragraph" w:customStyle="1" w:styleId="104">
    <w:name w:val="WPSOffice手动目录 1"/>
    <w:qFormat/>
    <w:uiPriority w:val="0"/>
    <w:rPr>
      <w:rFonts w:ascii="Times New Roman" w:hAnsi="Times New Roman" w:eastAsia="宋体" w:cs="Times New Roman"/>
      <w:lang w:val="en-US" w:eastAsia="zh-CN" w:bidi="ar-SA"/>
    </w:rPr>
  </w:style>
  <w:style w:type="character" w:customStyle="1" w:styleId="105">
    <w:name w:val="副标题 Char1"/>
    <w:link w:val="25"/>
    <w:qFormat/>
    <w:uiPriority w:val="0"/>
    <w:rPr>
      <w:rFonts w:ascii="等线 Light" w:hAnsi="等线 Light" w:cs="Times New Roman"/>
      <w:bCs/>
      <w:kern w:val="28"/>
      <w:sz w:val="28"/>
      <w:szCs w:val="32"/>
    </w:rPr>
  </w:style>
  <w:style w:type="paragraph" w:customStyle="1" w:styleId="106">
    <w:name w:val="Blockquote"/>
    <w:basedOn w:val="1"/>
    <w:qFormat/>
    <w:uiPriority w:val="0"/>
    <w:pPr>
      <w:ind w:left="360" w:right="360"/>
    </w:pPr>
    <w:rPr>
      <w:rFonts w:ascii="Times New Roman" w:hAnsi="Times New Roman"/>
    </w:rPr>
  </w:style>
  <w:style w:type="paragraph" w:customStyle="1" w:styleId="107">
    <w:name w:val="Table Paragraph"/>
    <w:basedOn w:val="1"/>
    <w:qFormat/>
    <w:uiPriority w:val="0"/>
    <w:rPr>
      <w:rFonts w:ascii="新宋体" w:eastAsia="新宋体" w:cs="新宋体"/>
      <w:szCs w:val="22"/>
      <w:lang w:val="zh-CN" w:bidi="zh-CN"/>
    </w:rPr>
  </w:style>
  <w:style w:type="paragraph" w:customStyle="1" w:styleId="108">
    <w:name w:val="正文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9">
    <w:name w:val="06、“1.”正文四级标题"/>
    <w:basedOn w:val="1"/>
    <w:qFormat/>
    <w:uiPriority w:val="0"/>
    <w:pPr>
      <w:numPr>
        <w:ilvl w:val="2"/>
        <w:numId w:val="2"/>
      </w:numPr>
      <w:tabs>
        <w:tab w:val="left" w:pos="0"/>
      </w:tabs>
      <w:wordWrap w:val="0"/>
      <w:topLinePunct/>
      <w:ind w:firstLine="803"/>
    </w:pPr>
    <w:rPr>
      <w:snapToGrid w:val="0"/>
    </w:rPr>
  </w:style>
  <w:style w:type="character" w:customStyle="1" w:styleId="110">
    <w:name w:val="font01"/>
    <w:basedOn w:val="32"/>
    <w:qFormat/>
    <w:uiPriority w:val="0"/>
    <w:rPr>
      <w:rFonts w:hint="eastAsia" w:ascii="宋体" w:hAnsi="宋体" w:eastAsia="宋体" w:cs="宋体"/>
      <w:color w:val="000000"/>
      <w:sz w:val="22"/>
      <w:szCs w:val="22"/>
      <w:u w:val="none"/>
    </w:rPr>
  </w:style>
  <w:style w:type="paragraph" w:customStyle="1" w:styleId="111">
    <w:name w:val="13、表格内居中正文"/>
    <w:basedOn w:val="1"/>
    <w:qFormat/>
    <w:uiPriority w:val="0"/>
    <w:pPr>
      <w:tabs>
        <w:tab w:val="left" w:pos="0"/>
      </w:tabs>
      <w:wordWrap w:val="0"/>
      <w:topLinePunct/>
      <w:spacing w:line="360" w:lineRule="exact"/>
      <w:jc w:val="center"/>
    </w:pPr>
    <w:rPr>
      <w:sz w:val="21"/>
    </w:rPr>
  </w:style>
  <w:style w:type="paragraph" w:customStyle="1" w:styleId="112">
    <w:name w:val="12、表格内左对齐正文"/>
    <w:basedOn w:val="1"/>
    <w:qFormat/>
    <w:uiPriority w:val="0"/>
    <w:pPr>
      <w:tabs>
        <w:tab w:val="left" w:pos="0"/>
      </w:tabs>
      <w:wordWrap w:val="0"/>
      <w:topLinePunct/>
      <w:spacing w:line="360" w:lineRule="exact"/>
      <w:ind w:left="48" w:leftChars="20" w:firstLine="0" w:firstLineChars="0"/>
    </w:pPr>
    <w:rPr>
      <w:snapToGrid w:val="0"/>
      <w:sz w:val="21"/>
    </w:rPr>
  </w:style>
  <w:style w:type="paragraph" w:customStyle="1" w:styleId="113">
    <w:name w:val="01、普通正文"/>
    <w:basedOn w:val="1"/>
    <w:qFormat/>
    <w:uiPriority w:val="0"/>
    <w:pPr>
      <w:tabs>
        <w:tab w:val="left" w:pos="0"/>
      </w:tabs>
      <w:wordWrap w:val="0"/>
      <w:topLinePunct/>
      <w:ind w:firstLine="0" w:firstLineChars="0"/>
    </w:pPr>
    <w:rPr>
      <w:snapToGrid w:val="0"/>
    </w:rPr>
  </w:style>
  <w:style w:type="paragraph" w:customStyle="1" w:styleId="114">
    <w:name w:val="03、“注：”正文(加粗，首行缩进2字符)"/>
    <w:basedOn w:val="113"/>
    <w:qFormat/>
    <w:uiPriority w:val="0"/>
    <w:pPr>
      <w:ind w:firstLine="480" w:firstLineChars="200"/>
    </w:pPr>
    <w:rPr>
      <w:b/>
    </w:rPr>
  </w:style>
  <w:style w:type="character" w:customStyle="1" w:styleId="115">
    <w:name w:val="NormalCharacter"/>
    <w:semiHidden/>
    <w:qFormat/>
    <w:uiPriority w:val="0"/>
  </w:style>
  <w:style w:type="character" w:customStyle="1" w:styleId="116">
    <w:name w:val="font61"/>
    <w:basedOn w:val="32"/>
    <w:qFormat/>
    <w:uiPriority w:val="0"/>
    <w:rPr>
      <w:rFonts w:hint="eastAsia" w:ascii="宋体" w:hAnsi="宋体" w:eastAsia="宋体" w:cs="宋体"/>
      <w:b/>
      <w:color w:val="000000"/>
      <w:sz w:val="20"/>
      <w:szCs w:val="20"/>
      <w:u w:val="none"/>
    </w:rPr>
  </w:style>
  <w:style w:type="character" w:customStyle="1" w:styleId="117">
    <w:name w:val="font21"/>
    <w:basedOn w:val="32"/>
    <w:qFormat/>
    <w:uiPriority w:val="0"/>
    <w:rPr>
      <w:rFonts w:hint="eastAsia" w:ascii="微软雅黑" w:hAnsi="微软雅黑" w:eastAsia="微软雅黑" w:cs="微软雅黑"/>
      <w:color w:val="000000"/>
      <w:sz w:val="22"/>
      <w:szCs w:val="22"/>
      <w:u w:val="none"/>
    </w:rPr>
  </w:style>
  <w:style w:type="character" w:customStyle="1" w:styleId="118">
    <w:name w:val="font11"/>
    <w:basedOn w:val="32"/>
    <w:qFormat/>
    <w:uiPriority w:val="0"/>
    <w:rPr>
      <w:rFonts w:hint="eastAsia" w:ascii="微软雅黑" w:hAnsi="微软雅黑" w:eastAsia="微软雅黑" w:cs="微软雅黑"/>
      <w:color w:val="000000"/>
      <w:sz w:val="22"/>
      <w:szCs w:val="22"/>
      <w:u w:val="none"/>
    </w:rPr>
  </w:style>
  <w:style w:type="character" w:customStyle="1" w:styleId="119">
    <w:name w:val="font51"/>
    <w:basedOn w:val="32"/>
    <w:qFormat/>
    <w:uiPriority w:val="0"/>
    <w:rPr>
      <w:rFonts w:hint="eastAsia" w:ascii="微软雅黑" w:hAnsi="微软雅黑" w:eastAsia="微软雅黑" w:cs="微软雅黑"/>
      <w:b/>
      <w:bCs/>
      <w:color w:val="FF0000"/>
      <w:sz w:val="20"/>
      <w:szCs w:val="20"/>
      <w:u w:val="none"/>
    </w:rPr>
  </w:style>
  <w:style w:type="paragraph" w:customStyle="1" w:styleId="120">
    <w:name w:val="Char1"/>
    <w:basedOn w:val="1"/>
    <w:qFormat/>
    <w:uiPriority w:val="0"/>
    <w:rPr>
      <w:szCs w:val="21"/>
    </w:rPr>
  </w:style>
  <w:style w:type="paragraph" w:customStyle="1" w:styleId="121">
    <w:name w:val="_Style 12"/>
    <w:basedOn w:val="1"/>
    <w:next w:val="81"/>
    <w:qFormat/>
    <w:uiPriority w:val="34"/>
    <w:pPr>
      <w:ind w:firstLine="420" w:firstLineChars="200"/>
    </w:pPr>
    <w:rPr>
      <w:rFonts w:ascii="Times New Roman" w:hAnsi="Times New Roman" w:eastAsia="宋体" w:cs="Times New Roman"/>
      <w:szCs w:val="24"/>
    </w:rPr>
  </w:style>
  <w:style w:type="paragraph" w:customStyle="1" w:styleId="122">
    <w:name w:val="GW-正文"/>
    <w:basedOn w:val="1"/>
    <w:qFormat/>
    <w:uiPriority w:val="0"/>
    <w:pPr>
      <w:spacing w:line="360" w:lineRule="auto"/>
      <w:ind w:firstLine="200" w:firstLineChars="200"/>
    </w:pPr>
    <w:rPr>
      <w:rFonts w:eastAsia="仿宋_GB2312"/>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7.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A162E9-6B3B-463A-846C-679E22A4320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64</Pages>
  <Words>5050</Words>
  <Characters>28785</Characters>
  <Lines>239</Lines>
  <Paragraphs>67</Paragraphs>
  <TotalTime>4</TotalTime>
  <ScaleCrop>false</ScaleCrop>
  <LinksUpToDate>false</LinksUpToDate>
  <CharactersWithSpaces>33768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2021-05-18T09:01:00Z</dcterms:created>
  <dc:creator>jia xie</dc:creator>
  <cp:lastModifiedBy>花开时我们在一起</cp:lastModifiedBy>
  <cp:lastPrinted>2021-07-01T09:35:00Z</cp:lastPrinted>
  <dcterms:modified xsi:type="dcterms:W3CDTF">2021-10-28T07:00:45Z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6789E1197C2D4F598441B577554A6815</vt:lpwstr>
  </property>
</Properties>
</file>