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highlight w:val="none"/>
        </w:rPr>
      </w:pPr>
    </w:p>
    <w:p>
      <w:pPr>
        <w:pStyle w:val="2"/>
        <w:rPr>
          <w:rFonts w:ascii="宋体" w:hAnsi="宋体" w:cs="宋体"/>
          <w:highlight w:val="none"/>
        </w:rPr>
      </w:pPr>
    </w:p>
    <w:p>
      <w:pPr>
        <w:tabs>
          <w:tab w:val="left" w:pos="5142"/>
        </w:tabs>
        <w:adjustRightInd w:val="0"/>
        <w:snapToGrid w:val="0"/>
        <w:spacing w:line="360" w:lineRule="auto"/>
        <w:jc w:val="center"/>
        <w:rPr>
          <w:rFonts w:hint="eastAsia"/>
          <w:b/>
          <w:color w:val="auto"/>
          <w:sz w:val="48"/>
          <w:szCs w:val="48"/>
          <w:lang w:eastAsia="zh-CN"/>
        </w:rPr>
      </w:pPr>
    </w:p>
    <w:p>
      <w:pPr>
        <w:tabs>
          <w:tab w:val="left" w:pos="5142"/>
        </w:tabs>
        <w:adjustRightInd w:val="0"/>
        <w:snapToGrid w:val="0"/>
        <w:spacing w:line="360" w:lineRule="auto"/>
        <w:jc w:val="center"/>
        <w:rPr>
          <w:rFonts w:hint="eastAsia" w:ascii="宋体" w:hAnsi="宋体" w:eastAsia="宋体" w:cs="宋体"/>
          <w:b/>
          <w:color w:val="FF0000"/>
          <w:sz w:val="32"/>
          <w:szCs w:val="32"/>
          <w:highlight w:val="none"/>
          <w:lang w:eastAsia="zh-CN"/>
        </w:rPr>
      </w:pPr>
      <w:r>
        <w:rPr>
          <w:rFonts w:hint="eastAsia"/>
          <w:b/>
          <w:color w:val="auto"/>
          <w:sz w:val="48"/>
          <w:szCs w:val="48"/>
          <w:lang w:eastAsia="zh-CN"/>
        </w:rPr>
        <w:t>成都市郫都区综合行政执法局犀浦街道市政设施市场化管护项目</w:t>
      </w:r>
    </w:p>
    <w:p>
      <w:pPr>
        <w:tabs>
          <w:tab w:val="left" w:pos="5142"/>
        </w:tabs>
        <w:ind w:firstLine="2560" w:firstLineChars="850"/>
        <w:rPr>
          <w:rFonts w:ascii="宋体" w:hAnsi="宋体" w:cs="宋体"/>
          <w:b/>
          <w:color w:val="FF0000"/>
          <w:sz w:val="30"/>
          <w:szCs w:val="30"/>
          <w:highlight w:val="none"/>
        </w:rPr>
      </w:pPr>
    </w:p>
    <w:p>
      <w:pPr>
        <w:tabs>
          <w:tab w:val="left" w:pos="5142"/>
        </w:tabs>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招标编号：</w:t>
      </w:r>
      <w:r>
        <w:rPr>
          <w:rFonts w:hint="eastAsia" w:ascii="宋体" w:hAnsi="宋体" w:cs="宋体"/>
          <w:b/>
          <w:bCs/>
          <w:color w:val="auto"/>
          <w:sz w:val="36"/>
          <w:szCs w:val="36"/>
          <w:highlight w:val="none"/>
          <w:lang w:val="zh-TW" w:eastAsia="zh-CN"/>
        </w:rPr>
        <w:t>510124202100363</w:t>
      </w:r>
    </w:p>
    <w:p>
      <w:pPr>
        <w:pStyle w:val="2"/>
        <w:rPr>
          <w:rFonts w:ascii="宋体" w:hAnsi="宋体" w:cs="宋体"/>
          <w:b/>
          <w:sz w:val="84"/>
          <w:szCs w:val="84"/>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jc w:val="center"/>
        <w:rPr>
          <w:rFonts w:ascii="宋体" w:hAnsi="宋体" w:cs="宋体"/>
          <w:b/>
          <w:sz w:val="84"/>
          <w:szCs w:val="84"/>
          <w:highlight w:val="none"/>
        </w:rPr>
      </w:pPr>
      <w:r>
        <w:rPr>
          <w:rFonts w:hint="eastAsia" w:ascii="宋体" w:hAnsi="宋体" w:cs="宋体"/>
          <w:b/>
          <w:sz w:val="84"/>
          <w:szCs w:val="84"/>
          <w:highlight w:val="none"/>
        </w:rPr>
        <w:t>招 标 文 件</w:t>
      </w:r>
    </w:p>
    <w:p>
      <w:pPr>
        <w:spacing w:line="360" w:lineRule="auto"/>
        <w:rPr>
          <w:rFonts w:ascii="宋体" w:hAnsi="宋体" w:cs="宋体"/>
          <w:b/>
          <w:sz w:val="32"/>
          <w:szCs w:val="32"/>
          <w:highlight w:val="none"/>
        </w:rPr>
      </w:pPr>
    </w:p>
    <w:p>
      <w:pPr>
        <w:spacing w:line="360" w:lineRule="auto"/>
        <w:rPr>
          <w:rFonts w:ascii="宋体" w:hAnsi="宋体" w:cs="宋体"/>
          <w:b/>
          <w:sz w:val="32"/>
          <w:szCs w:val="32"/>
          <w:highlight w:val="none"/>
        </w:rPr>
      </w:pPr>
    </w:p>
    <w:p>
      <w:pPr>
        <w:pStyle w:val="2"/>
        <w:rPr>
          <w:rFonts w:ascii="宋体" w:hAnsi="宋体" w:cs="宋体"/>
          <w:highlight w:val="none"/>
        </w:rPr>
      </w:pP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中国·四川</w:t>
      </w:r>
    </w:p>
    <w:p>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成都市郫都区综合行政执法局</w:t>
      </w:r>
    </w:p>
    <w:p>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四川新宇盛项目管理集团有限公司</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共同编制</w:t>
      </w:r>
    </w:p>
    <w:p>
      <w:pPr>
        <w:spacing w:line="360" w:lineRule="auto"/>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rPr>
        <w:t>2021</w:t>
      </w:r>
      <w:r>
        <w:rPr>
          <w:rFonts w:hint="eastAsia" w:ascii="宋体" w:hAnsi="宋体" w:cs="宋体"/>
          <w:b/>
          <w:color w:val="auto"/>
          <w:sz w:val="30"/>
          <w:szCs w:val="30"/>
          <w:highlight w:val="none"/>
          <w:lang w:val="zh-CN"/>
        </w:rPr>
        <w:t>年</w:t>
      </w:r>
      <w:r>
        <w:rPr>
          <w:rFonts w:hint="eastAsia" w:ascii="宋体" w:hAnsi="宋体" w:cs="宋体"/>
          <w:b/>
          <w:color w:val="auto"/>
          <w:sz w:val="30"/>
          <w:szCs w:val="30"/>
          <w:highlight w:val="none"/>
          <w:lang w:val="en-US" w:eastAsia="zh-CN"/>
        </w:rPr>
        <w:t>11</w:t>
      </w:r>
      <w:r>
        <w:rPr>
          <w:rFonts w:hint="eastAsia" w:ascii="宋体" w:hAnsi="宋体" w:cs="宋体"/>
          <w:b/>
          <w:color w:val="auto"/>
          <w:sz w:val="30"/>
          <w:szCs w:val="30"/>
          <w:highlight w:val="none"/>
          <w:lang w:val="zh-CN"/>
        </w:rPr>
        <w:t>月</w:t>
      </w:r>
    </w:p>
    <w:p>
      <w:pPr>
        <w:pStyle w:val="2"/>
        <w:rPr>
          <w:rFonts w:ascii="宋体" w:hAnsi="宋体" w:cs="宋体"/>
          <w:highlight w:val="none"/>
        </w:rPr>
      </w:pPr>
    </w:p>
    <w:p>
      <w:pPr>
        <w:ind w:firstLine="480" w:firstLineChars="200"/>
        <w:rPr>
          <w:rFonts w:ascii="宋体" w:hAnsi="宋体" w:cs="宋体"/>
          <w:bCs/>
          <w:sz w:val="24"/>
          <w:highlight w:val="none"/>
        </w:rPr>
        <w:sectPr>
          <w:headerReference r:id="rId3" w:type="default"/>
          <w:headerReference r:id="rId4" w:type="even"/>
          <w:footerReference r:id="rId5" w:type="even"/>
          <w:pgSz w:w="11907" w:h="16840"/>
          <w:pgMar w:top="1440" w:right="1587" w:bottom="1440" w:left="1080" w:header="851" w:footer="992" w:gutter="0"/>
          <w:cols w:space="0" w:num="1"/>
          <w:docGrid w:linePitch="312" w:charSpace="0"/>
        </w:sectPr>
      </w:pPr>
    </w:p>
    <w:p>
      <w:pPr>
        <w:jc w:val="center"/>
        <w:rPr>
          <w:rFonts w:hint="eastAsia" w:ascii="宋体" w:hAnsi="宋体" w:eastAsia="宋体" w:cs="宋体"/>
          <w:b/>
          <w:bCs/>
          <w:sz w:val="28"/>
          <w:szCs w:val="28"/>
          <w:highlight w:val="none"/>
        </w:rPr>
      </w:pPr>
      <w:bookmarkStart w:id="0" w:name="_Toc503862752"/>
      <w:bookmarkStart w:id="1" w:name="_Toc696"/>
      <w:r>
        <w:rPr>
          <w:rFonts w:hint="eastAsia" w:ascii="宋体" w:hAnsi="宋体" w:eastAsia="宋体" w:cs="宋体"/>
          <w:b/>
          <w:bCs/>
          <w:sz w:val="28"/>
          <w:szCs w:val="28"/>
          <w:highlight w:val="none"/>
        </w:rPr>
        <w:t>廉洁自律承诺书</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为进一步规范</w:t>
      </w:r>
      <w:r>
        <w:rPr>
          <w:rFonts w:hint="eastAsia" w:ascii="宋体" w:hAnsi="宋体" w:cs="宋体"/>
          <w:sz w:val="24"/>
          <w:szCs w:val="24"/>
          <w:highlight w:val="none"/>
          <w:lang w:eastAsia="zh-CN"/>
        </w:rPr>
        <w:t>四川新宇盛项目管理集团有限公司</w:t>
      </w:r>
      <w:r>
        <w:rPr>
          <w:rFonts w:hint="eastAsia" w:ascii="宋体" w:hAnsi="宋体" w:eastAsia="宋体" w:cs="宋体"/>
          <w:sz w:val="24"/>
          <w:szCs w:val="24"/>
          <w:highlight w:val="none"/>
        </w:rPr>
        <w:t>政府采购行为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维护政府采购制度</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净化政府采购市场环境。</w:t>
      </w:r>
      <w:r>
        <w:rPr>
          <w:rFonts w:hint="eastAsia" w:ascii="宋体" w:hAnsi="宋体" w:cs="宋体"/>
          <w:sz w:val="24"/>
          <w:szCs w:val="24"/>
          <w:highlight w:val="none"/>
          <w:lang w:eastAsia="zh-CN"/>
        </w:rPr>
        <w:t>四川新宇盛项目管理集团有限公司</w:t>
      </w:r>
      <w:r>
        <w:rPr>
          <w:rFonts w:hint="eastAsia" w:ascii="宋体" w:hAnsi="宋体" w:eastAsia="宋体" w:cs="宋体"/>
          <w:sz w:val="24"/>
          <w:szCs w:val="24"/>
          <w:highlight w:val="none"/>
        </w:rPr>
        <w:t>在代理政府采购事务过程中郑重承诺：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一、坚持公开、公平、公正原则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严格按照法律法规和委托代理协议的约定办理政府采购事宜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恪守职业道德</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规范代理行为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努力提高专业能力</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确保服务质量；诚实守信</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勤勉尽责</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积极维护国家利益、社会公共利益和政府采购相关当事人的合法权益。</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二、公司员工遵纪守法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不得以不正当手段争取、承揽代理政府采购事务和向任何单位和个人支付现金、实物或其他利益的行为。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三、公司员工自觉抵制商业贿赂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不得接受供应商的礼金、有价证券和贵重物品</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不得在供应商报销任何应由个人支付的费用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不得以任何形式向供应商索要和收受回扣或变相收受贿赂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不得参加可能对公正执行采购工作有影响的宴请或娱乐活动。</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四、公司员工不得与供应商存在任何商业上的利害关系</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不得在供应商单位兼职和任职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不得泄漏政府采购过程中的机密。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五、公司员工在业务交往中</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不得故意刁难供应商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影响正常的业务开展。公司全体员工接受来自社会各界的监督、举报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请各位政府采购参与者充分了解并自觉践行本准则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共同营造廉洁诚信的政采环境</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共同推动阳光透明的政府采购。</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举报电话：</w:t>
      </w:r>
      <w:r>
        <w:rPr>
          <w:rFonts w:hint="eastAsia" w:ascii="宋体" w:hAnsi="宋体" w:eastAsia="宋体" w:cs="宋体"/>
          <w:sz w:val="24"/>
          <w:szCs w:val="24"/>
          <w:highlight w:val="none"/>
          <w:lang w:eastAsia="zh-CN"/>
        </w:rPr>
        <w:t>028-86095158</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sz w:val="24"/>
          <w:szCs w:val="24"/>
          <w:highlight w:val="none"/>
        </w:rPr>
      </w:pPr>
    </w:p>
    <w:p>
      <w:pPr>
        <w:ind w:firstLine="5280" w:firstLineChars="2200"/>
        <w:rPr>
          <w:rFonts w:hint="eastAsia" w:ascii="宋体" w:hAnsi="宋体" w:cs="宋体"/>
          <w:sz w:val="24"/>
          <w:szCs w:val="24"/>
          <w:highlight w:val="none"/>
          <w:lang w:eastAsia="zh-CN"/>
        </w:rPr>
      </w:pPr>
      <w:r>
        <w:rPr>
          <w:rFonts w:hint="eastAsia" w:ascii="宋体" w:hAnsi="宋体" w:cs="宋体"/>
          <w:sz w:val="24"/>
          <w:szCs w:val="24"/>
          <w:highlight w:val="none"/>
          <w:lang w:eastAsia="zh-CN"/>
        </w:rPr>
        <w:t>四川新宇盛项目管理集团有限公司</w:t>
      </w:r>
    </w:p>
    <w:p>
      <w:pPr>
        <w:ind w:firstLine="5280" w:firstLineChars="2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温馨提示</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各供应商：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欢迎参与本次采购活动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为优化政府采购营商环境</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减少供应商参加政府采购活动成本</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温馨提示如下：</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一、报名：注意报名的截止时间、报名的方式以及需要提供的资料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任何一项不满足的将拒绝接收。</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二、保证金：如项目收取保证金</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供应商应在规定截止时间前足额交纳</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以到账时间为准。未中标（成交）供应商的保证金将在结果公告后5个工作日内原路径退还</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中标（成交）供应商应凭借采购合同复印件办理保证金退还</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我司将在5个工作日内原路径退还。</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三、制作投标（响应）文件：注意采购文件中的资格要求和实质性要求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任何一条不满足的将作无效处理。注意采购文件中的评分要求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未按要求提供证明材料的将不予认可。</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四、投标（响应）：注意投标（响应）截止时间和递交文件的地点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未按要求密封或逾期送达的将拒绝接收。</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五、结果查询：结果公告将在发布采购公告的同一网站进行公布</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供应商应自行关注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任何询问项目评审情况和中标（成交）情况的行为都将被拒绝。</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六、服务费：中标（成交）结果公布后</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中标（成交）人应及时足额缴纳服务费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我司在收到服务费后才可开具发票。</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七、中标（成交）通知书：我司工作人员将在项目结果公告发布时通知中标（成交）的供应商领取中标（成交）通知书</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中标（成交）人应携带单位介绍信原件及领取人身份证复印件（原件备查）前往我司办理领手续。</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八、采购合同：中标（成交）人应在招标文件规定的期限内凭中标（成交）通知书与采购人签订采购合同。</w:t>
      </w:r>
    </w:p>
    <w:p>
      <w:pPr>
        <w:rPr>
          <w:rFonts w:hint="eastAsia" w:ascii="宋体" w:hAnsi="宋体" w:cs="宋体"/>
          <w:b/>
          <w:bCs/>
          <w:sz w:val="40"/>
          <w:szCs w:val="48"/>
          <w:highlight w:val="none"/>
          <w:lang w:eastAsia="zh-CN"/>
        </w:rPr>
      </w:pPr>
    </w:p>
    <w:p>
      <w:pPr>
        <w:keepNext w:val="0"/>
        <w:keepLines w:val="0"/>
        <w:pageBreakBefore w:val="0"/>
        <w:kinsoku/>
        <w:wordWrap/>
        <w:overflowPunct/>
        <w:topLinePunct w:val="0"/>
        <w:autoSpaceDE/>
        <w:autoSpaceDN/>
        <w:bidi w:val="0"/>
        <w:spacing w:line="480" w:lineRule="auto"/>
        <w:jc w:val="center"/>
        <w:textAlignment w:val="auto"/>
        <w:outlineLvl w:val="9"/>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目</w:t>
      </w:r>
      <w:r>
        <w:rPr>
          <w:rFonts w:hint="eastAsia" w:ascii="宋体" w:hAnsi="宋体" w:cs="宋体"/>
          <w:b/>
          <w:bCs/>
          <w:sz w:val="36"/>
          <w:szCs w:val="36"/>
          <w:highlight w:val="none"/>
          <w:lang w:val="en-US" w:eastAsia="zh-CN"/>
        </w:rPr>
        <w:t xml:space="preserve">  </w:t>
      </w:r>
      <w:r>
        <w:rPr>
          <w:rFonts w:hint="eastAsia" w:ascii="宋体" w:hAnsi="宋体" w:cs="宋体"/>
          <w:b/>
          <w:bCs/>
          <w:sz w:val="36"/>
          <w:szCs w:val="36"/>
          <w:highlight w:val="none"/>
          <w:lang w:eastAsia="zh-CN"/>
        </w:rPr>
        <w:t>录</w:t>
      </w:r>
    </w:p>
    <w:p>
      <w:pPr>
        <w:pStyle w:val="15"/>
        <w:keepNext w:val="0"/>
        <w:keepLines w:val="0"/>
        <w:pageBreakBefore w:val="0"/>
        <w:widowControl w:val="0"/>
        <w:tabs>
          <w:tab w:val="right" w:leader="dot" w:pos="89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highlight w:val="none"/>
        </w:rPr>
      </w:pPr>
    </w:p>
    <w:p>
      <w:pPr>
        <w:pStyle w:val="15"/>
        <w:keepNext w:val="0"/>
        <w:keepLines w:val="0"/>
        <w:pageBreakBefore w:val="0"/>
        <w:widowControl w:val="0"/>
        <w:tabs>
          <w:tab w:val="right" w:leader="dot" w:pos="89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_Toc19853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第一章  投标邀请</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_Toc19853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5"/>
        <w:keepNext w:val="0"/>
        <w:keepLines w:val="0"/>
        <w:pageBreakBefore w:val="0"/>
        <w:widowControl w:val="0"/>
        <w:tabs>
          <w:tab w:val="right" w:leader="dot" w:pos="89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_Toc27675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第二章  投标人须知</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_Toc27675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5"/>
        <w:keepNext w:val="0"/>
        <w:keepLines w:val="0"/>
        <w:pageBreakBefore w:val="0"/>
        <w:widowControl w:val="0"/>
        <w:tabs>
          <w:tab w:val="right" w:leader="dot" w:pos="89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_Toc30960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 xml:space="preserve"> 投标文件格式</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_Toc30960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20</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5"/>
        <w:keepNext w:val="0"/>
        <w:keepLines w:val="0"/>
        <w:pageBreakBefore w:val="0"/>
        <w:widowControl w:val="0"/>
        <w:tabs>
          <w:tab w:val="right" w:leader="dot" w:pos="89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_Toc4386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第四章  投标人和投标产品的资格、资质性及其他类似效力要求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_Toc4386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45</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5"/>
        <w:keepNext w:val="0"/>
        <w:keepLines w:val="0"/>
        <w:pageBreakBefore w:val="0"/>
        <w:widowControl w:val="0"/>
        <w:tabs>
          <w:tab w:val="right" w:leader="dot" w:pos="89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_Toc25582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第五章  投标人应当提供的资格、资质性及其他类似效力要求的相关证明材料</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_Toc25582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46</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5"/>
        <w:keepNext w:val="0"/>
        <w:keepLines w:val="0"/>
        <w:pageBreakBefore w:val="0"/>
        <w:widowControl w:val="0"/>
        <w:tabs>
          <w:tab w:val="right" w:leader="dot" w:pos="89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_Toc21266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第六章  招标项目技术、服务、政府采购合同内容条款及其他商务要求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_Toc21266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48</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5"/>
        <w:keepNext w:val="0"/>
        <w:keepLines w:val="0"/>
        <w:pageBreakBefore w:val="0"/>
        <w:widowControl w:val="0"/>
        <w:tabs>
          <w:tab w:val="right" w:leader="dot" w:pos="89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_Toc25085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第七章  评标办法</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_Toc25085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107</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15"/>
        <w:keepNext w:val="0"/>
        <w:keepLines w:val="0"/>
        <w:pageBreakBefore w:val="0"/>
        <w:widowControl w:val="0"/>
        <w:tabs>
          <w:tab w:val="right" w:leader="dot" w:pos="89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_Toc10083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第八章  政府采购合同</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_Toc10083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118</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sz w:val="22"/>
          <w:szCs w:val="28"/>
          <w:highlight w:val="none"/>
        </w:rPr>
      </w:pPr>
      <w:r>
        <w:rPr>
          <w:rFonts w:hint="eastAsia" w:ascii="宋体" w:hAnsi="宋体" w:eastAsia="宋体" w:cs="宋体"/>
          <w:bCs/>
          <w:sz w:val="28"/>
          <w:szCs w:val="28"/>
          <w:highlight w:val="none"/>
        </w:rPr>
        <w:fldChar w:fldCharType="end"/>
      </w:r>
    </w:p>
    <w:p>
      <w:pPr>
        <w:pStyle w:val="3"/>
        <w:rPr>
          <w:rFonts w:hint="eastAsia" w:ascii="宋体" w:hAnsi="宋体" w:cs="宋体"/>
          <w:highlight w:val="none"/>
        </w:rPr>
        <w:sectPr>
          <w:footerReference r:id="rId6" w:type="default"/>
          <w:pgSz w:w="11907" w:h="16840"/>
          <w:pgMar w:top="1440" w:right="1417" w:bottom="1440" w:left="1587" w:header="851" w:footer="992" w:gutter="0"/>
          <w:pgNumType w:start="1"/>
          <w:cols w:space="0" w:num="1"/>
          <w:docGrid w:linePitch="312" w:charSpace="0"/>
        </w:sectPr>
      </w:pPr>
      <w:bookmarkStart w:id="2" w:name="_Toc32161"/>
    </w:p>
    <w:p>
      <w:pPr>
        <w:pStyle w:val="3"/>
        <w:rPr>
          <w:rFonts w:ascii="宋体" w:hAnsi="宋体" w:cs="宋体"/>
          <w:color w:val="auto"/>
          <w:highlight w:val="none"/>
        </w:rPr>
      </w:pPr>
      <w:bookmarkStart w:id="3" w:name="_Toc19853"/>
      <w:r>
        <w:rPr>
          <w:rFonts w:hint="eastAsia" w:ascii="宋体" w:hAnsi="宋体" w:cs="宋体"/>
          <w:color w:val="auto"/>
          <w:highlight w:val="none"/>
        </w:rPr>
        <w:t>第一章  投标邀请</w:t>
      </w:r>
      <w:bookmarkEnd w:id="0"/>
      <w:bookmarkEnd w:id="1"/>
      <w:bookmarkEnd w:id="2"/>
      <w:bookmarkEnd w:id="3"/>
    </w:p>
    <w:p>
      <w:pPr>
        <w:adjustRightInd w:val="0"/>
        <w:snapToGrid w:val="0"/>
        <w:spacing w:line="360" w:lineRule="auto"/>
        <w:ind w:firstLine="482" w:firstLineChars="200"/>
        <w:jc w:val="left"/>
        <w:rPr>
          <w:rFonts w:hint="eastAsia" w:ascii="宋体" w:hAnsi="宋体" w:eastAsia="宋体" w:cs="宋体"/>
          <w:color w:val="auto"/>
          <w:sz w:val="24"/>
          <w:szCs w:val="28"/>
          <w:highlight w:val="none"/>
        </w:rPr>
      </w:pPr>
      <w:r>
        <w:rPr>
          <w:rFonts w:hint="eastAsia" w:ascii="宋体" w:hAnsi="宋体" w:eastAsia="宋体" w:cs="宋体"/>
          <w:b/>
          <w:bCs/>
          <w:color w:val="auto"/>
          <w:sz w:val="24"/>
          <w:highlight w:val="none"/>
          <w:u w:val="single"/>
          <w:lang w:eastAsia="zh-CN"/>
        </w:rPr>
        <w:t>四川新宇盛项目管理集团有限公司</w:t>
      </w:r>
      <w:r>
        <w:rPr>
          <w:rFonts w:hint="eastAsia" w:ascii="宋体" w:hAnsi="宋体" w:eastAsia="宋体" w:cs="宋体"/>
          <w:color w:val="auto"/>
          <w:sz w:val="24"/>
          <w:highlight w:val="none"/>
        </w:rPr>
        <w:t>（采购代理机构）受</w:t>
      </w:r>
      <w:r>
        <w:rPr>
          <w:rFonts w:hint="eastAsia" w:ascii="宋体" w:hAnsi="宋体" w:eastAsia="宋体" w:cs="宋体"/>
          <w:b/>
          <w:bCs/>
          <w:color w:val="auto"/>
          <w:sz w:val="24"/>
          <w:szCs w:val="28"/>
          <w:highlight w:val="none"/>
          <w:u w:val="single"/>
          <w:lang w:eastAsia="zh-CN"/>
        </w:rPr>
        <w:t>成都市郫都区综合行政执法局</w:t>
      </w:r>
      <w:r>
        <w:rPr>
          <w:rFonts w:hint="eastAsia" w:ascii="宋体" w:hAnsi="宋体" w:eastAsia="宋体" w:cs="宋体"/>
          <w:bCs/>
          <w:color w:val="auto"/>
          <w:sz w:val="24"/>
          <w:highlight w:val="none"/>
        </w:rPr>
        <w:t>（采购人）</w:t>
      </w:r>
      <w:r>
        <w:rPr>
          <w:rFonts w:hint="eastAsia" w:ascii="宋体" w:hAnsi="宋体" w:eastAsia="宋体" w:cs="宋体"/>
          <w:color w:val="auto"/>
          <w:sz w:val="24"/>
          <w:highlight w:val="none"/>
        </w:rPr>
        <w:t>委托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拟对</w:t>
      </w:r>
      <w:r>
        <w:rPr>
          <w:rFonts w:hint="eastAsia" w:ascii="宋体" w:hAnsi="宋体" w:eastAsia="宋体" w:cs="宋体"/>
          <w:b/>
          <w:bCs/>
          <w:color w:val="auto"/>
          <w:sz w:val="24"/>
          <w:highlight w:val="none"/>
          <w:u w:val="single"/>
          <w:lang w:eastAsia="zh-CN"/>
        </w:rPr>
        <w:t>成都市郫都区综合行政执法局犀浦街道市政设施市场化管护项目</w:t>
      </w:r>
      <w:r>
        <w:rPr>
          <w:rFonts w:hint="eastAsia" w:ascii="宋体" w:hAnsi="宋体" w:eastAsia="宋体" w:cs="宋体"/>
          <w:color w:val="auto"/>
          <w:sz w:val="24"/>
          <w:highlight w:val="none"/>
        </w:rPr>
        <w:t>进行国内公开招标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8"/>
          <w:highlight w:val="none"/>
        </w:rPr>
        <w:t>兹邀请符合本次招标要求的供应商参加</w:t>
      </w:r>
      <w:r>
        <w:rPr>
          <w:rFonts w:hint="eastAsia" w:ascii="宋体" w:hAnsi="宋体" w:eastAsia="宋体" w:cs="宋体"/>
          <w:color w:val="auto"/>
          <w:sz w:val="24"/>
          <w:highlight w:val="none"/>
        </w:rPr>
        <w:t>投标</w:t>
      </w:r>
      <w:r>
        <w:rPr>
          <w:rFonts w:hint="eastAsia" w:ascii="宋体" w:hAnsi="宋体" w:eastAsia="宋体" w:cs="宋体"/>
          <w:color w:val="auto"/>
          <w:sz w:val="24"/>
          <w:szCs w:val="28"/>
          <w:highlight w:val="none"/>
        </w:rPr>
        <w:t>。</w:t>
      </w:r>
    </w:p>
    <w:p>
      <w:pPr>
        <w:adjustRightInd w:val="0"/>
        <w:snapToGrid w:val="0"/>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一、项目编号：</w:t>
      </w:r>
      <w:r>
        <w:rPr>
          <w:rFonts w:hint="eastAsia" w:ascii="宋体" w:hAnsi="宋体" w:cs="宋体"/>
          <w:b/>
          <w:color w:val="auto"/>
          <w:sz w:val="24"/>
          <w:highlight w:val="none"/>
          <w:lang w:val="zh-TW" w:eastAsia="zh-CN"/>
        </w:rPr>
        <w:t>510124202100363</w:t>
      </w:r>
    </w:p>
    <w:p>
      <w:pPr>
        <w:adjustRightInd w:val="0"/>
        <w:snapToGrid w:val="0"/>
        <w:spacing w:line="360" w:lineRule="auto"/>
        <w:ind w:firstLine="482" w:firstLineChars="200"/>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二、项目名称：</w:t>
      </w:r>
      <w:r>
        <w:rPr>
          <w:rFonts w:hint="eastAsia" w:ascii="宋体" w:hAnsi="宋体" w:eastAsia="宋体" w:cs="宋体"/>
          <w:b/>
          <w:color w:val="auto"/>
          <w:sz w:val="24"/>
          <w:highlight w:val="none"/>
          <w:lang w:eastAsia="zh-CN"/>
        </w:rPr>
        <w:t>成都市郫都区综合行政执法局犀浦街道市政设施市场化管护项目</w:t>
      </w:r>
    </w:p>
    <w:p>
      <w:pPr>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采购方式</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公开招标</w:t>
      </w:r>
    </w:p>
    <w:p>
      <w:pPr>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四、资金来源：财政性资金</w:t>
      </w:r>
    </w:p>
    <w:p>
      <w:pPr>
        <w:adjustRightInd w:val="0"/>
        <w:snapToGrid w:val="0"/>
        <w:spacing w:line="360" w:lineRule="auto"/>
        <w:ind w:firstLine="482" w:firstLineChars="200"/>
        <w:jc w:val="left"/>
        <w:rPr>
          <w:rFonts w:hint="eastAsia" w:ascii="宋体" w:hAnsi="宋体" w:eastAsia="宋体" w:cs="宋体"/>
          <w:b/>
          <w:sz w:val="24"/>
          <w:highlight w:val="none"/>
          <w:lang w:val="en-US" w:eastAsia="zh-CN"/>
        </w:rPr>
      </w:pPr>
      <w:r>
        <w:rPr>
          <w:rFonts w:hint="eastAsia" w:ascii="宋体" w:hAnsi="宋体" w:eastAsia="宋体" w:cs="宋体"/>
          <w:b/>
          <w:color w:val="auto"/>
          <w:sz w:val="24"/>
          <w:highlight w:val="none"/>
          <w:lang w:val="en-US" w:eastAsia="zh-CN"/>
        </w:rPr>
        <w:t>五、采购预算：5792036.27元/年。其中标段</w:t>
      </w:r>
      <w:r>
        <w:rPr>
          <w:rFonts w:hint="eastAsia" w:ascii="宋体" w:hAnsi="宋体" w:eastAsia="宋体" w:cs="宋体"/>
          <w:b/>
          <w:sz w:val="24"/>
          <w:highlight w:val="none"/>
          <w:lang w:val="en-US" w:eastAsia="zh-CN"/>
        </w:rPr>
        <w:t>一</w:t>
      </w:r>
      <w:r>
        <w:rPr>
          <w:rFonts w:hint="eastAsia" w:ascii="宋体" w:hAnsi="宋体" w:cs="宋体"/>
          <w:b/>
          <w:sz w:val="24"/>
          <w:highlight w:val="none"/>
          <w:lang w:val="en-US" w:eastAsia="zh-CN"/>
        </w:rPr>
        <w:t>（</w:t>
      </w:r>
      <w:r>
        <w:rPr>
          <w:rFonts w:hint="eastAsia" w:ascii="宋体" w:hAnsi="宋体" w:eastAsia="宋体" w:cs="宋体"/>
          <w:b/>
          <w:sz w:val="24"/>
          <w:highlight w:val="none"/>
          <w:lang w:val="en-US" w:eastAsia="zh-CN"/>
        </w:rPr>
        <w:t>犀浦1标段</w:t>
      </w:r>
      <w:r>
        <w:rPr>
          <w:rFonts w:hint="eastAsia" w:ascii="宋体" w:hAnsi="宋体" w:cs="宋体"/>
          <w:b/>
          <w:sz w:val="24"/>
          <w:highlight w:val="none"/>
          <w:lang w:val="en-US" w:eastAsia="zh-CN"/>
        </w:rPr>
        <w:t>）</w:t>
      </w:r>
      <w:r>
        <w:rPr>
          <w:rFonts w:hint="eastAsia" w:ascii="宋体" w:hAnsi="宋体" w:eastAsia="宋体" w:cs="宋体"/>
          <w:b/>
          <w:sz w:val="24"/>
          <w:highlight w:val="none"/>
          <w:lang w:val="en-US" w:eastAsia="zh-CN"/>
        </w:rPr>
        <w:t>：3112376.03元/年；标段二</w:t>
      </w:r>
      <w:r>
        <w:rPr>
          <w:rFonts w:hint="eastAsia" w:ascii="宋体" w:hAnsi="宋体" w:cs="宋体"/>
          <w:b/>
          <w:sz w:val="24"/>
          <w:highlight w:val="none"/>
          <w:lang w:val="en-US" w:eastAsia="zh-CN"/>
        </w:rPr>
        <w:t>（犀浦2标段）</w:t>
      </w:r>
      <w:r>
        <w:rPr>
          <w:rFonts w:hint="eastAsia" w:ascii="宋体" w:hAnsi="宋体" w:eastAsia="宋体" w:cs="宋体"/>
          <w:b/>
          <w:sz w:val="24"/>
          <w:highlight w:val="none"/>
          <w:lang w:val="en-US" w:eastAsia="zh-CN"/>
        </w:rPr>
        <w:t>：2679660.24元/年。（服务期限：3年。）</w:t>
      </w:r>
    </w:p>
    <w:p>
      <w:pPr>
        <w:adjustRightInd w:val="0"/>
        <w:snapToGrid w:val="0"/>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、招标项目简介：本项目共</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个</w:t>
      </w:r>
      <w:r>
        <w:rPr>
          <w:rFonts w:hint="eastAsia" w:ascii="宋体" w:hAnsi="宋体" w:eastAsia="宋体" w:cs="宋体"/>
          <w:b/>
          <w:color w:val="auto"/>
          <w:sz w:val="24"/>
          <w:highlight w:val="none"/>
          <w:lang w:val="en-US" w:eastAsia="zh-CN"/>
        </w:rPr>
        <w:t>标段</w:t>
      </w:r>
      <w:r>
        <w:rPr>
          <w:rFonts w:hint="eastAsia" w:ascii="宋体" w:hAnsi="宋体" w:eastAsia="宋体" w:cs="宋体"/>
          <w:b/>
          <w:sz w:val="24"/>
          <w:highlight w:val="none"/>
        </w:rPr>
        <w:t>（详见招标文件第六章）。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七</w:t>
      </w:r>
      <w:r>
        <w:rPr>
          <w:rFonts w:hint="eastAsia" w:ascii="宋体" w:hAnsi="宋体" w:eastAsia="宋体" w:cs="宋体"/>
          <w:b/>
          <w:sz w:val="24"/>
          <w:highlight w:val="none"/>
        </w:rPr>
        <w:t>、申请人的资格要求：</w:t>
      </w:r>
    </w:p>
    <w:p>
      <w:pPr>
        <w:adjustRightInd w:val="0"/>
        <w:snapToGrid w:val="0"/>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bCs w:val="0"/>
          <w:sz w:val="24"/>
          <w:highlight w:val="none"/>
          <w:lang w:val="en-US" w:eastAsia="zh-CN"/>
        </w:rPr>
        <w:t>（一）满足《中华</w:t>
      </w:r>
      <w:r>
        <w:rPr>
          <w:rFonts w:hint="eastAsia" w:ascii="宋体" w:hAnsi="宋体" w:eastAsia="宋体" w:cs="宋体"/>
          <w:b/>
          <w:bCs w:val="0"/>
          <w:color w:val="auto"/>
          <w:sz w:val="24"/>
          <w:highlight w:val="none"/>
          <w:lang w:val="en-US" w:eastAsia="zh-CN"/>
        </w:rPr>
        <w:t>人民共和国政府采购法》第二十二条规定。</w:t>
      </w:r>
    </w:p>
    <w:p>
      <w:pPr>
        <w:adjustRightInd w:val="0"/>
        <w:snapToGrid w:val="0"/>
        <w:spacing w:line="360" w:lineRule="auto"/>
        <w:ind w:firstLine="482" w:firstLineChars="20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（二）落实政府采购政策需满足的资格要求：无。</w:t>
      </w:r>
    </w:p>
    <w:p>
      <w:pPr>
        <w:adjustRightInd w:val="0"/>
        <w:snapToGrid w:val="0"/>
        <w:spacing w:line="360" w:lineRule="auto"/>
        <w:ind w:firstLine="482" w:firstLineChars="20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（三）根据采购项目提出的特殊条件：本项目参加政府采购活动的投标人、法定代表人/主要负责人近3年内不得具有行贿犯罪记录。</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八</w:t>
      </w:r>
      <w:r>
        <w:rPr>
          <w:rFonts w:hint="eastAsia" w:ascii="宋体" w:hAnsi="宋体" w:eastAsia="宋体" w:cs="宋体"/>
          <w:b/>
          <w:sz w:val="24"/>
          <w:highlight w:val="none"/>
        </w:rPr>
        <w:t>、招标文件</w:t>
      </w:r>
      <w:r>
        <w:rPr>
          <w:rFonts w:hint="eastAsia" w:ascii="宋体" w:hAnsi="宋体" w:eastAsia="宋体" w:cs="宋体"/>
          <w:b/>
          <w:sz w:val="24"/>
          <w:highlight w:val="none"/>
          <w:lang w:val="en-US" w:eastAsia="zh-CN"/>
        </w:rPr>
        <w:t>的</w:t>
      </w:r>
      <w:r>
        <w:rPr>
          <w:rFonts w:hint="eastAsia" w:ascii="宋体" w:hAnsi="宋体" w:eastAsia="宋体" w:cs="宋体"/>
          <w:b/>
          <w:sz w:val="24"/>
          <w:highlight w:val="none"/>
        </w:rPr>
        <w:t>获取：</w:t>
      </w:r>
    </w:p>
    <w:p>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一</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招标文件获取时间：自2021年</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日至2021年</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日（上午09</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00-12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00；下午13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00-17</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00</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北京时间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法定节假日除外）</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逾期不予办理。</w:t>
      </w:r>
    </w:p>
    <w:p>
      <w:pPr>
        <w:adjustRightInd w:val="0"/>
        <w:snapToGrid w:val="0"/>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二</w:t>
      </w:r>
      <w:r>
        <w:rPr>
          <w:rFonts w:hint="eastAsia" w:ascii="宋体" w:hAnsi="宋体" w:eastAsia="宋体" w:cs="宋体"/>
          <w:bCs/>
          <w:sz w:val="24"/>
          <w:szCs w:val="24"/>
          <w:highlight w:val="none"/>
          <w:lang w:eastAsia="zh-CN"/>
        </w:rPr>
        <w:t>）招标文件获取方式</w:t>
      </w:r>
      <w:r>
        <w:rPr>
          <w:rFonts w:hint="eastAsia" w:ascii="宋体" w:hAnsi="宋体" w:eastAsia="宋体" w:cs="宋体"/>
          <w:bCs/>
          <w:sz w:val="24"/>
          <w:szCs w:val="24"/>
          <w:highlight w:val="none"/>
          <w:lang w:val="en-US" w:eastAsia="zh-CN"/>
        </w:rPr>
        <w:t>、地址：</w:t>
      </w:r>
    </w:p>
    <w:p>
      <w:pPr>
        <w:pStyle w:val="59"/>
        <w:spacing w:line="360" w:lineRule="auto"/>
        <w:ind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）招标文件</w:t>
      </w:r>
      <w:r>
        <w:rPr>
          <w:rFonts w:hint="eastAsia" w:ascii="宋体" w:hAnsi="宋体" w:eastAsia="宋体" w:cs="宋体"/>
          <w:color w:val="auto"/>
          <w:sz w:val="24"/>
          <w:szCs w:val="24"/>
          <w:highlight w:val="none"/>
          <w:lang w:val="zh-TW" w:eastAsia="zh-TW"/>
        </w:rPr>
        <w:t>获取地点：政府采购云平台（https://www.zcygov.cn/）。</w:t>
      </w:r>
    </w:p>
    <w:p>
      <w:pPr>
        <w:pStyle w:val="59"/>
        <w:spacing w:line="360" w:lineRule="auto"/>
        <w:ind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招标文件</w:t>
      </w:r>
      <w:r>
        <w:rPr>
          <w:rFonts w:hint="eastAsia" w:ascii="宋体" w:hAnsi="宋体" w:eastAsia="宋体" w:cs="宋体"/>
          <w:color w:val="auto"/>
          <w:sz w:val="24"/>
          <w:szCs w:val="24"/>
          <w:highlight w:val="none"/>
          <w:lang w:val="zh-TW" w:eastAsia="zh-TW"/>
        </w:rPr>
        <w:t>获取方式：</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凡有意参加本项目者，在本项目</w:t>
      </w:r>
      <w:r>
        <w:rPr>
          <w:rFonts w:hint="eastAsia" w:ascii="宋体" w:hAnsi="宋体" w:eastAsia="宋体" w:cs="宋体"/>
          <w:bCs/>
          <w:sz w:val="24"/>
          <w:szCs w:val="24"/>
          <w:highlight w:val="none"/>
          <w:lang w:eastAsia="zh-CN"/>
        </w:rPr>
        <w:t>招标文件</w:t>
      </w:r>
      <w:r>
        <w:rPr>
          <w:rFonts w:hint="eastAsia" w:ascii="宋体" w:hAnsi="宋体" w:eastAsia="宋体" w:cs="宋体"/>
          <w:color w:val="auto"/>
          <w:sz w:val="24"/>
          <w:szCs w:val="24"/>
          <w:highlight w:val="none"/>
          <w:lang w:val="zh-TW" w:eastAsia="zh-TW"/>
        </w:rPr>
        <w:t>获取时间期限内，登录政府采购云平台（https://www.zcygov.cn/）获取，操作步骤：登录政府采购云平台—我的工作台—项目采购—获取采购文件—申请获取采购文件。提示：（1）本项目</w:t>
      </w:r>
      <w:r>
        <w:rPr>
          <w:rFonts w:hint="eastAsia" w:ascii="宋体" w:hAnsi="宋体" w:eastAsia="宋体" w:cs="宋体"/>
          <w:bCs/>
          <w:sz w:val="24"/>
          <w:szCs w:val="24"/>
          <w:highlight w:val="none"/>
          <w:lang w:eastAsia="zh-CN"/>
        </w:rPr>
        <w:t>招标文件</w:t>
      </w:r>
      <w:r>
        <w:rPr>
          <w:rFonts w:hint="eastAsia" w:ascii="宋体" w:hAnsi="宋体" w:eastAsia="宋体" w:cs="宋体"/>
          <w:color w:val="auto"/>
          <w:sz w:val="24"/>
          <w:szCs w:val="24"/>
          <w:highlight w:val="none"/>
          <w:lang w:val="zh-TW" w:eastAsia="zh-TW"/>
        </w:rPr>
        <w:t>免费获取。（2）供应商只有在“政府采购云平台”完成获取</w:t>
      </w:r>
      <w:r>
        <w:rPr>
          <w:rFonts w:hint="eastAsia" w:ascii="宋体" w:hAnsi="宋体" w:eastAsia="宋体" w:cs="宋体"/>
          <w:color w:val="auto"/>
          <w:sz w:val="24"/>
          <w:szCs w:val="24"/>
          <w:highlight w:val="none"/>
          <w:lang w:val="zh-TW" w:eastAsia="zh-CN"/>
        </w:rPr>
        <w:t>招标</w:t>
      </w:r>
      <w:r>
        <w:rPr>
          <w:rFonts w:hint="eastAsia" w:ascii="宋体" w:hAnsi="宋体" w:eastAsia="宋体" w:cs="宋体"/>
          <w:color w:val="auto"/>
          <w:sz w:val="24"/>
          <w:szCs w:val="24"/>
          <w:highlight w:val="none"/>
          <w:lang w:val="zh-TW" w:eastAsia="zh-TW"/>
        </w:rPr>
        <w:t>文件申请并下载</w:t>
      </w:r>
      <w:r>
        <w:rPr>
          <w:rFonts w:hint="eastAsia" w:ascii="宋体" w:hAnsi="宋体" w:eastAsia="宋体" w:cs="宋体"/>
          <w:color w:val="auto"/>
          <w:sz w:val="24"/>
          <w:szCs w:val="24"/>
          <w:highlight w:val="none"/>
          <w:lang w:val="zh-TW" w:eastAsia="zh-CN"/>
        </w:rPr>
        <w:t>招标</w:t>
      </w:r>
      <w:r>
        <w:rPr>
          <w:rFonts w:hint="eastAsia" w:ascii="宋体" w:hAnsi="宋体" w:eastAsia="宋体" w:cs="宋体"/>
          <w:color w:val="auto"/>
          <w:sz w:val="24"/>
          <w:szCs w:val="24"/>
          <w:highlight w:val="none"/>
          <w:lang w:val="zh-TW" w:eastAsia="zh-TW"/>
        </w:rPr>
        <w:t>文件后才视作依法参与本项目。如未在“政府采购云平台”内完成相关流程，引起的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TW" w:eastAsia="zh-TW"/>
        </w:rPr>
        <w:t>无效责任自负。</w:t>
      </w:r>
    </w:p>
    <w:p>
      <w:pPr>
        <w:adjustRightInd w:val="0"/>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highlight w:val="none"/>
          <w:lang w:eastAsia="zh-CN"/>
        </w:rPr>
        <w:t>投标资格不得转让。</w:t>
      </w:r>
    </w:p>
    <w:p>
      <w:pPr>
        <w:adjustRightInd w:val="0"/>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九、投标截止时间：2021年12月21日11：</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lang w:val="en-US" w:eastAsia="zh-CN"/>
        </w:rPr>
        <w:t>0（北京时间）</w:t>
      </w:r>
    </w:p>
    <w:p>
      <w:pPr>
        <w:adjustRightInd w:val="0"/>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十、开标时间：2021年12月21日11：</w:t>
      </w:r>
      <w:r>
        <w:rPr>
          <w:rFonts w:hint="eastAsia" w:ascii="宋体" w:hAnsi="宋体" w:cs="宋体"/>
          <w:b/>
          <w:color w:val="auto"/>
          <w:sz w:val="24"/>
          <w:highlight w:val="none"/>
          <w:lang w:val="en-US" w:eastAsia="zh-CN"/>
        </w:rPr>
        <w:t>3</w:t>
      </w:r>
      <w:bookmarkStart w:id="413" w:name="_GoBack"/>
      <w:bookmarkEnd w:id="413"/>
      <w:r>
        <w:rPr>
          <w:rFonts w:hint="eastAsia" w:ascii="宋体" w:hAnsi="宋体" w:eastAsia="宋体" w:cs="宋体"/>
          <w:b/>
          <w:color w:val="auto"/>
          <w:sz w:val="24"/>
          <w:highlight w:val="none"/>
          <w:lang w:val="en-US" w:eastAsia="zh-CN"/>
        </w:rPr>
        <w:t>0（北京时间）</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投标文件必须在投标截止时间前送达开标地点。逾期送达或未按招标文件规定装订的投标文件不予接收。本次招标不接受邮寄的投标文件。</w:t>
      </w:r>
    </w:p>
    <w:p>
      <w:pPr>
        <w:adjustRightInd w:val="0"/>
        <w:snapToGrid w:val="0"/>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lang w:val="en-US" w:eastAsia="zh-CN"/>
        </w:rPr>
        <w:t>十一</w:t>
      </w:r>
      <w:r>
        <w:rPr>
          <w:rFonts w:hint="eastAsia" w:ascii="宋体" w:hAnsi="宋体" w:eastAsia="宋体" w:cs="宋体"/>
          <w:b/>
          <w:sz w:val="24"/>
          <w:highlight w:val="none"/>
        </w:rPr>
        <w:t>、开标地点：</w:t>
      </w:r>
      <w:r>
        <w:rPr>
          <w:rFonts w:hint="eastAsia" w:ascii="宋体" w:hAnsi="宋体" w:eastAsia="宋体" w:cs="宋体"/>
          <w:color w:val="auto"/>
          <w:kern w:val="1"/>
          <w:sz w:val="24"/>
          <w:szCs w:val="24"/>
          <w:highlight w:val="none"/>
          <w:lang w:val="zh-TW" w:eastAsia="zh-CN"/>
        </w:rPr>
        <w:t>成都市金牛区金科南路黑格中心C座3楼</w:t>
      </w:r>
      <w:r>
        <w:rPr>
          <w:rFonts w:hint="eastAsia" w:ascii="宋体" w:hAnsi="宋体" w:eastAsia="宋体" w:cs="宋体"/>
          <w:color w:val="auto"/>
          <w:sz w:val="24"/>
          <w:szCs w:val="24"/>
          <w:highlight w:val="none"/>
          <w:lang w:val="zh-TW" w:eastAsia="zh-CN"/>
        </w:rPr>
        <w:t>四川新宇盛项目管理集团有限公司</w:t>
      </w:r>
      <w:r>
        <w:rPr>
          <w:rFonts w:hint="eastAsia" w:ascii="宋体" w:hAnsi="宋体" w:eastAsia="宋体" w:cs="宋体"/>
          <w:color w:val="auto"/>
          <w:sz w:val="24"/>
          <w:szCs w:val="24"/>
          <w:highlight w:val="none"/>
          <w:lang w:val="zh-TW" w:eastAsia="zh-TW"/>
        </w:rPr>
        <w:t>开标厅</w:t>
      </w:r>
      <w:r>
        <w:rPr>
          <w:rFonts w:hint="eastAsia" w:ascii="宋体" w:hAnsi="宋体" w:eastAsia="宋体" w:cs="宋体"/>
          <w:color w:val="auto"/>
          <w:sz w:val="24"/>
          <w:szCs w:val="24"/>
          <w:highlight w:val="none"/>
          <w:lang w:val="zh-TW"/>
        </w:rPr>
        <w:t>。</w:t>
      </w:r>
    </w:p>
    <w:p>
      <w:pPr>
        <w:adjustRightInd w:val="0"/>
        <w:snapToGrid w:val="0"/>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lang w:val="en-US" w:eastAsia="zh-CN"/>
        </w:rPr>
        <w:t>十二</w:t>
      </w:r>
      <w:r>
        <w:rPr>
          <w:rFonts w:hint="eastAsia" w:ascii="宋体" w:hAnsi="宋体" w:eastAsia="宋体" w:cs="宋体"/>
          <w:b/>
          <w:sz w:val="24"/>
          <w:highlight w:val="none"/>
        </w:rPr>
        <w:t>、</w:t>
      </w:r>
      <w:r>
        <w:rPr>
          <w:rFonts w:hint="eastAsia" w:ascii="宋体" w:hAnsi="宋体" w:eastAsia="宋体" w:cs="宋体"/>
          <w:bCs/>
          <w:sz w:val="24"/>
          <w:highlight w:val="none"/>
        </w:rPr>
        <w:t>本投标邀请在四川政府采购网上以公告形式发布。</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w:t>
      </w:r>
      <w:r>
        <w:rPr>
          <w:rFonts w:hint="eastAsia" w:ascii="宋体" w:hAnsi="宋体" w:eastAsia="宋体" w:cs="宋体"/>
          <w:b/>
          <w:sz w:val="24"/>
          <w:highlight w:val="none"/>
          <w:lang w:val="en-US" w:eastAsia="zh-CN"/>
        </w:rPr>
        <w:t>三</w:t>
      </w:r>
      <w:r>
        <w:rPr>
          <w:rFonts w:hint="eastAsia" w:ascii="宋体" w:hAnsi="宋体" w:eastAsia="宋体" w:cs="宋体"/>
          <w:b/>
          <w:sz w:val="24"/>
          <w:highlight w:val="none"/>
        </w:rPr>
        <w:t>、联系方式</w:t>
      </w:r>
    </w:p>
    <w:p>
      <w:pPr>
        <w:adjustRightInd w:val="0"/>
        <w:snapToGrid w:val="0"/>
        <w:spacing w:line="360" w:lineRule="auto"/>
        <w:ind w:firstLine="480" w:firstLineChars="200"/>
        <w:rPr>
          <w:rFonts w:hint="eastAsia" w:ascii="宋体" w:hAnsi="宋体" w:eastAsia="宋体" w:cs="宋体"/>
          <w:bCs/>
          <w:sz w:val="24"/>
          <w:highlight w:val="none"/>
          <w:lang w:eastAsia="zh-CN"/>
        </w:rPr>
      </w:pPr>
      <w:r>
        <w:rPr>
          <w:rFonts w:hint="eastAsia" w:ascii="宋体" w:hAnsi="宋体" w:eastAsia="宋体" w:cs="宋体"/>
          <w:bCs/>
          <w:sz w:val="24"/>
          <w:highlight w:val="none"/>
        </w:rPr>
        <w:t>采 购 人</w:t>
      </w:r>
      <w:r>
        <w:rPr>
          <w:rFonts w:hint="eastAsia" w:ascii="宋体" w:hAnsi="宋体" w:eastAsia="宋体" w:cs="宋体"/>
          <w:bCs/>
          <w:sz w:val="24"/>
          <w:highlight w:val="none"/>
          <w:lang w:eastAsia="zh-CN"/>
        </w:rPr>
        <w:t>：成都市郫都区综合行政执法局</w:t>
      </w:r>
    </w:p>
    <w:p>
      <w:pPr>
        <w:widowControl/>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    址：</w:t>
      </w:r>
      <w:r>
        <w:rPr>
          <w:rFonts w:hint="eastAsia" w:ascii="宋体" w:hAnsi="宋体" w:eastAsia="宋体" w:cs="宋体"/>
          <w:b w:val="0"/>
          <w:bCs/>
          <w:color w:val="auto"/>
          <w:sz w:val="24"/>
          <w:highlight w:val="none"/>
          <w:lang w:eastAsia="zh-CN"/>
        </w:rPr>
        <w:t>成都市郫都区望丛中路275号</w:t>
      </w:r>
    </w:p>
    <w:p>
      <w:pPr>
        <w:widowControl/>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联 系 人：</w:t>
      </w:r>
      <w:r>
        <w:rPr>
          <w:rFonts w:hint="eastAsia" w:ascii="宋体" w:hAnsi="宋体" w:eastAsia="宋体" w:cs="宋体"/>
          <w:b w:val="0"/>
          <w:bCs/>
          <w:color w:val="auto"/>
          <w:sz w:val="24"/>
          <w:highlight w:val="none"/>
          <w:lang w:val="en-US" w:eastAsia="zh-CN"/>
        </w:rPr>
        <w:t>赖老师</w:t>
      </w:r>
    </w:p>
    <w:p>
      <w:pPr>
        <w:widowControl/>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联系电话：</w:t>
      </w:r>
      <w:r>
        <w:rPr>
          <w:rFonts w:hint="eastAsia" w:ascii="宋体" w:hAnsi="宋体" w:eastAsia="宋体" w:cs="宋体"/>
          <w:b w:val="0"/>
          <w:bCs/>
          <w:color w:val="auto"/>
          <w:sz w:val="24"/>
          <w:highlight w:val="none"/>
          <w:lang w:val="en-US" w:eastAsia="zh-CN"/>
        </w:rPr>
        <w:t>028-87881572</w:t>
      </w:r>
    </w:p>
    <w:p>
      <w:pPr>
        <w:adjustRightInd w:val="0"/>
        <w:snapToGrid w:val="0"/>
        <w:spacing w:line="360" w:lineRule="auto"/>
        <w:ind w:firstLine="480" w:firstLineChars="200"/>
        <w:rPr>
          <w:rFonts w:hint="eastAsia" w:ascii="宋体" w:hAnsi="宋体" w:eastAsia="宋体" w:cs="宋体"/>
          <w:bCs/>
          <w:sz w:val="24"/>
          <w:highlight w:val="none"/>
          <w:lang w:eastAsia="zh-CN"/>
        </w:rPr>
      </w:pPr>
      <w:r>
        <w:rPr>
          <w:rFonts w:hint="eastAsia" w:ascii="宋体" w:hAnsi="宋体" w:eastAsia="宋体" w:cs="宋体"/>
          <w:bCs/>
          <w:sz w:val="24"/>
          <w:highlight w:val="none"/>
        </w:rPr>
        <w:t>采购代理机构：</w:t>
      </w:r>
      <w:r>
        <w:rPr>
          <w:rFonts w:hint="eastAsia" w:ascii="宋体" w:hAnsi="宋体" w:eastAsia="宋体" w:cs="宋体"/>
          <w:bCs/>
          <w:sz w:val="24"/>
          <w:highlight w:val="none"/>
          <w:lang w:eastAsia="zh-CN"/>
        </w:rPr>
        <w:t>四川新宇盛项目管理集团有限公司</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地 址：</w:t>
      </w:r>
      <w:r>
        <w:rPr>
          <w:rFonts w:hint="eastAsia" w:ascii="宋体" w:hAnsi="宋体" w:eastAsia="宋体" w:cs="宋体"/>
          <w:color w:val="auto"/>
          <w:kern w:val="1"/>
          <w:sz w:val="24"/>
          <w:szCs w:val="24"/>
          <w:highlight w:val="none"/>
          <w:lang w:val="zh-TW" w:eastAsia="zh-CN"/>
        </w:rPr>
        <w:t>成都市金牛区金科南路黑格中心C座3楼</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联 系 人：殷先生</w:t>
      </w:r>
    </w:p>
    <w:p>
      <w:pPr>
        <w:adjustRightInd w:val="0"/>
        <w:snapToGrid w:val="0"/>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rPr>
        <w:t>联系电话：</w:t>
      </w:r>
      <w:r>
        <w:rPr>
          <w:rFonts w:hint="eastAsia" w:ascii="宋体" w:hAnsi="宋体" w:eastAsia="宋体" w:cs="宋体"/>
          <w:bCs/>
          <w:sz w:val="24"/>
          <w:highlight w:val="none"/>
          <w:lang w:val="en-US" w:eastAsia="zh-CN"/>
        </w:rPr>
        <w:t>028-86095158</w:t>
      </w:r>
    </w:p>
    <w:p>
      <w:pPr>
        <w:adjustRightInd w:val="0"/>
        <w:snapToGrid w:val="0"/>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报名咨询人</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何女士</w:t>
      </w:r>
    </w:p>
    <w:p>
      <w:pPr>
        <w:adjustRightInd w:val="0"/>
        <w:snapToGrid w:val="0"/>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报名咨询联系电话</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19141305024</w:t>
      </w:r>
    </w:p>
    <w:p>
      <w:pPr>
        <w:adjustRightInd w:val="0"/>
        <w:snapToGrid w:val="0"/>
        <w:spacing w:line="360" w:lineRule="auto"/>
        <w:ind w:firstLine="480" w:firstLineChars="200"/>
        <w:rPr>
          <w:rFonts w:hint="eastAsia" w:ascii="宋体" w:hAnsi="宋体" w:cs="宋体"/>
          <w:bCs/>
          <w:sz w:val="24"/>
          <w:highlight w:val="none"/>
        </w:rPr>
      </w:pPr>
      <w:bookmarkStart w:id="4" w:name="_Toc503862753"/>
      <w:bookmarkStart w:id="5" w:name="_Toc21261"/>
      <w:bookmarkStart w:id="6" w:name="_Toc27844"/>
      <w:bookmarkStart w:id="7" w:name="_Toc213397009"/>
      <w:bookmarkStart w:id="8" w:name="_Toc213396759"/>
      <w:bookmarkStart w:id="9" w:name="_Toc213396945"/>
      <w:bookmarkStart w:id="10" w:name="_Toc217446031"/>
      <w:bookmarkStart w:id="11" w:name="_Toc213496267"/>
      <w:r>
        <w:rPr>
          <w:rFonts w:hint="eastAsia" w:ascii="宋体" w:hAnsi="宋体" w:cs="宋体"/>
          <w:bCs/>
          <w:sz w:val="24"/>
          <w:highlight w:val="none"/>
        </w:rPr>
        <w:br w:type="page"/>
      </w:r>
    </w:p>
    <w:p>
      <w:pPr>
        <w:pStyle w:val="3"/>
        <w:rPr>
          <w:rFonts w:ascii="宋体" w:hAnsi="宋体" w:cs="宋体"/>
          <w:highlight w:val="none"/>
        </w:rPr>
      </w:pPr>
      <w:bookmarkStart w:id="12" w:name="_Toc27675"/>
      <w:r>
        <w:rPr>
          <w:rFonts w:hint="eastAsia" w:ascii="宋体" w:hAnsi="宋体" w:cs="宋体"/>
          <w:highlight w:val="none"/>
        </w:rPr>
        <w:t>第二章  投标人须知</w:t>
      </w:r>
      <w:bookmarkEnd w:id="4"/>
      <w:bookmarkEnd w:id="5"/>
      <w:bookmarkEnd w:id="6"/>
      <w:bookmarkEnd w:id="12"/>
    </w:p>
    <w:p>
      <w:pPr>
        <w:tabs>
          <w:tab w:val="left" w:pos="5142"/>
        </w:tabs>
        <w:jc w:val="center"/>
        <w:outlineLvl w:val="1"/>
        <w:rPr>
          <w:rFonts w:ascii="宋体" w:hAnsi="宋体" w:cs="宋体"/>
          <w:b/>
          <w:sz w:val="30"/>
          <w:szCs w:val="30"/>
          <w:highlight w:val="none"/>
        </w:rPr>
      </w:pPr>
      <w:bookmarkStart w:id="13" w:name="_Toc503862754"/>
      <w:r>
        <w:rPr>
          <w:rFonts w:hint="eastAsia" w:ascii="宋体" w:hAnsi="宋体" w:cs="宋体"/>
          <w:b/>
          <w:sz w:val="30"/>
          <w:szCs w:val="30"/>
          <w:highlight w:val="none"/>
        </w:rPr>
        <w:t>一、投标人须知附表</w:t>
      </w:r>
      <w:bookmarkEnd w:id="13"/>
    </w:p>
    <w:bookmarkEnd w:id="7"/>
    <w:bookmarkEnd w:id="8"/>
    <w:bookmarkEnd w:id="9"/>
    <w:bookmarkEnd w:id="10"/>
    <w:bookmarkEnd w:id="11"/>
    <w:tbl>
      <w:tblPr>
        <w:tblStyle w:val="22"/>
        <w:tblW w:w="975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91"/>
        <w:gridCol w:w="1945"/>
        <w:gridCol w:w="711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blHeader/>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945"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条款名称</w:t>
            </w:r>
          </w:p>
        </w:tc>
        <w:tc>
          <w:tcPr>
            <w:tcW w:w="7115"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Merge w:val="restart"/>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1945" w:type="dxa"/>
            <w:tcBorders>
              <w:bottom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采购预算</w:t>
            </w:r>
          </w:p>
          <w:p>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（实质性要求）</w:t>
            </w:r>
          </w:p>
        </w:tc>
        <w:tc>
          <w:tcPr>
            <w:tcW w:w="7115" w:type="dxa"/>
            <w:tcBorders>
              <w:bottom w:val="single" w:color="auto"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采购预算：</w:t>
            </w:r>
            <w:r>
              <w:rPr>
                <w:rFonts w:hint="eastAsia" w:ascii="宋体" w:hAnsi="宋体" w:eastAsia="宋体" w:cs="宋体"/>
                <w:color w:val="auto"/>
                <w:sz w:val="24"/>
                <w:szCs w:val="24"/>
                <w:u w:val="single"/>
                <w:lang w:val="en-US" w:eastAsia="zh-CN"/>
              </w:rPr>
              <w:t>5792036.27元/年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其中标段一：</w:t>
            </w:r>
            <w:r>
              <w:rPr>
                <w:rFonts w:hint="eastAsia" w:ascii="宋体" w:hAnsi="宋体" w:eastAsia="宋体" w:cs="宋体"/>
                <w:b w:val="0"/>
                <w:bCs/>
                <w:color w:val="auto"/>
                <w:sz w:val="24"/>
                <w:szCs w:val="24"/>
                <w:u w:val="single"/>
                <w:vertAlign w:val="baseline"/>
                <w:lang w:val="en-US" w:eastAsia="zh-CN"/>
              </w:rPr>
              <w:t>3112376.03元</w:t>
            </w:r>
            <w:r>
              <w:rPr>
                <w:rFonts w:hint="eastAsia" w:ascii="宋体" w:hAnsi="宋体" w:eastAsia="宋体" w:cs="宋体"/>
                <w:color w:val="auto"/>
                <w:sz w:val="24"/>
                <w:szCs w:val="24"/>
                <w:u w:val="single"/>
                <w:lang w:val="en-US" w:eastAsia="zh-CN"/>
              </w:rPr>
              <w:t>/年</w:t>
            </w:r>
            <w:r>
              <w:rPr>
                <w:rFonts w:hint="eastAsia" w:ascii="宋体" w:hAnsi="宋体" w:eastAsia="宋体" w:cs="宋体"/>
                <w:b w:val="0"/>
                <w:bCs/>
                <w:color w:val="auto"/>
                <w:sz w:val="24"/>
                <w:szCs w:val="24"/>
                <w:u w:val="single"/>
                <w:vertAlign w:val="baseline"/>
                <w:lang w:val="en-US" w:eastAsia="zh-CN"/>
              </w:rPr>
              <w:t>；标段</w:t>
            </w:r>
            <w:r>
              <w:rPr>
                <w:rFonts w:hint="eastAsia" w:ascii="宋体" w:hAnsi="宋体" w:eastAsia="宋体" w:cs="宋体"/>
                <w:color w:val="auto"/>
                <w:sz w:val="24"/>
                <w:szCs w:val="24"/>
                <w:u w:val="single"/>
                <w:lang w:val="en-US" w:eastAsia="zh-CN"/>
              </w:rPr>
              <w:t>二：</w:t>
            </w:r>
            <w:r>
              <w:rPr>
                <w:rFonts w:hint="eastAsia" w:ascii="宋体" w:hAnsi="宋体" w:eastAsia="宋体" w:cs="宋体"/>
                <w:b w:val="0"/>
                <w:bCs/>
                <w:color w:val="auto"/>
                <w:sz w:val="24"/>
                <w:szCs w:val="24"/>
                <w:u w:val="single"/>
                <w:vertAlign w:val="baseline"/>
                <w:lang w:val="en-US" w:eastAsia="zh-CN"/>
              </w:rPr>
              <w:t>2679660.24</w:t>
            </w:r>
            <w:r>
              <w:rPr>
                <w:rFonts w:hint="eastAsia" w:ascii="宋体" w:hAnsi="宋体" w:eastAsia="宋体" w:cs="宋体"/>
                <w:color w:val="auto"/>
                <w:sz w:val="24"/>
                <w:szCs w:val="24"/>
                <w:u w:val="single"/>
                <w:lang w:val="en-US" w:eastAsia="zh-CN"/>
              </w:rPr>
              <w:t>元/年</w:t>
            </w:r>
            <w:r>
              <w:rPr>
                <w:rFonts w:hint="eastAsia" w:ascii="宋体" w:hAnsi="宋体" w:eastAsia="宋体" w:cs="宋体"/>
                <w:b w:val="0"/>
                <w:bCs/>
                <w:color w:val="auto"/>
                <w:sz w:val="24"/>
                <w:szCs w:val="24"/>
                <w:u w:val="none"/>
                <w:vertAlign w:val="baseline"/>
                <w:lang w:val="en-US" w:eastAsia="zh-CN"/>
              </w:rPr>
              <w:t>。（服务期限：3年。）</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超过采购预算的报价为无效投标。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Merge w:val="continue"/>
            <w:vAlign w:val="center"/>
          </w:tcPr>
          <w:p>
            <w:pPr>
              <w:jc w:val="center"/>
              <w:rPr>
                <w:rFonts w:hint="eastAsia" w:ascii="宋体" w:hAnsi="宋体" w:eastAsia="宋体" w:cs="宋体"/>
                <w:b/>
                <w:bCs/>
                <w:sz w:val="24"/>
                <w:szCs w:val="24"/>
                <w:highlight w:val="none"/>
              </w:rPr>
            </w:pPr>
          </w:p>
        </w:tc>
        <w:tc>
          <w:tcPr>
            <w:tcW w:w="1945" w:type="dxa"/>
            <w:tcBorders>
              <w:top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p>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（实质性要求）</w:t>
            </w:r>
          </w:p>
        </w:tc>
        <w:tc>
          <w:tcPr>
            <w:tcW w:w="7115" w:type="dxa"/>
            <w:tcBorders>
              <w:top w:val="single" w:color="auto"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sz w:val="24"/>
                <w:szCs w:val="24"/>
                <w:u w:val="single"/>
                <w:lang w:val="en-US" w:eastAsia="zh-CN"/>
              </w:rPr>
              <w:t>5792036.27元/年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其中标段一：</w:t>
            </w:r>
            <w:r>
              <w:rPr>
                <w:rFonts w:hint="eastAsia" w:ascii="宋体" w:hAnsi="宋体" w:eastAsia="宋体" w:cs="宋体"/>
                <w:b w:val="0"/>
                <w:bCs/>
                <w:color w:val="auto"/>
                <w:sz w:val="24"/>
                <w:szCs w:val="24"/>
                <w:u w:val="single"/>
                <w:vertAlign w:val="baseline"/>
                <w:lang w:val="en-US" w:eastAsia="zh-CN"/>
              </w:rPr>
              <w:t>3112376.03元</w:t>
            </w:r>
            <w:r>
              <w:rPr>
                <w:rFonts w:hint="eastAsia" w:ascii="宋体" w:hAnsi="宋体" w:eastAsia="宋体" w:cs="宋体"/>
                <w:color w:val="auto"/>
                <w:sz w:val="24"/>
                <w:szCs w:val="24"/>
                <w:u w:val="single"/>
                <w:lang w:val="en-US" w:eastAsia="zh-CN"/>
              </w:rPr>
              <w:t>/年</w:t>
            </w:r>
            <w:r>
              <w:rPr>
                <w:rFonts w:hint="eastAsia" w:ascii="宋体" w:hAnsi="宋体" w:eastAsia="宋体" w:cs="宋体"/>
                <w:b w:val="0"/>
                <w:bCs/>
                <w:color w:val="auto"/>
                <w:sz w:val="24"/>
                <w:szCs w:val="24"/>
                <w:u w:val="single"/>
                <w:vertAlign w:val="baseline"/>
                <w:lang w:val="en-US" w:eastAsia="zh-CN"/>
              </w:rPr>
              <w:t>；标段</w:t>
            </w:r>
            <w:r>
              <w:rPr>
                <w:rFonts w:hint="eastAsia" w:ascii="宋体" w:hAnsi="宋体" w:eastAsia="宋体" w:cs="宋体"/>
                <w:color w:val="auto"/>
                <w:sz w:val="24"/>
                <w:szCs w:val="24"/>
                <w:u w:val="single"/>
                <w:lang w:val="en-US" w:eastAsia="zh-CN"/>
              </w:rPr>
              <w:t>二：</w:t>
            </w:r>
            <w:r>
              <w:rPr>
                <w:rFonts w:hint="eastAsia" w:ascii="宋体" w:hAnsi="宋体" w:eastAsia="宋体" w:cs="宋体"/>
                <w:b w:val="0"/>
                <w:bCs/>
                <w:color w:val="auto"/>
                <w:sz w:val="24"/>
                <w:szCs w:val="24"/>
                <w:u w:val="single"/>
                <w:vertAlign w:val="baseline"/>
                <w:lang w:val="en-US" w:eastAsia="zh-CN"/>
              </w:rPr>
              <w:t>2679660.24</w:t>
            </w:r>
            <w:r>
              <w:rPr>
                <w:rFonts w:hint="eastAsia" w:ascii="宋体" w:hAnsi="宋体" w:eastAsia="宋体" w:cs="宋体"/>
                <w:color w:val="auto"/>
                <w:sz w:val="24"/>
                <w:szCs w:val="24"/>
                <w:u w:val="single"/>
                <w:lang w:val="en-US" w:eastAsia="zh-CN"/>
              </w:rPr>
              <w:t>元/年</w:t>
            </w:r>
            <w:r>
              <w:rPr>
                <w:rFonts w:hint="eastAsia" w:ascii="宋体" w:hAnsi="宋体" w:eastAsia="宋体" w:cs="宋体"/>
                <w:b w:val="0"/>
                <w:bCs/>
                <w:color w:val="auto"/>
                <w:sz w:val="24"/>
                <w:szCs w:val="24"/>
                <w:u w:val="none"/>
                <w:vertAlign w:val="baseline"/>
                <w:lang w:val="en-US" w:eastAsia="zh-CN"/>
              </w:rPr>
              <w:t>。（服务期限：3年。）</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超过最高限价的报价为无效投标。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1945" w:type="dxa"/>
            <w:tcBorders>
              <w:top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采购方式、</w:t>
            </w:r>
            <w:r>
              <w:rPr>
                <w:rFonts w:hint="eastAsia" w:ascii="宋体" w:hAnsi="宋体" w:eastAsia="宋体" w:cs="宋体"/>
                <w:sz w:val="24"/>
                <w:szCs w:val="24"/>
                <w:highlight w:val="none"/>
              </w:rPr>
              <w:t>评审方法</w:t>
            </w:r>
          </w:p>
        </w:tc>
        <w:tc>
          <w:tcPr>
            <w:tcW w:w="7115" w:type="dxa"/>
            <w:tcBorders>
              <w:top w:val="single" w:color="auto"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公开招标、</w:t>
            </w:r>
            <w:r>
              <w:rPr>
                <w:rFonts w:hint="eastAsia" w:ascii="宋体" w:hAnsi="宋体" w:eastAsia="宋体" w:cs="宋体"/>
                <w:sz w:val="24"/>
                <w:szCs w:val="24"/>
                <w:highlight w:val="none"/>
                <w:lang w:val="en-US" w:eastAsia="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1945" w:type="dxa"/>
            <w:tcBorders>
              <w:top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招标文件编制</w:t>
            </w:r>
          </w:p>
        </w:tc>
        <w:tc>
          <w:tcPr>
            <w:tcW w:w="7115" w:type="dxa"/>
            <w:tcBorders>
              <w:top w:val="single" w:color="auto"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由采购人成都市郫都区综合行政执法局和四川新宇盛项目管理集团有限公司共同编制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1945" w:type="dxa"/>
            <w:tcBorders>
              <w:top w:val="single" w:color="auto" w:sz="4" w:space="0"/>
            </w:tcBorders>
            <w:vAlign w:val="center"/>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进口产品</w:t>
            </w:r>
          </w:p>
          <w:p>
            <w:pPr>
              <w:jc w:val="center"/>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lang w:val="zh-CN"/>
              </w:rPr>
              <w:t>（实质性要求）</w:t>
            </w:r>
          </w:p>
        </w:tc>
        <w:tc>
          <w:tcPr>
            <w:tcW w:w="7115" w:type="dxa"/>
            <w:tcBorders>
              <w:top w:val="single" w:color="auto"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w:t>
            </w:r>
          </w:p>
        </w:tc>
        <w:tc>
          <w:tcPr>
            <w:tcW w:w="1945" w:type="dxa"/>
            <w:tcBorders>
              <w:top w:val="single" w:color="auto" w:sz="4" w:space="0"/>
            </w:tcBorders>
            <w:vAlign w:val="center"/>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联合体投标</w:t>
            </w:r>
          </w:p>
        </w:tc>
        <w:tc>
          <w:tcPr>
            <w:tcW w:w="7115" w:type="dxa"/>
            <w:tcBorders>
              <w:top w:val="single" w:color="auto"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w:t>
            </w:r>
            <w:r>
              <w:rPr>
                <w:rFonts w:hint="eastAsia" w:ascii="宋体" w:hAnsi="宋体" w:eastAsia="宋体" w:cs="宋体"/>
                <w:color w:val="auto"/>
                <w:sz w:val="24"/>
                <w:szCs w:val="24"/>
                <w:highlight w:val="none"/>
                <w:lang w:val="en-US" w:eastAsia="zh-CN"/>
              </w:rPr>
              <w:t>项目不接受联合体投标。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w:t>
            </w:r>
          </w:p>
        </w:tc>
        <w:tc>
          <w:tcPr>
            <w:tcW w:w="1945"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低于成本价不正当</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竞争预防措施</w:t>
            </w:r>
          </w:p>
          <w:p>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（实质性要求）</w:t>
            </w:r>
          </w:p>
        </w:tc>
        <w:tc>
          <w:tcPr>
            <w:tcW w:w="7115" w:type="dxa"/>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w:t>
            </w:r>
          </w:p>
        </w:tc>
        <w:tc>
          <w:tcPr>
            <w:tcW w:w="1945"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采购项目需要落实的政府采购政策</w:t>
            </w:r>
          </w:p>
          <w:p>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（实质性要求）</w:t>
            </w:r>
          </w:p>
        </w:tc>
        <w:tc>
          <w:tcPr>
            <w:tcW w:w="7115" w:type="dxa"/>
            <w:vAlign w:val="center"/>
          </w:tcPr>
          <w:p>
            <w:pP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1、促进中小企业发展</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本项</w:t>
            </w:r>
            <w:r>
              <w:rPr>
                <w:rFonts w:hint="eastAsia" w:ascii="宋体" w:hAnsi="宋体" w:eastAsia="宋体" w:cs="宋体"/>
                <w:b/>
                <w:bCs/>
                <w:color w:val="auto"/>
                <w:sz w:val="24"/>
                <w:szCs w:val="24"/>
                <w:highlight w:val="none"/>
                <w:lang w:val="en-US" w:eastAsia="zh-CN"/>
              </w:rPr>
              <w:t>目不专门</w:t>
            </w:r>
            <w:r>
              <w:rPr>
                <w:rFonts w:hint="eastAsia" w:ascii="宋体" w:hAnsi="宋体" w:eastAsia="宋体" w:cs="宋体"/>
                <w:b/>
                <w:bCs/>
                <w:sz w:val="24"/>
                <w:szCs w:val="24"/>
                <w:highlight w:val="none"/>
                <w:lang w:val="en-US" w:eastAsia="zh-CN"/>
              </w:rPr>
              <w:t>面向中小企业采购。</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1)根据《政府采购促进中小企业发展管理办法》财库〔2020〕46号的规定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对小型和微型企业的价格给予10%的价格扣除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用扣除后的价格参与评审。</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2)参加政府采购活动的中小企业应当提供《中小企业声明函》原件。</w:t>
            </w: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2、促进残疾人福利单位发展</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根据《关于促进残疾人就业政府采购政策的通知》（财库〔2017〕141号）文要求，在政府采购活动中，残疾人福利性单位视同小型、微型企业，享受促进中小企业发展的政府采购政策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详见第1点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。向残疾人福利性单位采购的金额，计入面向中小企业采购的统计数据。</w:t>
            </w: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3、支持监狱企业发展</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根据《关于政府采购支持监狱企业发展有关问题的通知》（财库〔2014〕68号）的规定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监狱企业视同小型、微型企业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享受促进中小企业发展的政府采购政策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详见第1点</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投标人为监狱企业的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必须提供由省级以上监狱管理局、戒毒管理局（含新疆生产建设兵团）出具的属于监狱企业的证明文件（影印件加盖投标人公章）。</w:t>
            </w: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、政府采购扶持不发达地区和少数民族地区。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采购项目将根据政策要求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给予参加本项目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注册地在不发达地区和少数民族地区的供应商适当加分。如未将其设定为加分项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将按同等条件下优先采购注册地在不发达地区和少数民族地区的供应商提供的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的原则执行。</w:t>
            </w:r>
          </w:p>
          <w:p>
            <w:pPr>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节能、环境标志</w:t>
            </w:r>
            <w:r>
              <w:rPr>
                <w:rFonts w:hint="eastAsia" w:ascii="宋体" w:hAnsi="宋体" w:eastAsia="宋体" w:cs="宋体"/>
                <w:b/>
                <w:bCs/>
                <w:color w:val="auto"/>
                <w:sz w:val="24"/>
                <w:szCs w:val="24"/>
                <w:highlight w:val="none"/>
              </w:rPr>
              <w:t>产品：</w:t>
            </w:r>
            <w:r>
              <w:rPr>
                <w:rFonts w:hint="eastAsia" w:ascii="宋体" w:hAnsi="宋体" w:eastAsia="宋体" w:cs="宋体"/>
                <w:color w:val="auto"/>
                <w:sz w:val="24"/>
                <w:szCs w:val="24"/>
                <w:highlight w:val="none"/>
              </w:rPr>
              <w:t>本项目不涉及。</w:t>
            </w:r>
          </w:p>
          <w:p>
            <w:pPr>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无线局域网产品：</w:t>
            </w:r>
            <w:r>
              <w:rPr>
                <w:rFonts w:hint="eastAsia" w:ascii="宋体" w:hAnsi="宋体" w:eastAsia="宋体" w:cs="宋体"/>
                <w:color w:val="auto"/>
                <w:sz w:val="24"/>
                <w:szCs w:val="24"/>
                <w:highlight w:val="none"/>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w:t>
            </w:r>
          </w:p>
        </w:tc>
        <w:tc>
          <w:tcPr>
            <w:tcW w:w="1945" w:type="dxa"/>
            <w:vAlign w:val="center"/>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投标保证金</w:t>
            </w:r>
          </w:p>
          <w:p>
            <w:pPr>
              <w:jc w:val="center"/>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rPr>
              <w:t>（实质性要求）</w:t>
            </w:r>
          </w:p>
        </w:tc>
        <w:tc>
          <w:tcPr>
            <w:tcW w:w="7115"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w:t>
            </w:r>
          </w:p>
        </w:tc>
        <w:tc>
          <w:tcPr>
            <w:tcW w:w="194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115"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额：政府采购合同金额的5%</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交款方式：履约保证金可以以支票、汇票、本票或者金融机构出具的保函等非现金形式提交（包括网银转账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电汇等方式）。</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交款时间：签订合同前。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w:t>
            </w:r>
          </w:p>
        </w:tc>
        <w:tc>
          <w:tcPr>
            <w:tcW w:w="1945" w:type="dxa"/>
            <w:vAlign w:val="center"/>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构成招标文件的</w:t>
            </w:r>
          </w:p>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其他文件</w:t>
            </w:r>
          </w:p>
        </w:tc>
        <w:tc>
          <w:tcPr>
            <w:tcW w:w="7115"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招标文件的澄清</w:t>
            </w:r>
            <w:r>
              <w:rPr>
                <w:rFonts w:hint="eastAsia" w:ascii="宋体" w:hAnsi="宋体" w:eastAsia="宋体" w:cs="宋体"/>
                <w:sz w:val="24"/>
                <w:szCs w:val="24"/>
                <w:highlight w:val="none"/>
              </w:rPr>
              <w:t>、修改书及有关补充通知为招标文件的有效组成部分。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w:t>
            </w:r>
          </w:p>
        </w:tc>
        <w:tc>
          <w:tcPr>
            <w:tcW w:w="1945" w:type="dxa"/>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投标文件</w:t>
            </w:r>
            <w:r>
              <w:rPr>
                <w:rFonts w:hint="eastAsia" w:ascii="宋体" w:hAnsi="宋体" w:eastAsia="宋体" w:cs="宋体"/>
                <w:sz w:val="24"/>
                <w:szCs w:val="24"/>
                <w:highlight w:val="none"/>
                <w:lang w:val="en-US" w:eastAsia="zh-CN"/>
              </w:rPr>
              <w:t>份数</w:t>
            </w:r>
          </w:p>
        </w:tc>
        <w:tc>
          <w:tcPr>
            <w:tcW w:w="7115"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资格性投标文件</w:t>
            </w:r>
            <w:r>
              <w:rPr>
                <w:rFonts w:hint="eastAsia" w:ascii="宋体" w:hAnsi="宋体" w:eastAsia="宋体" w:cs="宋体"/>
                <w:sz w:val="24"/>
                <w:szCs w:val="24"/>
                <w:highlight w:val="none"/>
              </w:rPr>
              <w:t>正本：1份；副本：2份；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其他响应性投标文件正本：1份；副本：2份；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资格性投标文件和其他响应性投标文件电子文档1份；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唱标信封（用于开标唱标单独提交的“开标一览表”）1份。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w:t>
            </w:r>
          </w:p>
        </w:tc>
        <w:tc>
          <w:tcPr>
            <w:tcW w:w="1945" w:type="dxa"/>
            <w:vAlign w:val="center"/>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评标情况公告</w:t>
            </w:r>
          </w:p>
        </w:tc>
        <w:tc>
          <w:tcPr>
            <w:tcW w:w="7115"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tcBorders>
              <w:top w:val="single" w:color="auto" w:sz="4" w:space="0"/>
              <w:bottom w:val="single" w:color="auto" w:sz="4" w:space="0"/>
            </w:tcBorders>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w:t>
            </w:r>
          </w:p>
        </w:tc>
        <w:tc>
          <w:tcPr>
            <w:tcW w:w="1945" w:type="dxa"/>
            <w:tcBorders>
              <w:top w:val="single" w:color="auto" w:sz="4" w:space="0"/>
              <w:bottom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采购项目具体事项/采购文件内容咨询</w:t>
            </w:r>
          </w:p>
        </w:tc>
        <w:tc>
          <w:tcPr>
            <w:tcW w:w="7115" w:type="dxa"/>
            <w:tcBorders>
              <w:top w:val="single" w:color="auto" w:sz="4" w:space="0"/>
              <w:bottom w:val="single" w:color="auto" w:sz="4" w:space="0"/>
            </w:tcBorders>
            <w:vAlign w:val="center"/>
          </w:tcPr>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联系人：殷先生</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028-86095158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tcBorders>
              <w:top w:val="single" w:color="auto" w:sz="4" w:space="0"/>
              <w:bottom w:val="single" w:color="auto" w:sz="4" w:space="0"/>
            </w:tcBorders>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w:t>
            </w:r>
          </w:p>
        </w:tc>
        <w:tc>
          <w:tcPr>
            <w:tcW w:w="1945" w:type="dxa"/>
            <w:tcBorders>
              <w:top w:val="single" w:color="auto" w:sz="4" w:space="0"/>
              <w:bottom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投标人对招标文件提出质疑的时间</w:t>
            </w:r>
          </w:p>
        </w:tc>
        <w:tc>
          <w:tcPr>
            <w:tcW w:w="7115" w:type="dxa"/>
            <w:tcBorders>
              <w:top w:val="single" w:color="auto" w:sz="4" w:space="0"/>
              <w:bottom w:val="single" w:color="auto" w:sz="4"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为供应商收到采购文件之日或者采购文件公告期限届满之日起七个工作日内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以书面形式向采购代理机构提出质疑。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tcBorders>
              <w:top w:val="single" w:color="auto" w:sz="4" w:space="0"/>
              <w:bottom w:val="single" w:color="auto" w:sz="4" w:space="0"/>
            </w:tcBorders>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w:t>
            </w:r>
          </w:p>
        </w:tc>
        <w:tc>
          <w:tcPr>
            <w:tcW w:w="1945" w:type="dxa"/>
            <w:tcBorders>
              <w:top w:val="single" w:color="auto" w:sz="4" w:space="0"/>
              <w:bottom w:val="single" w:color="auto" w:sz="4" w:space="0"/>
            </w:tcBorders>
            <w:vAlign w:val="center"/>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投标有效期</w:t>
            </w:r>
          </w:p>
        </w:tc>
        <w:tc>
          <w:tcPr>
            <w:tcW w:w="7115" w:type="dxa"/>
            <w:tcBorders>
              <w:top w:val="single" w:color="auto" w:sz="4" w:space="0"/>
              <w:bottom w:val="single" w:color="auto" w:sz="4"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投标截止时间届满后90天。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tcBorders>
              <w:top w:val="single" w:color="auto" w:sz="4" w:space="0"/>
              <w:bottom w:val="single" w:color="auto" w:sz="4" w:space="0"/>
            </w:tcBorders>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w:t>
            </w:r>
          </w:p>
        </w:tc>
        <w:tc>
          <w:tcPr>
            <w:tcW w:w="1945" w:type="dxa"/>
            <w:tcBorders>
              <w:top w:val="single" w:color="auto" w:sz="4" w:space="0"/>
              <w:bottom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开标、评标工作咨询</w:t>
            </w:r>
          </w:p>
        </w:tc>
        <w:tc>
          <w:tcPr>
            <w:tcW w:w="7115" w:type="dxa"/>
            <w:tcBorders>
              <w:top w:val="single" w:color="auto" w:sz="4" w:space="0"/>
              <w:bottom w:val="single" w:color="auto" w:sz="4" w:space="0"/>
            </w:tcBorders>
            <w:vAlign w:val="center"/>
          </w:tcPr>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联系人：殷先生</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028-86095158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tcBorders>
              <w:top w:val="single" w:color="auto" w:sz="4" w:space="0"/>
            </w:tcBorders>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w:t>
            </w:r>
          </w:p>
        </w:tc>
        <w:tc>
          <w:tcPr>
            <w:tcW w:w="1945" w:type="dxa"/>
            <w:tcBorders>
              <w:top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中标通知书领取</w:t>
            </w:r>
          </w:p>
        </w:tc>
        <w:tc>
          <w:tcPr>
            <w:tcW w:w="7115" w:type="dxa"/>
            <w:tcBorders>
              <w:top w:val="single" w:color="auto" w:sz="4"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中标公告在四川政府采购网上公告后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请中标供应商凭有效身份证明证件到</w:t>
            </w:r>
            <w:r>
              <w:rPr>
                <w:rFonts w:hint="eastAsia" w:ascii="宋体" w:hAnsi="宋体" w:eastAsia="宋体" w:cs="宋体"/>
                <w:sz w:val="24"/>
                <w:szCs w:val="24"/>
                <w:highlight w:val="none"/>
                <w:lang w:eastAsia="zh-CN"/>
              </w:rPr>
              <w:t>四川新宇盛项目管理集团有限公司</w:t>
            </w:r>
            <w:r>
              <w:rPr>
                <w:rFonts w:hint="eastAsia" w:ascii="宋体" w:hAnsi="宋体" w:eastAsia="宋体" w:cs="宋体"/>
                <w:sz w:val="24"/>
                <w:szCs w:val="24"/>
                <w:highlight w:val="none"/>
              </w:rPr>
              <w:t>领取中标通知书。</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殷先生</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028-86095158</w:t>
            </w:r>
          </w:p>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成都市金牛区金科南路黑格中心C座3楼</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领取所需资料：经办人介绍信与身份证复印件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tcBorders>
              <w:top w:val="single" w:color="auto" w:sz="4" w:space="0"/>
            </w:tcBorders>
            <w:vAlign w:val="center"/>
          </w:tcPr>
          <w:p>
            <w:pPr>
              <w:jc w:val="center"/>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18</w:t>
            </w:r>
          </w:p>
        </w:tc>
        <w:tc>
          <w:tcPr>
            <w:tcW w:w="1945" w:type="dxa"/>
            <w:tcBorders>
              <w:top w:val="single" w:color="auto" w:sz="4" w:space="0"/>
            </w:tcBorders>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招标代理服务费缴纳</w:t>
            </w:r>
          </w:p>
        </w:tc>
        <w:tc>
          <w:tcPr>
            <w:tcW w:w="7115" w:type="dxa"/>
            <w:tcBorders>
              <w:top w:val="single" w:color="auto"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若缴纳现金，请领取通知书前将现金缴纳至公司财务；若为转账，请领取通知书前将代理服务费转至我公司对公账户。</w:t>
            </w:r>
          </w:p>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收款单位：</w:t>
            </w:r>
            <w:r>
              <w:rPr>
                <w:rFonts w:hint="eastAsia" w:ascii="宋体" w:hAnsi="宋体" w:eastAsia="宋体" w:cs="宋体"/>
                <w:sz w:val="24"/>
                <w:szCs w:val="24"/>
                <w:highlight w:val="none"/>
                <w:lang w:eastAsia="zh-CN"/>
              </w:rPr>
              <w:t>四川新宇盛项目管理集团有限公司</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开 户 行：中国民生银行成都锦江支行</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银行账号：151474056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tcBorders>
              <w:top w:val="single" w:color="auto" w:sz="4" w:space="0"/>
            </w:tcBorders>
            <w:vAlign w:val="center"/>
          </w:tcPr>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19</w:t>
            </w:r>
          </w:p>
        </w:tc>
        <w:tc>
          <w:tcPr>
            <w:tcW w:w="1945" w:type="dxa"/>
            <w:tcBorders>
              <w:top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供应商询问</w:t>
            </w:r>
          </w:p>
        </w:tc>
        <w:tc>
          <w:tcPr>
            <w:tcW w:w="7115" w:type="dxa"/>
            <w:tcBorders>
              <w:top w:val="single" w:color="auto" w:sz="4" w:space="0"/>
            </w:tcBorders>
            <w:vAlign w:val="center"/>
          </w:tcPr>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根据委托代理协议约定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供应商询问由</w:t>
            </w:r>
            <w:r>
              <w:rPr>
                <w:rFonts w:hint="eastAsia" w:ascii="宋体" w:hAnsi="宋体" w:eastAsia="宋体" w:cs="宋体"/>
                <w:sz w:val="24"/>
                <w:szCs w:val="24"/>
                <w:highlight w:val="none"/>
                <w:lang w:val="zh-CN"/>
              </w:rPr>
              <w:t>四川新宇盛项目管理集团有限公司负责答复。</w:t>
            </w:r>
          </w:p>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联系人：殷先生</w:t>
            </w:r>
          </w:p>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028-86095158</w:t>
            </w:r>
          </w:p>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rPr>
              <w:t>地址：</w:t>
            </w:r>
            <w:r>
              <w:rPr>
                <w:rFonts w:hint="eastAsia" w:ascii="宋体" w:hAnsi="宋体" w:eastAsia="宋体" w:cs="宋体"/>
                <w:sz w:val="24"/>
                <w:szCs w:val="24"/>
                <w:highlight w:val="none"/>
                <w:lang w:eastAsia="zh-CN"/>
              </w:rPr>
              <w:t>成都市金牛区金科南路黑格中心C座3楼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tcBorders>
              <w:top w:val="single" w:color="auto" w:sz="4" w:space="0"/>
            </w:tcBorders>
            <w:vAlign w:val="center"/>
          </w:tcPr>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20</w:t>
            </w:r>
          </w:p>
        </w:tc>
        <w:tc>
          <w:tcPr>
            <w:tcW w:w="1945" w:type="dxa"/>
            <w:tcBorders>
              <w:top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供应商质疑</w:t>
            </w:r>
          </w:p>
        </w:tc>
        <w:tc>
          <w:tcPr>
            <w:tcW w:w="7115" w:type="dxa"/>
            <w:tcBorders>
              <w:top w:val="single" w:color="auto" w:sz="4" w:space="0"/>
            </w:tcBorders>
            <w:vAlign w:val="center"/>
          </w:tcPr>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根据委托代理协议约定，对于采购文件(招标文件技术条款和除中华人民共和国政府采购法第二十二条之外的其他资格条件、专业商务要求)的质疑由采购人负责答复；对于采购过程由采购代理机构负责答复；对于采购结果由采购代理机构负责答复。</w:t>
            </w:r>
          </w:p>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2.接收质疑函方式：供应商在法定时间内以书面形式现场、邮寄或快递提交质疑函（邮寄以</w:t>
            </w:r>
            <w:r>
              <w:rPr>
                <w:rFonts w:hint="eastAsia" w:ascii="宋体" w:hAnsi="宋体" w:eastAsia="宋体" w:cs="宋体"/>
                <w:sz w:val="24"/>
                <w:szCs w:val="24"/>
                <w:highlight w:val="none"/>
                <w:lang w:val="en-US" w:eastAsia="zh-CN"/>
              </w:rPr>
              <w:t>送达</w:t>
            </w:r>
            <w:r>
              <w:rPr>
                <w:rFonts w:hint="eastAsia" w:ascii="宋体" w:hAnsi="宋体" w:eastAsia="宋体" w:cs="宋体"/>
                <w:sz w:val="24"/>
                <w:szCs w:val="24"/>
                <w:highlight w:val="none"/>
                <w:lang w:val="zh-CN"/>
              </w:rPr>
              <w:t>日期为准，快递以受送达人在签收单上签收之日为准），逾期提交不予受理。</w:t>
            </w:r>
          </w:p>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招标代理机构联系人：殷先生</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lang w:val="en-US" w:eastAsia="zh-CN"/>
              </w:rPr>
              <w:t>028-86095158</w:t>
            </w:r>
          </w:p>
          <w:p>
            <w:pP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地址：</w:t>
            </w:r>
            <w:r>
              <w:rPr>
                <w:rFonts w:hint="eastAsia" w:ascii="宋体" w:hAnsi="宋体" w:eastAsia="宋体" w:cs="宋体"/>
                <w:sz w:val="24"/>
                <w:szCs w:val="24"/>
                <w:highlight w:val="none"/>
                <w:lang w:val="zh-CN" w:eastAsia="zh-CN"/>
              </w:rPr>
              <w:t>成都市金牛区金科南路黑格中心C座3楼</w:t>
            </w:r>
          </w:p>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根据《中华人民共和国政府采购法》等法律法规规定，供应商质疑应当有明确的请求和必要的证明材料，须符合中华人民共和国财政部令第94号《政府采购质疑和投诉办法》规定。2.供应商应当在法定质疑期内一次性提出针对同一采购程序环节的质疑，否则不予受理。3.供应商质疑不得超出采购文件、采购过程、采购结果的范围，不得进行虚假、恶意质疑，不得以质疑为手段获取不当得利、实现非法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1</w:t>
            </w:r>
          </w:p>
        </w:tc>
        <w:tc>
          <w:tcPr>
            <w:tcW w:w="1945"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供应商投诉</w:t>
            </w:r>
          </w:p>
        </w:tc>
        <w:tc>
          <w:tcPr>
            <w:tcW w:w="7115" w:type="dxa"/>
            <w:vAlign w:val="center"/>
          </w:tcPr>
          <w:p>
            <w:pPr>
              <w:rPr>
                <w:rFonts w:hint="eastAsia" w:ascii="宋体" w:hAnsi="宋体" w:eastAsia="宋体" w:cs="宋体"/>
                <w:sz w:val="24"/>
                <w:szCs w:val="24"/>
                <w:highlight w:val="none"/>
                <w:lang w:val="zh-CN" w:eastAsia="zh-TW"/>
              </w:rPr>
            </w:pPr>
            <w:r>
              <w:rPr>
                <w:rFonts w:hint="eastAsia" w:ascii="宋体" w:hAnsi="宋体" w:eastAsia="宋体" w:cs="宋体"/>
                <w:sz w:val="24"/>
                <w:szCs w:val="24"/>
                <w:highlight w:val="none"/>
                <w:lang w:val="zh-CN" w:eastAsia="zh-TW"/>
              </w:rPr>
              <w:t>投诉受理单位：郫都区财政局；</w:t>
            </w:r>
          </w:p>
          <w:p>
            <w:pPr>
              <w:rPr>
                <w:rFonts w:hint="eastAsia" w:ascii="宋体" w:hAnsi="宋体" w:eastAsia="宋体" w:cs="宋体"/>
                <w:sz w:val="24"/>
                <w:szCs w:val="24"/>
                <w:highlight w:val="none"/>
                <w:lang w:val="zh-CN" w:eastAsia="zh-TW"/>
              </w:rPr>
            </w:pPr>
            <w:r>
              <w:rPr>
                <w:rFonts w:hint="eastAsia" w:ascii="宋体" w:hAnsi="宋体" w:eastAsia="宋体" w:cs="宋体"/>
                <w:sz w:val="24"/>
                <w:szCs w:val="24"/>
                <w:highlight w:val="none"/>
                <w:lang w:val="zh-CN" w:eastAsia="zh-TW"/>
              </w:rPr>
              <w:t>地址：郫都区望丛中路998号；</w:t>
            </w:r>
          </w:p>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TW"/>
              </w:rPr>
              <w:t>联系方式：028-87882979。</w:t>
            </w:r>
          </w:p>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p>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2</w:t>
            </w:r>
          </w:p>
        </w:tc>
        <w:tc>
          <w:tcPr>
            <w:tcW w:w="1945" w:type="dxa"/>
            <w:tcBorders>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公告备案</w:t>
            </w:r>
          </w:p>
        </w:tc>
        <w:tc>
          <w:tcPr>
            <w:tcW w:w="7115" w:type="dxa"/>
            <w:tcBorders>
              <w:left w:val="single" w:color="auto" w:sz="4" w:space="0"/>
            </w:tcBorders>
            <w:vAlign w:val="center"/>
          </w:tcPr>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政府采购合同签订之日起2个工作日内，政府采购合同将在四川政府采购网公告；政府采购合同签订之日起七个工作日内，政府采购合同将向本采购项目同级财政部门备案。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rPr>
            </w:pPr>
          </w:p>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3</w:t>
            </w:r>
          </w:p>
        </w:tc>
        <w:tc>
          <w:tcPr>
            <w:tcW w:w="1945" w:type="dxa"/>
            <w:tcBorders>
              <w:right w:val="single" w:color="auto" w:sz="4" w:space="0"/>
            </w:tcBorders>
            <w:vAlign w:val="center"/>
          </w:tcPr>
          <w:p>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TW" w:eastAsia="zh-TW"/>
              </w:rPr>
              <w:t>推进四川省政府采购供应商信用融资</w:t>
            </w:r>
          </w:p>
        </w:tc>
        <w:tc>
          <w:tcPr>
            <w:tcW w:w="7115" w:type="dxa"/>
            <w:tcBorders>
              <w:left w:val="single" w:color="auto" w:sz="4" w:space="0"/>
            </w:tcBorders>
            <w:vAlign w:val="center"/>
          </w:tcPr>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w:t>
            </w:r>
          </w:p>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申请政采贷具体相关流程请查看http：//202.61.88.41：9009/static/login/login.html。</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4</w:t>
            </w:r>
          </w:p>
        </w:tc>
        <w:tc>
          <w:tcPr>
            <w:tcW w:w="1945" w:type="dxa"/>
            <w:tcBorders>
              <w:right w:val="single" w:color="auto" w:sz="4" w:space="0"/>
            </w:tcBorders>
            <w:vAlign w:val="center"/>
          </w:tcPr>
          <w:p>
            <w:pPr>
              <w:jc w:val="center"/>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CN"/>
              </w:rPr>
              <w:t>招标代理服务费</w:t>
            </w:r>
          </w:p>
        </w:tc>
        <w:tc>
          <w:tcPr>
            <w:tcW w:w="7115" w:type="dxa"/>
            <w:tcBorders>
              <w:left w:val="single" w:color="auto" w:sz="4" w:space="0"/>
            </w:tcBorders>
            <w:vAlign w:val="center"/>
          </w:tcPr>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标段参照《国家计委关于印发&lt;招标代理服务收费管理暂行办法&gt;的通知》（计价格〔2002〕1980号）和《关于招标代理服务收费有关问题的通知》（发改办价格〔2003〕857号）文件规定的收费标准的40%*招标年数收取采购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25</w:t>
            </w:r>
          </w:p>
        </w:tc>
        <w:tc>
          <w:tcPr>
            <w:tcW w:w="1945" w:type="dxa"/>
            <w:tcBorders>
              <w:right w:val="single" w:color="auto" w:sz="4" w:space="0"/>
            </w:tcBorders>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本项目所属行业</w:t>
            </w:r>
          </w:p>
        </w:tc>
        <w:tc>
          <w:tcPr>
            <w:tcW w:w="7115" w:type="dxa"/>
            <w:tcBorders>
              <w:left w:val="single" w:color="auto" w:sz="4" w:space="0"/>
            </w:tcBorders>
            <w:vAlign w:val="center"/>
          </w:tcPr>
          <w:p>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691" w:type="dxa"/>
            <w:vAlign w:val="center"/>
          </w:tcPr>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6</w:t>
            </w:r>
          </w:p>
        </w:tc>
        <w:tc>
          <w:tcPr>
            <w:tcW w:w="1945" w:type="dxa"/>
            <w:tcBorders>
              <w:right w:val="single" w:color="auto" w:sz="4" w:space="0"/>
            </w:tcBorders>
            <w:vAlign w:val="center"/>
          </w:tcPr>
          <w:p>
            <w:pPr>
              <w:jc w:val="center"/>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CN"/>
              </w:rPr>
              <w:t>备注</w:t>
            </w:r>
          </w:p>
        </w:tc>
        <w:tc>
          <w:tcPr>
            <w:tcW w:w="7115" w:type="dxa"/>
            <w:tcBorders>
              <w:left w:val="single" w:color="auto" w:sz="4" w:space="0"/>
            </w:tcBorders>
            <w:vAlign w:val="center"/>
          </w:tcPr>
          <w:p>
            <w:pPr>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CN"/>
              </w:rPr>
              <w:t>若采购文件中同一事项表述与供应商须知附表内容不一致的，以供应商须知附表为准。</w:t>
            </w:r>
          </w:p>
        </w:tc>
      </w:tr>
    </w:tbl>
    <w:p>
      <w:pPr>
        <w:tabs>
          <w:tab w:val="left" w:pos="5142"/>
        </w:tabs>
        <w:jc w:val="center"/>
        <w:outlineLvl w:val="1"/>
        <w:rPr>
          <w:rFonts w:ascii="宋体" w:hAnsi="宋体" w:cs="宋体"/>
          <w:b/>
          <w:sz w:val="30"/>
          <w:szCs w:val="30"/>
          <w:highlight w:val="none"/>
        </w:rPr>
      </w:pPr>
      <w:bookmarkStart w:id="14" w:name="_Toc503862755"/>
      <w:r>
        <w:rPr>
          <w:rFonts w:hint="eastAsia" w:ascii="宋体" w:hAnsi="宋体" w:cs="宋体"/>
          <w:b/>
          <w:sz w:val="30"/>
          <w:szCs w:val="30"/>
          <w:highlight w:val="none"/>
        </w:rPr>
        <w:t>二、总  则</w:t>
      </w:r>
      <w:bookmarkEnd w:id="14"/>
    </w:p>
    <w:p>
      <w:pPr>
        <w:adjustRightInd w:val="0"/>
        <w:snapToGrid w:val="0"/>
        <w:spacing w:line="360" w:lineRule="auto"/>
        <w:ind w:firstLine="482" w:firstLineChars="200"/>
        <w:outlineLvl w:val="2"/>
        <w:rPr>
          <w:rFonts w:ascii="宋体" w:hAnsi="宋体" w:cs="宋体"/>
          <w:b/>
          <w:sz w:val="24"/>
          <w:highlight w:val="none"/>
        </w:rPr>
      </w:pPr>
      <w:bookmarkStart w:id="15" w:name="_Toc183682342"/>
      <w:bookmarkStart w:id="16" w:name="_Toc183582205"/>
      <w:bookmarkStart w:id="17" w:name="_Toc503862756"/>
      <w:bookmarkStart w:id="18" w:name="_Toc217446034"/>
      <w:r>
        <w:rPr>
          <w:rFonts w:hint="eastAsia" w:ascii="宋体" w:hAnsi="宋体" w:cs="宋体"/>
          <w:b/>
          <w:sz w:val="24"/>
          <w:highlight w:val="none"/>
        </w:rPr>
        <w:t>1</w:t>
      </w:r>
      <w:bookmarkEnd w:id="15"/>
      <w:bookmarkEnd w:id="16"/>
      <w:r>
        <w:rPr>
          <w:rFonts w:hint="eastAsia" w:ascii="宋体" w:hAnsi="宋体" w:cs="宋体"/>
          <w:b/>
          <w:sz w:val="24"/>
          <w:highlight w:val="none"/>
        </w:rPr>
        <w:t>．适用范围</w:t>
      </w:r>
      <w:bookmarkEnd w:id="17"/>
      <w:bookmarkEnd w:id="18"/>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 本招标文件仅适用于本次招标采购项目。</w:t>
      </w:r>
    </w:p>
    <w:p>
      <w:pPr>
        <w:adjustRightInd w:val="0"/>
        <w:snapToGrid w:val="0"/>
        <w:spacing w:line="360" w:lineRule="auto"/>
        <w:ind w:firstLine="482" w:firstLineChars="200"/>
        <w:outlineLvl w:val="2"/>
        <w:rPr>
          <w:rFonts w:ascii="宋体" w:hAnsi="宋体" w:cs="宋体"/>
          <w:b/>
          <w:sz w:val="24"/>
          <w:highlight w:val="none"/>
        </w:rPr>
      </w:pPr>
      <w:bookmarkStart w:id="19" w:name="_Toc183582206"/>
      <w:bookmarkStart w:id="20" w:name="_Toc183682343"/>
      <w:bookmarkStart w:id="21" w:name="_Toc217446035"/>
      <w:bookmarkStart w:id="22" w:name="_Toc503862757"/>
      <w:r>
        <w:rPr>
          <w:rFonts w:hint="eastAsia" w:ascii="宋体" w:hAnsi="宋体" w:cs="宋体"/>
          <w:b/>
          <w:sz w:val="24"/>
          <w:highlight w:val="none"/>
        </w:rPr>
        <w:t>2</w:t>
      </w:r>
      <w:bookmarkEnd w:id="19"/>
      <w:bookmarkEnd w:id="20"/>
      <w:r>
        <w:rPr>
          <w:rFonts w:hint="eastAsia" w:ascii="宋体" w:hAnsi="宋体" w:cs="宋体"/>
          <w:b/>
          <w:sz w:val="24"/>
          <w:highlight w:val="none"/>
        </w:rPr>
        <w:t>．有关定义</w:t>
      </w:r>
      <w:bookmarkEnd w:id="21"/>
      <w:bookmarkEnd w:id="22"/>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2.1 “采购人”系指依法进行政府采购的国家机关、事业单位、团体组织。本次招标的采购人是</w:t>
      </w:r>
      <w:r>
        <w:rPr>
          <w:rFonts w:hint="eastAsia" w:ascii="宋体" w:hAnsi="宋体" w:cs="宋体"/>
          <w:bCs/>
          <w:sz w:val="24"/>
          <w:highlight w:val="none"/>
          <w:u w:val="single"/>
          <w:lang w:eastAsia="zh-CN"/>
        </w:rPr>
        <w:t>成都市郫都区综合行政执法局</w:t>
      </w:r>
      <w:r>
        <w:rPr>
          <w:rFonts w:hint="eastAsia" w:ascii="宋体" w:hAnsi="宋体" w:cs="宋体"/>
          <w:bCs/>
          <w:sz w:val="24"/>
          <w:highlight w:val="none"/>
        </w:rPr>
        <w:t>。</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2.2 “采购代理机构”系指根据采购人的委托依法办理招标事宜的采购机构。本次招标的采购代理机构是</w:t>
      </w:r>
      <w:r>
        <w:rPr>
          <w:rFonts w:hint="eastAsia" w:ascii="宋体" w:hAnsi="宋体" w:cs="宋体"/>
          <w:bCs/>
          <w:sz w:val="24"/>
          <w:highlight w:val="none"/>
          <w:u w:val="single"/>
          <w:lang w:eastAsia="zh-CN"/>
        </w:rPr>
        <w:t>四川新宇盛项目管理集团有限公司</w:t>
      </w:r>
      <w:r>
        <w:rPr>
          <w:rFonts w:hint="eastAsia" w:ascii="宋体" w:hAnsi="宋体" w:cs="宋体"/>
          <w:bCs/>
          <w:sz w:val="24"/>
          <w:highlight w:val="none"/>
        </w:rPr>
        <w:t>。</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2.3 “招标采购单位”系指“采购人”和“采购代理机构”的统称。</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2.4 “投标人”系指购买了招标文件拟参加投标和向采购人提供相应服务的供应商。</w:t>
      </w:r>
    </w:p>
    <w:p>
      <w:pPr>
        <w:adjustRightInd w:val="0"/>
        <w:snapToGrid w:val="0"/>
        <w:spacing w:line="360" w:lineRule="auto"/>
        <w:ind w:firstLine="482" w:firstLineChars="200"/>
        <w:outlineLvl w:val="2"/>
        <w:rPr>
          <w:rFonts w:ascii="宋体" w:hAnsi="宋体" w:cs="宋体"/>
          <w:b/>
          <w:sz w:val="24"/>
          <w:highlight w:val="none"/>
        </w:rPr>
      </w:pPr>
      <w:bookmarkStart w:id="23" w:name="_Toc217446036"/>
      <w:bookmarkStart w:id="24" w:name="_Toc183582207"/>
      <w:bookmarkStart w:id="25" w:name="_Toc217390843"/>
      <w:bookmarkStart w:id="26" w:name="_Toc183682344"/>
      <w:bookmarkStart w:id="27" w:name="_Toc503862758"/>
      <w:r>
        <w:rPr>
          <w:rFonts w:hint="eastAsia" w:ascii="宋体" w:hAnsi="宋体" w:cs="宋体"/>
          <w:b/>
          <w:sz w:val="24"/>
          <w:highlight w:val="none"/>
        </w:rPr>
        <w:t>3．合格的投标人</w:t>
      </w:r>
      <w:bookmarkEnd w:id="23"/>
      <w:bookmarkEnd w:id="24"/>
      <w:bookmarkEnd w:id="25"/>
      <w:bookmarkEnd w:id="26"/>
      <w:r>
        <w:rPr>
          <w:rFonts w:hint="eastAsia" w:ascii="宋体" w:hAnsi="宋体" w:cs="宋体"/>
          <w:b/>
          <w:sz w:val="24"/>
          <w:highlight w:val="none"/>
        </w:rPr>
        <w:t>（实质性要求）</w:t>
      </w:r>
      <w:bookmarkEnd w:id="27"/>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合格的投标人应具备以下条件：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（1）本招标文件规定的供应商资格条件；</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（2）遵守国家有关的法律、法规、规章和其他政策制度；</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（3）向采购代理机构购买了招标文件。</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4</w:t>
      </w:r>
      <w:r>
        <w:rPr>
          <w:rFonts w:hint="eastAsia" w:ascii="宋体" w:hAnsi="宋体" w:cs="宋体"/>
          <w:bCs/>
          <w:sz w:val="24"/>
          <w:highlight w:val="none"/>
          <w:lang w:eastAsia="zh-CN"/>
        </w:rPr>
        <w:t>）</w:t>
      </w:r>
      <w:r>
        <w:rPr>
          <w:rFonts w:hint="eastAsia" w:ascii="宋体" w:hAnsi="宋体" w:cs="宋体"/>
          <w:bCs/>
          <w:sz w:val="24"/>
          <w:highlight w:val="none"/>
        </w:rPr>
        <w:t>【《关于在政府采购活动中查询及使用信用记录有关问题的通知》财库[2016]125号】信用记录查询渠道：“信用中国”网站(www.creditchina.gov.cn)、中国政府采购网(www.ccgp.gov.cn)。对在本项目开标截止时间前列入失信被执行人、重大税收违法案件当事人名单、政府采购严重违法失信行为记录名单及其他不符合《中华人民共和国政府采购法》第二十二条规定条件的供应商</w:t>
      </w:r>
      <w:r>
        <w:rPr>
          <w:rFonts w:hint="eastAsia" w:ascii="宋体" w:hAnsi="宋体" w:cs="宋体"/>
          <w:bCs/>
          <w:sz w:val="24"/>
          <w:highlight w:val="none"/>
          <w:lang w:eastAsia="zh-CN"/>
        </w:rPr>
        <w:t>，</w:t>
      </w:r>
      <w:r>
        <w:rPr>
          <w:rFonts w:hint="eastAsia" w:ascii="宋体" w:hAnsi="宋体" w:cs="宋体"/>
          <w:bCs/>
          <w:sz w:val="24"/>
          <w:highlight w:val="none"/>
        </w:rPr>
        <w:t>拒绝其参与政府采购活动（以联合体形式参加本项目采购活动</w:t>
      </w:r>
      <w:r>
        <w:rPr>
          <w:rFonts w:hint="eastAsia" w:ascii="宋体" w:hAnsi="宋体" w:cs="宋体"/>
          <w:bCs/>
          <w:sz w:val="24"/>
          <w:highlight w:val="none"/>
          <w:lang w:eastAsia="zh-CN"/>
        </w:rPr>
        <w:t>，</w:t>
      </w:r>
      <w:r>
        <w:rPr>
          <w:rFonts w:hint="eastAsia" w:ascii="宋体" w:hAnsi="宋体" w:cs="宋体"/>
          <w:bCs/>
          <w:sz w:val="24"/>
          <w:highlight w:val="none"/>
        </w:rPr>
        <w:t>联合体成员存在不良信用记录的</w:t>
      </w:r>
      <w:r>
        <w:rPr>
          <w:rFonts w:hint="eastAsia" w:ascii="宋体" w:hAnsi="宋体" w:cs="宋体"/>
          <w:bCs/>
          <w:sz w:val="24"/>
          <w:highlight w:val="none"/>
          <w:lang w:eastAsia="zh-CN"/>
        </w:rPr>
        <w:t>，</w:t>
      </w:r>
      <w:r>
        <w:rPr>
          <w:rFonts w:hint="eastAsia" w:ascii="宋体" w:hAnsi="宋体" w:cs="宋体"/>
          <w:bCs/>
          <w:sz w:val="24"/>
          <w:highlight w:val="none"/>
        </w:rPr>
        <w:t>视同联合体存在不良信用记录）。</w:t>
      </w:r>
    </w:p>
    <w:p>
      <w:pPr>
        <w:adjustRightInd w:val="0"/>
        <w:snapToGrid w:val="0"/>
        <w:spacing w:line="360" w:lineRule="auto"/>
        <w:ind w:firstLine="482" w:firstLineChars="200"/>
        <w:outlineLvl w:val="2"/>
        <w:rPr>
          <w:rFonts w:ascii="宋体" w:hAnsi="宋体" w:cs="宋体"/>
          <w:b/>
          <w:sz w:val="24"/>
          <w:highlight w:val="none"/>
        </w:rPr>
      </w:pPr>
      <w:bookmarkStart w:id="28" w:name="_Toc217446037"/>
      <w:bookmarkStart w:id="29" w:name="_Toc183582208"/>
      <w:bookmarkStart w:id="30" w:name="_Toc183682345"/>
      <w:bookmarkStart w:id="31" w:name="_Toc503862759"/>
      <w:r>
        <w:rPr>
          <w:rFonts w:hint="eastAsia" w:ascii="宋体" w:hAnsi="宋体" w:cs="宋体"/>
          <w:b/>
          <w:sz w:val="24"/>
          <w:highlight w:val="none"/>
        </w:rPr>
        <w:t>4．投标费用</w:t>
      </w:r>
      <w:bookmarkEnd w:id="28"/>
      <w:bookmarkEnd w:id="29"/>
      <w:bookmarkEnd w:id="30"/>
      <w:r>
        <w:rPr>
          <w:rFonts w:hint="eastAsia" w:ascii="宋体" w:hAnsi="宋体" w:cs="宋体"/>
          <w:b/>
          <w:sz w:val="24"/>
          <w:highlight w:val="none"/>
        </w:rPr>
        <w:t>（实质性要求）</w:t>
      </w:r>
      <w:bookmarkEnd w:id="31"/>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投标人参加投标的有关费用由投标人自行承担。</w:t>
      </w:r>
    </w:p>
    <w:p>
      <w:pPr>
        <w:adjustRightInd w:val="0"/>
        <w:snapToGrid w:val="0"/>
        <w:spacing w:line="360" w:lineRule="auto"/>
        <w:ind w:firstLine="482" w:firstLineChars="200"/>
        <w:outlineLvl w:val="2"/>
        <w:rPr>
          <w:rFonts w:ascii="宋体" w:hAnsi="宋体" w:cs="宋体"/>
          <w:b/>
          <w:sz w:val="24"/>
          <w:highlight w:val="none"/>
        </w:rPr>
      </w:pPr>
      <w:bookmarkStart w:id="32" w:name="_Toc503862760"/>
      <w:r>
        <w:rPr>
          <w:rFonts w:hint="eastAsia" w:ascii="宋体" w:hAnsi="宋体" w:cs="宋体"/>
          <w:b/>
          <w:sz w:val="24"/>
          <w:highlight w:val="none"/>
        </w:rPr>
        <w:t>5．充分、公平竞争保障措施（实质性要求）</w:t>
      </w:r>
      <w:bookmarkEnd w:id="32"/>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cs="宋体"/>
          <w:bCs/>
          <w:sz w:val="24"/>
          <w:highlight w:val="none"/>
          <w:lang w:val="en-US" w:eastAsia="zh-CN"/>
        </w:rPr>
        <w:t>1</w:t>
      </w:r>
      <w:r>
        <w:rPr>
          <w:rFonts w:hint="eastAsia" w:ascii="宋体" w:hAnsi="宋体" w:cs="宋体"/>
          <w:bCs/>
          <w:sz w:val="24"/>
          <w:highlight w:val="none"/>
        </w:rPr>
        <w:t xml:space="preserve"> </w:t>
      </w:r>
      <w:r>
        <w:rPr>
          <w:rFonts w:hint="eastAsia" w:ascii="宋体" w:hAnsi="宋体" w:eastAsia="宋体" w:cs="宋体"/>
          <w:bCs/>
          <w:sz w:val="24"/>
          <w:highlight w:val="none"/>
        </w:rPr>
        <w:t>利害关系供应商处理。单位负责人为同一人或者存在直接控股、管理关系的不同供应商不得参加同一合同项下的政府采购活动。采购项目实行资格预审的</w:t>
      </w:r>
      <w:r>
        <w:rPr>
          <w:rFonts w:hint="eastAsia" w:ascii="宋体" w:hAnsi="宋体" w:cs="宋体"/>
          <w:bCs/>
          <w:sz w:val="24"/>
          <w:highlight w:val="none"/>
          <w:lang w:eastAsia="zh-CN"/>
        </w:rPr>
        <w:t>，</w:t>
      </w:r>
      <w:r>
        <w:rPr>
          <w:rFonts w:hint="eastAsia" w:ascii="宋体" w:hAnsi="宋体" w:eastAsia="宋体" w:cs="宋体"/>
          <w:bCs/>
          <w:sz w:val="24"/>
          <w:highlight w:val="none"/>
        </w:rPr>
        <w:t>单位负责人为同一人或者存在直接控股、管理关系的不同供应商可以参加资格预审</w:t>
      </w:r>
      <w:r>
        <w:rPr>
          <w:rFonts w:hint="eastAsia" w:ascii="宋体" w:hAnsi="宋体" w:cs="宋体"/>
          <w:bCs/>
          <w:sz w:val="24"/>
          <w:highlight w:val="none"/>
          <w:lang w:eastAsia="zh-CN"/>
        </w:rPr>
        <w:t>，</w:t>
      </w:r>
      <w:r>
        <w:rPr>
          <w:rFonts w:hint="eastAsia" w:ascii="宋体" w:hAnsi="宋体" w:eastAsia="宋体" w:cs="宋体"/>
          <w:bCs/>
          <w:sz w:val="24"/>
          <w:highlight w:val="none"/>
        </w:rPr>
        <w:t>但只能由供应商确定其中一家符合条件的供应商参加后续的政府采购活动</w:t>
      </w:r>
      <w:r>
        <w:rPr>
          <w:rFonts w:hint="eastAsia" w:ascii="宋体" w:hAnsi="宋体" w:cs="宋体"/>
          <w:bCs/>
          <w:sz w:val="24"/>
          <w:highlight w:val="none"/>
          <w:lang w:eastAsia="zh-CN"/>
        </w:rPr>
        <w:t>，</w:t>
      </w:r>
      <w:r>
        <w:rPr>
          <w:rFonts w:hint="eastAsia" w:ascii="宋体" w:hAnsi="宋体" w:eastAsia="宋体" w:cs="宋体"/>
          <w:bCs/>
          <w:sz w:val="24"/>
          <w:highlight w:val="none"/>
        </w:rPr>
        <w:t>否则</w:t>
      </w:r>
      <w:r>
        <w:rPr>
          <w:rFonts w:hint="eastAsia" w:ascii="宋体" w:hAnsi="宋体" w:cs="宋体"/>
          <w:bCs/>
          <w:sz w:val="24"/>
          <w:highlight w:val="none"/>
          <w:lang w:eastAsia="zh-CN"/>
        </w:rPr>
        <w:t>，</w:t>
      </w:r>
      <w:r>
        <w:rPr>
          <w:rFonts w:hint="eastAsia" w:ascii="宋体" w:hAnsi="宋体" w:eastAsia="宋体" w:cs="宋体"/>
          <w:bCs/>
          <w:sz w:val="24"/>
          <w:highlight w:val="none"/>
        </w:rPr>
        <w:t>其投标文件作为无效处理。</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cs="宋体"/>
          <w:bCs/>
          <w:sz w:val="24"/>
          <w:highlight w:val="none"/>
          <w:lang w:val="en-US" w:eastAsia="zh-CN"/>
        </w:rPr>
        <w:t>2</w:t>
      </w:r>
      <w:r>
        <w:rPr>
          <w:rFonts w:hint="eastAsia" w:ascii="宋体" w:hAnsi="宋体" w:cs="宋体"/>
          <w:bCs/>
          <w:sz w:val="24"/>
          <w:highlight w:val="none"/>
        </w:rPr>
        <w:t xml:space="preserve"> </w:t>
      </w:r>
      <w:r>
        <w:rPr>
          <w:rFonts w:hint="eastAsia" w:ascii="宋体" w:hAnsi="宋体" w:eastAsia="宋体" w:cs="宋体"/>
          <w:bCs/>
          <w:sz w:val="24"/>
          <w:highlight w:val="none"/>
        </w:rPr>
        <w:t>前期参与供应商处理。为采购项目提供整体设计、规范编制或者项目管理、监理、检测等服务的供应商</w:t>
      </w:r>
      <w:r>
        <w:rPr>
          <w:rFonts w:hint="eastAsia" w:ascii="宋体" w:hAnsi="宋体" w:cs="宋体"/>
          <w:bCs/>
          <w:sz w:val="24"/>
          <w:highlight w:val="none"/>
          <w:lang w:eastAsia="zh-CN"/>
        </w:rPr>
        <w:t>，</w:t>
      </w:r>
      <w:r>
        <w:rPr>
          <w:rFonts w:hint="eastAsia" w:ascii="宋体" w:hAnsi="宋体" w:eastAsia="宋体" w:cs="宋体"/>
          <w:bCs/>
          <w:sz w:val="24"/>
          <w:highlight w:val="none"/>
        </w:rPr>
        <w:t>不得再参加该采购项目的其他采购活动。供应商为采购人、采购代理机构在确定采购需求、编制采购文件过程中提供咨询论证</w:t>
      </w:r>
      <w:r>
        <w:rPr>
          <w:rFonts w:hint="eastAsia" w:ascii="宋体" w:hAnsi="宋体" w:cs="宋体"/>
          <w:bCs/>
          <w:sz w:val="24"/>
          <w:highlight w:val="none"/>
          <w:lang w:eastAsia="zh-CN"/>
        </w:rPr>
        <w:t>，</w:t>
      </w:r>
      <w:r>
        <w:rPr>
          <w:rFonts w:hint="eastAsia" w:ascii="宋体" w:hAnsi="宋体" w:eastAsia="宋体" w:cs="宋体"/>
          <w:bCs/>
          <w:sz w:val="24"/>
          <w:highlight w:val="none"/>
        </w:rPr>
        <w:t>其提供的咨询论证意见成为采购文件中规定的供应商资格条件、技术服务商务要求、评标因素和标准、政府采购合同等实质性内容条款的</w:t>
      </w:r>
      <w:r>
        <w:rPr>
          <w:rFonts w:hint="eastAsia" w:ascii="宋体" w:hAnsi="宋体" w:cs="宋体"/>
          <w:bCs/>
          <w:sz w:val="24"/>
          <w:highlight w:val="none"/>
          <w:lang w:eastAsia="zh-CN"/>
        </w:rPr>
        <w:t>，</w:t>
      </w:r>
      <w:r>
        <w:rPr>
          <w:rFonts w:hint="eastAsia" w:ascii="宋体" w:hAnsi="宋体" w:eastAsia="宋体" w:cs="宋体"/>
          <w:bCs/>
          <w:sz w:val="24"/>
          <w:highlight w:val="none"/>
        </w:rPr>
        <w:t>视同为采购项目提供规范编制。</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cs="宋体"/>
          <w:bCs/>
          <w:sz w:val="24"/>
          <w:highlight w:val="none"/>
          <w:lang w:val="en-US" w:eastAsia="zh-CN"/>
        </w:rPr>
        <w:t>3</w:t>
      </w:r>
      <w:r>
        <w:rPr>
          <w:rFonts w:hint="eastAsia" w:ascii="宋体" w:hAnsi="宋体" w:eastAsia="宋体" w:cs="宋体"/>
          <w:bCs/>
          <w:sz w:val="24"/>
          <w:highlight w:val="none"/>
        </w:rPr>
        <w:t xml:space="preserve"> 利害关系代理人处理。2家以上的供应商不得在同一合同项下的采购项目中</w:t>
      </w:r>
      <w:r>
        <w:rPr>
          <w:rFonts w:hint="eastAsia" w:ascii="宋体" w:hAnsi="宋体" w:cs="宋体"/>
          <w:bCs/>
          <w:sz w:val="24"/>
          <w:highlight w:val="none"/>
          <w:lang w:eastAsia="zh-CN"/>
        </w:rPr>
        <w:t>，</w:t>
      </w:r>
      <w:r>
        <w:rPr>
          <w:rFonts w:hint="eastAsia" w:ascii="宋体" w:hAnsi="宋体" w:eastAsia="宋体" w:cs="宋体"/>
          <w:bCs/>
          <w:sz w:val="24"/>
          <w:highlight w:val="none"/>
        </w:rPr>
        <w:t>同时委托同一个自然人、同一家庭的人员、同一单位的人员作为其代理人</w:t>
      </w:r>
      <w:r>
        <w:rPr>
          <w:rFonts w:hint="eastAsia" w:ascii="宋体" w:hAnsi="宋体" w:cs="宋体"/>
          <w:bCs/>
          <w:sz w:val="24"/>
          <w:highlight w:val="none"/>
          <w:lang w:eastAsia="zh-CN"/>
        </w:rPr>
        <w:t>，</w:t>
      </w:r>
      <w:r>
        <w:rPr>
          <w:rFonts w:hint="eastAsia" w:ascii="宋体" w:hAnsi="宋体" w:eastAsia="宋体" w:cs="宋体"/>
          <w:bCs/>
          <w:sz w:val="24"/>
          <w:highlight w:val="none"/>
        </w:rPr>
        <w:t>否则</w:t>
      </w:r>
      <w:r>
        <w:rPr>
          <w:rFonts w:hint="eastAsia" w:ascii="宋体" w:hAnsi="宋体" w:cs="宋体"/>
          <w:bCs/>
          <w:sz w:val="24"/>
          <w:highlight w:val="none"/>
          <w:lang w:eastAsia="zh-CN"/>
        </w:rPr>
        <w:t>，</w:t>
      </w:r>
      <w:r>
        <w:rPr>
          <w:rFonts w:hint="eastAsia" w:ascii="宋体" w:hAnsi="宋体" w:eastAsia="宋体" w:cs="宋体"/>
          <w:bCs/>
          <w:sz w:val="24"/>
          <w:highlight w:val="none"/>
        </w:rPr>
        <w:t>其投标文件作为无效处理。</w:t>
      </w:r>
    </w:p>
    <w:p>
      <w:pPr>
        <w:tabs>
          <w:tab w:val="left" w:pos="5142"/>
        </w:tabs>
        <w:jc w:val="center"/>
        <w:outlineLvl w:val="1"/>
        <w:rPr>
          <w:rFonts w:ascii="宋体" w:hAnsi="宋体" w:cs="宋体"/>
          <w:b/>
          <w:sz w:val="30"/>
          <w:szCs w:val="30"/>
          <w:highlight w:val="none"/>
        </w:rPr>
      </w:pPr>
      <w:bookmarkStart w:id="33" w:name="_Toc89075875"/>
      <w:bookmarkStart w:id="34" w:name="_Toc183682346"/>
      <w:bookmarkStart w:id="35" w:name="_Toc183582209"/>
      <w:bookmarkStart w:id="36" w:name="_Toc503862761"/>
      <w:bookmarkStart w:id="37" w:name="_Toc77400779"/>
      <w:bookmarkStart w:id="38" w:name="_Toc217446038"/>
      <w:r>
        <w:rPr>
          <w:rFonts w:hint="eastAsia" w:ascii="宋体" w:hAnsi="宋体" w:cs="宋体"/>
          <w:b/>
          <w:sz w:val="30"/>
          <w:szCs w:val="30"/>
          <w:highlight w:val="none"/>
        </w:rPr>
        <w:t>三、招标文件</w:t>
      </w:r>
      <w:bookmarkEnd w:id="33"/>
      <w:bookmarkEnd w:id="34"/>
      <w:bookmarkEnd w:id="35"/>
      <w:bookmarkEnd w:id="36"/>
      <w:bookmarkEnd w:id="37"/>
      <w:bookmarkEnd w:id="38"/>
    </w:p>
    <w:p>
      <w:pPr>
        <w:adjustRightInd w:val="0"/>
        <w:snapToGrid w:val="0"/>
        <w:spacing w:line="360" w:lineRule="auto"/>
        <w:ind w:firstLine="482" w:firstLineChars="200"/>
        <w:outlineLvl w:val="2"/>
        <w:rPr>
          <w:rFonts w:ascii="宋体" w:hAnsi="宋体" w:cs="宋体"/>
          <w:b/>
          <w:sz w:val="24"/>
          <w:highlight w:val="none"/>
        </w:rPr>
      </w:pPr>
      <w:bookmarkStart w:id="39" w:name="_Toc503862762"/>
      <w:bookmarkStart w:id="40" w:name="_Toc217446039"/>
      <w:bookmarkStart w:id="41" w:name="_Toc183582210"/>
      <w:bookmarkStart w:id="42" w:name="_Toc183682347"/>
      <w:r>
        <w:rPr>
          <w:rFonts w:hint="eastAsia" w:ascii="宋体" w:hAnsi="宋体" w:cs="宋体"/>
          <w:b/>
          <w:sz w:val="24"/>
          <w:highlight w:val="none"/>
        </w:rPr>
        <w:t>6．招标文件的构成</w:t>
      </w:r>
      <w:bookmarkEnd w:id="39"/>
      <w:bookmarkEnd w:id="40"/>
      <w:bookmarkEnd w:id="41"/>
      <w:bookmarkEnd w:id="42"/>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招标文件是供应商准备投标文件和参加投标的依据</w:t>
      </w:r>
      <w:r>
        <w:rPr>
          <w:rFonts w:hint="eastAsia" w:ascii="宋体" w:hAnsi="宋体" w:cs="宋体"/>
          <w:bCs/>
          <w:sz w:val="24"/>
          <w:highlight w:val="none"/>
          <w:lang w:eastAsia="zh-CN"/>
        </w:rPr>
        <w:t>，</w:t>
      </w:r>
      <w:r>
        <w:rPr>
          <w:rFonts w:hint="eastAsia" w:ascii="宋体" w:hAnsi="宋体" w:cs="宋体"/>
          <w:bCs/>
          <w:sz w:val="24"/>
          <w:highlight w:val="none"/>
        </w:rPr>
        <w:t>同时也是评标的重要依据</w:t>
      </w:r>
      <w:r>
        <w:rPr>
          <w:rFonts w:hint="eastAsia" w:ascii="宋体" w:hAnsi="宋体" w:cs="宋体"/>
          <w:bCs/>
          <w:sz w:val="24"/>
          <w:highlight w:val="none"/>
          <w:lang w:eastAsia="zh-CN"/>
        </w:rPr>
        <w:t>，</w:t>
      </w:r>
      <w:r>
        <w:rPr>
          <w:rFonts w:hint="eastAsia" w:ascii="宋体" w:hAnsi="宋体" w:cs="宋体"/>
          <w:bCs/>
          <w:sz w:val="24"/>
          <w:highlight w:val="none"/>
        </w:rPr>
        <w:t>具有准法律文件性质。招标文件用以阐明招标项目所需的资质、技术、服务及报价等要求、招标投标程序、有关规定和注意事项以及合同主要条款等。本招标文件包括以下内容：</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（一）投标邀请；</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（二）投标人须知；</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（三）投标文件格式；</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（四）投标人的资格、资质性及其他类似效力要求；</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（五）投标人应当提供的资格、资质性及其他类似效力要求的相关证明材料；</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（六）招标项目技术、服务、政府采购合同内容条款及其他商务要求；</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（七）评标办法；</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（八）政府采购合同（样例）。</w:t>
      </w:r>
    </w:p>
    <w:p>
      <w:pPr>
        <w:adjustRightInd w:val="0"/>
        <w:snapToGrid w:val="0"/>
        <w:spacing w:line="360" w:lineRule="auto"/>
        <w:ind w:firstLine="482" w:firstLineChars="200"/>
        <w:outlineLvl w:val="2"/>
        <w:rPr>
          <w:rFonts w:ascii="宋体" w:hAnsi="宋体" w:cs="宋体"/>
          <w:b/>
          <w:sz w:val="24"/>
          <w:highlight w:val="none"/>
        </w:rPr>
      </w:pPr>
      <w:bookmarkStart w:id="43" w:name="_Toc183682348"/>
      <w:bookmarkStart w:id="44" w:name="_Toc183582211"/>
      <w:bookmarkStart w:id="45" w:name="_Toc503862763"/>
      <w:bookmarkStart w:id="46" w:name="_Toc217446040"/>
      <w:r>
        <w:rPr>
          <w:rFonts w:hint="eastAsia" w:ascii="宋体" w:hAnsi="宋体" w:cs="宋体"/>
          <w:b/>
          <w:sz w:val="24"/>
          <w:highlight w:val="none"/>
        </w:rPr>
        <w:t>7．招标文件的澄清</w:t>
      </w:r>
      <w:bookmarkEnd w:id="43"/>
      <w:bookmarkEnd w:id="44"/>
      <w:r>
        <w:rPr>
          <w:rFonts w:hint="eastAsia" w:ascii="宋体" w:hAnsi="宋体" w:cs="宋体"/>
          <w:b/>
          <w:sz w:val="24"/>
          <w:highlight w:val="none"/>
        </w:rPr>
        <w:t>和修改</w:t>
      </w:r>
      <w:bookmarkEnd w:id="45"/>
      <w:bookmarkEnd w:id="46"/>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7.1</w:t>
      </w:r>
      <w:r>
        <w:rPr>
          <w:rFonts w:hint="eastAsia" w:ascii="宋体" w:hAnsi="宋体" w:cs="宋体"/>
          <w:bCs/>
          <w:sz w:val="24"/>
          <w:highlight w:val="none"/>
        </w:rPr>
        <w:t xml:space="preserve"> </w:t>
      </w:r>
      <w:r>
        <w:rPr>
          <w:rFonts w:hint="eastAsia" w:ascii="宋体" w:hAnsi="宋体" w:eastAsia="宋体" w:cs="宋体"/>
          <w:bCs/>
          <w:sz w:val="24"/>
          <w:highlight w:val="none"/>
        </w:rPr>
        <w:t>招标采购单位可以依法对招标文件进行澄清或者修改。</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7.2 招标采购单位对已发出的招标文件进行澄清或者修改</w:t>
      </w:r>
      <w:r>
        <w:rPr>
          <w:rFonts w:hint="eastAsia" w:ascii="宋体" w:hAnsi="宋体" w:cs="宋体"/>
          <w:bCs/>
          <w:sz w:val="24"/>
          <w:highlight w:val="none"/>
          <w:lang w:eastAsia="zh-CN"/>
        </w:rPr>
        <w:t>，</w:t>
      </w:r>
      <w:r>
        <w:rPr>
          <w:rFonts w:hint="eastAsia" w:ascii="宋体" w:hAnsi="宋体" w:eastAsia="宋体" w:cs="宋体"/>
          <w:bCs/>
          <w:sz w:val="24"/>
          <w:highlight w:val="none"/>
        </w:rPr>
        <w:t>应当以书面形式将澄清或者修改的内容通知所有购买了招标文件的供应商</w:t>
      </w:r>
      <w:r>
        <w:rPr>
          <w:rFonts w:hint="eastAsia" w:ascii="宋体" w:hAnsi="宋体" w:cs="宋体"/>
          <w:bCs/>
          <w:sz w:val="24"/>
          <w:highlight w:val="none"/>
          <w:lang w:eastAsia="zh-CN"/>
        </w:rPr>
        <w:t>，</w:t>
      </w:r>
      <w:r>
        <w:rPr>
          <w:rFonts w:hint="eastAsia" w:ascii="宋体" w:hAnsi="宋体" w:eastAsia="宋体" w:cs="宋体"/>
          <w:bCs/>
          <w:sz w:val="24"/>
          <w:highlight w:val="none"/>
        </w:rPr>
        <w:t>同时在四川政府采购网上发布更正公告。该澄清或者修改的内容为招标文件的组成部分</w:t>
      </w:r>
      <w:r>
        <w:rPr>
          <w:rFonts w:hint="eastAsia" w:ascii="宋体" w:hAnsi="宋体" w:cs="宋体"/>
          <w:bCs/>
          <w:sz w:val="24"/>
          <w:highlight w:val="none"/>
          <w:lang w:eastAsia="zh-CN"/>
        </w:rPr>
        <w:t>，</w:t>
      </w:r>
      <w:r>
        <w:rPr>
          <w:rFonts w:hint="eastAsia" w:ascii="宋体" w:hAnsi="宋体" w:eastAsia="宋体" w:cs="宋体"/>
          <w:bCs/>
          <w:sz w:val="24"/>
          <w:highlight w:val="none"/>
        </w:rPr>
        <w:t>澄清或者修改的内容可能影响投标文件、资格预审申请文件编制的</w:t>
      </w:r>
      <w:r>
        <w:rPr>
          <w:rFonts w:hint="eastAsia" w:ascii="宋体" w:hAnsi="宋体" w:cs="宋体"/>
          <w:bCs/>
          <w:sz w:val="24"/>
          <w:highlight w:val="none"/>
          <w:lang w:eastAsia="zh-CN"/>
        </w:rPr>
        <w:t>，</w:t>
      </w:r>
      <w:r>
        <w:rPr>
          <w:rFonts w:hint="eastAsia" w:ascii="宋体" w:hAnsi="宋体" w:eastAsia="宋体" w:cs="宋体"/>
          <w:bCs/>
          <w:sz w:val="24"/>
          <w:highlight w:val="none"/>
        </w:rPr>
        <w:t>采购人或者采购代理机构发布公告并书面通知供应商的时间</w:t>
      </w:r>
      <w:r>
        <w:rPr>
          <w:rFonts w:hint="eastAsia" w:ascii="宋体" w:hAnsi="宋体" w:cs="宋体"/>
          <w:bCs/>
          <w:sz w:val="24"/>
          <w:highlight w:val="none"/>
          <w:lang w:eastAsia="zh-CN"/>
        </w:rPr>
        <w:t>，</w:t>
      </w:r>
      <w:r>
        <w:rPr>
          <w:rFonts w:hint="eastAsia" w:ascii="宋体" w:hAnsi="宋体" w:eastAsia="宋体" w:cs="宋体"/>
          <w:bCs/>
          <w:sz w:val="24"/>
          <w:highlight w:val="none"/>
        </w:rPr>
        <w:t>应当在投标截止时间至少</w:t>
      </w: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rPr>
        <w:t>日前、提交资格预审申请文件截止时间至少</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日前；不足上述时间的</w:t>
      </w:r>
      <w:r>
        <w:rPr>
          <w:rFonts w:hint="eastAsia" w:ascii="宋体" w:hAnsi="宋体" w:cs="宋体"/>
          <w:bCs/>
          <w:sz w:val="24"/>
          <w:highlight w:val="none"/>
          <w:lang w:eastAsia="zh-CN"/>
        </w:rPr>
        <w:t>，</w:t>
      </w:r>
      <w:r>
        <w:rPr>
          <w:rFonts w:hint="eastAsia" w:ascii="宋体" w:hAnsi="宋体" w:eastAsia="宋体" w:cs="宋体"/>
          <w:bCs/>
          <w:sz w:val="24"/>
          <w:highlight w:val="none"/>
        </w:rPr>
        <w:t>应当顺延提交投标文件、资格预审申请文件的截止时间。</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7.3 投标人认为需要对招标文件进行澄清或者修改的</w:t>
      </w:r>
      <w:r>
        <w:rPr>
          <w:rFonts w:hint="eastAsia" w:ascii="宋体" w:hAnsi="宋体" w:cs="宋体"/>
          <w:bCs/>
          <w:sz w:val="24"/>
          <w:highlight w:val="none"/>
          <w:lang w:eastAsia="zh-CN"/>
        </w:rPr>
        <w:t>，</w:t>
      </w:r>
      <w:r>
        <w:rPr>
          <w:rFonts w:hint="eastAsia" w:ascii="宋体" w:hAnsi="宋体" w:eastAsia="宋体" w:cs="宋体"/>
          <w:bCs/>
          <w:sz w:val="24"/>
          <w:highlight w:val="none"/>
        </w:rPr>
        <w:t>可以以书面形式向招标采购单位构提出申请</w:t>
      </w:r>
      <w:r>
        <w:rPr>
          <w:rFonts w:hint="eastAsia" w:ascii="宋体" w:hAnsi="宋体" w:cs="宋体"/>
          <w:bCs/>
          <w:sz w:val="24"/>
          <w:highlight w:val="none"/>
          <w:lang w:eastAsia="zh-CN"/>
        </w:rPr>
        <w:t>，</w:t>
      </w:r>
      <w:r>
        <w:rPr>
          <w:rFonts w:hint="eastAsia" w:ascii="宋体" w:hAnsi="宋体" w:eastAsia="宋体" w:cs="宋体"/>
          <w:bCs/>
          <w:sz w:val="24"/>
          <w:highlight w:val="none"/>
        </w:rPr>
        <w:t>但招标采购单位可以决定是否采纳投标人的申请事项。</w:t>
      </w:r>
    </w:p>
    <w:p>
      <w:pPr>
        <w:adjustRightInd w:val="0"/>
        <w:snapToGrid w:val="0"/>
        <w:spacing w:line="360" w:lineRule="auto"/>
        <w:ind w:firstLine="482" w:firstLineChars="200"/>
        <w:outlineLvl w:val="2"/>
        <w:rPr>
          <w:rFonts w:ascii="宋体" w:hAnsi="宋体" w:cs="宋体"/>
          <w:b/>
          <w:sz w:val="24"/>
          <w:highlight w:val="none"/>
        </w:rPr>
      </w:pPr>
      <w:bookmarkStart w:id="47" w:name="_Toc217446041"/>
      <w:bookmarkStart w:id="48" w:name="_Toc503862764"/>
      <w:bookmarkStart w:id="49" w:name="_Toc208848971"/>
      <w:r>
        <w:rPr>
          <w:rFonts w:hint="eastAsia" w:ascii="宋体" w:hAnsi="宋体" w:cs="宋体"/>
          <w:b/>
          <w:sz w:val="24"/>
          <w:highlight w:val="none"/>
        </w:rPr>
        <w:t>8．答疑会和现场考察</w:t>
      </w:r>
      <w:bookmarkEnd w:id="47"/>
      <w:bookmarkEnd w:id="48"/>
      <w:bookmarkEnd w:id="49"/>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8.1 根据采购项目和具体情况</w:t>
      </w:r>
      <w:r>
        <w:rPr>
          <w:rFonts w:hint="eastAsia" w:ascii="宋体" w:hAnsi="宋体" w:cs="宋体"/>
          <w:bCs/>
          <w:sz w:val="24"/>
          <w:highlight w:val="none"/>
          <w:lang w:eastAsia="zh-CN"/>
        </w:rPr>
        <w:t>，</w:t>
      </w:r>
      <w:r>
        <w:rPr>
          <w:rFonts w:hint="eastAsia" w:ascii="宋体" w:hAnsi="宋体" w:cs="宋体"/>
          <w:bCs/>
          <w:sz w:val="24"/>
          <w:highlight w:val="none"/>
        </w:rPr>
        <w:t>招标采购单位认为有必要</w:t>
      </w:r>
      <w:r>
        <w:rPr>
          <w:rFonts w:hint="eastAsia" w:ascii="宋体" w:hAnsi="宋体" w:cs="宋体"/>
          <w:bCs/>
          <w:sz w:val="24"/>
          <w:highlight w:val="none"/>
          <w:lang w:eastAsia="zh-CN"/>
        </w:rPr>
        <w:t>，</w:t>
      </w:r>
      <w:r>
        <w:rPr>
          <w:rFonts w:hint="eastAsia" w:ascii="宋体" w:hAnsi="宋体" w:cs="宋体"/>
          <w:bCs/>
          <w:sz w:val="24"/>
          <w:highlight w:val="none"/>
        </w:rPr>
        <w:t>可以在招标文件提供期限截止后</w:t>
      </w:r>
      <w:r>
        <w:rPr>
          <w:rFonts w:hint="eastAsia" w:ascii="宋体" w:hAnsi="宋体" w:cs="宋体"/>
          <w:bCs/>
          <w:sz w:val="24"/>
          <w:highlight w:val="none"/>
          <w:lang w:eastAsia="zh-CN"/>
        </w:rPr>
        <w:t>，</w:t>
      </w:r>
      <w:r>
        <w:rPr>
          <w:rFonts w:hint="eastAsia" w:ascii="宋体" w:hAnsi="宋体" w:cs="宋体"/>
          <w:bCs/>
          <w:sz w:val="24"/>
          <w:highlight w:val="none"/>
        </w:rPr>
        <w:t>组织已获取招标文件的潜在投标人现场考察或者召开开标前答疑会。组织现场考察或者召开答疑会的</w:t>
      </w:r>
      <w:r>
        <w:rPr>
          <w:rFonts w:hint="eastAsia" w:ascii="宋体" w:hAnsi="宋体" w:cs="宋体"/>
          <w:bCs/>
          <w:sz w:val="24"/>
          <w:highlight w:val="none"/>
          <w:lang w:eastAsia="zh-CN"/>
        </w:rPr>
        <w:t>，</w:t>
      </w:r>
      <w:r>
        <w:rPr>
          <w:rFonts w:hint="eastAsia" w:ascii="宋体" w:hAnsi="宋体" w:cs="宋体"/>
          <w:bCs/>
          <w:sz w:val="24"/>
          <w:highlight w:val="none"/>
        </w:rPr>
        <w:t>应当以书面形式通知所有获取招标文件的潜在投标人。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8.2 供应商考察现场所发生的一切费用由供应商自己承担。</w:t>
      </w:r>
    </w:p>
    <w:p>
      <w:pPr>
        <w:tabs>
          <w:tab w:val="left" w:pos="5142"/>
        </w:tabs>
        <w:jc w:val="center"/>
        <w:outlineLvl w:val="1"/>
        <w:rPr>
          <w:rFonts w:ascii="宋体" w:hAnsi="宋体" w:cs="宋体"/>
          <w:b/>
          <w:sz w:val="30"/>
          <w:szCs w:val="30"/>
          <w:highlight w:val="none"/>
        </w:rPr>
      </w:pPr>
      <w:bookmarkStart w:id="50" w:name="_Toc89075876"/>
      <w:bookmarkStart w:id="51" w:name="_Toc503862765"/>
      <w:bookmarkStart w:id="52" w:name="_Toc183682351"/>
      <w:bookmarkStart w:id="53" w:name="_Toc183582214"/>
      <w:bookmarkStart w:id="54" w:name="_Toc77400780"/>
      <w:bookmarkStart w:id="55" w:name="_Toc217446042"/>
      <w:r>
        <w:rPr>
          <w:rFonts w:hint="eastAsia" w:ascii="宋体" w:hAnsi="宋体" w:cs="宋体"/>
          <w:b/>
          <w:sz w:val="30"/>
          <w:szCs w:val="30"/>
          <w:highlight w:val="none"/>
        </w:rPr>
        <w:t>四、投标文件</w:t>
      </w:r>
      <w:bookmarkEnd w:id="50"/>
      <w:bookmarkEnd w:id="51"/>
      <w:bookmarkEnd w:id="52"/>
      <w:bookmarkEnd w:id="53"/>
      <w:bookmarkEnd w:id="54"/>
      <w:bookmarkEnd w:id="55"/>
    </w:p>
    <w:p>
      <w:pPr>
        <w:adjustRightInd w:val="0"/>
        <w:snapToGrid w:val="0"/>
        <w:spacing w:line="360" w:lineRule="auto"/>
        <w:ind w:firstLine="482" w:firstLineChars="200"/>
        <w:outlineLvl w:val="2"/>
        <w:rPr>
          <w:rFonts w:ascii="宋体" w:hAnsi="宋体" w:cs="宋体"/>
          <w:b/>
          <w:sz w:val="24"/>
          <w:highlight w:val="none"/>
        </w:rPr>
      </w:pPr>
      <w:bookmarkStart w:id="56" w:name="_Toc217446043"/>
      <w:bookmarkStart w:id="57" w:name="_Toc183582215"/>
      <w:bookmarkStart w:id="58" w:name="_Toc183682352"/>
      <w:bookmarkStart w:id="59" w:name="_Toc503862766"/>
      <w:r>
        <w:rPr>
          <w:rFonts w:hint="eastAsia" w:ascii="宋体" w:hAnsi="宋体" w:cs="宋体"/>
          <w:b/>
          <w:sz w:val="24"/>
          <w:highlight w:val="none"/>
        </w:rPr>
        <w:t>9．投标文件的语言</w:t>
      </w:r>
      <w:bookmarkEnd w:id="56"/>
      <w:bookmarkEnd w:id="57"/>
      <w:bookmarkEnd w:id="58"/>
      <w:r>
        <w:rPr>
          <w:rFonts w:hint="eastAsia" w:ascii="宋体" w:hAnsi="宋体" w:cs="宋体"/>
          <w:b/>
          <w:sz w:val="24"/>
          <w:highlight w:val="none"/>
        </w:rPr>
        <w:t>（实质性要求）</w:t>
      </w:r>
      <w:bookmarkEnd w:id="59"/>
    </w:p>
    <w:p>
      <w:pPr>
        <w:adjustRightInd w:val="0"/>
        <w:snapToGrid w:val="0"/>
        <w:spacing w:line="360" w:lineRule="auto"/>
        <w:ind w:firstLine="480" w:firstLineChars="200"/>
        <w:rPr>
          <w:rFonts w:hint="eastAsia" w:ascii="宋体" w:hAnsi="宋体" w:eastAsia="宋体" w:cs="宋体"/>
          <w:bCs/>
          <w:sz w:val="24"/>
          <w:highlight w:val="none"/>
        </w:rPr>
      </w:pPr>
      <w:bookmarkStart w:id="60" w:name="_Toc217446044"/>
      <w:bookmarkStart w:id="61" w:name="_Toc183582216"/>
      <w:bookmarkStart w:id="62" w:name="_Toc183682353"/>
      <w:r>
        <w:rPr>
          <w:rFonts w:hint="eastAsia" w:ascii="宋体" w:hAnsi="宋体" w:eastAsia="宋体" w:cs="宋体"/>
          <w:bCs/>
          <w:sz w:val="24"/>
          <w:highlight w:val="none"/>
        </w:rPr>
        <w:t>9.1 投标人提交的投标文件以及投标人与招标采购单位就有关投标的所有来往书面文件均须使用中文。投标文件中如附有外文资料</w:t>
      </w:r>
      <w:r>
        <w:rPr>
          <w:rFonts w:hint="eastAsia" w:ascii="宋体" w:hAnsi="宋体" w:cs="宋体"/>
          <w:bCs/>
          <w:sz w:val="24"/>
          <w:highlight w:val="none"/>
          <w:lang w:eastAsia="zh-CN"/>
        </w:rPr>
        <w:t>，</w:t>
      </w:r>
      <w:r>
        <w:rPr>
          <w:rFonts w:hint="eastAsia" w:ascii="宋体" w:hAnsi="宋体" w:eastAsia="宋体" w:cs="宋体"/>
          <w:bCs/>
          <w:sz w:val="24"/>
          <w:highlight w:val="none"/>
        </w:rPr>
        <w:t>必须逐一对应翻译成中文并加盖投标人公章后附在相关外文资料后面</w:t>
      </w:r>
      <w:r>
        <w:rPr>
          <w:rFonts w:hint="eastAsia" w:ascii="宋体" w:hAnsi="宋体" w:cs="宋体"/>
          <w:bCs/>
          <w:sz w:val="24"/>
          <w:highlight w:val="none"/>
          <w:lang w:eastAsia="zh-CN"/>
        </w:rPr>
        <w:t>，</w:t>
      </w:r>
      <w:r>
        <w:rPr>
          <w:rFonts w:hint="eastAsia" w:ascii="宋体" w:hAnsi="宋体" w:eastAsia="宋体" w:cs="宋体"/>
          <w:bCs/>
          <w:sz w:val="24"/>
          <w:highlight w:val="none"/>
        </w:rPr>
        <w:t>否则</w:t>
      </w:r>
      <w:r>
        <w:rPr>
          <w:rFonts w:hint="eastAsia" w:ascii="宋体" w:hAnsi="宋体" w:cs="宋体"/>
          <w:bCs/>
          <w:sz w:val="24"/>
          <w:highlight w:val="none"/>
          <w:lang w:eastAsia="zh-CN"/>
        </w:rPr>
        <w:t>，</w:t>
      </w:r>
      <w:r>
        <w:rPr>
          <w:rFonts w:hint="eastAsia" w:ascii="宋体" w:hAnsi="宋体" w:eastAsia="宋体" w:cs="宋体"/>
          <w:bCs/>
          <w:sz w:val="24"/>
          <w:highlight w:val="none"/>
        </w:rPr>
        <w:t>所提供的外文资料将可能被视为无效材料。（说明：供应商的法定代表人为外籍人士的</w:t>
      </w:r>
      <w:r>
        <w:rPr>
          <w:rFonts w:hint="eastAsia" w:ascii="宋体" w:hAnsi="宋体" w:cs="宋体"/>
          <w:bCs/>
          <w:sz w:val="24"/>
          <w:highlight w:val="none"/>
          <w:lang w:eastAsia="zh-CN"/>
        </w:rPr>
        <w:t>，</w:t>
      </w:r>
      <w:r>
        <w:rPr>
          <w:rFonts w:hint="eastAsia" w:ascii="宋体" w:hAnsi="宋体" w:eastAsia="宋体" w:cs="宋体"/>
          <w:bCs/>
          <w:sz w:val="24"/>
          <w:highlight w:val="none"/>
        </w:rPr>
        <w:t>法定代表人的签字和护照除外。）</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9.2 翻译的中文资料与外文资料如果出现差异和矛盾时</w:t>
      </w:r>
      <w:r>
        <w:rPr>
          <w:rFonts w:hint="eastAsia" w:ascii="宋体" w:hAnsi="宋体" w:cs="宋体"/>
          <w:bCs/>
          <w:sz w:val="24"/>
          <w:highlight w:val="none"/>
          <w:lang w:eastAsia="zh-CN"/>
        </w:rPr>
        <w:t>，</w:t>
      </w:r>
      <w:r>
        <w:rPr>
          <w:rFonts w:hint="eastAsia" w:ascii="宋体" w:hAnsi="宋体" w:eastAsia="宋体" w:cs="宋体"/>
          <w:bCs/>
          <w:sz w:val="24"/>
          <w:highlight w:val="none"/>
        </w:rPr>
        <w:t>以中文为准。涉嫌虚假响应的按照相关法律法规处理。</w:t>
      </w:r>
    </w:p>
    <w:p>
      <w:pPr>
        <w:adjustRightInd w:val="0"/>
        <w:snapToGrid w:val="0"/>
        <w:spacing w:line="360" w:lineRule="auto"/>
        <w:ind w:firstLine="482" w:firstLineChars="200"/>
        <w:outlineLvl w:val="2"/>
        <w:rPr>
          <w:rFonts w:ascii="宋体" w:hAnsi="宋体" w:cs="宋体"/>
          <w:b/>
          <w:sz w:val="24"/>
          <w:highlight w:val="none"/>
        </w:rPr>
      </w:pPr>
      <w:bookmarkStart w:id="63" w:name="_Toc503862767"/>
      <w:r>
        <w:rPr>
          <w:rFonts w:hint="eastAsia" w:ascii="宋体" w:hAnsi="宋体" w:cs="宋体"/>
          <w:b/>
          <w:sz w:val="24"/>
          <w:highlight w:val="none"/>
        </w:rPr>
        <w:t>10．计量单位</w:t>
      </w:r>
      <w:bookmarkEnd w:id="60"/>
      <w:bookmarkEnd w:id="61"/>
      <w:bookmarkEnd w:id="62"/>
      <w:r>
        <w:rPr>
          <w:rFonts w:hint="eastAsia" w:ascii="宋体" w:hAnsi="宋体" w:cs="宋体"/>
          <w:b/>
          <w:sz w:val="24"/>
          <w:highlight w:val="none"/>
        </w:rPr>
        <w:t>（实质性要求）</w:t>
      </w:r>
      <w:bookmarkEnd w:id="63"/>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除招标文件中另有规定外</w:t>
      </w:r>
      <w:r>
        <w:rPr>
          <w:rFonts w:hint="eastAsia" w:ascii="宋体" w:hAnsi="宋体" w:cs="宋体"/>
          <w:bCs/>
          <w:sz w:val="24"/>
          <w:highlight w:val="none"/>
          <w:lang w:eastAsia="zh-CN"/>
        </w:rPr>
        <w:t>，</w:t>
      </w:r>
      <w:r>
        <w:rPr>
          <w:rFonts w:hint="eastAsia" w:ascii="宋体" w:hAnsi="宋体" w:eastAsia="宋体" w:cs="宋体"/>
          <w:bCs/>
          <w:sz w:val="24"/>
          <w:highlight w:val="none"/>
        </w:rPr>
        <w:t>本次采购项目所有合同项下的投标均采用国家法定的计量单位。</w:t>
      </w:r>
    </w:p>
    <w:p>
      <w:pPr>
        <w:adjustRightInd w:val="0"/>
        <w:snapToGrid w:val="0"/>
        <w:spacing w:line="360" w:lineRule="auto"/>
        <w:ind w:firstLine="482" w:firstLineChars="200"/>
        <w:outlineLvl w:val="2"/>
        <w:rPr>
          <w:rFonts w:ascii="宋体" w:hAnsi="宋体" w:cs="宋体"/>
          <w:b/>
          <w:sz w:val="24"/>
          <w:highlight w:val="none"/>
        </w:rPr>
      </w:pPr>
      <w:bookmarkStart w:id="64" w:name="_Toc217446045"/>
      <w:bookmarkStart w:id="65" w:name="_Toc503862768"/>
      <w:r>
        <w:rPr>
          <w:rFonts w:hint="eastAsia" w:ascii="宋体" w:hAnsi="宋体" w:cs="宋体"/>
          <w:b/>
          <w:sz w:val="24"/>
          <w:highlight w:val="none"/>
        </w:rPr>
        <w:t>11．投标货币</w:t>
      </w:r>
      <w:bookmarkEnd w:id="64"/>
      <w:r>
        <w:rPr>
          <w:rFonts w:hint="eastAsia" w:ascii="宋体" w:hAnsi="宋体" w:cs="宋体"/>
          <w:b/>
          <w:sz w:val="24"/>
          <w:highlight w:val="none"/>
        </w:rPr>
        <w:t>（实质性要求）</w:t>
      </w:r>
      <w:bookmarkEnd w:id="65"/>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本次招标项目的投标均以人民币报价。</w:t>
      </w:r>
    </w:p>
    <w:p>
      <w:pPr>
        <w:adjustRightInd w:val="0"/>
        <w:snapToGrid w:val="0"/>
        <w:spacing w:line="360" w:lineRule="auto"/>
        <w:ind w:firstLine="482" w:firstLineChars="200"/>
        <w:outlineLvl w:val="2"/>
        <w:rPr>
          <w:rFonts w:ascii="宋体" w:hAnsi="宋体" w:cs="宋体"/>
          <w:b/>
          <w:sz w:val="24"/>
          <w:highlight w:val="none"/>
        </w:rPr>
      </w:pPr>
      <w:bookmarkStart w:id="66" w:name="_Toc217446046"/>
      <w:bookmarkStart w:id="67" w:name="_Toc503862769"/>
      <w:r>
        <w:rPr>
          <w:rFonts w:hint="eastAsia" w:ascii="宋体" w:hAnsi="宋体" w:cs="宋体"/>
          <w:b/>
          <w:sz w:val="24"/>
          <w:highlight w:val="none"/>
        </w:rPr>
        <w:t>12．联合体投标</w:t>
      </w:r>
      <w:bookmarkEnd w:id="66"/>
      <w:bookmarkEnd w:id="67"/>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本项目不接受联合体招标</w:t>
      </w:r>
    </w:p>
    <w:p>
      <w:pPr>
        <w:adjustRightInd w:val="0"/>
        <w:snapToGrid w:val="0"/>
        <w:spacing w:line="360" w:lineRule="auto"/>
        <w:ind w:firstLine="482" w:firstLineChars="200"/>
        <w:outlineLvl w:val="2"/>
        <w:rPr>
          <w:rFonts w:ascii="宋体" w:hAnsi="宋体" w:cs="宋体"/>
          <w:b/>
          <w:sz w:val="24"/>
          <w:highlight w:val="none"/>
        </w:rPr>
      </w:pPr>
      <w:bookmarkStart w:id="68" w:name="_Toc308164797"/>
      <w:bookmarkStart w:id="69" w:name="_Toc217446047"/>
      <w:bookmarkStart w:id="70" w:name="_Toc503862770"/>
      <w:r>
        <w:rPr>
          <w:rFonts w:hint="eastAsia" w:ascii="宋体" w:hAnsi="宋体" w:cs="宋体"/>
          <w:b/>
          <w:sz w:val="24"/>
          <w:highlight w:val="none"/>
        </w:rPr>
        <w:t>13．知识产权</w:t>
      </w:r>
      <w:bookmarkEnd w:id="68"/>
      <w:bookmarkEnd w:id="69"/>
      <w:r>
        <w:rPr>
          <w:rFonts w:hint="eastAsia" w:ascii="宋体" w:hAnsi="宋体" w:cs="宋体"/>
          <w:b/>
          <w:sz w:val="24"/>
          <w:highlight w:val="none"/>
        </w:rPr>
        <w:t>（实质性要求）</w:t>
      </w:r>
      <w:bookmarkEnd w:id="70"/>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13.1 投标人应保证在本项目使用的任何产品和服务（包括部分使用）时</w:t>
      </w:r>
      <w:r>
        <w:rPr>
          <w:rFonts w:hint="eastAsia" w:ascii="宋体" w:hAnsi="宋体" w:cs="宋体"/>
          <w:bCs/>
          <w:sz w:val="24"/>
          <w:highlight w:val="none"/>
          <w:lang w:eastAsia="zh-CN"/>
        </w:rPr>
        <w:t>，</w:t>
      </w:r>
      <w:r>
        <w:rPr>
          <w:rFonts w:hint="eastAsia" w:ascii="宋体" w:hAnsi="宋体" w:cs="宋体"/>
          <w:bCs/>
          <w:sz w:val="24"/>
          <w:highlight w:val="none"/>
        </w:rPr>
        <w:t>不会产生因第三方提出侵犯其专利权、商标权或其它知识产权而引起的法律和经济纠纷</w:t>
      </w:r>
      <w:r>
        <w:rPr>
          <w:rFonts w:hint="eastAsia" w:ascii="宋体" w:hAnsi="宋体" w:cs="宋体"/>
          <w:bCs/>
          <w:sz w:val="24"/>
          <w:highlight w:val="none"/>
          <w:lang w:eastAsia="zh-CN"/>
        </w:rPr>
        <w:t>，</w:t>
      </w:r>
      <w:r>
        <w:rPr>
          <w:rFonts w:hint="eastAsia" w:ascii="宋体" w:hAnsi="宋体" w:cs="宋体"/>
          <w:bCs/>
          <w:sz w:val="24"/>
          <w:highlight w:val="none"/>
        </w:rPr>
        <w:t>如因专利权、商标权或其它知识产权而引起法律和经济纠纷</w:t>
      </w:r>
      <w:r>
        <w:rPr>
          <w:rFonts w:hint="eastAsia" w:ascii="宋体" w:hAnsi="宋体" w:cs="宋体"/>
          <w:bCs/>
          <w:sz w:val="24"/>
          <w:highlight w:val="none"/>
          <w:lang w:eastAsia="zh-CN"/>
        </w:rPr>
        <w:t>，</w:t>
      </w:r>
      <w:r>
        <w:rPr>
          <w:rFonts w:hint="eastAsia" w:ascii="宋体" w:hAnsi="宋体" w:cs="宋体"/>
          <w:bCs/>
          <w:sz w:val="24"/>
          <w:highlight w:val="none"/>
        </w:rPr>
        <w:t>由投标人承担所有相关责任。</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13.2 采购人享有本项目实施过程中产生的知识成果及知识产权。</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13.3 投标人如欲在项目实施过程中采用自有知识成果</w:t>
      </w:r>
      <w:r>
        <w:rPr>
          <w:rFonts w:hint="eastAsia" w:ascii="宋体" w:hAnsi="宋体" w:cs="宋体"/>
          <w:bCs/>
          <w:sz w:val="24"/>
          <w:highlight w:val="none"/>
          <w:lang w:eastAsia="zh-CN"/>
        </w:rPr>
        <w:t>，</w:t>
      </w:r>
      <w:r>
        <w:rPr>
          <w:rFonts w:hint="eastAsia" w:ascii="宋体" w:hAnsi="宋体" w:cs="宋体"/>
          <w:bCs/>
          <w:sz w:val="24"/>
          <w:highlight w:val="none"/>
        </w:rPr>
        <w:t>需在投标文件中声明</w:t>
      </w:r>
      <w:r>
        <w:rPr>
          <w:rFonts w:hint="eastAsia" w:ascii="宋体" w:hAnsi="宋体" w:cs="宋体"/>
          <w:bCs/>
          <w:sz w:val="24"/>
          <w:highlight w:val="none"/>
          <w:lang w:eastAsia="zh-CN"/>
        </w:rPr>
        <w:t>，</w:t>
      </w:r>
      <w:r>
        <w:rPr>
          <w:rFonts w:hint="eastAsia" w:ascii="宋体" w:hAnsi="宋体" w:cs="宋体"/>
          <w:bCs/>
          <w:sz w:val="24"/>
          <w:highlight w:val="none"/>
        </w:rPr>
        <w:t>并提供相关知识产权证明文件。使用该知识成果后</w:t>
      </w:r>
      <w:r>
        <w:rPr>
          <w:rFonts w:hint="eastAsia" w:ascii="宋体" w:hAnsi="宋体" w:cs="宋体"/>
          <w:bCs/>
          <w:sz w:val="24"/>
          <w:highlight w:val="none"/>
          <w:lang w:eastAsia="zh-CN"/>
        </w:rPr>
        <w:t>，</w:t>
      </w:r>
      <w:r>
        <w:rPr>
          <w:rFonts w:hint="eastAsia" w:ascii="宋体" w:hAnsi="宋体" w:cs="宋体"/>
          <w:bCs/>
          <w:sz w:val="24"/>
          <w:highlight w:val="none"/>
        </w:rPr>
        <w:t>投标人需提供开发接口和开发手册等技术文档</w:t>
      </w:r>
      <w:r>
        <w:rPr>
          <w:rFonts w:hint="eastAsia" w:ascii="宋体" w:hAnsi="宋体" w:cs="宋体"/>
          <w:bCs/>
          <w:sz w:val="24"/>
          <w:highlight w:val="none"/>
          <w:lang w:eastAsia="zh-CN"/>
        </w:rPr>
        <w:t>，</w:t>
      </w:r>
      <w:r>
        <w:rPr>
          <w:rFonts w:hint="eastAsia" w:ascii="宋体" w:hAnsi="宋体" w:cs="宋体"/>
          <w:bCs/>
          <w:sz w:val="24"/>
          <w:highlight w:val="none"/>
        </w:rPr>
        <w:t>并承诺提供无限期技术支持</w:t>
      </w:r>
      <w:r>
        <w:rPr>
          <w:rFonts w:hint="eastAsia" w:ascii="宋体" w:hAnsi="宋体" w:cs="宋体"/>
          <w:bCs/>
          <w:sz w:val="24"/>
          <w:highlight w:val="none"/>
          <w:lang w:eastAsia="zh-CN"/>
        </w:rPr>
        <w:t>，</w:t>
      </w:r>
      <w:r>
        <w:rPr>
          <w:rFonts w:hint="eastAsia" w:ascii="宋体" w:hAnsi="宋体" w:cs="宋体"/>
          <w:bCs/>
          <w:sz w:val="24"/>
          <w:highlight w:val="none"/>
        </w:rPr>
        <w:t>采购人享有永久使用权（含采购人委托第三方在该项目后续开发的使用权）。</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13.4 如采用投标人所不拥有的知识产权</w:t>
      </w:r>
      <w:r>
        <w:rPr>
          <w:rFonts w:hint="eastAsia" w:ascii="宋体" w:hAnsi="宋体" w:cs="宋体"/>
          <w:bCs/>
          <w:sz w:val="24"/>
          <w:highlight w:val="none"/>
          <w:lang w:eastAsia="zh-CN"/>
        </w:rPr>
        <w:t>，</w:t>
      </w:r>
      <w:r>
        <w:rPr>
          <w:rFonts w:hint="eastAsia" w:ascii="宋体" w:hAnsi="宋体" w:cs="宋体"/>
          <w:bCs/>
          <w:sz w:val="24"/>
          <w:highlight w:val="none"/>
        </w:rPr>
        <w:t>则在投标报价中必须包括合法获取该知识产权的相关费用。</w:t>
      </w:r>
    </w:p>
    <w:p>
      <w:pPr>
        <w:adjustRightInd w:val="0"/>
        <w:snapToGrid w:val="0"/>
        <w:spacing w:line="360" w:lineRule="auto"/>
        <w:ind w:firstLine="482" w:firstLineChars="200"/>
        <w:outlineLvl w:val="2"/>
        <w:rPr>
          <w:rFonts w:ascii="宋体" w:hAnsi="宋体" w:cs="宋体"/>
          <w:b/>
          <w:sz w:val="24"/>
          <w:highlight w:val="none"/>
        </w:rPr>
      </w:pPr>
      <w:bookmarkStart w:id="71" w:name="_Toc183582217"/>
      <w:bookmarkStart w:id="72" w:name="_Toc308164798"/>
      <w:bookmarkStart w:id="73" w:name="_Toc217446048"/>
      <w:bookmarkStart w:id="74" w:name="_Toc183682354"/>
      <w:bookmarkStart w:id="75" w:name="_Toc503862771"/>
      <w:r>
        <w:rPr>
          <w:rFonts w:hint="eastAsia" w:ascii="宋体" w:hAnsi="宋体" w:cs="宋体"/>
          <w:b/>
          <w:sz w:val="24"/>
          <w:highlight w:val="none"/>
        </w:rPr>
        <w:t>14．投标文件的组成</w:t>
      </w:r>
      <w:bookmarkEnd w:id="71"/>
      <w:bookmarkEnd w:id="72"/>
      <w:bookmarkEnd w:id="73"/>
      <w:bookmarkEnd w:id="74"/>
      <w:bookmarkEnd w:id="75"/>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投标人应按照招标文件的规定和要求编制投标文件。投标人编写的投标文件应至少包括下列两部分文件：</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文件一：资格性投标文件（用于资格审查）</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严格按照第四、五章要求提供相关资格、资质性及其他类似效力要求的相关证明材料。</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文件二：其它响应性投标文件（用于资格审查以外的评标）</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严格按照招标文件要求提供以下五个方面的相关材料：</w:t>
      </w:r>
    </w:p>
    <w:p>
      <w:pPr>
        <w:adjustRightInd w:val="0"/>
        <w:snapToGrid w:val="0"/>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14.1 报价部分。</w:t>
      </w:r>
      <w:r>
        <w:rPr>
          <w:rFonts w:hint="eastAsia" w:ascii="宋体" w:hAnsi="宋体" w:cs="宋体"/>
          <w:bCs/>
          <w:color w:val="auto"/>
          <w:sz w:val="24"/>
          <w:highlight w:val="none"/>
        </w:rPr>
        <w:t>投标人按照招标文件要求填写的“开标一览表”及“报价明细表”。本次招标报价要求：</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（1）投标人的报价是投标人响应招标项目要求的全部工作内容的价格体现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包括投标人完成本项目所需的一切费用（实质性要求）。</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w:t>
      </w:r>
      <w:r>
        <w:rPr>
          <w:rFonts w:hint="eastAsia" w:ascii="宋体" w:hAnsi="宋体" w:cs="宋体"/>
          <w:bCs/>
          <w:color w:val="auto"/>
          <w:sz w:val="24"/>
          <w:highlight w:val="none"/>
          <w:lang w:val="en-US" w:eastAsia="zh-CN"/>
        </w:rPr>
        <w:t>所提供的服务</w:t>
      </w:r>
      <w:r>
        <w:rPr>
          <w:rFonts w:hint="eastAsia" w:ascii="宋体" w:hAnsi="宋体" w:cs="宋体"/>
          <w:bCs/>
          <w:color w:val="auto"/>
          <w:sz w:val="24"/>
          <w:highlight w:val="none"/>
        </w:rPr>
        <w:t>只允许有一个报价</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并且在合同履行过程中是固定不变的</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任何有选择或可调整的报价将不予接受</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并按无效投标处理（实质性要求）。</w:t>
      </w:r>
    </w:p>
    <w:p>
      <w:pPr>
        <w:adjustRightInd w:val="0"/>
        <w:snapToGrid w:val="0"/>
        <w:spacing w:line="360" w:lineRule="auto"/>
        <w:ind w:firstLine="482" w:firstLineChars="200"/>
        <w:rPr>
          <w:rFonts w:ascii="宋体" w:hAnsi="宋体" w:cs="宋体"/>
          <w:bCs/>
          <w:color w:val="auto"/>
          <w:sz w:val="24"/>
          <w:highlight w:val="none"/>
        </w:rPr>
      </w:pPr>
      <w:bookmarkStart w:id="76" w:name="_Toc503862772"/>
      <w:r>
        <w:rPr>
          <w:rFonts w:hint="eastAsia" w:ascii="宋体" w:hAnsi="宋体" w:cs="宋体"/>
          <w:b/>
          <w:color w:val="auto"/>
          <w:sz w:val="24"/>
          <w:highlight w:val="none"/>
        </w:rPr>
        <w:t>14.2 技术部分（根据具体项目情况确定）</w:t>
      </w:r>
      <w:r>
        <w:rPr>
          <w:rFonts w:hint="eastAsia" w:ascii="宋体" w:hAnsi="宋体" w:cs="宋体"/>
          <w:bCs/>
          <w:color w:val="auto"/>
          <w:sz w:val="24"/>
          <w:highlight w:val="none"/>
        </w:rPr>
        <w:t>。投标人按照招标文件要求做出的技术应答</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主要是针对招标项目的技术指标、参数和技术要求做出的实质性响应和满足。投标人的技术应答包括下列内容：</w:t>
      </w:r>
      <w:bookmarkEnd w:id="76"/>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（1）服务要求应答表；</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（2）投标人本项目管理、技术、服务人员情况表；</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（3）技术方案、项目实施方案；</w:t>
      </w:r>
    </w:p>
    <w:p>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）投标人认为需要提供的文件和资料。</w:t>
      </w:r>
    </w:p>
    <w:p>
      <w:pPr>
        <w:adjustRightInd w:val="0"/>
        <w:snapToGrid w:val="0"/>
        <w:spacing w:line="360" w:lineRule="auto"/>
        <w:ind w:firstLine="482" w:firstLineChars="200"/>
        <w:rPr>
          <w:rFonts w:hint="eastAsia" w:ascii="宋体" w:hAnsi="宋体" w:eastAsia="宋体" w:cs="宋体"/>
          <w:bCs/>
          <w:color w:val="auto"/>
          <w:sz w:val="24"/>
          <w:highlight w:val="none"/>
        </w:rPr>
      </w:pPr>
      <w:bookmarkStart w:id="77" w:name="_Toc503862773"/>
      <w:r>
        <w:rPr>
          <w:rFonts w:hint="eastAsia" w:ascii="宋体" w:hAnsi="宋体" w:cs="宋体"/>
          <w:b/>
          <w:color w:val="auto"/>
          <w:sz w:val="24"/>
          <w:highlight w:val="none"/>
        </w:rPr>
        <w:t>14.3 商务部分（根据具体项目情况确定）。</w:t>
      </w:r>
      <w:r>
        <w:rPr>
          <w:rFonts w:hint="eastAsia" w:ascii="宋体" w:hAnsi="宋体" w:eastAsia="宋体" w:cs="宋体"/>
          <w:bCs/>
          <w:color w:val="auto"/>
          <w:sz w:val="24"/>
          <w:highlight w:val="none"/>
        </w:rPr>
        <w:t>投标人按照招标文件要求提供的有关文件及优惠承诺。包括以下内容：</w:t>
      </w:r>
      <w:bookmarkEnd w:id="77"/>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（1）投标函；</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（2）投标产品符合招标文件规定的资格、资质性及其他具有类似效力要求的相关证明材料；</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（3）投标人承诺给予招标采购单位的各种优惠条件（优惠条件事项不能包括采购项目本身所包括涉及的采购事项。投标人不能以“赠送、赠予”等任何名义提供货物和服务以规避招标文件的约束。否则</w:t>
      </w:r>
      <w:r>
        <w:rPr>
          <w:rFonts w:hint="eastAsia" w:ascii="宋体" w:hAnsi="宋体" w:cs="宋体"/>
          <w:bCs/>
          <w:sz w:val="24"/>
          <w:highlight w:val="none"/>
          <w:lang w:eastAsia="zh-CN"/>
        </w:rPr>
        <w:t>，</w:t>
      </w:r>
      <w:r>
        <w:rPr>
          <w:rFonts w:hint="eastAsia" w:ascii="宋体" w:hAnsi="宋体" w:eastAsia="宋体" w:cs="宋体"/>
          <w:bCs/>
          <w:sz w:val="24"/>
          <w:highlight w:val="none"/>
        </w:rPr>
        <w:t>投标人提供的投标文件将作为无效投标处理</w:t>
      </w:r>
      <w:r>
        <w:rPr>
          <w:rFonts w:hint="eastAsia" w:ascii="宋体" w:hAnsi="宋体" w:cs="宋体"/>
          <w:bCs/>
          <w:sz w:val="24"/>
          <w:highlight w:val="none"/>
          <w:lang w:eastAsia="zh-CN"/>
        </w:rPr>
        <w:t>，</w:t>
      </w:r>
      <w:r>
        <w:rPr>
          <w:rFonts w:hint="eastAsia" w:ascii="宋体" w:hAnsi="宋体" w:eastAsia="宋体" w:cs="宋体"/>
          <w:bCs/>
          <w:sz w:val="24"/>
          <w:highlight w:val="none"/>
        </w:rPr>
        <w:t>即使中标也将取消中标资格）（实质性要求）；</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（4）类似项目业绩一览表；</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（5）商务应答表；</w:t>
      </w:r>
    </w:p>
    <w:p>
      <w:pP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（6）其他投标人认为需要提供的文件和资料。</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14.</w:t>
      </w:r>
      <w:r>
        <w:rPr>
          <w:rFonts w:hint="eastAsia" w:ascii="宋体" w:hAnsi="宋体" w:cs="宋体"/>
          <w:b/>
          <w:sz w:val="24"/>
          <w:highlight w:val="none"/>
          <w:lang w:val="en-US" w:eastAsia="zh-CN"/>
        </w:rPr>
        <w:t>4</w:t>
      </w:r>
      <w:r>
        <w:rPr>
          <w:rFonts w:hint="eastAsia" w:ascii="宋体" w:hAnsi="宋体" w:cs="宋体"/>
          <w:bCs/>
          <w:sz w:val="24"/>
          <w:highlight w:val="none"/>
        </w:rPr>
        <w:t xml:space="preserve"> </w:t>
      </w:r>
      <w:r>
        <w:rPr>
          <w:rFonts w:hint="eastAsia" w:ascii="宋体" w:hAnsi="宋体" w:cs="宋体"/>
          <w:b/>
          <w:sz w:val="24"/>
          <w:highlight w:val="none"/>
        </w:rPr>
        <w:t>其他部分。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投标人按照招标文件要求作出的其他应答和承诺。</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文件三：唱标信封（实质性要求）</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单独用于开标唱标的“开标一览表”。</w:t>
      </w:r>
    </w:p>
    <w:p>
      <w:pPr>
        <w:adjustRightInd w:val="0"/>
        <w:snapToGrid w:val="0"/>
        <w:spacing w:line="360" w:lineRule="auto"/>
        <w:ind w:firstLine="482" w:firstLineChars="200"/>
        <w:outlineLvl w:val="2"/>
        <w:rPr>
          <w:rFonts w:ascii="宋体" w:hAnsi="宋体" w:cs="宋体"/>
          <w:b/>
          <w:sz w:val="24"/>
          <w:highlight w:val="none"/>
        </w:rPr>
      </w:pPr>
      <w:bookmarkStart w:id="78" w:name="_Toc308164799"/>
      <w:bookmarkStart w:id="79" w:name="_Toc217446049"/>
      <w:bookmarkStart w:id="80" w:name="_Toc183682355"/>
      <w:bookmarkStart w:id="81" w:name="_Toc183582218"/>
      <w:bookmarkStart w:id="82" w:name="_Toc503862775"/>
      <w:r>
        <w:rPr>
          <w:rFonts w:hint="eastAsia" w:ascii="宋体" w:hAnsi="宋体" w:cs="宋体"/>
          <w:b/>
          <w:sz w:val="24"/>
          <w:highlight w:val="none"/>
        </w:rPr>
        <w:t>15．投标文件格式</w:t>
      </w:r>
      <w:bookmarkEnd w:id="78"/>
      <w:bookmarkEnd w:id="79"/>
      <w:bookmarkEnd w:id="80"/>
      <w:bookmarkEnd w:id="81"/>
      <w:bookmarkEnd w:id="82"/>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15.1 投标人应执行招标文件第三章的规定要求。</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15.2 对于没有格式要求的投标文件由投标人自行编写。</w:t>
      </w:r>
    </w:p>
    <w:p>
      <w:pPr>
        <w:adjustRightInd w:val="0"/>
        <w:snapToGrid w:val="0"/>
        <w:spacing w:line="360" w:lineRule="auto"/>
        <w:ind w:firstLine="482" w:firstLineChars="200"/>
        <w:outlineLvl w:val="2"/>
        <w:rPr>
          <w:rFonts w:ascii="宋体" w:hAnsi="宋体" w:cs="宋体"/>
          <w:b/>
          <w:sz w:val="24"/>
          <w:highlight w:val="none"/>
        </w:rPr>
      </w:pPr>
      <w:bookmarkStart w:id="83" w:name="_Toc308164800"/>
      <w:bookmarkStart w:id="84" w:name="_Toc183682360"/>
      <w:bookmarkStart w:id="85" w:name="_Toc183582223"/>
      <w:bookmarkStart w:id="86" w:name="_Toc503862776"/>
      <w:bookmarkStart w:id="87" w:name="_Toc217446050"/>
      <w:r>
        <w:rPr>
          <w:rFonts w:hint="eastAsia" w:ascii="宋体" w:hAnsi="宋体" w:cs="宋体"/>
          <w:b/>
          <w:sz w:val="24"/>
          <w:highlight w:val="none"/>
        </w:rPr>
        <w:t>16．投标保证金</w:t>
      </w:r>
      <w:bookmarkEnd w:id="83"/>
      <w:bookmarkEnd w:id="84"/>
      <w:bookmarkEnd w:id="85"/>
      <w:bookmarkEnd w:id="86"/>
      <w:bookmarkEnd w:id="87"/>
    </w:p>
    <w:p>
      <w:pPr>
        <w:adjustRightInd w:val="0"/>
        <w:snapToGrid w:val="0"/>
        <w:spacing w:line="360" w:lineRule="auto"/>
        <w:ind w:firstLine="480" w:firstLineChars="200"/>
        <w:rPr>
          <w:rFonts w:ascii="宋体" w:hAnsi="宋体" w:cs="宋体"/>
          <w:bCs/>
          <w:sz w:val="24"/>
          <w:highlight w:val="none"/>
        </w:rPr>
      </w:pPr>
      <w:r>
        <w:rPr>
          <w:rFonts w:hint="eastAsia" w:ascii="宋体" w:hAnsi="宋体" w:eastAsia="宋体" w:cs="宋体"/>
          <w:sz w:val="24"/>
          <w:szCs w:val="24"/>
          <w:highlight w:val="none"/>
        </w:rPr>
        <w:t>本项目不收取投标保证金。</w:t>
      </w:r>
    </w:p>
    <w:p>
      <w:pPr>
        <w:adjustRightInd w:val="0"/>
        <w:snapToGrid w:val="0"/>
        <w:spacing w:line="360" w:lineRule="auto"/>
        <w:ind w:firstLine="482" w:firstLineChars="200"/>
        <w:outlineLvl w:val="2"/>
        <w:rPr>
          <w:rFonts w:ascii="宋体" w:hAnsi="宋体" w:cs="宋体"/>
          <w:b/>
          <w:sz w:val="24"/>
          <w:highlight w:val="none"/>
        </w:rPr>
      </w:pPr>
      <w:bookmarkStart w:id="88" w:name="_Toc183682361"/>
      <w:bookmarkStart w:id="89" w:name="_Toc308164801"/>
      <w:bookmarkStart w:id="90" w:name="_Toc217446051"/>
      <w:bookmarkStart w:id="91" w:name="_Toc183582224"/>
      <w:bookmarkStart w:id="92" w:name="_Toc503862777"/>
      <w:r>
        <w:rPr>
          <w:rFonts w:hint="eastAsia" w:ascii="宋体" w:hAnsi="宋体" w:cs="宋体"/>
          <w:b/>
          <w:sz w:val="24"/>
          <w:highlight w:val="none"/>
        </w:rPr>
        <w:t>17．投标有效期</w:t>
      </w:r>
      <w:bookmarkEnd w:id="88"/>
      <w:bookmarkEnd w:id="89"/>
      <w:bookmarkEnd w:id="90"/>
      <w:bookmarkEnd w:id="91"/>
      <w:r>
        <w:rPr>
          <w:rFonts w:hint="eastAsia" w:ascii="宋体" w:hAnsi="宋体" w:cs="宋体"/>
          <w:b/>
          <w:sz w:val="24"/>
          <w:highlight w:val="none"/>
        </w:rPr>
        <w:t>（实质性要求）</w:t>
      </w:r>
      <w:bookmarkEnd w:id="92"/>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17.1 本项目投标有效期为投标截止时间届满后90天（投标有效期从提交投标文件的截至之日起算）。投标人投标文件中必须载明投标有效期</w:t>
      </w:r>
      <w:r>
        <w:rPr>
          <w:rFonts w:hint="eastAsia" w:ascii="宋体" w:hAnsi="宋体" w:cs="宋体"/>
          <w:bCs/>
          <w:sz w:val="24"/>
          <w:highlight w:val="none"/>
          <w:lang w:eastAsia="zh-CN"/>
        </w:rPr>
        <w:t>，</w:t>
      </w:r>
      <w:r>
        <w:rPr>
          <w:rFonts w:hint="eastAsia" w:ascii="宋体" w:hAnsi="宋体" w:cs="宋体"/>
          <w:bCs/>
          <w:sz w:val="24"/>
          <w:highlight w:val="none"/>
        </w:rPr>
        <w:t>投标文件中载明的投标有效期可以长于招标文件规定的期限</w:t>
      </w:r>
      <w:r>
        <w:rPr>
          <w:rFonts w:hint="eastAsia" w:ascii="宋体" w:hAnsi="宋体" w:cs="宋体"/>
          <w:bCs/>
          <w:sz w:val="24"/>
          <w:highlight w:val="none"/>
          <w:lang w:eastAsia="zh-CN"/>
        </w:rPr>
        <w:t>，</w:t>
      </w:r>
      <w:r>
        <w:rPr>
          <w:rFonts w:hint="eastAsia" w:ascii="宋体" w:hAnsi="宋体" w:cs="宋体"/>
          <w:bCs/>
          <w:sz w:val="24"/>
          <w:highlight w:val="none"/>
        </w:rPr>
        <w:t>但不得短于招标文件规定的期限。否则</w:t>
      </w:r>
      <w:r>
        <w:rPr>
          <w:rFonts w:hint="eastAsia" w:ascii="宋体" w:hAnsi="宋体" w:cs="宋体"/>
          <w:bCs/>
          <w:sz w:val="24"/>
          <w:highlight w:val="none"/>
          <w:lang w:eastAsia="zh-CN"/>
        </w:rPr>
        <w:t>，</w:t>
      </w:r>
      <w:r>
        <w:rPr>
          <w:rFonts w:hint="eastAsia" w:ascii="宋体" w:hAnsi="宋体" w:cs="宋体"/>
          <w:bCs/>
          <w:sz w:val="24"/>
          <w:highlight w:val="none"/>
        </w:rPr>
        <w:t>其投标文件将作为无效投标处理。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17.2 因不可抗力事件</w:t>
      </w:r>
      <w:r>
        <w:rPr>
          <w:rFonts w:hint="eastAsia" w:ascii="宋体" w:hAnsi="宋体" w:cs="宋体"/>
          <w:bCs/>
          <w:sz w:val="24"/>
          <w:highlight w:val="none"/>
          <w:lang w:eastAsia="zh-CN"/>
        </w:rPr>
        <w:t>，</w:t>
      </w:r>
      <w:r>
        <w:rPr>
          <w:rFonts w:hint="eastAsia" w:ascii="宋体" w:hAnsi="宋体" w:cs="宋体"/>
          <w:bCs/>
          <w:sz w:val="24"/>
          <w:highlight w:val="none"/>
        </w:rPr>
        <w:t>采购人可于投标有效期届满之前与投标人协商延长投标有效期。投标人拒绝延长投标有效期的</w:t>
      </w:r>
      <w:r>
        <w:rPr>
          <w:rFonts w:hint="eastAsia" w:ascii="宋体" w:hAnsi="宋体" w:cs="宋体"/>
          <w:bCs/>
          <w:sz w:val="24"/>
          <w:highlight w:val="none"/>
          <w:lang w:eastAsia="zh-CN"/>
        </w:rPr>
        <w:t>，</w:t>
      </w:r>
      <w:r>
        <w:rPr>
          <w:rFonts w:hint="eastAsia" w:ascii="宋体" w:hAnsi="宋体" w:cs="宋体"/>
          <w:bCs/>
          <w:sz w:val="24"/>
          <w:highlight w:val="none"/>
        </w:rPr>
        <w:t>不得再参与该项目后续采购活动</w:t>
      </w:r>
      <w:r>
        <w:rPr>
          <w:rFonts w:hint="eastAsia" w:ascii="宋体" w:hAnsi="宋体" w:cs="宋体"/>
          <w:bCs/>
          <w:sz w:val="24"/>
          <w:highlight w:val="none"/>
          <w:lang w:eastAsia="zh-CN"/>
        </w:rPr>
        <w:t>，</w:t>
      </w:r>
      <w:r>
        <w:rPr>
          <w:rFonts w:hint="eastAsia" w:ascii="宋体" w:hAnsi="宋体" w:cs="宋体"/>
          <w:bCs/>
          <w:sz w:val="24"/>
          <w:highlight w:val="none"/>
        </w:rPr>
        <w:t>但由此给投标人造成的损失</w:t>
      </w:r>
      <w:r>
        <w:rPr>
          <w:rFonts w:hint="eastAsia" w:ascii="宋体" w:hAnsi="宋体" w:cs="宋体"/>
          <w:bCs/>
          <w:sz w:val="24"/>
          <w:highlight w:val="none"/>
          <w:lang w:eastAsia="zh-CN"/>
        </w:rPr>
        <w:t>，</w:t>
      </w:r>
      <w:r>
        <w:rPr>
          <w:rFonts w:hint="eastAsia" w:ascii="宋体" w:hAnsi="宋体" w:cs="宋体"/>
          <w:bCs/>
          <w:sz w:val="24"/>
          <w:highlight w:val="none"/>
        </w:rPr>
        <w:t>采购人可以自主决定是否可以给予适当补偿。投标人同意延长投标有效期的</w:t>
      </w:r>
      <w:r>
        <w:rPr>
          <w:rFonts w:hint="eastAsia" w:ascii="宋体" w:hAnsi="宋体" w:cs="宋体"/>
          <w:bCs/>
          <w:sz w:val="24"/>
          <w:highlight w:val="none"/>
          <w:lang w:eastAsia="zh-CN"/>
        </w:rPr>
        <w:t>，</w:t>
      </w:r>
      <w:r>
        <w:rPr>
          <w:rFonts w:hint="eastAsia" w:ascii="宋体" w:hAnsi="宋体" w:cs="宋体"/>
          <w:bCs/>
          <w:sz w:val="24"/>
          <w:highlight w:val="none"/>
        </w:rPr>
        <w:t>不能修改投标文件。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17.3 因采购人采购需求作出必要调整</w:t>
      </w:r>
      <w:r>
        <w:rPr>
          <w:rFonts w:hint="eastAsia" w:ascii="宋体" w:hAnsi="宋体" w:cs="宋体"/>
          <w:bCs/>
          <w:sz w:val="24"/>
          <w:highlight w:val="none"/>
          <w:lang w:eastAsia="zh-CN"/>
        </w:rPr>
        <w:t>，</w:t>
      </w:r>
      <w:r>
        <w:rPr>
          <w:rFonts w:hint="eastAsia" w:ascii="宋体" w:hAnsi="宋体" w:cs="宋体"/>
          <w:bCs/>
          <w:sz w:val="24"/>
          <w:highlight w:val="none"/>
        </w:rPr>
        <w:t>采购人可于投标有效期届满之前与投标人协商延长投标有效期。投标人拒绝延长投标有效期的</w:t>
      </w:r>
      <w:r>
        <w:rPr>
          <w:rFonts w:hint="eastAsia" w:ascii="宋体" w:hAnsi="宋体" w:cs="宋体"/>
          <w:bCs/>
          <w:sz w:val="24"/>
          <w:highlight w:val="none"/>
          <w:lang w:eastAsia="zh-CN"/>
        </w:rPr>
        <w:t>，</w:t>
      </w:r>
      <w:r>
        <w:rPr>
          <w:rFonts w:hint="eastAsia" w:ascii="宋体" w:hAnsi="宋体" w:cs="宋体"/>
          <w:bCs/>
          <w:sz w:val="24"/>
          <w:highlight w:val="none"/>
        </w:rPr>
        <w:t>不得再参与该项目后续采购活动</w:t>
      </w:r>
      <w:r>
        <w:rPr>
          <w:rFonts w:hint="eastAsia" w:ascii="宋体" w:hAnsi="宋体" w:cs="宋体"/>
          <w:bCs/>
          <w:sz w:val="24"/>
          <w:highlight w:val="none"/>
          <w:lang w:eastAsia="zh-CN"/>
        </w:rPr>
        <w:t>，</w:t>
      </w:r>
      <w:r>
        <w:rPr>
          <w:rFonts w:hint="eastAsia" w:ascii="宋体" w:hAnsi="宋体" w:cs="宋体"/>
          <w:bCs/>
          <w:sz w:val="24"/>
          <w:highlight w:val="none"/>
        </w:rPr>
        <w:t>但由此给投标人造成的损失</w:t>
      </w:r>
      <w:r>
        <w:rPr>
          <w:rFonts w:hint="eastAsia" w:ascii="宋体" w:hAnsi="宋体" w:cs="宋体"/>
          <w:bCs/>
          <w:sz w:val="24"/>
          <w:highlight w:val="none"/>
          <w:lang w:eastAsia="zh-CN"/>
        </w:rPr>
        <w:t>，</w:t>
      </w:r>
      <w:r>
        <w:rPr>
          <w:rFonts w:hint="eastAsia" w:ascii="宋体" w:hAnsi="宋体" w:cs="宋体"/>
          <w:bCs/>
          <w:sz w:val="24"/>
          <w:highlight w:val="none"/>
        </w:rPr>
        <w:t>采购人应当予以赔偿或者合理补偿。投标人同意延长投标有效期的</w:t>
      </w:r>
      <w:r>
        <w:rPr>
          <w:rFonts w:hint="eastAsia" w:ascii="宋体" w:hAnsi="宋体" w:cs="宋体"/>
          <w:bCs/>
          <w:sz w:val="24"/>
          <w:highlight w:val="none"/>
          <w:lang w:eastAsia="zh-CN"/>
        </w:rPr>
        <w:t>，</w:t>
      </w:r>
      <w:r>
        <w:rPr>
          <w:rFonts w:hint="eastAsia" w:ascii="宋体" w:hAnsi="宋体" w:cs="宋体"/>
          <w:bCs/>
          <w:sz w:val="24"/>
          <w:highlight w:val="none"/>
        </w:rPr>
        <w:t>不能修改投标文件。</w:t>
      </w:r>
    </w:p>
    <w:p>
      <w:pPr>
        <w:adjustRightInd w:val="0"/>
        <w:snapToGrid w:val="0"/>
        <w:spacing w:line="360" w:lineRule="auto"/>
        <w:ind w:firstLine="482" w:firstLineChars="200"/>
        <w:outlineLvl w:val="2"/>
        <w:rPr>
          <w:rFonts w:ascii="宋体" w:hAnsi="宋体" w:cs="宋体"/>
          <w:b/>
          <w:color w:val="auto"/>
          <w:sz w:val="24"/>
          <w:highlight w:val="none"/>
        </w:rPr>
      </w:pPr>
      <w:bookmarkStart w:id="93" w:name="_Toc183682362"/>
      <w:bookmarkStart w:id="94" w:name="_Toc183582225"/>
      <w:bookmarkStart w:id="95" w:name="_Toc308164802"/>
      <w:bookmarkStart w:id="96" w:name="_Toc503862778"/>
      <w:bookmarkStart w:id="97" w:name="_Toc217446052"/>
      <w:r>
        <w:rPr>
          <w:rFonts w:hint="eastAsia" w:ascii="宋体" w:hAnsi="宋体" w:cs="宋体"/>
          <w:b/>
          <w:color w:val="auto"/>
          <w:sz w:val="24"/>
          <w:highlight w:val="none"/>
        </w:rPr>
        <w:t>18．投标文件的印制和签署</w:t>
      </w:r>
      <w:bookmarkEnd w:id="93"/>
      <w:bookmarkEnd w:id="94"/>
      <w:bookmarkEnd w:id="95"/>
      <w:bookmarkEnd w:id="96"/>
      <w:bookmarkEnd w:id="97"/>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18.1 投标文件分为</w:t>
      </w:r>
      <w:r>
        <w:rPr>
          <w:rFonts w:hint="eastAsia" w:ascii="宋体" w:hAnsi="宋体" w:cs="宋体"/>
          <w:b/>
          <w:color w:val="auto"/>
          <w:sz w:val="24"/>
          <w:highlight w:val="none"/>
        </w:rPr>
        <w:t>“资格性投标文件”</w:t>
      </w:r>
      <w:r>
        <w:rPr>
          <w:rFonts w:hint="eastAsia" w:ascii="宋体" w:hAnsi="宋体" w:cs="宋体"/>
          <w:bCs/>
          <w:color w:val="auto"/>
          <w:sz w:val="24"/>
          <w:highlight w:val="none"/>
        </w:rPr>
        <w:t>和</w:t>
      </w:r>
      <w:r>
        <w:rPr>
          <w:rFonts w:hint="eastAsia" w:ascii="宋体" w:hAnsi="宋体" w:cs="宋体"/>
          <w:b/>
          <w:color w:val="auto"/>
          <w:sz w:val="24"/>
          <w:highlight w:val="none"/>
        </w:rPr>
        <w:t>“其他响应性投标文件”“电子文档”</w:t>
      </w:r>
      <w:r>
        <w:rPr>
          <w:rFonts w:hint="eastAsia" w:ascii="宋体" w:hAnsi="宋体" w:cs="宋体"/>
          <w:bCs/>
          <w:color w:val="auto"/>
          <w:sz w:val="24"/>
          <w:highlight w:val="none"/>
        </w:rPr>
        <w:t>和</w:t>
      </w:r>
      <w:r>
        <w:rPr>
          <w:rFonts w:hint="eastAsia" w:ascii="宋体" w:hAnsi="宋体" w:cs="宋体"/>
          <w:b/>
          <w:color w:val="auto"/>
          <w:sz w:val="24"/>
          <w:highlight w:val="none"/>
        </w:rPr>
        <w:t>“唱标信封”</w:t>
      </w:r>
      <w:r>
        <w:rPr>
          <w:rFonts w:hint="eastAsia" w:ascii="宋体" w:hAnsi="宋体" w:cs="宋体"/>
          <w:bCs/>
          <w:color w:val="auto"/>
          <w:sz w:val="24"/>
          <w:highlight w:val="none"/>
        </w:rPr>
        <w:t>四部分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且</w:t>
      </w:r>
      <w:r>
        <w:rPr>
          <w:rFonts w:hint="eastAsia" w:ascii="宋体" w:hAnsi="宋体" w:cs="宋体"/>
          <w:b/>
          <w:color w:val="auto"/>
          <w:sz w:val="24"/>
          <w:highlight w:val="none"/>
        </w:rPr>
        <w:t>“资格性投标文件”</w:t>
      </w:r>
      <w:r>
        <w:rPr>
          <w:rFonts w:hint="eastAsia" w:ascii="宋体" w:hAnsi="宋体" w:cs="宋体"/>
          <w:bCs/>
          <w:color w:val="auto"/>
          <w:sz w:val="24"/>
          <w:highlight w:val="none"/>
        </w:rPr>
        <w:t>、</w:t>
      </w:r>
      <w:r>
        <w:rPr>
          <w:rFonts w:hint="eastAsia" w:ascii="宋体" w:hAnsi="宋体" w:cs="宋体"/>
          <w:b/>
          <w:color w:val="auto"/>
          <w:sz w:val="24"/>
          <w:highlight w:val="none"/>
        </w:rPr>
        <w:t>“其他响应性投标文件”</w:t>
      </w:r>
      <w:r>
        <w:rPr>
          <w:rFonts w:hint="eastAsia" w:ascii="宋体" w:hAnsi="宋体" w:cs="宋体"/>
          <w:bCs/>
          <w:color w:val="auto"/>
          <w:sz w:val="24"/>
          <w:highlight w:val="none"/>
        </w:rPr>
        <w:t>两部分应分册装订。（“资格性投标文件”用于采购人或采购代理机构对本项目的资格审查</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“其它响应性投标文件”用于评标委员会针对本项目资格审查以外的评审。）</w:t>
      </w:r>
    </w:p>
    <w:p>
      <w:pPr>
        <w:adjustRightInd w:val="0"/>
        <w:snapToGrid w:val="0"/>
        <w:spacing w:line="360" w:lineRule="auto"/>
        <w:ind w:firstLine="480" w:firstLineChars="200"/>
        <w:rPr>
          <w:rFonts w:ascii="宋体" w:hAnsi="宋体" w:cs="宋体"/>
          <w:bCs/>
          <w:color w:val="auto"/>
          <w:sz w:val="24"/>
          <w:highlight w:val="none"/>
        </w:rPr>
      </w:pPr>
      <w:bookmarkStart w:id="98" w:name="_Toc183582226"/>
      <w:bookmarkStart w:id="99" w:name="_Toc77400781"/>
      <w:bookmarkStart w:id="100" w:name="_Toc89075877"/>
      <w:bookmarkStart w:id="101" w:name="_Toc183682363"/>
      <w:bookmarkStart w:id="102" w:name="_Toc308164803"/>
      <w:bookmarkStart w:id="103" w:name="_Toc217446053"/>
      <w:bookmarkStart w:id="104" w:name="_Toc503862779"/>
      <w:r>
        <w:rPr>
          <w:rFonts w:hint="eastAsia" w:ascii="宋体" w:hAnsi="宋体" w:cs="宋体"/>
          <w:bCs/>
          <w:color w:val="auto"/>
          <w:sz w:val="24"/>
          <w:highlight w:val="none"/>
        </w:rPr>
        <w:t>18.2 资格性投标文件正本1份</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副本2份</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并在其封面上清楚地标明资格性投标文件、项目名称、项目编号、包件号及名称（若有）、投标人名称以及“正本”或“副本”字样。若正本和副本有不一致的内容</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以正本书面投标文件为准。</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18.3 其他响应性投标文件正本1份</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副本2份</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并在其封面上清楚地标明其他响应性投标文件、项目名称、项目编号、包件号及名称（若有）、投标人名称以及“正本”或“副本”字样。若正本和副本有不一致的内容</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以正本书面投标文件为准。</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18.4 资格性投标文件和其他响应性投标文件电子文档1份（U盘制作</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电子文档格式为PDF和Word【doc或docx格式】各一份）</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并清楚地标明电子文档、项目名称、项目编号、包件号及名称（若有）、投标人名称。单独提供用于开标唱标的“开标一览表”原件1份</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并清楚地标明开标一览表、项目名称、项目编号、包件号及名称（若有）、投标人名称。</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18.5 “开标一览表”应编制于其他响应性投标文件正副本内</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如有遗漏</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将视为无效投标（实质性要求）。</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18.6 投标文件的正本和副本均需打印或用不褪色、不变质的墨水书写</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并由投标人的法定代表人/单位负责人或其授权代表在规定签章处签字或盖章。投标文件副本可采用正本的复印件。</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18.7 投标文件的打印和书写应清楚工整</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任何行间插字、涂改或增删</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必须由投标人的法定代表人/单位负责人或其授权代表签字或盖个人印鉴。</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18.8 投标文件正本和副本应当采取胶装方式装订成册</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不得散装或者活页装订。</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18.9 投标文件应根据招标文件的要求制作</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签署、盖章和内容应完整。投标文件统一用A4幅面纸印制</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逐页编码。本次招标要求的复印件是指对图文进行复制后的文件</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包括扫描、复印、影印等方式复制的材料。</w:t>
      </w:r>
    </w:p>
    <w:p>
      <w:pPr>
        <w:adjustRightInd w:val="0"/>
        <w:snapToGrid w:val="0"/>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19．投标文件的密封和标</w:t>
      </w:r>
      <w:bookmarkEnd w:id="98"/>
      <w:bookmarkEnd w:id="99"/>
      <w:bookmarkEnd w:id="100"/>
      <w:bookmarkEnd w:id="101"/>
      <w:r>
        <w:rPr>
          <w:rFonts w:hint="eastAsia" w:ascii="宋体" w:hAnsi="宋体" w:cs="宋体"/>
          <w:b/>
          <w:color w:val="auto"/>
          <w:sz w:val="24"/>
          <w:highlight w:val="none"/>
        </w:rPr>
        <w:t>注</w:t>
      </w:r>
      <w:bookmarkEnd w:id="102"/>
      <w:bookmarkEnd w:id="103"/>
      <w:bookmarkEnd w:id="104"/>
    </w:p>
    <w:p>
      <w:pPr>
        <w:adjustRightInd w:val="0"/>
        <w:snapToGrid w:val="0"/>
        <w:spacing w:line="360" w:lineRule="auto"/>
        <w:ind w:firstLine="480" w:firstLineChars="200"/>
        <w:rPr>
          <w:rFonts w:ascii="宋体" w:hAnsi="宋体" w:cs="宋体"/>
          <w:bCs/>
          <w:color w:val="auto"/>
          <w:sz w:val="24"/>
          <w:highlight w:val="none"/>
        </w:rPr>
      </w:pPr>
      <w:bookmarkStart w:id="105" w:name="_Toc183582227"/>
      <w:bookmarkStart w:id="106" w:name="_Toc183682364"/>
      <w:bookmarkStart w:id="107" w:name="_Toc217446054"/>
      <w:bookmarkStart w:id="108" w:name="_Toc308164804"/>
      <w:r>
        <w:rPr>
          <w:rFonts w:hint="eastAsia" w:ascii="宋体" w:hAnsi="宋体" w:cs="宋体"/>
          <w:bCs/>
          <w:color w:val="auto"/>
          <w:sz w:val="24"/>
          <w:highlight w:val="none"/>
        </w:rPr>
        <w:t>19.1 投标人应在投标文件正本和所有副本的封面上注明投标人名称、项目编号、项目名称及分包号（如有分包）。</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19.2 </w:t>
      </w:r>
      <w:r>
        <w:rPr>
          <w:rFonts w:hint="eastAsia" w:ascii="宋体" w:hAnsi="宋体" w:cs="宋体"/>
          <w:bCs/>
          <w:color w:val="auto"/>
          <w:sz w:val="24"/>
          <w:highlight w:val="none"/>
          <w:lang w:val="zh-CN"/>
        </w:rPr>
        <w:t>投标文件包括资格性投标文件、其他响应性投标文件、</w:t>
      </w:r>
      <w:r>
        <w:rPr>
          <w:rFonts w:hint="eastAsia" w:ascii="宋体" w:hAnsi="宋体" w:cs="宋体"/>
          <w:bCs/>
          <w:color w:val="auto"/>
          <w:sz w:val="24"/>
          <w:highlight w:val="none"/>
        </w:rPr>
        <w:t>电子文档和用于开标唱标单独提交的</w:t>
      </w:r>
      <w:r>
        <w:rPr>
          <w:rFonts w:hint="eastAsia" w:ascii="宋体" w:hAnsi="宋体" w:cs="宋体"/>
          <w:b/>
          <w:color w:val="auto"/>
          <w:sz w:val="24"/>
          <w:highlight w:val="none"/>
        </w:rPr>
        <w:t>“开标一览表”</w:t>
      </w:r>
      <w:r>
        <w:rPr>
          <w:rFonts w:hint="eastAsia" w:ascii="宋体" w:hAnsi="宋体" w:cs="宋体"/>
          <w:bCs/>
          <w:color w:val="auto"/>
          <w:sz w:val="24"/>
          <w:highlight w:val="none"/>
        </w:rPr>
        <w:t>应分别封装于不同的密封袋内</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密封袋上应分别标上</w:t>
      </w:r>
      <w:r>
        <w:rPr>
          <w:rFonts w:hint="eastAsia" w:ascii="宋体" w:hAnsi="宋体" w:cs="宋体"/>
          <w:b/>
          <w:color w:val="auto"/>
          <w:sz w:val="24"/>
          <w:highlight w:val="none"/>
        </w:rPr>
        <w:t>“资格性投标文件”、“其他响应性投标文件”、“电子文档” “唱标信封”</w:t>
      </w:r>
      <w:r>
        <w:rPr>
          <w:rFonts w:hint="eastAsia" w:ascii="宋体" w:hAnsi="宋体" w:cs="宋体"/>
          <w:bCs/>
          <w:color w:val="auto"/>
          <w:sz w:val="24"/>
          <w:highlight w:val="none"/>
        </w:rPr>
        <w:t>字样</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并注明投标人名称、项目编号、项目名称及分包号（如有分包）。</w:t>
      </w:r>
    </w:p>
    <w:p>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19.3 所有外层密封袋的封口处应粘贴牢固</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并加盖密封章（投标人公章）。</w:t>
      </w:r>
    </w:p>
    <w:p>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19.4 未进行密封和标注的</w:t>
      </w:r>
      <w:r>
        <w:rPr>
          <w:rFonts w:hint="eastAsia" w:ascii="宋体" w:hAnsi="宋体" w:cs="宋体"/>
          <w:bCs/>
          <w:color w:val="auto"/>
          <w:sz w:val="24"/>
          <w:highlight w:val="none"/>
          <w:lang w:val="zh-CN"/>
        </w:rPr>
        <w:t>投标文件</w:t>
      </w:r>
      <w:r>
        <w:rPr>
          <w:rFonts w:hint="eastAsia" w:ascii="宋体" w:hAnsi="宋体" w:cs="宋体"/>
          <w:bCs/>
          <w:color w:val="auto"/>
          <w:sz w:val="24"/>
          <w:highlight w:val="none"/>
        </w:rPr>
        <w:t>将被拒绝</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实质性要求</w:t>
      </w:r>
      <w:r>
        <w:rPr>
          <w:rFonts w:hint="eastAsia" w:ascii="宋体" w:hAnsi="宋体" w:cs="宋体"/>
          <w:b/>
          <w:bCs w:val="0"/>
          <w:color w:val="auto"/>
          <w:sz w:val="24"/>
          <w:highlight w:val="none"/>
          <w:lang w:eastAsia="zh-CN"/>
        </w:rPr>
        <w:t>）</w:t>
      </w:r>
      <w:r>
        <w:rPr>
          <w:rFonts w:hint="eastAsia" w:ascii="宋体" w:hAnsi="宋体" w:cs="宋体"/>
          <w:bCs/>
          <w:color w:val="auto"/>
          <w:sz w:val="24"/>
          <w:highlight w:val="none"/>
        </w:rPr>
        <w:t>。</w:t>
      </w:r>
      <w:bookmarkStart w:id="109" w:name="_Toc503862780"/>
    </w:p>
    <w:p>
      <w:pPr>
        <w:adjustRightInd w:val="0"/>
        <w:snapToGrid w:val="0"/>
        <w:spacing w:line="360" w:lineRule="auto"/>
        <w:ind w:firstLine="482" w:firstLineChars="200"/>
        <w:outlineLvl w:val="2"/>
        <w:rPr>
          <w:rFonts w:ascii="宋体" w:hAnsi="宋体" w:cs="宋体"/>
          <w:b/>
          <w:bCs w:val="0"/>
          <w:sz w:val="24"/>
          <w:highlight w:val="none"/>
        </w:rPr>
      </w:pPr>
      <w:r>
        <w:rPr>
          <w:rFonts w:hint="eastAsia" w:ascii="宋体" w:hAnsi="宋体" w:cs="宋体"/>
          <w:b/>
          <w:bCs w:val="0"/>
          <w:sz w:val="24"/>
          <w:highlight w:val="none"/>
        </w:rPr>
        <w:t>20．投标文件的</w:t>
      </w:r>
      <w:bookmarkEnd w:id="105"/>
      <w:bookmarkEnd w:id="106"/>
      <w:r>
        <w:rPr>
          <w:rFonts w:hint="eastAsia" w:ascii="宋体" w:hAnsi="宋体" w:cs="宋体"/>
          <w:b/>
          <w:bCs w:val="0"/>
          <w:sz w:val="24"/>
          <w:highlight w:val="none"/>
        </w:rPr>
        <w:t>递交</w:t>
      </w:r>
      <w:bookmarkEnd w:id="107"/>
      <w:bookmarkEnd w:id="108"/>
      <w:bookmarkEnd w:id="109"/>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20.1 投标人应在招标文件规定的投标截止时间前</w:t>
      </w:r>
      <w:r>
        <w:rPr>
          <w:rFonts w:hint="eastAsia" w:ascii="宋体" w:hAnsi="宋体" w:cs="宋体"/>
          <w:bCs/>
          <w:sz w:val="24"/>
          <w:highlight w:val="none"/>
          <w:lang w:eastAsia="zh-CN"/>
        </w:rPr>
        <w:t>，</w:t>
      </w:r>
      <w:r>
        <w:rPr>
          <w:rFonts w:hint="eastAsia" w:ascii="宋体" w:hAnsi="宋体" w:cs="宋体"/>
          <w:bCs/>
          <w:sz w:val="24"/>
          <w:highlight w:val="none"/>
        </w:rPr>
        <w:t>将投标文件按招标文件的规定密封后送达开标地点。投标截止时间以后送达的投标文件将不予接收</w:t>
      </w:r>
      <w:r>
        <w:rPr>
          <w:rFonts w:hint="eastAsia" w:ascii="宋体" w:hAnsi="宋体" w:cs="宋体"/>
          <w:bCs/>
          <w:sz w:val="24"/>
          <w:highlight w:val="none"/>
          <w:lang w:eastAsia="zh-CN"/>
        </w:rPr>
        <w:t>，</w:t>
      </w:r>
      <w:r>
        <w:rPr>
          <w:rFonts w:hint="eastAsia" w:ascii="宋体" w:hAnsi="宋体" w:cs="宋体"/>
          <w:bCs/>
          <w:sz w:val="24"/>
          <w:highlight w:val="none"/>
        </w:rPr>
        <w:t>招标采购单位将告知投标人不予接收的原因。</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20.2</w:t>
      </w:r>
      <w:r>
        <w:rPr>
          <w:rFonts w:hint="eastAsia" w:ascii="宋体" w:hAnsi="宋体" w:cs="宋体"/>
          <w:bCs/>
          <w:sz w:val="24"/>
          <w:highlight w:val="none"/>
          <w:lang w:val="en-US" w:eastAsia="zh-CN"/>
        </w:rPr>
        <w:t xml:space="preserve"> </w:t>
      </w:r>
      <w:r>
        <w:rPr>
          <w:rFonts w:hint="eastAsia" w:ascii="宋体" w:hAnsi="宋体" w:cs="宋体"/>
          <w:bCs/>
          <w:sz w:val="24"/>
          <w:highlight w:val="none"/>
        </w:rPr>
        <w:t>递交投标文件时</w:t>
      </w:r>
      <w:r>
        <w:rPr>
          <w:rFonts w:hint="eastAsia" w:ascii="宋体" w:hAnsi="宋体" w:cs="宋体"/>
          <w:bCs/>
          <w:sz w:val="24"/>
          <w:highlight w:val="none"/>
          <w:lang w:eastAsia="zh-CN"/>
        </w:rPr>
        <w:t>，</w:t>
      </w:r>
      <w:r>
        <w:rPr>
          <w:rFonts w:hint="eastAsia" w:ascii="宋体" w:hAnsi="宋体" w:cs="宋体"/>
          <w:bCs/>
          <w:sz w:val="24"/>
          <w:highlight w:val="none"/>
        </w:rPr>
        <w:t>报名供应商名称和招标文件的文号、分包号（如有分包）应当与投标供应商名称和招标文件的文号、分包号（如有分包）一致。但是</w:t>
      </w:r>
      <w:r>
        <w:rPr>
          <w:rFonts w:hint="eastAsia" w:ascii="宋体" w:hAnsi="宋体" w:cs="宋体"/>
          <w:bCs/>
          <w:sz w:val="24"/>
          <w:highlight w:val="none"/>
          <w:lang w:eastAsia="zh-CN"/>
        </w:rPr>
        <w:t>，</w:t>
      </w:r>
      <w:r>
        <w:rPr>
          <w:rFonts w:hint="eastAsia" w:ascii="宋体" w:hAnsi="宋体" w:cs="宋体"/>
          <w:bCs/>
          <w:sz w:val="24"/>
          <w:highlight w:val="none"/>
        </w:rPr>
        <w:t>投标文件实质内容报名供应商名称和招标文件的文号、分包号（如有分包）一致</w:t>
      </w:r>
      <w:r>
        <w:rPr>
          <w:rFonts w:hint="eastAsia" w:ascii="宋体" w:hAnsi="宋体" w:cs="宋体"/>
          <w:bCs/>
          <w:sz w:val="24"/>
          <w:highlight w:val="none"/>
          <w:lang w:eastAsia="zh-CN"/>
        </w:rPr>
        <w:t>，</w:t>
      </w:r>
      <w:r>
        <w:rPr>
          <w:rFonts w:hint="eastAsia" w:ascii="宋体" w:hAnsi="宋体" w:cs="宋体"/>
          <w:bCs/>
          <w:sz w:val="24"/>
          <w:highlight w:val="none"/>
        </w:rPr>
        <w:t>只是封面文字错误的</w:t>
      </w:r>
      <w:r>
        <w:rPr>
          <w:rFonts w:hint="eastAsia" w:ascii="宋体" w:hAnsi="宋体" w:cs="宋体"/>
          <w:bCs/>
          <w:sz w:val="24"/>
          <w:highlight w:val="none"/>
          <w:lang w:eastAsia="zh-CN"/>
        </w:rPr>
        <w:t>，</w:t>
      </w:r>
      <w:r>
        <w:rPr>
          <w:rFonts w:hint="eastAsia" w:ascii="宋体" w:hAnsi="宋体" w:cs="宋体"/>
          <w:bCs/>
          <w:sz w:val="24"/>
          <w:highlight w:val="none"/>
        </w:rPr>
        <w:t>可以在评标过程中当面予以澄清</w:t>
      </w:r>
      <w:r>
        <w:rPr>
          <w:rFonts w:hint="eastAsia" w:ascii="宋体" w:hAnsi="宋体" w:cs="宋体"/>
          <w:bCs/>
          <w:sz w:val="24"/>
          <w:highlight w:val="none"/>
          <w:lang w:eastAsia="zh-CN"/>
        </w:rPr>
        <w:t>，</w:t>
      </w:r>
      <w:r>
        <w:rPr>
          <w:rFonts w:hint="eastAsia" w:ascii="宋体" w:hAnsi="宋体" w:cs="宋体"/>
          <w:bCs/>
          <w:sz w:val="24"/>
          <w:highlight w:val="none"/>
        </w:rPr>
        <w:t>以有效的澄清材料作为认定投标文件是否有效的依据。</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20.3</w:t>
      </w:r>
      <w:r>
        <w:rPr>
          <w:rFonts w:hint="eastAsia" w:ascii="宋体" w:hAnsi="宋体" w:cs="宋体"/>
          <w:bCs/>
          <w:sz w:val="24"/>
          <w:highlight w:val="none"/>
          <w:lang w:val="en-US" w:eastAsia="zh-CN"/>
        </w:rPr>
        <w:t xml:space="preserve"> </w:t>
      </w:r>
      <w:r>
        <w:rPr>
          <w:rFonts w:hint="eastAsia" w:ascii="宋体" w:hAnsi="宋体" w:cs="宋体"/>
          <w:bCs/>
          <w:sz w:val="24"/>
          <w:highlight w:val="none"/>
        </w:rPr>
        <w:t>本次招标不接收邮寄的投标文件。</w:t>
      </w:r>
    </w:p>
    <w:p>
      <w:pPr>
        <w:adjustRightInd w:val="0"/>
        <w:snapToGrid w:val="0"/>
        <w:spacing w:line="360" w:lineRule="auto"/>
        <w:ind w:firstLine="482" w:firstLineChars="200"/>
        <w:outlineLvl w:val="2"/>
        <w:rPr>
          <w:rFonts w:ascii="宋体" w:hAnsi="宋体" w:cs="宋体"/>
          <w:b/>
          <w:sz w:val="24"/>
          <w:highlight w:val="none"/>
        </w:rPr>
      </w:pPr>
      <w:bookmarkStart w:id="110" w:name="_Toc183682365"/>
      <w:bookmarkStart w:id="111" w:name="_Toc183582228"/>
      <w:bookmarkStart w:id="112" w:name="_Toc217446055"/>
      <w:bookmarkStart w:id="113" w:name="_Toc503862781"/>
      <w:r>
        <w:rPr>
          <w:rFonts w:hint="eastAsia" w:ascii="宋体" w:hAnsi="宋体" w:cs="宋体"/>
          <w:b/>
          <w:sz w:val="24"/>
          <w:highlight w:val="none"/>
        </w:rPr>
        <w:t>21．投标文件的修改和撤</w:t>
      </w:r>
      <w:bookmarkEnd w:id="110"/>
      <w:bookmarkEnd w:id="111"/>
      <w:r>
        <w:rPr>
          <w:rFonts w:hint="eastAsia" w:ascii="宋体" w:hAnsi="宋体" w:cs="宋体"/>
          <w:b/>
          <w:sz w:val="24"/>
          <w:highlight w:val="none"/>
        </w:rPr>
        <w:t>回</w:t>
      </w:r>
      <w:bookmarkEnd w:id="112"/>
      <w:bookmarkEnd w:id="113"/>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21.1 投标人在递交了投标文件后</w:t>
      </w:r>
      <w:r>
        <w:rPr>
          <w:rFonts w:hint="eastAsia" w:ascii="宋体" w:hAnsi="宋体" w:cs="宋体"/>
          <w:bCs/>
          <w:sz w:val="24"/>
          <w:highlight w:val="none"/>
          <w:lang w:eastAsia="zh-CN"/>
        </w:rPr>
        <w:t>，</w:t>
      </w:r>
      <w:r>
        <w:rPr>
          <w:rFonts w:hint="eastAsia" w:ascii="宋体" w:hAnsi="宋体" w:cs="宋体"/>
          <w:bCs/>
          <w:sz w:val="24"/>
          <w:highlight w:val="none"/>
        </w:rPr>
        <w:t>可以修改或撤回其投标文件</w:t>
      </w:r>
      <w:r>
        <w:rPr>
          <w:rFonts w:hint="eastAsia" w:ascii="宋体" w:hAnsi="宋体" w:cs="宋体"/>
          <w:bCs/>
          <w:sz w:val="24"/>
          <w:highlight w:val="none"/>
          <w:lang w:eastAsia="zh-CN"/>
        </w:rPr>
        <w:t>，</w:t>
      </w:r>
      <w:r>
        <w:rPr>
          <w:rFonts w:hint="eastAsia" w:ascii="宋体" w:hAnsi="宋体" w:cs="宋体"/>
          <w:bCs/>
          <w:sz w:val="24"/>
          <w:highlight w:val="none"/>
        </w:rPr>
        <w:t>但必须在规定的投标截止时间前</w:t>
      </w:r>
      <w:r>
        <w:rPr>
          <w:rFonts w:hint="eastAsia" w:ascii="宋体" w:hAnsi="宋体" w:cs="宋体"/>
          <w:bCs/>
          <w:sz w:val="24"/>
          <w:highlight w:val="none"/>
          <w:lang w:eastAsia="zh-CN"/>
        </w:rPr>
        <w:t>，</w:t>
      </w:r>
      <w:r>
        <w:rPr>
          <w:rFonts w:hint="eastAsia" w:ascii="宋体" w:hAnsi="宋体" w:cs="宋体"/>
          <w:bCs/>
          <w:sz w:val="24"/>
          <w:highlight w:val="none"/>
        </w:rPr>
        <w:t>以书面形式通知采购代理机构。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21.2 投标人的修改书或撤回通知书</w:t>
      </w:r>
      <w:r>
        <w:rPr>
          <w:rFonts w:hint="eastAsia" w:ascii="宋体" w:hAnsi="宋体" w:cs="宋体"/>
          <w:bCs/>
          <w:sz w:val="24"/>
          <w:highlight w:val="none"/>
          <w:lang w:eastAsia="zh-CN"/>
        </w:rPr>
        <w:t>，</w:t>
      </w:r>
      <w:r>
        <w:rPr>
          <w:rFonts w:hint="eastAsia" w:ascii="宋体" w:hAnsi="宋体" w:cs="宋体"/>
          <w:bCs/>
          <w:sz w:val="24"/>
          <w:highlight w:val="none"/>
        </w:rPr>
        <w:t>应由其法定代表人或授权代表签署并盖单位印章。修改书应按投标须知第19条规定进行密封和标注</w:t>
      </w:r>
      <w:r>
        <w:rPr>
          <w:rFonts w:hint="eastAsia" w:ascii="宋体" w:hAnsi="宋体" w:cs="宋体"/>
          <w:bCs/>
          <w:sz w:val="24"/>
          <w:highlight w:val="none"/>
          <w:lang w:eastAsia="zh-CN"/>
        </w:rPr>
        <w:t>，</w:t>
      </w:r>
      <w:r>
        <w:rPr>
          <w:rFonts w:hint="eastAsia" w:ascii="宋体" w:hAnsi="宋体" w:cs="宋体"/>
          <w:bCs/>
          <w:sz w:val="24"/>
          <w:highlight w:val="none"/>
        </w:rPr>
        <w:t>并在密封袋上标注“修改”字样。</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21.3 在投标截止时间之后</w:t>
      </w:r>
      <w:r>
        <w:rPr>
          <w:rFonts w:hint="eastAsia" w:ascii="宋体" w:hAnsi="宋体" w:cs="宋体"/>
          <w:bCs/>
          <w:sz w:val="24"/>
          <w:highlight w:val="none"/>
          <w:lang w:eastAsia="zh-CN"/>
        </w:rPr>
        <w:t>，</w:t>
      </w:r>
      <w:r>
        <w:rPr>
          <w:rFonts w:hint="eastAsia" w:ascii="宋体" w:hAnsi="宋体" w:cs="宋体"/>
          <w:bCs/>
          <w:sz w:val="24"/>
          <w:highlight w:val="none"/>
        </w:rPr>
        <w:t>投标人不得对其递交的投标文件做任何修改</w:t>
      </w:r>
      <w:r>
        <w:rPr>
          <w:rFonts w:hint="eastAsia" w:ascii="宋体" w:hAnsi="宋体" w:cs="宋体"/>
          <w:bCs/>
          <w:sz w:val="24"/>
          <w:highlight w:val="none"/>
          <w:lang w:eastAsia="zh-CN"/>
        </w:rPr>
        <w:t>，</w:t>
      </w:r>
      <w:r>
        <w:rPr>
          <w:rFonts w:hint="eastAsia" w:ascii="宋体" w:hAnsi="宋体" w:cs="宋体"/>
          <w:bCs/>
          <w:sz w:val="24"/>
          <w:highlight w:val="none"/>
        </w:rPr>
        <w:t>撤回投标的</w:t>
      </w:r>
      <w:r>
        <w:rPr>
          <w:rFonts w:hint="eastAsia" w:ascii="宋体" w:hAnsi="宋体" w:cs="宋体"/>
          <w:bCs/>
          <w:sz w:val="24"/>
          <w:highlight w:val="none"/>
          <w:lang w:eastAsia="zh-CN"/>
        </w:rPr>
        <w:t>，</w:t>
      </w:r>
      <w:r>
        <w:rPr>
          <w:rFonts w:hint="eastAsia" w:ascii="宋体" w:hAnsi="宋体" w:cs="宋体"/>
          <w:bCs/>
          <w:sz w:val="24"/>
          <w:highlight w:val="none"/>
        </w:rPr>
        <w:t>将按照有关规定进行相应处理。</w:t>
      </w:r>
    </w:p>
    <w:p>
      <w:pPr>
        <w:tabs>
          <w:tab w:val="left" w:pos="5142"/>
        </w:tabs>
        <w:jc w:val="center"/>
        <w:outlineLvl w:val="1"/>
        <w:rPr>
          <w:rFonts w:ascii="宋体" w:hAnsi="宋体" w:cs="宋体"/>
          <w:b/>
          <w:sz w:val="30"/>
          <w:szCs w:val="30"/>
          <w:highlight w:val="none"/>
        </w:rPr>
      </w:pPr>
      <w:bookmarkStart w:id="114" w:name="_Toc89075878"/>
      <w:bookmarkStart w:id="115" w:name="_Toc183682368"/>
      <w:bookmarkStart w:id="116" w:name="_Toc77400782"/>
      <w:bookmarkStart w:id="117" w:name="_Toc503862782"/>
      <w:bookmarkStart w:id="118" w:name="_Toc183582231"/>
      <w:bookmarkStart w:id="119" w:name="_Toc308164805"/>
      <w:bookmarkStart w:id="120" w:name="_Toc217446056"/>
      <w:r>
        <w:rPr>
          <w:rFonts w:hint="eastAsia" w:ascii="宋体" w:hAnsi="宋体" w:cs="宋体"/>
          <w:b/>
          <w:sz w:val="30"/>
          <w:szCs w:val="30"/>
          <w:highlight w:val="none"/>
        </w:rPr>
        <w:t>五、开标和中标</w:t>
      </w:r>
      <w:bookmarkEnd w:id="114"/>
      <w:bookmarkEnd w:id="115"/>
      <w:bookmarkEnd w:id="116"/>
      <w:bookmarkEnd w:id="117"/>
      <w:bookmarkEnd w:id="118"/>
      <w:bookmarkEnd w:id="119"/>
      <w:bookmarkEnd w:id="120"/>
    </w:p>
    <w:p>
      <w:pPr>
        <w:adjustRightInd w:val="0"/>
        <w:snapToGrid w:val="0"/>
        <w:spacing w:line="360" w:lineRule="auto"/>
        <w:ind w:firstLine="482" w:firstLineChars="200"/>
        <w:outlineLvl w:val="2"/>
        <w:rPr>
          <w:rFonts w:ascii="宋体" w:hAnsi="宋体" w:cs="宋体"/>
          <w:b/>
          <w:sz w:val="24"/>
          <w:highlight w:val="none"/>
        </w:rPr>
      </w:pPr>
      <w:bookmarkStart w:id="121" w:name="_Toc183582232"/>
      <w:bookmarkStart w:id="122" w:name="_Toc308164806"/>
      <w:bookmarkStart w:id="123" w:name="_Toc217446057"/>
      <w:bookmarkStart w:id="124" w:name="_Toc183682369"/>
      <w:bookmarkStart w:id="125" w:name="_Toc503862783"/>
      <w:r>
        <w:rPr>
          <w:rFonts w:hint="eastAsia" w:ascii="宋体" w:hAnsi="宋体" w:cs="宋体"/>
          <w:b/>
          <w:sz w:val="24"/>
          <w:highlight w:val="none"/>
        </w:rPr>
        <w:t>22．开标</w:t>
      </w:r>
      <w:bookmarkEnd w:id="121"/>
      <w:bookmarkEnd w:id="122"/>
      <w:bookmarkEnd w:id="123"/>
      <w:bookmarkEnd w:id="124"/>
      <w:bookmarkEnd w:id="125"/>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22.1 开标在招标文件规定的时间和地点公开进行</w:t>
      </w:r>
      <w:r>
        <w:rPr>
          <w:rFonts w:hint="eastAsia" w:ascii="宋体" w:hAnsi="宋体" w:cs="宋体"/>
          <w:bCs/>
          <w:sz w:val="24"/>
          <w:highlight w:val="none"/>
          <w:lang w:eastAsia="zh-CN"/>
        </w:rPr>
        <w:t>，</w:t>
      </w:r>
      <w:r>
        <w:rPr>
          <w:rFonts w:hint="eastAsia" w:ascii="宋体" w:hAnsi="宋体" w:cs="宋体"/>
          <w:bCs/>
          <w:sz w:val="24"/>
          <w:highlight w:val="none"/>
        </w:rPr>
        <w:t>采购人、投标人须派代表参加并签到以证明其出席。开标由采购代理机构主持</w:t>
      </w:r>
      <w:r>
        <w:rPr>
          <w:rFonts w:hint="eastAsia" w:ascii="宋体" w:hAnsi="宋体" w:cs="宋体"/>
          <w:bCs/>
          <w:sz w:val="24"/>
          <w:highlight w:val="none"/>
          <w:lang w:eastAsia="zh-CN"/>
        </w:rPr>
        <w:t>，</w:t>
      </w:r>
      <w:r>
        <w:rPr>
          <w:rFonts w:hint="eastAsia" w:ascii="宋体" w:hAnsi="宋体" w:cs="宋体"/>
          <w:bCs/>
          <w:sz w:val="24"/>
          <w:highlight w:val="none"/>
        </w:rPr>
        <w:t>采购人、投标人代表参加。评标专家不参加开标活动。</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22.2 开标时</w:t>
      </w:r>
      <w:r>
        <w:rPr>
          <w:rFonts w:hint="eastAsia" w:ascii="宋体" w:hAnsi="宋体" w:cs="宋体"/>
          <w:bCs/>
          <w:sz w:val="24"/>
          <w:highlight w:val="none"/>
          <w:lang w:eastAsia="zh-CN"/>
        </w:rPr>
        <w:t>，</w:t>
      </w:r>
      <w:r>
        <w:rPr>
          <w:rFonts w:hint="eastAsia" w:ascii="宋体" w:hAnsi="宋体" w:cs="宋体"/>
          <w:bCs/>
          <w:sz w:val="24"/>
          <w:highlight w:val="none"/>
        </w:rPr>
        <w:t>可能根据具体情况邀请有关监督管理部门对开标活动进行现场监督。</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22.3 开标时</w:t>
      </w:r>
      <w:r>
        <w:rPr>
          <w:rFonts w:hint="eastAsia" w:ascii="宋体" w:hAnsi="宋体" w:cs="宋体"/>
          <w:bCs/>
          <w:sz w:val="24"/>
          <w:highlight w:val="none"/>
          <w:lang w:eastAsia="zh-CN"/>
        </w:rPr>
        <w:t>，</w:t>
      </w:r>
      <w:r>
        <w:rPr>
          <w:rFonts w:hint="eastAsia" w:ascii="宋体" w:hAnsi="宋体" w:cs="宋体"/>
          <w:bCs/>
          <w:sz w:val="24"/>
          <w:highlight w:val="none"/>
        </w:rPr>
        <w:t>由投标人或者其推选的代表先检查其自己递交的投标文件的密封情况</w:t>
      </w:r>
      <w:r>
        <w:rPr>
          <w:rFonts w:hint="eastAsia" w:ascii="宋体" w:hAnsi="宋体" w:cs="宋体"/>
          <w:bCs/>
          <w:sz w:val="24"/>
          <w:highlight w:val="none"/>
          <w:lang w:eastAsia="zh-CN"/>
        </w:rPr>
        <w:t>，</w:t>
      </w:r>
      <w:r>
        <w:rPr>
          <w:rFonts w:hint="eastAsia" w:ascii="宋体" w:hAnsi="宋体" w:cs="宋体"/>
          <w:bCs/>
          <w:sz w:val="24"/>
          <w:highlight w:val="none"/>
        </w:rPr>
        <w:t>经确认无误后</w:t>
      </w:r>
      <w:r>
        <w:rPr>
          <w:rFonts w:hint="eastAsia" w:ascii="宋体" w:hAnsi="宋体" w:cs="宋体"/>
          <w:bCs/>
          <w:sz w:val="24"/>
          <w:highlight w:val="none"/>
          <w:lang w:eastAsia="zh-CN"/>
        </w:rPr>
        <w:t>，</w:t>
      </w:r>
      <w:r>
        <w:rPr>
          <w:rFonts w:hint="eastAsia" w:ascii="宋体" w:hAnsi="宋体" w:cs="宋体"/>
          <w:bCs/>
          <w:sz w:val="24"/>
          <w:highlight w:val="none"/>
        </w:rPr>
        <w:t>由招标工作人员将投标人单独递交的“开标一览表”当众拆封</w:t>
      </w:r>
      <w:r>
        <w:rPr>
          <w:rFonts w:hint="eastAsia" w:ascii="宋体" w:hAnsi="宋体" w:cs="宋体"/>
          <w:bCs/>
          <w:sz w:val="24"/>
          <w:highlight w:val="none"/>
          <w:lang w:eastAsia="zh-CN"/>
        </w:rPr>
        <w:t>，</w:t>
      </w:r>
      <w:r>
        <w:rPr>
          <w:rFonts w:hint="eastAsia" w:ascii="宋体" w:hAnsi="宋体" w:cs="宋体"/>
          <w:bCs/>
          <w:sz w:val="24"/>
          <w:highlight w:val="none"/>
        </w:rPr>
        <w:t>并由唱标人员按照招标文件规定的内容进行宣读。</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投标人或者其推选的代表确认投标文件情况</w:t>
      </w:r>
      <w:r>
        <w:rPr>
          <w:rFonts w:hint="eastAsia" w:ascii="宋体" w:hAnsi="宋体" w:cs="宋体"/>
          <w:bCs/>
          <w:sz w:val="24"/>
          <w:highlight w:val="none"/>
          <w:lang w:eastAsia="zh-CN"/>
        </w:rPr>
        <w:t>，</w:t>
      </w:r>
      <w:r>
        <w:rPr>
          <w:rFonts w:hint="eastAsia" w:ascii="宋体" w:hAnsi="宋体" w:cs="宋体"/>
          <w:bCs/>
          <w:sz w:val="24"/>
          <w:highlight w:val="none"/>
        </w:rPr>
        <w:t>仅限于确认其自己递交的投标文件的密封情况</w:t>
      </w:r>
      <w:r>
        <w:rPr>
          <w:rFonts w:hint="eastAsia" w:ascii="宋体" w:hAnsi="宋体" w:cs="宋体"/>
          <w:bCs/>
          <w:sz w:val="24"/>
          <w:highlight w:val="none"/>
          <w:lang w:eastAsia="zh-CN"/>
        </w:rPr>
        <w:t>，</w:t>
      </w:r>
      <w:r>
        <w:rPr>
          <w:rFonts w:hint="eastAsia" w:ascii="宋体" w:hAnsi="宋体" w:cs="宋体"/>
          <w:bCs/>
          <w:sz w:val="24"/>
          <w:highlight w:val="none"/>
        </w:rPr>
        <w:t>不代表对其他投标人的投标文件的密封情况确认。投标人或者其推选的代表对其他投标人的投标文件密封情况有异议的</w:t>
      </w:r>
      <w:r>
        <w:rPr>
          <w:rFonts w:hint="eastAsia" w:ascii="宋体" w:hAnsi="宋体" w:cs="宋体"/>
          <w:bCs/>
          <w:sz w:val="24"/>
          <w:highlight w:val="none"/>
          <w:lang w:eastAsia="zh-CN"/>
        </w:rPr>
        <w:t>，</w:t>
      </w:r>
      <w:r>
        <w:rPr>
          <w:rFonts w:hint="eastAsia" w:ascii="宋体" w:hAnsi="宋体" w:cs="宋体"/>
          <w:bCs/>
          <w:sz w:val="24"/>
          <w:highlight w:val="none"/>
        </w:rPr>
        <w:t>可以当场反映开标主持人或者现场监督人员</w:t>
      </w:r>
      <w:r>
        <w:rPr>
          <w:rFonts w:hint="eastAsia" w:ascii="宋体" w:hAnsi="宋体" w:cs="宋体"/>
          <w:bCs/>
          <w:sz w:val="24"/>
          <w:highlight w:val="none"/>
          <w:lang w:eastAsia="zh-CN"/>
        </w:rPr>
        <w:t>，</w:t>
      </w:r>
      <w:r>
        <w:rPr>
          <w:rFonts w:hint="eastAsia" w:ascii="宋体" w:hAnsi="宋体" w:cs="宋体"/>
          <w:bCs/>
          <w:sz w:val="24"/>
          <w:highlight w:val="none"/>
        </w:rPr>
        <w:t>要求开标现场记录人员予以记录</w:t>
      </w:r>
      <w:r>
        <w:rPr>
          <w:rFonts w:hint="eastAsia" w:ascii="宋体" w:hAnsi="宋体" w:cs="宋体"/>
          <w:bCs/>
          <w:sz w:val="24"/>
          <w:highlight w:val="none"/>
          <w:lang w:eastAsia="zh-CN"/>
        </w:rPr>
        <w:t>，</w:t>
      </w:r>
      <w:r>
        <w:rPr>
          <w:rFonts w:hint="eastAsia" w:ascii="宋体" w:hAnsi="宋体" w:cs="宋体"/>
          <w:bCs/>
          <w:sz w:val="24"/>
          <w:highlight w:val="none"/>
        </w:rPr>
        <w:t>并在评标时予以认定处理</w:t>
      </w:r>
      <w:r>
        <w:rPr>
          <w:rFonts w:hint="eastAsia" w:ascii="宋体" w:hAnsi="宋体" w:cs="宋体"/>
          <w:bCs/>
          <w:sz w:val="24"/>
          <w:highlight w:val="none"/>
          <w:lang w:eastAsia="zh-CN"/>
        </w:rPr>
        <w:t>，</w:t>
      </w:r>
      <w:r>
        <w:rPr>
          <w:rFonts w:hint="eastAsia" w:ascii="宋体" w:hAnsi="宋体" w:cs="宋体"/>
          <w:bCs/>
          <w:sz w:val="24"/>
          <w:highlight w:val="none"/>
        </w:rPr>
        <w:t>但不得干扰、阻挠开标工作的正常进行。</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22.4 开标时</w:t>
      </w:r>
      <w:r>
        <w:rPr>
          <w:rFonts w:hint="eastAsia" w:ascii="宋体" w:hAnsi="宋体" w:cs="宋体"/>
          <w:bCs/>
          <w:sz w:val="24"/>
          <w:highlight w:val="none"/>
          <w:lang w:eastAsia="zh-CN"/>
        </w:rPr>
        <w:t>，</w:t>
      </w:r>
      <w:r>
        <w:rPr>
          <w:rFonts w:hint="eastAsia" w:ascii="宋体" w:hAnsi="宋体" w:cs="宋体"/>
          <w:bCs/>
          <w:sz w:val="24"/>
          <w:highlight w:val="none"/>
        </w:rPr>
        <w:t>“开标一览表”中的大写金额与小写金额不一致的</w:t>
      </w:r>
      <w:r>
        <w:rPr>
          <w:rFonts w:hint="eastAsia" w:ascii="宋体" w:hAnsi="宋体" w:cs="宋体"/>
          <w:bCs/>
          <w:sz w:val="24"/>
          <w:highlight w:val="none"/>
          <w:lang w:eastAsia="zh-CN"/>
        </w:rPr>
        <w:t>，</w:t>
      </w:r>
      <w:r>
        <w:rPr>
          <w:rFonts w:hint="eastAsia" w:ascii="宋体" w:hAnsi="宋体" w:cs="宋体"/>
          <w:bCs/>
          <w:sz w:val="24"/>
          <w:highlight w:val="none"/>
        </w:rPr>
        <w:t>以大写金额为准；总价金额与按单价计算的汇总金额不一致的</w:t>
      </w:r>
      <w:r>
        <w:rPr>
          <w:rFonts w:hint="eastAsia" w:ascii="宋体" w:hAnsi="宋体" w:cs="宋体"/>
          <w:bCs/>
          <w:sz w:val="24"/>
          <w:highlight w:val="none"/>
          <w:lang w:eastAsia="zh-CN"/>
        </w:rPr>
        <w:t>，</w:t>
      </w:r>
      <w:r>
        <w:rPr>
          <w:rFonts w:hint="eastAsia" w:ascii="宋体" w:hAnsi="宋体" w:cs="宋体"/>
          <w:bCs/>
          <w:sz w:val="24"/>
          <w:highlight w:val="none"/>
        </w:rPr>
        <w:t>以单价计算的汇总金额为准；单价金额有明显小数点错误的</w:t>
      </w:r>
      <w:r>
        <w:rPr>
          <w:rFonts w:hint="eastAsia" w:ascii="宋体" w:hAnsi="宋体" w:cs="宋体"/>
          <w:bCs/>
          <w:sz w:val="24"/>
          <w:highlight w:val="none"/>
          <w:lang w:eastAsia="zh-CN"/>
        </w:rPr>
        <w:t>，</w:t>
      </w:r>
      <w:r>
        <w:rPr>
          <w:rFonts w:hint="eastAsia" w:ascii="宋体" w:hAnsi="宋体" w:cs="宋体"/>
          <w:bCs/>
          <w:sz w:val="24"/>
          <w:highlight w:val="none"/>
        </w:rPr>
        <w:t>以总价为准</w:t>
      </w:r>
      <w:r>
        <w:rPr>
          <w:rFonts w:hint="eastAsia" w:ascii="宋体" w:hAnsi="宋体" w:cs="宋体"/>
          <w:bCs/>
          <w:sz w:val="24"/>
          <w:highlight w:val="none"/>
          <w:lang w:eastAsia="zh-CN"/>
        </w:rPr>
        <w:t>，</w:t>
      </w:r>
      <w:r>
        <w:rPr>
          <w:rFonts w:hint="eastAsia" w:ascii="宋体" w:hAnsi="宋体" w:cs="宋体"/>
          <w:bCs/>
          <w:sz w:val="24"/>
          <w:highlight w:val="none"/>
        </w:rPr>
        <w:t>并修改单价。</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22.5 投标文件中相关内容与“开标一览表”不一致的</w:t>
      </w:r>
      <w:r>
        <w:rPr>
          <w:rFonts w:hint="eastAsia" w:ascii="宋体" w:hAnsi="宋体" w:cs="宋体"/>
          <w:bCs/>
          <w:sz w:val="24"/>
          <w:highlight w:val="none"/>
          <w:lang w:eastAsia="zh-CN"/>
        </w:rPr>
        <w:t>，</w:t>
      </w:r>
      <w:r>
        <w:rPr>
          <w:rFonts w:hint="eastAsia" w:ascii="宋体" w:hAnsi="宋体" w:cs="宋体"/>
          <w:bCs/>
          <w:sz w:val="24"/>
          <w:highlight w:val="none"/>
        </w:rPr>
        <w:t>以“开标一览表”为准。对不同文字文本投标文件的解释发生异议的</w:t>
      </w:r>
      <w:r>
        <w:rPr>
          <w:rFonts w:hint="eastAsia" w:ascii="宋体" w:hAnsi="宋体" w:cs="宋体"/>
          <w:bCs/>
          <w:sz w:val="24"/>
          <w:highlight w:val="none"/>
          <w:lang w:eastAsia="zh-CN"/>
        </w:rPr>
        <w:t>，</w:t>
      </w:r>
      <w:r>
        <w:rPr>
          <w:rFonts w:hint="eastAsia" w:ascii="宋体" w:hAnsi="宋体" w:cs="宋体"/>
          <w:bCs/>
          <w:sz w:val="24"/>
          <w:highlight w:val="none"/>
        </w:rPr>
        <w:t>以中文文本为准。</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22.6 所有投标唱标完毕</w:t>
      </w:r>
      <w:r>
        <w:rPr>
          <w:rFonts w:hint="eastAsia" w:ascii="宋体" w:hAnsi="宋体" w:cs="宋体"/>
          <w:bCs/>
          <w:sz w:val="24"/>
          <w:highlight w:val="none"/>
          <w:lang w:eastAsia="zh-CN"/>
        </w:rPr>
        <w:t>，</w:t>
      </w:r>
      <w:r>
        <w:rPr>
          <w:rFonts w:hint="eastAsia" w:ascii="宋体" w:hAnsi="宋体" w:cs="宋体"/>
          <w:bCs/>
          <w:sz w:val="24"/>
          <w:highlight w:val="none"/>
        </w:rPr>
        <w:t>如投标人代表对宣读的“开标一览表”上的内容有异议的</w:t>
      </w:r>
      <w:r>
        <w:rPr>
          <w:rFonts w:hint="eastAsia" w:ascii="宋体" w:hAnsi="宋体" w:cs="宋体"/>
          <w:bCs/>
          <w:sz w:val="24"/>
          <w:highlight w:val="none"/>
          <w:lang w:eastAsia="zh-CN"/>
        </w:rPr>
        <w:t>，</w:t>
      </w:r>
      <w:r>
        <w:rPr>
          <w:rFonts w:hint="eastAsia" w:ascii="宋体" w:hAnsi="宋体" w:cs="宋体"/>
          <w:bCs/>
          <w:sz w:val="24"/>
          <w:highlight w:val="none"/>
        </w:rPr>
        <w:t>应在获得开标会主持人同意后当场提出。如确实属于唱标人员宣读错了的</w:t>
      </w:r>
      <w:r>
        <w:rPr>
          <w:rFonts w:hint="eastAsia" w:ascii="宋体" w:hAnsi="宋体" w:cs="宋体"/>
          <w:bCs/>
          <w:sz w:val="24"/>
          <w:highlight w:val="none"/>
          <w:lang w:eastAsia="zh-CN"/>
        </w:rPr>
        <w:t>，</w:t>
      </w:r>
      <w:r>
        <w:rPr>
          <w:rFonts w:hint="eastAsia" w:ascii="宋体" w:hAnsi="宋体" w:cs="宋体"/>
          <w:bCs/>
          <w:sz w:val="24"/>
          <w:highlight w:val="none"/>
        </w:rPr>
        <w:t>经现场监督人员核实后</w:t>
      </w:r>
      <w:r>
        <w:rPr>
          <w:rFonts w:hint="eastAsia" w:ascii="宋体" w:hAnsi="宋体" w:cs="宋体"/>
          <w:bCs/>
          <w:sz w:val="24"/>
          <w:highlight w:val="none"/>
          <w:lang w:eastAsia="zh-CN"/>
        </w:rPr>
        <w:t>，</w:t>
      </w:r>
      <w:r>
        <w:rPr>
          <w:rFonts w:hint="eastAsia" w:ascii="宋体" w:hAnsi="宋体" w:cs="宋体"/>
          <w:bCs/>
          <w:sz w:val="24"/>
          <w:highlight w:val="none"/>
        </w:rPr>
        <w:t>当场予以更正。</w:t>
      </w:r>
    </w:p>
    <w:p>
      <w:pPr>
        <w:adjustRightInd w:val="0"/>
        <w:snapToGrid w:val="0"/>
        <w:spacing w:line="360" w:lineRule="auto"/>
        <w:ind w:firstLine="482" w:firstLineChars="200"/>
        <w:outlineLvl w:val="2"/>
        <w:rPr>
          <w:rFonts w:ascii="宋体" w:hAnsi="宋体" w:cs="宋体"/>
          <w:b/>
          <w:sz w:val="24"/>
          <w:highlight w:val="none"/>
        </w:rPr>
      </w:pPr>
      <w:bookmarkStart w:id="126" w:name="_Toc217446058"/>
      <w:bookmarkStart w:id="127" w:name="_Toc308164807"/>
      <w:r>
        <w:rPr>
          <w:rFonts w:hint="eastAsia" w:ascii="宋体" w:hAnsi="宋体" w:cs="宋体"/>
          <w:b/>
          <w:sz w:val="24"/>
          <w:highlight w:val="none"/>
        </w:rPr>
        <w:t>23．开标程序</w:t>
      </w:r>
      <w:bookmarkEnd w:id="126"/>
      <w:bookmarkEnd w:id="127"/>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23.1 开标会主持人按照招标文件规定的开标时间宣布开标</w:t>
      </w:r>
      <w:r>
        <w:rPr>
          <w:rFonts w:hint="eastAsia" w:ascii="宋体" w:hAnsi="宋体" w:cs="宋体"/>
          <w:bCs/>
          <w:sz w:val="24"/>
          <w:highlight w:val="none"/>
          <w:lang w:eastAsia="zh-CN"/>
        </w:rPr>
        <w:t>，</w:t>
      </w:r>
      <w:r>
        <w:rPr>
          <w:rFonts w:hint="eastAsia" w:ascii="宋体" w:hAnsi="宋体" w:cs="宋体"/>
          <w:bCs/>
          <w:sz w:val="24"/>
          <w:highlight w:val="none"/>
        </w:rPr>
        <w:t>按照规定要求主持开标会。开标将按以下程序进行：</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（1）宣布开标会开始。当众宣布参加开标会主持人、唱标人、会议记录人以及根据情况邀请的现场监督人等工作人员</w:t>
      </w:r>
      <w:r>
        <w:rPr>
          <w:rFonts w:hint="eastAsia" w:ascii="宋体" w:hAnsi="宋体" w:cs="宋体"/>
          <w:bCs/>
          <w:sz w:val="24"/>
          <w:highlight w:val="none"/>
          <w:lang w:eastAsia="zh-CN"/>
        </w:rPr>
        <w:t>，</w:t>
      </w:r>
      <w:r>
        <w:rPr>
          <w:rFonts w:hint="eastAsia" w:ascii="宋体" w:hAnsi="宋体" w:cs="宋体"/>
          <w:bCs/>
          <w:sz w:val="24"/>
          <w:highlight w:val="none"/>
        </w:rPr>
        <w:t>根据“供应商签到表”宣布参加投标的供应商名单。</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（2）根据投标人或者其推选的代表对投标文件密封的检查结果</w:t>
      </w:r>
      <w:r>
        <w:rPr>
          <w:rFonts w:hint="eastAsia" w:ascii="宋体" w:hAnsi="宋体" w:cs="宋体"/>
          <w:bCs/>
          <w:sz w:val="24"/>
          <w:highlight w:val="none"/>
          <w:lang w:eastAsia="zh-CN"/>
        </w:rPr>
        <w:t>，</w:t>
      </w:r>
      <w:r>
        <w:rPr>
          <w:rFonts w:hint="eastAsia" w:ascii="宋体" w:hAnsi="宋体" w:cs="宋体"/>
          <w:bCs/>
          <w:sz w:val="24"/>
          <w:highlight w:val="none"/>
        </w:rPr>
        <w:t>当众宣布投标文件的密封情况。</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（3）开标唱标。主持人宣布开标后</w:t>
      </w:r>
      <w:r>
        <w:rPr>
          <w:rFonts w:hint="eastAsia" w:ascii="宋体" w:hAnsi="宋体" w:cs="宋体"/>
          <w:bCs/>
          <w:sz w:val="24"/>
          <w:highlight w:val="none"/>
          <w:lang w:eastAsia="zh-CN"/>
        </w:rPr>
        <w:t>，</w:t>
      </w:r>
      <w:r>
        <w:rPr>
          <w:rFonts w:hint="eastAsia" w:ascii="宋体" w:hAnsi="宋体" w:cs="宋体"/>
          <w:bCs/>
          <w:sz w:val="24"/>
          <w:highlight w:val="none"/>
        </w:rPr>
        <w:t>由现场工作人员按任意顺序对投标人的“开标一览表”当众进行拆封</w:t>
      </w:r>
      <w:r>
        <w:rPr>
          <w:rFonts w:hint="eastAsia" w:ascii="宋体" w:hAnsi="宋体" w:cs="宋体"/>
          <w:bCs/>
          <w:sz w:val="24"/>
          <w:highlight w:val="none"/>
          <w:lang w:eastAsia="zh-CN"/>
        </w:rPr>
        <w:t>，</w:t>
      </w:r>
      <w:r>
        <w:rPr>
          <w:rFonts w:hint="eastAsia" w:ascii="宋体" w:hAnsi="宋体" w:cs="宋体"/>
          <w:bCs/>
          <w:sz w:val="24"/>
          <w:highlight w:val="none"/>
        </w:rPr>
        <w:t>由唱标人员宣读投标人名称、投标价格（价格折扣）、或招标文件允许提供的备选投标方案和投标文件的其他主要内容。未宣读的投标价格（价格折扣）或招标文件允许提供的备选投标方案等实质内容</w:t>
      </w:r>
      <w:r>
        <w:rPr>
          <w:rFonts w:hint="eastAsia" w:ascii="宋体" w:hAnsi="宋体" w:cs="宋体"/>
          <w:bCs/>
          <w:sz w:val="24"/>
          <w:highlight w:val="none"/>
          <w:lang w:eastAsia="zh-CN"/>
        </w:rPr>
        <w:t>，</w:t>
      </w:r>
      <w:r>
        <w:rPr>
          <w:rFonts w:hint="eastAsia" w:ascii="宋体" w:hAnsi="宋体" w:cs="宋体"/>
          <w:bCs/>
          <w:sz w:val="24"/>
          <w:highlight w:val="none"/>
        </w:rPr>
        <w:t>评标时不予承认。同时</w:t>
      </w:r>
      <w:r>
        <w:rPr>
          <w:rFonts w:hint="eastAsia" w:ascii="宋体" w:hAnsi="宋体" w:cs="宋体"/>
          <w:bCs/>
          <w:sz w:val="24"/>
          <w:highlight w:val="none"/>
          <w:lang w:eastAsia="zh-CN"/>
        </w:rPr>
        <w:t>，</w:t>
      </w:r>
      <w:r>
        <w:rPr>
          <w:rFonts w:hint="eastAsia" w:ascii="宋体" w:hAnsi="宋体" w:cs="宋体"/>
          <w:bCs/>
          <w:sz w:val="24"/>
          <w:highlight w:val="none"/>
        </w:rPr>
        <w:t>做好开标记录。唱标人员在唱标过程中</w:t>
      </w:r>
      <w:r>
        <w:rPr>
          <w:rFonts w:hint="eastAsia" w:ascii="宋体" w:hAnsi="宋体" w:cs="宋体"/>
          <w:bCs/>
          <w:sz w:val="24"/>
          <w:highlight w:val="none"/>
          <w:lang w:eastAsia="zh-CN"/>
        </w:rPr>
        <w:t>，</w:t>
      </w:r>
      <w:r>
        <w:rPr>
          <w:rFonts w:hint="eastAsia" w:ascii="宋体" w:hAnsi="宋体" w:cs="宋体"/>
          <w:bCs/>
          <w:sz w:val="24"/>
          <w:highlight w:val="none"/>
        </w:rPr>
        <w:t>如遇有字迹不清楚或有明显错误的</w:t>
      </w:r>
      <w:r>
        <w:rPr>
          <w:rFonts w:hint="eastAsia" w:ascii="宋体" w:hAnsi="宋体" w:cs="宋体"/>
          <w:bCs/>
          <w:sz w:val="24"/>
          <w:highlight w:val="none"/>
          <w:lang w:eastAsia="zh-CN"/>
        </w:rPr>
        <w:t>，</w:t>
      </w:r>
      <w:r>
        <w:rPr>
          <w:rFonts w:hint="eastAsia" w:ascii="宋体" w:hAnsi="宋体" w:cs="宋体"/>
          <w:bCs/>
          <w:sz w:val="24"/>
          <w:highlight w:val="none"/>
        </w:rPr>
        <w:t>应即刻报告主持人</w:t>
      </w:r>
      <w:r>
        <w:rPr>
          <w:rFonts w:hint="eastAsia" w:ascii="宋体" w:hAnsi="宋体" w:cs="宋体"/>
          <w:bCs/>
          <w:sz w:val="24"/>
          <w:highlight w:val="none"/>
          <w:lang w:eastAsia="zh-CN"/>
        </w:rPr>
        <w:t>，</w:t>
      </w:r>
      <w:r>
        <w:rPr>
          <w:rFonts w:hint="eastAsia" w:ascii="宋体" w:hAnsi="宋体" w:cs="宋体"/>
          <w:bCs/>
          <w:sz w:val="24"/>
          <w:highlight w:val="none"/>
        </w:rPr>
        <w:t>经现场核实后</w:t>
      </w:r>
      <w:r>
        <w:rPr>
          <w:rFonts w:hint="eastAsia" w:ascii="宋体" w:hAnsi="宋体" w:cs="宋体"/>
          <w:bCs/>
          <w:sz w:val="24"/>
          <w:highlight w:val="none"/>
          <w:lang w:eastAsia="zh-CN"/>
        </w:rPr>
        <w:t>，</w:t>
      </w:r>
      <w:r>
        <w:rPr>
          <w:rFonts w:hint="eastAsia" w:ascii="宋体" w:hAnsi="宋体" w:cs="宋体"/>
          <w:bCs/>
          <w:sz w:val="24"/>
          <w:highlight w:val="none"/>
        </w:rPr>
        <w:t>主持人立即请投标人代表现场进行澄清或确认。唱标完毕后投标人或者其推选的代表需现场对开标记录进行签字确认</w:t>
      </w:r>
      <w:r>
        <w:rPr>
          <w:rFonts w:hint="eastAsia" w:ascii="宋体" w:hAnsi="宋体" w:cs="宋体"/>
          <w:bCs/>
          <w:sz w:val="24"/>
          <w:highlight w:val="none"/>
          <w:lang w:eastAsia="zh-CN"/>
        </w:rPr>
        <w:t>，</w:t>
      </w:r>
      <w:r>
        <w:rPr>
          <w:rFonts w:hint="eastAsia" w:ascii="宋体" w:hAnsi="宋体" w:cs="宋体"/>
          <w:bCs/>
          <w:sz w:val="24"/>
          <w:highlight w:val="none"/>
        </w:rPr>
        <w:t>投标人或者其推选的代表对唱标内容有异议的</w:t>
      </w:r>
      <w:r>
        <w:rPr>
          <w:rFonts w:hint="eastAsia" w:ascii="宋体" w:hAnsi="宋体" w:cs="宋体"/>
          <w:bCs/>
          <w:sz w:val="24"/>
          <w:highlight w:val="none"/>
          <w:lang w:eastAsia="zh-CN"/>
        </w:rPr>
        <w:t>，</w:t>
      </w:r>
      <w:r>
        <w:rPr>
          <w:rFonts w:hint="eastAsia" w:ascii="宋体" w:hAnsi="宋体" w:cs="宋体"/>
          <w:bCs/>
          <w:sz w:val="24"/>
          <w:highlight w:val="none"/>
        </w:rPr>
        <w:t>可以当场提出</w:t>
      </w:r>
      <w:r>
        <w:rPr>
          <w:rFonts w:hint="eastAsia" w:ascii="宋体" w:hAnsi="宋体" w:cs="宋体"/>
          <w:bCs/>
          <w:sz w:val="24"/>
          <w:highlight w:val="none"/>
          <w:lang w:eastAsia="zh-CN"/>
        </w:rPr>
        <w:t>，</w:t>
      </w:r>
      <w:r>
        <w:rPr>
          <w:rFonts w:hint="eastAsia" w:ascii="宋体" w:hAnsi="宋体" w:cs="宋体"/>
          <w:bCs/>
          <w:sz w:val="24"/>
          <w:highlight w:val="none"/>
        </w:rPr>
        <w:t>并要求会议记录人在开标记录中予以记录</w:t>
      </w:r>
      <w:r>
        <w:rPr>
          <w:rFonts w:hint="eastAsia" w:ascii="宋体" w:hAnsi="宋体" w:cs="宋体"/>
          <w:bCs/>
          <w:sz w:val="24"/>
          <w:highlight w:val="none"/>
          <w:lang w:eastAsia="zh-CN"/>
        </w:rPr>
        <w:t>，</w:t>
      </w:r>
      <w:r>
        <w:rPr>
          <w:rFonts w:hint="eastAsia" w:ascii="宋体" w:hAnsi="宋体" w:cs="宋体"/>
          <w:bCs/>
          <w:sz w:val="24"/>
          <w:highlight w:val="none"/>
        </w:rPr>
        <w:t>或者另行提供书面异议资料</w:t>
      </w:r>
      <w:r>
        <w:rPr>
          <w:rFonts w:hint="eastAsia" w:ascii="宋体" w:hAnsi="宋体" w:cs="宋体"/>
          <w:bCs/>
          <w:sz w:val="24"/>
          <w:highlight w:val="none"/>
          <w:lang w:eastAsia="zh-CN"/>
        </w:rPr>
        <w:t>，</w:t>
      </w:r>
      <w:r>
        <w:rPr>
          <w:rFonts w:hint="eastAsia" w:ascii="宋体" w:hAnsi="宋体" w:cs="宋体"/>
          <w:bCs/>
          <w:sz w:val="24"/>
          <w:highlight w:val="none"/>
        </w:rPr>
        <w:t>不签字又不提出异议的</w:t>
      </w:r>
      <w:r>
        <w:rPr>
          <w:rFonts w:hint="eastAsia" w:ascii="宋体" w:hAnsi="宋体" w:cs="宋体"/>
          <w:bCs/>
          <w:sz w:val="24"/>
          <w:highlight w:val="none"/>
          <w:lang w:eastAsia="zh-CN"/>
        </w:rPr>
        <w:t>，</w:t>
      </w:r>
      <w:r>
        <w:rPr>
          <w:rFonts w:hint="eastAsia" w:ascii="宋体" w:hAnsi="宋体" w:cs="宋体"/>
          <w:bCs/>
          <w:sz w:val="24"/>
          <w:highlight w:val="none"/>
        </w:rPr>
        <w:t>视同认可唱标内容和结果</w:t>
      </w:r>
      <w:r>
        <w:rPr>
          <w:rFonts w:hint="eastAsia" w:ascii="宋体" w:hAnsi="宋体" w:cs="宋体"/>
          <w:bCs/>
          <w:sz w:val="24"/>
          <w:highlight w:val="none"/>
          <w:lang w:eastAsia="zh-CN"/>
        </w:rPr>
        <w:t>，</w:t>
      </w:r>
      <w:r>
        <w:rPr>
          <w:rFonts w:hint="eastAsia" w:ascii="宋体" w:hAnsi="宋体" w:cs="宋体"/>
          <w:bCs/>
          <w:sz w:val="24"/>
          <w:highlight w:val="none"/>
        </w:rPr>
        <w:t>且不得干扰、阻挠开（唱）标、评标工作。</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（4）宣布开标会结束。主持人宣布开标会结束。所有投标人代表应立即退场（招标文件要求有演示、介绍等的除外）。同时所有投标人应保持通讯设备的畅通</w:t>
      </w:r>
      <w:r>
        <w:rPr>
          <w:rFonts w:hint="eastAsia" w:ascii="宋体" w:hAnsi="宋体" w:cs="宋体"/>
          <w:bCs/>
          <w:sz w:val="24"/>
          <w:highlight w:val="none"/>
          <w:lang w:eastAsia="zh-CN"/>
        </w:rPr>
        <w:t>，</w:t>
      </w:r>
      <w:r>
        <w:rPr>
          <w:rFonts w:hint="eastAsia" w:ascii="宋体" w:hAnsi="宋体" w:cs="宋体"/>
          <w:bCs/>
          <w:sz w:val="24"/>
          <w:highlight w:val="none"/>
        </w:rPr>
        <w:t>以方便在评标过程中评标委员会要求投标人对投标文件的必要澄清、说明和纠正。评标结果投标人在四川政府采购网上查询。</w:t>
      </w:r>
    </w:p>
    <w:p>
      <w:pPr>
        <w:adjustRightInd w:val="0"/>
        <w:snapToGrid w:val="0"/>
        <w:spacing w:line="360" w:lineRule="auto"/>
        <w:ind w:firstLine="482" w:firstLineChars="200"/>
        <w:outlineLvl w:val="2"/>
        <w:rPr>
          <w:rFonts w:ascii="宋体" w:hAnsi="宋体" w:cs="宋体"/>
          <w:b/>
          <w:sz w:val="24"/>
          <w:highlight w:val="none"/>
        </w:rPr>
      </w:pPr>
      <w:bookmarkStart w:id="128" w:name="_Toc183682375"/>
      <w:bookmarkStart w:id="129" w:name="_Toc183582238"/>
      <w:bookmarkStart w:id="130" w:name="_Toc217446063"/>
      <w:bookmarkStart w:id="131" w:name="_Toc308164809"/>
      <w:r>
        <w:rPr>
          <w:rFonts w:hint="eastAsia" w:ascii="宋体" w:hAnsi="宋体" w:cs="宋体"/>
          <w:b/>
          <w:sz w:val="24"/>
          <w:highlight w:val="none"/>
        </w:rPr>
        <w:t>24．开评标过程存档</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开标和评标过程进行全过程电子监控</w:t>
      </w:r>
      <w:r>
        <w:rPr>
          <w:rFonts w:hint="eastAsia" w:ascii="宋体" w:hAnsi="宋体" w:cs="宋体"/>
          <w:bCs/>
          <w:sz w:val="24"/>
          <w:highlight w:val="none"/>
          <w:lang w:eastAsia="zh-CN"/>
        </w:rPr>
        <w:t>，</w:t>
      </w:r>
      <w:r>
        <w:rPr>
          <w:rFonts w:hint="eastAsia" w:ascii="宋体" w:hAnsi="宋体" w:cs="宋体"/>
          <w:bCs/>
          <w:sz w:val="24"/>
          <w:highlight w:val="none"/>
        </w:rPr>
        <w:t>并将电子监控资料存储介质留存归档。</w:t>
      </w:r>
    </w:p>
    <w:p>
      <w:pPr>
        <w:adjustRightInd w:val="0"/>
        <w:snapToGrid w:val="0"/>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25．评标情况公告</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所有供应商投标文件资格性、符合性检查情况、采用综合评分法时的总得分和分项汇总得分情况、评标结果等将在四川政府采购网上采购结果公告栏中予以公告。</w:t>
      </w:r>
    </w:p>
    <w:p>
      <w:pPr>
        <w:adjustRightInd w:val="0"/>
        <w:snapToGrid w:val="0"/>
        <w:spacing w:line="360" w:lineRule="auto"/>
        <w:ind w:firstLine="482" w:firstLineChars="200"/>
        <w:outlineLvl w:val="2"/>
        <w:rPr>
          <w:rFonts w:ascii="宋体" w:hAnsi="宋体" w:cs="宋体"/>
          <w:b/>
          <w:sz w:val="24"/>
          <w:highlight w:val="none"/>
        </w:rPr>
      </w:pPr>
      <w:bookmarkStart w:id="132" w:name="_Toc503862784"/>
      <w:r>
        <w:rPr>
          <w:rFonts w:hint="eastAsia" w:ascii="宋体" w:hAnsi="宋体" w:cs="宋体"/>
          <w:b/>
          <w:sz w:val="24"/>
          <w:highlight w:val="none"/>
        </w:rPr>
        <w:t>26．中标通知</w:t>
      </w:r>
      <w:bookmarkEnd w:id="128"/>
      <w:bookmarkEnd w:id="129"/>
      <w:r>
        <w:rPr>
          <w:rFonts w:hint="eastAsia" w:ascii="宋体" w:hAnsi="宋体" w:cs="宋体"/>
          <w:b/>
          <w:sz w:val="24"/>
          <w:highlight w:val="none"/>
        </w:rPr>
        <w:t>书</w:t>
      </w:r>
      <w:bookmarkEnd w:id="130"/>
      <w:bookmarkEnd w:id="131"/>
      <w:bookmarkEnd w:id="132"/>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26.1 中标通知书为签订政府采购合同的依据之一</w:t>
      </w:r>
      <w:r>
        <w:rPr>
          <w:rFonts w:hint="eastAsia" w:ascii="宋体" w:hAnsi="宋体" w:cs="宋体"/>
          <w:bCs/>
          <w:sz w:val="24"/>
          <w:highlight w:val="none"/>
          <w:lang w:eastAsia="zh-CN"/>
        </w:rPr>
        <w:t>，</w:t>
      </w:r>
      <w:r>
        <w:rPr>
          <w:rFonts w:hint="eastAsia" w:ascii="宋体" w:hAnsi="宋体" w:cs="宋体"/>
          <w:bCs/>
          <w:sz w:val="24"/>
          <w:highlight w:val="none"/>
        </w:rPr>
        <w:t>是合同的有效组成部分。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26.2 投标人中标后</w:t>
      </w:r>
      <w:r>
        <w:rPr>
          <w:rFonts w:hint="eastAsia" w:ascii="宋体" w:hAnsi="宋体" w:cs="宋体"/>
          <w:bCs/>
          <w:sz w:val="24"/>
          <w:highlight w:val="none"/>
          <w:lang w:eastAsia="zh-CN"/>
        </w:rPr>
        <w:t>，</w:t>
      </w:r>
      <w:r>
        <w:rPr>
          <w:rFonts w:hint="eastAsia" w:ascii="宋体" w:hAnsi="宋体" w:cs="宋体"/>
          <w:bCs/>
          <w:sz w:val="24"/>
          <w:highlight w:val="none"/>
        </w:rPr>
        <w:t>拒绝领取中标通知书的</w:t>
      </w:r>
      <w:r>
        <w:rPr>
          <w:rFonts w:hint="eastAsia" w:ascii="宋体" w:hAnsi="宋体" w:cs="宋体"/>
          <w:bCs/>
          <w:sz w:val="24"/>
          <w:highlight w:val="none"/>
          <w:lang w:eastAsia="zh-CN"/>
        </w:rPr>
        <w:t>，</w:t>
      </w:r>
      <w:r>
        <w:rPr>
          <w:rFonts w:hint="eastAsia" w:ascii="宋体" w:hAnsi="宋体" w:cs="宋体"/>
          <w:bCs/>
          <w:sz w:val="24"/>
          <w:highlight w:val="none"/>
        </w:rPr>
        <w:t>招标采购单位将于中标供应商确定之日起两个工作日内采取邮寄、快递方式按照投标人投标文件中的地址发出中标通知书。</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26.3 中标通知书对采购人和中标人均具有法律效力。中标通知书发出后</w:t>
      </w:r>
      <w:r>
        <w:rPr>
          <w:rFonts w:hint="eastAsia" w:ascii="宋体" w:hAnsi="宋体" w:cs="宋体"/>
          <w:bCs/>
          <w:sz w:val="24"/>
          <w:highlight w:val="none"/>
          <w:lang w:eastAsia="zh-CN"/>
        </w:rPr>
        <w:t>，</w:t>
      </w:r>
      <w:r>
        <w:rPr>
          <w:rFonts w:hint="eastAsia" w:ascii="宋体" w:hAnsi="宋体" w:cs="宋体"/>
          <w:bCs/>
          <w:sz w:val="24"/>
          <w:highlight w:val="none"/>
        </w:rPr>
        <w:t>采购人改变中标结果</w:t>
      </w:r>
      <w:r>
        <w:rPr>
          <w:rFonts w:hint="eastAsia" w:ascii="宋体" w:hAnsi="宋体" w:cs="宋体"/>
          <w:bCs/>
          <w:sz w:val="24"/>
          <w:highlight w:val="none"/>
          <w:lang w:eastAsia="zh-CN"/>
        </w:rPr>
        <w:t>，</w:t>
      </w:r>
      <w:r>
        <w:rPr>
          <w:rFonts w:hint="eastAsia" w:ascii="宋体" w:hAnsi="宋体" w:cs="宋体"/>
          <w:bCs/>
          <w:sz w:val="24"/>
          <w:highlight w:val="none"/>
        </w:rPr>
        <w:t>或者中标人无正当理由放弃中标的</w:t>
      </w:r>
      <w:r>
        <w:rPr>
          <w:rFonts w:hint="eastAsia" w:ascii="宋体" w:hAnsi="宋体" w:cs="宋体"/>
          <w:bCs/>
          <w:sz w:val="24"/>
          <w:highlight w:val="none"/>
          <w:lang w:eastAsia="zh-CN"/>
        </w:rPr>
        <w:t>，</w:t>
      </w:r>
      <w:r>
        <w:rPr>
          <w:rFonts w:hint="eastAsia" w:ascii="宋体" w:hAnsi="宋体" w:cs="宋体"/>
          <w:bCs/>
          <w:sz w:val="24"/>
          <w:highlight w:val="none"/>
        </w:rPr>
        <w:t>应当承担相应的法律责任。</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26.4</w:t>
      </w:r>
      <w:r>
        <w:rPr>
          <w:rFonts w:hint="eastAsia" w:ascii="宋体" w:hAnsi="宋体" w:cs="宋体"/>
          <w:bCs/>
          <w:sz w:val="24"/>
          <w:highlight w:val="none"/>
          <w:lang w:val="en-US" w:eastAsia="zh-CN"/>
        </w:rPr>
        <w:t xml:space="preserve"> </w:t>
      </w:r>
      <w:r>
        <w:rPr>
          <w:rFonts w:hint="eastAsia" w:ascii="宋体" w:hAnsi="宋体" w:cs="宋体"/>
          <w:bCs/>
          <w:sz w:val="24"/>
          <w:highlight w:val="none"/>
        </w:rPr>
        <w:t>中标人的投标文件本应作为无效投标处理或者有政府采购法律法规规章制度规定的中标无效情形的</w:t>
      </w:r>
      <w:r>
        <w:rPr>
          <w:rFonts w:hint="eastAsia" w:ascii="宋体" w:hAnsi="宋体" w:cs="宋体"/>
          <w:bCs/>
          <w:sz w:val="24"/>
          <w:highlight w:val="none"/>
          <w:lang w:eastAsia="zh-CN"/>
        </w:rPr>
        <w:t>，</w:t>
      </w:r>
      <w:r>
        <w:rPr>
          <w:rFonts w:hint="eastAsia" w:ascii="宋体" w:hAnsi="宋体" w:cs="宋体"/>
          <w:bCs/>
          <w:sz w:val="24"/>
          <w:highlight w:val="none"/>
        </w:rPr>
        <w:t>招标采购单位在取得有权主体的认定以后</w:t>
      </w:r>
      <w:r>
        <w:rPr>
          <w:rFonts w:hint="eastAsia" w:ascii="宋体" w:hAnsi="宋体" w:cs="宋体"/>
          <w:bCs/>
          <w:sz w:val="24"/>
          <w:highlight w:val="none"/>
          <w:lang w:eastAsia="zh-CN"/>
        </w:rPr>
        <w:t>，</w:t>
      </w:r>
      <w:r>
        <w:rPr>
          <w:rFonts w:hint="eastAsia" w:ascii="宋体" w:hAnsi="宋体" w:cs="宋体"/>
          <w:bCs/>
          <w:sz w:val="24"/>
          <w:highlight w:val="none"/>
        </w:rPr>
        <w:t>将宣布发出的中标通知书无效</w:t>
      </w:r>
      <w:r>
        <w:rPr>
          <w:rFonts w:hint="eastAsia" w:ascii="宋体" w:hAnsi="宋体" w:cs="宋体"/>
          <w:bCs/>
          <w:sz w:val="24"/>
          <w:highlight w:val="none"/>
          <w:lang w:eastAsia="zh-CN"/>
        </w:rPr>
        <w:t>，</w:t>
      </w:r>
      <w:r>
        <w:rPr>
          <w:rFonts w:hint="eastAsia" w:ascii="宋体" w:hAnsi="宋体" w:cs="宋体"/>
          <w:bCs/>
          <w:sz w:val="24"/>
          <w:highlight w:val="none"/>
        </w:rPr>
        <w:t>并收回发出的中标通知书（中标人也应当缴回）</w:t>
      </w:r>
      <w:r>
        <w:rPr>
          <w:rFonts w:hint="eastAsia" w:ascii="宋体" w:hAnsi="宋体" w:cs="宋体"/>
          <w:bCs/>
          <w:sz w:val="24"/>
          <w:highlight w:val="none"/>
          <w:lang w:eastAsia="zh-CN"/>
        </w:rPr>
        <w:t>，</w:t>
      </w:r>
      <w:r>
        <w:rPr>
          <w:rFonts w:hint="eastAsia" w:ascii="宋体" w:hAnsi="宋体" w:cs="宋体"/>
          <w:bCs/>
          <w:sz w:val="24"/>
          <w:highlight w:val="none"/>
        </w:rPr>
        <w:t>依法重新确定中标人或者重新开展采购活动。</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26.5</w:t>
      </w:r>
      <w:r>
        <w:rPr>
          <w:rFonts w:hint="eastAsia" w:ascii="宋体" w:hAnsi="宋体" w:cs="宋体"/>
          <w:bCs/>
          <w:sz w:val="24"/>
          <w:highlight w:val="none"/>
          <w:lang w:val="en-US" w:eastAsia="zh-CN"/>
        </w:rPr>
        <w:t xml:space="preserve"> </w:t>
      </w:r>
      <w:r>
        <w:rPr>
          <w:rFonts w:hint="eastAsia" w:ascii="宋体" w:hAnsi="宋体" w:cs="宋体"/>
          <w:bCs/>
          <w:sz w:val="24"/>
          <w:highlight w:val="none"/>
        </w:rPr>
        <w:t>中标公告发出后</w:t>
      </w:r>
      <w:r>
        <w:rPr>
          <w:rFonts w:hint="eastAsia" w:ascii="宋体" w:hAnsi="宋体" w:cs="宋体"/>
          <w:bCs/>
          <w:sz w:val="24"/>
          <w:highlight w:val="none"/>
          <w:lang w:eastAsia="zh-CN"/>
        </w:rPr>
        <w:t>，</w:t>
      </w:r>
      <w:r>
        <w:rPr>
          <w:rFonts w:hint="eastAsia" w:ascii="宋体" w:hAnsi="宋体" w:cs="宋体"/>
          <w:bCs/>
          <w:sz w:val="24"/>
          <w:highlight w:val="none"/>
        </w:rPr>
        <w:t>中标供应商自行领取中标通知书的</w:t>
      </w:r>
      <w:r>
        <w:rPr>
          <w:rFonts w:hint="eastAsia" w:ascii="宋体" w:hAnsi="宋体" w:cs="宋体"/>
          <w:bCs/>
          <w:sz w:val="24"/>
          <w:highlight w:val="none"/>
          <w:lang w:eastAsia="zh-CN"/>
        </w:rPr>
        <w:t>，</w:t>
      </w:r>
      <w:r>
        <w:rPr>
          <w:rFonts w:hint="eastAsia" w:ascii="宋体" w:hAnsi="宋体" w:cs="宋体"/>
          <w:bCs/>
          <w:sz w:val="24"/>
          <w:highlight w:val="none"/>
        </w:rPr>
        <w:t>可凭有效身份证明证件到招标代理公司领取中标通知书。</w:t>
      </w:r>
    </w:p>
    <w:p>
      <w:pPr>
        <w:tabs>
          <w:tab w:val="left" w:pos="5142"/>
        </w:tabs>
        <w:jc w:val="center"/>
        <w:outlineLvl w:val="1"/>
        <w:rPr>
          <w:rFonts w:ascii="宋体" w:hAnsi="宋体" w:cs="宋体"/>
          <w:b/>
          <w:sz w:val="30"/>
          <w:szCs w:val="30"/>
          <w:highlight w:val="none"/>
        </w:rPr>
      </w:pPr>
      <w:bookmarkStart w:id="133" w:name="_Toc503862785"/>
      <w:bookmarkStart w:id="134" w:name="_Toc217446064"/>
      <w:bookmarkStart w:id="135" w:name="_Toc308164810"/>
      <w:bookmarkStart w:id="136" w:name="_Toc183582240"/>
      <w:bookmarkStart w:id="137" w:name="_Toc183682377"/>
      <w:r>
        <w:rPr>
          <w:rFonts w:hint="eastAsia" w:ascii="宋体" w:hAnsi="宋体" w:cs="宋体"/>
          <w:b/>
          <w:sz w:val="30"/>
          <w:szCs w:val="30"/>
          <w:highlight w:val="none"/>
        </w:rPr>
        <w:t>六、签订及履行合同和验收</w:t>
      </w:r>
      <w:bookmarkEnd w:id="133"/>
      <w:bookmarkEnd w:id="134"/>
      <w:bookmarkEnd w:id="135"/>
    </w:p>
    <w:p>
      <w:pPr>
        <w:adjustRightInd w:val="0"/>
        <w:snapToGrid w:val="0"/>
        <w:spacing w:line="360" w:lineRule="auto"/>
        <w:ind w:firstLine="482" w:firstLineChars="200"/>
        <w:outlineLvl w:val="2"/>
        <w:rPr>
          <w:rFonts w:ascii="宋体" w:hAnsi="宋体" w:cs="宋体"/>
          <w:b/>
          <w:sz w:val="24"/>
          <w:highlight w:val="none"/>
        </w:rPr>
      </w:pPr>
      <w:bookmarkStart w:id="138" w:name="_Toc308164811"/>
      <w:bookmarkStart w:id="139" w:name="_Toc217446065"/>
      <w:bookmarkStart w:id="140" w:name="_Toc503862786"/>
      <w:r>
        <w:rPr>
          <w:rFonts w:hint="eastAsia" w:ascii="宋体" w:hAnsi="宋体" w:cs="宋体"/>
          <w:b/>
          <w:sz w:val="24"/>
          <w:highlight w:val="none"/>
        </w:rPr>
        <w:t>27．签订合同</w:t>
      </w:r>
      <w:bookmarkEnd w:id="138"/>
      <w:bookmarkEnd w:id="139"/>
      <w:bookmarkEnd w:id="140"/>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27.1 中标人应在中标通知书发出之日起三十日内与采购人签订采购合同。由于中标人的原因逾期未与采购人签订采购合同的</w:t>
      </w:r>
      <w:r>
        <w:rPr>
          <w:rFonts w:hint="eastAsia" w:ascii="宋体" w:hAnsi="宋体" w:cs="宋体"/>
          <w:bCs/>
          <w:sz w:val="24"/>
          <w:highlight w:val="none"/>
          <w:lang w:eastAsia="zh-CN"/>
        </w:rPr>
        <w:t>，</w:t>
      </w:r>
      <w:r>
        <w:rPr>
          <w:rFonts w:hint="eastAsia" w:ascii="宋体" w:hAnsi="宋体" w:cs="宋体"/>
          <w:bCs/>
          <w:sz w:val="24"/>
          <w:highlight w:val="none"/>
        </w:rPr>
        <w:t>将视为放弃中标</w:t>
      </w:r>
      <w:r>
        <w:rPr>
          <w:rFonts w:hint="eastAsia" w:ascii="宋体" w:hAnsi="宋体" w:cs="宋体"/>
          <w:bCs/>
          <w:sz w:val="24"/>
          <w:highlight w:val="none"/>
          <w:lang w:eastAsia="zh-CN"/>
        </w:rPr>
        <w:t>，</w:t>
      </w:r>
      <w:r>
        <w:rPr>
          <w:rFonts w:hint="eastAsia" w:ascii="宋体" w:hAnsi="宋体" w:cs="宋体"/>
          <w:bCs/>
          <w:sz w:val="24"/>
          <w:highlight w:val="none"/>
        </w:rPr>
        <w:t>取消其中标资格并将按相关规定进行处理。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27.2 采购人不得向中标人提出任何不合理的要求</w:t>
      </w:r>
      <w:r>
        <w:rPr>
          <w:rFonts w:hint="eastAsia" w:ascii="宋体" w:hAnsi="宋体" w:cs="宋体"/>
          <w:bCs/>
          <w:sz w:val="24"/>
          <w:highlight w:val="none"/>
          <w:lang w:eastAsia="zh-CN"/>
        </w:rPr>
        <w:t>，</w:t>
      </w:r>
      <w:r>
        <w:rPr>
          <w:rFonts w:hint="eastAsia" w:ascii="宋体" w:hAnsi="宋体" w:cs="宋体"/>
          <w:bCs/>
          <w:sz w:val="24"/>
          <w:highlight w:val="none"/>
        </w:rPr>
        <w:t>作为签订合同的条件</w:t>
      </w:r>
      <w:r>
        <w:rPr>
          <w:rFonts w:hint="eastAsia" w:ascii="宋体" w:hAnsi="宋体" w:cs="宋体"/>
          <w:bCs/>
          <w:sz w:val="24"/>
          <w:highlight w:val="none"/>
          <w:lang w:eastAsia="zh-CN"/>
        </w:rPr>
        <w:t>，</w:t>
      </w:r>
      <w:r>
        <w:rPr>
          <w:rFonts w:hint="eastAsia" w:ascii="宋体" w:hAnsi="宋体" w:cs="宋体"/>
          <w:bCs/>
          <w:sz w:val="24"/>
          <w:highlight w:val="none"/>
        </w:rPr>
        <w:t>不得与中标人私下订立背离合同实质性内容的任何协议</w:t>
      </w:r>
      <w:r>
        <w:rPr>
          <w:rFonts w:hint="eastAsia" w:ascii="宋体" w:hAnsi="宋体" w:cs="宋体"/>
          <w:bCs/>
          <w:sz w:val="24"/>
          <w:highlight w:val="none"/>
          <w:lang w:eastAsia="zh-CN"/>
        </w:rPr>
        <w:t>，</w:t>
      </w:r>
      <w:r>
        <w:rPr>
          <w:rFonts w:hint="eastAsia" w:ascii="宋体" w:hAnsi="宋体" w:cs="宋体"/>
          <w:bCs/>
          <w:sz w:val="24"/>
          <w:highlight w:val="none"/>
        </w:rPr>
        <w:t>所签订的合同不得对招标文件和中标人投标文件确定的事项进行修改。</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27.3 中标人因不可抗力原因不能履行采购合同或放弃中标的</w:t>
      </w:r>
      <w:r>
        <w:rPr>
          <w:rFonts w:hint="eastAsia" w:ascii="宋体" w:hAnsi="宋体" w:cs="宋体"/>
          <w:bCs/>
          <w:sz w:val="24"/>
          <w:highlight w:val="none"/>
          <w:lang w:eastAsia="zh-CN"/>
        </w:rPr>
        <w:t>，</w:t>
      </w:r>
      <w:r>
        <w:rPr>
          <w:rFonts w:hint="eastAsia" w:ascii="宋体" w:hAnsi="宋体" w:cs="宋体"/>
          <w:bCs/>
          <w:sz w:val="24"/>
          <w:highlight w:val="none"/>
        </w:rPr>
        <w:t>采购人可以与排在中标人之后第一位的中标候选人签订采购合同也可选择依法重新组织招标。</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27.4 中标人在合同签订之后3个工作日内</w:t>
      </w:r>
      <w:r>
        <w:rPr>
          <w:rFonts w:hint="eastAsia" w:ascii="宋体" w:hAnsi="宋体" w:cs="宋体"/>
          <w:bCs/>
          <w:sz w:val="24"/>
          <w:highlight w:val="none"/>
          <w:lang w:eastAsia="zh-CN"/>
        </w:rPr>
        <w:t>，</w:t>
      </w:r>
      <w:r>
        <w:rPr>
          <w:rFonts w:hint="eastAsia" w:ascii="宋体" w:hAnsi="宋体" w:cs="宋体"/>
          <w:bCs/>
          <w:sz w:val="24"/>
          <w:highlight w:val="none"/>
        </w:rPr>
        <w:t>将签订的合同送至采购项目所属财政部门备案。</w:t>
      </w:r>
    </w:p>
    <w:p>
      <w:pPr>
        <w:adjustRightInd w:val="0"/>
        <w:snapToGrid w:val="0"/>
        <w:spacing w:line="360" w:lineRule="auto"/>
        <w:ind w:firstLine="482" w:firstLineChars="200"/>
        <w:outlineLvl w:val="2"/>
        <w:rPr>
          <w:rFonts w:ascii="宋体" w:hAnsi="宋体" w:cs="宋体"/>
          <w:b/>
          <w:sz w:val="24"/>
          <w:highlight w:val="none"/>
        </w:rPr>
      </w:pPr>
      <w:bookmarkStart w:id="141" w:name="_Toc503862787"/>
      <w:r>
        <w:rPr>
          <w:rFonts w:hint="eastAsia" w:ascii="宋体" w:hAnsi="宋体" w:cs="宋体"/>
          <w:b/>
          <w:sz w:val="24"/>
          <w:highlight w:val="none"/>
        </w:rPr>
        <w:t>28．合同分包（实质性要求）</w:t>
      </w:r>
    </w:p>
    <w:p>
      <w:pPr>
        <w:adjustRightInd w:val="0"/>
        <w:snapToGrid w:val="0"/>
        <w:spacing w:line="360" w:lineRule="auto"/>
        <w:ind w:firstLine="480" w:firstLineChars="200"/>
        <w:rPr>
          <w:rFonts w:ascii="宋体" w:hAnsi="宋体" w:cs="宋体"/>
          <w:bCs/>
          <w:sz w:val="24"/>
          <w:highlight w:val="none"/>
        </w:rPr>
      </w:pPr>
      <w:bookmarkStart w:id="142" w:name="_Toc217446067"/>
      <w:r>
        <w:rPr>
          <w:rFonts w:hint="eastAsia" w:ascii="宋体" w:hAnsi="宋体" w:cs="宋体"/>
          <w:bCs/>
          <w:sz w:val="24"/>
          <w:highlight w:val="none"/>
        </w:rPr>
        <w:t>28.1 经采购人同意</w:t>
      </w:r>
      <w:r>
        <w:rPr>
          <w:rFonts w:hint="eastAsia" w:ascii="宋体" w:hAnsi="宋体" w:cs="宋体"/>
          <w:bCs/>
          <w:sz w:val="24"/>
          <w:highlight w:val="none"/>
          <w:lang w:eastAsia="zh-CN"/>
        </w:rPr>
        <w:t>，</w:t>
      </w:r>
      <w:r>
        <w:rPr>
          <w:rFonts w:hint="eastAsia" w:ascii="宋体" w:hAnsi="宋体" w:cs="宋体"/>
          <w:bCs/>
          <w:sz w:val="24"/>
          <w:highlight w:val="none"/>
        </w:rPr>
        <w:t>中标人可以依法采取分包方式履行合同。这种要求应当在合同签订之前征得采购人同意</w:t>
      </w:r>
      <w:r>
        <w:rPr>
          <w:rFonts w:hint="eastAsia" w:ascii="宋体" w:hAnsi="宋体" w:cs="宋体"/>
          <w:bCs/>
          <w:sz w:val="24"/>
          <w:highlight w:val="none"/>
          <w:lang w:eastAsia="zh-CN"/>
        </w:rPr>
        <w:t>，</w:t>
      </w:r>
      <w:r>
        <w:rPr>
          <w:rFonts w:hint="eastAsia" w:ascii="宋体" w:hAnsi="宋体" w:cs="宋体"/>
          <w:bCs/>
          <w:sz w:val="24"/>
          <w:highlight w:val="none"/>
        </w:rPr>
        <w:t>并且分包供应商履行的分包项目的品牌、规格型号及技术要求等</w:t>
      </w:r>
      <w:r>
        <w:rPr>
          <w:rFonts w:hint="eastAsia" w:ascii="宋体" w:hAnsi="宋体" w:cs="宋体"/>
          <w:bCs/>
          <w:sz w:val="24"/>
          <w:highlight w:val="none"/>
          <w:lang w:eastAsia="zh-CN"/>
        </w:rPr>
        <w:t>，</w:t>
      </w:r>
      <w:r>
        <w:rPr>
          <w:rFonts w:hint="eastAsia" w:ascii="宋体" w:hAnsi="宋体" w:cs="宋体"/>
          <w:bCs/>
          <w:sz w:val="24"/>
          <w:highlight w:val="none"/>
        </w:rPr>
        <w:t>必须与中标的一致。</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分包履行合同的部分应当为采购项目的非主体、非关键性工作</w:t>
      </w:r>
      <w:r>
        <w:rPr>
          <w:rFonts w:hint="eastAsia" w:ascii="宋体" w:hAnsi="宋体" w:cs="宋体"/>
          <w:bCs/>
          <w:sz w:val="24"/>
          <w:highlight w:val="none"/>
          <w:lang w:eastAsia="zh-CN"/>
        </w:rPr>
        <w:t>，</w:t>
      </w:r>
      <w:r>
        <w:rPr>
          <w:rFonts w:hint="eastAsia" w:ascii="宋体" w:hAnsi="宋体" w:cs="宋体"/>
          <w:bCs/>
          <w:sz w:val="24"/>
          <w:highlight w:val="none"/>
        </w:rPr>
        <w:t>不属于中标人的主要合同义务。投标人根据招标文件的规定和采购项目的实际情况</w:t>
      </w:r>
      <w:r>
        <w:rPr>
          <w:rFonts w:hint="eastAsia" w:ascii="宋体" w:hAnsi="宋体" w:cs="宋体"/>
          <w:bCs/>
          <w:sz w:val="24"/>
          <w:highlight w:val="none"/>
          <w:lang w:eastAsia="zh-CN"/>
        </w:rPr>
        <w:t>，</w:t>
      </w:r>
      <w:r>
        <w:rPr>
          <w:rFonts w:hint="eastAsia" w:ascii="宋体" w:hAnsi="宋体" w:cs="宋体"/>
          <w:bCs/>
          <w:sz w:val="24"/>
          <w:highlight w:val="none"/>
        </w:rPr>
        <w:t>拟在中标后将中标项目的非主体、非关键性工作分包的</w:t>
      </w:r>
      <w:r>
        <w:rPr>
          <w:rFonts w:hint="eastAsia" w:ascii="宋体" w:hAnsi="宋体" w:cs="宋体"/>
          <w:bCs/>
          <w:sz w:val="24"/>
          <w:highlight w:val="none"/>
          <w:lang w:eastAsia="zh-CN"/>
        </w:rPr>
        <w:t>，</w:t>
      </w:r>
      <w:r>
        <w:rPr>
          <w:rFonts w:hint="eastAsia" w:ascii="宋体" w:hAnsi="宋体" w:cs="宋体"/>
          <w:bCs/>
          <w:sz w:val="24"/>
          <w:highlight w:val="none"/>
        </w:rPr>
        <w:t>应当在投标文件中载明分包承担主体</w:t>
      </w:r>
      <w:r>
        <w:rPr>
          <w:rFonts w:hint="eastAsia" w:ascii="宋体" w:hAnsi="宋体" w:cs="宋体"/>
          <w:bCs/>
          <w:sz w:val="24"/>
          <w:highlight w:val="none"/>
          <w:lang w:eastAsia="zh-CN"/>
        </w:rPr>
        <w:t>，</w:t>
      </w:r>
      <w:r>
        <w:rPr>
          <w:rFonts w:hint="eastAsia" w:ascii="宋体" w:hAnsi="宋体" w:cs="宋体"/>
          <w:bCs/>
          <w:sz w:val="24"/>
          <w:highlight w:val="none"/>
        </w:rPr>
        <w:t>分包承担主体应当具备相应资质条件且不得再次分包。</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28.2 采购合同实行分包履行的</w:t>
      </w:r>
      <w:r>
        <w:rPr>
          <w:rFonts w:hint="eastAsia" w:ascii="宋体" w:hAnsi="宋体" w:cs="宋体"/>
          <w:bCs/>
          <w:sz w:val="24"/>
          <w:highlight w:val="none"/>
          <w:lang w:eastAsia="zh-CN"/>
        </w:rPr>
        <w:t>，</w:t>
      </w:r>
      <w:r>
        <w:rPr>
          <w:rFonts w:hint="eastAsia" w:ascii="宋体" w:hAnsi="宋体" w:cs="宋体"/>
          <w:bCs/>
          <w:sz w:val="24"/>
          <w:highlight w:val="none"/>
        </w:rPr>
        <w:t>中标人就采购项目和分包项目向采购人负责</w:t>
      </w:r>
      <w:r>
        <w:rPr>
          <w:rFonts w:hint="eastAsia" w:ascii="宋体" w:hAnsi="宋体" w:cs="宋体"/>
          <w:bCs/>
          <w:sz w:val="24"/>
          <w:highlight w:val="none"/>
          <w:lang w:eastAsia="zh-CN"/>
        </w:rPr>
        <w:t>，</w:t>
      </w:r>
      <w:r>
        <w:rPr>
          <w:rFonts w:hint="eastAsia" w:ascii="宋体" w:hAnsi="宋体" w:cs="宋体"/>
          <w:bCs/>
          <w:sz w:val="24"/>
          <w:highlight w:val="none"/>
        </w:rPr>
        <w:t>分包供应商就分包项目承担责任。</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28.3 中小企业依据《政府采购促进中小企业发展管理办法》财库〔2020〕46号规定的政策获取政府采购合同后</w:t>
      </w:r>
      <w:r>
        <w:rPr>
          <w:rFonts w:hint="eastAsia" w:ascii="宋体" w:hAnsi="宋体" w:cs="宋体"/>
          <w:bCs/>
          <w:sz w:val="24"/>
          <w:highlight w:val="none"/>
          <w:lang w:eastAsia="zh-CN"/>
        </w:rPr>
        <w:t>，</w:t>
      </w:r>
      <w:r>
        <w:rPr>
          <w:rFonts w:hint="eastAsia" w:ascii="宋体" w:hAnsi="宋体" w:cs="宋体"/>
          <w:bCs/>
          <w:sz w:val="24"/>
          <w:highlight w:val="none"/>
        </w:rPr>
        <w:t>小型、微型企业不得分包或转包给大型、中型企业</w:t>
      </w:r>
      <w:r>
        <w:rPr>
          <w:rFonts w:hint="eastAsia" w:ascii="宋体" w:hAnsi="宋体" w:cs="宋体"/>
          <w:bCs/>
          <w:sz w:val="24"/>
          <w:highlight w:val="none"/>
          <w:lang w:eastAsia="zh-CN"/>
        </w:rPr>
        <w:t>，</w:t>
      </w:r>
      <w:r>
        <w:rPr>
          <w:rFonts w:hint="eastAsia" w:ascii="宋体" w:hAnsi="宋体" w:cs="宋体"/>
          <w:bCs/>
          <w:sz w:val="24"/>
          <w:highlight w:val="none"/>
        </w:rPr>
        <w:t>中型企业不得分包或转包给大型企业。</w:t>
      </w:r>
      <w:bookmarkEnd w:id="142"/>
    </w:p>
    <w:p>
      <w:pPr>
        <w:adjustRightInd w:val="0"/>
        <w:snapToGrid w:val="0"/>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29．合同转包（实质性要求）</w:t>
      </w:r>
      <w:bookmarkEnd w:id="141"/>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本采购项目严禁中标人将任何政府采购合同义务转包。本项目所称转包</w:t>
      </w:r>
      <w:r>
        <w:rPr>
          <w:rFonts w:hint="eastAsia" w:ascii="宋体" w:hAnsi="宋体" w:cs="宋体"/>
          <w:bCs/>
          <w:sz w:val="24"/>
          <w:highlight w:val="none"/>
          <w:lang w:eastAsia="zh-CN"/>
        </w:rPr>
        <w:t>，</w:t>
      </w:r>
      <w:r>
        <w:rPr>
          <w:rFonts w:hint="eastAsia" w:ascii="宋体" w:hAnsi="宋体" w:cs="宋体"/>
          <w:bCs/>
          <w:sz w:val="24"/>
          <w:highlight w:val="none"/>
        </w:rPr>
        <w:t>是指中标人将政府采购合同义务转让给第三人</w:t>
      </w:r>
      <w:r>
        <w:rPr>
          <w:rFonts w:hint="eastAsia" w:ascii="宋体" w:hAnsi="宋体" w:cs="宋体"/>
          <w:bCs/>
          <w:sz w:val="24"/>
          <w:highlight w:val="none"/>
          <w:lang w:eastAsia="zh-CN"/>
        </w:rPr>
        <w:t>，</w:t>
      </w:r>
      <w:r>
        <w:rPr>
          <w:rFonts w:hint="eastAsia" w:ascii="宋体" w:hAnsi="宋体" w:cs="宋体"/>
          <w:bCs/>
          <w:sz w:val="24"/>
          <w:highlight w:val="none"/>
        </w:rPr>
        <w:t>并退出现有政府采购合同当事人双方的权利义务关系</w:t>
      </w:r>
      <w:r>
        <w:rPr>
          <w:rFonts w:hint="eastAsia" w:ascii="宋体" w:hAnsi="宋体" w:cs="宋体"/>
          <w:bCs/>
          <w:sz w:val="24"/>
          <w:highlight w:val="none"/>
          <w:lang w:eastAsia="zh-CN"/>
        </w:rPr>
        <w:t>，</w:t>
      </w:r>
      <w:r>
        <w:rPr>
          <w:rFonts w:hint="eastAsia" w:ascii="宋体" w:hAnsi="宋体" w:cs="宋体"/>
          <w:bCs/>
          <w:sz w:val="24"/>
          <w:highlight w:val="none"/>
        </w:rPr>
        <w:t>受让人（即第三人）成为政府采购合同的另一方当事人的行为。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中标人转包的</w:t>
      </w:r>
      <w:r>
        <w:rPr>
          <w:rFonts w:hint="eastAsia" w:ascii="宋体" w:hAnsi="宋体" w:cs="宋体"/>
          <w:bCs/>
          <w:sz w:val="24"/>
          <w:highlight w:val="none"/>
          <w:lang w:eastAsia="zh-CN"/>
        </w:rPr>
        <w:t>，</w:t>
      </w:r>
      <w:r>
        <w:rPr>
          <w:rFonts w:hint="eastAsia" w:ascii="宋体" w:hAnsi="宋体" w:cs="宋体"/>
          <w:bCs/>
          <w:sz w:val="24"/>
          <w:highlight w:val="none"/>
        </w:rPr>
        <w:t>视同拒绝履行政府采购合同义务</w:t>
      </w:r>
      <w:r>
        <w:rPr>
          <w:rFonts w:hint="eastAsia" w:ascii="宋体" w:hAnsi="宋体" w:cs="宋体"/>
          <w:bCs/>
          <w:sz w:val="24"/>
          <w:highlight w:val="none"/>
          <w:lang w:eastAsia="zh-CN"/>
        </w:rPr>
        <w:t>，</w:t>
      </w:r>
      <w:r>
        <w:rPr>
          <w:rFonts w:hint="eastAsia" w:ascii="宋体" w:hAnsi="宋体" w:cs="宋体"/>
          <w:bCs/>
          <w:sz w:val="24"/>
          <w:highlight w:val="none"/>
        </w:rPr>
        <w:t>将依法追究法律责任。</w:t>
      </w:r>
    </w:p>
    <w:p>
      <w:pPr>
        <w:adjustRightInd w:val="0"/>
        <w:snapToGrid w:val="0"/>
        <w:spacing w:line="360" w:lineRule="auto"/>
        <w:ind w:firstLine="482" w:firstLineChars="200"/>
        <w:outlineLvl w:val="2"/>
        <w:rPr>
          <w:rFonts w:ascii="宋体" w:hAnsi="宋体" w:cs="宋体"/>
          <w:b/>
          <w:sz w:val="24"/>
          <w:highlight w:val="none"/>
        </w:rPr>
      </w:pPr>
      <w:bookmarkStart w:id="143" w:name="_Toc217446066"/>
      <w:bookmarkStart w:id="144" w:name="_Toc503862788"/>
      <w:r>
        <w:rPr>
          <w:rFonts w:hint="eastAsia" w:ascii="宋体" w:hAnsi="宋体" w:cs="宋体"/>
          <w:b/>
          <w:sz w:val="24"/>
          <w:highlight w:val="none"/>
        </w:rPr>
        <w:t>30</w:t>
      </w:r>
      <w:bookmarkEnd w:id="143"/>
      <w:r>
        <w:rPr>
          <w:rFonts w:hint="eastAsia" w:ascii="宋体" w:hAnsi="宋体" w:cs="宋体"/>
          <w:b/>
          <w:sz w:val="24"/>
          <w:highlight w:val="none"/>
        </w:rPr>
        <w:t>．补充合同</w:t>
      </w:r>
      <w:bookmarkEnd w:id="144"/>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采购合同履行过程中</w:t>
      </w:r>
      <w:r>
        <w:rPr>
          <w:rFonts w:hint="eastAsia" w:ascii="宋体" w:hAnsi="宋体" w:cs="宋体"/>
          <w:bCs/>
          <w:sz w:val="24"/>
          <w:highlight w:val="none"/>
          <w:lang w:eastAsia="zh-CN"/>
        </w:rPr>
        <w:t>，</w:t>
      </w:r>
      <w:r>
        <w:rPr>
          <w:rFonts w:hint="eastAsia" w:ascii="宋体" w:hAnsi="宋体" w:cs="宋体"/>
          <w:bCs/>
          <w:sz w:val="24"/>
          <w:highlight w:val="none"/>
        </w:rPr>
        <w:t>采购人需要追加与合同标的相同的货物或者服务的</w:t>
      </w:r>
      <w:r>
        <w:rPr>
          <w:rFonts w:hint="eastAsia" w:ascii="宋体" w:hAnsi="宋体" w:cs="宋体"/>
          <w:bCs/>
          <w:sz w:val="24"/>
          <w:highlight w:val="none"/>
          <w:lang w:eastAsia="zh-CN"/>
        </w:rPr>
        <w:t>，</w:t>
      </w:r>
      <w:r>
        <w:rPr>
          <w:rFonts w:hint="eastAsia" w:ascii="宋体" w:hAnsi="宋体" w:cs="宋体"/>
          <w:bCs/>
          <w:sz w:val="24"/>
          <w:highlight w:val="none"/>
        </w:rPr>
        <w:t>在不改变合同其他条款的前提下</w:t>
      </w:r>
      <w:r>
        <w:rPr>
          <w:rFonts w:hint="eastAsia" w:ascii="宋体" w:hAnsi="宋体" w:cs="宋体"/>
          <w:bCs/>
          <w:sz w:val="24"/>
          <w:highlight w:val="none"/>
          <w:lang w:eastAsia="zh-CN"/>
        </w:rPr>
        <w:t>，</w:t>
      </w:r>
      <w:r>
        <w:rPr>
          <w:rFonts w:hint="eastAsia" w:ascii="宋体" w:hAnsi="宋体" w:cs="宋体"/>
          <w:bCs/>
          <w:sz w:val="24"/>
          <w:highlight w:val="none"/>
        </w:rPr>
        <w:t>可以与中标供应商协商签订补充合同</w:t>
      </w:r>
      <w:r>
        <w:rPr>
          <w:rFonts w:hint="eastAsia" w:ascii="宋体" w:hAnsi="宋体" w:cs="宋体"/>
          <w:bCs/>
          <w:sz w:val="24"/>
          <w:highlight w:val="none"/>
          <w:lang w:eastAsia="zh-CN"/>
        </w:rPr>
        <w:t>，</w:t>
      </w:r>
      <w:r>
        <w:rPr>
          <w:rFonts w:hint="eastAsia" w:ascii="宋体" w:hAnsi="宋体" w:cs="宋体"/>
          <w:bCs/>
          <w:sz w:val="24"/>
          <w:highlight w:val="none"/>
        </w:rPr>
        <w:t>但所有补充合同的采购金额不得超过原合同采购金额的百分之十</w:t>
      </w:r>
      <w:r>
        <w:rPr>
          <w:rFonts w:hint="eastAsia" w:ascii="宋体" w:hAnsi="宋体" w:cs="宋体"/>
          <w:bCs/>
          <w:sz w:val="24"/>
          <w:highlight w:val="none"/>
          <w:lang w:eastAsia="zh-CN"/>
        </w:rPr>
        <w:t>，</w:t>
      </w:r>
      <w:r>
        <w:rPr>
          <w:rFonts w:hint="eastAsia" w:ascii="宋体" w:hAnsi="宋体" w:cs="宋体"/>
          <w:bCs/>
          <w:sz w:val="24"/>
          <w:highlight w:val="none"/>
        </w:rPr>
        <w:t>该补充合同应当在原政府采购合同履行过程中</w:t>
      </w:r>
      <w:r>
        <w:rPr>
          <w:rFonts w:hint="eastAsia" w:ascii="宋体" w:hAnsi="宋体" w:cs="宋体"/>
          <w:bCs/>
          <w:sz w:val="24"/>
          <w:highlight w:val="none"/>
          <w:lang w:eastAsia="zh-CN"/>
        </w:rPr>
        <w:t>，</w:t>
      </w:r>
      <w:r>
        <w:rPr>
          <w:rFonts w:hint="eastAsia" w:ascii="宋体" w:hAnsi="宋体" w:cs="宋体"/>
          <w:bCs/>
          <w:sz w:val="24"/>
          <w:highlight w:val="none"/>
        </w:rPr>
        <w:t>不得在原政府采购合同履行结束后</w:t>
      </w:r>
      <w:r>
        <w:rPr>
          <w:rFonts w:hint="eastAsia" w:ascii="宋体" w:hAnsi="宋体" w:cs="宋体"/>
          <w:bCs/>
          <w:sz w:val="24"/>
          <w:highlight w:val="none"/>
          <w:lang w:eastAsia="zh-CN"/>
        </w:rPr>
        <w:t>，</w:t>
      </w:r>
      <w:r>
        <w:rPr>
          <w:rFonts w:hint="eastAsia" w:ascii="宋体" w:hAnsi="宋体" w:cs="宋体"/>
          <w:bCs/>
          <w:sz w:val="24"/>
          <w:highlight w:val="none"/>
        </w:rPr>
        <w:t xml:space="preserve">且采购货物、工程和服务的名称、价格、履约方式、验收标准等必须与原政府采购合同一致。 </w:t>
      </w:r>
      <w:bookmarkStart w:id="145" w:name="_Toc503862789"/>
      <w:bookmarkStart w:id="146" w:name="_Toc308164812"/>
      <w:bookmarkStart w:id="147" w:name="_Toc217446068"/>
    </w:p>
    <w:bookmarkEnd w:id="145"/>
    <w:bookmarkEnd w:id="146"/>
    <w:bookmarkEnd w:id="147"/>
    <w:p>
      <w:pPr>
        <w:adjustRightInd w:val="0"/>
        <w:snapToGrid w:val="0"/>
        <w:spacing w:line="360" w:lineRule="auto"/>
        <w:ind w:firstLine="482" w:firstLineChars="200"/>
        <w:outlineLvl w:val="2"/>
        <w:rPr>
          <w:rFonts w:ascii="宋体" w:hAnsi="宋体" w:cs="宋体"/>
          <w:b/>
          <w:sz w:val="24"/>
          <w:highlight w:val="none"/>
        </w:rPr>
      </w:pPr>
      <w:r>
        <w:rPr>
          <w:rFonts w:hint="eastAsia" w:ascii="宋体" w:hAnsi="宋体" w:cs="宋体"/>
          <w:b/>
          <w:sz w:val="24"/>
          <w:highlight w:val="none"/>
        </w:rPr>
        <w:t>31．履约保证金（实质性要求）</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lang w:val="en-US" w:eastAsia="zh-CN"/>
        </w:rPr>
        <w:t>按须知附表执行</w:t>
      </w:r>
      <w:r>
        <w:rPr>
          <w:rFonts w:hint="eastAsia" w:ascii="宋体" w:hAnsi="宋体" w:cs="宋体"/>
          <w:bCs/>
          <w:sz w:val="24"/>
          <w:highlight w:val="none"/>
        </w:rPr>
        <w:t>。</w:t>
      </w:r>
    </w:p>
    <w:p>
      <w:pPr>
        <w:adjustRightInd w:val="0"/>
        <w:snapToGrid w:val="0"/>
        <w:spacing w:line="360" w:lineRule="auto"/>
        <w:ind w:firstLine="482" w:firstLineChars="200"/>
        <w:outlineLvl w:val="2"/>
        <w:rPr>
          <w:rFonts w:ascii="宋体" w:hAnsi="宋体" w:cs="宋体"/>
          <w:b/>
          <w:sz w:val="24"/>
          <w:highlight w:val="none"/>
        </w:rPr>
      </w:pPr>
      <w:bookmarkStart w:id="148" w:name="_Toc503862790"/>
      <w:bookmarkStart w:id="149" w:name="_Toc217446069"/>
      <w:bookmarkStart w:id="150" w:name="_Toc308164813"/>
      <w:r>
        <w:rPr>
          <w:rFonts w:hint="eastAsia" w:ascii="宋体" w:hAnsi="宋体" w:cs="宋体"/>
          <w:b/>
          <w:sz w:val="24"/>
          <w:highlight w:val="none"/>
        </w:rPr>
        <w:t>32．合同公告</w:t>
      </w:r>
      <w:bookmarkEnd w:id="148"/>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采购人应当自政府采购合同签订（双方当事人均已签字盖章）之日起2个工作日内</w:t>
      </w:r>
      <w:r>
        <w:rPr>
          <w:rFonts w:hint="eastAsia" w:ascii="宋体" w:hAnsi="宋体" w:cs="宋体"/>
          <w:bCs/>
          <w:sz w:val="24"/>
          <w:highlight w:val="none"/>
          <w:lang w:eastAsia="zh-CN"/>
        </w:rPr>
        <w:t>，</w:t>
      </w:r>
      <w:r>
        <w:rPr>
          <w:rFonts w:hint="eastAsia" w:ascii="宋体" w:hAnsi="宋体" w:cs="宋体"/>
          <w:bCs/>
          <w:sz w:val="24"/>
          <w:highlight w:val="none"/>
        </w:rPr>
        <w:t>将政府采购合同在省级以上人民政府财政部门指定的媒体上公告（四川政府采购网）</w:t>
      </w:r>
      <w:r>
        <w:rPr>
          <w:rFonts w:hint="eastAsia" w:ascii="宋体" w:hAnsi="宋体" w:cs="宋体"/>
          <w:bCs/>
          <w:sz w:val="24"/>
          <w:highlight w:val="none"/>
          <w:lang w:eastAsia="zh-CN"/>
        </w:rPr>
        <w:t>，</w:t>
      </w:r>
      <w:r>
        <w:rPr>
          <w:rFonts w:hint="eastAsia" w:ascii="宋体" w:hAnsi="宋体" w:cs="宋体"/>
          <w:bCs/>
          <w:sz w:val="24"/>
          <w:highlight w:val="none"/>
        </w:rPr>
        <w:t>但政府采购合同中涉及国家秘密、商业秘密的内容除外。</w:t>
      </w:r>
    </w:p>
    <w:p>
      <w:pPr>
        <w:adjustRightInd w:val="0"/>
        <w:snapToGrid w:val="0"/>
        <w:spacing w:line="360" w:lineRule="auto"/>
        <w:ind w:firstLine="482" w:firstLineChars="200"/>
        <w:outlineLvl w:val="2"/>
        <w:rPr>
          <w:rFonts w:ascii="宋体" w:hAnsi="宋体" w:cs="宋体"/>
          <w:b/>
          <w:sz w:val="24"/>
          <w:highlight w:val="none"/>
        </w:rPr>
      </w:pPr>
      <w:bookmarkStart w:id="151" w:name="_Toc503862791"/>
      <w:r>
        <w:rPr>
          <w:rFonts w:hint="eastAsia" w:ascii="宋体" w:hAnsi="宋体" w:cs="宋体"/>
          <w:b/>
          <w:sz w:val="24"/>
          <w:highlight w:val="none"/>
        </w:rPr>
        <w:t>33．合同备案</w:t>
      </w:r>
      <w:bookmarkEnd w:id="151"/>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采购人应当将政府采购合同副本自签订（双方当事人均已签字盖章）之日起七个工作日内通过四川政府采购网报同级财政部门备案。</w:t>
      </w:r>
    </w:p>
    <w:p>
      <w:pPr>
        <w:adjustRightInd w:val="0"/>
        <w:snapToGrid w:val="0"/>
        <w:spacing w:line="360" w:lineRule="auto"/>
        <w:ind w:firstLine="482" w:firstLineChars="200"/>
        <w:outlineLvl w:val="2"/>
        <w:rPr>
          <w:rFonts w:ascii="宋体" w:hAnsi="宋体" w:cs="宋体"/>
          <w:b/>
          <w:sz w:val="24"/>
          <w:highlight w:val="none"/>
        </w:rPr>
      </w:pPr>
      <w:bookmarkStart w:id="152" w:name="_Toc503862792"/>
      <w:r>
        <w:rPr>
          <w:rFonts w:hint="eastAsia" w:ascii="宋体" w:hAnsi="宋体" w:cs="宋体"/>
          <w:b/>
          <w:sz w:val="24"/>
          <w:highlight w:val="none"/>
        </w:rPr>
        <w:t>34．履行合同</w:t>
      </w:r>
      <w:bookmarkEnd w:id="149"/>
      <w:bookmarkEnd w:id="150"/>
      <w:bookmarkEnd w:id="152"/>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34.1 中标人与采购人签订合同后</w:t>
      </w:r>
      <w:r>
        <w:rPr>
          <w:rFonts w:hint="eastAsia" w:ascii="宋体" w:hAnsi="宋体" w:cs="宋体"/>
          <w:bCs/>
          <w:sz w:val="24"/>
          <w:highlight w:val="none"/>
          <w:lang w:eastAsia="zh-CN"/>
        </w:rPr>
        <w:t>，</w:t>
      </w:r>
      <w:r>
        <w:rPr>
          <w:rFonts w:hint="eastAsia" w:ascii="宋体" w:hAnsi="宋体" w:cs="宋体"/>
          <w:bCs/>
          <w:sz w:val="24"/>
          <w:highlight w:val="none"/>
        </w:rPr>
        <w:t>合同双方应严格执行合同条款</w:t>
      </w:r>
      <w:r>
        <w:rPr>
          <w:rFonts w:hint="eastAsia" w:ascii="宋体" w:hAnsi="宋体" w:cs="宋体"/>
          <w:bCs/>
          <w:sz w:val="24"/>
          <w:highlight w:val="none"/>
          <w:lang w:eastAsia="zh-CN"/>
        </w:rPr>
        <w:t>，</w:t>
      </w:r>
      <w:r>
        <w:rPr>
          <w:rFonts w:hint="eastAsia" w:ascii="宋体" w:hAnsi="宋体" w:cs="宋体"/>
          <w:bCs/>
          <w:sz w:val="24"/>
          <w:highlight w:val="none"/>
        </w:rPr>
        <w:t>履行合同规定的义务</w:t>
      </w:r>
      <w:r>
        <w:rPr>
          <w:rFonts w:hint="eastAsia" w:ascii="宋体" w:hAnsi="宋体" w:cs="宋体"/>
          <w:bCs/>
          <w:sz w:val="24"/>
          <w:highlight w:val="none"/>
          <w:lang w:eastAsia="zh-CN"/>
        </w:rPr>
        <w:t>，</w:t>
      </w:r>
      <w:r>
        <w:rPr>
          <w:rFonts w:hint="eastAsia" w:ascii="宋体" w:hAnsi="宋体" w:cs="宋体"/>
          <w:bCs/>
          <w:sz w:val="24"/>
          <w:highlight w:val="none"/>
        </w:rPr>
        <w:t>保证合同的顺利完成。</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34.2 在合同履行过程中</w:t>
      </w:r>
      <w:r>
        <w:rPr>
          <w:rFonts w:hint="eastAsia" w:ascii="宋体" w:hAnsi="宋体" w:cs="宋体"/>
          <w:bCs/>
          <w:sz w:val="24"/>
          <w:highlight w:val="none"/>
          <w:lang w:eastAsia="zh-CN"/>
        </w:rPr>
        <w:t>，</w:t>
      </w:r>
      <w:r>
        <w:rPr>
          <w:rFonts w:hint="eastAsia" w:ascii="宋体" w:hAnsi="宋体" w:cs="宋体"/>
          <w:bCs/>
          <w:sz w:val="24"/>
          <w:highlight w:val="none"/>
        </w:rPr>
        <w:t>如发生合同纠纷</w:t>
      </w:r>
      <w:r>
        <w:rPr>
          <w:rFonts w:hint="eastAsia" w:ascii="宋体" w:hAnsi="宋体" w:cs="宋体"/>
          <w:bCs/>
          <w:sz w:val="24"/>
          <w:highlight w:val="none"/>
          <w:lang w:eastAsia="zh-CN"/>
        </w:rPr>
        <w:t>，</w:t>
      </w:r>
      <w:r>
        <w:rPr>
          <w:rFonts w:hint="eastAsia" w:ascii="宋体" w:hAnsi="宋体" w:cs="宋体"/>
          <w:bCs/>
          <w:sz w:val="24"/>
          <w:highlight w:val="none"/>
        </w:rPr>
        <w:t>合同双方应按照《</w:t>
      </w:r>
      <w:r>
        <w:rPr>
          <w:rFonts w:hint="eastAsia" w:ascii="宋体" w:hAnsi="宋体" w:cs="宋体"/>
          <w:bCs/>
          <w:sz w:val="24"/>
          <w:highlight w:val="none"/>
          <w:lang w:val="en-US" w:eastAsia="zh-CN"/>
        </w:rPr>
        <w:t>中华人民共和国民法典</w:t>
      </w:r>
      <w:r>
        <w:rPr>
          <w:rFonts w:hint="eastAsia" w:ascii="宋体" w:hAnsi="宋体" w:cs="宋体"/>
          <w:bCs/>
          <w:sz w:val="24"/>
          <w:highlight w:val="none"/>
        </w:rPr>
        <w:t>》的有关规定进行处理。</w:t>
      </w:r>
    </w:p>
    <w:p>
      <w:pPr>
        <w:adjustRightInd w:val="0"/>
        <w:snapToGrid w:val="0"/>
        <w:spacing w:line="360" w:lineRule="auto"/>
        <w:ind w:firstLine="482" w:firstLineChars="200"/>
        <w:outlineLvl w:val="2"/>
        <w:rPr>
          <w:rFonts w:ascii="宋体" w:hAnsi="宋体" w:cs="宋体"/>
          <w:b/>
          <w:sz w:val="24"/>
          <w:highlight w:val="none"/>
        </w:rPr>
      </w:pPr>
      <w:bookmarkStart w:id="153" w:name="_Toc503862793"/>
      <w:bookmarkStart w:id="154" w:name="_Toc217446070"/>
      <w:bookmarkStart w:id="155" w:name="_Toc308164814"/>
      <w:r>
        <w:rPr>
          <w:rFonts w:hint="eastAsia" w:ascii="宋体" w:hAnsi="宋体" w:cs="宋体"/>
          <w:b/>
          <w:sz w:val="24"/>
          <w:highlight w:val="none"/>
        </w:rPr>
        <w:t>35．验收</w:t>
      </w:r>
      <w:bookmarkEnd w:id="153"/>
      <w:bookmarkEnd w:id="154"/>
      <w:bookmarkEnd w:id="155"/>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35.1</w:t>
      </w:r>
      <w:r>
        <w:rPr>
          <w:rFonts w:hint="eastAsia" w:ascii="宋体" w:hAnsi="宋体" w:cs="宋体"/>
          <w:bCs/>
          <w:sz w:val="24"/>
          <w:highlight w:val="none"/>
          <w:lang w:val="en-US" w:eastAsia="zh-CN"/>
        </w:rPr>
        <w:t xml:space="preserve"> </w:t>
      </w:r>
      <w:r>
        <w:rPr>
          <w:rFonts w:hint="eastAsia" w:ascii="宋体" w:hAnsi="宋体" w:cs="宋体"/>
          <w:bCs/>
          <w:sz w:val="24"/>
          <w:highlight w:val="none"/>
        </w:rPr>
        <w:t>本项目采购人及其委托的采购代理机构将严格按照政府采购相关法律法规的要求进行验收。</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35.2</w:t>
      </w:r>
      <w:r>
        <w:rPr>
          <w:rFonts w:hint="eastAsia" w:ascii="宋体" w:hAnsi="宋体" w:cs="宋体"/>
          <w:bCs/>
          <w:sz w:val="24"/>
          <w:highlight w:val="none"/>
          <w:lang w:val="en-US" w:eastAsia="zh-CN"/>
        </w:rPr>
        <w:t xml:space="preserve"> </w:t>
      </w:r>
      <w:r>
        <w:rPr>
          <w:rFonts w:hint="eastAsia" w:ascii="宋体" w:hAnsi="宋体" w:cs="宋体"/>
          <w:bCs/>
          <w:sz w:val="24"/>
          <w:highlight w:val="none"/>
        </w:rPr>
        <w:t>验收结果合格的</w:t>
      </w:r>
      <w:r>
        <w:rPr>
          <w:rFonts w:hint="eastAsia" w:ascii="宋体" w:hAnsi="宋体" w:cs="宋体"/>
          <w:bCs/>
          <w:sz w:val="24"/>
          <w:highlight w:val="none"/>
          <w:lang w:eastAsia="zh-CN"/>
        </w:rPr>
        <w:t>，</w:t>
      </w:r>
      <w:r>
        <w:rPr>
          <w:rFonts w:hint="eastAsia" w:ascii="宋体" w:hAnsi="宋体" w:cs="宋体"/>
          <w:bCs/>
          <w:sz w:val="24"/>
          <w:highlight w:val="none"/>
        </w:rPr>
        <w:t>中标人凭“验收结果”办理履约保证金的退付手续；验收结果不合格的</w:t>
      </w:r>
      <w:r>
        <w:rPr>
          <w:rFonts w:hint="eastAsia" w:ascii="宋体" w:hAnsi="宋体" w:cs="宋体"/>
          <w:bCs/>
          <w:sz w:val="24"/>
          <w:highlight w:val="none"/>
          <w:lang w:eastAsia="zh-CN"/>
        </w:rPr>
        <w:t>，</w:t>
      </w:r>
      <w:r>
        <w:rPr>
          <w:rFonts w:hint="eastAsia" w:ascii="宋体" w:hAnsi="宋体" w:cs="宋体"/>
          <w:bCs/>
          <w:sz w:val="24"/>
          <w:highlight w:val="none"/>
        </w:rPr>
        <w:t>履约保证金将不予退还</w:t>
      </w:r>
      <w:r>
        <w:rPr>
          <w:rFonts w:hint="eastAsia" w:ascii="宋体" w:hAnsi="宋体" w:cs="宋体"/>
          <w:bCs/>
          <w:sz w:val="24"/>
          <w:highlight w:val="none"/>
          <w:lang w:eastAsia="zh-CN"/>
        </w:rPr>
        <w:t>，</w:t>
      </w:r>
      <w:r>
        <w:rPr>
          <w:rFonts w:hint="eastAsia" w:ascii="宋体" w:hAnsi="宋体" w:cs="宋体"/>
          <w:bCs/>
          <w:sz w:val="24"/>
          <w:highlight w:val="none"/>
        </w:rPr>
        <w:t>也将不予支付采购资金</w:t>
      </w:r>
      <w:r>
        <w:rPr>
          <w:rFonts w:hint="eastAsia" w:ascii="宋体" w:hAnsi="宋体" w:cs="宋体"/>
          <w:bCs/>
          <w:sz w:val="24"/>
          <w:highlight w:val="none"/>
          <w:lang w:eastAsia="zh-CN"/>
        </w:rPr>
        <w:t>，</w:t>
      </w:r>
      <w:r>
        <w:rPr>
          <w:rFonts w:hint="eastAsia" w:ascii="宋体" w:hAnsi="宋体" w:cs="宋体"/>
          <w:bCs/>
          <w:sz w:val="24"/>
          <w:highlight w:val="none"/>
        </w:rPr>
        <w:t>还可能会报告本项目同级财政部门按照政府采购法律法规及《四川省公共资源交易领域严重失信联合惩戒实施办法》（川发改信用规〔2019〕405号）、《关于对政府采购领域严重违法失信主体开展联合惩戒的合作备忘录》（发改财金〔2018〕1614 号）等有关规定给予行政处罚或者以失信行为记入诚信档案。</w:t>
      </w:r>
      <w:bookmarkStart w:id="156" w:name="_Toc217446071"/>
    </w:p>
    <w:p>
      <w:pPr>
        <w:adjustRightInd w:val="0"/>
        <w:snapToGrid w:val="0"/>
        <w:spacing w:line="360" w:lineRule="auto"/>
        <w:ind w:firstLine="482" w:firstLineChars="200"/>
        <w:outlineLvl w:val="2"/>
        <w:rPr>
          <w:rFonts w:hint="eastAsia" w:ascii="宋体" w:hAnsi="宋体" w:cs="宋体"/>
          <w:b/>
          <w:sz w:val="24"/>
          <w:highlight w:val="none"/>
        </w:rPr>
      </w:pPr>
      <w:bookmarkStart w:id="157" w:name="_Toc308164818"/>
      <w:bookmarkStart w:id="158" w:name="_Toc217446077"/>
      <w:r>
        <w:rPr>
          <w:rFonts w:hint="eastAsia" w:ascii="宋体" w:hAnsi="宋体" w:cs="宋体"/>
          <w:b/>
          <w:sz w:val="24"/>
          <w:highlight w:val="none"/>
        </w:rPr>
        <w:t>36．资金支付</w:t>
      </w:r>
      <w:bookmarkEnd w:id="157"/>
      <w:bookmarkEnd w:id="158"/>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采购人将按照政府采购合同规定，及时向中标供应商支付采购资金。本项目采购资金付款详见第四章商务要求中付款方式。</w:t>
      </w:r>
    </w:p>
    <w:bookmarkEnd w:id="136"/>
    <w:bookmarkEnd w:id="137"/>
    <w:bookmarkEnd w:id="156"/>
    <w:p>
      <w:pPr>
        <w:tabs>
          <w:tab w:val="left" w:pos="5142"/>
        </w:tabs>
        <w:jc w:val="center"/>
        <w:outlineLvl w:val="1"/>
        <w:rPr>
          <w:rFonts w:ascii="宋体" w:hAnsi="宋体" w:cs="宋体"/>
          <w:b/>
          <w:sz w:val="30"/>
          <w:szCs w:val="30"/>
          <w:highlight w:val="none"/>
        </w:rPr>
      </w:pPr>
      <w:bookmarkStart w:id="159" w:name="_Toc308164815"/>
      <w:bookmarkStart w:id="160" w:name="_Toc217446074"/>
      <w:bookmarkStart w:id="161" w:name="_Toc503862795"/>
      <w:bookmarkStart w:id="162" w:name="_Toc183582243"/>
      <w:bookmarkStart w:id="163" w:name="_Toc183682380"/>
      <w:r>
        <w:rPr>
          <w:rFonts w:hint="eastAsia" w:ascii="宋体" w:hAnsi="宋体" w:cs="宋体"/>
          <w:b/>
          <w:sz w:val="30"/>
          <w:szCs w:val="30"/>
          <w:highlight w:val="none"/>
        </w:rPr>
        <w:t>七、投标纪律要求</w:t>
      </w:r>
      <w:bookmarkEnd w:id="159"/>
      <w:bookmarkEnd w:id="160"/>
      <w:bookmarkEnd w:id="161"/>
    </w:p>
    <w:p>
      <w:pPr>
        <w:adjustRightInd w:val="0"/>
        <w:snapToGrid w:val="0"/>
        <w:spacing w:line="360" w:lineRule="auto"/>
        <w:ind w:firstLine="482" w:firstLineChars="200"/>
        <w:outlineLvl w:val="2"/>
        <w:rPr>
          <w:rFonts w:ascii="宋体" w:hAnsi="宋体" w:cs="宋体"/>
          <w:b/>
          <w:sz w:val="24"/>
          <w:highlight w:val="none"/>
        </w:rPr>
      </w:pPr>
      <w:bookmarkStart w:id="164" w:name="_Toc217446075"/>
      <w:bookmarkStart w:id="165" w:name="_Toc308164816"/>
      <w:bookmarkStart w:id="166" w:name="_Toc503862796"/>
      <w:r>
        <w:rPr>
          <w:rFonts w:hint="eastAsia" w:ascii="宋体" w:hAnsi="宋体" w:cs="宋体"/>
          <w:b/>
          <w:sz w:val="24"/>
          <w:highlight w:val="none"/>
        </w:rPr>
        <w:t>3</w:t>
      </w:r>
      <w:r>
        <w:rPr>
          <w:rFonts w:hint="eastAsia" w:ascii="宋体" w:hAnsi="宋体" w:cs="宋体"/>
          <w:b/>
          <w:sz w:val="24"/>
          <w:highlight w:val="none"/>
          <w:lang w:val="en-US" w:eastAsia="zh-CN"/>
        </w:rPr>
        <w:t>7</w:t>
      </w:r>
      <w:r>
        <w:rPr>
          <w:rFonts w:hint="eastAsia" w:ascii="宋体" w:hAnsi="宋体" w:cs="宋体"/>
          <w:b/>
          <w:sz w:val="24"/>
          <w:highlight w:val="none"/>
        </w:rPr>
        <w:t>．投标人不得具有的情形</w:t>
      </w:r>
      <w:bookmarkEnd w:id="164"/>
      <w:bookmarkEnd w:id="165"/>
      <w:bookmarkEnd w:id="166"/>
    </w:p>
    <w:p>
      <w:pPr>
        <w:adjustRightInd w:val="0"/>
        <w:snapToGrid w:val="0"/>
        <w:spacing w:line="360" w:lineRule="auto"/>
        <w:ind w:firstLine="480" w:firstLineChars="200"/>
        <w:rPr>
          <w:rFonts w:ascii="宋体" w:hAnsi="宋体" w:cs="宋体"/>
          <w:bCs/>
          <w:sz w:val="24"/>
          <w:highlight w:val="none"/>
        </w:rPr>
      </w:pPr>
      <w:bookmarkStart w:id="167" w:name="_Toc308164819"/>
      <w:bookmarkStart w:id="168" w:name="_Toc217446078"/>
      <w:r>
        <w:rPr>
          <w:rFonts w:hint="eastAsia" w:ascii="宋体" w:hAnsi="宋体" w:cs="宋体"/>
          <w:bCs/>
          <w:sz w:val="24"/>
          <w:highlight w:val="none"/>
        </w:rPr>
        <w:t>投标人应当遵循公平竞争的原则</w:t>
      </w:r>
      <w:r>
        <w:rPr>
          <w:rFonts w:hint="eastAsia" w:ascii="宋体" w:hAnsi="宋体" w:cs="宋体"/>
          <w:bCs/>
          <w:sz w:val="24"/>
          <w:highlight w:val="none"/>
          <w:lang w:eastAsia="zh-CN"/>
        </w:rPr>
        <w:t>，</w:t>
      </w:r>
      <w:r>
        <w:rPr>
          <w:rFonts w:hint="eastAsia" w:ascii="宋体" w:hAnsi="宋体" w:cs="宋体"/>
          <w:bCs/>
          <w:sz w:val="24"/>
          <w:highlight w:val="none"/>
        </w:rPr>
        <w:t>不得恶意串通</w:t>
      </w:r>
      <w:r>
        <w:rPr>
          <w:rFonts w:hint="eastAsia" w:ascii="宋体" w:hAnsi="宋体" w:cs="宋体"/>
          <w:bCs/>
          <w:sz w:val="24"/>
          <w:highlight w:val="none"/>
          <w:lang w:eastAsia="zh-CN"/>
        </w:rPr>
        <w:t>，</w:t>
      </w:r>
      <w:r>
        <w:rPr>
          <w:rFonts w:hint="eastAsia" w:ascii="宋体" w:hAnsi="宋体" w:cs="宋体"/>
          <w:bCs/>
          <w:sz w:val="24"/>
          <w:highlight w:val="none"/>
        </w:rPr>
        <w:t>不得妨碍其他投标人的竞争行为</w:t>
      </w:r>
      <w:r>
        <w:rPr>
          <w:rFonts w:hint="eastAsia" w:ascii="宋体" w:hAnsi="宋体" w:cs="宋体"/>
          <w:bCs/>
          <w:sz w:val="24"/>
          <w:highlight w:val="none"/>
          <w:lang w:eastAsia="zh-CN"/>
        </w:rPr>
        <w:t>，</w:t>
      </w:r>
      <w:r>
        <w:rPr>
          <w:rFonts w:hint="eastAsia" w:ascii="宋体" w:hAnsi="宋体" w:cs="宋体"/>
          <w:bCs/>
          <w:sz w:val="24"/>
          <w:highlight w:val="none"/>
        </w:rPr>
        <w:t>不得损害采购人或者其他投标人的合法权益。</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在评标过程中发现投标人有上述情形的</w:t>
      </w:r>
      <w:r>
        <w:rPr>
          <w:rFonts w:hint="eastAsia" w:ascii="宋体" w:hAnsi="宋体" w:cs="宋体"/>
          <w:bCs/>
          <w:sz w:val="24"/>
          <w:highlight w:val="none"/>
          <w:lang w:eastAsia="zh-CN"/>
        </w:rPr>
        <w:t>，</w:t>
      </w:r>
      <w:r>
        <w:rPr>
          <w:rFonts w:hint="eastAsia" w:ascii="宋体" w:hAnsi="宋体" w:cs="宋体"/>
          <w:bCs/>
          <w:sz w:val="24"/>
          <w:highlight w:val="none"/>
        </w:rPr>
        <w:t>评标委员会应当认定其投标无效</w:t>
      </w:r>
      <w:r>
        <w:rPr>
          <w:rFonts w:hint="eastAsia" w:ascii="宋体" w:hAnsi="宋体" w:cs="宋体"/>
          <w:bCs/>
          <w:sz w:val="24"/>
          <w:highlight w:val="none"/>
          <w:lang w:eastAsia="zh-CN"/>
        </w:rPr>
        <w:t>，</w:t>
      </w:r>
      <w:r>
        <w:rPr>
          <w:rFonts w:hint="eastAsia" w:ascii="宋体" w:hAnsi="宋体" w:cs="宋体"/>
          <w:bCs/>
          <w:sz w:val="24"/>
          <w:highlight w:val="none"/>
        </w:rPr>
        <w:t>并书面报告本级财政部门。</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lang w:val="en-US" w:eastAsia="zh-CN"/>
        </w:rPr>
        <w:t>7</w:t>
      </w:r>
      <w:r>
        <w:rPr>
          <w:rFonts w:hint="eastAsia" w:ascii="宋体" w:hAnsi="宋体" w:cs="宋体"/>
          <w:bCs/>
          <w:sz w:val="24"/>
          <w:highlight w:val="none"/>
        </w:rPr>
        <w:t>.1 投标人参加本项目投标不得有下列情形：</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（1）提供虚假材料谋取中标；</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（2）采取不正当手段诋毁、排挤其他投标人；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（3）与招标采购单位、其他投标人恶意串通；</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（4）向招标采购单位、评标委员会成员行贿或者提供其他不正当利益；</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（5）在招标过程中与招标采购单位进行协商谈判；</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（6）中标或者成交后无正当理由拒不与采购人签订政府采购合同；</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（7）未按照采购文件确定的事项签订政府采购合同；</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（8）将政府采购合同转包或者违规分包；</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（9）提供假冒伪劣产品；</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（10）擅自变更、中止或者终止政府采购合同；</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（11）拒绝有关部门的监督检查或者向监督检查部门提供虚假情况；</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（12）法律法规规定的其他情形。</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投标人有上述情形的</w:t>
      </w:r>
      <w:r>
        <w:rPr>
          <w:rFonts w:hint="eastAsia" w:ascii="宋体" w:hAnsi="宋体" w:cs="宋体"/>
          <w:bCs/>
          <w:sz w:val="24"/>
          <w:highlight w:val="none"/>
          <w:lang w:eastAsia="zh-CN"/>
        </w:rPr>
        <w:t>，</w:t>
      </w:r>
      <w:r>
        <w:rPr>
          <w:rFonts w:hint="eastAsia" w:ascii="宋体" w:hAnsi="宋体" w:cs="宋体"/>
          <w:bCs/>
          <w:sz w:val="24"/>
          <w:highlight w:val="none"/>
        </w:rPr>
        <w:t>按照规定追究法律责任</w:t>
      </w:r>
      <w:r>
        <w:rPr>
          <w:rFonts w:hint="eastAsia" w:ascii="宋体" w:hAnsi="宋体" w:cs="宋体"/>
          <w:bCs/>
          <w:sz w:val="24"/>
          <w:highlight w:val="none"/>
          <w:lang w:eastAsia="zh-CN"/>
        </w:rPr>
        <w:t>，</w:t>
      </w:r>
      <w:r>
        <w:rPr>
          <w:rFonts w:hint="eastAsia" w:ascii="宋体" w:hAnsi="宋体" w:cs="宋体"/>
          <w:bCs/>
          <w:sz w:val="24"/>
          <w:highlight w:val="none"/>
        </w:rPr>
        <w:t>具备（1）-（10）条情形之一的</w:t>
      </w:r>
      <w:r>
        <w:rPr>
          <w:rFonts w:hint="eastAsia" w:ascii="宋体" w:hAnsi="宋体" w:cs="宋体"/>
          <w:bCs/>
          <w:sz w:val="24"/>
          <w:highlight w:val="none"/>
          <w:lang w:eastAsia="zh-CN"/>
        </w:rPr>
        <w:t>，</w:t>
      </w:r>
      <w:r>
        <w:rPr>
          <w:rFonts w:hint="eastAsia" w:ascii="宋体" w:hAnsi="宋体" w:cs="宋体"/>
          <w:bCs/>
          <w:sz w:val="24"/>
          <w:highlight w:val="none"/>
        </w:rPr>
        <w:t>同时将取消中标资格或者认定中标无效。</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lang w:val="en-US" w:eastAsia="zh-CN"/>
        </w:rPr>
        <w:t>7</w:t>
      </w:r>
      <w:r>
        <w:rPr>
          <w:rFonts w:hint="eastAsia" w:ascii="宋体" w:hAnsi="宋体" w:cs="宋体"/>
          <w:bCs/>
          <w:sz w:val="24"/>
          <w:highlight w:val="none"/>
        </w:rPr>
        <w:t>.2 投标人有下列情形之一的</w:t>
      </w:r>
      <w:r>
        <w:rPr>
          <w:rFonts w:hint="eastAsia" w:ascii="宋体" w:hAnsi="宋体" w:cs="宋体"/>
          <w:bCs/>
          <w:sz w:val="24"/>
          <w:highlight w:val="none"/>
          <w:lang w:eastAsia="zh-CN"/>
        </w:rPr>
        <w:t>，</w:t>
      </w:r>
      <w:r>
        <w:rPr>
          <w:rFonts w:hint="eastAsia" w:ascii="宋体" w:hAnsi="宋体" w:cs="宋体"/>
          <w:bCs/>
          <w:sz w:val="24"/>
          <w:highlight w:val="none"/>
        </w:rPr>
        <w:t>视为投标人串通投标</w:t>
      </w:r>
      <w:r>
        <w:rPr>
          <w:rFonts w:hint="eastAsia" w:ascii="宋体" w:hAnsi="宋体" w:cs="宋体"/>
          <w:bCs/>
          <w:sz w:val="24"/>
          <w:highlight w:val="none"/>
          <w:lang w:eastAsia="zh-CN"/>
        </w:rPr>
        <w:t>，</w:t>
      </w:r>
      <w:r>
        <w:rPr>
          <w:rFonts w:hint="eastAsia" w:ascii="宋体" w:hAnsi="宋体" w:cs="宋体"/>
          <w:bCs/>
          <w:sz w:val="24"/>
          <w:highlight w:val="none"/>
        </w:rPr>
        <w:t>其投标无效：</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（1）不同投标人的投标文件由同一单位或者个人编制；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（2）不同投标人委托同一单位或者个人办理投标事宜；</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（3）不同投标人的投标文件载明的项目管理成员或者联系人员为同一人；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（4）不同投标人的投标文件异常一致或者投标报价呈规律性差异；</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（5）不同投标人的投标文件相互混装；</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（6）不同投标人的投标保证金从同一单位或者个人的账户转出。</w:t>
      </w:r>
    </w:p>
    <w:p>
      <w:pPr>
        <w:adjustRightInd w:val="0"/>
        <w:snapToGrid w:val="0"/>
        <w:spacing w:line="360" w:lineRule="auto"/>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rPr>
        <w:t>3</w:t>
      </w:r>
      <w:r>
        <w:rPr>
          <w:rFonts w:hint="eastAsia" w:ascii="宋体" w:hAnsi="宋体" w:cs="宋体"/>
          <w:bCs/>
          <w:sz w:val="24"/>
          <w:highlight w:val="none"/>
          <w:lang w:val="en-US" w:eastAsia="zh-CN"/>
        </w:rPr>
        <w:t>7</w:t>
      </w:r>
      <w:r>
        <w:rPr>
          <w:rFonts w:hint="eastAsia" w:ascii="宋体" w:hAnsi="宋体" w:cs="宋体"/>
          <w:bCs/>
          <w:sz w:val="24"/>
          <w:highlight w:val="none"/>
        </w:rPr>
        <w:t>.3 投标人存在下列情况之一的</w:t>
      </w:r>
      <w:r>
        <w:rPr>
          <w:rFonts w:hint="eastAsia" w:ascii="宋体" w:hAnsi="宋体" w:cs="宋体"/>
          <w:bCs/>
          <w:sz w:val="24"/>
          <w:highlight w:val="none"/>
          <w:lang w:eastAsia="zh-CN"/>
        </w:rPr>
        <w:t>，</w:t>
      </w:r>
      <w:r>
        <w:rPr>
          <w:rFonts w:hint="eastAsia" w:ascii="宋体" w:hAnsi="宋体" w:cs="宋体"/>
          <w:bCs/>
          <w:sz w:val="24"/>
          <w:highlight w:val="none"/>
        </w:rPr>
        <w:t>投标无效</w:t>
      </w:r>
      <w:r>
        <w:rPr>
          <w:rFonts w:hint="eastAsia" w:ascii="宋体" w:hAnsi="宋体" w:cs="宋体"/>
          <w:bCs/>
          <w:sz w:val="24"/>
          <w:highlight w:val="none"/>
          <w:lang w:eastAsia="zh-CN"/>
        </w:rPr>
        <w:t>：</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（1）未按照招标文件的规定提交投标保证金的；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（2）投标文件未按招标文件要求签署、盖章的；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（3）不具备招标文件中规定的资格要求的；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（4）报价超过招标文件中规定的预算金额或者最高限价的；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（5）投标文件含有采购人不能接受的附加条件的；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（6）法律、法规和招标文件规定的其他无效情形。</w:t>
      </w:r>
    </w:p>
    <w:p>
      <w:pPr>
        <w:tabs>
          <w:tab w:val="left" w:pos="5142"/>
        </w:tabs>
        <w:jc w:val="center"/>
        <w:outlineLvl w:val="1"/>
        <w:rPr>
          <w:rFonts w:ascii="宋体" w:hAnsi="宋体" w:cs="宋体"/>
          <w:b/>
          <w:sz w:val="30"/>
          <w:szCs w:val="30"/>
          <w:highlight w:val="none"/>
        </w:rPr>
      </w:pPr>
      <w:bookmarkStart w:id="169" w:name="_Toc503862797"/>
      <w:r>
        <w:rPr>
          <w:rFonts w:hint="eastAsia" w:ascii="宋体" w:hAnsi="宋体" w:cs="宋体"/>
          <w:b/>
          <w:sz w:val="30"/>
          <w:szCs w:val="30"/>
          <w:highlight w:val="none"/>
        </w:rPr>
        <w:t>八、询问、质疑和投诉</w:t>
      </w:r>
      <w:bookmarkEnd w:id="167"/>
      <w:bookmarkEnd w:id="168"/>
      <w:bookmarkEnd w:id="169"/>
      <w:bookmarkStart w:id="170" w:name="_Toc217446079"/>
    </w:p>
    <w:bookmarkEnd w:id="162"/>
    <w:bookmarkEnd w:id="163"/>
    <w:bookmarkEnd w:id="170"/>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询问、质疑、投诉的接收和处理严格按照《中华人民共和国政府采购法》、《中华人民共和国政府采购法实施条例》、《政府采购质疑和投诉办法》的规定办理。本项目要求供应商在法定质疑期内一次性提出针对同一采购程序环节的质疑。</w:t>
      </w:r>
    </w:p>
    <w:p>
      <w:pPr>
        <w:tabs>
          <w:tab w:val="left" w:pos="5142"/>
        </w:tabs>
        <w:jc w:val="center"/>
        <w:outlineLvl w:val="1"/>
        <w:rPr>
          <w:rFonts w:ascii="宋体" w:hAnsi="宋体" w:cs="宋体"/>
          <w:b/>
          <w:sz w:val="30"/>
          <w:szCs w:val="30"/>
          <w:highlight w:val="none"/>
        </w:rPr>
      </w:pPr>
      <w:bookmarkStart w:id="171" w:name="_Toc503862799"/>
      <w:r>
        <w:rPr>
          <w:rFonts w:hint="eastAsia" w:ascii="宋体" w:hAnsi="宋体" w:cs="宋体"/>
          <w:b/>
          <w:sz w:val="30"/>
          <w:szCs w:val="30"/>
          <w:highlight w:val="none"/>
        </w:rPr>
        <w:t>九、其他</w:t>
      </w:r>
      <w:bookmarkEnd w:id="171"/>
    </w:p>
    <w:p>
      <w:pPr>
        <w:adjustRightInd w:val="0"/>
        <w:snapToGrid w:val="0"/>
        <w:spacing w:line="360" w:lineRule="auto"/>
        <w:ind w:firstLine="480" w:firstLineChars="200"/>
        <w:rPr>
          <w:rFonts w:ascii="宋体" w:hAnsi="宋体" w:cs="宋体"/>
          <w:bCs/>
          <w:sz w:val="24"/>
          <w:highlight w:val="none"/>
        </w:rPr>
      </w:pPr>
      <w:bookmarkStart w:id="172" w:name="_Toc503862800"/>
      <w:r>
        <w:rPr>
          <w:rFonts w:hint="eastAsia" w:ascii="宋体" w:hAnsi="宋体" w:cs="宋体"/>
          <w:bCs/>
          <w:sz w:val="24"/>
          <w:highlight w:val="none"/>
        </w:rPr>
        <w:t>本招标文件中所引相关法律制度规定</w:t>
      </w:r>
      <w:r>
        <w:rPr>
          <w:rFonts w:hint="eastAsia" w:ascii="宋体" w:hAnsi="宋体" w:cs="宋体"/>
          <w:bCs/>
          <w:sz w:val="24"/>
          <w:highlight w:val="none"/>
          <w:lang w:eastAsia="zh-CN"/>
        </w:rPr>
        <w:t>，</w:t>
      </w:r>
      <w:r>
        <w:rPr>
          <w:rFonts w:hint="eastAsia" w:ascii="宋体" w:hAnsi="宋体" w:cs="宋体"/>
          <w:bCs/>
          <w:sz w:val="24"/>
          <w:highlight w:val="none"/>
        </w:rPr>
        <w:t>在政府采购中有变化的</w:t>
      </w:r>
      <w:r>
        <w:rPr>
          <w:rFonts w:hint="eastAsia" w:ascii="宋体" w:hAnsi="宋体" w:cs="宋体"/>
          <w:bCs/>
          <w:sz w:val="24"/>
          <w:highlight w:val="none"/>
          <w:lang w:eastAsia="zh-CN"/>
        </w:rPr>
        <w:t>，</w:t>
      </w:r>
      <w:r>
        <w:rPr>
          <w:rFonts w:hint="eastAsia" w:ascii="宋体" w:hAnsi="宋体" w:cs="宋体"/>
          <w:bCs/>
          <w:sz w:val="24"/>
          <w:highlight w:val="none"/>
        </w:rPr>
        <w:t>按照变化后的相关法律制度规定执行。本章和第七章中“1.总则、2.评标方法、3.评标程序”规定的内容条款</w:t>
      </w:r>
      <w:r>
        <w:rPr>
          <w:rFonts w:hint="eastAsia" w:ascii="宋体" w:hAnsi="宋体" w:cs="宋体"/>
          <w:bCs/>
          <w:sz w:val="24"/>
          <w:highlight w:val="none"/>
          <w:lang w:eastAsia="zh-CN"/>
        </w:rPr>
        <w:t>，</w:t>
      </w:r>
      <w:r>
        <w:rPr>
          <w:rFonts w:hint="eastAsia" w:ascii="宋体" w:hAnsi="宋体" w:cs="宋体"/>
          <w:bCs/>
          <w:sz w:val="24"/>
          <w:highlight w:val="none"/>
        </w:rPr>
        <w:t>在本项目投标截止时间届满后</w:t>
      </w:r>
      <w:r>
        <w:rPr>
          <w:rFonts w:hint="eastAsia" w:ascii="宋体" w:hAnsi="宋体" w:cs="宋体"/>
          <w:bCs/>
          <w:sz w:val="24"/>
          <w:highlight w:val="none"/>
          <w:lang w:eastAsia="zh-CN"/>
        </w:rPr>
        <w:t>，</w:t>
      </w:r>
      <w:r>
        <w:rPr>
          <w:rFonts w:hint="eastAsia" w:ascii="宋体" w:hAnsi="宋体" w:cs="宋体"/>
          <w:bCs/>
          <w:sz w:val="24"/>
          <w:highlight w:val="none"/>
        </w:rPr>
        <w:t>因相关法律制度规定的变化导致不符合相关法律制度规定的</w:t>
      </w:r>
      <w:r>
        <w:rPr>
          <w:rFonts w:hint="eastAsia" w:ascii="宋体" w:hAnsi="宋体" w:cs="宋体"/>
          <w:bCs/>
          <w:sz w:val="24"/>
          <w:highlight w:val="none"/>
          <w:lang w:eastAsia="zh-CN"/>
        </w:rPr>
        <w:t>，</w:t>
      </w:r>
      <w:r>
        <w:rPr>
          <w:rFonts w:hint="eastAsia" w:ascii="宋体" w:hAnsi="宋体" w:cs="宋体"/>
          <w:bCs/>
          <w:sz w:val="24"/>
          <w:highlight w:val="none"/>
        </w:rPr>
        <w:t>直接按照变化后的相关法律制度规定执行</w:t>
      </w:r>
      <w:r>
        <w:rPr>
          <w:rFonts w:hint="eastAsia" w:ascii="宋体" w:hAnsi="宋体" w:cs="宋体"/>
          <w:bCs/>
          <w:sz w:val="24"/>
          <w:highlight w:val="none"/>
          <w:lang w:eastAsia="zh-CN"/>
        </w:rPr>
        <w:t>，</w:t>
      </w:r>
      <w:r>
        <w:rPr>
          <w:rFonts w:hint="eastAsia" w:ascii="宋体" w:hAnsi="宋体" w:cs="宋体"/>
          <w:bCs/>
          <w:sz w:val="24"/>
          <w:highlight w:val="none"/>
        </w:rPr>
        <w:t>本招标文件不再做调整。</w:t>
      </w:r>
      <w:bookmarkEnd w:id="172"/>
    </w:p>
    <w:p>
      <w:pPr>
        <w:rPr>
          <w:rFonts w:ascii="宋体" w:hAnsi="宋体" w:cs="宋体"/>
          <w:sz w:val="24"/>
          <w:highlight w:val="none"/>
        </w:rPr>
      </w:pPr>
      <w:r>
        <w:rPr>
          <w:rFonts w:hint="eastAsia" w:ascii="宋体" w:hAnsi="宋体" w:cs="宋体"/>
          <w:sz w:val="24"/>
          <w:highlight w:val="none"/>
        </w:rPr>
        <w:br w:type="page"/>
      </w:r>
    </w:p>
    <w:p>
      <w:pPr>
        <w:pStyle w:val="3"/>
        <w:rPr>
          <w:rFonts w:ascii="宋体" w:hAnsi="宋体" w:cs="宋体"/>
          <w:highlight w:val="none"/>
        </w:rPr>
      </w:pPr>
      <w:bookmarkStart w:id="173" w:name="_Toc503862801"/>
      <w:bookmarkStart w:id="174" w:name="_Toc17569"/>
      <w:bookmarkStart w:id="175" w:name="_Toc30960"/>
      <w:bookmarkStart w:id="176" w:name="_Toc4227"/>
      <w:bookmarkStart w:id="177" w:name="_Toc217446083"/>
      <w:r>
        <w:rPr>
          <w:rFonts w:hint="eastAsia" w:ascii="宋体" w:hAnsi="宋体" w:cs="宋体"/>
          <w:highlight w:val="none"/>
        </w:rPr>
        <w:t>第三章</w:t>
      </w:r>
      <w:r>
        <w:rPr>
          <w:rFonts w:hint="eastAsia" w:ascii="宋体" w:hAnsi="宋体" w:cs="宋体"/>
          <w:highlight w:val="none"/>
          <w:lang w:val="en-US" w:eastAsia="zh-CN"/>
        </w:rPr>
        <w:t xml:space="preserve"> </w:t>
      </w:r>
      <w:r>
        <w:rPr>
          <w:rFonts w:hint="eastAsia" w:ascii="宋体" w:hAnsi="宋体" w:cs="宋体"/>
          <w:highlight w:val="none"/>
        </w:rPr>
        <w:t xml:space="preserve"> 投标文件格式</w:t>
      </w:r>
      <w:bookmarkEnd w:id="173"/>
      <w:bookmarkEnd w:id="174"/>
      <w:bookmarkEnd w:id="175"/>
      <w:bookmarkEnd w:id="176"/>
      <w:bookmarkStart w:id="178" w:name="_Toc217446082"/>
      <w:bookmarkStart w:id="179" w:name="_Toc308164821"/>
    </w:p>
    <w:p>
      <w:pPr>
        <w:widowControl/>
        <w:spacing w:line="360" w:lineRule="atLeast"/>
        <w:jc w:val="center"/>
        <w:rPr>
          <w:rFonts w:ascii="宋体" w:hAnsi="宋体" w:cs="宋体"/>
          <w:b/>
          <w:sz w:val="24"/>
          <w:highlight w:val="none"/>
        </w:rPr>
      </w:pPr>
    </w:p>
    <w:p>
      <w:pPr>
        <w:adjustRightInd w:val="0"/>
        <w:snapToGrid w:val="0"/>
        <w:spacing w:line="360" w:lineRule="auto"/>
        <w:ind w:firstLine="480" w:firstLineChars="200"/>
        <w:rPr>
          <w:rFonts w:ascii="宋体" w:hAnsi="宋体" w:cs="宋体"/>
          <w:bCs/>
          <w:sz w:val="24"/>
          <w:highlight w:val="none"/>
        </w:rPr>
      </w:pPr>
      <w:bookmarkStart w:id="180" w:name="_Toc503862802"/>
      <w:r>
        <w:rPr>
          <w:rFonts w:hint="eastAsia" w:ascii="宋体" w:hAnsi="宋体" w:cs="宋体"/>
          <w:bCs/>
          <w:sz w:val="24"/>
          <w:highlight w:val="none"/>
        </w:rPr>
        <w:t>一、本章所制投标文件格式</w:t>
      </w:r>
      <w:r>
        <w:rPr>
          <w:rFonts w:hint="eastAsia" w:ascii="宋体" w:hAnsi="宋体" w:cs="宋体"/>
          <w:bCs/>
          <w:sz w:val="24"/>
          <w:highlight w:val="none"/>
          <w:lang w:eastAsia="zh-CN"/>
        </w:rPr>
        <w:t>，</w:t>
      </w:r>
      <w:r>
        <w:rPr>
          <w:rFonts w:hint="eastAsia" w:ascii="宋体" w:hAnsi="宋体" w:cs="宋体"/>
          <w:bCs/>
          <w:sz w:val="24"/>
          <w:highlight w:val="none"/>
        </w:rPr>
        <w:t>除格式中明确将该格式作为实质性要求的</w:t>
      </w:r>
      <w:r>
        <w:rPr>
          <w:rFonts w:hint="eastAsia" w:ascii="宋体" w:hAnsi="宋体" w:cs="宋体"/>
          <w:bCs/>
          <w:sz w:val="24"/>
          <w:highlight w:val="none"/>
          <w:lang w:eastAsia="zh-CN"/>
        </w:rPr>
        <w:t>，</w:t>
      </w:r>
      <w:r>
        <w:rPr>
          <w:rFonts w:hint="eastAsia" w:ascii="宋体" w:hAnsi="宋体" w:cs="宋体"/>
          <w:bCs/>
          <w:sz w:val="24"/>
          <w:highlight w:val="none"/>
        </w:rPr>
        <w:t>一律不具有强制性。</w:t>
      </w:r>
      <w:bookmarkEnd w:id="180"/>
    </w:p>
    <w:p>
      <w:pPr>
        <w:adjustRightInd w:val="0"/>
        <w:snapToGrid w:val="0"/>
        <w:spacing w:line="360" w:lineRule="auto"/>
        <w:ind w:firstLine="480" w:firstLineChars="200"/>
        <w:rPr>
          <w:rFonts w:ascii="宋体" w:hAnsi="宋体" w:cs="宋体"/>
          <w:bCs/>
          <w:sz w:val="24"/>
          <w:highlight w:val="none"/>
        </w:rPr>
      </w:pPr>
      <w:bookmarkStart w:id="181" w:name="_Toc503862803"/>
      <w:r>
        <w:rPr>
          <w:rFonts w:hint="eastAsia" w:ascii="宋体" w:hAnsi="宋体" w:cs="宋体"/>
          <w:bCs/>
          <w:sz w:val="24"/>
          <w:highlight w:val="none"/>
        </w:rPr>
        <w:t>二、本章所制投标文件格式有关表格中的备注栏</w:t>
      </w:r>
      <w:r>
        <w:rPr>
          <w:rFonts w:hint="eastAsia" w:ascii="宋体" w:hAnsi="宋体" w:cs="宋体"/>
          <w:bCs/>
          <w:sz w:val="24"/>
          <w:highlight w:val="none"/>
          <w:lang w:eastAsia="zh-CN"/>
        </w:rPr>
        <w:t>，</w:t>
      </w:r>
      <w:r>
        <w:rPr>
          <w:rFonts w:hint="eastAsia" w:ascii="宋体" w:hAnsi="宋体" w:cs="宋体"/>
          <w:bCs/>
          <w:sz w:val="24"/>
          <w:highlight w:val="none"/>
        </w:rPr>
        <w:t>由投标人根据自身投标情况作解释性说明</w:t>
      </w:r>
      <w:r>
        <w:rPr>
          <w:rFonts w:hint="eastAsia" w:ascii="宋体" w:hAnsi="宋体" w:cs="宋体"/>
          <w:bCs/>
          <w:sz w:val="24"/>
          <w:highlight w:val="none"/>
          <w:lang w:eastAsia="zh-CN"/>
        </w:rPr>
        <w:t>，</w:t>
      </w:r>
      <w:r>
        <w:rPr>
          <w:rFonts w:hint="eastAsia" w:ascii="宋体" w:hAnsi="宋体" w:cs="宋体"/>
          <w:bCs/>
          <w:sz w:val="24"/>
          <w:highlight w:val="none"/>
        </w:rPr>
        <w:t>不作为必填项。</w:t>
      </w:r>
      <w:bookmarkEnd w:id="181"/>
    </w:p>
    <w:p>
      <w:pPr>
        <w:adjustRightInd w:val="0"/>
        <w:snapToGrid w:val="0"/>
        <w:spacing w:line="360" w:lineRule="auto"/>
        <w:ind w:firstLine="480" w:firstLineChars="200"/>
        <w:rPr>
          <w:rFonts w:ascii="宋体" w:hAnsi="宋体" w:cs="宋体"/>
          <w:bCs/>
          <w:sz w:val="24"/>
          <w:highlight w:val="none"/>
        </w:rPr>
      </w:pPr>
      <w:bookmarkStart w:id="182" w:name="_Toc503862804"/>
      <w:r>
        <w:rPr>
          <w:rFonts w:hint="eastAsia" w:ascii="宋体" w:hAnsi="宋体" w:cs="宋体"/>
          <w:bCs/>
          <w:sz w:val="24"/>
          <w:highlight w:val="none"/>
        </w:rPr>
        <w:t>三、本章所制投标文件格式中需要填写的相关内容事项</w:t>
      </w:r>
      <w:r>
        <w:rPr>
          <w:rFonts w:hint="eastAsia" w:ascii="宋体" w:hAnsi="宋体" w:cs="宋体"/>
          <w:bCs/>
          <w:sz w:val="24"/>
          <w:highlight w:val="none"/>
          <w:lang w:eastAsia="zh-CN"/>
        </w:rPr>
        <w:t>，</w:t>
      </w:r>
      <w:r>
        <w:rPr>
          <w:rFonts w:hint="eastAsia" w:ascii="宋体" w:hAnsi="宋体" w:cs="宋体"/>
          <w:bCs/>
          <w:sz w:val="24"/>
          <w:highlight w:val="none"/>
        </w:rPr>
        <w:t>可能会与本采购项目无关</w:t>
      </w:r>
      <w:r>
        <w:rPr>
          <w:rFonts w:hint="eastAsia" w:ascii="宋体" w:hAnsi="宋体" w:cs="宋体"/>
          <w:bCs/>
          <w:sz w:val="24"/>
          <w:highlight w:val="none"/>
          <w:lang w:eastAsia="zh-CN"/>
        </w:rPr>
        <w:t>，</w:t>
      </w:r>
      <w:r>
        <w:rPr>
          <w:rFonts w:hint="eastAsia" w:ascii="宋体" w:hAnsi="宋体" w:cs="宋体"/>
          <w:bCs/>
          <w:sz w:val="24"/>
          <w:highlight w:val="none"/>
        </w:rPr>
        <w:t>在不改变投标文件原义、不影响本项目采购需求的情况下</w:t>
      </w:r>
      <w:r>
        <w:rPr>
          <w:rFonts w:hint="eastAsia" w:ascii="宋体" w:hAnsi="宋体" w:cs="宋体"/>
          <w:bCs/>
          <w:sz w:val="24"/>
          <w:highlight w:val="none"/>
          <w:lang w:eastAsia="zh-CN"/>
        </w:rPr>
        <w:t>，</w:t>
      </w:r>
      <w:r>
        <w:rPr>
          <w:rFonts w:hint="eastAsia" w:ascii="宋体" w:hAnsi="宋体" w:cs="宋体"/>
          <w:bCs/>
          <w:sz w:val="24"/>
          <w:highlight w:val="none"/>
        </w:rPr>
        <w:t>投标人可以不予填写</w:t>
      </w:r>
      <w:r>
        <w:rPr>
          <w:rFonts w:hint="eastAsia" w:ascii="宋体" w:hAnsi="宋体" w:cs="宋体"/>
          <w:bCs/>
          <w:sz w:val="24"/>
          <w:highlight w:val="none"/>
          <w:lang w:eastAsia="zh-CN"/>
        </w:rPr>
        <w:t>，</w:t>
      </w:r>
      <w:r>
        <w:rPr>
          <w:rFonts w:hint="eastAsia" w:ascii="宋体" w:hAnsi="宋体" w:cs="宋体"/>
          <w:bCs/>
          <w:sz w:val="24"/>
          <w:highlight w:val="none"/>
        </w:rPr>
        <w:t>但应当注明。</w:t>
      </w:r>
      <w:bookmarkEnd w:id="182"/>
    </w:p>
    <w:p>
      <w:pPr>
        <w:rPr>
          <w:rFonts w:ascii="宋体" w:hAnsi="宋体" w:cs="宋体"/>
          <w:b/>
          <w:sz w:val="32"/>
          <w:highlight w:val="none"/>
        </w:rPr>
      </w:pPr>
      <w:r>
        <w:rPr>
          <w:rFonts w:hint="eastAsia" w:ascii="宋体" w:hAnsi="宋体" w:cs="宋体"/>
          <w:b/>
          <w:sz w:val="32"/>
          <w:highlight w:val="none"/>
        </w:rPr>
        <w:br w:type="page"/>
      </w:r>
    </w:p>
    <w:p>
      <w:pPr>
        <w:tabs>
          <w:tab w:val="left" w:pos="900"/>
        </w:tabs>
        <w:spacing w:line="360" w:lineRule="auto"/>
        <w:jc w:val="center"/>
        <w:outlineLvl w:val="1"/>
        <w:rPr>
          <w:rFonts w:ascii="宋体" w:hAnsi="宋体" w:cs="宋体"/>
          <w:b/>
          <w:sz w:val="32"/>
          <w:highlight w:val="none"/>
        </w:rPr>
      </w:pPr>
      <w:r>
        <w:rPr>
          <w:rFonts w:hint="eastAsia" w:ascii="宋体" w:hAnsi="宋体" w:cs="宋体"/>
          <w:b/>
          <w:sz w:val="32"/>
          <w:highlight w:val="none"/>
        </w:rPr>
        <w:t>第一部分     “资格性投标文件”格式</w:t>
      </w:r>
    </w:p>
    <w:p>
      <w:pPr>
        <w:spacing w:line="360" w:lineRule="auto"/>
        <w:rPr>
          <w:rFonts w:ascii="宋体" w:hAnsi="宋体" w:cs="宋体"/>
          <w:b/>
          <w:sz w:val="32"/>
          <w:szCs w:val="32"/>
          <w:highlight w:val="none"/>
        </w:rPr>
      </w:pPr>
      <w:r>
        <w:rPr>
          <w:rFonts w:hint="eastAsia" w:ascii="宋体" w:hAnsi="宋体" w:cs="宋体"/>
          <w:b/>
          <w:sz w:val="32"/>
          <w:szCs w:val="32"/>
          <w:highlight w:val="none"/>
        </w:rPr>
        <w:t>格式1-1</w:t>
      </w:r>
    </w:p>
    <w:p>
      <w:pPr>
        <w:spacing w:line="360" w:lineRule="auto"/>
        <w:rPr>
          <w:rFonts w:ascii="宋体" w:hAnsi="宋体" w:cs="宋体"/>
          <w:b/>
          <w:sz w:val="32"/>
          <w:szCs w:val="32"/>
          <w:highlight w:val="none"/>
        </w:rPr>
      </w:pPr>
      <w:r>
        <w:rPr>
          <w:rFonts w:hint="eastAsia" w:ascii="宋体" w:hAnsi="宋体" w:cs="宋体"/>
          <w:b/>
          <w:sz w:val="32"/>
          <w:szCs w:val="32"/>
          <w:highlight w:val="none"/>
        </w:rPr>
        <w:t>封面：</w:t>
      </w:r>
    </w:p>
    <w:p>
      <w:pPr>
        <w:spacing w:line="360" w:lineRule="auto"/>
        <w:jc w:val="right"/>
        <w:rPr>
          <w:rFonts w:ascii="宋体" w:hAnsi="宋体" w:cs="宋体"/>
          <w:b/>
          <w:sz w:val="36"/>
          <w:highlight w:val="none"/>
        </w:rPr>
      </w:pPr>
      <w:r>
        <w:rPr>
          <w:rFonts w:hint="eastAsia" w:ascii="宋体" w:hAnsi="宋体" w:cs="宋体"/>
          <w:b/>
          <w:sz w:val="36"/>
          <w:highlight w:val="none"/>
        </w:rPr>
        <w:t>（正本/副本）</w:t>
      </w:r>
    </w:p>
    <w:p>
      <w:pPr>
        <w:spacing w:line="360" w:lineRule="auto"/>
        <w:rPr>
          <w:rFonts w:ascii="宋体" w:hAnsi="宋体" w:cs="宋体"/>
          <w:b/>
          <w:sz w:val="32"/>
          <w:szCs w:val="32"/>
          <w:highlight w:val="none"/>
        </w:rPr>
      </w:pPr>
    </w:p>
    <w:p>
      <w:pPr>
        <w:spacing w:line="360" w:lineRule="auto"/>
        <w:ind w:right="-1"/>
        <w:rPr>
          <w:rFonts w:ascii="宋体" w:hAnsi="宋体" w:cs="宋体"/>
          <w:b/>
          <w:sz w:val="36"/>
          <w:highlight w:val="none"/>
        </w:rPr>
      </w:pPr>
      <w:r>
        <w:rPr>
          <w:rFonts w:hint="eastAsia" w:ascii="宋体" w:hAnsi="宋体" w:cs="宋体"/>
          <w:b/>
          <w:sz w:val="36"/>
          <w:highlight w:val="none"/>
        </w:rPr>
        <w:t>项目名称：</w:t>
      </w:r>
    </w:p>
    <w:p>
      <w:pPr>
        <w:spacing w:line="360" w:lineRule="auto"/>
        <w:ind w:right="-1"/>
        <w:rPr>
          <w:rFonts w:ascii="宋体" w:hAnsi="宋体" w:cs="宋体"/>
          <w:b/>
          <w:sz w:val="36"/>
          <w:highlight w:val="none"/>
        </w:rPr>
      </w:pPr>
      <w:r>
        <w:rPr>
          <w:rFonts w:hint="eastAsia" w:ascii="宋体" w:hAnsi="宋体" w:cs="宋体"/>
          <w:b/>
          <w:sz w:val="36"/>
          <w:highlight w:val="none"/>
        </w:rPr>
        <w:t>采购编号：</w:t>
      </w: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spacing w:line="360" w:lineRule="auto"/>
        <w:jc w:val="center"/>
        <w:rPr>
          <w:rFonts w:ascii="宋体" w:hAnsi="宋体" w:cs="宋体"/>
          <w:b/>
          <w:sz w:val="52"/>
          <w:szCs w:val="52"/>
          <w:highlight w:val="none"/>
        </w:rPr>
      </w:pPr>
      <w:r>
        <w:rPr>
          <w:rFonts w:hint="eastAsia" w:ascii="宋体" w:hAnsi="宋体" w:cs="宋体"/>
          <w:b/>
          <w:sz w:val="52"/>
          <w:szCs w:val="52"/>
          <w:highlight w:val="none"/>
        </w:rPr>
        <w:t>资格性投标文件</w:t>
      </w:r>
    </w:p>
    <w:p>
      <w:pPr>
        <w:adjustRightInd w:val="0"/>
        <w:snapToGrid w:val="0"/>
        <w:spacing w:line="360" w:lineRule="auto"/>
        <w:ind w:firstLine="480" w:firstLineChars="200"/>
        <w:rPr>
          <w:rFonts w:hint="eastAsia" w:ascii="宋体" w:hAnsi="宋体" w:cs="宋体"/>
          <w:bCs/>
          <w:sz w:val="24"/>
          <w:highlight w:val="none"/>
        </w:rPr>
      </w:pPr>
    </w:p>
    <w:p>
      <w:pPr>
        <w:pStyle w:val="2"/>
        <w:rPr>
          <w:rFonts w:hint="eastAsia" w:ascii="宋体" w:hAnsi="宋体" w:cs="宋体"/>
          <w:bCs/>
          <w:sz w:val="24"/>
          <w:highlight w:val="none"/>
        </w:rPr>
      </w:pPr>
    </w:p>
    <w:p>
      <w:pPr>
        <w:rPr>
          <w:rFonts w:hint="eastAsia"/>
        </w:rPr>
      </w:pPr>
    </w:p>
    <w:p>
      <w:pPr>
        <w:adjustRightInd w:val="0"/>
        <w:snapToGrid w:val="0"/>
        <w:spacing w:line="360" w:lineRule="auto"/>
        <w:ind w:firstLine="480" w:firstLineChars="200"/>
        <w:rPr>
          <w:rFonts w:hint="eastAsia" w:ascii="宋体" w:hAnsi="宋体" w:cs="宋体"/>
          <w:bCs/>
          <w:sz w:val="24"/>
          <w:highlight w:val="none"/>
        </w:rPr>
      </w:pPr>
    </w:p>
    <w:p>
      <w:pPr>
        <w:spacing w:line="360" w:lineRule="auto"/>
        <w:ind w:left="0" w:leftChars="0" w:firstLine="643" w:firstLineChars="200"/>
        <w:jc w:val="left"/>
        <w:rPr>
          <w:rFonts w:ascii="宋体" w:hAnsi="宋体" w:cs="宋体"/>
          <w:b/>
          <w:sz w:val="32"/>
          <w:highlight w:val="none"/>
          <w:u w:val="single"/>
        </w:rPr>
      </w:pPr>
      <w:r>
        <w:rPr>
          <w:rFonts w:hint="eastAsia" w:ascii="宋体" w:hAnsi="宋体" w:cs="宋体"/>
          <w:b/>
          <w:sz w:val="32"/>
          <w:highlight w:val="none"/>
        </w:rPr>
        <w:t>投标人名称：</w:t>
      </w:r>
      <w:r>
        <w:rPr>
          <w:rFonts w:hint="eastAsia" w:ascii="宋体" w:hAnsi="宋体" w:cs="宋体"/>
          <w:b/>
          <w:sz w:val="32"/>
          <w:highlight w:val="none"/>
          <w:u w:val="single"/>
        </w:rPr>
        <w:t xml:space="preserve">                          </w:t>
      </w:r>
    </w:p>
    <w:p>
      <w:pPr>
        <w:spacing w:line="360" w:lineRule="auto"/>
        <w:ind w:firstLine="643" w:firstLineChars="200"/>
        <w:jc w:val="both"/>
        <w:rPr>
          <w:rFonts w:hint="default" w:ascii="宋体" w:hAnsi="宋体" w:eastAsia="宋体" w:cs="宋体"/>
          <w:b/>
          <w:sz w:val="32"/>
          <w:highlight w:val="none"/>
          <w:u w:val="single"/>
          <w:lang w:val="en-US" w:eastAsia="zh-CN"/>
        </w:rPr>
      </w:pPr>
      <w:r>
        <w:rPr>
          <w:rFonts w:hint="eastAsia" w:ascii="宋体" w:hAnsi="宋体" w:cs="宋体"/>
          <w:b/>
          <w:sz w:val="32"/>
          <w:highlight w:val="none"/>
          <w:lang w:val="en-US" w:eastAsia="zh-CN"/>
        </w:rPr>
        <w:t>标  段  号：</w:t>
      </w:r>
      <w:r>
        <w:rPr>
          <w:rFonts w:hint="eastAsia" w:ascii="宋体" w:hAnsi="宋体" w:cs="宋体"/>
          <w:b/>
          <w:sz w:val="32"/>
          <w:highlight w:val="none"/>
          <w:u w:val="single"/>
          <w:lang w:val="en-US" w:eastAsia="zh-CN"/>
        </w:rPr>
        <w:t xml:space="preserve">                          </w:t>
      </w:r>
    </w:p>
    <w:p>
      <w:pPr>
        <w:spacing w:line="360" w:lineRule="auto"/>
        <w:ind w:firstLine="643" w:firstLineChars="200"/>
        <w:jc w:val="both"/>
        <w:rPr>
          <w:rFonts w:ascii="宋体" w:hAnsi="宋体" w:cs="宋体"/>
          <w:b/>
          <w:sz w:val="32"/>
          <w:highlight w:val="none"/>
        </w:rPr>
      </w:pPr>
      <w:r>
        <w:rPr>
          <w:rFonts w:hint="eastAsia" w:ascii="宋体" w:hAnsi="宋体" w:cs="宋体"/>
          <w:b/>
          <w:sz w:val="32"/>
          <w:highlight w:val="none"/>
        </w:rPr>
        <w:t>日</w:t>
      </w:r>
      <w:r>
        <w:rPr>
          <w:rFonts w:hint="eastAsia" w:ascii="宋体" w:hAnsi="宋体" w:cs="宋体"/>
          <w:b/>
          <w:sz w:val="32"/>
          <w:highlight w:val="none"/>
          <w:lang w:val="en-US" w:eastAsia="zh-CN"/>
        </w:rPr>
        <w:t xml:space="preserve">      </w:t>
      </w:r>
      <w:r>
        <w:rPr>
          <w:rFonts w:hint="eastAsia" w:ascii="宋体" w:hAnsi="宋体" w:cs="宋体"/>
          <w:b/>
          <w:sz w:val="32"/>
          <w:highlight w:val="none"/>
        </w:rPr>
        <w:t>期：</w:t>
      </w:r>
      <w:r>
        <w:rPr>
          <w:rFonts w:hint="eastAsia" w:ascii="宋体" w:hAnsi="宋体" w:cs="宋体"/>
          <w:b/>
          <w:sz w:val="32"/>
          <w:highlight w:val="none"/>
          <w:u w:val="single"/>
        </w:rPr>
        <w:t xml:space="preserve">  </w:t>
      </w:r>
      <w:r>
        <w:rPr>
          <w:rFonts w:hint="eastAsia" w:ascii="宋体" w:hAnsi="宋体" w:cs="宋体"/>
          <w:b/>
          <w:sz w:val="32"/>
          <w:highlight w:val="none"/>
          <w:u w:val="single"/>
          <w:lang w:val="en-US" w:eastAsia="zh-CN"/>
        </w:rPr>
        <w:t xml:space="preserve"> </w:t>
      </w:r>
      <w:r>
        <w:rPr>
          <w:rFonts w:hint="eastAsia" w:ascii="宋体" w:hAnsi="宋体" w:cs="宋体"/>
          <w:b/>
          <w:sz w:val="32"/>
          <w:highlight w:val="none"/>
          <w:u w:val="single"/>
        </w:rPr>
        <w:t xml:space="preserve">  </w:t>
      </w:r>
      <w:r>
        <w:rPr>
          <w:rFonts w:hint="eastAsia" w:ascii="宋体" w:hAnsi="宋体" w:cs="宋体"/>
          <w:b/>
          <w:sz w:val="32"/>
          <w:highlight w:val="none"/>
        </w:rPr>
        <w:t>年</w:t>
      </w:r>
      <w:r>
        <w:rPr>
          <w:rFonts w:hint="eastAsia" w:ascii="宋体" w:hAnsi="宋体" w:cs="宋体"/>
          <w:b/>
          <w:sz w:val="32"/>
          <w:highlight w:val="none"/>
          <w:u w:val="single"/>
        </w:rPr>
        <w:t xml:space="preserve">   </w:t>
      </w:r>
      <w:r>
        <w:rPr>
          <w:rFonts w:hint="eastAsia" w:ascii="宋体" w:hAnsi="宋体" w:cs="宋体"/>
          <w:b/>
          <w:sz w:val="32"/>
          <w:highlight w:val="none"/>
        </w:rPr>
        <w:t>月</w:t>
      </w:r>
      <w:r>
        <w:rPr>
          <w:rFonts w:hint="eastAsia" w:ascii="宋体" w:hAnsi="宋体" w:cs="宋体"/>
          <w:b/>
          <w:sz w:val="32"/>
          <w:highlight w:val="none"/>
          <w:u w:val="single"/>
        </w:rPr>
        <w:t xml:space="preserve">   </w:t>
      </w:r>
      <w:r>
        <w:rPr>
          <w:rFonts w:hint="eastAsia" w:ascii="宋体" w:hAnsi="宋体" w:cs="宋体"/>
          <w:b/>
          <w:sz w:val="32"/>
          <w:highlight w:val="none"/>
        </w:rPr>
        <w:t>日</w:t>
      </w:r>
    </w:p>
    <w:p>
      <w:pPr>
        <w:spacing w:line="360" w:lineRule="auto"/>
        <w:rPr>
          <w:rFonts w:ascii="宋体" w:hAnsi="宋体" w:cs="宋体"/>
          <w:b/>
          <w:sz w:val="32"/>
          <w:szCs w:val="32"/>
          <w:highlight w:val="none"/>
        </w:rPr>
      </w:pPr>
      <w:r>
        <w:rPr>
          <w:rFonts w:hint="eastAsia" w:ascii="宋体" w:hAnsi="宋体" w:cs="宋体"/>
          <w:b/>
          <w:sz w:val="32"/>
          <w:highlight w:val="none"/>
        </w:rPr>
        <w:br w:type="page"/>
      </w:r>
      <w:r>
        <w:rPr>
          <w:rFonts w:hint="eastAsia" w:ascii="宋体" w:hAnsi="宋体" w:cs="宋体"/>
          <w:b/>
          <w:sz w:val="32"/>
          <w:szCs w:val="32"/>
          <w:highlight w:val="none"/>
        </w:rPr>
        <w:t>格式1-2</w:t>
      </w:r>
    </w:p>
    <w:p>
      <w:pPr>
        <w:widowControl/>
        <w:spacing w:line="360" w:lineRule="auto"/>
        <w:jc w:val="center"/>
        <w:outlineLvl w:val="2"/>
        <w:rPr>
          <w:rFonts w:ascii="宋体" w:hAnsi="宋体" w:cs="宋体"/>
          <w:b/>
          <w:sz w:val="32"/>
          <w:szCs w:val="32"/>
          <w:highlight w:val="none"/>
        </w:rPr>
      </w:pPr>
      <w:r>
        <w:rPr>
          <w:rFonts w:hint="eastAsia" w:ascii="宋体" w:hAnsi="宋体" w:cs="宋体"/>
          <w:b/>
          <w:sz w:val="32"/>
          <w:szCs w:val="32"/>
          <w:highlight w:val="none"/>
        </w:rPr>
        <w:t>一、法定代表人/单位负责人身份证明书</w:t>
      </w:r>
    </w:p>
    <w:p>
      <w:pPr>
        <w:pStyle w:val="12"/>
        <w:spacing w:after="0" w:line="360" w:lineRule="auto"/>
        <w:ind w:left="0" w:leftChars="0"/>
        <w:rPr>
          <w:rFonts w:ascii="宋体" w:hAnsi="宋体" w:cs="宋体"/>
          <w:sz w:val="24"/>
          <w:highlight w:val="none"/>
          <w:lang w:val="zh-CN"/>
        </w:rPr>
      </w:pPr>
    </w:p>
    <w:p>
      <w:pPr>
        <w:adjustRightInd w:val="0"/>
        <w:snapToGrid w:val="0"/>
        <w:spacing w:line="360" w:lineRule="auto"/>
        <w:rPr>
          <w:rFonts w:ascii="宋体" w:hAnsi="宋体" w:cs="宋体"/>
          <w:bCs/>
          <w:sz w:val="24"/>
          <w:highlight w:val="none"/>
          <w:lang w:val="zh-CN"/>
        </w:rPr>
      </w:pPr>
      <w:r>
        <w:rPr>
          <w:rFonts w:hint="eastAsia" w:ascii="宋体" w:hAnsi="宋体" w:cs="宋体"/>
          <w:bCs/>
          <w:sz w:val="24"/>
          <w:highlight w:val="none"/>
        </w:rPr>
        <w:t>致：</w:t>
      </w:r>
      <w:r>
        <w:rPr>
          <w:rFonts w:hint="eastAsia" w:ascii="宋体" w:hAnsi="宋体" w:cs="宋体"/>
          <w:bCs/>
          <w:sz w:val="24"/>
          <w:highlight w:val="none"/>
          <w:lang w:val="zh-CN"/>
        </w:rPr>
        <w:t>四川新宇盛项目管理集团有限公司：</w:t>
      </w:r>
    </w:p>
    <w:p>
      <w:pPr>
        <w:tabs>
          <w:tab w:val="left" w:pos="6300"/>
        </w:tabs>
        <w:spacing w:line="360" w:lineRule="auto"/>
        <w:ind w:firstLine="480" w:firstLineChars="200"/>
        <w:rPr>
          <w:rFonts w:ascii="宋体" w:hAnsi="宋体" w:cs="宋体"/>
          <w:sz w:val="24"/>
          <w:highlight w:val="none"/>
          <w:u w:val="single"/>
          <w:lang w:val="zh-CN"/>
        </w:rPr>
      </w:pPr>
    </w:p>
    <w:p>
      <w:pPr>
        <w:tabs>
          <w:tab w:val="left" w:pos="6300"/>
        </w:tabs>
        <w:spacing w:line="360" w:lineRule="auto"/>
        <w:ind w:firstLine="480" w:firstLineChars="200"/>
        <w:rPr>
          <w:rFonts w:ascii="宋体" w:hAnsi="宋体" w:cs="宋体"/>
          <w:sz w:val="24"/>
          <w:highlight w:val="none"/>
          <w:lang w:val="zh-CN"/>
        </w:rPr>
      </w:pPr>
      <w:r>
        <w:rPr>
          <w:rFonts w:hint="eastAsia" w:ascii="宋体" w:hAnsi="宋体" w:cs="宋体"/>
          <w:sz w:val="24"/>
          <w:highlight w:val="none"/>
          <w:u w:val="single"/>
          <w:lang w:val="zh-CN"/>
        </w:rPr>
        <w:t xml:space="preserve">    （法定代表人姓名）</w:t>
      </w:r>
      <w:r>
        <w:rPr>
          <w:rFonts w:hint="eastAsia" w:ascii="宋体" w:hAnsi="宋体" w:cs="宋体"/>
          <w:sz w:val="24"/>
          <w:highlight w:val="none"/>
          <w:lang w:val="zh-CN"/>
        </w:rPr>
        <w:t>在</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zh-CN"/>
        </w:rPr>
        <w:t>（投标人名称） 处任</w:t>
      </w:r>
      <w:r>
        <w:rPr>
          <w:rFonts w:hint="eastAsia" w:ascii="宋体" w:hAnsi="宋体" w:cs="宋体"/>
          <w:sz w:val="24"/>
          <w:highlight w:val="none"/>
          <w:u w:val="single"/>
          <w:lang w:val="zh-CN"/>
        </w:rPr>
        <w:t xml:space="preserve">         （职务名称）        </w:t>
      </w:r>
      <w:r>
        <w:rPr>
          <w:rFonts w:hint="eastAsia" w:ascii="宋体" w:hAnsi="宋体" w:cs="宋体"/>
          <w:sz w:val="24"/>
          <w:highlight w:val="none"/>
          <w:lang w:val="zh-CN"/>
        </w:rPr>
        <w:t>职务，是</w:t>
      </w:r>
      <w:r>
        <w:rPr>
          <w:rFonts w:hint="eastAsia" w:ascii="宋体" w:hAnsi="宋体" w:cs="宋体"/>
          <w:sz w:val="24"/>
          <w:highlight w:val="none"/>
          <w:u w:val="single"/>
          <w:lang w:val="zh-CN"/>
        </w:rPr>
        <w:t xml:space="preserve">      （投标人名称）    </w:t>
      </w:r>
      <w:r>
        <w:rPr>
          <w:rFonts w:hint="eastAsia" w:ascii="宋体" w:hAnsi="宋体" w:cs="宋体"/>
          <w:sz w:val="24"/>
          <w:highlight w:val="none"/>
          <w:lang w:val="zh-CN"/>
        </w:rPr>
        <w:t>的法定代表人/单位负责人。</w:t>
      </w:r>
    </w:p>
    <w:p>
      <w:pPr>
        <w:adjustRightInd w:val="0"/>
        <w:snapToGrid w:val="0"/>
        <w:spacing w:line="360" w:lineRule="auto"/>
        <w:ind w:firstLine="482" w:firstLineChars="200"/>
        <w:rPr>
          <w:rFonts w:ascii="宋体" w:hAnsi="宋体" w:cs="宋体"/>
          <w:b/>
          <w:sz w:val="24"/>
          <w:highlight w:val="none"/>
          <w:lang w:val="zh-CN"/>
        </w:rPr>
      </w:pPr>
      <w:r>
        <w:rPr>
          <w:rFonts w:hint="eastAsia" w:ascii="宋体" w:hAnsi="宋体" w:cs="宋体"/>
          <w:b/>
          <w:sz w:val="24"/>
          <w:highlight w:val="none"/>
          <w:lang w:val="zh-CN"/>
        </w:rPr>
        <w:t>特此证明。</w:t>
      </w:r>
    </w:p>
    <w:p>
      <w:pPr>
        <w:spacing w:line="360" w:lineRule="auto"/>
        <w:rPr>
          <w:rFonts w:ascii="宋体" w:hAnsi="宋体" w:cs="宋体"/>
          <w:sz w:val="24"/>
          <w:highlight w:val="none"/>
        </w:rPr>
      </w:pPr>
    </w:p>
    <w:p>
      <w:pPr>
        <w:adjustRightInd w:val="0"/>
        <w:snapToGrid w:val="0"/>
        <w:spacing w:line="360" w:lineRule="auto"/>
        <w:ind w:left="0" w:leftChars="0" w:firstLine="422" w:firstLineChars="175"/>
        <w:rPr>
          <w:rFonts w:hint="eastAsia" w:ascii="宋体" w:hAnsi="宋体" w:cs="宋体"/>
          <w:b/>
          <w:bCs w:val="0"/>
          <w:sz w:val="24"/>
          <w:szCs w:val="24"/>
          <w:highlight w:val="none"/>
        </w:rPr>
      </w:pPr>
    </w:p>
    <w:p>
      <w:pPr>
        <w:adjustRightInd w:val="0"/>
        <w:snapToGrid w:val="0"/>
        <w:spacing w:line="360" w:lineRule="auto"/>
        <w:ind w:left="0" w:leftChars="0" w:firstLine="422" w:firstLineChars="175"/>
        <w:rPr>
          <w:rFonts w:hint="eastAsia" w:ascii="宋体" w:hAnsi="宋体" w:cs="宋体"/>
          <w:b/>
          <w:bCs w:val="0"/>
          <w:sz w:val="24"/>
          <w:szCs w:val="24"/>
          <w:highlight w:val="none"/>
        </w:rPr>
      </w:pPr>
    </w:p>
    <w:p>
      <w:pPr>
        <w:adjustRightInd w:val="0"/>
        <w:snapToGrid w:val="0"/>
        <w:spacing w:line="360" w:lineRule="auto"/>
        <w:ind w:left="0" w:leftChars="0" w:firstLine="422" w:firstLineChars="175"/>
        <w:rPr>
          <w:rFonts w:ascii="宋体" w:hAnsi="宋体" w:cs="宋体"/>
          <w:b/>
          <w:bCs w:val="0"/>
          <w:sz w:val="24"/>
          <w:szCs w:val="24"/>
          <w:highlight w:val="none"/>
        </w:rPr>
      </w:pPr>
      <w:r>
        <w:rPr>
          <w:rFonts w:hint="eastAsia" w:ascii="宋体" w:hAnsi="宋体" w:cs="宋体"/>
          <w:b/>
          <w:bCs w:val="0"/>
          <w:sz w:val="24"/>
          <w:szCs w:val="24"/>
          <w:highlight w:val="none"/>
        </w:rPr>
        <w:t>投标人名称：</w:t>
      </w:r>
      <w:r>
        <w:rPr>
          <w:rFonts w:hint="eastAsia" w:ascii="宋体" w:hAnsi="宋体" w:cs="宋体"/>
          <w:b/>
          <w:bCs w:val="0"/>
          <w:sz w:val="24"/>
          <w:szCs w:val="24"/>
          <w:highlight w:val="none"/>
          <w:u w:val="single"/>
        </w:rPr>
        <w:t xml:space="preserve">               </w:t>
      </w:r>
      <w:r>
        <w:rPr>
          <w:rFonts w:hint="eastAsia" w:ascii="宋体" w:hAnsi="宋体" w:cs="宋体"/>
          <w:b/>
          <w:bCs w:val="0"/>
          <w:sz w:val="24"/>
          <w:szCs w:val="24"/>
          <w:highlight w:val="none"/>
          <w:u w:val="single"/>
          <w:lang w:val="en-US" w:eastAsia="zh-CN"/>
        </w:rPr>
        <w:t xml:space="preserve"> </w:t>
      </w:r>
      <w:r>
        <w:rPr>
          <w:rFonts w:hint="eastAsia" w:ascii="宋体" w:hAnsi="宋体" w:cs="宋体"/>
          <w:b/>
          <w:bCs w:val="0"/>
          <w:sz w:val="24"/>
          <w:szCs w:val="24"/>
          <w:highlight w:val="none"/>
          <w:u w:val="single"/>
        </w:rPr>
        <w:t xml:space="preserve">   </w:t>
      </w:r>
      <w:r>
        <w:rPr>
          <w:rFonts w:hint="eastAsia" w:ascii="宋体" w:hAnsi="宋体" w:cs="宋体"/>
          <w:b/>
          <w:bCs w:val="0"/>
          <w:sz w:val="24"/>
          <w:szCs w:val="24"/>
          <w:highlight w:val="none"/>
        </w:rPr>
        <w:t>（单位盖章）</w:t>
      </w:r>
    </w:p>
    <w:p>
      <w:pPr>
        <w:adjustRightInd w:val="0"/>
        <w:snapToGrid w:val="0"/>
        <w:spacing w:line="360" w:lineRule="auto"/>
        <w:ind w:left="0" w:leftChars="0" w:firstLine="422" w:firstLineChars="175"/>
        <w:rPr>
          <w:rFonts w:ascii="宋体" w:hAnsi="宋体" w:cs="宋体"/>
          <w:b/>
          <w:bCs w:val="0"/>
          <w:sz w:val="24"/>
          <w:szCs w:val="24"/>
          <w:highlight w:val="none"/>
        </w:rPr>
      </w:pPr>
      <w:r>
        <w:rPr>
          <w:rFonts w:hint="eastAsia" w:ascii="宋体" w:hAnsi="宋体" w:cs="宋体"/>
          <w:b/>
          <w:bCs w:val="0"/>
          <w:sz w:val="24"/>
          <w:szCs w:val="24"/>
          <w:highlight w:val="none"/>
        </w:rPr>
        <w:t>法定代表人/单位负责人：</w:t>
      </w:r>
      <w:r>
        <w:rPr>
          <w:rFonts w:hint="eastAsia" w:ascii="宋体" w:hAnsi="宋体" w:cs="宋体"/>
          <w:b/>
          <w:bCs w:val="0"/>
          <w:sz w:val="24"/>
          <w:szCs w:val="24"/>
          <w:highlight w:val="none"/>
          <w:u w:val="single"/>
        </w:rPr>
        <w:t xml:space="preserve">    </w:t>
      </w:r>
      <w:r>
        <w:rPr>
          <w:rFonts w:hint="eastAsia" w:ascii="宋体" w:hAnsi="宋体" w:cs="宋体"/>
          <w:b/>
          <w:bCs w:val="0"/>
          <w:sz w:val="24"/>
          <w:szCs w:val="24"/>
          <w:highlight w:val="none"/>
          <w:u w:val="single"/>
          <w:lang w:val="en-US" w:eastAsia="zh-CN"/>
        </w:rPr>
        <w:t xml:space="preserve"> </w:t>
      </w:r>
      <w:r>
        <w:rPr>
          <w:rFonts w:hint="eastAsia" w:ascii="宋体" w:hAnsi="宋体" w:cs="宋体"/>
          <w:b/>
          <w:bCs w:val="0"/>
          <w:sz w:val="24"/>
          <w:szCs w:val="24"/>
          <w:highlight w:val="none"/>
          <w:u w:val="single"/>
        </w:rPr>
        <w:t xml:space="preserve">  </w:t>
      </w:r>
      <w:r>
        <w:rPr>
          <w:rFonts w:hint="eastAsia" w:ascii="宋体" w:hAnsi="宋体" w:cs="宋体"/>
          <w:b/>
          <w:bCs w:val="0"/>
          <w:sz w:val="24"/>
          <w:szCs w:val="24"/>
          <w:highlight w:val="none"/>
          <w:u w:val="none"/>
          <w:lang w:eastAsia="zh-CN"/>
        </w:rPr>
        <w:t>（</w:t>
      </w:r>
      <w:r>
        <w:rPr>
          <w:rFonts w:hint="eastAsia" w:ascii="宋体" w:hAnsi="宋体" w:cs="宋体"/>
          <w:b/>
          <w:bCs w:val="0"/>
          <w:sz w:val="24"/>
          <w:szCs w:val="24"/>
          <w:highlight w:val="none"/>
        </w:rPr>
        <w:t>签字或加盖名章</w:t>
      </w:r>
      <w:r>
        <w:rPr>
          <w:rFonts w:hint="eastAsia" w:ascii="宋体" w:hAnsi="宋体" w:cs="宋体"/>
          <w:b/>
          <w:bCs w:val="0"/>
          <w:sz w:val="24"/>
          <w:szCs w:val="24"/>
          <w:highlight w:val="none"/>
          <w:u w:val="none"/>
          <w:lang w:eastAsia="zh-CN"/>
        </w:rPr>
        <w:t>）</w:t>
      </w:r>
    </w:p>
    <w:p>
      <w:pPr>
        <w:adjustRightInd w:val="0"/>
        <w:snapToGrid w:val="0"/>
        <w:spacing w:line="360" w:lineRule="auto"/>
        <w:ind w:left="0" w:leftChars="0" w:firstLine="422" w:firstLineChars="175"/>
        <w:rPr>
          <w:rFonts w:hint="eastAsia" w:ascii="宋体" w:hAnsi="宋体" w:cs="宋体"/>
          <w:b/>
          <w:bCs w:val="0"/>
          <w:sz w:val="24"/>
          <w:szCs w:val="24"/>
          <w:highlight w:val="none"/>
          <w:u w:val="single"/>
        </w:rPr>
      </w:pPr>
      <w:r>
        <w:rPr>
          <w:rFonts w:hint="eastAsia" w:ascii="宋体" w:hAnsi="宋体" w:cs="宋体"/>
          <w:b/>
          <w:bCs w:val="0"/>
          <w:sz w:val="24"/>
          <w:szCs w:val="24"/>
          <w:highlight w:val="none"/>
          <w:u w:val="none"/>
          <w:lang w:val="en-US" w:eastAsia="zh-CN"/>
        </w:rPr>
        <w:t>标  段  号：</w:t>
      </w:r>
      <w:r>
        <w:rPr>
          <w:rFonts w:hint="eastAsia" w:ascii="宋体" w:hAnsi="宋体" w:cs="宋体"/>
          <w:b/>
          <w:bCs w:val="0"/>
          <w:sz w:val="24"/>
          <w:szCs w:val="24"/>
          <w:highlight w:val="none"/>
          <w:u w:val="single"/>
          <w:lang w:val="en-US" w:eastAsia="zh-CN"/>
        </w:rPr>
        <w:t xml:space="preserve">                 </w:t>
      </w:r>
    </w:p>
    <w:p>
      <w:pPr>
        <w:tabs>
          <w:tab w:val="left" w:pos="6300"/>
        </w:tabs>
        <w:spacing w:line="360" w:lineRule="auto"/>
        <w:ind w:left="0" w:leftChars="0" w:firstLine="422" w:firstLineChars="175"/>
        <w:rPr>
          <w:rFonts w:ascii="宋体" w:hAnsi="宋体" w:cs="宋体"/>
          <w:b/>
          <w:bCs w:val="0"/>
          <w:sz w:val="24"/>
          <w:szCs w:val="24"/>
          <w:highlight w:val="none"/>
          <w:lang w:val="zh-CN"/>
        </w:rPr>
      </w:pPr>
      <w:r>
        <w:rPr>
          <w:rFonts w:hint="eastAsia" w:ascii="宋体" w:hAnsi="宋体" w:cs="宋体"/>
          <w:b/>
          <w:bCs w:val="0"/>
          <w:sz w:val="24"/>
          <w:szCs w:val="24"/>
          <w:highlight w:val="none"/>
        </w:rPr>
        <w:t xml:space="preserve">日  </w:t>
      </w:r>
      <w:r>
        <w:rPr>
          <w:rFonts w:hint="eastAsia" w:ascii="宋体" w:hAnsi="宋体" w:cs="宋体"/>
          <w:b/>
          <w:bCs w:val="0"/>
          <w:sz w:val="24"/>
          <w:szCs w:val="24"/>
          <w:highlight w:val="none"/>
          <w:lang w:val="en-US" w:eastAsia="zh-CN"/>
        </w:rPr>
        <w:t xml:space="preserve">  </w:t>
      </w:r>
      <w:r>
        <w:rPr>
          <w:rFonts w:hint="eastAsia" w:ascii="宋体" w:hAnsi="宋体" w:cs="宋体"/>
          <w:b/>
          <w:bCs w:val="0"/>
          <w:sz w:val="24"/>
          <w:szCs w:val="24"/>
          <w:highlight w:val="none"/>
        </w:rPr>
        <w:t xml:space="preserve">  期：</w:t>
      </w:r>
      <w:r>
        <w:rPr>
          <w:rFonts w:hint="eastAsia" w:ascii="宋体" w:hAnsi="宋体" w:cs="宋体"/>
          <w:b/>
          <w:bCs w:val="0"/>
          <w:sz w:val="24"/>
          <w:szCs w:val="24"/>
          <w:highlight w:val="none"/>
          <w:u w:val="single"/>
        </w:rPr>
        <w:t xml:space="preserve">     </w:t>
      </w:r>
      <w:r>
        <w:rPr>
          <w:rFonts w:hint="eastAsia" w:ascii="宋体" w:hAnsi="宋体" w:cs="宋体"/>
          <w:b/>
          <w:bCs w:val="0"/>
          <w:sz w:val="24"/>
          <w:szCs w:val="24"/>
          <w:highlight w:val="none"/>
        </w:rPr>
        <w:t>年</w:t>
      </w:r>
      <w:r>
        <w:rPr>
          <w:rFonts w:hint="eastAsia" w:ascii="宋体" w:hAnsi="宋体" w:cs="宋体"/>
          <w:b/>
          <w:bCs w:val="0"/>
          <w:sz w:val="24"/>
          <w:szCs w:val="24"/>
          <w:highlight w:val="none"/>
          <w:u w:val="single"/>
        </w:rPr>
        <w:t xml:space="preserve">   </w:t>
      </w:r>
      <w:r>
        <w:rPr>
          <w:rFonts w:hint="eastAsia" w:ascii="宋体" w:hAnsi="宋体" w:cs="宋体"/>
          <w:b/>
          <w:bCs w:val="0"/>
          <w:sz w:val="24"/>
          <w:szCs w:val="24"/>
          <w:highlight w:val="none"/>
        </w:rPr>
        <w:t>月</w:t>
      </w:r>
      <w:r>
        <w:rPr>
          <w:rFonts w:hint="eastAsia" w:ascii="宋体" w:hAnsi="宋体" w:cs="宋体"/>
          <w:b/>
          <w:bCs w:val="0"/>
          <w:sz w:val="24"/>
          <w:szCs w:val="24"/>
          <w:highlight w:val="none"/>
          <w:u w:val="single"/>
        </w:rPr>
        <w:t xml:space="preserve">   </w:t>
      </w:r>
      <w:r>
        <w:rPr>
          <w:rFonts w:hint="eastAsia" w:ascii="宋体" w:hAnsi="宋体" w:cs="宋体"/>
          <w:b/>
          <w:bCs w:val="0"/>
          <w:sz w:val="24"/>
          <w:szCs w:val="24"/>
          <w:highlight w:val="none"/>
        </w:rPr>
        <w:t>日</w:t>
      </w:r>
    </w:p>
    <w:p>
      <w:pPr>
        <w:tabs>
          <w:tab w:val="left" w:pos="6300"/>
        </w:tabs>
        <w:spacing w:line="360" w:lineRule="auto"/>
        <w:ind w:firstLine="442" w:firstLineChars="200"/>
        <w:rPr>
          <w:rFonts w:hint="eastAsia" w:ascii="宋体" w:hAnsi="宋体" w:cs="宋体"/>
          <w:b/>
          <w:sz w:val="22"/>
          <w:szCs w:val="21"/>
          <w:highlight w:val="none"/>
          <w:lang w:val="zh-CN"/>
        </w:rPr>
      </w:pPr>
    </w:p>
    <w:p>
      <w:pPr>
        <w:tabs>
          <w:tab w:val="left" w:pos="6300"/>
        </w:tabs>
        <w:spacing w:line="360" w:lineRule="auto"/>
        <w:ind w:firstLine="442" w:firstLineChars="200"/>
        <w:rPr>
          <w:rFonts w:hint="eastAsia" w:ascii="宋体" w:hAnsi="宋体" w:cs="宋体"/>
          <w:b/>
          <w:sz w:val="22"/>
          <w:szCs w:val="21"/>
          <w:highlight w:val="none"/>
          <w:lang w:val="zh-CN"/>
        </w:rPr>
      </w:pPr>
    </w:p>
    <w:p>
      <w:pPr>
        <w:tabs>
          <w:tab w:val="left" w:pos="6300"/>
        </w:tabs>
        <w:spacing w:line="360" w:lineRule="auto"/>
        <w:ind w:firstLine="442" w:firstLineChars="200"/>
        <w:rPr>
          <w:rFonts w:ascii="宋体" w:hAnsi="宋体" w:cs="宋体"/>
          <w:b/>
          <w:sz w:val="22"/>
          <w:szCs w:val="21"/>
          <w:highlight w:val="none"/>
          <w:lang w:val="zh-CN"/>
        </w:rPr>
      </w:pPr>
      <w:r>
        <w:rPr>
          <w:rFonts w:hint="eastAsia" w:ascii="宋体" w:hAnsi="宋体" w:cs="宋体"/>
          <w:b/>
          <w:sz w:val="22"/>
          <w:szCs w:val="21"/>
          <w:highlight w:val="none"/>
          <w:lang w:val="zh-CN"/>
        </w:rPr>
        <w:t>附件：法定代表人/单位负责人有效的身份证复印件（身份证两面均应复印）。投标人的法定代表人为外籍人士的，则需提供护照复印件。</w:t>
      </w:r>
    </w:p>
    <w:p>
      <w:pPr>
        <w:spacing w:line="360" w:lineRule="auto"/>
        <w:rPr>
          <w:rFonts w:ascii="宋体" w:hAnsi="宋体" w:cs="宋体"/>
          <w:b/>
          <w:sz w:val="32"/>
          <w:szCs w:val="32"/>
          <w:highlight w:val="none"/>
        </w:rPr>
      </w:pPr>
      <w:r>
        <w:rPr>
          <w:rFonts w:hint="eastAsia" w:ascii="宋体" w:hAnsi="宋体" w:cs="宋体"/>
          <w:sz w:val="24"/>
          <w:highlight w:val="none"/>
        </w:rPr>
        <w:br w:type="page"/>
      </w:r>
      <w:r>
        <w:rPr>
          <w:rFonts w:hint="eastAsia" w:ascii="宋体" w:hAnsi="宋体" w:cs="宋体"/>
          <w:b/>
          <w:sz w:val="32"/>
          <w:szCs w:val="32"/>
          <w:highlight w:val="none"/>
        </w:rPr>
        <w:t>格式1-3</w:t>
      </w:r>
    </w:p>
    <w:p>
      <w:pPr>
        <w:widowControl/>
        <w:spacing w:line="360" w:lineRule="auto"/>
        <w:jc w:val="center"/>
        <w:outlineLvl w:val="2"/>
        <w:rPr>
          <w:rFonts w:ascii="宋体" w:hAnsi="宋体" w:cs="宋体"/>
          <w:b/>
          <w:sz w:val="32"/>
          <w:szCs w:val="32"/>
          <w:highlight w:val="none"/>
        </w:rPr>
      </w:pPr>
      <w:r>
        <w:rPr>
          <w:rFonts w:hint="eastAsia" w:ascii="宋体" w:hAnsi="宋体" w:cs="宋体"/>
          <w:b/>
          <w:sz w:val="32"/>
          <w:szCs w:val="32"/>
          <w:highlight w:val="none"/>
        </w:rPr>
        <w:t>二、法定代表人/单位负责人授权书</w:t>
      </w:r>
    </w:p>
    <w:p>
      <w:pPr>
        <w:pStyle w:val="12"/>
        <w:spacing w:after="0" w:line="360" w:lineRule="auto"/>
        <w:ind w:left="0" w:leftChars="0"/>
        <w:rPr>
          <w:rFonts w:ascii="宋体" w:hAnsi="宋体" w:cs="宋体"/>
          <w:sz w:val="24"/>
          <w:highlight w:val="none"/>
          <w:lang w:val="zh-CN"/>
        </w:rPr>
      </w:pPr>
    </w:p>
    <w:p>
      <w:pPr>
        <w:adjustRightInd w:val="0"/>
        <w:snapToGrid w:val="0"/>
        <w:spacing w:line="360" w:lineRule="auto"/>
        <w:rPr>
          <w:rFonts w:ascii="宋体" w:hAnsi="宋体" w:cs="宋体"/>
          <w:bCs/>
          <w:sz w:val="24"/>
          <w:highlight w:val="none"/>
          <w:lang w:val="zh-CN"/>
        </w:rPr>
      </w:pPr>
      <w:r>
        <w:rPr>
          <w:rFonts w:hint="eastAsia" w:ascii="宋体" w:hAnsi="宋体" w:cs="宋体"/>
          <w:bCs/>
          <w:sz w:val="24"/>
          <w:highlight w:val="none"/>
          <w:lang w:val="zh-CN"/>
        </w:rPr>
        <w:t>四川新宇盛项目管理集团有限公司：</w:t>
      </w:r>
    </w:p>
    <w:p>
      <w:pPr>
        <w:spacing w:line="360" w:lineRule="auto"/>
        <w:ind w:firstLine="480" w:firstLineChars="200"/>
        <w:rPr>
          <w:rFonts w:ascii="宋体" w:hAnsi="宋体" w:cs="宋体"/>
          <w:sz w:val="24"/>
          <w:highlight w:val="none"/>
        </w:rPr>
      </w:pP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本授权声明：XXXX（投标人名称）XXXX（法定代表人/单位负责人姓名、职务）授权XXXX（被授权人姓名、职务）为我方“XXXXXXXX”项目（项目编号：XXXX）投标活动的合法代表</w:t>
      </w:r>
      <w:r>
        <w:rPr>
          <w:rFonts w:hint="eastAsia" w:ascii="宋体" w:hAnsi="宋体" w:cs="宋体"/>
          <w:bCs/>
          <w:sz w:val="24"/>
          <w:highlight w:val="none"/>
          <w:lang w:eastAsia="zh-CN"/>
        </w:rPr>
        <w:t>，</w:t>
      </w:r>
      <w:r>
        <w:rPr>
          <w:rFonts w:hint="eastAsia" w:ascii="宋体" w:hAnsi="宋体" w:cs="宋体"/>
          <w:bCs/>
          <w:sz w:val="24"/>
          <w:highlight w:val="none"/>
        </w:rPr>
        <w:t>以我方名义全权处理该项目有关投标、签订合同以及执行合同等一切事宜。</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特此声明。</w:t>
      </w:r>
    </w:p>
    <w:p>
      <w:pPr>
        <w:spacing w:line="360" w:lineRule="auto"/>
        <w:ind w:firstLine="480" w:firstLineChars="200"/>
        <w:rPr>
          <w:rFonts w:ascii="宋体" w:hAnsi="宋体" w:cs="宋体"/>
          <w:sz w:val="24"/>
          <w:highlight w:val="none"/>
        </w:rPr>
      </w:pPr>
    </w:p>
    <w:p>
      <w:pPr>
        <w:adjustRightInd w:val="0"/>
        <w:snapToGrid w:val="0"/>
        <w:spacing w:line="360" w:lineRule="auto"/>
        <w:ind w:left="0" w:leftChars="0" w:firstLine="422" w:firstLineChars="175"/>
        <w:rPr>
          <w:rFonts w:hint="eastAsia" w:ascii="宋体" w:hAnsi="宋体" w:eastAsia="宋体" w:cs="宋体"/>
          <w:b/>
          <w:bCs w:val="0"/>
          <w:sz w:val="24"/>
          <w:szCs w:val="24"/>
          <w:highlight w:val="none"/>
        </w:rPr>
      </w:pPr>
    </w:p>
    <w:p>
      <w:pPr>
        <w:adjustRightInd w:val="0"/>
        <w:snapToGrid w:val="0"/>
        <w:spacing w:line="360" w:lineRule="auto"/>
        <w:ind w:left="0" w:leftChars="0" w:firstLine="422" w:firstLineChars="175"/>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投标人名称：</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u w:val="single"/>
          <w:lang w:val="en-US" w:eastAsia="zh-CN"/>
        </w:rPr>
        <w:t xml:space="preserve"> </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rPr>
        <w:t>（单位盖章）</w:t>
      </w:r>
    </w:p>
    <w:p>
      <w:pPr>
        <w:adjustRightInd w:val="0"/>
        <w:snapToGrid w:val="0"/>
        <w:spacing w:line="360" w:lineRule="auto"/>
        <w:ind w:left="0" w:leftChars="0" w:firstLine="422" w:firstLineChars="175"/>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法定代表人/单位负责人：</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u w:val="single"/>
          <w:lang w:val="en-US" w:eastAsia="zh-CN"/>
        </w:rPr>
        <w:t xml:space="preserve"> </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u w:val="none"/>
          <w:lang w:eastAsia="zh-CN"/>
        </w:rPr>
        <w:t>（</w:t>
      </w:r>
      <w:r>
        <w:rPr>
          <w:rFonts w:hint="eastAsia" w:ascii="宋体" w:hAnsi="宋体" w:eastAsia="宋体" w:cs="宋体"/>
          <w:b/>
          <w:bCs w:val="0"/>
          <w:sz w:val="24"/>
          <w:szCs w:val="24"/>
          <w:highlight w:val="none"/>
        </w:rPr>
        <w:t>签字或加盖名章</w:t>
      </w:r>
      <w:r>
        <w:rPr>
          <w:rFonts w:hint="eastAsia" w:ascii="宋体" w:hAnsi="宋体" w:eastAsia="宋体" w:cs="宋体"/>
          <w:b/>
          <w:bCs w:val="0"/>
          <w:sz w:val="24"/>
          <w:szCs w:val="24"/>
          <w:highlight w:val="none"/>
          <w:u w:val="none"/>
          <w:lang w:eastAsia="zh-CN"/>
        </w:rPr>
        <w:t>）</w:t>
      </w:r>
    </w:p>
    <w:p>
      <w:pPr>
        <w:adjustRightInd w:val="0"/>
        <w:snapToGrid w:val="0"/>
        <w:spacing w:line="360" w:lineRule="auto"/>
        <w:ind w:left="0" w:leftChars="0" w:firstLine="422" w:firstLineChars="175"/>
        <w:rPr>
          <w:rFonts w:hint="eastAsia" w:ascii="宋体" w:hAnsi="宋体" w:eastAsia="宋体" w:cs="宋体"/>
          <w:b/>
          <w:bCs w:val="0"/>
          <w:sz w:val="24"/>
          <w:szCs w:val="24"/>
          <w:highlight w:val="none"/>
          <w:u w:val="none"/>
          <w:lang w:val="en-US" w:eastAsia="zh-CN"/>
        </w:rPr>
      </w:pPr>
      <w:r>
        <w:rPr>
          <w:rFonts w:hint="eastAsia" w:ascii="宋体" w:hAnsi="宋体" w:eastAsia="宋体" w:cs="宋体"/>
          <w:b/>
          <w:bCs w:val="0"/>
          <w:sz w:val="24"/>
          <w:szCs w:val="24"/>
          <w:highlight w:val="none"/>
          <w:u w:val="none"/>
          <w:lang w:val="en-US" w:eastAsia="zh-CN"/>
        </w:rPr>
        <w:t>授 权代 表：</w:t>
      </w:r>
      <w:r>
        <w:rPr>
          <w:rFonts w:hint="eastAsia" w:ascii="宋体" w:hAnsi="宋体" w:eastAsia="宋体" w:cs="宋体"/>
          <w:b/>
          <w:bCs w:val="0"/>
          <w:sz w:val="24"/>
          <w:szCs w:val="24"/>
          <w:highlight w:val="none"/>
          <w:u w:val="single"/>
          <w:lang w:val="en-US" w:eastAsia="zh-CN"/>
        </w:rPr>
        <w:t xml:space="preserve">       </w:t>
      </w:r>
      <w:r>
        <w:rPr>
          <w:rFonts w:hint="eastAsia" w:ascii="宋体" w:hAnsi="宋体" w:eastAsia="宋体" w:cs="宋体"/>
          <w:b/>
          <w:bCs w:val="0"/>
          <w:sz w:val="24"/>
          <w:szCs w:val="24"/>
          <w:highlight w:val="none"/>
          <w:u w:val="none"/>
          <w:lang w:val="en-US" w:eastAsia="zh-CN"/>
        </w:rPr>
        <w:t>（签字）</w:t>
      </w:r>
    </w:p>
    <w:p>
      <w:pPr>
        <w:adjustRightInd w:val="0"/>
        <w:snapToGrid w:val="0"/>
        <w:spacing w:line="360" w:lineRule="auto"/>
        <w:ind w:left="0" w:leftChars="0" w:firstLine="422" w:firstLineChars="175"/>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u w:val="none"/>
          <w:lang w:val="en-US" w:eastAsia="zh-CN"/>
        </w:rPr>
        <w:t>标  段  号：</w:t>
      </w:r>
      <w:r>
        <w:rPr>
          <w:rFonts w:hint="eastAsia" w:ascii="宋体" w:hAnsi="宋体" w:eastAsia="宋体" w:cs="宋体"/>
          <w:b/>
          <w:bCs w:val="0"/>
          <w:sz w:val="24"/>
          <w:szCs w:val="24"/>
          <w:highlight w:val="none"/>
          <w:u w:val="single"/>
          <w:lang w:val="en-US" w:eastAsia="zh-CN"/>
        </w:rPr>
        <w:t xml:space="preserve">                 </w:t>
      </w:r>
    </w:p>
    <w:p>
      <w:pPr>
        <w:tabs>
          <w:tab w:val="left" w:pos="6300"/>
        </w:tabs>
        <w:spacing w:line="360" w:lineRule="auto"/>
        <w:ind w:left="0" w:leftChars="0" w:firstLine="422" w:firstLineChars="175"/>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rPr>
        <w:t xml:space="preserve">日  </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 xml:space="preserve">  期：</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rPr>
        <w:t>年</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rPr>
        <w:t>月</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rPr>
        <w:t>日</w:t>
      </w:r>
    </w:p>
    <w:p>
      <w:pPr>
        <w:spacing w:line="360" w:lineRule="auto"/>
        <w:ind w:firstLine="643" w:firstLineChars="200"/>
        <w:rPr>
          <w:rFonts w:ascii="宋体" w:hAnsi="宋体" w:cs="宋体"/>
          <w:b/>
          <w:sz w:val="32"/>
          <w:szCs w:val="32"/>
          <w:highlight w:val="none"/>
        </w:rPr>
      </w:pP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注：</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1、投标人为法人单位时提供“法定代表人授权书”</w:t>
      </w:r>
      <w:r>
        <w:rPr>
          <w:rFonts w:hint="eastAsia" w:ascii="宋体" w:hAnsi="宋体" w:cs="宋体"/>
          <w:bCs/>
          <w:sz w:val="24"/>
          <w:highlight w:val="none"/>
          <w:lang w:eastAsia="zh-CN"/>
        </w:rPr>
        <w:t>，</w:t>
      </w:r>
      <w:r>
        <w:rPr>
          <w:rFonts w:hint="eastAsia" w:ascii="宋体" w:hAnsi="宋体" w:cs="宋体"/>
          <w:bCs/>
          <w:sz w:val="24"/>
          <w:highlight w:val="none"/>
        </w:rPr>
        <w:t>投标人为其他组织时提供“单位负责人授权书”</w:t>
      </w:r>
      <w:r>
        <w:rPr>
          <w:rFonts w:hint="eastAsia" w:ascii="宋体" w:hAnsi="宋体" w:cs="宋体"/>
          <w:bCs/>
          <w:sz w:val="24"/>
          <w:highlight w:val="none"/>
          <w:lang w:eastAsia="zh-CN"/>
        </w:rPr>
        <w:t>，</w:t>
      </w:r>
      <w:r>
        <w:rPr>
          <w:rFonts w:hint="eastAsia" w:ascii="宋体" w:hAnsi="宋体" w:cs="宋体"/>
          <w:bCs/>
          <w:sz w:val="24"/>
          <w:highlight w:val="none"/>
        </w:rPr>
        <w:t>投标人为自然人时提供“自然人身份证明材料”。</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2、应附法定代表人/单位负责人身份证明材料复印件和授权代表身份证明材料复印件。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3、身份证明材料包括居民身份证或户口本或军官证或护照等。</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4、身份证明材料应同时提供其在有效期的材料</w:t>
      </w:r>
      <w:r>
        <w:rPr>
          <w:rFonts w:hint="eastAsia" w:ascii="宋体" w:hAnsi="宋体" w:cs="宋体"/>
          <w:bCs/>
          <w:sz w:val="24"/>
          <w:highlight w:val="none"/>
          <w:lang w:eastAsia="zh-CN"/>
        </w:rPr>
        <w:t>，</w:t>
      </w:r>
      <w:r>
        <w:rPr>
          <w:rFonts w:hint="eastAsia" w:ascii="宋体" w:hAnsi="宋体" w:cs="宋体"/>
          <w:bCs/>
          <w:sz w:val="24"/>
          <w:highlight w:val="none"/>
        </w:rPr>
        <w:t>如居民身份证正、反面复印件。</w:t>
      </w:r>
    </w:p>
    <w:p>
      <w:pPr>
        <w:spacing w:line="360" w:lineRule="auto"/>
        <w:ind w:firstLine="790" w:firstLineChars="246"/>
        <w:jc w:val="center"/>
        <w:rPr>
          <w:rFonts w:ascii="宋体" w:hAnsi="宋体" w:cs="宋体"/>
          <w:b/>
          <w:sz w:val="32"/>
          <w:highlight w:val="none"/>
        </w:rPr>
      </w:pPr>
    </w:p>
    <w:p>
      <w:pPr>
        <w:spacing w:line="360" w:lineRule="auto"/>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格式1-4</w:t>
      </w:r>
    </w:p>
    <w:p>
      <w:pPr>
        <w:widowControl/>
        <w:spacing w:line="360" w:lineRule="auto"/>
        <w:jc w:val="center"/>
        <w:outlineLvl w:val="2"/>
        <w:rPr>
          <w:rFonts w:ascii="宋体" w:hAnsi="宋体" w:cs="宋体"/>
          <w:b/>
          <w:sz w:val="32"/>
          <w:szCs w:val="32"/>
          <w:highlight w:val="none"/>
        </w:rPr>
      </w:pPr>
      <w:bookmarkStart w:id="183" w:name="_Toc503862812"/>
      <w:r>
        <w:rPr>
          <w:rFonts w:hint="eastAsia" w:ascii="宋体" w:hAnsi="宋体" w:cs="宋体"/>
          <w:b/>
          <w:sz w:val="32"/>
          <w:szCs w:val="32"/>
          <w:highlight w:val="none"/>
        </w:rPr>
        <w:t>三、承诺函</w:t>
      </w:r>
      <w:bookmarkEnd w:id="183"/>
    </w:p>
    <w:p>
      <w:pPr>
        <w:adjustRightInd w:val="0"/>
        <w:snapToGrid w:val="0"/>
        <w:spacing w:line="360" w:lineRule="auto"/>
        <w:rPr>
          <w:rFonts w:ascii="宋体" w:hAnsi="宋体" w:cs="宋体"/>
          <w:bCs/>
          <w:sz w:val="24"/>
          <w:highlight w:val="none"/>
        </w:rPr>
      </w:pPr>
      <w:bookmarkStart w:id="184" w:name="_Toc503862813"/>
      <w:r>
        <w:rPr>
          <w:rFonts w:hint="eastAsia" w:ascii="宋体" w:hAnsi="宋体" w:cs="宋体"/>
          <w:bCs/>
          <w:sz w:val="24"/>
          <w:highlight w:val="none"/>
        </w:rPr>
        <w:t>XXXX（采购代理机构名称）：</w:t>
      </w:r>
      <w:bookmarkEnd w:id="184"/>
    </w:p>
    <w:p>
      <w:pPr>
        <w:adjustRightInd w:val="0"/>
        <w:snapToGrid w:val="0"/>
        <w:spacing w:line="360" w:lineRule="auto"/>
        <w:ind w:firstLine="480" w:firstLineChars="200"/>
        <w:rPr>
          <w:rFonts w:ascii="宋体" w:hAnsi="宋体" w:cs="宋体"/>
          <w:bCs/>
          <w:sz w:val="24"/>
          <w:highlight w:val="none"/>
        </w:rPr>
      </w:pPr>
      <w:bookmarkStart w:id="185" w:name="_Toc503862824"/>
      <w:r>
        <w:rPr>
          <w:rFonts w:hint="eastAsia" w:ascii="宋体" w:hAnsi="宋体" w:cs="宋体"/>
          <w:bCs/>
          <w:sz w:val="24"/>
          <w:highlight w:val="none"/>
        </w:rPr>
        <w:t>我公司作为本次采购项目的供应商</w:t>
      </w:r>
      <w:r>
        <w:rPr>
          <w:rFonts w:hint="eastAsia" w:ascii="宋体" w:hAnsi="宋体" w:cs="宋体"/>
          <w:bCs/>
          <w:sz w:val="24"/>
          <w:highlight w:val="none"/>
          <w:lang w:eastAsia="zh-CN"/>
        </w:rPr>
        <w:t>，</w:t>
      </w:r>
      <w:r>
        <w:rPr>
          <w:rFonts w:hint="eastAsia" w:ascii="宋体" w:hAnsi="宋体" w:cs="宋体"/>
          <w:bCs/>
          <w:sz w:val="24"/>
          <w:highlight w:val="none"/>
        </w:rPr>
        <w:t>根据招标文件要求</w:t>
      </w:r>
      <w:r>
        <w:rPr>
          <w:rFonts w:hint="eastAsia" w:ascii="宋体" w:hAnsi="宋体" w:cs="宋体"/>
          <w:bCs/>
          <w:sz w:val="24"/>
          <w:highlight w:val="none"/>
          <w:lang w:eastAsia="zh-CN"/>
        </w:rPr>
        <w:t>，</w:t>
      </w:r>
      <w:r>
        <w:rPr>
          <w:rFonts w:hint="eastAsia" w:ascii="宋体" w:hAnsi="宋体" w:cs="宋体"/>
          <w:bCs/>
          <w:sz w:val="24"/>
          <w:highlight w:val="none"/>
        </w:rPr>
        <w:t>现郑重承诺如下：</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一、具备《中华人民共和国政府采购法》第二十二条第一款和本项目规定的条件：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（1）具有独立承担民事责任的能力；</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（2）具有良好的商业信誉和健全的财务会计制度；</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（3）具有履行合同所必需的设备和专业技术能力；</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（4）有依法缴纳税收和社会保障资金的良好记录；</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（5）参加政府采购活动前三年内</w:t>
      </w:r>
      <w:r>
        <w:rPr>
          <w:rFonts w:hint="eastAsia" w:ascii="宋体" w:hAnsi="宋体" w:cs="宋体"/>
          <w:bCs/>
          <w:sz w:val="24"/>
          <w:highlight w:val="none"/>
          <w:lang w:eastAsia="zh-CN"/>
        </w:rPr>
        <w:t>，</w:t>
      </w:r>
      <w:r>
        <w:rPr>
          <w:rFonts w:hint="eastAsia" w:ascii="宋体" w:hAnsi="宋体" w:cs="宋体"/>
          <w:bCs/>
          <w:sz w:val="24"/>
          <w:highlight w:val="none"/>
        </w:rPr>
        <w:t>在经营活动中没有重大违法记录；</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（6）法律、行政法规规定的其他条件；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（7）根据采购项目提出的特殊条件</w:t>
      </w:r>
      <w:r>
        <w:rPr>
          <w:rFonts w:hint="eastAsia" w:ascii="宋体" w:hAnsi="宋体" w:cs="宋体"/>
          <w:bCs/>
          <w:sz w:val="24"/>
          <w:highlight w:val="none"/>
          <w:lang w:eastAsia="zh-CN"/>
        </w:rPr>
        <w:t>：</w:t>
      </w:r>
      <w:r>
        <w:rPr>
          <w:rFonts w:hint="eastAsia" w:ascii="宋体" w:hAnsi="宋体" w:cs="宋体"/>
          <w:bCs/>
          <w:sz w:val="24"/>
          <w:highlight w:val="none"/>
          <w:lang w:val="en-US" w:eastAsia="zh-CN"/>
        </w:rPr>
        <w:t>我公司参加本项目政府采购活动、法定代表人/主要负责人近3年内不具有行贿犯罪记录</w:t>
      </w:r>
      <w:r>
        <w:rPr>
          <w:rFonts w:hint="eastAsia" w:ascii="宋体" w:hAnsi="宋体" w:cs="宋体"/>
          <w:bCs/>
          <w:sz w:val="24"/>
          <w:highlight w:val="none"/>
        </w:rPr>
        <w:t>。</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二、完全接受和满足本项目招标文件中规定的实质性要求</w:t>
      </w:r>
      <w:r>
        <w:rPr>
          <w:rFonts w:hint="eastAsia" w:ascii="宋体" w:hAnsi="宋体" w:cs="宋体"/>
          <w:bCs/>
          <w:sz w:val="24"/>
          <w:highlight w:val="none"/>
          <w:lang w:eastAsia="zh-CN"/>
        </w:rPr>
        <w:t>，</w:t>
      </w:r>
      <w:r>
        <w:rPr>
          <w:rFonts w:hint="eastAsia" w:ascii="宋体" w:hAnsi="宋体" w:cs="宋体"/>
          <w:bCs/>
          <w:sz w:val="24"/>
          <w:highlight w:val="none"/>
        </w:rPr>
        <w:t>如对招标文件有异议</w:t>
      </w:r>
      <w:r>
        <w:rPr>
          <w:rFonts w:hint="eastAsia" w:ascii="宋体" w:hAnsi="宋体" w:cs="宋体"/>
          <w:bCs/>
          <w:sz w:val="24"/>
          <w:highlight w:val="none"/>
          <w:lang w:eastAsia="zh-CN"/>
        </w:rPr>
        <w:t>，</w:t>
      </w:r>
      <w:r>
        <w:rPr>
          <w:rFonts w:hint="eastAsia" w:ascii="宋体" w:hAnsi="宋体" w:cs="宋体"/>
          <w:bCs/>
          <w:sz w:val="24"/>
          <w:highlight w:val="none"/>
        </w:rPr>
        <w:t>已经在投标截止时间届满前依法进行维权救济</w:t>
      </w:r>
      <w:r>
        <w:rPr>
          <w:rFonts w:hint="eastAsia" w:ascii="宋体" w:hAnsi="宋体" w:cs="宋体"/>
          <w:bCs/>
          <w:sz w:val="24"/>
          <w:highlight w:val="none"/>
          <w:lang w:eastAsia="zh-CN"/>
        </w:rPr>
        <w:t>，</w:t>
      </w:r>
      <w:r>
        <w:rPr>
          <w:rFonts w:hint="eastAsia" w:ascii="宋体" w:hAnsi="宋体" w:cs="宋体"/>
          <w:bCs/>
          <w:sz w:val="24"/>
          <w:highlight w:val="none"/>
        </w:rPr>
        <w:t>不存在对招标文件有异议的同时又参加投标以求侥幸成交或者为实现其他非法目的的行为。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三、在参加本次招标采购活动中</w:t>
      </w:r>
      <w:r>
        <w:rPr>
          <w:rFonts w:hint="eastAsia" w:ascii="宋体" w:hAnsi="宋体" w:cs="宋体"/>
          <w:bCs/>
          <w:sz w:val="24"/>
          <w:highlight w:val="none"/>
          <w:lang w:eastAsia="zh-CN"/>
        </w:rPr>
        <w:t>，</w:t>
      </w:r>
      <w:r>
        <w:rPr>
          <w:rFonts w:hint="eastAsia" w:ascii="宋体" w:hAnsi="宋体" w:cs="宋体"/>
          <w:bCs/>
          <w:sz w:val="24"/>
          <w:highlight w:val="none"/>
        </w:rPr>
        <w:t>不存在与单位负责人为同一人或者存在直接控股、管理关系的其他供应商参与同一合同项下的政府采购活动的行为。我方未参与本采购项目前期咨询论证</w:t>
      </w:r>
      <w:r>
        <w:rPr>
          <w:rFonts w:hint="eastAsia" w:ascii="宋体" w:hAnsi="宋体" w:cs="宋体"/>
          <w:bCs/>
          <w:sz w:val="24"/>
          <w:highlight w:val="none"/>
          <w:lang w:eastAsia="zh-CN"/>
        </w:rPr>
        <w:t>，</w:t>
      </w:r>
      <w:r>
        <w:rPr>
          <w:rFonts w:hint="eastAsia" w:ascii="宋体" w:hAnsi="宋体" w:cs="宋体"/>
          <w:bCs/>
          <w:sz w:val="24"/>
          <w:highlight w:val="none"/>
        </w:rPr>
        <w:t>不属于禁止参加本项目投标的供应商。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四、在参加本次招标采购活动中</w:t>
      </w:r>
      <w:r>
        <w:rPr>
          <w:rFonts w:hint="eastAsia" w:ascii="宋体" w:hAnsi="宋体" w:cs="宋体"/>
          <w:bCs/>
          <w:sz w:val="24"/>
          <w:highlight w:val="none"/>
          <w:lang w:eastAsia="zh-CN"/>
        </w:rPr>
        <w:t>，</w:t>
      </w:r>
      <w:r>
        <w:rPr>
          <w:rFonts w:hint="eastAsia" w:ascii="宋体" w:hAnsi="宋体" w:cs="宋体"/>
          <w:bCs/>
          <w:sz w:val="24"/>
          <w:highlight w:val="none"/>
        </w:rPr>
        <w:t>不存在和其他供应商在同一合同项下的采购项目中</w:t>
      </w:r>
      <w:r>
        <w:rPr>
          <w:rFonts w:hint="eastAsia" w:ascii="宋体" w:hAnsi="宋体" w:cs="宋体"/>
          <w:bCs/>
          <w:sz w:val="24"/>
          <w:highlight w:val="none"/>
          <w:lang w:eastAsia="zh-CN"/>
        </w:rPr>
        <w:t>，</w:t>
      </w:r>
      <w:r>
        <w:rPr>
          <w:rFonts w:hint="eastAsia" w:ascii="宋体" w:hAnsi="宋体" w:cs="宋体"/>
          <w:bCs/>
          <w:sz w:val="24"/>
          <w:highlight w:val="none"/>
        </w:rPr>
        <w:t>同时委托同一个自然人、同一家庭的人员、同一单位的人员作为代理人的行为。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五、我司未被对列入按财库[2016]125号规定的失信被执行人、重大税收违法案件当事人名单、政府采购严重违法失信行为记录名单及其他不符合《中华人民共和国政府采购法》第二十二条规定条件的供应商。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六、如果有</w:t>
      </w:r>
      <w:r>
        <w:rPr>
          <w:rFonts w:hint="eastAsia" w:hAnsi="宋体" w:cs="宋体"/>
          <w:color w:val="auto"/>
          <w:sz w:val="24"/>
          <w:szCs w:val="24"/>
          <w:highlight w:val="none"/>
        </w:rPr>
        <w:t>《四川省公共资源交易领域严重失信联合惩戒实施办法》（川发改信用规〔2019〕405 号）、《关于对政府采购领域严重违法失信主体开展联合惩戒的合作备忘录》（发改财金〔2018〕1614 号）</w:t>
      </w:r>
      <w:r>
        <w:rPr>
          <w:rFonts w:hint="eastAsia" w:ascii="宋体" w:hAnsi="宋体" w:cs="宋体"/>
          <w:bCs/>
          <w:sz w:val="24"/>
          <w:highlight w:val="none"/>
        </w:rPr>
        <w:t>规定的记入诚信档案的失信行为</w:t>
      </w:r>
      <w:r>
        <w:rPr>
          <w:rFonts w:hint="eastAsia" w:ascii="宋体" w:hAnsi="宋体" w:cs="宋体"/>
          <w:bCs/>
          <w:sz w:val="24"/>
          <w:highlight w:val="none"/>
          <w:lang w:eastAsia="zh-CN"/>
        </w:rPr>
        <w:t>，</w:t>
      </w:r>
      <w:r>
        <w:rPr>
          <w:rFonts w:hint="eastAsia" w:ascii="宋体" w:hAnsi="宋体" w:cs="宋体"/>
          <w:bCs/>
          <w:sz w:val="24"/>
          <w:highlight w:val="none"/>
        </w:rPr>
        <w:t>将在投标文件中全面如实反映。</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七、投标文件中提供的任何资料和技术、服务、商务等响应承诺情况都是真实的、有效的、合法的。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八、如本项目评审过程中需要提供样品</w:t>
      </w:r>
      <w:r>
        <w:rPr>
          <w:rFonts w:hint="eastAsia" w:ascii="宋体" w:hAnsi="宋体" w:cs="宋体"/>
          <w:bCs/>
          <w:sz w:val="24"/>
          <w:highlight w:val="none"/>
          <w:lang w:eastAsia="zh-CN"/>
        </w:rPr>
        <w:t>，</w:t>
      </w:r>
      <w:r>
        <w:rPr>
          <w:rFonts w:hint="eastAsia" w:ascii="宋体" w:hAnsi="宋体" w:cs="宋体"/>
          <w:bCs/>
          <w:sz w:val="24"/>
          <w:highlight w:val="none"/>
        </w:rPr>
        <w:t>则我公司提供的样品即为成交后将要提供的成交产品</w:t>
      </w:r>
      <w:r>
        <w:rPr>
          <w:rFonts w:hint="eastAsia" w:ascii="宋体" w:hAnsi="宋体" w:cs="宋体"/>
          <w:bCs/>
          <w:sz w:val="24"/>
          <w:highlight w:val="none"/>
          <w:lang w:eastAsia="zh-CN"/>
        </w:rPr>
        <w:t>，</w:t>
      </w:r>
      <w:r>
        <w:rPr>
          <w:rFonts w:hint="eastAsia" w:ascii="宋体" w:hAnsi="宋体" w:cs="宋体"/>
          <w:bCs/>
          <w:sz w:val="24"/>
          <w:highlight w:val="none"/>
        </w:rPr>
        <w:t>我公司对提供样品的性能和质量负责</w:t>
      </w:r>
      <w:r>
        <w:rPr>
          <w:rFonts w:hint="eastAsia" w:ascii="宋体" w:hAnsi="宋体" w:cs="宋体"/>
          <w:bCs/>
          <w:sz w:val="24"/>
          <w:highlight w:val="none"/>
          <w:lang w:eastAsia="zh-CN"/>
        </w:rPr>
        <w:t>，</w:t>
      </w:r>
      <w:r>
        <w:rPr>
          <w:rFonts w:hint="eastAsia" w:ascii="宋体" w:hAnsi="宋体" w:cs="宋体"/>
          <w:bCs/>
          <w:sz w:val="24"/>
          <w:highlight w:val="none"/>
        </w:rPr>
        <w:t>因样品存在缺陷或者不符合招标文件要求导致未能成交的</w:t>
      </w:r>
      <w:r>
        <w:rPr>
          <w:rFonts w:hint="eastAsia" w:ascii="宋体" w:hAnsi="宋体" w:cs="宋体"/>
          <w:bCs/>
          <w:sz w:val="24"/>
          <w:highlight w:val="none"/>
          <w:lang w:eastAsia="zh-CN"/>
        </w:rPr>
        <w:t>，</w:t>
      </w:r>
      <w:r>
        <w:rPr>
          <w:rFonts w:hint="eastAsia" w:ascii="宋体" w:hAnsi="宋体" w:cs="宋体"/>
          <w:bCs/>
          <w:sz w:val="24"/>
          <w:highlight w:val="none"/>
        </w:rPr>
        <w:t>我公司愿意承担相应不利后果。</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九、我司完全同意招标文件中关于知识产权的说明</w:t>
      </w:r>
      <w:r>
        <w:rPr>
          <w:rFonts w:hint="eastAsia" w:ascii="宋体" w:hAnsi="宋体" w:cs="宋体"/>
          <w:bCs/>
          <w:sz w:val="24"/>
          <w:highlight w:val="none"/>
          <w:lang w:eastAsia="zh-CN"/>
        </w:rPr>
        <w:t>，</w:t>
      </w:r>
      <w:r>
        <w:rPr>
          <w:rFonts w:hint="eastAsia" w:ascii="宋体" w:hAnsi="宋体" w:cs="宋体"/>
          <w:bCs/>
          <w:sz w:val="24"/>
          <w:highlight w:val="none"/>
        </w:rPr>
        <w:t>承诺由此造成的纠纷由我单位全权负责。</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本公司对上述承诺的内容事项真实性负责。如经查实上述承诺的内容事项存在虚假</w:t>
      </w:r>
      <w:r>
        <w:rPr>
          <w:rFonts w:hint="eastAsia" w:ascii="宋体" w:hAnsi="宋体" w:cs="宋体"/>
          <w:bCs/>
          <w:sz w:val="24"/>
          <w:highlight w:val="none"/>
          <w:lang w:eastAsia="zh-CN"/>
        </w:rPr>
        <w:t>，</w:t>
      </w:r>
      <w:r>
        <w:rPr>
          <w:rFonts w:hint="eastAsia" w:ascii="宋体" w:hAnsi="宋体" w:cs="宋体"/>
          <w:bCs/>
          <w:sz w:val="24"/>
          <w:highlight w:val="none"/>
        </w:rPr>
        <w:t>我公司愿意接受以提供虚假材料谋取成交追究法律责任。</w:t>
      </w:r>
    </w:p>
    <w:bookmarkEnd w:id="185"/>
    <w:p>
      <w:pPr>
        <w:adjustRightInd w:val="0"/>
        <w:snapToGrid w:val="0"/>
        <w:spacing w:line="360" w:lineRule="auto"/>
        <w:ind w:firstLine="480" w:firstLineChars="200"/>
        <w:rPr>
          <w:rFonts w:ascii="宋体" w:hAnsi="宋体" w:cs="宋体"/>
          <w:bCs/>
          <w:sz w:val="24"/>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spacing w:line="360" w:lineRule="auto"/>
        <w:rPr>
          <w:rFonts w:ascii="宋体" w:hAnsi="宋体" w:cs="宋体"/>
          <w:b/>
          <w:sz w:val="32"/>
          <w:szCs w:val="32"/>
          <w:highlight w:val="none"/>
        </w:rPr>
      </w:pPr>
      <w:r>
        <w:rPr>
          <w:rFonts w:hint="eastAsia" w:ascii="宋体" w:hAnsi="宋体" w:cs="宋体"/>
          <w:sz w:val="24"/>
          <w:highlight w:val="none"/>
        </w:rPr>
        <w:br w:type="page"/>
      </w:r>
    </w:p>
    <w:p>
      <w:pPr>
        <w:spacing w:line="360" w:lineRule="auto"/>
        <w:rPr>
          <w:rFonts w:hint="eastAsia" w:ascii="宋体" w:hAnsi="宋体" w:eastAsia="宋体" w:cs="宋体"/>
          <w:b/>
          <w:sz w:val="32"/>
          <w:szCs w:val="32"/>
          <w:highlight w:val="none"/>
          <w:lang w:eastAsia="zh-CN"/>
        </w:rPr>
      </w:pPr>
      <w:r>
        <w:rPr>
          <w:rFonts w:hint="eastAsia" w:ascii="宋体" w:hAnsi="宋体" w:cs="宋体"/>
          <w:b/>
          <w:sz w:val="32"/>
          <w:szCs w:val="32"/>
          <w:highlight w:val="none"/>
        </w:rPr>
        <w:t>格式1-</w:t>
      </w:r>
      <w:r>
        <w:rPr>
          <w:rFonts w:hint="eastAsia" w:ascii="宋体" w:hAnsi="宋体" w:cs="宋体"/>
          <w:b/>
          <w:sz w:val="32"/>
          <w:szCs w:val="32"/>
          <w:highlight w:val="none"/>
          <w:lang w:val="en-US" w:eastAsia="zh-CN"/>
        </w:rPr>
        <w:t>5</w:t>
      </w:r>
    </w:p>
    <w:p>
      <w:pPr>
        <w:widowControl/>
        <w:spacing w:line="360" w:lineRule="auto"/>
        <w:jc w:val="center"/>
        <w:outlineLvl w:val="2"/>
        <w:rPr>
          <w:rFonts w:hint="default" w:ascii="宋体" w:hAnsi="宋体" w:eastAsia="宋体" w:cs="宋体"/>
          <w:b/>
          <w:sz w:val="32"/>
          <w:szCs w:val="32"/>
          <w:highlight w:val="none"/>
          <w:lang w:val="en-US" w:eastAsia="zh-CN"/>
        </w:rPr>
      </w:pPr>
      <w:bookmarkStart w:id="186" w:name="_Toc503862836"/>
      <w:r>
        <w:rPr>
          <w:rFonts w:hint="eastAsia" w:ascii="宋体" w:hAnsi="宋体" w:cs="宋体"/>
          <w:b/>
          <w:sz w:val="32"/>
          <w:szCs w:val="32"/>
          <w:highlight w:val="none"/>
          <w:lang w:val="en-US" w:eastAsia="zh-CN"/>
        </w:rPr>
        <w:t>四</w:t>
      </w:r>
      <w:r>
        <w:rPr>
          <w:rFonts w:hint="eastAsia" w:ascii="宋体" w:hAnsi="宋体" w:cs="宋体"/>
          <w:b/>
          <w:sz w:val="32"/>
          <w:szCs w:val="32"/>
          <w:highlight w:val="none"/>
        </w:rPr>
        <w:t>、参加政府采购活动前三年内</w:t>
      </w:r>
      <w:r>
        <w:rPr>
          <w:rFonts w:hint="eastAsia" w:ascii="宋体" w:hAnsi="宋体" w:cs="宋体"/>
          <w:b/>
          <w:sz w:val="32"/>
          <w:szCs w:val="32"/>
          <w:highlight w:val="none"/>
          <w:lang w:eastAsia="zh-CN"/>
        </w:rPr>
        <w:t>，</w:t>
      </w:r>
      <w:r>
        <w:rPr>
          <w:rFonts w:hint="eastAsia" w:ascii="宋体" w:hAnsi="宋体" w:cs="宋体"/>
          <w:b/>
          <w:sz w:val="32"/>
          <w:szCs w:val="32"/>
          <w:highlight w:val="none"/>
        </w:rPr>
        <w:t>在经营活动中没有重大违法记录的</w:t>
      </w:r>
      <w:bookmarkEnd w:id="186"/>
      <w:r>
        <w:rPr>
          <w:rFonts w:hint="eastAsia" w:ascii="宋体" w:hAnsi="宋体" w:cs="宋体"/>
          <w:b/>
          <w:sz w:val="32"/>
          <w:szCs w:val="32"/>
          <w:highlight w:val="none"/>
          <w:lang w:val="en-US" w:eastAsia="zh-CN"/>
        </w:rPr>
        <w:t>承诺函</w:t>
      </w:r>
    </w:p>
    <w:p>
      <w:pPr>
        <w:spacing w:line="360" w:lineRule="auto"/>
        <w:rPr>
          <w:rFonts w:ascii="宋体" w:hAnsi="宋体" w:cs="宋体"/>
          <w:highlight w:val="none"/>
        </w:rPr>
      </w:pPr>
    </w:p>
    <w:p>
      <w:pPr>
        <w:adjustRightInd w:val="0"/>
        <w:snapToGrid w:val="0"/>
        <w:spacing w:line="360" w:lineRule="auto"/>
        <w:rPr>
          <w:rFonts w:hint="eastAsia" w:ascii="宋体" w:hAnsi="宋体" w:eastAsia="宋体" w:cs="宋体"/>
          <w:bCs/>
          <w:sz w:val="24"/>
          <w:highlight w:val="none"/>
          <w:lang w:eastAsia="zh-CN"/>
        </w:rPr>
      </w:pPr>
      <w:bookmarkStart w:id="187" w:name="_Toc503862837"/>
      <w:r>
        <w:rPr>
          <w:rFonts w:hint="eastAsia" w:ascii="宋体" w:hAnsi="宋体" w:cs="宋体"/>
          <w:bCs/>
          <w:sz w:val="24"/>
          <w:highlight w:val="none"/>
        </w:rPr>
        <w:t>致：</w:t>
      </w:r>
      <w:bookmarkEnd w:id="187"/>
      <w:r>
        <w:rPr>
          <w:rFonts w:hint="eastAsia" w:ascii="宋体" w:hAnsi="宋体" w:cs="宋体"/>
          <w:bCs/>
          <w:sz w:val="24"/>
          <w:highlight w:val="none"/>
          <w:lang w:eastAsia="zh-CN"/>
        </w:rPr>
        <w:t>四川新宇盛项目管理集团有限公司</w:t>
      </w:r>
    </w:p>
    <w:p>
      <w:pPr>
        <w:adjustRightInd w:val="0"/>
        <w:snapToGrid w:val="0"/>
        <w:spacing w:line="360" w:lineRule="auto"/>
        <w:ind w:firstLine="480" w:firstLineChars="200"/>
        <w:rPr>
          <w:rFonts w:ascii="宋体" w:hAnsi="宋体" w:cs="宋体"/>
          <w:bCs/>
          <w:sz w:val="24"/>
          <w:highlight w:val="none"/>
        </w:rPr>
      </w:pPr>
      <w:bookmarkStart w:id="188" w:name="_Toc503862838"/>
      <w:r>
        <w:rPr>
          <w:rFonts w:hint="eastAsia" w:ascii="宋体" w:hAnsi="宋体" w:cs="宋体"/>
          <w:bCs/>
          <w:sz w:val="24"/>
          <w:highlight w:val="none"/>
        </w:rPr>
        <w:t>本公司</w:t>
      </w:r>
      <w:r>
        <w:rPr>
          <w:rFonts w:hint="eastAsia" w:ascii="宋体" w:hAnsi="宋体" w:cs="宋体"/>
          <w:bCs/>
          <w:sz w:val="24"/>
          <w:highlight w:val="none"/>
          <w:u w:val="single"/>
        </w:rPr>
        <w:t xml:space="preserve">                  </w:t>
      </w:r>
      <w:r>
        <w:rPr>
          <w:rFonts w:hint="eastAsia" w:ascii="宋体" w:hAnsi="宋体" w:cs="宋体"/>
          <w:bCs/>
          <w:sz w:val="24"/>
          <w:highlight w:val="none"/>
        </w:rPr>
        <w:t>（公司名称）参加</w:t>
      </w:r>
      <w:r>
        <w:rPr>
          <w:rFonts w:hint="eastAsia" w:ascii="宋体" w:hAnsi="宋体" w:cs="宋体"/>
          <w:bCs/>
          <w:sz w:val="24"/>
          <w:highlight w:val="none"/>
          <w:u w:val="single"/>
        </w:rPr>
        <w:t xml:space="preserve">                     </w:t>
      </w:r>
      <w:r>
        <w:rPr>
          <w:rFonts w:hint="eastAsia" w:ascii="宋体" w:hAnsi="宋体" w:cs="宋体"/>
          <w:bCs/>
          <w:sz w:val="24"/>
          <w:highlight w:val="none"/>
        </w:rPr>
        <w:t>（项目名称）的投标活动</w:t>
      </w:r>
      <w:r>
        <w:rPr>
          <w:rFonts w:hint="eastAsia" w:ascii="宋体" w:hAnsi="宋体" w:cs="宋体"/>
          <w:bCs/>
          <w:sz w:val="24"/>
          <w:highlight w:val="none"/>
          <w:lang w:eastAsia="zh-CN"/>
        </w:rPr>
        <w:t>，</w:t>
      </w:r>
      <w:r>
        <w:rPr>
          <w:rFonts w:hint="eastAsia" w:ascii="宋体" w:hAnsi="宋体" w:cs="宋体"/>
          <w:bCs/>
          <w:sz w:val="24"/>
          <w:highlight w:val="none"/>
        </w:rPr>
        <w:t>现承诺我公司在参加政府采购活动前三年内</w:t>
      </w:r>
      <w:r>
        <w:rPr>
          <w:rFonts w:hint="eastAsia" w:ascii="宋体" w:hAnsi="宋体" w:cs="宋体"/>
          <w:bCs/>
          <w:sz w:val="24"/>
          <w:highlight w:val="none"/>
          <w:lang w:eastAsia="zh-CN"/>
        </w:rPr>
        <w:t>，</w:t>
      </w:r>
      <w:r>
        <w:rPr>
          <w:rFonts w:hint="eastAsia" w:ascii="宋体" w:hAnsi="宋体" w:cs="宋体"/>
          <w:bCs/>
          <w:sz w:val="24"/>
          <w:highlight w:val="none"/>
        </w:rPr>
        <w:t>在经营活动中没有重大违法记录。</w:t>
      </w:r>
      <w:bookmarkEnd w:id="188"/>
    </w:p>
    <w:p>
      <w:pPr>
        <w:spacing w:line="360" w:lineRule="auto"/>
        <w:ind w:firstLine="480" w:firstLineChars="200"/>
        <w:rPr>
          <w:rFonts w:ascii="宋体" w:hAnsi="宋体" w:cs="宋体"/>
          <w:sz w:val="24"/>
          <w:highlight w:val="none"/>
        </w:rPr>
      </w:pPr>
      <w:bookmarkStart w:id="189" w:name="_Toc503862839"/>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说明：其中重大违法记录中的较大数额罚款的具体金额标准</w:t>
      </w:r>
      <w:r>
        <w:rPr>
          <w:rFonts w:hint="eastAsia" w:ascii="宋体" w:hAnsi="宋体" w:cs="宋体"/>
          <w:bCs/>
          <w:sz w:val="24"/>
          <w:highlight w:val="none"/>
          <w:lang w:eastAsia="zh-CN"/>
        </w:rPr>
        <w:t>，</w:t>
      </w:r>
      <w:r>
        <w:rPr>
          <w:rFonts w:hint="eastAsia" w:ascii="宋体" w:hAnsi="宋体" w:cs="宋体"/>
          <w:bCs/>
          <w:sz w:val="24"/>
          <w:highlight w:val="none"/>
        </w:rPr>
        <w:t>采购项目所属行业行政主管部门对较大数额罚款金额标准有明文规定的</w:t>
      </w:r>
      <w:r>
        <w:rPr>
          <w:rFonts w:hint="eastAsia" w:ascii="宋体" w:hAnsi="宋体" w:cs="宋体"/>
          <w:bCs/>
          <w:sz w:val="24"/>
          <w:highlight w:val="none"/>
          <w:lang w:eastAsia="zh-CN"/>
        </w:rPr>
        <w:t>，</w:t>
      </w:r>
      <w:r>
        <w:rPr>
          <w:rFonts w:hint="eastAsia" w:ascii="宋体" w:hAnsi="宋体" w:cs="宋体"/>
          <w:bCs/>
          <w:sz w:val="24"/>
          <w:highlight w:val="none"/>
        </w:rPr>
        <w:t>可以根据采购项目所属行业行政主管部门规定的较大数额罚款金额标准为准；采购项目所属行业行政主管部门对较大数额罚款金额标准未明文规定的</w:t>
      </w:r>
      <w:r>
        <w:rPr>
          <w:rFonts w:hint="eastAsia" w:ascii="宋体" w:hAnsi="宋体" w:cs="宋体"/>
          <w:bCs/>
          <w:sz w:val="24"/>
          <w:highlight w:val="none"/>
          <w:lang w:eastAsia="zh-CN"/>
        </w:rPr>
        <w:t>，</w:t>
      </w:r>
      <w:r>
        <w:rPr>
          <w:rFonts w:hint="eastAsia" w:ascii="宋体" w:hAnsi="宋体" w:cs="宋体"/>
          <w:bCs/>
          <w:sz w:val="24"/>
          <w:highlight w:val="none"/>
        </w:rPr>
        <w:t>应当以四川省人民政府规定的行政处罚罚款听证标准金额为准。</w:t>
      </w:r>
      <w:bookmarkEnd w:id="189"/>
    </w:p>
    <w:p>
      <w:pPr>
        <w:adjustRightInd w:val="0"/>
        <w:snapToGrid w:val="0"/>
        <w:spacing w:line="360" w:lineRule="auto"/>
        <w:ind w:firstLine="480" w:firstLineChars="200"/>
        <w:rPr>
          <w:rFonts w:ascii="宋体" w:hAnsi="宋体" w:cs="宋体"/>
          <w:bCs/>
          <w:sz w:val="24"/>
          <w:highlight w:val="none"/>
        </w:rPr>
      </w:pPr>
      <w:bookmarkStart w:id="190" w:name="_Toc503862840"/>
      <w:r>
        <w:rPr>
          <w:rFonts w:hint="eastAsia" w:ascii="宋体" w:hAnsi="宋体" w:cs="宋体"/>
          <w:bCs/>
          <w:sz w:val="24"/>
          <w:highlight w:val="none"/>
        </w:rPr>
        <w:t>如违反以上承诺</w:t>
      </w:r>
      <w:r>
        <w:rPr>
          <w:rFonts w:hint="eastAsia" w:ascii="宋体" w:hAnsi="宋体" w:cs="宋体"/>
          <w:bCs/>
          <w:sz w:val="24"/>
          <w:highlight w:val="none"/>
          <w:lang w:eastAsia="zh-CN"/>
        </w:rPr>
        <w:t>，</w:t>
      </w:r>
      <w:r>
        <w:rPr>
          <w:rFonts w:hint="eastAsia" w:ascii="宋体" w:hAnsi="宋体" w:cs="宋体"/>
          <w:bCs/>
          <w:sz w:val="24"/>
          <w:highlight w:val="none"/>
        </w:rPr>
        <w:t>本公司愿承担一切法律责任。</w:t>
      </w:r>
      <w:bookmarkEnd w:id="190"/>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adjustRightInd w:val="0"/>
        <w:snapToGrid w:val="0"/>
        <w:spacing w:line="360" w:lineRule="auto"/>
        <w:rPr>
          <w:rFonts w:ascii="宋体" w:hAnsi="宋体" w:cs="宋体"/>
          <w:b/>
          <w:bCs/>
          <w:sz w:val="24"/>
          <w:highlight w:val="none"/>
        </w:rPr>
      </w:pPr>
    </w:p>
    <w:p>
      <w:pPr>
        <w:adjustRightInd w:val="0"/>
        <w:snapToGrid w:val="0"/>
        <w:spacing w:line="360" w:lineRule="auto"/>
        <w:rPr>
          <w:rFonts w:ascii="宋体" w:hAnsi="宋体" w:cs="宋体"/>
          <w:b/>
          <w:bCs/>
          <w:sz w:val="24"/>
          <w:highlight w:val="none"/>
        </w:rPr>
      </w:pPr>
    </w:p>
    <w:p>
      <w:pPr>
        <w:rPr>
          <w:rFonts w:ascii="宋体" w:hAnsi="宋体" w:cs="宋体"/>
          <w:b/>
          <w:bCs/>
          <w:sz w:val="24"/>
          <w:highlight w:val="none"/>
        </w:rPr>
      </w:pPr>
      <w:r>
        <w:rPr>
          <w:rFonts w:ascii="宋体" w:hAnsi="宋体" w:cs="宋体"/>
          <w:b/>
          <w:bCs/>
          <w:sz w:val="24"/>
          <w:highlight w:val="none"/>
        </w:rPr>
        <w:br w:type="page"/>
      </w:r>
    </w:p>
    <w:p/>
    <w:p>
      <w:pPr>
        <w:spacing w:line="360" w:lineRule="auto"/>
        <w:rPr>
          <w:rFonts w:hint="eastAsia" w:ascii="宋体" w:hAnsi="宋体" w:eastAsia="宋体" w:cs="宋体"/>
          <w:b/>
          <w:sz w:val="32"/>
          <w:szCs w:val="32"/>
          <w:highlight w:val="none"/>
          <w:lang w:eastAsia="zh-CN"/>
        </w:rPr>
      </w:pPr>
      <w:r>
        <w:rPr>
          <w:rFonts w:hint="eastAsia" w:ascii="宋体" w:hAnsi="宋体" w:cs="宋体"/>
          <w:b/>
          <w:sz w:val="32"/>
          <w:szCs w:val="32"/>
          <w:highlight w:val="none"/>
        </w:rPr>
        <w:t>格式1-</w:t>
      </w:r>
      <w:r>
        <w:rPr>
          <w:rFonts w:hint="eastAsia" w:ascii="宋体" w:hAnsi="宋体" w:cs="宋体"/>
          <w:b/>
          <w:sz w:val="32"/>
          <w:szCs w:val="32"/>
          <w:highlight w:val="none"/>
          <w:lang w:val="en-US" w:eastAsia="zh-CN"/>
        </w:rPr>
        <w:t>6</w:t>
      </w:r>
    </w:p>
    <w:p>
      <w:pPr>
        <w:adjustRightInd w:val="0"/>
        <w:snapToGrid w:val="0"/>
        <w:spacing w:line="360" w:lineRule="auto"/>
        <w:rPr>
          <w:rFonts w:ascii="宋体" w:hAnsi="宋体" w:cs="宋体"/>
          <w:b/>
          <w:bCs/>
          <w:sz w:val="24"/>
          <w:highlight w:val="none"/>
        </w:rPr>
      </w:pPr>
    </w:p>
    <w:p>
      <w:pPr>
        <w:widowControl/>
        <w:spacing w:line="360" w:lineRule="auto"/>
        <w:jc w:val="center"/>
        <w:outlineLvl w:val="2"/>
        <w:rPr>
          <w:rFonts w:ascii="宋体" w:hAnsi="宋体" w:cs="宋体"/>
          <w:b/>
          <w:sz w:val="32"/>
          <w:szCs w:val="32"/>
          <w:highlight w:val="none"/>
        </w:rPr>
      </w:pPr>
      <w:r>
        <w:rPr>
          <w:rFonts w:hint="eastAsia" w:ascii="宋体" w:hAnsi="宋体" w:cs="宋体"/>
          <w:b/>
          <w:sz w:val="32"/>
          <w:szCs w:val="32"/>
          <w:highlight w:val="none"/>
        </w:rPr>
        <w:t>投标人和投标产品其他资格、资质性及其他类似效力要求的相关证明材料</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注：投标人应按招标文件第五章相关要求提供佐证材料</w:t>
      </w:r>
      <w:r>
        <w:rPr>
          <w:rFonts w:hint="eastAsia" w:ascii="宋体" w:hAnsi="宋体" w:cs="宋体"/>
          <w:bCs/>
          <w:sz w:val="24"/>
          <w:highlight w:val="none"/>
          <w:lang w:eastAsia="zh-CN"/>
        </w:rPr>
        <w:t>，</w:t>
      </w:r>
      <w:r>
        <w:rPr>
          <w:rFonts w:hint="eastAsia" w:ascii="宋体" w:hAnsi="宋体" w:cs="宋体"/>
          <w:bCs/>
          <w:sz w:val="24"/>
          <w:highlight w:val="none"/>
        </w:rPr>
        <w:t>有格式要求的从其要求</w:t>
      </w:r>
      <w:r>
        <w:rPr>
          <w:rFonts w:hint="eastAsia" w:ascii="宋体" w:hAnsi="宋体" w:cs="宋体"/>
          <w:bCs/>
          <w:sz w:val="24"/>
          <w:highlight w:val="none"/>
          <w:lang w:eastAsia="zh-CN"/>
        </w:rPr>
        <w:t>，</w:t>
      </w:r>
      <w:r>
        <w:rPr>
          <w:rFonts w:hint="eastAsia" w:ascii="宋体" w:hAnsi="宋体" w:cs="宋体"/>
          <w:bCs/>
          <w:sz w:val="24"/>
          <w:highlight w:val="none"/>
        </w:rPr>
        <w:t>无格式要求的格式自拟。</w:t>
      </w:r>
    </w:p>
    <w:p>
      <w:pPr>
        <w:rPr>
          <w:rFonts w:ascii="宋体" w:hAnsi="宋体" w:cs="宋体"/>
          <w:b/>
          <w:bCs/>
          <w:sz w:val="24"/>
          <w:highlight w:val="none"/>
        </w:rPr>
      </w:pPr>
      <w:r>
        <w:rPr>
          <w:rFonts w:hint="eastAsia" w:ascii="宋体" w:hAnsi="宋体" w:cs="宋体"/>
          <w:b/>
          <w:bCs/>
          <w:sz w:val="24"/>
          <w:highlight w:val="none"/>
        </w:rPr>
        <w:br w:type="page"/>
      </w:r>
    </w:p>
    <w:p>
      <w:pPr>
        <w:tabs>
          <w:tab w:val="left" w:pos="900"/>
        </w:tabs>
        <w:spacing w:line="360" w:lineRule="auto"/>
        <w:jc w:val="center"/>
        <w:outlineLvl w:val="1"/>
        <w:rPr>
          <w:rFonts w:hint="eastAsia" w:ascii="宋体" w:hAnsi="宋体" w:cs="宋体"/>
          <w:b/>
          <w:sz w:val="32"/>
          <w:highlight w:val="none"/>
        </w:rPr>
      </w:pPr>
      <w:r>
        <w:rPr>
          <w:rFonts w:hint="eastAsia" w:ascii="宋体" w:hAnsi="宋体" w:cs="宋体"/>
          <w:b/>
          <w:sz w:val="32"/>
          <w:highlight w:val="none"/>
        </w:rPr>
        <w:t>第二部分     “其他响应性投标文件”格式</w:t>
      </w:r>
    </w:p>
    <w:p>
      <w:pPr>
        <w:spacing w:line="360" w:lineRule="auto"/>
        <w:rPr>
          <w:rFonts w:ascii="宋体" w:hAnsi="宋体" w:cs="宋体"/>
          <w:b/>
          <w:sz w:val="32"/>
          <w:szCs w:val="32"/>
          <w:highlight w:val="none"/>
        </w:rPr>
      </w:pPr>
    </w:p>
    <w:p>
      <w:pPr>
        <w:spacing w:line="360" w:lineRule="auto"/>
        <w:rPr>
          <w:rFonts w:ascii="宋体" w:hAnsi="宋体" w:cs="宋体"/>
          <w:b/>
          <w:sz w:val="32"/>
          <w:szCs w:val="32"/>
          <w:highlight w:val="none"/>
        </w:rPr>
      </w:pPr>
      <w:r>
        <w:rPr>
          <w:rFonts w:hint="eastAsia" w:ascii="宋体" w:hAnsi="宋体" w:cs="宋体"/>
          <w:b/>
          <w:sz w:val="32"/>
          <w:szCs w:val="32"/>
          <w:highlight w:val="none"/>
        </w:rPr>
        <w:t>格式2-1</w:t>
      </w:r>
    </w:p>
    <w:p>
      <w:pPr>
        <w:spacing w:line="360" w:lineRule="auto"/>
        <w:rPr>
          <w:rFonts w:ascii="宋体" w:hAnsi="宋体" w:cs="宋体"/>
          <w:b/>
          <w:sz w:val="32"/>
          <w:szCs w:val="32"/>
          <w:highlight w:val="none"/>
        </w:rPr>
      </w:pPr>
      <w:r>
        <w:rPr>
          <w:rFonts w:hint="eastAsia" w:ascii="宋体" w:hAnsi="宋体" w:cs="宋体"/>
          <w:b/>
          <w:sz w:val="32"/>
          <w:szCs w:val="32"/>
          <w:highlight w:val="none"/>
        </w:rPr>
        <w:t>封面：</w:t>
      </w:r>
    </w:p>
    <w:p>
      <w:pPr>
        <w:spacing w:line="360" w:lineRule="auto"/>
        <w:jc w:val="right"/>
        <w:rPr>
          <w:rFonts w:ascii="宋体" w:hAnsi="宋体" w:cs="宋体"/>
          <w:b/>
          <w:sz w:val="36"/>
          <w:highlight w:val="none"/>
        </w:rPr>
      </w:pPr>
      <w:r>
        <w:rPr>
          <w:rFonts w:hint="eastAsia" w:ascii="宋体" w:hAnsi="宋体" w:cs="宋体"/>
          <w:b/>
          <w:sz w:val="36"/>
          <w:highlight w:val="none"/>
        </w:rPr>
        <w:t>（正本/副本）</w:t>
      </w:r>
    </w:p>
    <w:p>
      <w:pPr>
        <w:spacing w:line="360" w:lineRule="auto"/>
        <w:rPr>
          <w:rFonts w:ascii="宋体" w:hAnsi="宋体" w:cs="宋体"/>
          <w:b/>
          <w:sz w:val="32"/>
          <w:szCs w:val="32"/>
          <w:highlight w:val="none"/>
        </w:rPr>
      </w:pPr>
    </w:p>
    <w:p>
      <w:pPr>
        <w:spacing w:line="360" w:lineRule="auto"/>
        <w:ind w:right="-1"/>
        <w:rPr>
          <w:rFonts w:ascii="宋体" w:hAnsi="宋体" w:cs="宋体"/>
          <w:b/>
          <w:sz w:val="36"/>
          <w:highlight w:val="none"/>
        </w:rPr>
      </w:pPr>
      <w:r>
        <w:rPr>
          <w:rFonts w:hint="eastAsia" w:ascii="宋体" w:hAnsi="宋体" w:cs="宋体"/>
          <w:b/>
          <w:sz w:val="36"/>
          <w:highlight w:val="none"/>
        </w:rPr>
        <w:t>项目名称：</w:t>
      </w:r>
    </w:p>
    <w:p>
      <w:pPr>
        <w:spacing w:line="360" w:lineRule="auto"/>
        <w:ind w:right="-1"/>
        <w:rPr>
          <w:rFonts w:ascii="宋体" w:hAnsi="宋体" w:cs="宋体"/>
          <w:b/>
          <w:sz w:val="36"/>
          <w:highlight w:val="none"/>
        </w:rPr>
      </w:pPr>
      <w:r>
        <w:rPr>
          <w:rFonts w:hint="eastAsia" w:ascii="宋体" w:hAnsi="宋体" w:cs="宋体"/>
          <w:b/>
          <w:sz w:val="36"/>
          <w:highlight w:val="none"/>
        </w:rPr>
        <w:t>采购编号：</w:t>
      </w: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spacing w:line="360" w:lineRule="auto"/>
        <w:jc w:val="center"/>
        <w:rPr>
          <w:rFonts w:ascii="宋体" w:hAnsi="宋体" w:cs="宋体"/>
          <w:b/>
          <w:sz w:val="52"/>
          <w:szCs w:val="52"/>
          <w:highlight w:val="none"/>
        </w:rPr>
      </w:pPr>
      <w:r>
        <w:rPr>
          <w:rFonts w:hint="eastAsia" w:ascii="宋体" w:hAnsi="宋体" w:cs="宋体"/>
          <w:b/>
          <w:sz w:val="52"/>
          <w:szCs w:val="52"/>
          <w:highlight w:val="none"/>
          <w:lang w:val="en-US" w:eastAsia="zh-CN"/>
        </w:rPr>
        <w:t>其他响应</w:t>
      </w:r>
      <w:r>
        <w:rPr>
          <w:rFonts w:hint="eastAsia" w:ascii="宋体" w:hAnsi="宋体" w:cs="宋体"/>
          <w:b/>
          <w:sz w:val="52"/>
          <w:szCs w:val="52"/>
          <w:highlight w:val="none"/>
        </w:rPr>
        <w:t>性投标文件</w:t>
      </w:r>
    </w:p>
    <w:p>
      <w:pPr>
        <w:adjustRightInd w:val="0"/>
        <w:snapToGrid w:val="0"/>
        <w:spacing w:line="360" w:lineRule="auto"/>
        <w:ind w:firstLine="480" w:firstLineChars="200"/>
        <w:rPr>
          <w:rFonts w:hint="eastAsia" w:ascii="宋体" w:hAnsi="宋体" w:cs="宋体"/>
          <w:bCs/>
          <w:sz w:val="24"/>
          <w:highlight w:val="none"/>
        </w:rPr>
      </w:pPr>
    </w:p>
    <w:p>
      <w:pPr>
        <w:pStyle w:val="2"/>
        <w:rPr>
          <w:rFonts w:hint="eastAsia" w:ascii="宋体" w:hAnsi="宋体" w:cs="宋体"/>
          <w:bCs/>
          <w:sz w:val="24"/>
          <w:highlight w:val="none"/>
        </w:rPr>
      </w:pPr>
    </w:p>
    <w:p>
      <w:pPr>
        <w:rPr>
          <w:rFonts w:hint="eastAsia"/>
        </w:rPr>
      </w:pPr>
    </w:p>
    <w:p>
      <w:pPr>
        <w:adjustRightInd w:val="0"/>
        <w:snapToGrid w:val="0"/>
        <w:spacing w:line="360" w:lineRule="auto"/>
        <w:ind w:firstLine="480" w:firstLineChars="200"/>
        <w:rPr>
          <w:rFonts w:hint="eastAsia" w:ascii="宋体" w:hAnsi="宋体" w:cs="宋体"/>
          <w:bCs/>
          <w:sz w:val="24"/>
          <w:highlight w:val="none"/>
        </w:rPr>
      </w:pPr>
    </w:p>
    <w:p>
      <w:pPr>
        <w:spacing w:line="360" w:lineRule="auto"/>
        <w:ind w:left="0" w:leftChars="0" w:firstLine="643" w:firstLineChars="200"/>
        <w:jc w:val="left"/>
        <w:rPr>
          <w:rFonts w:ascii="宋体" w:hAnsi="宋体" w:cs="宋体"/>
          <w:b/>
          <w:sz w:val="32"/>
          <w:highlight w:val="none"/>
          <w:u w:val="single"/>
        </w:rPr>
      </w:pPr>
      <w:r>
        <w:rPr>
          <w:rFonts w:hint="eastAsia" w:ascii="宋体" w:hAnsi="宋体" w:cs="宋体"/>
          <w:b/>
          <w:sz w:val="32"/>
          <w:highlight w:val="none"/>
        </w:rPr>
        <w:t>投标人名称：</w:t>
      </w:r>
      <w:r>
        <w:rPr>
          <w:rFonts w:hint="eastAsia" w:ascii="宋体" w:hAnsi="宋体" w:cs="宋体"/>
          <w:b/>
          <w:sz w:val="32"/>
          <w:highlight w:val="none"/>
          <w:u w:val="single"/>
        </w:rPr>
        <w:t xml:space="preserve">                          </w:t>
      </w:r>
    </w:p>
    <w:p>
      <w:pPr>
        <w:spacing w:line="360" w:lineRule="auto"/>
        <w:ind w:firstLine="643" w:firstLineChars="200"/>
        <w:jc w:val="both"/>
        <w:rPr>
          <w:rFonts w:hint="default" w:ascii="宋体" w:hAnsi="宋体" w:eastAsia="宋体" w:cs="宋体"/>
          <w:b/>
          <w:sz w:val="32"/>
          <w:highlight w:val="none"/>
          <w:u w:val="single"/>
          <w:lang w:val="en-US" w:eastAsia="zh-CN"/>
        </w:rPr>
      </w:pPr>
      <w:r>
        <w:rPr>
          <w:rFonts w:hint="eastAsia" w:ascii="宋体" w:hAnsi="宋体" w:cs="宋体"/>
          <w:b/>
          <w:sz w:val="32"/>
          <w:highlight w:val="none"/>
          <w:lang w:val="en-US" w:eastAsia="zh-CN"/>
        </w:rPr>
        <w:t>标  段  号：</w:t>
      </w:r>
      <w:r>
        <w:rPr>
          <w:rFonts w:hint="eastAsia" w:ascii="宋体" w:hAnsi="宋体" w:cs="宋体"/>
          <w:b/>
          <w:sz w:val="32"/>
          <w:highlight w:val="none"/>
          <w:u w:val="single"/>
          <w:lang w:val="en-US" w:eastAsia="zh-CN"/>
        </w:rPr>
        <w:t xml:space="preserve">                          </w:t>
      </w:r>
    </w:p>
    <w:p>
      <w:pPr>
        <w:spacing w:line="360" w:lineRule="auto"/>
        <w:ind w:firstLine="643" w:firstLineChars="200"/>
        <w:jc w:val="both"/>
        <w:rPr>
          <w:rFonts w:ascii="宋体" w:hAnsi="宋体" w:cs="宋体"/>
          <w:b/>
          <w:sz w:val="32"/>
          <w:highlight w:val="none"/>
        </w:rPr>
      </w:pPr>
      <w:r>
        <w:rPr>
          <w:rFonts w:hint="eastAsia" w:ascii="宋体" w:hAnsi="宋体" w:cs="宋体"/>
          <w:b/>
          <w:sz w:val="32"/>
          <w:highlight w:val="none"/>
        </w:rPr>
        <w:t>日</w:t>
      </w:r>
      <w:r>
        <w:rPr>
          <w:rFonts w:hint="eastAsia" w:ascii="宋体" w:hAnsi="宋体" w:cs="宋体"/>
          <w:b/>
          <w:sz w:val="32"/>
          <w:highlight w:val="none"/>
          <w:lang w:val="en-US" w:eastAsia="zh-CN"/>
        </w:rPr>
        <w:t xml:space="preserve">      </w:t>
      </w:r>
      <w:r>
        <w:rPr>
          <w:rFonts w:hint="eastAsia" w:ascii="宋体" w:hAnsi="宋体" w:cs="宋体"/>
          <w:b/>
          <w:sz w:val="32"/>
          <w:highlight w:val="none"/>
        </w:rPr>
        <w:t>期：</w:t>
      </w:r>
      <w:r>
        <w:rPr>
          <w:rFonts w:hint="eastAsia" w:ascii="宋体" w:hAnsi="宋体" w:cs="宋体"/>
          <w:b/>
          <w:sz w:val="32"/>
          <w:highlight w:val="none"/>
          <w:u w:val="single"/>
        </w:rPr>
        <w:t xml:space="preserve">  </w:t>
      </w:r>
      <w:r>
        <w:rPr>
          <w:rFonts w:hint="eastAsia" w:ascii="宋体" w:hAnsi="宋体" w:cs="宋体"/>
          <w:b/>
          <w:sz w:val="32"/>
          <w:highlight w:val="none"/>
          <w:u w:val="single"/>
          <w:lang w:val="en-US" w:eastAsia="zh-CN"/>
        </w:rPr>
        <w:t xml:space="preserve"> </w:t>
      </w:r>
      <w:r>
        <w:rPr>
          <w:rFonts w:hint="eastAsia" w:ascii="宋体" w:hAnsi="宋体" w:cs="宋体"/>
          <w:b/>
          <w:sz w:val="32"/>
          <w:highlight w:val="none"/>
          <w:u w:val="single"/>
        </w:rPr>
        <w:t xml:space="preserve">  </w:t>
      </w:r>
      <w:r>
        <w:rPr>
          <w:rFonts w:hint="eastAsia" w:ascii="宋体" w:hAnsi="宋体" w:cs="宋体"/>
          <w:b/>
          <w:sz w:val="32"/>
          <w:highlight w:val="none"/>
        </w:rPr>
        <w:t>年</w:t>
      </w:r>
      <w:r>
        <w:rPr>
          <w:rFonts w:hint="eastAsia" w:ascii="宋体" w:hAnsi="宋体" w:cs="宋体"/>
          <w:b/>
          <w:sz w:val="32"/>
          <w:highlight w:val="none"/>
          <w:u w:val="single"/>
        </w:rPr>
        <w:t xml:space="preserve">   </w:t>
      </w:r>
      <w:r>
        <w:rPr>
          <w:rFonts w:hint="eastAsia" w:ascii="宋体" w:hAnsi="宋体" w:cs="宋体"/>
          <w:b/>
          <w:sz w:val="32"/>
          <w:highlight w:val="none"/>
        </w:rPr>
        <w:t>月</w:t>
      </w:r>
      <w:r>
        <w:rPr>
          <w:rFonts w:hint="eastAsia" w:ascii="宋体" w:hAnsi="宋体" w:cs="宋体"/>
          <w:b/>
          <w:sz w:val="32"/>
          <w:highlight w:val="none"/>
          <w:u w:val="single"/>
        </w:rPr>
        <w:t xml:space="preserve">   </w:t>
      </w:r>
      <w:r>
        <w:rPr>
          <w:rFonts w:hint="eastAsia" w:ascii="宋体" w:hAnsi="宋体" w:cs="宋体"/>
          <w:b/>
          <w:sz w:val="32"/>
          <w:highlight w:val="none"/>
        </w:rPr>
        <w:t>日</w:t>
      </w:r>
    </w:p>
    <w:p>
      <w:pPr>
        <w:spacing w:line="360" w:lineRule="auto"/>
        <w:rPr>
          <w:rFonts w:ascii="宋体" w:hAnsi="宋体" w:cs="宋体"/>
          <w:b/>
          <w:sz w:val="32"/>
          <w:szCs w:val="32"/>
          <w:highlight w:val="none"/>
        </w:rPr>
      </w:pPr>
      <w:r>
        <w:rPr>
          <w:rFonts w:hint="eastAsia" w:ascii="宋体" w:hAnsi="宋体" w:cs="宋体"/>
          <w:b/>
          <w:sz w:val="32"/>
          <w:highlight w:val="none"/>
        </w:rPr>
        <w:br w:type="page"/>
      </w:r>
      <w:r>
        <w:rPr>
          <w:rFonts w:hint="eastAsia" w:ascii="宋体" w:hAnsi="宋体" w:cs="宋体"/>
          <w:b/>
          <w:sz w:val="32"/>
          <w:szCs w:val="32"/>
          <w:highlight w:val="none"/>
        </w:rPr>
        <w:t>格式2-2</w:t>
      </w:r>
    </w:p>
    <w:p>
      <w:pPr>
        <w:widowControl/>
        <w:spacing w:line="360" w:lineRule="auto"/>
        <w:jc w:val="center"/>
        <w:outlineLvl w:val="2"/>
        <w:rPr>
          <w:rFonts w:ascii="宋体" w:hAnsi="宋体" w:cs="宋体"/>
          <w:b/>
          <w:sz w:val="32"/>
          <w:szCs w:val="32"/>
          <w:highlight w:val="none"/>
        </w:rPr>
      </w:pPr>
      <w:bookmarkStart w:id="191" w:name="_Toc503862844"/>
      <w:r>
        <w:rPr>
          <w:rFonts w:hint="eastAsia" w:ascii="宋体" w:hAnsi="宋体" w:cs="宋体"/>
          <w:b/>
          <w:sz w:val="32"/>
          <w:szCs w:val="32"/>
          <w:highlight w:val="none"/>
        </w:rPr>
        <w:t>一、投标函</w:t>
      </w:r>
      <w:bookmarkEnd w:id="191"/>
    </w:p>
    <w:p>
      <w:pPr>
        <w:adjustRightInd w:val="0"/>
        <w:snapToGrid w:val="0"/>
        <w:spacing w:line="360" w:lineRule="auto"/>
        <w:rPr>
          <w:rFonts w:ascii="宋体" w:hAnsi="宋体" w:cs="宋体"/>
          <w:bCs/>
          <w:sz w:val="24"/>
          <w:highlight w:val="none"/>
        </w:rPr>
      </w:pPr>
      <w:bookmarkStart w:id="192" w:name="_Toc503862845"/>
      <w:r>
        <w:rPr>
          <w:rFonts w:hint="eastAsia" w:ascii="宋体" w:hAnsi="宋体" w:cs="宋体"/>
          <w:bCs/>
          <w:sz w:val="24"/>
          <w:highlight w:val="none"/>
          <w:lang w:eastAsia="zh-CN"/>
        </w:rPr>
        <w:t>四川新宇盛项目管理集团有限公司</w:t>
      </w:r>
      <w:r>
        <w:rPr>
          <w:rFonts w:hint="eastAsia" w:ascii="宋体" w:hAnsi="宋体" w:cs="宋体"/>
          <w:bCs/>
          <w:sz w:val="24"/>
          <w:highlight w:val="none"/>
        </w:rPr>
        <w:t>：</w:t>
      </w:r>
      <w:bookmarkEnd w:id="192"/>
    </w:p>
    <w:p>
      <w:pPr>
        <w:adjustRightInd w:val="0"/>
        <w:snapToGrid w:val="0"/>
        <w:spacing w:line="360" w:lineRule="auto"/>
        <w:ind w:firstLine="480" w:firstLineChars="200"/>
        <w:rPr>
          <w:rFonts w:ascii="宋体" w:hAnsi="宋体" w:cs="宋体"/>
          <w:bCs/>
          <w:sz w:val="24"/>
          <w:highlight w:val="none"/>
        </w:rPr>
      </w:pPr>
      <w:bookmarkStart w:id="193" w:name="_Toc503862853"/>
      <w:r>
        <w:rPr>
          <w:rFonts w:hint="eastAsia" w:ascii="宋体" w:hAnsi="宋体" w:cs="宋体"/>
          <w:bCs/>
          <w:sz w:val="24"/>
          <w:highlight w:val="none"/>
        </w:rPr>
        <w:t>我方全面研究了 “</w:t>
      </w:r>
      <w:r>
        <w:rPr>
          <w:rFonts w:hint="eastAsia" w:ascii="宋体" w:hAnsi="宋体" w:cs="宋体"/>
          <w:bCs/>
          <w:sz w:val="24"/>
          <w:highlight w:val="none"/>
          <w:u w:val="single"/>
        </w:rPr>
        <w:t xml:space="preserve">      </w:t>
      </w:r>
      <w:r>
        <w:rPr>
          <w:rFonts w:hint="eastAsia" w:ascii="宋体" w:hAnsi="宋体" w:cs="宋体"/>
          <w:bCs/>
          <w:sz w:val="24"/>
          <w:highlight w:val="none"/>
        </w:rPr>
        <w:t>”项目【招标编号：</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】招标文件；决定参加贵单位组织的本项目投标。我方授权</w:t>
      </w:r>
      <w:r>
        <w:rPr>
          <w:rFonts w:hint="eastAsia" w:ascii="宋体" w:hAnsi="宋体" w:cs="宋体"/>
          <w:bCs/>
          <w:sz w:val="24"/>
          <w:highlight w:val="none"/>
          <w:u w:val="single"/>
        </w:rPr>
        <w:t xml:space="preserve">       </w:t>
      </w:r>
      <w:r>
        <w:rPr>
          <w:rFonts w:hint="eastAsia" w:ascii="宋体" w:hAnsi="宋体" w:cs="宋体"/>
          <w:bCs/>
          <w:sz w:val="24"/>
          <w:highlight w:val="none"/>
        </w:rPr>
        <w:t>（姓名、职务）代表我方</w:t>
      </w:r>
      <w:r>
        <w:rPr>
          <w:rFonts w:hint="eastAsia" w:ascii="宋体" w:hAnsi="宋体" w:cs="宋体"/>
          <w:bCs/>
          <w:sz w:val="24"/>
          <w:highlight w:val="none"/>
          <w:u w:val="single"/>
        </w:rPr>
        <w:t xml:space="preserve">        </w:t>
      </w:r>
      <w:r>
        <w:rPr>
          <w:rFonts w:hint="eastAsia" w:ascii="宋体" w:hAnsi="宋体" w:cs="宋体"/>
          <w:bCs/>
          <w:sz w:val="24"/>
          <w:highlight w:val="none"/>
        </w:rPr>
        <w:t>（投标单位的名称）全权处理本项目投标的有关事宜。</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1、我方自愿按照招标文件规定的各项要求向采购人提供所需</w:t>
      </w:r>
      <w:r>
        <w:rPr>
          <w:rFonts w:hint="eastAsia" w:ascii="宋体" w:hAnsi="宋体" w:cs="宋体"/>
          <w:bCs/>
          <w:sz w:val="24"/>
          <w:highlight w:val="none"/>
          <w:lang w:val="en-US" w:eastAsia="zh-CN"/>
        </w:rPr>
        <w:t>服务</w:t>
      </w:r>
      <w:r>
        <w:rPr>
          <w:rFonts w:hint="eastAsia" w:ascii="宋体" w:hAnsi="宋体" w:cs="宋体"/>
          <w:bCs/>
          <w:sz w:val="24"/>
          <w:highlight w:val="none"/>
          <w:lang w:eastAsia="zh-CN"/>
        </w:rPr>
        <w:t>，</w:t>
      </w:r>
      <w:r>
        <w:rPr>
          <w:rFonts w:hint="eastAsia" w:ascii="宋体" w:hAnsi="宋体" w:cs="宋体"/>
          <w:bCs/>
          <w:sz w:val="24"/>
          <w:highlight w:val="none"/>
        </w:rPr>
        <w:t>投标总价为人民币</w:t>
      </w:r>
      <w:r>
        <w:rPr>
          <w:rFonts w:hint="eastAsia" w:ascii="宋体" w:hAnsi="宋体" w:cs="宋体"/>
          <w:bCs/>
          <w:sz w:val="24"/>
          <w:highlight w:val="none"/>
          <w:u w:val="single"/>
        </w:rPr>
        <w:t xml:space="preserve">           </w:t>
      </w:r>
      <w:r>
        <w:rPr>
          <w:rFonts w:hint="eastAsia" w:ascii="宋体" w:hAnsi="宋体" w:cs="宋体"/>
          <w:bCs/>
          <w:sz w:val="24"/>
          <w:highlight w:val="none"/>
        </w:rPr>
        <w:t>（大写：</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2、一旦我方中标</w:t>
      </w:r>
      <w:r>
        <w:rPr>
          <w:rFonts w:hint="eastAsia" w:ascii="宋体" w:hAnsi="宋体" w:cs="宋体"/>
          <w:bCs/>
          <w:sz w:val="24"/>
          <w:highlight w:val="none"/>
          <w:lang w:eastAsia="zh-CN"/>
        </w:rPr>
        <w:t>，</w:t>
      </w:r>
      <w:r>
        <w:rPr>
          <w:rFonts w:hint="eastAsia" w:ascii="宋体" w:hAnsi="宋体" w:cs="宋体"/>
          <w:bCs/>
          <w:sz w:val="24"/>
          <w:highlight w:val="none"/>
        </w:rPr>
        <w:t>我方将严格履行政府采购合同规定的责任和义务。</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3、我们已详细阅读全部招标文件</w:t>
      </w:r>
      <w:r>
        <w:rPr>
          <w:rFonts w:hint="eastAsia" w:ascii="宋体" w:hAnsi="宋体" w:cs="宋体"/>
          <w:bCs/>
          <w:sz w:val="24"/>
          <w:highlight w:val="none"/>
          <w:lang w:eastAsia="zh-CN"/>
        </w:rPr>
        <w:t>，</w:t>
      </w:r>
      <w:r>
        <w:rPr>
          <w:rFonts w:hint="eastAsia" w:ascii="宋体" w:hAnsi="宋体" w:cs="宋体"/>
          <w:bCs/>
          <w:sz w:val="24"/>
          <w:highlight w:val="none"/>
        </w:rPr>
        <w:t>参考资料及有关附件等</w:t>
      </w:r>
      <w:r>
        <w:rPr>
          <w:rFonts w:hint="eastAsia" w:ascii="宋体" w:hAnsi="宋体" w:cs="宋体"/>
          <w:bCs/>
          <w:sz w:val="24"/>
          <w:highlight w:val="none"/>
          <w:lang w:eastAsia="zh-CN"/>
        </w:rPr>
        <w:t>，</w:t>
      </w:r>
      <w:r>
        <w:rPr>
          <w:rFonts w:hint="eastAsia" w:ascii="宋体" w:hAnsi="宋体" w:cs="宋体"/>
          <w:bCs/>
          <w:sz w:val="24"/>
          <w:highlight w:val="none"/>
        </w:rPr>
        <w:t>我们完全理解并放弃提出含糊不清或误解的问题的权利。</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4、我方为本项目提交的投标文件正本1份</w:t>
      </w:r>
      <w:r>
        <w:rPr>
          <w:rFonts w:hint="eastAsia" w:ascii="宋体" w:hAnsi="宋体" w:cs="宋体"/>
          <w:bCs/>
          <w:sz w:val="24"/>
          <w:highlight w:val="none"/>
          <w:lang w:eastAsia="zh-CN"/>
        </w:rPr>
        <w:t>，</w:t>
      </w:r>
      <w:r>
        <w:rPr>
          <w:rFonts w:hint="eastAsia" w:ascii="宋体" w:hAnsi="宋体" w:cs="宋体"/>
          <w:bCs/>
          <w:sz w:val="24"/>
          <w:highlight w:val="none"/>
        </w:rPr>
        <w:t>副本2份</w:t>
      </w:r>
      <w:r>
        <w:rPr>
          <w:rFonts w:hint="eastAsia" w:ascii="宋体" w:hAnsi="宋体" w:cs="宋体"/>
          <w:bCs/>
          <w:sz w:val="24"/>
          <w:highlight w:val="none"/>
          <w:lang w:eastAsia="zh-CN"/>
        </w:rPr>
        <w:t>，</w:t>
      </w:r>
      <w:r>
        <w:rPr>
          <w:rFonts w:hint="eastAsia" w:ascii="宋体" w:hAnsi="宋体" w:cs="宋体"/>
          <w:bCs/>
          <w:sz w:val="24"/>
          <w:highlight w:val="none"/>
        </w:rPr>
        <w:t>用于开标唱标的“开标一览表”1份</w:t>
      </w:r>
      <w:r>
        <w:rPr>
          <w:rFonts w:hint="eastAsia" w:ascii="宋体" w:hAnsi="宋体" w:cs="宋体"/>
          <w:bCs/>
          <w:sz w:val="24"/>
          <w:highlight w:val="none"/>
          <w:lang w:eastAsia="zh-CN"/>
        </w:rPr>
        <w:t>，</w:t>
      </w:r>
      <w:r>
        <w:rPr>
          <w:rFonts w:hint="eastAsia" w:ascii="宋体" w:hAnsi="宋体" w:cs="宋体"/>
          <w:bCs/>
          <w:sz w:val="24"/>
          <w:highlight w:val="none"/>
        </w:rPr>
        <w:t>电子文档1份</w:t>
      </w:r>
      <w:r>
        <w:rPr>
          <w:rFonts w:hint="eastAsia" w:ascii="宋体" w:hAnsi="宋体" w:cs="宋体"/>
          <w:bCs/>
          <w:sz w:val="24"/>
          <w:highlight w:val="none"/>
          <w:lang w:eastAsia="zh-CN"/>
        </w:rPr>
        <w:t>，</w:t>
      </w:r>
      <w:r>
        <w:rPr>
          <w:rFonts w:hint="eastAsia" w:ascii="宋体" w:hAnsi="宋体" w:cs="宋体"/>
          <w:bCs/>
          <w:sz w:val="24"/>
          <w:highlight w:val="none"/>
        </w:rPr>
        <w:t>投标有效期为递交投标文件截止之日起90天。</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5、我方完全理解采购人不一定接受最低报价的投标或收到的任何投标。</w:t>
      </w:r>
    </w:p>
    <w:p>
      <w:pPr>
        <w:adjustRightInd w:val="0"/>
        <w:snapToGrid w:val="0"/>
        <w:spacing w:line="336" w:lineRule="auto"/>
        <w:ind w:firstLine="480" w:firstLineChars="200"/>
        <w:rPr>
          <w:rFonts w:ascii="宋体" w:hAnsi="宋体" w:cs="宋体"/>
          <w:bCs/>
          <w:sz w:val="24"/>
          <w:highlight w:val="none"/>
        </w:rPr>
      </w:pPr>
      <w:r>
        <w:rPr>
          <w:rFonts w:hint="eastAsia" w:ascii="宋体" w:hAnsi="宋体" w:cs="宋体"/>
          <w:bCs/>
          <w:sz w:val="24"/>
          <w:highlight w:val="none"/>
        </w:rPr>
        <w:t>6、</w:t>
      </w:r>
      <w:r>
        <w:rPr>
          <w:rFonts w:hint="eastAsia" w:hAnsi="宋体" w:cs="宋体"/>
          <w:color w:val="auto"/>
          <w:sz w:val="24"/>
          <w:szCs w:val="24"/>
          <w:highlight w:val="none"/>
        </w:rPr>
        <w:t>我方同意本招标文件依据《四川省公共资源交易领域严重失信联合惩戒实施办法》（川发改信用规〔2019〕405号）、《关于对政府采购领域严重违法失信主体开展联合惩戒的合作备忘录》（发改财金〔2018〕1614 号）对我方可能存在的失信行为进行的惩戒。</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7、如果我方中标</w:t>
      </w:r>
      <w:r>
        <w:rPr>
          <w:rFonts w:hint="eastAsia" w:ascii="宋体" w:hAnsi="宋体" w:cs="宋体"/>
          <w:bCs/>
          <w:sz w:val="24"/>
          <w:highlight w:val="none"/>
          <w:lang w:eastAsia="zh-CN"/>
        </w:rPr>
        <w:t>，</w:t>
      </w:r>
      <w:r>
        <w:rPr>
          <w:rFonts w:hint="eastAsia" w:ascii="宋体" w:hAnsi="宋体" w:cs="宋体"/>
          <w:bCs/>
          <w:sz w:val="24"/>
          <w:highlight w:val="none"/>
        </w:rPr>
        <w:t>我方保证按照招标文件的规定向贵方交纳中标服务费。</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8、我方愿意提供贵方可能另外要求的</w:t>
      </w:r>
      <w:r>
        <w:rPr>
          <w:rFonts w:hint="eastAsia" w:ascii="宋体" w:hAnsi="宋体" w:cs="宋体"/>
          <w:bCs/>
          <w:sz w:val="24"/>
          <w:highlight w:val="none"/>
          <w:lang w:eastAsia="zh-CN"/>
        </w:rPr>
        <w:t>，</w:t>
      </w:r>
      <w:r>
        <w:rPr>
          <w:rFonts w:hint="eastAsia" w:ascii="宋体" w:hAnsi="宋体" w:cs="宋体"/>
          <w:bCs/>
          <w:sz w:val="24"/>
          <w:highlight w:val="none"/>
        </w:rPr>
        <w:t>与投标有关的文件资料</w:t>
      </w:r>
      <w:r>
        <w:rPr>
          <w:rFonts w:hint="eastAsia" w:ascii="宋体" w:hAnsi="宋体" w:cs="宋体"/>
          <w:bCs/>
          <w:sz w:val="24"/>
          <w:highlight w:val="none"/>
          <w:lang w:eastAsia="zh-CN"/>
        </w:rPr>
        <w:t>，</w:t>
      </w:r>
      <w:r>
        <w:rPr>
          <w:rFonts w:hint="eastAsia" w:ascii="宋体" w:hAnsi="宋体" w:cs="宋体"/>
          <w:bCs/>
          <w:sz w:val="24"/>
          <w:highlight w:val="none"/>
        </w:rPr>
        <w:t>并保证我方已提供和将要提供的文件资料是真实、准确的。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投标人名称：</w:t>
      </w:r>
      <w:r>
        <w:rPr>
          <w:rFonts w:hint="eastAsia" w:ascii="宋体" w:hAnsi="宋体" w:cs="宋体"/>
          <w:b/>
          <w:sz w:val="24"/>
          <w:highlight w:val="none"/>
          <w:u w:val="single"/>
        </w:rPr>
        <w:t xml:space="preserve">                  </w:t>
      </w:r>
      <w:r>
        <w:rPr>
          <w:rFonts w:hint="eastAsia" w:ascii="宋体" w:hAnsi="宋体" w:cs="宋体"/>
          <w:bCs/>
          <w:sz w:val="24"/>
          <w:highlight w:val="none"/>
        </w:rPr>
        <w:t>（单位公章）</w:t>
      </w:r>
      <w:bookmarkEnd w:id="193"/>
    </w:p>
    <w:p>
      <w:pPr>
        <w:adjustRightInd w:val="0"/>
        <w:snapToGrid w:val="0"/>
        <w:spacing w:line="360" w:lineRule="auto"/>
        <w:ind w:firstLine="480" w:firstLineChars="200"/>
        <w:rPr>
          <w:rFonts w:ascii="宋体" w:hAnsi="宋体" w:cs="宋体"/>
          <w:bCs/>
          <w:sz w:val="24"/>
          <w:highlight w:val="none"/>
        </w:rPr>
      </w:pPr>
      <w:bookmarkStart w:id="194" w:name="_Toc503862854"/>
      <w:r>
        <w:rPr>
          <w:rFonts w:hint="eastAsia" w:ascii="宋体" w:hAnsi="宋体" w:cs="宋体"/>
          <w:bCs/>
          <w:sz w:val="24"/>
          <w:highlight w:val="none"/>
        </w:rPr>
        <w:t>法定代表人/单位负责人或授权代表：</w:t>
      </w:r>
      <w:bookmarkEnd w:id="194"/>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Cs/>
          <w:sz w:val="24"/>
          <w:highlight w:val="none"/>
        </w:rPr>
        <w:t>（签字或加盖个人名章）</w:t>
      </w:r>
    </w:p>
    <w:p>
      <w:pPr>
        <w:adjustRightInd w:val="0"/>
        <w:snapToGrid w:val="0"/>
        <w:spacing w:line="360" w:lineRule="auto"/>
        <w:ind w:firstLine="480" w:firstLineChars="200"/>
        <w:rPr>
          <w:rFonts w:hint="eastAsia" w:ascii="宋体" w:hAnsi="宋体" w:cs="宋体"/>
          <w:bCs/>
          <w:sz w:val="24"/>
          <w:highlight w:val="none"/>
          <w:lang w:val="en-US" w:eastAsia="zh-CN"/>
        </w:rPr>
      </w:pPr>
      <w:bookmarkStart w:id="195" w:name="_Toc503862855"/>
      <w:r>
        <w:rPr>
          <w:rFonts w:hint="eastAsia" w:ascii="宋体" w:hAnsi="宋体" w:cs="宋体"/>
          <w:bCs/>
          <w:sz w:val="24"/>
          <w:highlight w:val="none"/>
          <w:lang w:val="en-US" w:eastAsia="zh-CN"/>
        </w:rPr>
        <w:t>标 段 号：</w:t>
      </w:r>
      <w:r>
        <w:rPr>
          <w:rFonts w:hint="eastAsia" w:ascii="宋体" w:hAnsi="宋体" w:cs="宋体"/>
          <w:bCs/>
          <w:sz w:val="24"/>
          <w:highlight w:val="none"/>
          <w:u w:val="single"/>
          <w:lang w:val="en-US" w:eastAsia="zh-CN"/>
        </w:rPr>
        <w:t xml:space="preserve">                  </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通讯地址：</w:t>
      </w:r>
      <w:bookmarkEnd w:id="195"/>
      <w:r>
        <w:rPr>
          <w:rFonts w:hint="eastAsia" w:ascii="宋体" w:hAnsi="宋体" w:cs="宋体"/>
          <w:b/>
          <w:sz w:val="24"/>
          <w:highlight w:val="none"/>
          <w:u w:val="single"/>
        </w:rPr>
        <w:t xml:space="preserve">                  </w:t>
      </w:r>
    </w:p>
    <w:p>
      <w:pPr>
        <w:adjustRightInd w:val="0"/>
        <w:snapToGrid w:val="0"/>
        <w:spacing w:line="360" w:lineRule="auto"/>
        <w:ind w:firstLine="480" w:firstLineChars="200"/>
        <w:rPr>
          <w:rFonts w:ascii="宋体" w:hAnsi="宋体" w:cs="宋体"/>
          <w:bCs/>
          <w:sz w:val="24"/>
          <w:highlight w:val="none"/>
        </w:rPr>
      </w:pPr>
      <w:bookmarkStart w:id="196" w:name="_Toc503862856"/>
      <w:r>
        <w:rPr>
          <w:rFonts w:hint="eastAsia" w:ascii="宋体" w:hAnsi="宋体" w:cs="宋体"/>
          <w:bCs/>
          <w:sz w:val="24"/>
          <w:highlight w:val="none"/>
        </w:rPr>
        <w:t>邮政编码：</w:t>
      </w:r>
      <w:bookmarkEnd w:id="196"/>
      <w:r>
        <w:rPr>
          <w:rFonts w:hint="eastAsia" w:ascii="宋体" w:hAnsi="宋体" w:cs="宋体"/>
          <w:b/>
          <w:sz w:val="24"/>
          <w:highlight w:val="none"/>
          <w:u w:val="single"/>
        </w:rPr>
        <w:t xml:space="preserve">                  </w:t>
      </w:r>
    </w:p>
    <w:p>
      <w:pPr>
        <w:adjustRightInd w:val="0"/>
        <w:snapToGrid w:val="0"/>
        <w:spacing w:line="360" w:lineRule="auto"/>
        <w:ind w:firstLine="480" w:firstLineChars="200"/>
        <w:rPr>
          <w:rFonts w:ascii="宋体" w:hAnsi="宋体" w:cs="宋体"/>
          <w:bCs/>
          <w:sz w:val="24"/>
          <w:highlight w:val="none"/>
        </w:rPr>
      </w:pPr>
      <w:bookmarkStart w:id="197" w:name="_Toc503862857"/>
      <w:r>
        <w:rPr>
          <w:rFonts w:hint="eastAsia" w:ascii="宋体" w:hAnsi="宋体" w:cs="宋体"/>
          <w:bCs/>
          <w:sz w:val="24"/>
          <w:highlight w:val="none"/>
        </w:rPr>
        <w:t>联系电话：</w:t>
      </w:r>
      <w:bookmarkEnd w:id="197"/>
      <w:r>
        <w:rPr>
          <w:rFonts w:hint="eastAsia" w:ascii="宋体" w:hAnsi="宋体" w:cs="宋体"/>
          <w:b/>
          <w:sz w:val="24"/>
          <w:highlight w:val="none"/>
          <w:u w:val="single"/>
        </w:rPr>
        <w:t xml:space="preserve">                  </w:t>
      </w:r>
    </w:p>
    <w:p>
      <w:pPr>
        <w:adjustRightInd w:val="0"/>
        <w:snapToGrid w:val="0"/>
        <w:spacing w:line="360" w:lineRule="auto"/>
        <w:ind w:firstLine="480" w:firstLineChars="200"/>
        <w:rPr>
          <w:rFonts w:ascii="宋体" w:hAnsi="宋体" w:cs="宋体"/>
          <w:bCs/>
          <w:sz w:val="24"/>
          <w:highlight w:val="none"/>
        </w:rPr>
      </w:pPr>
      <w:bookmarkStart w:id="198" w:name="_Toc503862859"/>
      <w:r>
        <w:rPr>
          <w:rFonts w:hint="eastAsia" w:ascii="宋体" w:hAnsi="宋体" w:cs="宋体"/>
          <w:bCs/>
          <w:sz w:val="24"/>
          <w:highlight w:val="none"/>
        </w:rPr>
        <w:t>日    期：</w:t>
      </w:r>
      <w:bookmarkEnd w:id="198"/>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pPr>
        <w:spacing w:line="288" w:lineRule="auto"/>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格式2-3</w:t>
      </w:r>
    </w:p>
    <w:p>
      <w:pPr>
        <w:widowControl/>
        <w:spacing w:line="360" w:lineRule="auto"/>
        <w:jc w:val="center"/>
        <w:outlineLvl w:val="2"/>
        <w:rPr>
          <w:rFonts w:ascii="宋体" w:hAnsi="宋体" w:cs="宋体"/>
          <w:b/>
          <w:sz w:val="32"/>
          <w:szCs w:val="32"/>
          <w:highlight w:val="none"/>
        </w:rPr>
      </w:pPr>
      <w:bookmarkStart w:id="199" w:name="_Toc503862860"/>
      <w:r>
        <w:rPr>
          <w:rFonts w:hint="eastAsia" w:ascii="宋体" w:hAnsi="宋体" w:cs="宋体"/>
          <w:b/>
          <w:sz w:val="32"/>
          <w:szCs w:val="32"/>
          <w:highlight w:val="none"/>
        </w:rPr>
        <w:t>二、承诺函</w:t>
      </w:r>
      <w:bookmarkEnd w:id="199"/>
    </w:p>
    <w:p>
      <w:pPr>
        <w:widowControl/>
        <w:spacing w:line="360" w:lineRule="atLeast"/>
        <w:jc w:val="center"/>
        <w:rPr>
          <w:rFonts w:ascii="宋体" w:hAnsi="宋体" w:cs="宋体"/>
          <w:b/>
          <w:sz w:val="24"/>
          <w:highlight w:val="none"/>
        </w:rPr>
      </w:pPr>
    </w:p>
    <w:p>
      <w:pPr>
        <w:adjustRightInd w:val="0"/>
        <w:snapToGrid w:val="0"/>
        <w:spacing w:line="360" w:lineRule="auto"/>
        <w:rPr>
          <w:rFonts w:ascii="宋体" w:hAnsi="宋体" w:cs="宋体"/>
          <w:bCs/>
          <w:sz w:val="24"/>
          <w:highlight w:val="none"/>
        </w:rPr>
      </w:pPr>
      <w:bookmarkStart w:id="200" w:name="_Toc503862861"/>
      <w:r>
        <w:rPr>
          <w:rFonts w:hint="eastAsia" w:ascii="宋体" w:hAnsi="宋体" w:cs="宋体"/>
          <w:bCs/>
          <w:sz w:val="24"/>
          <w:highlight w:val="none"/>
          <w:lang w:eastAsia="zh-CN"/>
        </w:rPr>
        <w:t>四川新宇盛项目管理集团有限公司</w:t>
      </w:r>
      <w:r>
        <w:rPr>
          <w:rFonts w:hint="eastAsia" w:ascii="宋体" w:hAnsi="宋体" w:cs="宋体"/>
          <w:bCs/>
          <w:sz w:val="24"/>
          <w:highlight w:val="none"/>
        </w:rPr>
        <w:t>：</w:t>
      </w:r>
      <w:bookmarkEnd w:id="200"/>
    </w:p>
    <w:p>
      <w:pPr>
        <w:adjustRightInd w:val="0"/>
        <w:snapToGrid w:val="0"/>
        <w:spacing w:line="360" w:lineRule="auto"/>
        <w:ind w:firstLine="480" w:firstLineChars="200"/>
        <w:rPr>
          <w:rFonts w:ascii="宋体" w:hAnsi="宋体" w:cs="宋体"/>
          <w:bCs/>
          <w:sz w:val="24"/>
          <w:highlight w:val="none"/>
        </w:rPr>
      </w:pPr>
      <w:bookmarkStart w:id="201" w:name="_Toc503862862"/>
      <w:r>
        <w:rPr>
          <w:rFonts w:hint="eastAsia" w:ascii="宋体" w:hAnsi="宋体" w:cs="宋体"/>
          <w:bCs/>
          <w:sz w:val="24"/>
          <w:highlight w:val="none"/>
        </w:rPr>
        <w:t>我单位作为本次采购项目的投标人</w:t>
      </w:r>
      <w:r>
        <w:rPr>
          <w:rFonts w:hint="eastAsia" w:ascii="宋体" w:hAnsi="宋体" w:cs="宋体"/>
          <w:bCs/>
          <w:sz w:val="24"/>
          <w:highlight w:val="none"/>
          <w:lang w:eastAsia="zh-CN"/>
        </w:rPr>
        <w:t>，</w:t>
      </w:r>
      <w:r>
        <w:rPr>
          <w:rFonts w:hint="eastAsia" w:ascii="宋体" w:hAnsi="宋体" w:cs="宋体"/>
          <w:bCs/>
          <w:sz w:val="24"/>
          <w:highlight w:val="none"/>
        </w:rPr>
        <w:t>根据招标文件要求</w:t>
      </w:r>
      <w:r>
        <w:rPr>
          <w:rFonts w:hint="eastAsia" w:ascii="宋体" w:hAnsi="宋体" w:cs="宋体"/>
          <w:bCs/>
          <w:sz w:val="24"/>
          <w:highlight w:val="none"/>
          <w:lang w:eastAsia="zh-CN"/>
        </w:rPr>
        <w:t>，</w:t>
      </w:r>
      <w:r>
        <w:rPr>
          <w:rFonts w:hint="eastAsia" w:ascii="宋体" w:hAnsi="宋体" w:cs="宋体"/>
          <w:bCs/>
          <w:sz w:val="24"/>
          <w:highlight w:val="none"/>
        </w:rPr>
        <w:t>现郑重承诺如下：</w:t>
      </w:r>
      <w:bookmarkEnd w:id="201"/>
    </w:p>
    <w:p>
      <w:pPr>
        <w:adjustRightInd w:val="0"/>
        <w:snapToGrid w:val="0"/>
        <w:spacing w:line="360" w:lineRule="auto"/>
        <w:ind w:firstLine="480" w:firstLineChars="200"/>
        <w:rPr>
          <w:rFonts w:ascii="宋体" w:hAnsi="宋体" w:cs="宋体"/>
          <w:bCs/>
          <w:sz w:val="24"/>
          <w:highlight w:val="none"/>
        </w:rPr>
      </w:pPr>
      <w:bookmarkStart w:id="202" w:name="_Toc503862863"/>
      <w:r>
        <w:rPr>
          <w:rFonts w:hint="eastAsia" w:ascii="宋体" w:hAnsi="宋体" w:cs="宋体"/>
          <w:bCs/>
          <w:sz w:val="24"/>
          <w:highlight w:val="none"/>
        </w:rPr>
        <w:t>一、完全接受和满足本项目招标文件中规定的实质性要求</w:t>
      </w:r>
      <w:r>
        <w:rPr>
          <w:rFonts w:hint="eastAsia" w:ascii="宋体" w:hAnsi="宋体" w:cs="宋体"/>
          <w:bCs/>
          <w:sz w:val="24"/>
          <w:highlight w:val="none"/>
          <w:lang w:eastAsia="zh-CN"/>
        </w:rPr>
        <w:t>，</w:t>
      </w:r>
      <w:r>
        <w:rPr>
          <w:rFonts w:hint="eastAsia" w:ascii="宋体" w:hAnsi="宋体" w:cs="宋体"/>
          <w:bCs/>
          <w:sz w:val="24"/>
          <w:highlight w:val="none"/>
        </w:rPr>
        <w:t>如对招标文件有异议</w:t>
      </w:r>
      <w:r>
        <w:rPr>
          <w:rFonts w:hint="eastAsia" w:ascii="宋体" w:hAnsi="宋体" w:cs="宋体"/>
          <w:bCs/>
          <w:sz w:val="24"/>
          <w:highlight w:val="none"/>
          <w:lang w:eastAsia="zh-CN"/>
        </w:rPr>
        <w:t>，</w:t>
      </w:r>
      <w:r>
        <w:rPr>
          <w:rFonts w:hint="eastAsia" w:ascii="宋体" w:hAnsi="宋体" w:cs="宋体"/>
          <w:bCs/>
          <w:sz w:val="24"/>
          <w:highlight w:val="none"/>
        </w:rPr>
        <w:t>已依法进行维权救济</w:t>
      </w:r>
      <w:r>
        <w:rPr>
          <w:rFonts w:hint="eastAsia" w:ascii="宋体" w:hAnsi="宋体" w:cs="宋体"/>
          <w:bCs/>
          <w:sz w:val="24"/>
          <w:highlight w:val="none"/>
          <w:lang w:eastAsia="zh-CN"/>
        </w:rPr>
        <w:t>，</w:t>
      </w:r>
      <w:r>
        <w:rPr>
          <w:rFonts w:hint="eastAsia" w:ascii="宋体" w:hAnsi="宋体" w:cs="宋体"/>
          <w:bCs/>
          <w:sz w:val="24"/>
          <w:highlight w:val="none"/>
        </w:rPr>
        <w:t>不存在对招标文件有异议的同时又参加投标以求侥幸中标或者为实现其他非法目的的行为。</w:t>
      </w:r>
      <w:bookmarkEnd w:id="202"/>
    </w:p>
    <w:p>
      <w:pPr>
        <w:adjustRightInd w:val="0"/>
        <w:snapToGrid w:val="0"/>
        <w:spacing w:line="360" w:lineRule="auto"/>
        <w:ind w:firstLine="480" w:firstLineChars="200"/>
        <w:rPr>
          <w:rFonts w:ascii="宋体" w:hAnsi="宋体" w:cs="宋体"/>
          <w:bCs/>
          <w:sz w:val="24"/>
          <w:highlight w:val="none"/>
        </w:rPr>
      </w:pPr>
      <w:bookmarkStart w:id="203" w:name="_Toc503862864"/>
      <w:r>
        <w:rPr>
          <w:rFonts w:hint="eastAsia" w:ascii="宋体" w:hAnsi="宋体" w:cs="宋体"/>
          <w:bCs/>
          <w:sz w:val="24"/>
          <w:highlight w:val="none"/>
        </w:rPr>
        <w:t>二、参加本次招标采购活动</w:t>
      </w:r>
      <w:r>
        <w:rPr>
          <w:rFonts w:hint="eastAsia" w:ascii="宋体" w:hAnsi="宋体" w:cs="宋体"/>
          <w:bCs/>
          <w:sz w:val="24"/>
          <w:highlight w:val="none"/>
          <w:lang w:eastAsia="zh-CN"/>
        </w:rPr>
        <w:t>，</w:t>
      </w:r>
      <w:r>
        <w:rPr>
          <w:rFonts w:hint="eastAsia" w:ascii="宋体" w:hAnsi="宋体" w:cs="宋体"/>
          <w:bCs/>
          <w:sz w:val="24"/>
          <w:highlight w:val="none"/>
        </w:rPr>
        <w:t>不存在与单位负责人为同一人或者存在直接控股、管理关系的其他供应商参与同一合同项下的政府采购活动的行为。为采购项目提供整体设计、规范编制或者项目管理、监理、检测等服务的供应商</w:t>
      </w:r>
      <w:r>
        <w:rPr>
          <w:rFonts w:hint="eastAsia" w:ascii="宋体" w:hAnsi="宋体" w:cs="宋体"/>
          <w:bCs/>
          <w:sz w:val="24"/>
          <w:highlight w:val="none"/>
          <w:lang w:eastAsia="zh-CN"/>
        </w:rPr>
        <w:t>，</w:t>
      </w:r>
      <w:r>
        <w:rPr>
          <w:rFonts w:hint="eastAsia" w:ascii="宋体" w:hAnsi="宋体" w:cs="宋体"/>
          <w:bCs/>
          <w:sz w:val="24"/>
          <w:highlight w:val="none"/>
        </w:rPr>
        <w:t>不得再参加该采购项目的其他采购活动。</w:t>
      </w:r>
      <w:bookmarkEnd w:id="203"/>
    </w:p>
    <w:p>
      <w:pPr>
        <w:adjustRightInd w:val="0"/>
        <w:snapToGrid w:val="0"/>
        <w:spacing w:line="360" w:lineRule="auto"/>
        <w:ind w:firstLine="480" w:firstLineChars="200"/>
        <w:rPr>
          <w:rFonts w:ascii="宋体" w:hAnsi="宋体" w:cs="宋体"/>
          <w:bCs/>
          <w:sz w:val="24"/>
          <w:highlight w:val="none"/>
        </w:rPr>
      </w:pPr>
      <w:bookmarkStart w:id="204" w:name="_Toc503862865"/>
      <w:r>
        <w:rPr>
          <w:rFonts w:hint="eastAsia" w:ascii="宋体" w:hAnsi="宋体" w:cs="宋体"/>
          <w:bCs/>
          <w:sz w:val="24"/>
          <w:highlight w:val="none"/>
        </w:rPr>
        <w:t>三、参加本次招标采购活动</w:t>
      </w:r>
      <w:r>
        <w:rPr>
          <w:rFonts w:hint="eastAsia" w:ascii="宋体" w:hAnsi="宋体" w:cs="宋体"/>
          <w:bCs/>
          <w:sz w:val="24"/>
          <w:highlight w:val="none"/>
          <w:lang w:eastAsia="zh-CN"/>
        </w:rPr>
        <w:t>，</w:t>
      </w:r>
      <w:r>
        <w:rPr>
          <w:rFonts w:hint="eastAsia" w:ascii="宋体" w:hAnsi="宋体" w:cs="宋体"/>
          <w:bCs/>
          <w:sz w:val="24"/>
          <w:highlight w:val="none"/>
        </w:rPr>
        <w:t>不存在和其他供应商在同一合同项下的采购项目中</w:t>
      </w:r>
      <w:r>
        <w:rPr>
          <w:rFonts w:hint="eastAsia" w:ascii="宋体" w:hAnsi="宋体" w:cs="宋体"/>
          <w:bCs/>
          <w:sz w:val="24"/>
          <w:highlight w:val="none"/>
          <w:lang w:eastAsia="zh-CN"/>
        </w:rPr>
        <w:t>，</w:t>
      </w:r>
      <w:r>
        <w:rPr>
          <w:rFonts w:hint="eastAsia" w:ascii="宋体" w:hAnsi="宋体" w:cs="宋体"/>
          <w:bCs/>
          <w:sz w:val="24"/>
          <w:highlight w:val="none"/>
        </w:rPr>
        <w:t>同时委托同一个自然人、同一家庭的人员、同一单位的人员作为代理人的行为。</w:t>
      </w:r>
      <w:bookmarkEnd w:id="204"/>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四、我司未被对列入按财库[2016]125号规定的失信被执行人、重大税收违法案件当事人名单、政府采购严重违法失信行为记录名单及其他不符合《中华人民共和国政府采购法》第二十二条规定条件的供应商。</w:t>
      </w:r>
    </w:p>
    <w:p>
      <w:pPr>
        <w:adjustRightInd w:val="0"/>
        <w:snapToGrid w:val="0"/>
        <w:spacing w:line="360" w:lineRule="auto"/>
        <w:ind w:firstLine="480" w:firstLineChars="200"/>
        <w:rPr>
          <w:rFonts w:ascii="宋体" w:hAnsi="宋体" w:cs="宋体"/>
          <w:bCs/>
          <w:sz w:val="24"/>
          <w:highlight w:val="none"/>
        </w:rPr>
      </w:pPr>
      <w:bookmarkStart w:id="205" w:name="_Toc503862866"/>
      <w:r>
        <w:rPr>
          <w:rFonts w:hint="eastAsia" w:ascii="宋体" w:hAnsi="宋体" w:cs="宋体"/>
          <w:bCs/>
          <w:sz w:val="24"/>
          <w:highlight w:val="none"/>
        </w:rPr>
        <w:t>五、如果有《四川省公共资源交易领域严重失信联合惩戒实施办法》（川发改信用规〔2019〕405 号）、《关于对政府采购领域严重违法失信主体开展联合惩戒的合作备忘录》（发改财金〔2018〕1614 号）规定的记入诚信档案的失信行为</w:t>
      </w:r>
      <w:r>
        <w:rPr>
          <w:rFonts w:hint="eastAsia" w:ascii="宋体" w:hAnsi="宋体" w:cs="宋体"/>
          <w:bCs/>
          <w:sz w:val="24"/>
          <w:highlight w:val="none"/>
          <w:lang w:eastAsia="zh-CN"/>
        </w:rPr>
        <w:t>，</w:t>
      </w:r>
      <w:r>
        <w:rPr>
          <w:rFonts w:hint="eastAsia" w:ascii="宋体" w:hAnsi="宋体" w:cs="宋体"/>
          <w:bCs/>
          <w:sz w:val="24"/>
          <w:highlight w:val="none"/>
        </w:rPr>
        <w:t>将在投标文件中全面如实反映。</w:t>
      </w:r>
      <w:bookmarkEnd w:id="205"/>
    </w:p>
    <w:p>
      <w:pPr>
        <w:adjustRightInd w:val="0"/>
        <w:snapToGrid w:val="0"/>
        <w:spacing w:line="360" w:lineRule="auto"/>
        <w:ind w:firstLine="480" w:firstLineChars="200"/>
        <w:rPr>
          <w:rFonts w:ascii="宋体" w:hAnsi="宋体" w:cs="宋体"/>
          <w:bCs/>
          <w:sz w:val="24"/>
          <w:highlight w:val="none"/>
        </w:rPr>
      </w:pPr>
      <w:bookmarkStart w:id="206" w:name="_Toc503862867"/>
      <w:r>
        <w:rPr>
          <w:rFonts w:hint="eastAsia" w:ascii="宋体" w:hAnsi="宋体" w:cs="宋体"/>
          <w:bCs/>
          <w:sz w:val="24"/>
          <w:highlight w:val="none"/>
        </w:rPr>
        <w:t>六、投标文件中提供的能够给予我单位带来优惠、好处的任何材料资料和技术、服务、商务、响应产品等响应承诺情况都是真实的、有效的、合法的。</w:t>
      </w:r>
      <w:bookmarkEnd w:id="206"/>
    </w:p>
    <w:p>
      <w:pPr>
        <w:adjustRightInd w:val="0"/>
        <w:snapToGrid w:val="0"/>
        <w:spacing w:line="360" w:lineRule="auto"/>
        <w:ind w:firstLine="480" w:firstLineChars="200"/>
        <w:rPr>
          <w:rFonts w:ascii="宋体" w:hAnsi="宋体" w:cs="宋体"/>
          <w:bCs/>
          <w:sz w:val="24"/>
          <w:highlight w:val="none"/>
        </w:rPr>
      </w:pPr>
      <w:bookmarkStart w:id="207" w:name="_Toc503862868"/>
      <w:r>
        <w:rPr>
          <w:rFonts w:hint="eastAsia" w:ascii="宋体" w:hAnsi="宋体" w:cs="宋体"/>
          <w:bCs/>
          <w:sz w:val="24"/>
          <w:highlight w:val="none"/>
        </w:rPr>
        <w:t>七、如本项目评标过程中需要提供样品</w:t>
      </w:r>
      <w:r>
        <w:rPr>
          <w:rFonts w:hint="eastAsia" w:ascii="宋体" w:hAnsi="宋体" w:cs="宋体"/>
          <w:bCs/>
          <w:sz w:val="24"/>
          <w:highlight w:val="none"/>
          <w:lang w:eastAsia="zh-CN"/>
        </w:rPr>
        <w:t>，</w:t>
      </w:r>
      <w:r>
        <w:rPr>
          <w:rFonts w:hint="eastAsia" w:ascii="宋体" w:hAnsi="宋体" w:cs="宋体"/>
          <w:bCs/>
          <w:sz w:val="24"/>
          <w:highlight w:val="none"/>
        </w:rPr>
        <w:t>则我单位提供的样品即为中标后将要提供的中标产品</w:t>
      </w:r>
      <w:r>
        <w:rPr>
          <w:rFonts w:hint="eastAsia" w:ascii="宋体" w:hAnsi="宋体" w:cs="宋体"/>
          <w:bCs/>
          <w:sz w:val="24"/>
          <w:highlight w:val="none"/>
          <w:lang w:eastAsia="zh-CN"/>
        </w:rPr>
        <w:t>，</w:t>
      </w:r>
      <w:r>
        <w:rPr>
          <w:rFonts w:hint="eastAsia" w:ascii="宋体" w:hAnsi="宋体" w:cs="宋体"/>
          <w:bCs/>
          <w:sz w:val="24"/>
          <w:highlight w:val="none"/>
        </w:rPr>
        <w:t>我单位对提供样品的性能和质量负责</w:t>
      </w:r>
      <w:r>
        <w:rPr>
          <w:rFonts w:hint="eastAsia" w:ascii="宋体" w:hAnsi="宋体" w:cs="宋体"/>
          <w:bCs/>
          <w:sz w:val="24"/>
          <w:highlight w:val="none"/>
          <w:lang w:eastAsia="zh-CN"/>
        </w:rPr>
        <w:t>，</w:t>
      </w:r>
      <w:r>
        <w:rPr>
          <w:rFonts w:hint="eastAsia" w:ascii="宋体" w:hAnsi="宋体" w:cs="宋体"/>
          <w:bCs/>
          <w:sz w:val="24"/>
          <w:highlight w:val="none"/>
        </w:rPr>
        <w:t>因样品存在缺陷或者不符合招标文件要求导致未能中标的</w:t>
      </w:r>
      <w:r>
        <w:rPr>
          <w:rFonts w:hint="eastAsia" w:ascii="宋体" w:hAnsi="宋体" w:cs="宋体"/>
          <w:bCs/>
          <w:sz w:val="24"/>
          <w:highlight w:val="none"/>
          <w:lang w:eastAsia="zh-CN"/>
        </w:rPr>
        <w:t>，</w:t>
      </w:r>
      <w:r>
        <w:rPr>
          <w:rFonts w:hint="eastAsia" w:ascii="宋体" w:hAnsi="宋体" w:cs="宋体"/>
          <w:bCs/>
          <w:sz w:val="24"/>
          <w:highlight w:val="none"/>
        </w:rPr>
        <w:t>我单位愿意承担相应不利后果。</w:t>
      </w:r>
      <w:bookmarkEnd w:id="207"/>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八、我公司完全同意采购文件中关于知识产权的说明</w:t>
      </w:r>
      <w:r>
        <w:rPr>
          <w:rFonts w:hint="eastAsia" w:ascii="宋体" w:hAnsi="宋体" w:cs="宋体"/>
          <w:bCs/>
          <w:sz w:val="24"/>
          <w:highlight w:val="none"/>
          <w:lang w:eastAsia="zh-CN"/>
        </w:rPr>
        <w:t>，</w:t>
      </w:r>
      <w:r>
        <w:rPr>
          <w:rFonts w:hint="eastAsia" w:ascii="宋体" w:hAnsi="宋体" w:cs="宋体"/>
          <w:bCs/>
          <w:sz w:val="24"/>
          <w:highlight w:val="none"/>
        </w:rPr>
        <w:t xml:space="preserve">承诺由此造成的纠纷由我单位全权负责。 </w:t>
      </w:r>
    </w:p>
    <w:p>
      <w:pPr>
        <w:adjustRightInd w:val="0"/>
        <w:snapToGrid w:val="0"/>
        <w:spacing w:line="360" w:lineRule="auto"/>
        <w:ind w:firstLine="480" w:firstLineChars="200"/>
        <w:rPr>
          <w:rFonts w:ascii="宋体" w:hAnsi="宋体" w:cs="宋体"/>
          <w:bCs/>
          <w:sz w:val="24"/>
          <w:highlight w:val="none"/>
        </w:rPr>
      </w:pPr>
      <w:bookmarkStart w:id="208" w:name="_Toc503862869"/>
      <w:r>
        <w:rPr>
          <w:rFonts w:hint="eastAsia" w:ascii="宋体" w:hAnsi="宋体" w:cs="宋体"/>
          <w:bCs/>
          <w:sz w:val="24"/>
          <w:highlight w:val="none"/>
        </w:rPr>
        <w:t>本单位对上述承诺的内容事项真实性负责。如经查实上述承诺的内容事项存在虚假</w:t>
      </w:r>
      <w:r>
        <w:rPr>
          <w:rFonts w:hint="eastAsia" w:ascii="宋体" w:hAnsi="宋体" w:cs="宋体"/>
          <w:bCs/>
          <w:sz w:val="24"/>
          <w:highlight w:val="none"/>
          <w:lang w:eastAsia="zh-CN"/>
        </w:rPr>
        <w:t>，</w:t>
      </w:r>
      <w:r>
        <w:rPr>
          <w:rFonts w:hint="eastAsia" w:ascii="宋体" w:hAnsi="宋体" w:cs="宋体"/>
          <w:bCs/>
          <w:sz w:val="24"/>
          <w:highlight w:val="none"/>
        </w:rPr>
        <w:t>我单位愿意接受以提供虚假材料谋取中标追究法律责任。</w:t>
      </w:r>
      <w:bookmarkEnd w:id="208"/>
    </w:p>
    <w:p>
      <w:pPr>
        <w:widowControl/>
        <w:spacing w:line="312" w:lineRule="auto"/>
        <w:ind w:firstLine="470" w:firstLineChars="196"/>
        <w:jc w:val="left"/>
        <w:rPr>
          <w:rFonts w:ascii="宋体" w:hAnsi="宋体" w:cs="宋体"/>
          <w:sz w:val="24"/>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spacing w:line="360" w:lineRule="auto"/>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格式2-4</w:t>
      </w:r>
    </w:p>
    <w:p>
      <w:pPr>
        <w:widowControl/>
        <w:spacing w:line="360" w:lineRule="auto"/>
        <w:jc w:val="center"/>
        <w:outlineLvl w:val="2"/>
        <w:rPr>
          <w:rFonts w:ascii="宋体" w:hAnsi="宋体" w:cs="宋体"/>
          <w:b/>
          <w:sz w:val="32"/>
          <w:szCs w:val="32"/>
          <w:highlight w:val="none"/>
        </w:rPr>
      </w:pPr>
      <w:r>
        <w:rPr>
          <w:rFonts w:hint="eastAsia" w:ascii="宋体" w:hAnsi="宋体" w:cs="宋体"/>
          <w:b/>
          <w:sz w:val="32"/>
          <w:szCs w:val="32"/>
          <w:highlight w:val="none"/>
        </w:rPr>
        <w:t>三、开标一览表</w:t>
      </w:r>
    </w:p>
    <w:p>
      <w:pPr>
        <w:widowControl/>
        <w:spacing w:line="360" w:lineRule="atLeast"/>
        <w:ind w:firstLine="470" w:firstLineChars="196"/>
        <w:jc w:val="left"/>
        <w:rPr>
          <w:rFonts w:ascii="宋体" w:hAnsi="宋体" w:cs="宋体"/>
          <w:sz w:val="24"/>
          <w:highlight w:val="none"/>
        </w:rPr>
      </w:pPr>
    </w:p>
    <w:tbl>
      <w:tblPr>
        <w:tblStyle w:val="2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57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342" w:type="dxa"/>
            <w:tcBorders>
              <w:top w:val="single" w:color="000000" w:sz="12"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5780" w:type="dxa"/>
            <w:tcBorders>
              <w:top w:val="single" w:color="000000" w:sz="12" w:space="0"/>
            </w:tcBorders>
            <w:noWrap w:val="0"/>
            <w:vAlign w:val="center"/>
          </w:tcPr>
          <w:p>
            <w:pPr>
              <w:spacing w:line="360" w:lineRule="auto"/>
              <w:jc w:val="left"/>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342" w:type="dxa"/>
            <w:tcBorders>
              <w:top w:val="single" w:color="000000" w:sz="12" w:space="0"/>
            </w:tcBorders>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项目编号</w:t>
            </w:r>
          </w:p>
        </w:tc>
        <w:tc>
          <w:tcPr>
            <w:tcW w:w="5780" w:type="dxa"/>
            <w:tcBorders>
              <w:top w:val="single" w:color="000000" w:sz="12" w:space="0"/>
            </w:tcBorders>
            <w:noWrap w:val="0"/>
            <w:vAlign w:val="center"/>
          </w:tcPr>
          <w:p>
            <w:pPr>
              <w:spacing w:line="360" w:lineRule="auto"/>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342" w:type="dxa"/>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标段号</w:t>
            </w:r>
          </w:p>
        </w:tc>
        <w:tc>
          <w:tcPr>
            <w:tcW w:w="5780" w:type="dxa"/>
            <w:noWrap w:val="0"/>
            <w:vAlign w:val="center"/>
          </w:tcPr>
          <w:p>
            <w:pPr>
              <w:spacing w:line="360" w:lineRule="auto"/>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342" w:type="dxa"/>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服务期限</w:t>
            </w:r>
          </w:p>
        </w:tc>
        <w:tc>
          <w:tcPr>
            <w:tcW w:w="5780" w:type="dxa"/>
            <w:noWrap w:val="0"/>
            <w:vAlign w:val="center"/>
          </w:tcPr>
          <w:p>
            <w:pPr>
              <w:spacing w:line="360" w:lineRule="auto"/>
              <w:rPr>
                <w:rFonts w:ascii="宋体" w:hAnsi="宋体"/>
                <w:color w:val="auto"/>
                <w:sz w:val="24"/>
                <w:highlight w:val="none"/>
              </w:rPr>
            </w:pPr>
            <w:r>
              <w:rPr>
                <w:rFonts w:hint="eastAsia" w:ascii="宋体" w:hAnsi="宋体" w:eastAsia="宋体" w:cs="宋体"/>
                <w:color w:val="auto"/>
                <w:kern w:val="0"/>
                <w:sz w:val="24"/>
                <w:szCs w:val="24"/>
                <w:lang w:val="en-US" w:eastAsia="zh-CN" w:bidi="ar"/>
              </w:rPr>
              <w:t>3年，经考核合格后，合同一年一签。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552" w:hRule="atLeast"/>
          <w:jc w:val="center"/>
        </w:trPr>
        <w:tc>
          <w:tcPr>
            <w:tcW w:w="2342" w:type="dxa"/>
            <w:tcBorders>
              <w:bottom w:val="single" w:color="000000"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 w:val="24"/>
                <w:highlight w:val="none"/>
              </w:rPr>
              <w:t>投标</w:t>
            </w:r>
            <w:r>
              <w:rPr>
                <w:rFonts w:hint="default" w:ascii="宋体" w:hAnsi="宋体"/>
                <w:color w:val="auto"/>
                <w:sz w:val="24"/>
                <w:highlight w:val="none"/>
              </w:rPr>
              <w:t>总</w:t>
            </w:r>
            <w:r>
              <w:rPr>
                <w:rFonts w:hint="eastAsia" w:ascii="宋体" w:hAnsi="宋体"/>
                <w:color w:val="auto"/>
                <w:sz w:val="24"/>
                <w:highlight w:val="none"/>
              </w:rPr>
              <w:t>价</w:t>
            </w:r>
          </w:p>
        </w:tc>
        <w:tc>
          <w:tcPr>
            <w:tcW w:w="5780" w:type="dxa"/>
            <w:tcBorders>
              <w:bottom w:val="single" w:color="000000" w:sz="12" w:space="0"/>
            </w:tcBorders>
            <w:noWrap w:val="0"/>
            <w:vAlign w:val="center"/>
          </w:tcPr>
          <w:p>
            <w:pPr>
              <w:spacing w:line="360" w:lineRule="auto"/>
              <w:rPr>
                <w:rFonts w:ascii="宋体" w:hAnsi="宋体"/>
                <w:color w:val="auto"/>
                <w:sz w:val="24"/>
                <w:highlight w:val="none"/>
              </w:rPr>
            </w:pPr>
            <w:r>
              <w:rPr>
                <w:rFonts w:ascii="宋体" w:hAnsi="宋体"/>
                <w:color w:val="auto"/>
                <w:sz w:val="24"/>
                <w:highlight w:val="none"/>
              </w:rPr>
              <w:t>小写：</w:t>
            </w:r>
            <w:r>
              <w:rPr>
                <w:rFonts w:ascii="宋体" w:hAnsi="宋体"/>
                <w:color w:val="auto"/>
                <w:sz w:val="24"/>
                <w:highlight w:val="none"/>
                <w:u w:val="single"/>
              </w:rPr>
              <w:t xml:space="preserve">                    </w:t>
            </w:r>
            <w:r>
              <w:rPr>
                <w:rFonts w:ascii="宋体" w:hAnsi="宋体"/>
                <w:color w:val="auto"/>
                <w:sz w:val="24"/>
                <w:highlight w:val="none"/>
                <w:u w:val="none"/>
              </w:rPr>
              <w:t>元/年</w:t>
            </w:r>
          </w:p>
          <w:p>
            <w:pPr>
              <w:spacing w:line="360" w:lineRule="auto"/>
              <w:rPr>
                <w:rFonts w:ascii="宋体" w:hAnsi="宋体"/>
                <w:color w:val="auto"/>
                <w:sz w:val="24"/>
                <w:highlight w:val="none"/>
              </w:rPr>
            </w:pPr>
            <w:r>
              <w:rPr>
                <w:rFonts w:ascii="宋体" w:hAnsi="宋体"/>
                <w:color w:val="auto"/>
                <w:sz w:val="24"/>
                <w:highlight w:val="none"/>
              </w:rPr>
              <w:t>大写：</w:t>
            </w:r>
            <w:r>
              <w:rPr>
                <w:rFonts w:ascii="宋体" w:hAnsi="宋体"/>
                <w:color w:val="auto"/>
                <w:sz w:val="24"/>
                <w:highlight w:val="none"/>
                <w:u w:val="single"/>
              </w:rPr>
              <w:t xml:space="preserve">                    </w:t>
            </w:r>
          </w:p>
        </w:tc>
      </w:tr>
    </w:tbl>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bookmarkStart w:id="209" w:name="_Toc503862887"/>
      <w:r>
        <w:rPr>
          <w:rFonts w:hint="eastAsia" w:ascii="宋体" w:hAnsi="宋体" w:cs="宋体"/>
          <w:bCs/>
          <w:sz w:val="24"/>
          <w:highlight w:val="none"/>
        </w:rPr>
        <w:t>注：1.报价应是最终用户验收合格后的总价</w:t>
      </w:r>
      <w:r>
        <w:rPr>
          <w:rFonts w:hint="eastAsia" w:ascii="宋体" w:hAnsi="宋体" w:cs="宋体"/>
          <w:bCs/>
          <w:sz w:val="24"/>
          <w:highlight w:val="none"/>
          <w:lang w:eastAsia="zh-CN"/>
        </w:rPr>
        <w:t>，</w:t>
      </w:r>
      <w:r>
        <w:rPr>
          <w:rFonts w:hint="eastAsia" w:ascii="宋体" w:hAnsi="宋体" w:cs="宋体"/>
          <w:bCs/>
          <w:sz w:val="24"/>
          <w:highlight w:val="none"/>
        </w:rPr>
        <w:t>包括设备运输、保险、代理、安装调试、培训、税费、系统集成费用和招标文件规定的其它费用。</w:t>
      </w:r>
      <w:bookmarkEnd w:id="209"/>
    </w:p>
    <w:p>
      <w:pPr>
        <w:adjustRightInd w:val="0"/>
        <w:snapToGrid w:val="0"/>
        <w:spacing w:line="360" w:lineRule="auto"/>
        <w:ind w:firstLine="480" w:firstLineChars="200"/>
        <w:rPr>
          <w:rFonts w:hint="eastAsia" w:ascii="宋体" w:hAnsi="宋体" w:cs="宋体"/>
          <w:bCs/>
          <w:sz w:val="24"/>
          <w:highlight w:val="none"/>
        </w:rPr>
      </w:pPr>
      <w:bookmarkStart w:id="210" w:name="_Toc503862888"/>
      <w:r>
        <w:rPr>
          <w:rFonts w:hint="eastAsia" w:ascii="宋体" w:hAnsi="宋体" w:cs="宋体"/>
          <w:bCs/>
          <w:sz w:val="24"/>
          <w:highlight w:val="none"/>
        </w:rPr>
        <w:t>2.“开标一览表”为多页的</w:t>
      </w:r>
      <w:r>
        <w:rPr>
          <w:rFonts w:hint="eastAsia" w:ascii="宋体" w:hAnsi="宋体" w:cs="宋体"/>
          <w:bCs/>
          <w:sz w:val="24"/>
          <w:highlight w:val="none"/>
          <w:lang w:eastAsia="zh-CN"/>
        </w:rPr>
        <w:t>，</w:t>
      </w:r>
      <w:r>
        <w:rPr>
          <w:rFonts w:hint="eastAsia" w:ascii="宋体" w:hAnsi="宋体" w:cs="宋体"/>
          <w:bCs/>
          <w:sz w:val="24"/>
          <w:highlight w:val="none"/>
        </w:rPr>
        <w:t>每页均需由法定代表人/单位负责人或授权代表签字并盖投标人印章。</w:t>
      </w:r>
      <w:bookmarkEnd w:id="210"/>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rPr>
          <w:rFonts w:ascii="宋体" w:hAnsi="宋体" w:cs="宋体"/>
          <w:b/>
          <w:sz w:val="32"/>
          <w:szCs w:val="32"/>
          <w:highlight w:val="none"/>
        </w:rPr>
      </w:pPr>
      <w:r>
        <w:rPr>
          <w:rFonts w:ascii="宋体" w:hAnsi="宋体" w:cs="宋体"/>
          <w:b/>
          <w:sz w:val="32"/>
          <w:szCs w:val="32"/>
          <w:highlight w:val="none"/>
        </w:rPr>
        <w:br w:type="page"/>
      </w:r>
    </w:p>
    <w:p>
      <w:pPr>
        <w:spacing w:line="360" w:lineRule="auto"/>
        <w:rPr>
          <w:rFonts w:ascii="宋体" w:hAnsi="宋体" w:cs="宋体"/>
          <w:b/>
          <w:sz w:val="32"/>
          <w:szCs w:val="32"/>
          <w:highlight w:val="none"/>
        </w:rPr>
      </w:pPr>
      <w:r>
        <w:rPr>
          <w:rFonts w:hint="eastAsia" w:ascii="宋体" w:hAnsi="宋体" w:cs="宋体"/>
          <w:b/>
          <w:sz w:val="32"/>
          <w:szCs w:val="32"/>
          <w:highlight w:val="none"/>
        </w:rPr>
        <w:t>格式2-5</w:t>
      </w:r>
    </w:p>
    <w:p>
      <w:pPr>
        <w:widowControl/>
        <w:spacing w:line="360" w:lineRule="auto"/>
        <w:jc w:val="center"/>
        <w:outlineLvl w:val="2"/>
        <w:rPr>
          <w:rFonts w:hint="eastAsia" w:ascii="宋体" w:hAnsi="宋体" w:eastAsia="宋体" w:cs="宋体"/>
          <w:b/>
          <w:sz w:val="32"/>
          <w:szCs w:val="32"/>
          <w:highlight w:val="none"/>
          <w:lang w:eastAsia="zh-CN"/>
        </w:rPr>
      </w:pPr>
      <w:bookmarkStart w:id="211" w:name="_Toc503862892"/>
      <w:r>
        <w:rPr>
          <w:rFonts w:hint="eastAsia" w:ascii="宋体" w:hAnsi="宋体" w:cs="宋体"/>
          <w:b/>
          <w:sz w:val="32"/>
          <w:szCs w:val="32"/>
          <w:highlight w:val="none"/>
        </w:rPr>
        <w:t>四、分项报价明细表</w:t>
      </w:r>
      <w:bookmarkEnd w:id="211"/>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犀浦1标段</w:t>
      </w:r>
      <w:r>
        <w:rPr>
          <w:rFonts w:hint="eastAsia" w:ascii="宋体" w:hAnsi="宋体" w:cs="宋体"/>
          <w:b/>
          <w:sz w:val="32"/>
          <w:szCs w:val="32"/>
          <w:highlight w:val="none"/>
          <w:lang w:eastAsia="zh-CN"/>
        </w:rPr>
        <w:t>）</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551"/>
        <w:gridCol w:w="2115"/>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97" w:type="pct"/>
            <w:noWrap w:val="0"/>
            <w:vAlign w:val="center"/>
          </w:tcPr>
          <w:p>
            <w:pPr>
              <w:widowControl/>
              <w:spacing w:line="360" w:lineRule="atLeas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服务内容或费用明细</w:t>
            </w:r>
          </w:p>
        </w:tc>
        <w:tc>
          <w:tcPr>
            <w:tcW w:w="1241" w:type="pct"/>
            <w:noWrap w:val="0"/>
            <w:vAlign w:val="center"/>
          </w:tcPr>
          <w:p>
            <w:pPr>
              <w:widowControl/>
              <w:spacing w:line="360" w:lineRule="atLeast"/>
              <w:jc w:val="center"/>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单项价格（单位：元/年）</w:t>
            </w:r>
          </w:p>
        </w:tc>
        <w:tc>
          <w:tcPr>
            <w:tcW w:w="1764" w:type="pct"/>
            <w:noWrap w:val="0"/>
            <w:vAlign w:val="center"/>
          </w:tcPr>
          <w:p>
            <w:pPr>
              <w:widowControl/>
              <w:spacing w:line="360" w:lineRule="atLeast"/>
              <w:jc w:val="center"/>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7" w:type="pct"/>
            <w:noWrap w:val="0"/>
            <w:vAlign w:val="center"/>
          </w:tcPr>
          <w:p>
            <w:pPr>
              <w:jc w:val="center"/>
              <w:rPr>
                <w:rFonts w:hint="eastAsia" w:ascii="宋体" w:hAnsi="宋体" w:eastAsia="宋体" w:cs="宋体"/>
                <w:b/>
                <w:bCs/>
                <w:color w:val="auto"/>
                <w:kern w:val="2"/>
                <w:sz w:val="24"/>
                <w:szCs w:val="24"/>
                <w:highlight w:val="none"/>
                <w:lang w:eastAsia="zh-CN" w:bidi="ar-SA"/>
              </w:rPr>
            </w:pPr>
            <w:r>
              <w:rPr>
                <w:rFonts w:hint="eastAsia" w:ascii="宋体" w:hAnsi="宋体" w:eastAsia="宋体" w:cs="宋体"/>
                <w:b/>
                <w:bCs/>
                <w:color w:val="auto"/>
                <w:kern w:val="2"/>
                <w:sz w:val="24"/>
                <w:szCs w:val="24"/>
                <w:highlight w:val="none"/>
                <w:lang w:eastAsia="zh-CN" w:bidi="ar-SA"/>
              </w:rPr>
              <w:t>1</w:t>
            </w:r>
          </w:p>
        </w:tc>
        <w:tc>
          <w:tcPr>
            <w:tcW w:w="1497" w:type="pct"/>
            <w:noWrap w:val="0"/>
            <w:vAlign w:val="center"/>
          </w:tcPr>
          <w:p>
            <w:pPr>
              <w:pStyle w:val="2"/>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vertAlign w:val="baseline"/>
                <w:lang w:val="en-US" w:eastAsia="zh-CN"/>
              </w:rPr>
              <w:t>在建道路管护</w:t>
            </w:r>
          </w:p>
        </w:tc>
        <w:tc>
          <w:tcPr>
            <w:tcW w:w="1241" w:type="pct"/>
            <w:noWrap w:val="0"/>
            <w:vAlign w:val="center"/>
          </w:tcPr>
          <w:p>
            <w:pPr>
              <w:pStyle w:val="2"/>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vertAlign w:val="baseline"/>
                <w:lang w:val="en-US" w:eastAsia="zh-CN"/>
              </w:rPr>
              <w:t>150000</w:t>
            </w:r>
          </w:p>
        </w:tc>
        <w:tc>
          <w:tcPr>
            <w:tcW w:w="1764" w:type="pct"/>
            <w:noWrap w:val="0"/>
            <w:vAlign w:val="center"/>
          </w:tcPr>
          <w:p>
            <w:pPr>
              <w:pStyle w:val="2"/>
              <w:keepNext w:val="0"/>
              <w:keepLines w:val="0"/>
              <w:pageBreakBefore w:val="0"/>
              <w:widowControl/>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vertAlign w:val="baseline"/>
                <w:lang w:val="en-US" w:eastAsia="zh-CN"/>
              </w:rPr>
              <w:t>该费用为在建道路移交后新增作业面积的一年管护费用，若无新增面积，则在管护费中扣除。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kern w:val="2"/>
                <w:sz w:val="24"/>
                <w:szCs w:val="24"/>
                <w:highlight w:val="none"/>
                <w:lang w:eastAsia="zh-CN" w:bidi="ar-SA"/>
              </w:rPr>
            </w:pPr>
            <w:r>
              <w:rPr>
                <w:rFonts w:hint="eastAsia" w:ascii="宋体" w:hAnsi="宋体" w:eastAsia="宋体" w:cs="宋体"/>
                <w:b/>
                <w:bCs/>
                <w:color w:val="auto"/>
                <w:kern w:val="2"/>
                <w:sz w:val="24"/>
                <w:szCs w:val="24"/>
                <w:highlight w:val="none"/>
                <w:lang w:eastAsia="zh-CN" w:bidi="ar-SA"/>
              </w:rPr>
              <w:t>2</w:t>
            </w:r>
          </w:p>
        </w:tc>
        <w:tc>
          <w:tcPr>
            <w:tcW w:w="1497" w:type="pct"/>
            <w:noWrap w:val="0"/>
            <w:vAlign w:val="center"/>
          </w:tcPr>
          <w:p>
            <w:pPr>
              <w:widowControl/>
              <w:spacing w:line="360" w:lineRule="atLeast"/>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市政道路及其附属设施</w:t>
            </w:r>
            <w:r>
              <w:rPr>
                <w:rFonts w:hint="eastAsia" w:ascii="宋体" w:hAnsi="宋体" w:eastAsia="宋体" w:cs="宋体"/>
                <w:b w:val="0"/>
                <w:bCs/>
                <w:color w:val="auto"/>
                <w:sz w:val="24"/>
                <w:szCs w:val="24"/>
                <w:vertAlign w:val="baseline"/>
                <w:lang w:val="en-US" w:eastAsia="zh-CN"/>
              </w:rPr>
              <w:t>管护</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kern w:val="2"/>
                <w:sz w:val="24"/>
                <w:szCs w:val="24"/>
                <w:highlight w:val="none"/>
                <w:lang w:eastAsia="zh-CN" w:bidi="ar-SA"/>
              </w:rPr>
            </w:pPr>
            <w:r>
              <w:rPr>
                <w:rFonts w:hint="eastAsia" w:ascii="宋体" w:hAnsi="宋体" w:eastAsia="宋体" w:cs="宋体"/>
                <w:b/>
                <w:bCs/>
                <w:color w:val="auto"/>
                <w:kern w:val="2"/>
                <w:sz w:val="24"/>
                <w:szCs w:val="24"/>
                <w:highlight w:val="none"/>
                <w:lang w:eastAsia="zh-CN" w:bidi="ar-SA"/>
              </w:rPr>
              <w:t>3</w:t>
            </w:r>
          </w:p>
        </w:tc>
        <w:tc>
          <w:tcPr>
            <w:tcW w:w="1497" w:type="pct"/>
            <w:noWrap w:val="0"/>
            <w:vAlign w:val="center"/>
          </w:tcPr>
          <w:p>
            <w:pPr>
              <w:widowControl/>
              <w:spacing w:line="360" w:lineRule="atLeas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道路红线外硬质铺装</w:t>
            </w:r>
            <w:r>
              <w:rPr>
                <w:rFonts w:hint="eastAsia" w:ascii="宋体" w:hAnsi="宋体" w:eastAsia="宋体" w:cs="宋体"/>
                <w:b w:val="0"/>
                <w:bCs/>
                <w:color w:val="auto"/>
                <w:sz w:val="24"/>
                <w:szCs w:val="24"/>
                <w:vertAlign w:val="baseline"/>
                <w:lang w:val="en-US" w:eastAsia="zh-CN"/>
              </w:rPr>
              <w:t>管护</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kern w:val="2"/>
                <w:sz w:val="24"/>
                <w:szCs w:val="24"/>
                <w:highlight w:val="none"/>
                <w:lang w:eastAsia="zh-CN" w:bidi="ar-SA"/>
              </w:rPr>
            </w:pPr>
            <w:r>
              <w:rPr>
                <w:rFonts w:hint="eastAsia" w:ascii="宋体" w:hAnsi="宋体" w:cs="宋体"/>
                <w:b/>
                <w:bCs/>
                <w:color w:val="auto"/>
                <w:kern w:val="2"/>
                <w:sz w:val="24"/>
                <w:szCs w:val="24"/>
                <w:highlight w:val="none"/>
                <w:lang w:val="en-US" w:eastAsia="zh-CN" w:bidi="ar-SA"/>
              </w:rPr>
              <w:t>4</w:t>
            </w:r>
          </w:p>
        </w:tc>
        <w:tc>
          <w:tcPr>
            <w:tcW w:w="1497" w:type="pct"/>
            <w:noWrap w:val="0"/>
            <w:vAlign w:val="center"/>
          </w:tcPr>
          <w:p>
            <w:pPr>
              <w:widowControl/>
              <w:spacing w:line="360" w:lineRule="atLeast"/>
              <w:jc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lang w:val="en-US" w:eastAsia="zh-CN"/>
              </w:rPr>
              <w:t>照明设施及其配套设施</w:t>
            </w:r>
            <w:r>
              <w:rPr>
                <w:rFonts w:hint="eastAsia" w:ascii="宋体" w:hAnsi="宋体" w:eastAsia="宋体" w:cs="宋体"/>
                <w:b w:val="0"/>
                <w:bCs/>
                <w:color w:val="auto"/>
                <w:sz w:val="24"/>
                <w:szCs w:val="24"/>
                <w:vertAlign w:val="baseline"/>
                <w:lang w:val="en-US" w:eastAsia="zh-CN"/>
              </w:rPr>
              <w:t>管护</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7" w:type="pct"/>
            <w:noWrap w:val="0"/>
            <w:vAlign w:val="center"/>
          </w:tcPr>
          <w:p>
            <w:pPr>
              <w:widowControl/>
              <w:spacing w:line="360" w:lineRule="atLeast"/>
              <w:jc w:val="center"/>
              <w:outlineLvl w:val="1"/>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p>
        </w:tc>
        <w:tc>
          <w:tcPr>
            <w:tcW w:w="1497" w:type="pct"/>
            <w:noWrap w:val="0"/>
            <w:vAlign w:val="center"/>
          </w:tcPr>
          <w:p>
            <w:pPr>
              <w:widowControl/>
              <w:spacing w:line="360" w:lineRule="atLeast"/>
              <w:jc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lang w:val="en-US" w:eastAsia="zh-CN"/>
              </w:rPr>
              <w:t>桥梁设施</w:t>
            </w:r>
            <w:r>
              <w:rPr>
                <w:rFonts w:hint="eastAsia" w:ascii="宋体" w:hAnsi="宋体" w:eastAsia="宋体" w:cs="宋体"/>
                <w:b w:val="0"/>
                <w:bCs/>
                <w:color w:val="auto"/>
                <w:sz w:val="24"/>
                <w:szCs w:val="24"/>
                <w:vertAlign w:val="baseline"/>
                <w:lang w:val="en-US" w:eastAsia="zh-CN"/>
              </w:rPr>
              <w:t>管护</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7" w:type="pct"/>
            <w:noWrap w:val="0"/>
            <w:vAlign w:val="center"/>
          </w:tcPr>
          <w:p>
            <w:pPr>
              <w:widowControl/>
              <w:spacing w:line="360" w:lineRule="atLeast"/>
              <w:jc w:val="center"/>
              <w:outlineLvl w:val="1"/>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w:t>
            </w:r>
          </w:p>
        </w:tc>
        <w:tc>
          <w:tcPr>
            <w:tcW w:w="1497" w:type="pct"/>
            <w:noWrap w:val="0"/>
            <w:vAlign w:val="center"/>
          </w:tcPr>
          <w:p>
            <w:pPr>
              <w:widowControl/>
              <w:spacing w:line="360" w:lineRule="atLeast"/>
              <w:jc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lang w:val="en-US" w:eastAsia="zh-CN"/>
              </w:rPr>
              <w:t>郫筒街道东大街工商银行楼顶钟楼结构及塔钟</w:t>
            </w:r>
            <w:r>
              <w:rPr>
                <w:rFonts w:hint="eastAsia" w:ascii="宋体" w:hAnsi="宋体" w:eastAsia="宋体" w:cs="宋体"/>
                <w:b w:val="0"/>
                <w:bCs/>
                <w:color w:val="auto"/>
                <w:sz w:val="24"/>
                <w:szCs w:val="24"/>
                <w:vertAlign w:val="baseline"/>
                <w:lang w:val="en-US" w:eastAsia="zh-CN"/>
              </w:rPr>
              <w:t>管护</w:t>
            </w:r>
          </w:p>
        </w:tc>
        <w:tc>
          <w:tcPr>
            <w:tcW w:w="1241" w:type="pct"/>
            <w:noWrap w:val="0"/>
            <w:vAlign w:val="top"/>
          </w:tcPr>
          <w:p>
            <w:pPr>
              <w:widowControl/>
              <w:spacing w:line="360" w:lineRule="atLeast"/>
              <w:ind w:firstLine="470" w:firstLineChars="196"/>
              <w:jc w:val="center"/>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kern w:val="2"/>
                <w:sz w:val="24"/>
                <w:szCs w:val="24"/>
                <w:highlight w:val="none"/>
                <w:lang w:eastAsia="zh-CN" w:bidi="ar-SA"/>
              </w:rPr>
            </w:pPr>
          </w:p>
        </w:tc>
        <w:tc>
          <w:tcPr>
            <w:tcW w:w="1497" w:type="pct"/>
            <w:noWrap w:val="0"/>
            <w:vAlign w:val="center"/>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94" w:type="pct"/>
            <w:gridSpan w:val="2"/>
            <w:noWrap w:val="0"/>
            <w:vAlign w:val="center"/>
          </w:tcPr>
          <w:p>
            <w:pPr>
              <w:widowControl/>
              <w:spacing w:line="360" w:lineRule="atLeast"/>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bl>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bookmarkStart w:id="212" w:name="_Toc503862904"/>
      <w:r>
        <w:rPr>
          <w:rFonts w:hint="eastAsia" w:ascii="宋体" w:hAnsi="宋体" w:cs="宋体"/>
          <w:bCs/>
          <w:sz w:val="24"/>
          <w:highlight w:val="none"/>
        </w:rPr>
        <w:t>注：1、投标人必须按“分项报价明细表”的格式详细报出投标总价的各个组成部分的报价。</w:t>
      </w:r>
      <w:bookmarkEnd w:id="212"/>
    </w:p>
    <w:p>
      <w:pPr>
        <w:adjustRightInd w:val="0"/>
        <w:snapToGrid w:val="0"/>
        <w:spacing w:line="360" w:lineRule="auto"/>
        <w:ind w:firstLine="480" w:firstLineChars="200"/>
        <w:rPr>
          <w:rFonts w:hint="eastAsia" w:ascii="宋体" w:hAnsi="宋体" w:cs="宋体"/>
          <w:bCs/>
          <w:sz w:val="24"/>
          <w:highlight w:val="none"/>
        </w:rPr>
      </w:pPr>
      <w:bookmarkStart w:id="213" w:name="_Toc503862905"/>
      <w:r>
        <w:rPr>
          <w:rFonts w:hint="eastAsia" w:ascii="宋体" w:hAnsi="宋体" w:cs="宋体"/>
          <w:bCs/>
          <w:sz w:val="24"/>
          <w:highlight w:val="none"/>
        </w:rPr>
        <w:t>2、“分项报价明细表”各分项报价合计应当与“开标一览表”报价合计相等。</w:t>
      </w:r>
      <w:bookmarkEnd w:id="213"/>
    </w:p>
    <w:p>
      <w:pPr>
        <w:adjustRightInd w:val="0"/>
        <w:snapToGrid w:val="0"/>
        <w:spacing w:line="360" w:lineRule="auto"/>
        <w:ind w:firstLine="482" w:firstLineChars="200"/>
        <w:rPr>
          <w:rFonts w:ascii="宋体" w:hAnsi="宋体" w:cs="宋体"/>
          <w:b/>
          <w:sz w:val="24"/>
          <w:highlight w:val="none"/>
        </w:rPr>
      </w:pPr>
      <w:bookmarkStart w:id="214" w:name="_Toc503862909"/>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pStyle w:val="2"/>
        <w:rPr>
          <w:highlight w:val="none"/>
        </w:rPr>
      </w:pPr>
    </w:p>
    <w:p>
      <w:pPr>
        <w:rPr>
          <w:rFonts w:ascii="宋体" w:hAnsi="宋体" w:cs="宋体"/>
          <w:b/>
          <w:sz w:val="32"/>
          <w:szCs w:val="32"/>
          <w:highlight w:val="none"/>
        </w:rPr>
      </w:pPr>
      <w:r>
        <w:rPr>
          <w:rFonts w:hint="eastAsia" w:ascii="宋体" w:hAnsi="宋体" w:cs="宋体"/>
          <w:b/>
          <w:sz w:val="32"/>
          <w:szCs w:val="32"/>
          <w:highlight w:val="none"/>
        </w:rPr>
        <w:br w:type="page"/>
      </w:r>
    </w:p>
    <w:p>
      <w:pPr>
        <w:widowControl/>
        <w:spacing w:line="360" w:lineRule="auto"/>
        <w:jc w:val="center"/>
        <w:outlineLvl w:val="2"/>
        <w:rPr>
          <w:rFonts w:hint="eastAsia" w:ascii="宋体" w:hAnsi="宋体" w:cs="宋体"/>
          <w:b/>
          <w:sz w:val="32"/>
          <w:szCs w:val="32"/>
          <w:highlight w:val="none"/>
        </w:rPr>
      </w:pPr>
    </w:p>
    <w:p>
      <w:pPr>
        <w:widowControl/>
        <w:spacing w:line="360" w:lineRule="auto"/>
        <w:jc w:val="center"/>
        <w:outlineLvl w:val="2"/>
        <w:rPr>
          <w:rFonts w:hint="eastAsia" w:ascii="宋体" w:hAnsi="宋体" w:eastAsia="宋体" w:cs="宋体"/>
          <w:b/>
          <w:sz w:val="32"/>
          <w:szCs w:val="32"/>
          <w:highlight w:val="none"/>
          <w:lang w:eastAsia="zh-CN"/>
        </w:rPr>
      </w:pPr>
      <w:r>
        <w:rPr>
          <w:rFonts w:hint="eastAsia" w:ascii="宋体" w:hAnsi="宋体" w:cs="宋体"/>
          <w:b/>
          <w:sz w:val="32"/>
          <w:szCs w:val="32"/>
          <w:highlight w:val="none"/>
        </w:rPr>
        <w:t>四、分项报价明细表</w:t>
      </w:r>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犀浦2标段</w:t>
      </w:r>
      <w:r>
        <w:rPr>
          <w:rFonts w:hint="eastAsia" w:ascii="宋体" w:hAnsi="宋体" w:cs="宋体"/>
          <w:b/>
          <w:sz w:val="32"/>
          <w:szCs w:val="32"/>
          <w:highlight w:val="none"/>
          <w:lang w:eastAsia="zh-CN"/>
        </w:rPr>
        <w:t>）</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551"/>
        <w:gridCol w:w="2115"/>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97" w:type="pct"/>
            <w:noWrap w:val="0"/>
            <w:vAlign w:val="center"/>
          </w:tcPr>
          <w:p>
            <w:pPr>
              <w:widowControl/>
              <w:spacing w:line="360" w:lineRule="atLeast"/>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服务内容或费用明细</w:t>
            </w:r>
          </w:p>
        </w:tc>
        <w:tc>
          <w:tcPr>
            <w:tcW w:w="1241" w:type="pct"/>
            <w:noWrap w:val="0"/>
            <w:vAlign w:val="center"/>
          </w:tcPr>
          <w:p>
            <w:pPr>
              <w:widowControl/>
              <w:spacing w:line="360" w:lineRule="atLeast"/>
              <w:jc w:val="center"/>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单项价格（单位：元/年）</w:t>
            </w:r>
          </w:p>
        </w:tc>
        <w:tc>
          <w:tcPr>
            <w:tcW w:w="1764" w:type="pct"/>
            <w:noWrap w:val="0"/>
            <w:vAlign w:val="center"/>
          </w:tcPr>
          <w:p>
            <w:pPr>
              <w:widowControl/>
              <w:spacing w:line="360" w:lineRule="atLeast"/>
              <w:jc w:val="center"/>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7" w:type="pct"/>
            <w:noWrap w:val="0"/>
            <w:vAlign w:val="center"/>
          </w:tcPr>
          <w:p>
            <w:pPr>
              <w:jc w:val="center"/>
              <w:rPr>
                <w:rFonts w:hint="eastAsia" w:ascii="宋体" w:hAnsi="宋体" w:eastAsia="宋体" w:cs="宋体"/>
                <w:b/>
                <w:bCs/>
                <w:color w:val="auto"/>
                <w:kern w:val="2"/>
                <w:sz w:val="24"/>
                <w:szCs w:val="24"/>
                <w:highlight w:val="none"/>
                <w:lang w:eastAsia="zh-CN" w:bidi="ar-SA"/>
              </w:rPr>
            </w:pPr>
            <w:r>
              <w:rPr>
                <w:rFonts w:hint="eastAsia" w:ascii="宋体" w:hAnsi="宋体" w:eastAsia="宋体" w:cs="宋体"/>
                <w:b/>
                <w:bCs/>
                <w:color w:val="auto"/>
                <w:kern w:val="2"/>
                <w:sz w:val="24"/>
                <w:szCs w:val="24"/>
                <w:highlight w:val="none"/>
                <w:lang w:eastAsia="zh-CN" w:bidi="ar-SA"/>
              </w:rPr>
              <w:t>1</w:t>
            </w:r>
          </w:p>
        </w:tc>
        <w:tc>
          <w:tcPr>
            <w:tcW w:w="1497" w:type="pct"/>
            <w:noWrap w:val="0"/>
            <w:vAlign w:val="center"/>
          </w:tcPr>
          <w:p>
            <w:pPr>
              <w:pStyle w:val="2"/>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vertAlign w:val="baseline"/>
                <w:lang w:val="en-US" w:eastAsia="zh-CN"/>
              </w:rPr>
              <w:t>在建道路管护</w:t>
            </w:r>
          </w:p>
        </w:tc>
        <w:tc>
          <w:tcPr>
            <w:tcW w:w="1241" w:type="pct"/>
            <w:noWrap w:val="0"/>
            <w:vAlign w:val="center"/>
          </w:tcPr>
          <w:p>
            <w:pPr>
              <w:pStyle w:val="2"/>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vertAlign w:val="baseline"/>
                <w:lang w:val="en-US" w:eastAsia="zh-CN"/>
              </w:rPr>
              <w:t>150000</w:t>
            </w:r>
          </w:p>
        </w:tc>
        <w:tc>
          <w:tcPr>
            <w:tcW w:w="1764" w:type="pct"/>
            <w:noWrap w:val="0"/>
            <w:vAlign w:val="center"/>
          </w:tcPr>
          <w:p>
            <w:pPr>
              <w:pStyle w:val="2"/>
              <w:keepNext w:val="0"/>
              <w:keepLines w:val="0"/>
              <w:pageBreakBefore w:val="0"/>
              <w:widowControl/>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vertAlign w:val="baseline"/>
                <w:lang w:val="en-US" w:eastAsia="zh-CN"/>
              </w:rPr>
              <w:t>该费用为在建道路移交后新增作业面积的一年管护费用，若无新增面积，则在管护费中扣除。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kern w:val="2"/>
                <w:sz w:val="24"/>
                <w:szCs w:val="24"/>
                <w:highlight w:val="none"/>
                <w:lang w:eastAsia="zh-CN" w:bidi="ar-SA"/>
              </w:rPr>
            </w:pPr>
            <w:r>
              <w:rPr>
                <w:rFonts w:hint="eastAsia" w:ascii="宋体" w:hAnsi="宋体" w:eastAsia="宋体" w:cs="宋体"/>
                <w:b/>
                <w:bCs/>
                <w:color w:val="auto"/>
                <w:kern w:val="2"/>
                <w:sz w:val="24"/>
                <w:szCs w:val="24"/>
                <w:highlight w:val="none"/>
                <w:lang w:eastAsia="zh-CN" w:bidi="ar-SA"/>
              </w:rPr>
              <w:t>2</w:t>
            </w:r>
          </w:p>
        </w:tc>
        <w:tc>
          <w:tcPr>
            <w:tcW w:w="1497" w:type="pct"/>
            <w:noWrap w:val="0"/>
            <w:vAlign w:val="center"/>
          </w:tcPr>
          <w:p>
            <w:pPr>
              <w:widowControl/>
              <w:spacing w:line="360" w:lineRule="atLeast"/>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市政道路及其附属设施</w:t>
            </w:r>
            <w:r>
              <w:rPr>
                <w:rFonts w:hint="eastAsia" w:ascii="宋体" w:hAnsi="宋体" w:eastAsia="宋体" w:cs="宋体"/>
                <w:b w:val="0"/>
                <w:bCs/>
                <w:color w:val="auto"/>
                <w:sz w:val="24"/>
                <w:szCs w:val="24"/>
                <w:vertAlign w:val="baseline"/>
                <w:lang w:val="en-US" w:eastAsia="zh-CN"/>
              </w:rPr>
              <w:t>管护</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kern w:val="2"/>
                <w:sz w:val="24"/>
                <w:szCs w:val="24"/>
                <w:highlight w:val="none"/>
                <w:lang w:eastAsia="zh-CN" w:bidi="ar-SA"/>
              </w:rPr>
            </w:pPr>
            <w:r>
              <w:rPr>
                <w:rFonts w:hint="eastAsia" w:ascii="宋体" w:hAnsi="宋体" w:eastAsia="宋体" w:cs="宋体"/>
                <w:b/>
                <w:bCs/>
                <w:color w:val="auto"/>
                <w:kern w:val="2"/>
                <w:sz w:val="24"/>
                <w:szCs w:val="24"/>
                <w:highlight w:val="none"/>
                <w:lang w:eastAsia="zh-CN" w:bidi="ar-SA"/>
              </w:rPr>
              <w:t>3</w:t>
            </w:r>
          </w:p>
        </w:tc>
        <w:tc>
          <w:tcPr>
            <w:tcW w:w="1497" w:type="pct"/>
            <w:noWrap w:val="0"/>
            <w:vAlign w:val="center"/>
          </w:tcPr>
          <w:p>
            <w:pPr>
              <w:widowControl/>
              <w:spacing w:line="360" w:lineRule="atLeas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道路红线外硬质铺装</w:t>
            </w:r>
            <w:r>
              <w:rPr>
                <w:rFonts w:hint="eastAsia" w:ascii="宋体" w:hAnsi="宋体" w:eastAsia="宋体" w:cs="宋体"/>
                <w:b w:val="0"/>
                <w:bCs/>
                <w:color w:val="auto"/>
                <w:sz w:val="24"/>
                <w:szCs w:val="24"/>
                <w:vertAlign w:val="baseline"/>
                <w:lang w:val="en-US" w:eastAsia="zh-CN"/>
              </w:rPr>
              <w:t>管护</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kern w:val="2"/>
                <w:sz w:val="24"/>
                <w:szCs w:val="24"/>
                <w:highlight w:val="none"/>
                <w:lang w:eastAsia="zh-CN" w:bidi="ar-SA"/>
              </w:rPr>
            </w:pPr>
            <w:r>
              <w:rPr>
                <w:rFonts w:hint="eastAsia" w:ascii="宋体" w:hAnsi="宋体" w:cs="宋体"/>
                <w:b/>
                <w:bCs/>
                <w:color w:val="auto"/>
                <w:kern w:val="2"/>
                <w:sz w:val="24"/>
                <w:szCs w:val="24"/>
                <w:highlight w:val="none"/>
                <w:lang w:val="en-US" w:eastAsia="zh-CN" w:bidi="ar-SA"/>
              </w:rPr>
              <w:t>4</w:t>
            </w:r>
          </w:p>
        </w:tc>
        <w:tc>
          <w:tcPr>
            <w:tcW w:w="1497" w:type="pct"/>
            <w:noWrap w:val="0"/>
            <w:vAlign w:val="center"/>
          </w:tcPr>
          <w:p>
            <w:pPr>
              <w:widowControl/>
              <w:spacing w:line="360" w:lineRule="atLeast"/>
              <w:jc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lang w:val="en-US" w:eastAsia="zh-CN"/>
              </w:rPr>
              <w:t>照明设施及其配套设施</w:t>
            </w:r>
            <w:r>
              <w:rPr>
                <w:rFonts w:hint="eastAsia" w:ascii="宋体" w:hAnsi="宋体" w:eastAsia="宋体" w:cs="宋体"/>
                <w:b w:val="0"/>
                <w:bCs/>
                <w:color w:val="auto"/>
                <w:sz w:val="24"/>
                <w:szCs w:val="24"/>
                <w:vertAlign w:val="baseline"/>
                <w:lang w:val="en-US" w:eastAsia="zh-CN"/>
              </w:rPr>
              <w:t>管护</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7" w:type="pct"/>
            <w:noWrap w:val="0"/>
            <w:vAlign w:val="center"/>
          </w:tcPr>
          <w:p>
            <w:pPr>
              <w:widowControl/>
              <w:spacing w:line="360" w:lineRule="atLeast"/>
              <w:jc w:val="center"/>
              <w:outlineLvl w:val="1"/>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p>
        </w:tc>
        <w:tc>
          <w:tcPr>
            <w:tcW w:w="1497" w:type="pct"/>
            <w:noWrap w:val="0"/>
            <w:vAlign w:val="center"/>
          </w:tcPr>
          <w:p>
            <w:pPr>
              <w:widowControl/>
              <w:spacing w:line="360" w:lineRule="atLeast"/>
              <w:jc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lang w:val="en-US" w:eastAsia="zh-CN"/>
              </w:rPr>
              <w:t>桥梁设施</w:t>
            </w:r>
            <w:r>
              <w:rPr>
                <w:rFonts w:hint="eastAsia" w:ascii="宋体" w:hAnsi="宋体" w:eastAsia="宋体" w:cs="宋体"/>
                <w:b w:val="0"/>
                <w:bCs/>
                <w:color w:val="auto"/>
                <w:sz w:val="24"/>
                <w:szCs w:val="24"/>
                <w:vertAlign w:val="baseline"/>
                <w:lang w:val="en-US" w:eastAsia="zh-CN"/>
              </w:rPr>
              <w:t>管护</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7" w:type="pct"/>
            <w:noWrap w:val="0"/>
            <w:vAlign w:val="center"/>
          </w:tcPr>
          <w:p>
            <w:pPr>
              <w:widowControl/>
              <w:spacing w:line="360" w:lineRule="atLeast"/>
              <w:jc w:val="center"/>
              <w:outlineLvl w:val="1"/>
              <w:rPr>
                <w:rFonts w:hint="eastAsia" w:ascii="宋体" w:hAnsi="宋体" w:eastAsia="宋体" w:cs="宋体"/>
                <w:b/>
                <w:bCs/>
                <w:color w:val="auto"/>
                <w:kern w:val="2"/>
                <w:sz w:val="24"/>
                <w:szCs w:val="24"/>
                <w:highlight w:val="none"/>
                <w:lang w:eastAsia="zh-CN" w:bidi="ar-SA"/>
              </w:rPr>
            </w:pPr>
          </w:p>
        </w:tc>
        <w:tc>
          <w:tcPr>
            <w:tcW w:w="1497" w:type="pct"/>
            <w:noWrap w:val="0"/>
            <w:vAlign w:val="center"/>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94" w:type="pct"/>
            <w:gridSpan w:val="2"/>
            <w:noWrap w:val="0"/>
            <w:vAlign w:val="center"/>
          </w:tcPr>
          <w:p>
            <w:pPr>
              <w:widowControl/>
              <w:spacing w:line="360" w:lineRule="atLeast"/>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41"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c>
          <w:tcPr>
            <w:tcW w:w="1764" w:type="pct"/>
            <w:noWrap w:val="0"/>
            <w:vAlign w:val="top"/>
          </w:tcPr>
          <w:p>
            <w:pPr>
              <w:widowControl/>
              <w:spacing w:line="360" w:lineRule="atLeast"/>
              <w:ind w:firstLine="470" w:firstLineChars="196"/>
              <w:jc w:val="left"/>
              <w:outlineLvl w:val="9"/>
              <w:rPr>
                <w:rFonts w:hint="eastAsia" w:ascii="宋体" w:hAnsi="宋体" w:eastAsia="宋体" w:cs="宋体"/>
                <w:color w:val="auto"/>
                <w:sz w:val="24"/>
                <w:szCs w:val="24"/>
                <w:highlight w:val="none"/>
              </w:rPr>
            </w:pPr>
          </w:p>
        </w:tc>
      </w:tr>
    </w:tbl>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注：1、投标人必须按“分项报价明细表”的格式详细报出投标总价的各个组成部分的报价。</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2、“分项报价明细表”各分项报价合计应当与“开标一览表”报价合计相等。</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pStyle w:val="2"/>
        <w:rPr>
          <w:highlight w:val="none"/>
        </w:rPr>
      </w:pPr>
    </w:p>
    <w:p>
      <w:pPr>
        <w:rPr>
          <w:rFonts w:ascii="宋体" w:hAnsi="宋体" w:cs="宋体"/>
          <w:b/>
          <w:sz w:val="32"/>
          <w:szCs w:val="32"/>
          <w:highlight w:val="none"/>
        </w:rPr>
      </w:pPr>
      <w:r>
        <w:rPr>
          <w:rFonts w:hint="eastAsia" w:ascii="宋体" w:hAnsi="宋体" w:cs="宋体"/>
          <w:b/>
          <w:sz w:val="32"/>
          <w:szCs w:val="32"/>
          <w:highlight w:val="none"/>
        </w:rPr>
        <w:br w:type="page"/>
      </w:r>
    </w:p>
    <w:p>
      <w:pPr>
        <w:spacing w:line="360" w:lineRule="auto"/>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t>格式2-</w:t>
      </w:r>
      <w:r>
        <w:rPr>
          <w:rFonts w:hint="eastAsia" w:ascii="宋体" w:hAnsi="宋体" w:cs="宋体"/>
          <w:b/>
          <w:sz w:val="32"/>
          <w:szCs w:val="32"/>
          <w:highlight w:val="none"/>
          <w:lang w:val="en-US" w:eastAsia="zh-CN"/>
        </w:rPr>
        <w:t>6</w:t>
      </w:r>
    </w:p>
    <w:p>
      <w:pPr>
        <w:widowControl/>
        <w:spacing w:line="360" w:lineRule="auto"/>
        <w:jc w:val="center"/>
        <w:outlineLvl w:val="2"/>
        <w:rPr>
          <w:rFonts w:ascii="宋体" w:hAnsi="宋体" w:cs="宋体"/>
          <w:b/>
          <w:sz w:val="32"/>
          <w:szCs w:val="32"/>
          <w:highlight w:val="none"/>
        </w:rPr>
      </w:pPr>
      <w:bookmarkStart w:id="215" w:name="_Toc503862986"/>
      <w:r>
        <w:rPr>
          <w:rFonts w:hint="eastAsia" w:ascii="宋体" w:hAnsi="宋体" w:cs="宋体"/>
          <w:b/>
          <w:sz w:val="32"/>
          <w:szCs w:val="32"/>
          <w:highlight w:val="none"/>
          <w:lang w:val="en-US" w:eastAsia="zh-CN"/>
        </w:rPr>
        <w:t>五</w:t>
      </w:r>
      <w:r>
        <w:rPr>
          <w:rFonts w:hint="eastAsia" w:ascii="宋体" w:hAnsi="宋体" w:cs="宋体"/>
          <w:b/>
          <w:sz w:val="32"/>
          <w:szCs w:val="32"/>
          <w:highlight w:val="none"/>
        </w:rPr>
        <w:t>、</w:t>
      </w:r>
      <w:r>
        <w:rPr>
          <w:rFonts w:hint="eastAsia" w:ascii="宋体" w:hAnsi="宋体" w:cs="宋体"/>
          <w:b/>
          <w:sz w:val="32"/>
          <w:szCs w:val="32"/>
          <w:highlight w:val="none"/>
          <w:lang w:val="en-US" w:eastAsia="zh-CN"/>
        </w:rPr>
        <w:t>服务要求应答</w:t>
      </w:r>
      <w:r>
        <w:rPr>
          <w:rFonts w:hint="eastAsia" w:ascii="宋体" w:hAnsi="宋体" w:cs="宋体"/>
          <w:b/>
          <w:sz w:val="32"/>
          <w:szCs w:val="32"/>
          <w:highlight w:val="none"/>
        </w:rPr>
        <w:t>表</w:t>
      </w:r>
      <w:bookmarkEnd w:id="215"/>
    </w:p>
    <w:p>
      <w:pPr>
        <w:widowControl/>
        <w:spacing w:line="360" w:lineRule="atLeast"/>
        <w:ind w:firstLine="472" w:firstLineChars="196"/>
        <w:jc w:val="left"/>
        <w:rPr>
          <w:rFonts w:ascii="宋体" w:hAnsi="宋体" w:cs="宋体"/>
          <w:b/>
          <w:sz w:val="24"/>
          <w:highlight w:val="none"/>
        </w:rPr>
      </w:pPr>
    </w:p>
    <w:p>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项目名称</w:t>
      </w:r>
      <w:r>
        <w:rPr>
          <w:rFonts w:hint="eastAsia" w:ascii="宋体" w:hAnsi="宋体" w:cs="宋体"/>
          <w:bCs/>
          <w:sz w:val="24"/>
          <w:highlight w:val="none"/>
          <w:lang w:eastAsia="zh-CN"/>
        </w:rPr>
        <w:t>：</w:t>
      </w: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 xml:space="preserve">     招标编号：</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879"/>
        <w:gridCol w:w="287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6" w:type="pct"/>
            <w:vAlign w:val="center"/>
          </w:tcPr>
          <w:p>
            <w:pPr>
              <w:widowControl/>
              <w:jc w:val="center"/>
              <w:outlineLvl w:val="1"/>
              <w:rPr>
                <w:rFonts w:hint="eastAsia" w:ascii="宋体" w:hAnsi="宋体" w:eastAsia="宋体" w:cs="宋体"/>
                <w:b/>
                <w:bCs/>
                <w:sz w:val="24"/>
                <w:szCs w:val="24"/>
                <w:highlight w:val="none"/>
              </w:rPr>
            </w:pPr>
            <w:bookmarkStart w:id="216" w:name="_Toc503862988"/>
            <w:r>
              <w:rPr>
                <w:rFonts w:hint="eastAsia" w:ascii="宋体" w:hAnsi="宋体" w:eastAsia="宋体" w:cs="宋体"/>
                <w:b/>
                <w:bCs/>
                <w:sz w:val="24"/>
                <w:szCs w:val="24"/>
                <w:highlight w:val="none"/>
              </w:rPr>
              <w:t>序号</w:t>
            </w:r>
            <w:bookmarkEnd w:id="216"/>
          </w:p>
        </w:tc>
        <w:tc>
          <w:tcPr>
            <w:tcW w:w="1689" w:type="pct"/>
            <w:vAlign w:val="center"/>
          </w:tcPr>
          <w:p>
            <w:pPr>
              <w:widowControl/>
              <w:jc w:val="center"/>
              <w:outlineLvl w:val="1"/>
              <w:rPr>
                <w:rFonts w:hint="eastAsia" w:ascii="宋体" w:hAnsi="宋体" w:eastAsia="宋体" w:cs="宋体"/>
                <w:b/>
                <w:bCs/>
                <w:sz w:val="24"/>
                <w:szCs w:val="24"/>
                <w:highlight w:val="none"/>
              </w:rPr>
            </w:pPr>
            <w:bookmarkStart w:id="217" w:name="_Toc503862991"/>
            <w:r>
              <w:rPr>
                <w:rFonts w:hint="eastAsia" w:ascii="宋体" w:hAnsi="宋体" w:eastAsia="宋体" w:cs="宋体"/>
                <w:b/>
                <w:bCs/>
                <w:sz w:val="24"/>
                <w:szCs w:val="24"/>
                <w:highlight w:val="none"/>
              </w:rPr>
              <w:t>招标文件要求</w:t>
            </w:r>
            <w:bookmarkEnd w:id="217"/>
          </w:p>
        </w:tc>
        <w:tc>
          <w:tcPr>
            <w:tcW w:w="1689" w:type="pct"/>
            <w:vAlign w:val="center"/>
          </w:tcPr>
          <w:p>
            <w:pPr>
              <w:widowControl/>
              <w:jc w:val="center"/>
              <w:outlineLvl w:val="1"/>
              <w:rPr>
                <w:rFonts w:hint="eastAsia" w:ascii="宋体" w:hAnsi="宋体" w:eastAsia="宋体" w:cs="宋体"/>
                <w:b/>
                <w:bCs/>
                <w:sz w:val="24"/>
                <w:szCs w:val="24"/>
                <w:highlight w:val="none"/>
                <w:lang w:val="en-US" w:eastAsia="zh-CN"/>
              </w:rPr>
            </w:pPr>
            <w:bookmarkStart w:id="218" w:name="_Toc503862992"/>
            <w:r>
              <w:rPr>
                <w:rFonts w:hint="eastAsia" w:ascii="宋体" w:hAnsi="宋体" w:eastAsia="宋体" w:cs="宋体"/>
                <w:b/>
                <w:bCs/>
                <w:sz w:val="24"/>
                <w:szCs w:val="24"/>
                <w:highlight w:val="none"/>
              </w:rPr>
              <w:t>投标</w:t>
            </w:r>
            <w:bookmarkEnd w:id="218"/>
            <w:r>
              <w:rPr>
                <w:rFonts w:hint="eastAsia" w:ascii="宋体" w:hAnsi="宋体" w:eastAsia="宋体" w:cs="宋体"/>
                <w:b/>
                <w:bCs/>
                <w:sz w:val="24"/>
                <w:szCs w:val="24"/>
                <w:highlight w:val="none"/>
                <w:lang w:val="en-US" w:eastAsia="zh-CN"/>
              </w:rPr>
              <w:t>文件</w:t>
            </w:r>
            <w:r>
              <w:rPr>
                <w:rFonts w:hint="eastAsia" w:ascii="宋体" w:hAnsi="宋体" w:eastAsia="宋体" w:cs="宋体"/>
                <w:b/>
                <w:bCs/>
                <w:sz w:val="24"/>
                <w:szCs w:val="24"/>
                <w:highlight w:val="none"/>
              </w:rPr>
              <w:t>应答</w:t>
            </w:r>
          </w:p>
        </w:tc>
        <w:tc>
          <w:tcPr>
            <w:tcW w:w="1114" w:type="pct"/>
            <w:vAlign w:val="center"/>
          </w:tcPr>
          <w:p>
            <w:pPr>
              <w:widowControl/>
              <w:jc w:val="center"/>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偏离情况（正偏离/负偏离/不偏离）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06" w:type="pct"/>
            <w:vAlign w:val="center"/>
          </w:tcPr>
          <w:p>
            <w:pPr>
              <w:widowControl/>
              <w:jc w:val="left"/>
              <w:rPr>
                <w:rFonts w:hint="eastAsia" w:ascii="宋体" w:hAnsi="宋体" w:eastAsia="宋体" w:cs="宋体"/>
                <w:sz w:val="24"/>
                <w:szCs w:val="24"/>
                <w:highlight w:val="none"/>
              </w:rPr>
            </w:pPr>
          </w:p>
        </w:tc>
        <w:tc>
          <w:tcPr>
            <w:tcW w:w="1689" w:type="pct"/>
            <w:vAlign w:val="center"/>
          </w:tcPr>
          <w:p>
            <w:pPr>
              <w:widowControl/>
              <w:jc w:val="left"/>
              <w:rPr>
                <w:rFonts w:hint="eastAsia" w:ascii="宋体" w:hAnsi="宋体" w:eastAsia="宋体" w:cs="宋体"/>
                <w:sz w:val="24"/>
                <w:szCs w:val="24"/>
                <w:highlight w:val="none"/>
              </w:rPr>
            </w:pPr>
          </w:p>
        </w:tc>
        <w:tc>
          <w:tcPr>
            <w:tcW w:w="1689" w:type="pct"/>
            <w:vAlign w:val="center"/>
          </w:tcPr>
          <w:p>
            <w:pPr>
              <w:widowControl/>
              <w:jc w:val="left"/>
              <w:rPr>
                <w:rFonts w:hint="eastAsia" w:ascii="宋体" w:hAnsi="宋体" w:eastAsia="宋体" w:cs="宋体"/>
                <w:sz w:val="24"/>
                <w:szCs w:val="24"/>
                <w:highlight w:val="none"/>
              </w:rPr>
            </w:pPr>
          </w:p>
        </w:tc>
        <w:tc>
          <w:tcPr>
            <w:tcW w:w="1114" w:type="pct"/>
            <w:vAlign w:val="center"/>
          </w:tcPr>
          <w:p>
            <w:pPr>
              <w:widowControl/>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06" w:type="pct"/>
            <w:vAlign w:val="center"/>
          </w:tcPr>
          <w:p>
            <w:pPr>
              <w:widowControl/>
              <w:jc w:val="left"/>
              <w:rPr>
                <w:rFonts w:hint="eastAsia" w:ascii="宋体" w:hAnsi="宋体" w:eastAsia="宋体" w:cs="宋体"/>
                <w:sz w:val="24"/>
                <w:szCs w:val="24"/>
                <w:highlight w:val="none"/>
              </w:rPr>
            </w:pPr>
          </w:p>
        </w:tc>
        <w:tc>
          <w:tcPr>
            <w:tcW w:w="1689" w:type="pct"/>
            <w:vAlign w:val="center"/>
          </w:tcPr>
          <w:p>
            <w:pPr>
              <w:widowControl/>
              <w:jc w:val="left"/>
              <w:rPr>
                <w:rFonts w:hint="eastAsia" w:ascii="宋体" w:hAnsi="宋体" w:eastAsia="宋体" w:cs="宋体"/>
                <w:sz w:val="24"/>
                <w:szCs w:val="24"/>
                <w:highlight w:val="none"/>
              </w:rPr>
            </w:pPr>
          </w:p>
        </w:tc>
        <w:tc>
          <w:tcPr>
            <w:tcW w:w="1689" w:type="pct"/>
            <w:vAlign w:val="center"/>
          </w:tcPr>
          <w:p>
            <w:pPr>
              <w:widowControl/>
              <w:jc w:val="left"/>
              <w:rPr>
                <w:rFonts w:hint="eastAsia" w:ascii="宋体" w:hAnsi="宋体" w:eastAsia="宋体" w:cs="宋体"/>
                <w:sz w:val="24"/>
                <w:szCs w:val="24"/>
                <w:highlight w:val="none"/>
              </w:rPr>
            </w:pPr>
          </w:p>
        </w:tc>
        <w:tc>
          <w:tcPr>
            <w:tcW w:w="1114" w:type="pct"/>
            <w:vAlign w:val="center"/>
          </w:tcPr>
          <w:p>
            <w:pPr>
              <w:widowControl/>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06" w:type="pct"/>
            <w:vAlign w:val="center"/>
          </w:tcPr>
          <w:p>
            <w:pPr>
              <w:widowControl/>
              <w:jc w:val="left"/>
              <w:rPr>
                <w:rFonts w:hint="eastAsia" w:ascii="宋体" w:hAnsi="宋体" w:eastAsia="宋体" w:cs="宋体"/>
                <w:sz w:val="24"/>
                <w:szCs w:val="24"/>
                <w:highlight w:val="none"/>
              </w:rPr>
            </w:pPr>
          </w:p>
        </w:tc>
        <w:tc>
          <w:tcPr>
            <w:tcW w:w="1689" w:type="pct"/>
            <w:vAlign w:val="center"/>
          </w:tcPr>
          <w:p>
            <w:pPr>
              <w:widowControl/>
              <w:jc w:val="left"/>
              <w:rPr>
                <w:rFonts w:hint="eastAsia" w:ascii="宋体" w:hAnsi="宋体" w:eastAsia="宋体" w:cs="宋体"/>
                <w:sz w:val="24"/>
                <w:szCs w:val="24"/>
                <w:highlight w:val="none"/>
              </w:rPr>
            </w:pPr>
          </w:p>
        </w:tc>
        <w:tc>
          <w:tcPr>
            <w:tcW w:w="1689" w:type="pct"/>
            <w:vAlign w:val="center"/>
          </w:tcPr>
          <w:p>
            <w:pPr>
              <w:widowControl/>
              <w:jc w:val="left"/>
              <w:rPr>
                <w:rFonts w:hint="eastAsia" w:ascii="宋体" w:hAnsi="宋体" w:eastAsia="宋体" w:cs="宋体"/>
                <w:sz w:val="24"/>
                <w:szCs w:val="24"/>
                <w:highlight w:val="none"/>
              </w:rPr>
            </w:pPr>
          </w:p>
        </w:tc>
        <w:tc>
          <w:tcPr>
            <w:tcW w:w="1114" w:type="pct"/>
            <w:vAlign w:val="center"/>
          </w:tcPr>
          <w:p>
            <w:pPr>
              <w:widowControl/>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06" w:type="pct"/>
            <w:vAlign w:val="center"/>
          </w:tcPr>
          <w:p>
            <w:pPr>
              <w:widowControl/>
              <w:jc w:val="left"/>
              <w:rPr>
                <w:rFonts w:hint="eastAsia" w:ascii="宋体" w:hAnsi="宋体" w:eastAsia="宋体" w:cs="宋体"/>
                <w:sz w:val="24"/>
                <w:szCs w:val="24"/>
                <w:highlight w:val="none"/>
              </w:rPr>
            </w:pPr>
          </w:p>
        </w:tc>
        <w:tc>
          <w:tcPr>
            <w:tcW w:w="1689" w:type="pct"/>
            <w:vAlign w:val="center"/>
          </w:tcPr>
          <w:p>
            <w:pPr>
              <w:widowControl/>
              <w:jc w:val="left"/>
              <w:rPr>
                <w:rFonts w:hint="eastAsia" w:ascii="宋体" w:hAnsi="宋体" w:eastAsia="宋体" w:cs="宋体"/>
                <w:sz w:val="24"/>
                <w:szCs w:val="24"/>
                <w:highlight w:val="none"/>
              </w:rPr>
            </w:pPr>
          </w:p>
        </w:tc>
        <w:tc>
          <w:tcPr>
            <w:tcW w:w="1689" w:type="pct"/>
            <w:vAlign w:val="center"/>
          </w:tcPr>
          <w:p>
            <w:pPr>
              <w:widowControl/>
              <w:jc w:val="left"/>
              <w:rPr>
                <w:rFonts w:hint="eastAsia" w:ascii="宋体" w:hAnsi="宋体" w:eastAsia="宋体" w:cs="宋体"/>
                <w:sz w:val="24"/>
                <w:szCs w:val="24"/>
                <w:highlight w:val="none"/>
              </w:rPr>
            </w:pPr>
          </w:p>
        </w:tc>
        <w:tc>
          <w:tcPr>
            <w:tcW w:w="1114" w:type="pct"/>
            <w:vAlign w:val="center"/>
          </w:tcPr>
          <w:p>
            <w:pPr>
              <w:widowControl/>
              <w:jc w:val="left"/>
              <w:rPr>
                <w:rFonts w:hint="eastAsia" w:ascii="宋体" w:hAnsi="宋体" w:eastAsia="宋体" w:cs="宋体"/>
                <w:sz w:val="24"/>
                <w:szCs w:val="24"/>
                <w:highlight w:val="none"/>
              </w:rPr>
            </w:pPr>
          </w:p>
        </w:tc>
      </w:tr>
    </w:tbl>
    <w:p>
      <w:pPr>
        <w:widowControl/>
        <w:spacing w:line="360" w:lineRule="atLeast"/>
        <w:ind w:firstLine="470" w:firstLineChars="196"/>
        <w:jc w:val="left"/>
        <w:rPr>
          <w:rFonts w:ascii="宋体" w:hAnsi="宋体" w:cs="宋体"/>
          <w:sz w:val="24"/>
          <w:highlight w:val="none"/>
        </w:rPr>
      </w:pPr>
    </w:p>
    <w:p>
      <w:pPr>
        <w:adjustRightInd w:val="0"/>
        <w:snapToGrid w:val="0"/>
        <w:spacing w:line="360" w:lineRule="auto"/>
        <w:ind w:firstLine="480" w:firstLineChars="200"/>
        <w:rPr>
          <w:rFonts w:hint="eastAsia" w:ascii="宋体" w:hAnsi="宋体" w:cs="宋体"/>
          <w:bCs/>
          <w:sz w:val="24"/>
          <w:highlight w:val="none"/>
        </w:rPr>
      </w:pPr>
      <w:bookmarkStart w:id="219" w:name="_Toc503862993"/>
      <w:r>
        <w:rPr>
          <w:rFonts w:hint="eastAsia" w:ascii="宋体" w:hAnsi="宋体" w:cs="宋体"/>
          <w:bCs/>
          <w:sz w:val="24"/>
          <w:highlight w:val="none"/>
        </w:rPr>
        <w:t>注：1</w:t>
      </w:r>
      <w:bookmarkEnd w:id="219"/>
      <w:r>
        <w:rPr>
          <w:rFonts w:hint="eastAsia" w:ascii="宋体" w:hAnsi="宋体" w:cs="宋体"/>
          <w:bCs/>
          <w:sz w:val="24"/>
          <w:highlight w:val="none"/>
        </w:rPr>
        <w:t>．本表只填写投标文件与招标文件</w:t>
      </w:r>
      <w:r>
        <w:rPr>
          <w:rFonts w:hint="eastAsia" w:ascii="宋体" w:hAnsi="宋体" w:cs="宋体"/>
          <w:bCs/>
          <w:sz w:val="24"/>
          <w:highlight w:val="none"/>
          <w:lang w:val="en-US" w:eastAsia="zh-CN"/>
        </w:rPr>
        <w:t>第六章中</w:t>
      </w:r>
      <w:r>
        <w:rPr>
          <w:rFonts w:hint="eastAsia" w:ascii="宋体" w:hAnsi="宋体" w:cs="宋体"/>
          <w:bCs/>
          <w:sz w:val="24"/>
          <w:highlight w:val="none"/>
          <w:lang w:eastAsia="zh-CN"/>
        </w:rPr>
        <w:t>“</w:t>
      </w:r>
      <w:r>
        <w:rPr>
          <w:rFonts w:hint="eastAsia" w:ascii="宋体" w:hAnsi="宋体" w:cs="宋体"/>
          <w:bCs/>
          <w:sz w:val="24"/>
          <w:highlight w:val="none"/>
          <w:lang w:val="en-US" w:eastAsia="zh-CN"/>
        </w:rPr>
        <w:t>服务内容和要求</w:t>
      </w:r>
      <w:r>
        <w:rPr>
          <w:rFonts w:hint="eastAsia" w:ascii="宋体" w:hAnsi="宋体" w:cs="宋体"/>
          <w:bCs/>
          <w:sz w:val="24"/>
          <w:highlight w:val="none"/>
          <w:lang w:eastAsia="zh-CN"/>
        </w:rPr>
        <w:t>”</w:t>
      </w:r>
      <w:r>
        <w:rPr>
          <w:rFonts w:hint="eastAsia" w:ascii="宋体" w:hAnsi="宋体" w:cs="宋体"/>
          <w:bCs/>
          <w:sz w:val="24"/>
          <w:highlight w:val="none"/>
        </w:rPr>
        <w:t>有偏离（包括正偏离和负偏离）的内容</w:t>
      </w:r>
      <w:r>
        <w:rPr>
          <w:rFonts w:hint="eastAsia" w:ascii="宋体" w:hAnsi="宋体" w:cs="宋体"/>
          <w:bCs/>
          <w:sz w:val="24"/>
          <w:highlight w:val="none"/>
          <w:lang w:eastAsia="zh-CN"/>
        </w:rPr>
        <w:t>，</w:t>
      </w:r>
      <w:r>
        <w:rPr>
          <w:rFonts w:hint="eastAsia" w:ascii="宋体" w:hAnsi="宋体" w:cs="宋体"/>
          <w:bCs/>
          <w:sz w:val="24"/>
          <w:highlight w:val="none"/>
        </w:rPr>
        <w:t>如不填写</w:t>
      </w:r>
      <w:r>
        <w:rPr>
          <w:rFonts w:hint="eastAsia" w:ascii="宋体" w:hAnsi="宋体" w:cs="宋体"/>
          <w:bCs/>
          <w:sz w:val="24"/>
          <w:highlight w:val="none"/>
          <w:lang w:eastAsia="zh-CN"/>
        </w:rPr>
        <w:t>，</w:t>
      </w:r>
      <w:r>
        <w:rPr>
          <w:rFonts w:hint="eastAsia" w:ascii="宋体" w:hAnsi="宋体" w:cs="宋体"/>
          <w:bCs/>
          <w:sz w:val="24"/>
          <w:highlight w:val="none"/>
        </w:rPr>
        <w:t>视为完全响应招标文件要求。</w:t>
      </w:r>
    </w:p>
    <w:p>
      <w:pPr>
        <w:adjustRightInd w:val="0"/>
        <w:snapToGrid w:val="0"/>
        <w:spacing w:line="360" w:lineRule="auto"/>
        <w:ind w:firstLine="480" w:firstLineChars="200"/>
        <w:rPr>
          <w:rFonts w:ascii="宋体" w:hAnsi="宋体" w:cs="宋体"/>
          <w:bCs/>
          <w:sz w:val="24"/>
          <w:highlight w:val="none"/>
        </w:rPr>
      </w:pPr>
      <w:bookmarkStart w:id="220" w:name="_Toc503862995"/>
      <w:r>
        <w:rPr>
          <w:rFonts w:hint="eastAsia" w:ascii="宋体" w:hAnsi="宋体" w:cs="宋体"/>
          <w:bCs/>
          <w:sz w:val="24"/>
          <w:highlight w:val="none"/>
        </w:rPr>
        <w:t>2．供应商必须据实填写</w:t>
      </w:r>
      <w:r>
        <w:rPr>
          <w:rFonts w:hint="eastAsia" w:ascii="宋体" w:hAnsi="宋体" w:cs="宋体"/>
          <w:bCs/>
          <w:sz w:val="24"/>
          <w:highlight w:val="none"/>
          <w:lang w:eastAsia="zh-CN"/>
        </w:rPr>
        <w:t>，</w:t>
      </w:r>
      <w:r>
        <w:rPr>
          <w:rFonts w:hint="eastAsia" w:ascii="宋体" w:hAnsi="宋体" w:cs="宋体"/>
          <w:bCs/>
          <w:sz w:val="24"/>
          <w:highlight w:val="none"/>
        </w:rPr>
        <w:t>不得虚假填写</w:t>
      </w:r>
      <w:r>
        <w:rPr>
          <w:rFonts w:hint="eastAsia" w:ascii="宋体" w:hAnsi="宋体" w:cs="宋体"/>
          <w:bCs/>
          <w:sz w:val="24"/>
          <w:highlight w:val="none"/>
          <w:lang w:eastAsia="zh-CN"/>
        </w:rPr>
        <w:t>，</w:t>
      </w:r>
      <w:r>
        <w:rPr>
          <w:rFonts w:hint="eastAsia" w:ascii="宋体" w:hAnsi="宋体" w:cs="宋体"/>
          <w:bCs/>
          <w:sz w:val="24"/>
          <w:highlight w:val="none"/>
        </w:rPr>
        <w:t>否则将取消其投标或中标资格。</w:t>
      </w:r>
      <w:bookmarkEnd w:id="220"/>
    </w:p>
    <w:p>
      <w:pPr>
        <w:widowControl/>
        <w:spacing w:line="360" w:lineRule="atLeast"/>
        <w:ind w:firstLine="470" w:firstLineChars="196"/>
        <w:jc w:val="left"/>
        <w:rPr>
          <w:rFonts w:ascii="宋体" w:hAnsi="宋体" w:cs="宋体"/>
          <w:sz w:val="24"/>
          <w:highlight w:val="none"/>
        </w:rPr>
      </w:pPr>
    </w:p>
    <w:p>
      <w:pPr>
        <w:adjustRightInd w:val="0"/>
        <w:snapToGrid w:val="0"/>
        <w:spacing w:line="360" w:lineRule="auto"/>
        <w:ind w:firstLine="482" w:firstLineChars="200"/>
        <w:rPr>
          <w:rFonts w:ascii="宋体" w:hAnsi="宋体" w:cs="宋体"/>
          <w:b/>
          <w:sz w:val="24"/>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widowControl/>
        <w:spacing w:line="360" w:lineRule="atLeast"/>
        <w:ind w:firstLine="470" w:firstLineChars="196"/>
        <w:jc w:val="left"/>
        <w:rPr>
          <w:rFonts w:ascii="宋体" w:hAnsi="宋体" w:cs="宋体"/>
          <w:sz w:val="24"/>
          <w:highlight w:val="none"/>
        </w:rPr>
      </w:pPr>
    </w:p>
    <w:p>
      <w:pPr>
        <w:spacing w:line="360" w:lineRule="auto"/>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br w:type="page"/>
      </w:r>
      <w:r>
        <w:rPr>
          <w:rFonts w:hint="eastAsia" w:ascii="宋体" w:hAnsi="宋体" w:cs="宋体"/>
          <w:b/>
          <w:sz w:val="32"/>
          <w:szCs w:val="32"/>
          <w:highlight w:val="none"/>
        </w:rPr>
        <w:t>格式2-</w:t>
      </w:r>
      <w:bookmarkEnd w:id="214"/>
      <w:r>
        <w:rPr>
          <w:rFonts w:hint="eastAsia" w:ascii="宋体" w:hAnsi="宋体" w:cs="宋体"/>
          <w:b/>
          <w:sz w:val="32"/>
          <w:szCs w:val="32"/>
          <w:highlight w:val="none"/>
          <w:lang w:val="en-US" w:eastAsia="zh-CN"/>
        </w:rPr>
        <w:t>7</w:t>
      </w:r>
    </w:p>
    <w:p>
      <w:pPr>
        <w:widowControl/>
        <w:spacing w:line="360" w:lineRule="auto"/>
        <w:jc w:val="center"/>
        <w:outlineLvl w:val="2"/>
        <w:rPr>
          <w:rFonts w:ascii="宋体" w:hAnsi="宋体" w:cs="宋体"/>
          <w:b/>
          <w:sz w:val="32"/>
          <w:szCs w:val="32"/>
          <w:highlight w:val="none"/>
        </w:rPr>
      </w:pPr>
      <w:bookmarkStart w:id="221" w:name="_Toc503862910"/>
      <w:r>
        <w:rPr>
          <w:rFonts w:hint="eastAsia" w:ascii="宋体" w:hAnsi="宋体" w:cs="宋体"/>
          <w:b/>
          <w:sz w:val="32"/>
          <w:szCs w:val="32"/>
          <w:highlight w:val="none"/>
          <w:lang w:val="en-US" w:eastAsia="zh-CN"/>
        </w:rPr>
        <w:t>六</w:t>
      </w:r>
      <w:r>
        <w:rPr>
          <w:rFonts w:hint="eastAsia" w:ascii="宋体" w:hAnsi="宋体" w:cs="宋体"/>
          <w:b/>
          <w:sz w:val="32"/>
          <w:szCs w:val="32"/>
          <w:highlight w:val="none"/>
        </w:rPr>
        <w:t>、</w:t>
      </w:r>
      <w:r>
        <w:rPr>
          <w:rFonts w:hint="eastAsia" w:ascii="宋体" w:hAnsi="宋体" w:cs="宋体"/>
          <w:b/>
          <w:sz w:val="32"/>
          <w:szCs w:val="32"/>
          <w:highlight w:val="none"/>
          <w:lang w:val="en-US" w:eastAsia="zh-CN"/>
        </w:rPr>
        <w:t>商务要求</w:t>
      </w:r>
      <w:r>
        <w:rPr>
          <w:rFonts w:hint="eastAsia" w:ascii="宋体" w:hAnsi="宋体" w:cs="宋体"/>
          <w:b/>
          <w:sz w:val="32"/>
          <w:szCs w:val="32"/>
          <w:highlight w:val="none"/>
        </w:rPr>
        <w:t>应答表</w:t>
      </w:r>
      <w:bookmarkEnd w:id="221"/>
    </w:p>
    <w:p>
      <w:pPr>
        <w:adjustRightInd w:val="0"/>
        <w:snapToGrid w:val="0"/>
        <w:spacing w:line="360" w:lineRule="auto"/>
        <w:ind w:firstLine="480" w:firstLineChars="200"/>
        <w:rPr>
          <w:rFonts w:hint="eastAsia" w:ascii="宋体" w:hAnsi="宋体" w:cs="宋体"/>
          <w:bCs/>
          <w:sz w:val="24"/>
          <w:highlight w:val="none"/>
        </w:rPr>
      </w:pPr>
      <w:bookmarkStart w:id="222" w:name="_Toc503862911"/>
    </w:p>
    <w:bookmarkEnd w:id="222"/>
    <w:p>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项目名称</w:t>
      </w:r>
      <w:r>
        <w:rPr>
          <w:rFonts w:hint="eastAsia" w:ascii="宋体" w:hAnsi="宋体" w:cs="宋体"/>
          <w:bCs/>
          <w:sz w:val="24"/>
          <w:highlight w:val="none"/>
          <w:lang w:eastAsia="zh-CN"/>
        </w:rPr>
        <w:t>：</w:t>
      </w: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 xml:space="preserve">     招标编号：</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508"/>
        <w:gridCol w:w="3262"/>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4" w:type="pct"/>
            <w:vAlign w:val="center"/>
          </w:tcPr>
          <w:p>
            <w:pPr>
              <w:widowControl/>
              <w:jc w:val="center"/>
              <w:outlineLvl w:val="1"/>
              <w:rPr>
                <w:rFonts w:ascii="宋体" w:hAnsi="宋体" w:cs="宋体"/>
                <w:b/>
                <w:bCs/>
                <w:sz w:val="24"/>
                <w:highlight w:val="none"/>
              </w:rPr>
            </w:pPr>
            <w:bookmarkStart w:id="223" w:name="_Toc503862912"/>
            <w:r>
              <w:rPr>
                <w:rFonts w:hint="eastAsia" w:ascii="宋体" w:hAnsi="宋体" w:cs="宋体"/>
                <w:b/>
                <w:bCs/>
                <w:sz w:val="24"/>
                <w:highlight w:val="none"/>
              </w:rPr>
              <w:t>序号</w:t>
            </w:r>
            <w:bookmarkEnd w:id="223"/>
          </w:p>
        </w:tc>
        <w:tc>
          <w:tcPr>
            <w:tcW w:w="2734" w:type="dxa"/>
            <w:vAlign w:val="center"/>
          </w:tcPr>
          <w:p>
            <w:pPr>
              <w:widowControl/>
              <w:jc w:val="center"/>
              <w:outlineLvl w:val="1"/>
              <w:rPr>
                <w:rFonts w:ascii="宋体" w:hAnsi="宋体" w:cs="宋体"/>
                <w:b/>
                <w:bCs/>
                <w:sz w:val="24"/>
                <w:highlight w:val="none"/>
              </w:rPr>
            </w:pPr>
            <w:r>
              <w:rPr>
                <w:rFonts w:hint="eastAsia" w:ascii="宋体" w:hAnsi="宋体" w:eastAsia="宋体" w:cs="宋体"/>
                <w:b/>
                <w:bCs/>
                <w:sz w:val="24"/>
                <w:szCs w:val="24"/>
                <w:highlight w:val="none"/>
              </w:rPr>
              <w:t>招标文件要求</w:t>
            </w:r>
          </w:p>
        </w:tc>
        <w:tc>
          <w:tcPr>
            <w:tcW w:w="3556" w:type="dxa"/>
            <w:vAlign w:val="center"/>
          </w:tcPr>
          <w:p>
            <w:pPr>
              <w:widowControl/>
              <w:jc w:val="center"/>
              <w:outlineLvl w:val="1"/>
              <w:rPr>
                <w:rFonts w:ascii="宋体" w:hAnsi="宋体" w:cs="宋体"/>
                <w:b/>
                <w:bCs/>
                <w:sz w:val="24"/>
                <w:highlight w:val="none"/>
              </w:rPr>
            </w:pPr>
            <w:r>
              <w:rPr>
                <w:rFonts w:hint="eastAsia" w:ascii="宋体" w:hAnsi="宋体" w:eastAsia="宋体" w:cs="宋体"/>
                <w:b/>
                <w:bCs/>
                <w:sz w:val="24"/>
                <w:szCs w:val="24"/>
                <w:highlight w:val="none"/>
              </w:rPr>
              <w:t>投标</w:t>
            </w:r>
            <w:r>
              <w:rPr>
                <w:rFonts w:hint="eastAsia" w:ascii="宋体" w:hAnsi="宋体" w:eastAsia="宋体" w:cs="宋体"/>
                <w:b/>
                <w:bCs/>
                <w:sz w:val="24"/>
                <w:szCs w:val="24"/>
                <w:highlight w:val="none"/>
                <w:lang w:val="en-US" w:eastAsia="zh-CN"/>
              </w:rPr>
              <w:t>文件</w:t>
            </w:r>
            <w:r>
              <w:rPr>
                <w:rFonts w:hint="eastAsia" w:ascii="宋体" w:hAnsi="宋体" w:eastAsia="宋体" w:cs="宋体"/>
                <w:b/>
                <w:bCs/>
                <w:sz w:val="24"/>
                <w:szCs w:val="24"/>
                <w:highlight w:val="none"/>
              </w:rPr>
              <w:t>应答</w:t>
            </w:r>
          </w:p>
        </w:tc>
        <w:tc>
          <w:tcPr>
            <w:tcW w:w="1149" w:type="pct"/>
            <w:vAlign w:val="center"/>
          </w:tcPr>
          <w:p>
            <w:pPr>
              <w:widowControl/>
              <w:jc w:val="center"/>
              <w:outlineLvl w:val="1"/>
              <w:rPr>
                <w:rFonts w:hint="eastAsia" w:ascii="宋体" w:hAnsi="宋体" w:cs="宋体"/>
                <w:b/>
                <w:bCs/>
                <w:sz w:val="24"/>
                <w:highlight w:val="none"/>
              </w:rPr>
            </w:pPr>
            <w:r>
              <w:rPr>
                <w:rFonts w:hint="eastAsia" w:ascii="宋体" w:hAnsi="宋体" w:cs="宋体"/>
                <w:b/>
                <w:bCs/>
                <w:sz w:val="24"/>
                <w:highlight w:val="none"/>
                <w:lang w:val="en-US" w:eastAsia="zh-CN"/>
              </w:rPr>
              <w:t>偏离情况（正偏离/负偏离/不偏离）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64" w:type="pct"/>
          </w:tcPr>
          <w:p>
            <w:pPr>
              <w:widowControl/>
              <w:jc w:val="left"/>
              <w:rPr>
                <w:rFonts w:ascii="宋体" w:hAnsi="宋体" w:cs="宋体"/>
                <w:sz w:val="24"/>
                <w:highlight w:val="none"/>
              </w:rPr>
            </w:pPr>
          </w:p>
        </w:tc>
        <w:tc>
          <w:tcPr>
            <w:tcW w:w="1471" w:type="pct"/>
          </w:tcPr>
          <w:p>
            <w:pPr>
              <w:widowControl/>
              <w:jc w:val="left"/>
              <w:rPr>
                <w:rFonts w:ascii="宋体" w:hAnsi="宋体" w:cs="宋体"/>
                <w:sz w:val="24"/>
                <w:highlight w:val="none"/>
              </w:rPr>
            </w:pPr>
          </w:p>
        </w:tc>
        <w:tc>
          <w:tcPr>
            <w:tcW w:w="1913" w:type="pct"/>
          </w:tcPr>
          <w:p>
            <w:pPr>
              <w:widowControl/>
              <w:jc w:val="left"/>
              <w:rPr>
                <w:rFonts w:ascii="宋体" w:hAnsi="宋体" w:cs="宋体"/>
                <w:sz w:val="24"/>
                <w:highlight w:val="none"/>
              </w:rPr>
            </w:pPr>
          </w:p>
        </w:tc>
        <w:tc>
          <w:tcPr>
            <w:tcW w:w="1149" w:type="pct"/>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64" w:type="pct"/>
          </w:tcPr>
          <w:p>
            <w:pPr>
              <w:widowControl/>
              <w:jc w:val="left"/>
              <w:rPr>
                <w:rFonts w:ascii="宋体" w:hAnsi="宋体" w:cs="宋体"/>
                <w:sz w:val="24"/>
                <w:highlight w:val="none"/>
              </w:rPr>
            </w:pPr>
          </w:p>
        </w:tc>
        <w:tc>
          <w:tcPr>
            <w:tcW w:w="1471" w:type="pct"/>
          </w:tcPr>
          <w:p>
            <w:pPr>
              <w:widowControl/>
              <w:jc w:val="left"/>
              <w:rPr>
                <w:rFonts w:ascii="宋体" w:hAnsi="宋体" w:cs="宋体"/>
                <w:sz w:val="24"/>
                <w:highlight w:val="none"/>
              </w:rPr>
            </w:pPr>
          </w:p>
        </w:tc>
        <w:tc>
          <w:tcPr>
            <w:tcW w:w="1913" w:type="pct"/>
          </w:tcPr>
          <w:p>
            <w:pPr>
              <w:widowControl/>
              <w:jc w:val="left"/>
              <w:rPr>
                <w:rFonts w:ascii="宋体" w:hAnsi="宋体" w:cs="宋体"/>
                <w:sz w:val="24"/>
                <w:highlight w:val="none"/>
              </w:rPr>
            </w:pPr>
          </w:p>
        </w:tc>
        <w:tc>
          <w:tcPr>
            <w:tcW w:w="1149" w:type="pct"/>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64" w:type="pct"/>
          </w:tcPr>
          <w:p>
            <w:pPr>
              <w:widowControl/>
              <w:jc w:val="left"/>
              <w:rPr>
                <w:rFonts w:ascii="宋体" w:hAnsi="宋体" w:cs="宋体"/>
                <w:sz w:val="24"/>
                <w:highlight w:val="none"/>
              </w:rPr>
            </w:pPr>
          </w:p>
        </w:tc>
        <w:tc>
          <w:tcPr>
            <w:tcW w:w="1471" w:type="pct"/>
          </w:tcPr>
          <w:p>
            <w:pPr>
              <w:widowControl/>
              <w:jc w:val="left"/>
              <w:rPr>
                <w:rFonts w:ascii="宋体" w:hAnsi="宋体" w:cs="宋体"/>
                <w:sz w:val="24"/>
                <w:highlight w:val="none"/>
              </w:rPr>
            </w:pPr>
          </w:p>
        </w:tc>
        <w:tc>
          <w:tcPr>
            <w:tcW w:w="1913" w:type="pct"/>
          </w:tcPr>
          <w:p>
            <w:pPr>
              <w:widowControl/>
              <w:jc w:val="left"/>
              <w:rPr>
                <w:rFonts w:ascii="宋体" w:hAnsi="宋体" w:cs="宋体"/>
                <w:sz w:val="24"/>
                <w:highlight w:val="none"/>
              </w:rPr>
            </w:pPr>
          </w:p>
        </w:tc>
        <w:tc>
          <w:tcPr>
            <w:tcW w:w="1149" w:type="pct"/>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64" w:type="pct"/>
          </w:tcPr>
          <w:p>
            <w:pPr>
              <w:widowControl/>
              <w:jc w:val="left"/>
              <w:rPr>
                <w:rFonts w:ascii="宋体" w:hAnsi="宋体" w:cs="宋体"/>
                <w:sz w:val="24"/>
                <w:highlight w:val="none"/>
              </w:rPr>
            </w:pPr>
          </w:p>
        </w:tc>
        <w:tc>
          <w:tcPr>
            <w:tcW w:w="1471" w:type="pct"/>
          </w:tcPr>
          <w:p>
            <w:pPr>
              <w:widowControl/>
              <w:jc w:val="left"/>
              <w:rPr>
                <w:rFonts w:ascii="宋体" w:hAnsi="宋体" w:cs="宋体"/>
                <w:sz w:val="24"/>
                <w:highlight w:val="none"/>
              </w:rPr>
            </w:pPr>
          </w:p>
        </w:tc>
        <w:tc>
          <w:tcPr>
            <w:tcW w:w="1913" w:type="pct"/>
          </w:tcPr>
          <w:p>
            <w:pPr>
              <w:widowControl/>
              <w:jc w:val="left"/>
              <w:rPr>
                <w:rFonts w:ascii="宋体" w:hAnsi="宋体" w:cs="宋体"/>
                <w:sz w:val="24"/>
                <w:highlight w:val="none"/>
              </w:rPr>
            </w:pPr>
          </w:p>
        </w:tc>
        <w:tc>
          <w:tcPr>
            <w:tcW w:w="1149" w:type="pct"/>
          </w:tcPr>
          <w:p>
            <w:pPr>
              <w:widowControl/>
              <w:jc w:val="left"/>
              <w:rPr>
                <w:rFonts w:ascii="宋体" w:hAnsi="宋体" w:cs="宋体"/>
                <w:sz w:val="24"/>
                <w:highlight w:val="none"/>
              </w:rPr>
            </w:pPr>
          </w:p>
        </w:tc>
      </w:tr>
    </w:tbl>
    <w:p>
      <w:pPr>
        <w:adjustRightInd w:val="0"/>
        <w:snapToGrid w:val="0"/>
        <w:spacing w:line="360" w:lineRule="auto"/>
        <w:ind w:firstLine="480" w:firstLineChars="200"/>
        <w:rPr>
          <w:rFonts w:hint="eastAsia" w:ascii="宋体" w:hAnsi="宋体" w:cs="宋体"/>
          <w:bCs/>
          <w:sz w:val="24"/>
          <w:highlight w:val="none"/>
        </w:rPr>
      </w:pPr>
      <w:bookmarkStart w:id="224" w:name="_Toc503862916"/>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注：1</w:t>
      </w:r>
      <w:bookmarkEnd w:id="224"/>
      <w:bookmarkStart w:id="225" w:name="_Toc503862918"/>
      <w:r>
        <w:rPr>
          <w:rFonts w:hint="eastAsia" w:ascii="宋体" w:hAnsi="宋体" w:cs="宋体"/>
          <w:bCs/>
          <w:sz w:val="24"/>
          <w:highlight w:val="none"/>
        </w:rPr>
        <w:t>．本表只填写投标文件与招标文件</w:t>
      </w:r>
      <w:r>
        <w:rPr>
          <w:rFonts w:hint="eastAsia" w:ascii="宋体" w:hAnsi="宋体" w:cs="宋体"/>
          <w:bCs/>
          <w:sz w:val="24"/>
          <w:highlight w:val="none"/>
          <w:lang w:val="en-US" w:eastAsia="zh-CN"/>
        </w:rPr>
        <w:t>第六章中</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商务要求</w:t>
      </w:r>
      <w:r>
        <w:rPr>
          <w:rFonts w:hint="eastAsia" w:ascii="宋体" w:hAnsi="宋体" w:cs="宋体"/>
          <w:bCs/>
          <w:sz w:val="24"/>
          <w:highlight w:val="none"/>
          <w:lang w:eastAsia="zh-CN"/>
        </w:rPr>
        <w:t>”</w:t>
      </w:r>
      <w:r>
        <w:rPr>
          <w:rFonts w:hint="eastAsia" w:ascii="宋体" w:hAnsi="宋体" w:cs="宋体"/>
          <w:bCs/>
          <w:sz w:val="24"/>
          <w:highlight w:val="none"/>
        </w:rPr>
        <w:t>有偏离（包括正偏离和负偏离）的内容</w:t>
      </w:r>
      <w:r>
        <w:rPr>
          <w:rFonts w:hint="eastAsia" w:ascii="宋体" w:hAnsi="宋体" w:cs="宋体"/>
          <w:bCs/>
          <w:sz w:val="24"/>
          <w:highlight w:val="none"/>
          <w:lang w:eastAsia="zh-CN"/>
        </w:rPr>
        <w:t>，</w:t>
      </w:r>
      <w:r>
        <w:rPr>
          <w:rFonts w:hint="eastAsia" w:ascii="宋体" w:hAnsi="宋体" w:cs="宋体"/>
          <w:bCs/>
          <w:sz w:val="24"/>
          <w:highlight w:val="none"/>
        </w:rPr>
        <w:t>如不填写</w:t>
      </w:r>
      <w:r>
        <w:rPr>
          <w:rFonts w:hint="eastAsia" w:ascii="宋体" w:hAnsi="宋体" w:cs="宋体"/>
          <w:bCs/>
          <w:sz w:val="24"/>
          <w:highlight w:val="none"/>
          <w:lang w:eastAsia="zh-CN"/>
        </w:rPr>
        <w:t>，</w:t>
      </w:r>
      <w:r>
        <w:rPr>
          <w:rFonts w:hint="eastAsia" w:ascii="宋体" w:hAnsi="宋体" w:cs="宋体"/>
          <w:bCs/>
          <w:sz w:val="24"/>
          <w:highlight w:val="none"/>
        </w:rPr>
        <w:t>视为完全响应招标文件要求。</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2．供应商必须据实填写</w:t>
      </w:r>
      <w:r>
        <w:rPr>
          <w:rFonts w:hint="eastAsia" w:ascii="宋体" w:hAnsi="宋体" w:cs="宋体"/>
          <w:bCs/>
          <w:sz w:val="24"/>
          <w:highlight w:val="none"/>
          <w:lang w:eastAsia="zh-CN"/>
        </w:rPr>
        <w:t>，</w:t>
      </w:r>
      <w:r>
        <w:rPr>
          <w:rFonts w:hint="eastAsia" w:ascii="宋体" w:hAnsi="宋体" w:cs="宋体"/>
          <w:bCs/>
          <w:sz w:val="24"/>
          <w:highlight w:val="none"/>
        </w:rPr>
        <w:t>不得虚假填写</w:t>
      </w:r>
      <w:r>
        <w:rPr>
          <w:rFonts w:hint="eastAsia" w:ascii="宋体" w:hAnsi="宋体" w:cs="宋体"/>
          <w:bCs/>
          <w:sz w:val="24"/>
          <w:highlight w:val="none"/>
          <w:lang w:eastAsia="zh-CN"/>
        </w:rPr>
        <w:t>，</w:t>
      </w:r>
      <w:r>
        <w:rPr>
          <w:rFonts w:hint="eastAsia" w:ascii="宋体" w:hAnsi="宋体" w:cs="宋体"/>
          <w:bCs/>
          <w:sz w:val="24"/>
          <w:highlight w:val="none"/>
        </w:rPr>
        <w:t>否则将取消其投标或中标资格。</w:t>
      </w:r>
      <w:bookmarkEnd w:id="225"/>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adjustRightInd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br w:type="page"/>
      </w:r>
    </w:p>
    <w:p>
      <w:pPr>
        <w:spacing w:line="360" w:lineRule="auto"/>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t>格式2-</w:t>
      </w:r>
      <w:r>
        <w:rPr>
          <w:rFonts w:hint="eastAsia" w:ascii="宋体" w:hAnsi="宋体" w:cs="宋体"/>
          <w:b/>
          <w:sz w:val="32"/>
          <w:szCs w:val="32"/>
          <w:highlight w:val="none"/>
          <w:lang w:val="en-US" w:eastAsia="zh-CN"/>
        </w:rPr>
        <w:t>8</w:t>
      </w:r>
    </w:p>
    <w:p>
      <w:pPr>
        <w:widowControl/>
        <w:spacing w:line="360" w:lineRule="auto"/>
        <w:jc w:val="center"/>
        <w:outlineLvl w:val="2"/>
        <w:rPr>
          <w:rFonts w:ascii="宋体" w:hAnsi="宋体" w:cs="宋体"/>
          <w:b/>
          <w:sz w:val="32"/>
          <w:szCs w:val="32"/>
          <w:highlight w:val="none"/>
        </w:rPr>
      </w:pPr>
      <w:bookmarkStart w:id="226" w:name="_Toc503862938"/>
      <w:r>
        <w:rPr>
          <w:rFonts w:hint="eastAsia" w:ascii="宋体" w:hAnsi="宋体" w:cs="宋体"/>
          <w:b/>
          <w:sz w:val="32"/>
          <w:szCs w:val="32"/>
          <w:highlight w:val="none"/>
          <w:lang w:val="en-US" w:eastAsia="zh-CN"/>
        </w:rPr>
        <w:t>七</w:t>
      </w:r>
      <w:r>
        <w:rPr>
          <w:rFonts w:hint="eastAsia" w:ascii="宋体" w:hAnsi="宋体" w:cs="宋体"/>
          <w:b/>
          <w:sz w:val="32"/>
          <w:szCs w:val="32"/>
          <w:highlight w:val="none"/>
        </w:rPr>
        <w:t>、投标人基本情况表</w:t>
      </w:r>
      <w:bookmarkEnd w:id="226"/>
    </w:p>
    <w:tbl>
      <w:tblPr>
        <w:tblStyle w:val="22"/>
        <w:tblW w:w="974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999"/>
        <w:gridCol w:w="1293"/>
        <w:gridCol w:w="1301"/>
        <w:gridCol w:w="1378"/>
        <w:gridCol w:w="887"/>
        <w:gridCol w:w="21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27" w:name="_Toc503862939"/>
            <w:r>
              <w:rPr>
                <w:rFonts w:hint="eastAsia" w:ascii="宋体" w:hAnsi="宋体" w:cs="宋体"/>
                <w:sz w:val="24"/>
                <w:highlight w:val="none"/>
              </w:rPr>
              <w:t>投标人名称</w:t>
            </w:r>
            <w:bookmarkEnd w:id="227"/>
          </w:p>
        </w:tc>
        <w:tc>
          <w:tcPr>
            <w:tcW w:w="7992" w:type="dxa"/>
            <w:gridSpan w:val="6"/>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28" w:name="_Toc503862940"/>
            <w:r>
              <w:rPr>
                <w:rFonts w:hint="eastAsia" w:ascii="宋体" w:hAnsi="宋体" w:cs="宋体"/>
                <w:sz w:val="24"/>
                <w:highlight w:val="none"/>
              </w:rPr>
              <w:t>注册地址</w:t>
            </w:r>
            <w:bookmarkEnd w:id="228"/>
          </w:p>
        </w:tc>
        <w:tc>
          <w:tcPr>
            <w:tcW w:w="3593" w:type="dxa"/>
            <w:gridSpan w:val="3"/>
            <w:vAlign w:val="center"/>
          </w:tcPr>
          <w:p>
            <w:pPr>
              <w:widowControl/>
              <w:jc w:val="center"/>
              <w:rPr>
                <w:rFonts w:ascii="宋体" w:hAnsi="宋体" w:cs="宋体"/>
                <w:sz w:val="24"/>
                <w:highlight w:val="none"/>
              </w:rPr>
            </w:pPr>
          </w:p>
        </w:tc>
        <w:tc>
          <w:tcPr>
            <w:tcW w:w="1378" w:type="dxa"/>
            <w:vAlign w:val="center"/>
          </w:tcPr>
          <w:p>
            <w:pPr>
              <w:widowControl/>
              <w:jc w:val="center"/>
              <w:outlineLvl w:val="1"/>
              <w:rPr>
                <w:rFonts w:ascii="宋体" w:hAnsi="宋体" w:cs="宋体"/>
                <w:sz w:val="24"/>
                <w:highlight w:val="none"/>
              </w:rPr>
            </w:pPr>
            <w:bookmarkStart w:id="229" w:name="_Toc503862941"/>
            <w:r>
              <w:rPr>
                <w:rFonts w:hint="eastAsia" w:ascii="宋体" w:hAnsi="宋体" w:cs="宋体"/>
                <w:sz w:val="24"/>
                <w:highlight w:val="none"/>
              </w:rPr>
              <w:t>邮政编码</w:t>
            </w:r>
            <w:bookmarkEnd w:id="229"/>
          </w:p>
        </w:tc>
        <w:tc>
          <w:tcPr>
            <w:tcW w:w="3021" w:type="dxa"/>
            <w:gridSpan w:val="2"/>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Merge w:val="restart"/>
            <w:vAlign w:val="center"/>
          </w:tcPr>
          <w:p>
            <w:pPr>
              <w:widowControl/>
              <w:jc w:val="center"/>
              <w:outlineLvl w:val="1"/>
              <w:rPr>
                <w:rFonts w:ascii="宋体" w:hAnsi="宋体" w:cs="宋体"/>
                <w:sz w:val="24"/>
                <w:highlight w:val="none"/>
              </w:rPr>
            </w:pPr>
            <w:bookmarkStart w:id="230" w:name="_Toc503862942"/>
            <w:r>
              <w:rPr>
                <w:rFonts w:hint="eastAsia" w:ascii="宋体" w:hAnsi="宋体" w:cs="宋体"/>
                <w:sz w:val="24"/>
                <w:highlight w:val="none"/>
              </w:rPr>
              <w:t>联系方式</w:t>
            </w:r>
            <w:bookmarkEnd w:id="230"/>
          </w:p>
        </w:tc>
        <w:tc>
          <w:tcPr>
            <w:tcW w:w="999" w:type="dxa"/>
            <w:vAlign w:val="center"/>
          </w:tcPr>
          <w:p>
            <w:pPr>
              <w:widowControl/>
              <w:jc w:val="center"/>
              <w:outlineLvl w:val="1"/>
              <w:rPr>
                <w:rFonts w:ascii="宋体" w:hAnsi="宋体" w:cs="宋体"/>
                <w:sz w:val="24"/>
                <w:highlight w:val="none"/>
              </w:rPr>
            </w:pPr>
            <w:bookmarkStart w:id="231" w:name="_Toc503862943"/>
            <w:r>
              <w:rPr>
                <w:rFonts w:hint="eastAsia" w:ascii="宋体" w:hAnsi="宋体" w:cs="宋体"/>
                <w:sz w:val="24"/>
                <w:highlight w:val="none"/>
              </w:rPr>
              <w:t>联系人</w:t>
            </w:r>
            <w:bookmarkEnd w:id="231"/>
          </w:p>
        </w:tc>
        <w:tc>
          <w:tcPr>
            <w:tcW w:w="2594" w:type="dxa"/>
            <w:gridSpan w:val="2"/>
            <w:vAlign w:val="center"/>
          </w:tcPr>
          <w:p>
            <w:pPr>
              <w:widowControl/>
              <w:jc w:val="center"/>
              <w:rPr>
                <w:rFonts w:ascii="宋体" w:hAnsi="宋体" w:cs="宋体"/>
                <w:sz w:val="24"/>
                <w:highlight w:val="none"/>
              </w:rPr>
            </w:pPr>
          </w:p>
        </w:tc>
        <w:tc>
          <w:tcPr>
            <w:tcW w:w="1378" w:type="dxa"/>
            <w:vAlign w:val="center"/>
          </w:tcPr>
          <w:p>
            <w:pPr>
              <w:widowControl/>
              <w:jc w:val="center"/>
              <w:outlineLvl w:val="1"/>
              <w:rPr>
                <w:rFonts w:ascii="宋体" w:hAnsi="宋体" w:cs="宋体"/>
                <w:sz w:val="24"/>
                <w:highlight w:val="none"/>
              </w:rPr>
            </w:pPr>
            <w:bookmarkStart w:id="232" w:name="_Toc503862944"/>
            <w:r>
              <w:rPr>
                <w:rFonts w:hint="eastAsia" w:ascii="宋体" w:hAnsi="宋体" w:cs="宋体"/>
                <w:sz w:val="24"/>
                <w:highlight w:val="none"/>
              </w:rPr>
              <w:t>电话</w:t>
            </w:r>
            <w:bookmarkEnd w:id="232"/>
          </w:p>
        </w:tc>
        <w:tc>
          <w:tcPr>
            <w:tcW w:w="3021" w:type="dxa"/>
            <w:gridSpan w:val="2"/>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Merge w:val="continue"/>
            <w:vAlign w:val="center"/>
          </w:tcPr>
          <w:p>
            <w:pPr>
              <w:jc w:val="center"/>
              <w:rPr>
                <w:rFonts w:ascii="宋体" w:hAnsi="宋体" w:cs="宋体"/>
                <w:sz w:val="24"/>
                <w:highlight w:val="none"/>
              </w:rPr>
            </w:pPr>
          </w:p>
        </w:tc>
        <w:tc>
          <w:tcPr>
            <w:tcW w:w="999" w:type="dxa"/>
            <w:vAlign w:val="center"/>
          </w:tcPr>
          <w:p>
            <w:pPr>
              <w:widowControl/>
              <w:jc w:val="center"/>
              <w:outlineLvl w:val="1"/>
              <w:rPr>
                <w:rFonts w:ascii="宋体" w:hAnsi="宋体" w:cs="宋体"/>
                <w:sz w:val="24"/>
                <w:highlight w:val="none"/>
              </w:rPr>
            </w:pPr>
            <w:bookmarkStart w:id="233" w:name="_Toc503862945"/>
            <w:r>
              <w:rPr>
                <w:rFonts w:hint="eastAsia" w:ascii="宋体" w:hAnsi="宋体" w:cs="宋体"/>
                <w:sz w:val="24"/>
                <w:highlight w:val="none"/>
              </w:rPr>
              <w:t>传真</w:t>
            </w:r>
            <w:bookmarkEnd w:id="233"/>
          </w:p>
        </w:tc>
        <w:tc>
          <w:tcPr>
            <w:tcW w:w="2594" w:type="dxa"/>
            <w:gridSpan w:val="2"/>
            <w:vAlign w:val="center"/>
          </w:tcPr>
          <w:p>
            <w:pPr>
              <w:widowControl/>
              <w:jc w:val="center"/>
              <w:rPr>
                <w:rFonts w:ascii="宋体" w:hAnsi="宋体" w:cs="宋体"/>
                <w:sz w:val="24"/>
                <w:highlight w:val="none"/>
              </w:rPr>
            </w:pPr>
          </w:p>
        </w:tc>
        <w:tc>
          <w:tcPr>
            <w:tcW w:w="1378" w:type="dxa"/>
            <w:vAlign w:val="center"/>
          </w:tcPr>
          <w:p>
            <w:pPr>
              <w:widowControl/>
              <w:jc w:val="center"/>
              <w:outlineLvl w:val="1"/>
              <w:rPr>
                <w:rFonts w:ascii="宋体" w:hAnsi="宋体" w:cs="宋体"/>
                <w:sz w:val="24"/>
                <w:highlight w:val="none"/>
              </w:rPr>
            </w:pPr>
            <w:bookmarkStart w:id="234" w:name="_Toc503862946"/>
            <w:r>
              <w:rPr>
                <w:rFonts w:hint="eastAsia" w:ascii="宋体" w:hAnsi="宋体" w:cs="宋体"/>
                <w:sz w:val="24"/>
                <w:highlight w:val="none"/>
              </w:rPr>
              <w:t>网址</w:t>
            </w:r>
            <w:bookmarkEnd w:id="234"/>
          </w:p>
        </w:tc>
        <w:tc>
          <w:tcPr>
            <w:tcW w:w="3021" w:type="dxa"/>
            <w:gridSpan w:val="2"/>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35" w:name="_Toc503862947"/>
            <w:r>
              <w:rPr>
                <w:rFonts w:hint="eastAsia" w:ascii="宋体" w:hAnsi="宋体" w:cs="宋体"/>
                <w:sz w:val="24"/>
                <w:highlight w:val="none"/>
              </w:rPr>
              <w:t>组织结构</w:t>
            </w:r>
            <w:bookmarkEnd w:id="235"/>
          </w:p>
        </w:tc>
        <w:tc>
          <w:tcPr>
            <w:tcW w:w="7992" w:type="dxa"/>
            <w:gridSpan w:val="6"/>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1755" w:type="dxa"/>
            <w:vAlign w:val="center"/>
          </w:tcPr>
          <w:p>
            <w:pPr>
              <w:widowControl/>
              <w:jc w:val="center"/>
              <w:outlineLvl w:val="1"/>
              <w:rPr>
                <w:rFonts w:ascii="宋体" w:hAnsi="宋体" w:cs="宋体"/>
                <w:sz w:val="24"/>
                <w:highlight w:val="none"/>
              </w:rPr>
            </w:pPr>
            <w:bookmarkStart w:id="236" w:name="_Toc503862948"/>
            <w:r>
              <w:rPr>
                <w:rFonts w:hint="eastAsia" w:ascii="宋体" w:hAnsi="宋体" w:cs="宋体"/>
                <w:sz w:val="24"/>
                <w:highlight w:val="none"/>
              </w:rPr>
              <w:t>法定代表人/单位负责人</w:t>
            </w:r>
            <w:bookmarkEnd w:id="236"/>
          </w:p>
        </w:tc>
        <w:tc>
          <w:tcPr>
            <w:tcW w:w="999" w:type="dxa"/>
            <w:vAlign w:val="center"/>
          </w:tcPr>
          <w:p>
            <w:pPr>
              <w:widowControl/>
              <w:jc w:val="center"/>
              <w:outlineLvl w:val="1"/>
              <w:rPr>
                <w:rFonts w:ascii="宋体" w:hAnsi="宋体" w:cs="宋体"/>
                <w:sz w:val="24"/>
                <w:highlight w:val="none"/>
              </w:rPr>
            </w:pPr>
            <w:bookmarkStart w:id="237" w:name="_Toc503862949"/>
            <w:r>
              <w:rPr>
                <w:rFonts w:hint="eastAsia" w:ascii="宋体" w:hAnsi="宋体" w:cs="宋体"/>
                <w:sz w:val="24"/>
                <w:highlight w:val="none"/>
              </w:rPr>
              <w:t>姓名</w:t>
            </w:r>
            <w:bookmarkEnd w:id="237"/>
          </w:p>
        </w:tc>
        <w:tc>
          <w:tcPr>
            <w:tcW w:w="1293" w:type="dxa"/>
            <w:vAlign w:val="center"/>
          </w:tcPr>
          <w:p>
            <w:pPr>
              <w:widowControl/>
              <w:jc w:val="center"/>
              <w:rPr>
                <w:rFonts w:ascii="宋体" w:hAnsi="宋体" w:cs="宋体"/>
                <w:sz w:val="24"/>
                <w:highlight w:val="none"/>
              </w:rPr>
            </w:pPr>
          </w:p>
        </w:tc>
        <w:tc>
          <w:tcPr>
            <w:tcW w:w="1301" w:type="dxa"/>
            <w:vAlign w:val="center"/>
          </w:tcPr>
          <w:p>
            <w:pPr>
              <w:widowControl/>
              <w:jc w:val="center"/>
              <w:outlineLvl w:val="1"/>
              <w:rPr>
                <w:rFonts w:ascii="宋体" w:hAnsi="宋体" w:cs="宋体"/>
                <w:sz w:val="24"/>
                <w:highlight w:val="none"/>
              </w:rPr>
            </w:pPr>
            <w:bookmarkStart w:id="238" w:name="_Toc503862950"/>
            <w:r>
              <w:rPr>
                <w:rFonts w:hint="eastAsia" w:ascii="宋体" w:hAnsi="宋体" w:cs="宋体"/>
                <w:sz w:val="24"/>
                <w:highlight w:val="none"/>
              </w:rPr>
              <w:t>技术职称</w:t>
            </w:r>
            <w:bookmarkEnd w:id="238"/>
          </w:p>
        </w:tc>
        <w:tc>
          <w:tcPr>
            <w:tcW w:w="1378" w:type="dxa"/>
            <w:vAlign w:val="center"/>
          </w:tcPr>
          <w:p>
            <w:pPr>
              <w:widowControl/>
              <w:jc w:val="center"/>
              <w:rPr>
                <w:rFonts w:ascii="宋体" w:hAnsi="宋体" w:cs="宋体"/>
                <w:sz w:val="24"/>
                <w:highlight w:val="none"/>
              </w:rPr>
            </w:pPr>
          </w:p>
        </w:tc>
        <w:tc>
          <w:tcPr>
            <w:tcW w:w="887" w:type="dxa"/>
            <w:vAlign w:val="center"/>
          </w:tcPr>
          <w:p>
            <w:pPr>
              <w:widowControl/>
              <w:jc w:val="center"/>
              <w:outlineLvl w:val="1"/>
              <w:rPr>
                <w:rFonts w:ascii="宋体" w:hAnsi="宋体" w:cs="宋体"/>
                <w:sz w:val="24"/>
                <w:highlight w:val="none"/>
              </w:rPr>
            </w:pPr>
            <w:bookmarkStart w:id="239" w:name="_Toc503862951"/>
            <w:r>
              <w:rPr>
                <w:rFonts w:hint="eastAsia" w:ascii="宋体" w:hAnsi="宋体" w:cs="宋体"/>
                <w:sz w:val="24"/>
                <w:highlight w:val="none"/>
              </w:rPr>
              <w:t>电话</w:t>
            </w:r>
            <w:bookmarkEnd w:id="239"/>
          </w:p>
        </w:tc>
        <w:tc>
          <w:tcPr>
            <w:tcW w:w="2134" w:type="dxa"/>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1755" w:type="dxa"/>
            <w:vAlign w:val="center"/>
          </w:tcPr>
          <w:p>
            <w:pPr>
              <w:widowControl/>
              <w:jc w:val="center"/>
              <w:outlineLvl w:val="1"/>
              <w:rPr>
                <w:rFonts w:ascii="宋体" w:hAnsi="宋体" w:cs="宋体"/>
                <w:sz w:val="24"/>
                <w:highlight w:val="none"/>
              </w:rPr>
            </w:pPr>
            <w:bookmarkStart w:id="240" w:name="_Toc503862952"/>
            <w:r>
              <w:rPr>
                <w:rFonts w:hint="eastAsia" w:ascii="宋体" w:hAnsi="宋体" w:cs="宋体"/>
                <w:sz w:val="24"/>
                <w:highlight w:val="none"/>
              </w:rPr>
              <w:t>技术负责人</w:t>
            </w:r>
            <w:bookmarkEnd w:id="240"/>
          </w:p>
        </w:tc>
        <w:tc>
          <w:tcPr>
            <w:tcW w:w="999" w:type="dxa"/>
            <w:vAlign w:val="center"/>
          </w:tcPr>
          <w:p>
            <w:pPr>
              <w:widowControl/>
              <w:jc w:val="center"/>
              <w:outlineLvl w:val="1"/>
              <w:rPr>
                <w:rFonts w:ascii="宋体" w:hAnsi="宋体" w:cs="宋体"/>
                <w:sz w:val="24"/>
                <w:highlight w:val="none"/>
              </w:rPr>
            </w:pPr>
            <w:bookmarkStart w:id="241" w:name="_Toc503862953"/>
            <w:r>
              <w:rPr>
                <w:rFonts w:hint="eastAsia" w:ascii="宋体" w:hAnsi="宋体" w:cs="宋体"/>
                <w:sz w:val="24"/>
                <w:highlight w:val="none"/>
              </w:rPr>
              <w:t>姓名</w:t>
            </w:r>
            <w:bookmarkEnd w:id="241"/>
          </w:p>
        </w:tc>
        <w:tc>
          <w:tcPr>
            <w:tcW w:w="1293" w:type="dxa"/>
            <w:vAlign w:val="center"/>
          </w:tcPr>
          <w:p>
            <w:pPr>
              <w:widowControl/>
              <w:jc w:val="center"/>
              <w:rPr>
                <w:rFonts w:ascii="宋体" w:hAnsi="宋体" w:cs="宋体"/>
                <w:sz w:val="24"/>
                <w:highlight w:val="none"/>
              </w:rPr>
            </w:pPr>
          </w:p>
        </w:tc>
        <w:tc>
          <w:tcPr>
            <w:tcW w:w="1301" w:type="dxa"/>
            <w:vAlign w:val="center"/>
          </w:tcPr>
          <w:p>
            <w:pPr>
              <w:widowControl/>
              <w:jc w:val="center"/>
              <w:outlineLvl w:val="1"/>
              <w:rPr>
                <w:rFonts w:ascii="宋体" w:hAnsi="宋体" w:cs="宋体"/>
                <w:sz w:val="24"/>
                <w:highlight w:val="none"/>
              </w:rPr>
            </w:pPr>
            <w:bookmarkStart w:id="242" w:name="_Toc503862954"/>
            <w:r>
              <w:rPr>
                <w:rFonts w:hint="eastAsia" w:ascii="宋体" w:hAnsi="宋体" w:cs="宋体"/>
                <w:sz w:val="24"/>
                <w:highlight w:val="none"/>
              </w:rPr>
              <w:t>技术职称</w:t>
            </w:r>
            <w:bookmarkEnd w:id="242"/>
          </w:p>
        </w:tc>
        <w:tc>
          <w:tcPr>
            <w:tcW w:w="1378" w:type="dxa"/>
            <w:vAlign w:val="center"/>
          </w:tcPr>
          <w:p>
            <w:pPr>
              <w:widowControl/>
              <w:jc w:val="center"/>
              <w:rPr>
                <w:rFonts w:ascii="宋体" w:hAnsi="宋体" w:cs="宋体"/>
                <w:sz w:val="24"/>
                <w:highlight w:val="none"/>
              </w:rPr>
            </w:pPr>
          </w:p>
        </w:tc>
        <w:tc>
          <w:tcPr>
            <w:tcW w:w="887" w:type="dxa"/>
            <w:vAlign w:val="center"/>
          </w:tcPr>
          <w:p>
            <w:pPr>
              <w:widowControl/>
              <w:jc w:val="center"/>
              <w:outlineLvl w:val="1"/>
              <w:rPr>
                <w:rFonts w:ascii="宋体" w:hAnsi="宋体" w:cs="宋体"/>
                <w:sz w:val="24"/>
                <w:highlight w:val="none"/>
              </w:rPr>
            </w:pPr>
            <w:bookmarkStart w:id="243" w:name="_Toc503862955"/>
            <w:r>
              <w:rPr>
                <w:rFonts w:hint="eastAsia" w:ascii="宋体" w:hAnsi="宋体" w:cs="宋体"/>
                <w:sz w:val="24"/>
                <w:highlight w:val="none"/>
              </w:rPr>
              <w:t>电话</w:t>
            </w:r>
            <w:bookmarkEnd w:id="243"/>
          </w:p>
        </w:tc>
        <w:tc>
          <w:tcPr>
            <w:tcW w:w="2134" w:type="dxa"/>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44" w:name="_Toc503862956"/>
            <w:r>
              <w:rPr>
                <w:rFonts w:hint="eastAsia" w:ascii="宋体" w:hAnsi="宋体" w:cs="宋体"/>
                <w:sz w:val="24"/>
                <w:highlight w:val="none"/>
              </w:rPr>
              <w:t>成立时间</w:t>
            </w:r>
            <w:bookmarkEnd w:id="244"/>
          </w:p>
        </w:tc>
        <w:tc>
          <w:tcPr>
            <w:tcW w:w="2292" w:type="dxa"/>
            <w:gridSpan w:val="2"/>
            <w:vAlign w:val="center"/>
          </w:tcPr>
          <w:p>
            <w:pPr>
              <w:widowControl/>
              <w:jc w:val="center"/>
              <w:rPr>
                <w:rFonts w:ascii="宋体" w:hAnsi="宋体" w:cs="宋体"/>
                <w:sz w:val="24"/>
                <w:highlight w:val="none"/>
              </w:rPr>
            </w:pPr>
          </w:p>
        </w:tc>
        <w:tc>
          <w:tcPr>
            <w:tcW w:w="5700" w:type="dxa"/>
            <w:gridSpan w:val="4"/>
            <w:vAlign w:val="center"/>
          </w:tcPr>
          <w:p>
            <w:pPr>
              <w:widowControl/>
              <w:jc w:val="left"/>
              <w:outlineLvl w:val="1"/>
              <w:rPr>
                <w:rFonts w:ascii="宋体" w:hAnsi="宋体" w:cs="宋体"/>
                <w:sz w:val="24"/>
                <w:highlight w:val="none"/>
              </w:rPr>
            </w:pPr>
            <w:bookmarkStart w:id="245" w:name="_Toc503862957"/>
            <w:r>
              <w:rPr>
                <w:rFonts w:hint="eastAsia" w:ascii="宋体" w:hAnsi="宋体" w:cs="宋体"/>
                <w:sz w:val="24"/>
                <w:highlight w:val="none"/>
              </w:rPr>
              <w:t>员工总人数：</w:t>
            </w:r>
            <w:bookmarkEnd w:id="245"/>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46" w:name="_Toc503862958"/>
            <w:r>
              <w:rPr>
                <w:rFonts w:hint="eastAsia" w:ascii="宋体" w:hAnsi="宋体" w:cs="宋体"/>
                <w:sz w:val="24"/>
                <w:highlight w:val="none"/>
              </w:rPr>
              <w:t>企业资质等级</w:t>
            </w:r>
            <w:bookmarkEnd w:id="246"/>
          </w:p>
        </w:tc>
        <w:tc>
          <w:tcPr>
            <w:tcW w:w="7992" w:type="dxa"/>
            <w:gridSpan w:val="6"/>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47" w:name="_Toc503862961"/>
            <w:r>
              <w:rPr>
                <w:rFonts w:hint="eastAsia" w:ascii="宋体" w:hAnsi="宋体" w:cs="宋体"/>
                <w:sz w:val="24"/>
                <w:highlight w:val="none"/>
              </w:rPr>
              <w:t>营业执照号</w:t>
            </w:r>
            <w:bookmarkEnd w:id="247"/>
          </w:p>
        </w:tc>
        <w:tc>
          <w:tcPr>
            <w:tcW w:w="7992" w:type="dxa"/>
            <w:gridSpan w:val="6"/>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48" w:name="_Toc503862963"/>
            <w:r>
              <w:rPr>
                <w:rFonts w:hint="eastAsia" w:ascii="宋体" w:hAnsi="宋体" w:cs="宋体"/>
                <w:sz w:val="24"/>
                <w:highlight w:val="none"/>
              </w:rPr>
              <w:t>注册资金</w:t>
            </w:r>
            <w:bookmarkEnd w:id="248"/>
          </w:p>
        </w:tc>
        <w:tc>
          <w:tcPr>
            <w:tcW w:w="7992" w:type="dxa"/>
            <w:gridSpan w:val="6"/>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49" w:name="_Toc503862965"/>
            <w:r>
              <w:rPr>
                <w:rFonts w:hint="eastAsia" w:ascii="宋体" w:hAnsi="宋体" w:cs="宋体"/>
                <w:sz w:val="24"/>
                <w:highlight w:val="none"/>
              </w:rPr>
              <w:t>开户银行</w:t>
            </w:r>
            <w:bookmarkEnd w:id="249"/>
          </w:p>
        </w:tc>
        <w:tc>
          <w:tcPr>
            <w:tcW w:w="7992" w:type="dxa"/>
            <w:gridSpan w:val="6"/>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50" w:name="_Toc503862967"/>
            <w:r>
              <w:rPr>
                <w:rFonts w:hint="eastAsia" w:ascii="宋体" w:hAnsi="宋体" w:cs="宋体"/>
                <w:sz w:val="24"/>
                <w:highlight w:val="none"/>
              </w:rPr>
              <w:t>账号</w:t>
            </w:r>
            <w:bookmarkEnd w:id="250"/>
          </w:p>
        </w:tc>
        <w:tc>
          <w:tcPr>
            <w:tcW w:w="7992" w:type="dxa"/>
            <w:gridSpan w:val="6"/>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51" w:name="_Toc503862969"/>
            <w:r>
              <w:rPr>
                <w:rFonts w:hint="eastAsia" w:ascii="宋体" w:hAnsi="宋体" w:cs="宋体"/>
                <w:sz w:val="24"/>
                <w:highlight w:val="none"/>
              </w:rPr>
              <w:t>经营范围</w:t>
            </w:r>
            <w:bookmarkEnd w:id="251"/>
          </w:p>
        </w:tc>
        <w:tc>
          <w:tcPr>
            <w:tcW w:w="7992" w:type="dxa"/>
            <w:gridSpan w:val="6"/>
            <w:vAlign w:val="center"/>
          </w:tcPr>
          <w:p>
            <w:pPr>
              <w:widowControl/>
              <w:jc w:val="center"/>
              <w:rPr>
                <w:rFonts w:ascii="宋体" w:hAnsi="宋体" w:cs="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755" w:type="dxa"/>
            <w:vAlign w:val="center"/>
          </w:tcPr>
          <w:p>
            <w:pPr>
              <w:widowControl/>
              <w:jc w:val="center"/>
              <w:outlineLvl w:val="1"/>
              <w:rPr>
                <w:rFonts w:ascii="宋体" w:hAnsi="宋体" w:cs="宋体"/>
                <w:sz w:val="24"/>
                <w:highlight w:val="none"/>
              </w:rPr>
            </w:pPr>
            <w:bookmarkStart w:id="252" w:name="_Toc503862970"/>
            <w:r>
              <w:rPr>
                <w:rFonts w:hint="eastAsia" w:ascii="宋体" w:hAnsi="宋体" w:cs="宋体"/>
                <w:sz w:val="24"/>
                <w:highlight w:val="none"/>
              </w:rPr>
              <w:t>备注</w:t>
            </w:r>
            <w:bookmarkEnd w:id="252"/>
          </w:p>
        </w:tc>
        <w:tc>
          <w:tcPr>
            <w:tcW w:w="7992" w:type="dxa"/>
            <w:gridSpan w:val="6"/>
            <w:vAlign w:val="center"/>
          </w:tcPr>
          <w:p>
            <w:pPr>
              <w:widowControl/>
              <w:jc w:val="center"/>
              <w:rPr>
                <w:rFonts w:ascii="宋体" w:hAnsi="宋体" w:cs="宋体"/>
                <w:sz w:val="24"/>
                <w:highlight w:val="none"/>
              </w:rPr>
            </w:pPr>
          </w:p>
        </w:tc>
      </w:tr>
    </w:tbl>
    <w:p>
      <w:pPr>
        <w:widowControl/>
        <w:adjustRightInd w:val="0"/>
        <w:snapToGrid w:val="0"/>
        <w:spacing w:line="360" w:lineRule="auto"/>
        <w:ind w:firstLine="472" w:firstLineChars="196"/>
        <w:jc w:val="left"/>
        <w:rPr>
          <w:rFonts w:ascii="宋体" w:hAnsi="宋体" w:cs="宋体"/>
          <w:b/>
          <w:bCs/>
          <w:sz w:val="24"/>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rPr>
          <w:rFonts w:ascii="宋体" w:hAnsi="宋体" w:cs="宋体"/>
          <w:b/>
          <w:sz w:val="32"/>
          <w:szCs w:val="32"/>
          <w:highlight w:val="none"/>
        </w:rPr>
      </w:pPr>
      <w:r>
        <w:rPr>
          <w:rFonts w:hint="eastAsia" w:ascii="宋体" w:hAnsi="宋体" w:cs="宋体"/>
          <w:b/>
          <w:sz w:val="32"/>
          <w:szCs w:val="32"/>
          <w:highlight w:val="none"/>
        </w:rPr>
        <w:br w:type="page"/>
      </w:r>
    </w:p>
    <w:p>
      <w:pPr>
        <w:spacing w:line="360" w:lineRule="auto"/>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t>格式2-</w:t>
      </w:r>
      <w:r>
        <w:rPr>
          <w:rFonts w:hint="eastAsia" w:ascii="宋体" w:hAnsi="宋体" w:cs="宋体"/>
          <w:b/>
          <w:sz w:val="32"/>
          <w:szCs w:val="32"/>
          <w:highlight w:val="none"/>
          <w:lang w:val="en-US" w:eastAsia="zh-CN"/>
        </w:rPr>
        <w:t>9</w:t>
      </w:r>
    </w:p>
    <w:p>
      <w:pPr>
        <w:widowControl/>
        <w:spacing w:line="360" w:lineRule="auto"/>
        <w:jc w:val="center"/>
        <w:outlineLvl w:val="2"/>
        <w:rPr>
          <w:rFonts w:ascii="宋体" w:hAnsi="宋体" w:cs="宋体"/>
          <w:b/>
          <w:sz w:val="32"/>
          <w:szCs w:val="32"/>
          <w:highlight w:val="none"/>
        </w:rPr>
      </w:pPr>
      <w:bookmarkStart w:id="253" w:name="_Toc503862974"/>
      <w:r>
        <w:rPr>
          <w:rFonts w:hint="eastAsia" w:ascii="宋体" w:hAnsi="宋体" w:cs="宋体"/>
          <w:b/>
          <w:sz w:val="32"/>
          <w:szCs w:val="32"/>
          <w:highlight w:val="none"/>
          <w:lang w:val="en-US" w:eastAsia="zh-CN"/>
        </w:rPr>
        <w:t>八</w:t>
      </w:r>
      <w:r>
        <w:rPr>
          <w:rFonts w:hint="eastAsia" w:ascii="宋体" w:hAnsi="宋体" w:cs="宋体"/>
          <w:b/>
          <w:sz w:val="32"/>
          <w:szCs w:val="32"/>
          <w:highlight w:val="none"/>
        </w:rPr>
        <w:t>、类似项目业绩一览表</w:t>
      </w:r>
      <w:bookmarkEnd w:id="253"/>
    </w:p>
    <w:p>
      <w:pPr>
        <w:pStyle w:val="2"/>
        <w:rPr>
          <w:rFonts w:ascii="宋体" w:hAnsi="宋体" w:cs="宋体"/>
          <w:highlight w:val="none"/>
        </w:rPr>
      </w:pPr>
    </w:p>
    <w:p>
      <w:pPr>
        <w:adjustRightInd w:val="0"/>
        <w:snapToGrid w:val="0"/>
        <w:spacing w:line="360" w:lineRule="auto"/>
        <w:rPr>
          <w:rFonts w:hint="eastAsia" w:ascii="宋体" w:hAnsi="宋体" w:cs="宋体"/>
          <w:bCs/>
          <w:sz w:val="24"/>
          <w:highlight w:val="none"/>
        </w:rPr>
      </w:pPr>
      <w:r>
        <w:rPr>
          <w:rFonts w:hint="eastAsia" w:ascii="宋体" w:hAnsi="宋体" w:cs="宋体"/>
          <w:bCs/>
          <w:sz w:val="24"/>
          <w:highlight w:val="none"/>
        </w:rPr>
        <w:t>项目名称</w:t>
      </w:r>
      <w:r>
        <w:rPr>
          <w:rFonts w:hint="eastAsia" w:ascii="宋体" w:hAnsi="宋体" w:cs="宋体"/>
          <w:bCs/>
          <w:sz w:val="24"/>
          <w:highlight w:val="none"/>
          <w:lang w:eastAsia="zh-CN"/>
        </w:rPr>
        <w:t>：</w:t>
      </w: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 xml:space="preserve">     招标编号：</w:t>
      </w:r>
    </w:p>
    <w:tbl>
      <w:tblPr>
        <w:tblStyle w:val="22"/>
        <w:tblW w:w="91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5"/>
        <w:gridCol w:w="1551"/>
        <w:gridCol w:w="1421"/>
        <w:gridCol w:w="1250"/>
        <w:gridCol w:w="1357"/>
        <w:gridCol w:w="9"/>
        <w:gridCol w:w="1746"/>
        <w:gridCol w:w="10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9" w:hRule="atLeast"/>
          <w:jc w:val="center"/>
        </w:trPr>
        <w:tc>
          <w:tcPr>
            <w:tcW w:w="775" w:type="dxa"/>
            <w:tcBorders>
              <w:top w:val="single" w:color="auto" w:sz="4" w:space="0"/>
            </w:tcBorders>
            <w:vAlign w:val="center"/>
          </w:tcPr>
          <w:p>
            <w:pPr>
              <w:widowControl/>
              <w:jc w:val="center"/>
              <w:outlineLvl w:val="1"/>
              <w:rPr>
                <w:rFonts w:ascii="宋体" w:hAnsi="宋体" w:cs="宋体"/>
                <w:b/>
                <w:bCs/>
                <w:sz w:val="24"/>
                <w:highlight w:val="none"/>
              </w:rPr>
            </w:pPr>
            <w:bookmarkStart w:id="254" w:name="_Toc503862975"/>
            <w:r>
              <w:rPr>
                <w:rFonts w:hint="eastAsia" w:ascii="宋体" w:hAnsi="宋体" w:cs="宋体"/>
                <w:b/>
                <w:bCs/>
                <w:sz w:val="24"/>
                <w:highlight w:val="none"/>
              </w:rPr>
              <w:t>年份</w:t>
            </w:r>
            <w:bookmarkEnd w:id="254"/>
          </w:p>
        </w:tc>
        <w:tc>
          <w:tcPr>
            <w:tcW w:w="1551" w:type="dxa"/>
            <w:vAlign w:val="center"/>
          </w:tcPr>
          <w:p>
            <w:pPr>
              <w:widowControl/>
              <w:jc w:val="center"/>
              <w:outlineLvl w:val="1"/>
              <w:rPr>
                <w:rFonts w:ascii="宋体" w:hAnsi="宋体" w:cs="宋体"/>
                <w:b/>
                <w:bCs/>
                <w:sz w:val="24"/>
                <w:highlight w:val="none"/>
              </w:rPr>
            </w:pPr>
            <w:bookmarkStart w:id="255" w:name="_Toc503862976"/>
            <w:r>
              <w:rPr>
                <w:rFonts w:hint="eastAsia" w:ascii="宋体" w:hAnsi="宋体" w:cs="宋体"/>
                <w:b/>
                <w:bCs/>
                <w:sz w:val="24"/>
                <w:highlight w:val="none"/>
              </w:rPr>
              <w:t>用户名称</w:t>
            </w:r>
            <w:bookmarkEnd w:id="255"/>
          </w:p>
        </w:tc>
        <w:tc>
          <w:tcPr>
            <w:tcW w:w="1421" w:type="dxa"/>
            <w:vAlign w:val="center"/>
          </w:tcPr>
          <w:p>
            <w:pPr>
              <w:widowControl/>
              <w:jc w:val="center"/>
              <w:outlineLvl w:val="1"/>
              <w:rPr>
                <w:rFonts w:ascii="宋体" w:hAnsi="宋体" w:cs="宋体"/>
                <w:b/>
                <w:bCs/>
                <w:sz w:val="24"/>
                <w:highlight w:val="none"/>
              </w:rPr>
            </w:pPr>
            <w:bookmarkStart w:id="256" w:name="_Toc503862977"/>
            <w:r>
              <w:rPr>
                <w:rFonts w:hint="eastAsia" w:ascii="宋体" w:hAnsi="宋体" w:cs="宋体"/>
                <w:b/>
                <w:bCs/>
                <w:sz w:val="24"/>
                <w:highlight w:val="none"/>
              </w:rPr>
              <w:t>项目名称</w:t>
            </w:r>
            <w:bookmarkEnd w:id="256"/>
          </w:p>
        </w:tc>
        <w:tc>
          <w:tcPr>
            <w:tcW w:w="1250" w:type="dxa"/>
            <w:vAlign w:val="center"/>
          </w:tcPr>
          <w:p>
            <w:pPr>
              <w:widowControl/>
              <w:jc w:val="center"/>
              <w:outlineLvl w:val="1"/>
              <w:rPr>
                <w:rFonts w:ascii="宋体" w:hAnsi="宋体" w:cs="宋体"/>
                <w:b/>
                <w:bCs/>
                <w:sz w:val="24"/>
                <w:highlight w:val="none"/>
              </w:rPr>
            </w:pPr>
            <w:bookmarkStart w:id="257" w:name="_Toc503862978"/>
            <w:r>
              <w:rPr>
                <w:rFonts w:hint="eastAsia" w:ascii="宋体" w:hAnsi="宋体" w:cs="宋体"/>
                <w:b/>
                <w:bCs/>
                <w:sz w:val="24"/>
                <w:highlight w:val="none"/>
              </w:rPr>
              <w:t>完成时间</w:t>
            </w:r>
            <w:bookmarkEnd w:id="257"/>
          </w:p>
        </w:tc>
        <w:tc>
          <w:tcPr>
            <w:tcW w:w="1357" w:type="dxa"/>
            <w:vAlign w:val="center"/>
          </w:tcPr>
          <w:p>
            <w:pPr>
              <w:widowControl/>
              <w:jc w:val="center"/>
              <w:outlineLvl w:val="1"/>
              <w:rPr>
                <w:rFonts w:ascii="宋体" w:hAnsi="宋体" w:cs="宋体"/>
                <w:b/>
                <w:bCs/>
                <w:sz w:val="24"/>
                <w:highlight w:val="none"/>
              </w:rPr>
            </w:pPr>
            <w:bookmarkStart w:id="258" w:name="_Toc503862979"/>
            <w:r>
              <w:rPr>
                <w:rFonts w:hint="eastAsia" w:ascii="宋体" w:hAnsi="宋体" w:cs="宋体"/>
                <w:b/>
                <w:bCs/>
                <w:sz w:val="24"/>
                <w:highlight w:val="none"/>
              </w:rPr>
              <w:t>合同金额</w:t>
            </w:r>
            <w:bookmarkEnd w:id="258"/>
          </w:p>
        </w:tc>
        <w:tc>
          <w:tcPr>
            <w:tcW w:w="1755" w:type="dxa"/>
            <w:gridSpan w:val="2"/>
            <w:tcBorders>
              <w:right w:val="single" w:color="auto" w:sz="4" w:space="0"/>
            </w:tcBorders>
            <w:vAlign w:val="center"/>
          </w:tcPr>
          <w:p>
            <w:pPr>
              <w:widowControl/>
              <w:jc w:val="center"/>
              <w:outlineLvl w:val="1"/>
              <w:rPr>
                <w:rFonts w:ascii="宋体" w:hAnsi="宋体" w:cs="宋体"/>
                <w:b/>
                <w:bCs/>
                <w:sz w:val="24"/>
                <w:highlight w:val="none"/>
              </w:rPr>
            </w:pPr>
            <w:bookmarkStart w:id="259" w:name="_Toc503862980"/>
            <w:r>
              <w:rPr>
                <w:rFonts w:hint="eastAsia" w:ascii="宋体" w:hAnsi="宋体" w:cs="宋体"/>
                <w:b/>
                <w:bCs/>
                <w:sz w:val="24"/>
                <w:highlight w:val="none"/>
              </w:rPr>
              <w:t>是否通过验收</w:t>
            </w:r>
            <w:bookmarkEnd w:id="259"/>
          </w:p>
        </w:tc>
        <w:tc>
          <w:tcPr>
            <w:tcW w:w="1068" w:type="dxa"/>
            <w:tcBorders>
              <w:left w:val="single" w:color="auto" w:sz="4" w:space="0"/>
            </w:tcBorders>
            <w:vAlign w:val="center"/>
          </w:tcPr>
          <w:p>
            <w:pPr>
              <w:widowControl/>
              <w:jc w:val="center"/>
              <w:outlineLvl w:val="1"/>
              <w:rPr>
                <w:rFonts w:ascii="宋体" w:hAnsi="宋体" w:cs="宋体"/>
                <w:b/>
                <w:bCs/>
                <w:sz w:val="24"/>
                <w:highlight w:val="none"/>
              </w:rPr>
            </w:pPr>
            <w:bookmarkStart w:id="260" w:name="_Toc503862981"/>
            <w:r>
              <w:rPr>
                <w:rFonts w:hint="eastAsia" w:ascii="宋体" w:hAnsi="宋体" w:cs="宋体"/>
                <w:b/>
                <w:bCs/>
                <w:sz w:val="24"/>
                <w:highlight w:val="none"/>
              </w:rPr>
              <w:t>备注</w:t>
            </w:r>
            <w:bookmarkEnd w:id="26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vAlign w:val="center"/>
          </w:tcPr>
          <w:p>
            <w:pPr>
              <w:widowControl/>
              <w:jc w:val="left"/>
              <w:rPr>
                <w:rFonts w:ascii="宋体" w:hAnsi="宋体" w:cs="宋体"/>
                <w:sz w:val="24"/>
                <w:highlight w:val="none"/>
              </w:rPr>
            </w:pPr>
          </w:p>
        </w:tc>
        <w:tc>
          <w:tcPr>
            <w:tcW w:w="1551" w:type="dxa"/>
            <w:vAlign w:val="center"/>
          </w:tcPr>
          <w:p>
            <w:pPr>
              <w:widowControl/>
              <w:jc w:val="left"/>
              <w:rPr>
                <w:rFonts w:ascii="宋体" w:hAnsi="宋体" w:cs="宋体"/>
                <w:sz w:val="24"/>
                <w:highlight w:val="none"/>
              </w:rPr>
            </w:pPr>
          </w:p>
        </w:tc>
        <w:tc>
          <w:tcPr>
            <w:tcW w:w="1421" w:type="dxa"/>
            <w:vAlign w:val="center"/>
          </w:tcPr>
          <w:p>
            <w:pPr>
              <w:widowControl/>
              <w:jc w:val="left"/>
              <w:rPr>
                <w:rFonts w:ascii="宋体" w:hAnsi="宋体" w:cs="宋体"/>
                <w:sz w:val="24"/>
                <w:highlight w:val="none"/>
              </w:rPr>
            </w:pPr>
          </w:p>
        </w:tc>
        <w:tc>
          <w:tcPr>
            <w:tcW w:w="1250" w:type="dxa"/>
            <w:vAlign w:val="center"/>
          </w:tcPr>
          <w:p>
            <w:pPr>
              <w:widowControl/>
              <w:jc w:val="left"/>
              <w:rPr>
                <w:rFonts w:ascii="宋体" w:hAnsi="宋体" w:cs="宋体"/>
                <w:sz w:val="24"/>
                <w:highlight w:val="none"/>
              </w:rPr>
            </w:pPr>
          </w:p>
        </w:tc>
        <w:tc>
          <w:tcPr>
            <w:tcW w:w="1357" w:type="dxa"/>
            <w:vAlign w:val="center"/>
          </w:tcPr>
          <w:p>
            <w:pPr>
              <w:widowControl/>
              <w:jc w:val="left"/>
              <w:rPr>
                <w:rFonts w:ascii="宋体" w:hAnsi="宋体" w:cs="宋体"/>
                <w:sz w:val="24"/>
                <w:highlight w:val="none"/>
              </w:rPr>
            </w:pPr>
          </w:p>
        </w:tc>
        <w:tc>
          <w:tcPr>
            <w:tcW w:w="1755" w:type="dxa"/>
            <w:gridSpan w:val="2"/>
            <w:tcBorders>
              <w:right w:val="single" w:color="auto" w:sz="4" w:space="0"/>
            </w:tcBorders>
            <w:vAlign w:val="center"/>
          </w:tcPr>
          <w:p>
            <w:pPr>
              <w:widowControl/>
              <w:jc w:val="left"/>
              <w:rPr>
                <w:rFonts w:ascii="宋体" w:hAnsi="宋体" w:cs="宋体"/>
                <w:sz w:val="24"/>
                <w:highlight w:val="none"/>
              </w:rPr>
            </w:pPr>
          </w:p>
        </w:tc>
        <w:tc>
          <w:tcPr>
            <w:tcW w:w="1068" w:type="dxa"/>
            <w:tcBorders>
              <w:left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vAlign w:val="center"/>
          </w:tcPr>
          <w:p>
            <w:pPr>
              <w:widowControl/>
              <w:jc w:val="left"/>
              <w:rPr>
                <w:rFonts w:ascii="宋体" w:hAnsi="宋体" w:cs="宋体"/>
                <w:sz w:val="24"/>
                <w:highlight w:val="none"/>
              </w:rPr>
            </w:pPr>
          </w:p>
        </w:tc>
        <w:tc>
          <w:tcPr>
            <w:tcW w:w="1551" w:type="dxa"/>
            <w:vAlign w:val="center"/>
          </w:tcPr>
          <w:p>
            <w:pPr>
              <w:widowControl/>
              <w:jc w:val="left"/>
              <w:rPr>
                <w:rFonts w:ascii="宋体" w:hAnsi="宋体" w:cs="宋体"/>
                <w:sz w:val="24"/>
                <w:highlight w:val="none"/>
              </w:rPr>
            </w:pPr>
          </w:p>
        </w:tc>
        <w:tc>
          <w:tcPr>
            <w:tcW w:w="1421" w:type="dxa"/>
            <w:vAlign w:val="center"/>
          </w:tcPr>
          <w:p>
            <w:pPr>
              <w:widowControl/>
              <w:jc w:val="left"/>
              <w:rPr>
                <w:rFonts w:ascii="宋体" w:hAnsi="宋体" w:cs="宋体"/>
                <w:sz w:val="24"/>
                <w:highlight w:val="none"/>
              </w:rPr>
            </w:pPr>
          </w:p>
        </w:tc>
        <w:tc>
          <w:tcPr>
            <w:tcW w:w="1250" w:type="dxa"/>
            <w:vAlign w:val="center"/>
          </w:tcPr>
          <w:p>
            <w:pPr>
              <w:widowControl/>
              <w:jc w:val="left"/>
              <w:rPr>
                <w:rFonts w:ascii="宋体" w:hAnsi="宋体" w:cs="宋体"/>
                <w:sz w:val="24"/>
                <w:highlight w:val="none"/>
              </w:rPr>
            </w:pPr>
          </w:p>
        </w:tc>
        <w:tc>
          <w:tcPr>
            <w:tcW w:w="1357" w:type="dxa"/>
            <w:vAlign w:val="center"/>
          </w:tcPr>
          <w:p>
            <w:pPr>
              <w:widowControl/>
              <w:jc w:val="left"/>
              <w:rPr>
                <w:rFonts w:ascii="宋体" w:hAnsi="宋体" w:cs="宋体"/>
                <w:sz w:val="24"/>
                <w:highlight w:val="none"/>
              </w:rPr>
            </w:pPr>
          </w:p>
        </w:tc>
        <w:tc>
          <w:tcPr>
            <w:tcW w:w="1755" w:type="dxa"/>
            <w:gridSpan w:val="2"/>
            <w:tcBorders>
              <w:right w:val="single" w:color="auto" w:sz="4" w:space="0"/>
            </w:tcBorders>
            <w:vAlign w:val="center"/>
          </w:tcPr>
          <w:p>
            <w:pPr>
              <w:widowControl/>
              <w:jc w:val="left"/>
              <w:rPr>
                <w:rFonts w:ascii="宋体" w:hAnsi="宋体" w:cs="宋体"/>
                <w:sz w:val="24"/>
                <w:highlight w:val="none"/>
              </w:rPr>
            </w:pPr>
          </w:p>
        </w:tc>
        <w:tc>
          <w:tcPr>
            <w:tcW w:w="1068" w:type="dxa"/>
            <w:tcBorders>
              <w:left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vAlign w:val="center"/>
          </w:tcPr>
          <w:p>
            <w:pPr>
              <w:widowControl/>
              <w:jc w:val="left"/>
              <w:rPr>
                <w:rFonts w:ascii="宋体" w:hAnsi="宋体" w:cs="宋体"/>
                <w:sz w:val="24"/>
                <w:highlight w:val="none"/>
              </w:rPr>
            </w:pPr>
          </w:p>
        </w:tc>
        <w:tc>
          <w:tcPr>
            <w:tcW w:w="1551" w:type="dxa"/>
            <w:vAlign w:val="center"/>
          </w:tcPr>
          <w:p>
            <w:pPr>
              <w:widowControl/>
              <w:jc w:val="left"/>
              <w:rPr>
                <w:rFonts w:ascii="宋体" w:hAnsi="宋体" w:cs="宋体"/>
                <w:sz w:val="24"/>
                <w:highlight w:val="none"/>
              </w:rPr>
            </w:pPr>
          </w:p>
        </w:tc>
        <w:tc>
          <w:tcPr>
            <w:tcW w:w="1421" w:type="dxa"/>
            <w:vAlign w:val="center"/>
          </w:tcPr>
          <w:p>
            <w:pPr>
              <w:widowControl/>
              <w:jc w:val="left"/>
              <w:rPr>
                <w:rFonts w:ascii="宋体" w:hAnsi="宋体" w:cs="宋体"/>
                <w:sz w:val="24"/>
                <w:highlight w:val="none"/>
              </w:rPr>
            </w:pPr>
          </w:p>
        </w:tc>
        <w:tc>
          <w:tcPr>
            <w:tcW w:w="1250" w:type="dxa"/>
            <w:vAlign w:val="center"/>
          </w:tcPr>
          <w:p>
            <w:pPr>
              <w:widowControl/>
              <w:jc w:val="left"/>
              <w:rPr>
                <w:rFonts w:ascii="宋体" w:hAnsi="宋体" w:cs="宋体"/>
                <w:sz w:val="24"/>
                <w:highlight w:val="none"/>
              </w:rPr>
            </w:pPr>
          </w:p>
        </w:tc>
        <w:tc>
          <w:tcPr>
            <w:tcW w:w="1357" w:type="dxa"/>
            <w:vAlign w:val="center"/>
          </w:tcPr>
          <w:p>
            <w:pPr>
              <w:widowControl/>
              <w:jc w:val="left"/>
              <w:rPr>
                <w:rFonts w:ascii="宋体" w:hAnsi="宋体" w:cs="宋体"/>
                <w:sz w:val="24"/>
                <w:highlight w:val="none"/>
              </w:rPr>
            </w:pPr>
          </w:p>
        </w:tc>
        <w:tc>
          <w:tcPr>
            <w:tcW w:w="1755" w:type="dxa"/>
            <w:gridSpan w:val="2"/>
            <w:tcBorders>
              <w:right w:val="single" w:color="auto" w:sz="4" w:space="0"/>
            </w:tcBorders>
            <w:vAlign w:val="center"/>
          </w:tcPr>
          <w:p>
            <w:pPr>
              <w:widowControl/>
              <w:jc w:val="left"/>
              <w:rPr>
                <w:rFonts w:ascii="宋体" w:hAnsi="宋体" w:cs="宋体"/>
                <w:sz w:val="24"/>
                <w:highlight w:val="none"/>
              </w:rPr>
            </w:pPr>
          </w:p>
        </w:tc>
        <w:tc>
          <w:tcPr>
            <w:tcW w:w="1068" w:type="dxa"/>
            <w:tcBorders>
              <w:left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vAlign w:val="center"/>
          </w:tcPr>
          <w:p>
            <w:pPr>
              <w:widowControl/>
              <w:jc w:val="left"/>
              <w:rPr>
                <w:rFonts w:ascii="宋体" w:hAnsi="宋体" w:cs="宋体"/>
                <w:sz w:val="24"/>
                <w:highlight w:val="none"/>
              </w:rPr>
            </w:pPr>
          </w:p>
        </w:tc>
        <w:tc>
          <w:tcPr>
            <w:tcW w:w="1551" w:type="dxa"/>
            <w:tcBorders>
              <w:right w:val="single" w:color="auto" w:sz="4" w:space="0"/>
            </w:tcBorders>
            <w:vAlign w:val="center"/>
          </w:tcPr>
          <w:p>
            <w:pPr>
              <w:widowControl/>
              <w:jc w:val="left"/>
              <w:rPr>
                <w:rFonts w:ascii="宋体" w:hAnsi="宋体" w:cs="宋体"/>
                <w:sz w:val="24"/>
                <w:highlight w:val="none"/>
              </w:rPr>
            </w:pPr>
          </w:p>
        </w:tc>
        <w:tc>
          <w:tcPr>
            <w:tcW w:w="1421" w:type="dxa"/>
            <w:tcBorders>
              <w:left w:val="single" w:color="auto" w:sz="4" w:space="0"/>
            </w:tcBorders>
            <w:vAlign w:val="center"/>
          </w:tcPr>
          <w:p>
            <w:pPr>
              <w:widowControl/>
              <w:jc w:val="left"/>
              <w:rPr>
                <w:rFonts w:ascii="宋体" w:hAnsi="宋体" w:cs="宋体"/>
                <w:sz w:val="24"/>
                <w:highlight w:val="none"/>
              </w:rPr>
            </w:pPr>
          </w:p>
        </w:tc>
        <w:tc>
          <w:tcPr>
            <w:tcW w:w="1250" w:type="dxa"/>
            <w:vAlign w:val="center"/>
          </w:tcPr>
          <w:p>
            <w:pPr>
              <w:widowControl/>
              <w:jc w:val="left"/>
              <w:rPr>
                <w:rFonts w:ascii="宋体" w:hAnsi="宋体" w:cs="宋体"/>
                <w:sz w:val="24"/>
                <w:highlight w:val="none"/>
              </w:rPr>
            </w:pPr>
          </w:p>
        </w:tc>
        <w:tc>
          <w:tcPr>
            <w:tcW w:w="1357" w:type="dxa"/>
            <w:vAlign w:val="center"/>
          </w:tcPr>
          <w:p>
            <w:pPr>
              <w:widowControl/>
              <w:jc w:val="left"/>
              <w:rPr>
                <w:rFonts w:ascii="宋体" w:hAnsi="宋体" w:cs="宋体"/>
                <w:sz w:val="24"/>
                <w:highlight w:val="none"/>
              </w:rPr>
            </w:pPr>
          </w:p>
        </w:tc>
        <w:tc>
          <w:tcPr>
            <w:tcW w:w="1755" w:type="dxa"/>
            <w:gridSpan w:val="2"/>
            <w:tcBorders>
              <w:right w:val="single" w:color="auto" w:sz="4" w:space="0"/>
            </w:tcBorders>
            <w:vAlign w:val="center"/>
          </w:tcPr>
          <w:p>
            <w:pPr>
              <w:widowControl/>
              <w:jc w:val="left"/>
              <w:rPr>
                <w:rFonts w:ascii="宋体" w:hAnsi="宋体" w:cs="宋体"/>
                <w:sz w:val="24"/>
                <w:highlight w:val="none"/>
              </w:rPr>
            </w:pPr>
          </w:p>
        </w:tc>
        <w:tc>
          <w:tcPr>
            <w:tcW w:w="1068" w:type="dxa"/>
            <w:tcBorders>
              <w:left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tcBorders>
              <w:right w:val="single" w:color="auto" w:sz="4" w:space="0"/>
            </w:tcBorders>
            <w:vAlign w:val="center"/>
          </w:tcPr>
          <w:p>
            <w:pPr>
              <w:widowControl/>
              <w:jc w:val="left"/>
              <w:rPr>
                <w:rFonts w:ascii="宋体" w:hAnsi="宋体" w:cs="宋体"/>
                <w:sz w:val="24"/>
                <w:highlight w:val="none"/>
              </w:rPr>
            </w:pPr>
          </w:p>
        </w:tc>
        <w:tc>
          <w:tcPr>
            <w:tcW w:w="1551" w:type="dxa"/>
            <w:tcBorders>
              <w:left w:val="single" w:color="auto" w:sz="4" w:space="0"/>
              <w:right w:val="single" w:color="auto" w:sz="4" w:space="0"/>
            </w:tcBorders>
            <w:vAlign w:val="center"/>
          </w:tcPr>
          <w:p>
            <w:pPr>
              <w:widowControl/>
              <w:jc w:val="left"/>
              <w:rPr>
                <w:rFonts w:ascii="宋体" w:hAnsi="宋体" w:cs="宋体"/>
                <w:sz w:val="24"/>
                <w:highlight w:val="none"/>
              </w:rPr>
            </w:pPr>
          </w:p>
        </w:tc>
        <w:tc>
          <w:tcPr>
            <w:tcW w:w="1421" w:type="dxa"/>
            <w:tcBorders>
              <w:left w:val="single" w:color="auto" w:sz="4" w:space="0"/>
              <w:right w:val="single" w:color="auto" w:sz="4" w:space="0"/>
            </w:tcBorders>
            <w:vAlign w:val="center"/>
          </w:tcPr>
          <w:p>
            <w:pPr>
              <w:widowControl/>
              <w:jc w:val="left"/>
              <w:rPr>
                <w:rFonts w:ascii="宋体" w:hAnsi="宋体" w:cs="宋体"/>
                <w:sz w:val="24"/>
                <w:highlight w:val="none"/>
              </w:rPr>
            </w:pPr>
          </w:p>
        </w:tc>
        <w:tc>
          <w:tcPr>
            <w:tcW w:w="1250" w:type="dxa"/>
            <w:tcBorders>
              <w:left w:val="single" w:color="auto" w:sz="4" w:space="0"/>
              <w:right w:val="single" w:color="auto" w:sz="4" w:space="0"/>
            </w:tcBorders>
            <w:vAlign w:val="center"/>
          </w:tcPr>
          <w:p>
            <w:pPr>
              <w:widowControl/>
              <w:jc w:val="left"/>
              <w:rPr>
                <w:rFonts w:ascii="宋体" w:hAnsi="宋体" w:cs="宋体"/>
                <w:sz w:val="24"/>
                <w:highlight w:val="none"/>
              </w:rPr>
            </w:pPr>
          </w:p>
        </w:tc>
        <w:tc>
          <w:tcPr>
            <w:tcW w:w="1366" w:type="dxa"/>
            <w:gridSpan w:val="2"/>
            <w:tcBorders>
              <w:left w:val="single" w:color="auto" w:sz="4" w:space="0"/>
              <w:right w:val="single" w:color="auto" w:sz="4" w:space="0"/>
            </w:tcBorders>
            <w:vAlign w:val="center"/>
          </w:tcPr>
          <w:p>
            <w:pPr>
              <w:widowControl/>
              <w:jc w:val="left"/>
              <w:rPr>
                <w:rFonts w:ascii="宋体" w:hAnsi="宋体" w:cs="宋体"/>
                <w:sz w:val="24"/>
                <w:highlight w:val="none"/>
              </w:rPr>
            </w:pPr>
          </w:p>
        </w:tc>
        <w:tc>
          <w:tcPr>
            <w:tcW w:w="1746" w:type="dxa"/>
            <w:tcBorders>
              <w:left w:val="single" w:color="auto" w:sz="4" w:space="0"/>
              <w:right w:val="single" w:color="auto" w:sz="4" w:space="0"/>
            </w:tcBorders>
            <w:vAlign w:val="center"/>
          </w:tcPr>
          <w:p>
            <w:pPr>
              <w:widowControl/>
              <w:jc w:val="left"/>
              <w:rPr>
                <w:rFonts w:ascii="宋体" w:hAnsi="宋体" w:cs="宋体"/>
                <w:sz w:val="24"/>
                <w:highlight w:val="none"/>
              </w:rPr>
            </w:pPr>
          </w:p>
        </w:tc>
        <w:tc>
          <w:tcPr>
            <w:tcW w:w="1068" w:type="dxa"/>
            <w:tcBorders>
              <w:left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vAlign w:val="center"/>
          </w:tcPr>
          <w:p>
            <w:pPr>
              <w:widowControl/>
              <w:jc w:val="left"/>
              <w:rPr>
                <w:rFonts w:ascii="宋体" w:hAnsi="宋体" w:cs="宋体"/>
                <w:sz w:val="24"/>
                <w:highlight w:val="none"/>
              </w:rPr>
            </w:pPr>
          </w:p>
        </w:tc>
        <w:tc>
          <w:tcPr>
            <w:tcW w:w="1551" w:type="dxa"/>
            <w:vAlign w:val="center"/>
          </w:tcPr>
          <w:p>
            <w:pPr>
              <w:widowControl/>
              <w:jc w:val="left"/>
              <w:rPr>
                <w:rFonts w:ascii="宋体" w:hAnsi="宋体" w:cs="宋体"/>
                <w:sz w:val="24"/>
                <w:highlight w:val="none"/>
              </w:rPr>
            </w:pPr>
          </w:p>
        </w:tc>
        <w:tc>
          <w:tcPr>
            <w:tcW w:w="1421" w:type="dxa"/>
            <w:vAlign w:val="center"/>
          </w:tcPr>
          <w:p>
            <w:pPr>
              <w:widowControl/>
              <w:jc w:val="left"/>
              <w:rPr>
                <w:rFonts w:ascii="宋体" w:hAnsi="宋体" w:cs="宋体"/>
                <w:sz w:val="24"/>
                <w:highlight w:val="none"/>
              </w:rPr>
            </w:pPr>
          </w:p>
        </w:tc>
        <w:tc>
          <w:tcPr>
            <w:tcW w:w="1250" w:type="dxa"/>
            <w:vAlign w:val="center"/>
          </w:tcPr>
          <w:p>
            <w:pPr>
              <w:widowControl/>
              <w:jc w:val="left"/>
              <w:rPr>
                <w:rFonts w:ascii="宋体" w:hAnsi="宋体" w:cs="宋体"/>
                <w:sz w:val="24"/>
                <w:highlight w:val="none"/>
              </w:rPr>
            </w:pPr>
          </w:p>
        </w:tc>
        <w:tc>
          <w:tcPr>
            <w:tcW w:w="1366" w:type="dxa"/>
            <w:gridSpan w:val="2"/>
            <w:tcBorders>
              <w:right w:val="single" w:color="auto" w:sz="4" w:space="0"/>
            </w:tcBorders>
            <w:vAlign w:val="center"/>
          </w:tcPr>
          <w:p>
            <w:pPr>
              <w:widowControl/>
              <w:jc w:val="left"/>
              <w:rPr>
                <w:rFonts w:ascii="宋体" w:hAnsi="宋体" w:cs="宋体"/>
                <w:sz w:val="24"/>
                <w:highlight w:val="none"/>
              </w:rPr>
            </w:pPr>
          </w:p>
        </w:tc>
        <w:tc>
          <w:tcPr>
            <w:tcW w:w="1746" w:type="dxa"/>
            <w:tcBorders>
              <w:left w:val="single" w:color="auto" w:sz="4" w:space="0"/>
              <w:right w:val="single" w:color="auto" w:sz="4" w:space="0"/>
            </w:tcBorders>
            <w:vAlign w:val="center"/>
          </w:tcPr>
          <w:p>
            <w:pPr>
              <w:widowControl/>
              <w:jc w:val="left"/>
              <w:rPr>
                <w:rFonts w:ascii="宋体" w:hAnsi="宋体" w:cs="宋体"/>
                <w:sz w:val="24"/>
                <w:highlight w:val="none"/>
              </w:rPr>
            </w:pPr>
          </w:p>
        </w:tc>
        <w:tc>
          <w:tcPr>
            <w:tcW w:w="1068" w:type="dxa"/>
            <w:tcBorders>
              <w:left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vAlign w:val="center"/>
          </w:tcPr>
          <w:p>
            <w:pPr>
              <w:widowControl/>
              <w:jc w:val="left"/>
              <w:rPr>
                <w:rFonts w:ascii="宋体" w:hAnsi="宋体" w:cs="宋体"/>
                <w:sz w:val="24"/>
                <w:highlight w:val="none"/>
              </w:rPr>
            </w:pPr>
          </w:p>
        </w:tc>
        <w:tc>
          <w:tcPr>
            <w:tcW w:w="1551" w:type="dxa"/>
            <w:vAlign w:val="center"/>
          </w:tcPr>
          <w:p>
            <w:pPr>
              <w:widowControl/>
              <w:jc w:val="left"/>
              <w:rPr>
                <w:rFonts w:ascii="宋体" w:hAnsi="宋体" w:cs="宋体"/>
                <w:sz w:val="24"/>
                <w:highlight w:val="none"/>
              </w:rPr>
            </w:pPr>
          </w:p>
        </w:tc>
        <w:tc>
          <w:tcPr>
            <w:tcW w:w="1421" w:type="dxa"/>
            <w:vAlign w:val="center"/>
          </w:tcPr>
          <w:p>
            <w:pPr>
              <w:widowControl/>
              <w:jc w:val="left"/>
              <w:rPr>
                <w:rFonts w:ascii="宋体" w:hAnsi="宋体" w:cs="宋体"/>
                <w:sz w:val="24"/>
                <w:highlight w:val="none"/>
              </w:rPr>
            </w:pPr>
          </w:p>
        </w:tc>
        <w:tc>
          <w:tcPr>
            <w:tcW w:w="1250" w:type="dxa"/>
            <w:vAlign w:val="center"/>
          </w:tcPr>
          <w:p>
            <w:pPr>
              <w:widowControl/>
              <w:jc w:val="left"/>
              <w:rPr>
                <w:rFonts w:ascii="宋体" w:hAnsi="宋体" w:cs="宋体"/>
                <w:sz w:val="24"/>
                <w:highlight w:val="none"/>
              </w:rPr>
            </w:pPr>
          </w:p>
        </w:tc>
        <w:tc>
          <w:tcPr>
            <w:tcW w:w="1366" w:type="dxa"/>
            <w:gridSpan w:val="2"/>
            <w:tcBorders>
              <w:right w:val="single" w:color="auto" w:sz="4" w:space="0"/>
            </w:tcBorders>
            <w:vAlign w:val="center"/>
          </w:tcPr>
          <w:p>
            <w:pPr>
              <w:widowControl/>
              <w:jc w:val="left"/>
              <w:rPr>
                <w:rFonts w:ascii="宋体" w:hAnsi="宋体" w:cs="宋体"/>
                <w:sz w:val="24"/>
                <w:highlight w:val="none"/>
              </w:rPr>
            </w:pPr>
          </w:p>
        </w:tc>
        <w:tc>
          <w:tcPr>
            <w:tcW w:w="1746" w:type="dxa"/>
            <w:tcBorders>
              <w:left w:val="single" w:color="auto" w:sz="4" w:space="0"/>
              <w:right w:val="single" w:color="auto" w:sz="4" w:space="0"/>
            </w:tcBorders>
            <w:vAlign w:val="center"/>
          </w:tcPr>
          <w:p>
            <w:pPr>
              <w:widowControl/>
              <w:jc w:val="left"/>
              <w:rPr>
                <w:rFonts w:ascii="宋体" w:hAnsi="宋体" w:cs="宋体"/>
                <w:sz w:val="24"/>
                <w:highlight w:val="none"/>
              </w:rPr>
            </w:pPr>
          </w:p>
        </w:tc>
        <w:tc>
          <w:tcPr>
            <w:tcW w:w="1068" w:type="dxa"/>
            <w:tcBorders>
              <w:left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vAlign w:val="center"/>
          </w:tcPr>
          <w:p>
            <w:pPr>
              <w:widowControl/>
              <w:jc w:val="left"/>
              <w:rPr>
                <w:rFonts w:ascii="宋体" w:hAnsi="宋体" w:cs="宋体"/>
                <w:sz w:val="24"/>
                <w:highlight w:val="none"/>
              </w:rPr>
            </w:pPr>
          </w:p>
        </w:tc>
        <w:tc>
          <w:tcPr>
            <w:tcW w:w="1551" w:type="dxa"/>
            <w:vAlign w:val="center"/>
          </w:tcPr>
          <w:p>
            <w:pPr>
              <w:widowControl/>
              <w:jc w:val="left"/>
              <w:rPr>
                <w:rFonts w:ascii="宋体" w:hAnsi="宋体" w:cs="宋体"/>
                <w:sz w:val="24"/>
                <w:highlight w:val="none"/>
              </w:rPr>
            </w:pPr>
          </w:p>
        </w:tc>
        <w:tc>
          <w:tcPr>
            <w:tcW w:w="1421" w:type="dxa"/>
            <w:vAlign w:val="center"/>
          </w:tcPr>
          <w:p>
            <w:pPr>
              <w:widowControl/>
              <w:jc w:val="left"/>
              <w:rPr>
                <w:rFonts w:ascii="宋体" w:hAnsi="宋体" w:cs="宋体"/>
                <w:sz w:val="24"/>
                <w:highlight w:val="none"/>
              </w:rPr>
            </w:pPr>
          </w:p>
        </w:tc>
        <w:tc>
          <w:tcPr>
            <w:tcW w:w="1250" w:type="dxa"/>
            <w:vAlign w:val="center"/>
          </w:tcPr>
          <w:p>
            <w:pPr>
              <w:widowControl/>
              <w:jc w:val="left"/>
              <w:rPr>
                <w:rFonts w:ascii="宋体" w:hAnsi="宋体" w:cs="宋体"/>
                <w:sz w:val="24"/>
                <w:highlight w:val="none"/>
              </w:rPr>
            </w:pPr>
          </w:p>
        </w:tc>
        <w:tc>
          <w:tcPr>
            <w:tcW w:w="1366" w:type="dxa"/>
            <w:gridSpan w:val="2"/>
            <w:tcBorders>
              <w:right w:val="single" w:color="auto" w:sz="4" w:space="0"/>
            </w:tcBorders>
            <w:vAlign w:val="center"/>
          </w:tcPr>
          <w:p>
            <w:pPr>
              <w:widowControl/>
              <w:jc w:val="left"/>
              <w:rPr>
                <w:rFonts w:ascii="宋体" w:hAnsi="宋体" w:cs="宋体"/>
                <w:sz w:val="24"/>
                <w:highlight w:val="none"/>
              </w:rPr>
            </w:pPr>
          </w:p>
        </w:tc>
        <w:tc>
          <w:tcPr>
            <w:tcW w:w="1746" w:type="dxa"/>
            <w:tcBorders>
              <w:left w:val="single" w:color="auto" w:sz="4" w:space="0"/>
              <w:right w:val="single" w:color="auto" w:sz="4" w:space="0"/>
            </w:tcBorders>
            <w:vAlign w:val="center"/>
          </w:tcPr>
          <w:p>
            <w:pPr>
              <w:widowControl/>
              <w:jc w:val="left"/>
              <w:rPr>
                <w:rFonts w:ascii="宋体" w:hAnsi="宋体" w:cs="宋体"/>
                <w:sz w:val="24"/>
                <w:highlight w:val="none"/>
              </w:rPr>
            </w:pPr>
          </w:p>
        </w:tc>
        <w:tc>
          <w:tcPr>
            <w:tcW w:w="1068" w:type="dxa"/>
            <w:tcBorders>
              <w:left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tcBorders>
              <w:bottom w:val="single" w:color="auto" w:sz="4" w:space="0"/>
            </w:tcBorders>
            <w:vAlign w:val="center"/>
          </w:tcPr>
          <w:p>
            <w:pPr>
              <w:widowControl/>
              <w:jc w:val="left"/>
              <w:rPr>
                <w:rFonts w:ascii="宋体" w:hAnsi="宋体" w:cs="宋体"/>
                <w:sz w:val="24"/>
                <w:highlight w:val="none"/>
              </w:rPr>
            </w:pPr>
          </w:p>
        </w:tc>
        <w:tc>
          <w:tcPr>
            <w:tcW w:w="1551" w:type="dxa"/>
            <w:tcBorders>
              <w:bottom w:val="single" w:color="auto" w:sz="4" w:space="0"/>
            </w:tcBorders>
            <w:vAlign w:val="center"/>
          </w:tcPr>
          <w:p>
            <w:pPr>
              <w:widowControl/>
              <w:jc w:val="left"/>
              <w:rPr>
                <w:rFonts w:ascii="宋体" w:hAnsi="宋体" w:cs="宋体"/>
                <w:sz w:val="24"/>
                <w:highlight w:val="none"/>
              </w:rPr>
            </w:pPr>
          </w:p>
        </w:tc>
        <w:tc>
          <w:tcPr>
            <w:tcW w:w="1421" w:type="dxa"/>
            <w:tcBorders>
              <w:bottom w:val="single" w:color="auto" w:sz="4" w:space="0"/>
            </w:tcBorders>
            <w:vAlign w:val="center"/>
          </w:tcPr>
          <w:p>
            <w:pPr>
              <w:widowControl/>
              <w:jc w:val="left"/>
              <w:rPr>
                <w:rFonts w:ascii="宋体" w:hAnsi="宋体" w:cs="宋体"/>
                <w:sz w:val="24"/>
                <w:highlight w:val="none"/>
              </w:rPr>
            </w:pPr>
          </w:p>
        </w:tc>
        <w:tc>
          <w:tcPr>
            <w:tcW w:w="1250" w:type="dxa"/>
            <w:tcBorders>
              <w:bottom w:val="single" w:color="auto" w:sz="4" w:space="0"/>
            </w:tcBorders>
            <w:vAlign w:val="center"/>
          </w:tcPr>
          <w:p>
            <w:pPr>
              <w:widowControl/>
              <w:jc w:val="left"/>
              <w:rPr>
                <w:rFonts w:ascii="宋体" w:hAnsi="宋体" w:cs="宋体"/>
                <w:sz w:val="24"/>
                <w:highlight w:val="none"/>
              </w:rPr>
            </w:pPr>
          </w:p>
        </w:tc>
        <w:tc>
          <w:tcPr>
            <w:tcW w:w="1366" w:type="dxa"/>
            <w:gridSpan w:val="2"/>
            <w:tcBorders>
              <w:bottom w:val="single" w:color="auto" w:sz="4" w:space="0"/>
              <w:right w:val="single" w:color="auto" w:sz="4" w:space="0"/>
            </w:tcBorders>
            <w:vAlign w:val="center"/>
          </w:tcPr>
          <w:p>
            <w:pPr>
              <w:widowControl/>
              <w:jc w:val="left"/>
              <w:rPr>
                <w:rFonts w:ascii="宋体" w:hAnsi="宋体" w:cs="宋体"/>
                <w:sz w:val="24"/>
                <w:highlight w:val="none"/>
              </w:rPr>
            </w:pPr>
          </w:p>
        </w:tc>
        <w:tc>
          <w:tcPr>
            <w:tcW w:w="1746" w:type="dxa"/>
            <w:tcBorders>
              <w:left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c>
          <w:tcPr>
            <w:tcW w:w="1068" w:type="dxa"/>
            <w:tcBorders>
              <w:left w:val="single" w:color="auto" w:sz="4" w:space="0"/>
              <w:bottom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551"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421"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250"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366" w:type="dxa"/>
            <w:gridSpan w:val="2"/>
            <w:tcBorders>
              <w:top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c>
          <w:tcPr>
            <w:tcW w:w="1068" w:type="dxa"/>
            <w:tcBorders>
              <w:top w:val="single" w:color="auto" w:sz="4" w:space="0"/>
              <w:left w:val="single" w:color="auto" w:sz="4" w:space="0"/>
              <w:bottom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551"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421"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250"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366" w:type="dxa"/>
            <w:gridSpan w:val="2"/>
            <w:tcBorders>
              <w:top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c>
          <w:tcPr>
            <w:tcW w:w="1068" w:type="dxa"/>
            <w:tcBorders>
              <w:top w:val="single" w:color="auto" w:sz="4" w:space="0"/>
              <w:left w:val="single" w:color="auto" w:sz="4" w:space="0"/>
              <w:bottom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551"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421"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250" w:type="dxa"/>
            <w:tcBorders>
              <w:top w:val="single" w:color="auto" w:sz="4" w:space="0"/>
              <w:bottom w:val="single" w:color="auto" w:sz="4" w:space="0"/>
            </w:tcBorders>
            <w:vAlign w:val="center"/>
          </w:tcPr>
          <w:p>
            <w:pPr>
              <w:widowControl/>
              <w:jc w:val="left"/>
              <w:rPr>
                <w:rFonts w:ascii="宋体" w:hAnsi="宋体" w:cs="宋体"/>
                <w:sz w:val="24"/>
                <w:highlight w:val="none"/>
              </w:rPr>
            </w:pPr>
          </w:p>
        </w:tc>
        <w:tc>
          <w:tcPr>
            <w:tcW w:w="1366" w:type="dxa"/>
            <w:gridSpan w:val="2"/>
            <w:tcBorders>
              <w:top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c>
          <w:tcPr>
            <w:tcW w:w="1068" w:type="dxa"/>
            <w:tcBorders>
              <w:top w:val="single" w:color="auto" w:sz="4" w:space="0"/>
              <w:left w:val="single" w:color="auto" w:sz="4" w:space="0"/>
              <w:bottom w:val="single" w:color="auto" w:sz="4" w:space="0"/>
            </w:tcBorders>
            <w:vAlign w:val="center"/>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2" w:hRule="atLeast"/>
          <w:jc w:val="center"/>
        </w:trPr>
        <w:tc>
          <w:tcPr>
            <w:tcW w:w="775" w:type="dxa"/>
            <w:tcBorders>
              <w:top w:val="single" w:color="auto" w:sz="4" w:space="0"/>
            </w:tcBorders>
            <w:vAlign w:val="center"/>
          </w:tcPr>
          <w:p>
            <w:pPr>
              <w:widowControl/>
              <w:jc w:val="left"/>
              <w:rPr>
                <w:rFonts w:ascii="宋体" w:hAnsi="宋体" w:cs="宋体"/>
                <w:sz w:val="24"/>
                <w:highlight w:val="none"/>
              </w:rPr>
            </w:pPr>
          </w:p>
        </w:tc>
        <w:tc>
          <w:tcPr>
            <w:tcW w:w="1551" w:type="dxa"/>
            <w:tcBorders>
              <w:top w:val="single" w:color="auto" w:sz="4" w:space="0"/>
            </w:tcBorders>
            <w:vAlign w:val="center"/>
          </w:tcPr>
          <w:p>
            <w:pPr>
              <w:widowControl/>
              <w:jc w:val="left"/>
              <w:rPr>
                <w:rFonts w:ascii="宋体" w:hAnsi="宋体" w:cs="宋体"/>
                <w:sz w:val="24"/>
                <w:highlight w:val="none"/>
              </w:rPr>
            </w:pPr>
          </w:p>
        </w:tc>
        <w:tc>
          <w:tcPr>
            <w:tcW w:w="1421" w:type="dxa"/>
            <w:tcBorders>
              <w:top w:val="single" w:color="auto" w:sz="4" w:space="0"/>
            </w:tcBorders>
            <w:vAlign w:val="center"/>
          </w:tcPr>
          <w:p>
            <w:pPr>
              <w:widowControl/>
              <w:jc w:val="left"/>
              <w:rPr>
                <w:rFonts w:ascii="宋体" w:hAnsi="宋体" w:cs="宋体"/>
                <w:sz w:val="24"/>
                <w:highlight w:val="none"/>
              </w:rPr>
            </w:pPr>
          </w:p>
        </w:tc>
        <w:tc>
          <w:tcPr>
            <w:tcW w:w="1250" w:type="dxa"/>
            <w:tcBorders>
              <w:top w:val="single" w:color="auto" w:sz="4" w:space="0"/>
            </w:tcBorders>
            <w:vAlign w:val="center"/>
          </w:tcPr>
          <w:p>
            <w:pPr>
              <w:widowControl/>
              <w:jc w:val="left"/>
              <w:rPr>
                <w:rFonts w:ascii="宋体" w:hAnsi="宋体" w:cs="宋体"/>
                <w:sz w:val="24"/>
                <w:highlight w:val="none"/>
              </w:rPr>
            </w:pPr>
          </w:p>
        </w:tc>
        <w:tc>
          <w:tcPr>
            <w:tcW w:w="1366" w:type="dxa"/>
            <w:gridSpan w:val="2"/>
            <w:tcBorders>
              <w:top w:val="single" w:color="auto" w:sz="4" w:space="0"/>
              <w:right w:val="single" w:color="auto" w:sz="4" w:space="0"/>
            </w:tcBorders>
            <w:vAlign w:val="center"/>
          </w:tcPr>
          <w:p>
            <w:pPr>
              <w:widowControl/>
              <w:jc w:val="left"/>
              <w:rPr>
                <w:rFonts w:ascii="宋体" w:hAnsi="宋体" w:cs="宋体"/>
                <w:sz w:val="24"/>
                <w:highlight w:val="none"/>
              </w:rPr>
            </w:pPr>
          </w:p>
        </w:tc>
        <w:tc>
          <w:tcPr>
            <w:tcW w:w="1746" w:type="dxa"/>
            <w:tcBorders>
              <w:top w:val="single" w:color="auto" w:sz="4" w:space="0"/>
              <w:left w:val="single" w:color="auto" w:sz="4" w:space="0"/>
              <w:right w:val="single" w:color="auto" w:sz="4" w:space="0"/>
            </w:tcBorders>
            <w:vAlign w:val="center"/>
          </w:tcPr>
          <w:p>
            <w:pPr>
              <w:widowControl/>
              <w:jc w:val="left"/>
              <w:rPr>
                <w:rFonts w:ascii="宋体" w:hAnsi="宋体" w:cs="宋体"/>
                <w:sz w:val="24"/>
                <w:highlight w:val="none"/>
              </w:rPr>
            </w:pPr>
          </w:p>
        </w:tc>
        <w:tc>
          <w:tcPr>
            <w:tcW w:w="1068" w:type="dxa"/>
            <w:tcBorders>
              <w:top w:val="single" w:color="auto" w:sz="4" w:space="0"/>
              <w:left w:val="single" w:color="auto" w:sz="4" w:space="0"/>
            </w:tcBorders>
            <w:vAlign w:val="center"/>
          </w:tcPr>
          <w:p>
            <w:pPr>
              <w:widowControl/>
              <w:jc w:val="left"/>
              <w:rPr>
                <w:rFonts w:ascii="宋体" w:hAnsi="宋体" w:cs="宋体"/>
                <w:sz w:val="24"/>
                <w:highlight w:val="none"/>
              </w:rPr>
            </w:pPr>
          </w:p>
        </w:tc>
      </w:tr>
    </w:tbl>
    <w:p>
      <w:pPr>
        <w:widowControl/>
        <w:spacing w:line="360" w:lineRule="atLeast"/>
        <w:ind w:firstLine="470" w:firstLineChars="196"/>
        <w:jc w:val="left"/>
        <w:rPr>
          <w:rFonts w:ascii="宋体" w:hAnsi="宋体" w:cs="宋体"/>
          <w:sz w:val="24"/>
          <w:highlight w:val="none"/>
        </w:rPr>
      </w:pPr>
    </w:p>
    <w:p>
      <w:pPr>
        <w:adjustRightInd w:val="0"/>
        <w:snapToGrid w:val="0"/>
        <w:spacing w:line="360" w:lineRule="auto"/>
        <w:ind w:firstLine="480" w:firstLineChars="200"/>
        <w:rPr>
          <w:rFonts w:ascii="宋体" w:hAnsi="宋体" w:cs="宋体"/>
          <w:bCs/>
          <w:sz w:val="24"/>
          <w:highlight w:val="none"/>
        </w:rPr>
      </w:pPr>
      <w:bookmarkStart w:id="261" w:name="_Toc503862982"/>
      <w:r>
        <w:rPr>
          <w:rFonts w:hint="eastAsia" w:ascii="宋体" w:hAnsi="宋体" w:cs="宋体"/>
          <w:bCs/>
          <w:sz w:val="24"/>
          <w:highlight w:val="none"/>
        </w:rPr>
        <w:t>注：以上业绩需提供招标文件要求的有关书面证明材料。</w:t>
      </w:r>
      <w:bookmarkEnd w:id="261"/>
    </w:p>
    <w:p>
      <w:pPr>
        <w:widowControl/>
        <w:spacing w:line="360" w:lineRule="atLeast"/>
        <w:ind w:firstLine="470" w:firstLineChars="196"/>
        <w:jc w:val="left"/>
        <w:rPr>
          <w:rFonts w:ascii="宋体" w:hAnsi="宋体" w:cs="宋体"/>
          <w:sz w:val="24"/>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widowControl/>
        <w:spacing w:line="360" w:lineRule="atLeast"/>
        <w:jc w:val="left"/>
        <w:rPr>
          <w:rFonts w:ascii="宋体" w:hAnsi="宋体" w:cs="宋体"/>
          <w:b/>
          <w:sz w:val="24"/>
          <w:highlight w:val="none"/>
        </w:rPr>
      </w:pPr>
    </w:p>
    <w:p>
      <w:pPr>
        <w:spacing w:line="360" w:lineRule="auto"/>
        <w:rPr>
          <w:rFonts w:hint="eastAsia" w:ascii="宋体" w:hAnsi="宋体" w:eastAsia="宋体" w:cs="宋体"/>
          <w:b/>
          <w:sz w:val="32"/>
          <w:szCs w:val="32"/>
          <w:highlight w:val="none"/>
          <w:lang w:eastAsia="zh-CN"/>
        </w:rPr>
      </w:pPr>
      <w:r>
        <w:rPr>
          <w:rFonts w:hint="eastAsia" w:ascii="宋体" w:hAnsi="宋体" w:cs="宋体"/>
          <w:b/>
          <w:sz w:val="32"/>
          <w:szCs w:val="32"/>
          <w:highlight w:val="none"/>
        </w:rPr>
        <w:br w:type="page"/>
      </w:r>
      <w:r>
        <w:rPr>
          <w:rFonts w:hint="eastAsia" w:ascii="宋体" w:hAnsi="宋体" w:cs="宋体"/>
          <w:b/>
          <w:sz w:val="32"/>
          <w:szCs w:val="32"/>
          <w:highlight w:val="none"/>
        </w:rPr>
        <w:t>格式2-1</w:t>
      </w:r>
      <w:r>
        <w:rPr>
          <w:rFonts w:hint="eastAsia" w:ascii="宋体" w:hAnsi="宋体" w:cs="宋体"/>
          <w:b/>
          <w:sz w:val="32"/>
          <w:szCs w:val="32"/>
          <w:highlight w:val="none"/>
          <w:lang w:val="en-US" w:eastAsia="zh-CN"/>
        </w:rPr>
        <w:t>0</w:t>
      </w:r>
    </w:p>
    <w:p>
      <w:pPr>
        <w:widowControl/>
        <w:spacing w:line="360" w:lineRule="auto"/>
        <w:jc w:val="center"/>
        <w:outlineLvl w:val="2"/>
        <w:rPr>
          <w:rFonts w:ascii="宋体" w:hAnsi="宋体" w:cs="宋体"/>
          <w:b/>
          <w:sz w:val="32"/>
          <w:szCs w:val="32"/>
          <w:highlight w:val="none"/>
        </w:rPr>
      </w:pPr>
      <w:bookmarkStart w:id="262" w:name="_Toc503862999"/>
      <w:r>
        <w:rPr>
          <w:rFonts w:hint="eastAsia" w:ascii="宋体" w:hAnsi="宋体" w:cs="宋体"/>
          <w:b/>
          <w:sz w:val="32"/>
          <w:szCs w:val="32"/>
          <w:highlight w:val="none"/>
          <w:lang w:val="en-US" w:eastAsia="zh-CN"/>
        </w:rPr>
        <w:t>九</w:t>
      </w:r>
      <w:r>
        <w:rPr>
          <w:rFonts w:hint="eastAsia" w:ascii="宋体" w:hAnsi="宋体" w:cs="宋体"/>
          <w:b/>
          <w:sz w:val="32"/>
          <w:szCs w:val="32"/>
          <w:highlight w:val="none"/>
        </w:rPr>
        <w:t>、投标人本项目管理、技术、服务人员情况表</w:t>
      </w:r>
      <w:bookmarkEnd w:id="262"/>
    </w:p>
    <w:p>
      <w:pPr>
        <w:widowControl/>
        <w:spacing w:line="360" w:lineRule="atLeast"/>
        <w:ind w:firstLine="472" w:firstLineChars="196"/>
        <w:jc w:val="left"/>
        <w:rPr>
          <w:rFonts w:ascii="宋体" w:hAnsi="宋体" w:cs="宋体"/>
          <w:b/>
          <w:sz w:val="24"/>
          <w:highlight w:val="none"/>
        </w:rPr>
      </w:pPr>
    </w:p>
    <w:p>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项目名称</w:t>
      </w:r>
      <w:r>
        <w:rPr>
          <w:rFonts w:hint="eastAsia" w:ascii="宋体" w:hAnsi="宋体" w:cs="宋体"/>
          <w:bCs/>
          <w:sz w:val="24"/>
          <w:highlight w:val="none"/>
          <w:lang w:eastAsia="zh-CN"/>
        </w:rPr>
        <w:t>：</w:t>
      </w: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 xml:space="preserve">     招标编号：</w:t>
      </w:r>
    </w:p>
    <w:tbl>
      <w:tblPr>
        <w:tblStyle w:val="22"/>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993"/>
        <w:gridCol w:w="994"/>
        <w:gridCol w:w="993"/>
        <w:gridCol w:w="993"/>
        <w:gridCol w:w="1047"/>
        <w:gridCol w:w="1182"/>
        <w:gridCol w:w="104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restart"/>
            <w:vAlign w:val="center"/>
          </w:tcPr>
          <w:p>
            <w:pPr>
              <w:widowControl/>
              <w:jc w:val="center"/>
              <w:outlineLvl w:val="1"/>
              <w:rPr>
                <w:rFonts w:ascii="宋体" w:hAnsi="宋体" w:cs="宋体"/>
                <w:b/>
                <w:bCs/>
                <w:sz w:val="24"/>
                <w:highlight w:val="none"/>
              </w:rPr>
            </w:pPr>
            <w:bookmarkStart w:id="263" w:name="_Toc503863001"/>
            <w:r>
              <w:rPr>
                <w:rFonts w:hint="eastAsia" w:ascii="宋体" w:hAnsi="宋体" w:cs="宋体"/>
                <w:b/>
                <w:bCs/>
                <w:sz w:val="24"/>
                <w:highlight w:val="none"/>
              </w:rPr>
              <w:t>类别</w:t>
            </w:r>
            <w:bookmarkEnd w:id="263"/>
          </w:p>
        </w:tc>
        <w:tc>
          <w:tcPr>
            <w:tcW w:w="993" w:type="dxa"/>
            <w:vMerge w:val="restart"/>
            <w:vAlign w:val="center"/>
          </w:tcPr>
          <w:p>
            <w:pPr>
              <w:widowControl/>
              <w:jc w:val="center"/>
              <w:outlineLvl w:val="1"/>
              <w:rPr>
                <w:rFonts w:ascii="宋体" w:hAnsi="宋体" w:cs="宋体"/>
                <w:b/>
                <w:bCs/>
                <w:sz w:val="24"/>
                <w:highlight w:val="none"/>
              </w:rPr>
            </w:pPr>
            <w:bookmarkStart w:id="264" w:name="_Toc503863002"/>
            <w:r>
              <w:rPr>
                <w:rFonts w:hint="eastAsia" w:ascii="宋体" w:hAnsi="宋体" w:cs="宋体"/>
                <w:b/>
                <w:bCs/>
                <w:sz w:val="24"/>
                <w:highlight w:val="none"/>
              </w:rPr>
              <w:t>职务</w:t>
            </w:r>
            <w:bookmarkEnd w:id="264"/>
          </w:p>
        </w:tc>
        <w:tc>
          <w:tcPr>
            <w:tcW w:w="994" w:type="dxa"/>
            <w:vMerge w:val="restart"/>
            <w:vAlign w:val="center"/>
          </w:tcPr>
          <w:p>
            <w:pPr>
              <w:widowControl/>
              <w:jc w:val="center"/>
              <w:outlineLvl w:val="1"/>
              <w:rPr>
                <w:rFonts w:ascii="宋体" w:hAnsi="宋体" w:cs="宋体"/>
                <w:b/>
                <w:bCs/>
                <w:sz w:val="24"/>
                <w:highlight w:val="none"/>
              </w:rPr>
            </w:pPr>
            <w:bookmarkStart w:id="265" w:name="_Toc503863003"/>
            <w:r>
              <w:rPr>
                <w:rFonts w:hint="eastAsia" w:ascii="宋体" w:hAnsi="宋体" w:cs="宋体"/>
                <w:b/>
                <w:bCs/>
                <w:sz w:val="24"/>
                <w:highlight w:val="none"/>
              </w:rPr>
              <w:t>姓名</w:t>
            </w:r>
            <w:bookmarkEnd w:id="265"/>
          </w:p>
        </w:tc>
        <w:tc>
          <w:tcPr>
            <w:tcW w:w="993" w:type="dxa"/>
            <w:vMerge w:val="restart"/>
            <w:vAlign w:val="center"/>
          </w:tcPr>
          <w:p>
            <w:pPr>
              <w:widowControl/>
              <w:jc w:val="center"/>
              <w:outlineLvl w:val="1"/>
              <w:rPr>
                <w:rFonts w:ascii="宋体" w:hAnsi="宋体" w:cs="宋体"/>
                <w:b/>
                <w:bCs/>
                <w:sz w:val="24"/>
                <w:highlight w:val="none"/>
              </w:rPr>
            </w:pPr>
            <w:bookmarkStart w:id="266" w:name="_Toc503863004"/>
            <w:r>
              <w:rPr>
                <w:rFonts w:hint="eastAsia" w:ascii="宋体" w:hAnsi="宋体" w:cs="宋体"/>
                <w:b/>
                <w:bCs/>
                <w:sz w:val="24"/>
                <w:highlight w:val="none"/>
              </w:rPr>
              <w:t>职称</w:t>
            </w:r>
            <w:bookmarkEnd w:id="266"/>
          </w:p>
        </w:tc>
        <w:tc>
          <w:tcPr>
            <w:tcW w:w="993" w:type="dxa"/>
            <w:vMerge w:val="restart"/>
            <w:vAlign w:val="center"/>
          </w:tcPr>
          <w:p>
            <w:pPr>
              <w:widowControl/>
              <w:jc w:val="center"/>
              <w:outlineLvl w:val="1"/>
              <w:rPr>
                <w:rFonts w:ascii="宋体" w:hAnsi="宋体" w:cs="宋体"/>
                <w:b/>
                <w:bCs/>
                <w:sz w:val="24"/>
                <w:highlight w:val="none"/>
              </w:rPr>
            </w:pPr>
            <w:bookmarkStart w:id="267" w:name="_Toc503863005"/>
            <w:r>
              <w:rPr>
                <w:rFonts w:hint="eastAsia" w:ascii="宋体" w:hAnsi="宋体" w:cs="宋体"/>
                <w:b/>
                <w:bCs/>
                <w:sz w:val="24"/>
                <w:highlight w:val="none"/>
              </w:rPr>
              <w:t>常住地</w:t>
            </w:r>
            <w:bookmarkEnd w:id="267"/>
          </w:p>
        </w:tc>
        <w:tc>
          <w:tcPr>
            <w:tcW w:w="4173" w:type="dxa"/>
            <w:gridSpan w:val="4"/>
            <w:vAlign w:val="center"/>
          </w:tcPr>
          <w:p>
            <w:pPr>
              <w:widowControl/>
              <w:jc w:val="center"/>
              <w:outlineLvl w:val="1"/>
              <w:rPr>
                <w:rFonts w:ascii="宋体" w:hAnsi="宋体" w:cs="宋体"/>
                <w:b/>
                <w:bCs/>
                <w:sz w:val="24"/>
                <w:highlight w:val="none"/>
              </w:rPr>
            </w:pPr>
            <w:bookmarkStart w:id="268" w:name="_Toc503863006"/>
            <w:r>
              <w:rPr>
                <w:rFonts w:hint="eastAsia" w:ascii="宋体" w:hAnsi="宋体" w:cs="宋体"/>
                <w:b/>
                <w:bCs/>
                <w:sz w:val="24"/>
                <w:highlight w:val="none"/>
              </w:rPr>
              <w:t>资格证明（附复印件）</w:t>
            </w:r>
            <w:bookmarkEnd w:id="2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continue"/>
            <w:vAlign w:val="center"/>
          </w:tcPr>
          <w:p>
            <w:pPr>
              <w:jc w:val="center"/>
              <w:rPr>
                <w:rFonts w:ascii="宋体" w:hAnsi="宋体" w:cs="宋体"/>
                <w:b/>
                <w:bCs/>
                <w:sz w:val="24"/>
                <w:highlight w:val="none"/>
              </w:rPr>
            </w:pPr>
          </w:p>
        </w:tc>
        <w:tc>
          <w:tcPr>
            <w:tcW w:w="993" w:type="dxa"/>
            <w:vMerge w:val="continue"/>
            <w:vAlign w:val="center"/>
          </w:tcPr>
          <w:p>
            <w:pPr>
              <w:rPr>
                <w:rFonts w:ascii="宋体" w:hAnsi="宋体" w:cs="宋体"/>
                <w:b/>
                <w:bCs/>
                <w:sz w:val="24"/>
                <w:highlight w:val="none"/>
              </w:rPr>
            </w:pPr>
          </w:p>
        </w:tc>
        <w:tc>
          <w:tcPr>
            <w:tcW w:w="994" w:type="dxa"/>
            <w:vMerge w:val="continue"/>
            <w:vAlign w:val="center"/>
          </w:tcPr>
          <w:p>
            <w:pPr>
              <w:rPr>
                <w:rFonts w:ascii="宋体" w:hAnsi="宋体" w:cs="宋体"/>
                <w:b/>
                <w:bCs/>
                <w:sz w:val="24"/>
                <w:highlight w:val="none"/>
              </w:rPr>
            </w:pPr>
          </w:p>
        </w:tc>
        <w:tc>
          <w:tcPr>
            <w:tcW w:w="993" w:type="dxa"/>
            <w:vMerge w:val="continue"/>
            <w:vAlign w:val="center"/>
          </w:tcPr>
          <w:p>
            <w:pPr>
              <w:rPr>
                <w:rFonts w:ascii="宋体" w:hAnsi="宋体" w:cs="宋体"/>
                <w:b/>
                <w:bCs/>
                <w:sz w:val="24"/>
                <w:highlight w:val="none"/>
              </w:rPr>
            </w:pPr>
          </w:p>
        </w:tc>
        <w:tc>
          <w:tcPr>
            <w:tcW w:w="993" w:type="dxa"/>
            <w:vMerge w:val="continue"/>
            <w:vAlign w:val="center"/>
          </w:tcPr>
          <w:p>
            <w:pPr>
              <w:rPr>
                <w:rFonts w:ascii="宋体" w:hAnsi="宋体" w:cs="宋体"/>
                <w:b/>
                <w:bCs/>
                <w:sz w:val="24"/>
                <w:highlight w:val="none"/>
              </w:rPr>
            </w:pPr>
          </w:p>
        </w:tc>
        <w:tc>
          <w:tcPr>
            <w:tcW w:w="1047" w:type="dxa"/>
            <w:vAlign w:val="center"/>
          </w:tcPr>
          <w:p>
            <w:pPr>
              <w:widowControl/>
              <w:jc w:val="center"/>
              <w:outlineLvl w:val="1"/>
              <w:rPr>
                <w:rFonts w:ascii="宋体" w:hAnsi="宋体" w:cs="宋体"/>
                <w:b/>
                <w:bCs/>
                <w:sz w:val="24"/>
                <w:highlight w:val="none"/>
              </w:rPr>
            </w:pPr>
            <w:bookmarkStart w:id="269" w:name="_Toc503863007"/>
            <w:r>
              <w:rPr>
                <w:rFonts w:hint="eastAsia" w:ascii="宋体" w:hAnsi="宋体" w:cs="宋体"/>
                <w:b/>
                <w:bCs/>
                <w:sz w:val="24"/>
                <w:highlight w:val="none"/>
              </w:rPr>
              <w:t>证书</w:t>
            </w:r>
            <w:bookmarkEnd w:id="269"/>
          </w:p>
          <w:p>
            <w:pPr>
              <w:widowControl/>
              <w:jc w:val="center"/>
              <w:outlineLvl w:val="1"/>
              <w:rPr>
                <w:rFonts w:ascii="宋体" w:hAnsi="宋体" w:cs="宋体"/>
                <w:b/>
                <w:bCs/>
                <w:sz w:val="24"/>
                <w:highlight w:val="none"/>
              </w:rPr>
            </w:pPr>
            <w:bookmarkStart w:id="270" w:name="_Toc503863008"/>
            <w:r>
              <w:rPr>
                <w:rFonts w:hint="eastAsia" w:ascii="宋体" w:hAnsi="宋体" w:cs="宋体"/>
                <w:b/>
                <w:bCs/>
                <w:sz w:val="24"/>
                <w:highlight w:val="none"/>
              </w:rPr>
              <w:t>名称</w:t>
            </w:r>
            <w:bookmarkEnd w:id="270"/>
          </w:p>
        </w:tc>
        <w:tc>
          <w:tcPr>
            <w:tcW w:w="1182" w:type="dxa"/>
            <w:vAlign w:val="center"/>
          </w:tcPr>
          <w:p>
            <w:pPr>
              <w:widowControl/>
              <w:jc w:val="center"/>
              <w:outlineLvl w:val="1"/>
              <w:rPr>
                <w:rFonts w:ascii="宋体" w:hAnsi="宋体" w:cs="宋体"/>
                <w:b/>
                <w:bCs/>
                <w:sz w:val="24"/>
                <w:highlight w:val="none"/>
              </w:rPr>
            </w:pPr>
            <w:bookmarkStart w:id="271" w:name="_Toc503863009"/>
            <w:r>
              <w:rPr>
                <w:rFonts w:hint="eastAsia" w:ascii="宋体" w:hAnsi="宋体" w:cs="宋体"/>
                <w:b/>
                <w:bCs/>
                <w:sz w:val="24"/>
                <w:highlight w:val="none"/>
              </w:rPr>
              <w:t>级别</w:t>
            </w:r>
            <w:bookmarkEnd w:id="271"/>
          </w:p>
        </w:tc>
        <w:tc>
          <w:tcPr>
            <w:tcW w:w="1043" w:type="dxa"/>
            <w:vAlign w:val="center"/>
          </w:tcPr>
          <w:p>
            <w:pPr>
              <w:widowControl/>
              <w:jc w:val="center"/>
              <w:outlineLvl w:val="1"/>
              <w:rPr>
                <w:rFonts w:ascii="宋体" w:hAnsi="宋体" w:cs="宋体"/>
                <w:b/>
                <w:bCs/>
                <w:sz w:val="24"/>
                <w:highlight w:val="none"/>
              </w:rPr>
            </w:pPr>
            <w:bookmarkStart w:id="272" w:name="_Toc503863010"/>
            <w:r>
              <w:rPr>
                <w:rFonts w:hint="eastAsia" w:ascii="宋体" w:hAnsi="宋体" w:cs="宋体"/>
                <w:b/>
                <w:bCs/>
                <w:sz w:val="24"/>
                <w:highlight w:val="none"/>
              </w:rPr>
              <w:t>证号</w:t>
            </w:r>
            <w:bookmarkEnd w:id="272"/>
          </w:p>
        </w:tc>
        <w:tc>
          <w:tcPr>
            <w:tcW w:w="901" w:type="dxa"/>
            <w:vAlign w:val="center"/>
          </w:tcPr>
          <w:p>
            <w:pPr>
              <w:widowControl/>
              <w:jc w:val="center"/>
              <w:outlineLvl w:val="1"/>
              <w:rPr>
                <w:rFonts w:ascii="宋体" w:hAnsi="宋体" w:cs="宋体"/>
                <w:b/>
                <w:bCs/>
                <w:sz w:val="24"/>
                <w:highlight w:val="none"/>
              </w:rPr>
            </w:pPr>
            <w:bookmarkStart w:id="273" w:name="_Toc503863011"/>
            <w:r>
              <w:rPr>
                <w:rFonts w:hint="eastAsia" w:ascii="宋体" w:hAnsi="宋体" w:cs="宋体"/>
                <w:b/>
                <w:bCs/>
                <w:sz w:val="24"/>
                <w:highlight w:val="none"/>
              </w:rPr>
              <w:t>专业</w:t>
            </w:r>
            <w:bookmarkEnd w:id="2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restart"/>
            <w:vAlign w:val="center"/>
          </w:tcPr>
          <w:p>
            <w:pPr>
              <w:widowControl/>
              <w:jc w:val="center"/>
              <w:outlineLvl w:val="1"/>
              <w:rPr>
                <w:rFonts w:ascii="宋体" w:hAnsi="宋体" w:cs="宋体"/>
                <w:b/>
                <w:bCs/>
                <w:sz w:val="24"/>
                <w:highlight w:val="none"/>
              </w:rPr>
            </w:pPr>
            <w:bookmarkStart w:id="274" w:name="_Toc503863012"/>
            <w:r>
              <w:rPr>
                <w:rFonts w:hint="eastAsia" w:ascii="宋体" w:hAnsi="宋体" w:cs="宋体"/>
                <w:b/>
                <w:bCs/>
                <w:sz w:val="24"/>
                <w:highlight w:val="none"/>
              </w:rPr>
              <w:t>管理</w:t>
            </w:r>
            <w:bookmarkEnd w:id="274"/>
          </w:p>
          <w:p>
            <w:pPr>
              <w:widowControl/>
              <w:jc w:val="center"/>
              <w:outlineLvl w:val="1"/>
              <w:rPr>
                <w:rFonts w:ascii="宋体" w:hAnsi="宋体" w:cs="宋体"/>
                <w:b/>
                <w:bCs/>
                <w:sz w:val="24"/>
                <w:highlight w:val="none"/>
              </w:rPr>
            </w:pPr>
            <w:bookmarkStart w:id="275" w:name="_Toc503863013"/>
            <w:r>
              <w:rPr>
                <w:rFonts w:hint="eastAsia" w:ascii="宋体" w:hAnsi="宋体" w:cs="宋体"/>
                <w:b/>
                <w:bCs/>
                <w:sz w:val="24"/>
                <w:highlight w:val="none"/>
              </w:rPr>
              <w:t>人员</w:t>
            </w:r>
            <w:bookmarkEnd w:id="275"/>
          </w:p>
        </w:tc>
        <w:tc>
          <w:tcPr>
            <w:tcW w:w="993" w:type="dxa"/>
          </w:tcPr>
          <w:p>
            <w:pPr>
              <w:widowControl/>
              <w:jc w:val="left"/>
              <w:rPr>
                <w:rFonts w:ascii="宋体" w:hAnsi="宋体" w:cs="宋体"/>
                <w:sz w:val="24"/>
                <w:highlight w:val="none"/>
              </w:rPr>
            </w:pPr>
          </w:p>
        </w:tc>
        <w:tc>
          <w:tcPr>
            <w:tcW w:w="994"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1047" w:type="dxa"/>
          </w:tcPr>
          <w:p>
            <w:pPr>
              <w:widowControl/>
              <w:jc w:val="left"/>
              <w:rPr>
                <w:rFonts w:ascii="宋体" w:hAnsi="宋体" w:cs="宋体"/>
                <w:sz w:val="24"/>
                <w:highlight w:val="none"/>
              </w:rPr>
            </w:pPr>
          </w:p>
        </w:tc>
        <w:tc>
          <w:tcPr>
            <w:tcW w:w="1182" w:type="dxa"/>
          </w:tcPr>
          <w:p>
            <w:pPr>
              <w:widowControl/>
              <w:jc w:val="left"/>
              <w:rPr>
                <w:rFonts w:ascii="宋体" w:hAnsi="宋体" w:cs="宋体"/>
                <w:sz w:val="24"/>
                <w:highlight w:val="none"/>
              </w:rPr>
            </w:pPr>
          </w:p>
        </w:tc>
        <w:tc>
          <w:tcPr>
            <w:tcW w:w="1043" w:type="dxa"/>
          </w:tcPr>
          <w:p>
            <w:pPr>
              <w:widowControl/>
              <w:jc w:val="left"/>
              <w:rPr>
                <w:rFonts w:ascii="宋体" w:hAnsi="宋体" w:cs="宋体"/>
                <w:sz w:val="24"/>
                <w:highlight w:val="none"/>
              </w:rPr>
            </w:pPr>
          </w:p>
        </w:tc>
        <w:tc>
          <w:tcPr>
            <w:tcW w:w="901" w:type="dxa"/>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continue"/>
            <w:vAlign w:val="center"/>
          </w:tcPr>
          <w:p>
            <w:pPr>
              <w:jc w:val="center"/>
              <w:rPr>
                <w:rFonts w:ascii="宋体" w:hAnsi="宋体" w:cs="宋体"/>
                <w:b/>
                <w:bCs/>
                <w:sz w:val="24"/>
                <w:highlight w:val="none"/>
              </w:rPr>
            </w:pPr>
          </w:p>
        </w:tc>
        <w:tc>
          <w:tcPr>
            <w:tcW w:w="993" w:type="dxa"/>
          </w:tcPr>
          <w:p>
            <w:pPr>
              <w:widowControl/>
              <w:jc w:val="left"/>
              <w:rPr>
                <w:rFonts w:ascii="宋体" w:hAnsi="宋体" w:cs="宋体"/>
                <w:sz w:val="24"/>
                <w:highlight w:val="none"/>
              </w:rPr>
            </w:pPr>
          </w:p>
        </w:tc>
        <w:tc>
          <w:tcPr>
            <w:tcW w:w="994"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1047" w:type="dxa"/>
          </w:tcPr>
          <w:p>
            <w:pPr>
              <w:widowControl/>
              <w:jc w:val="left"/>
              <w:rPr>
                <w:rFonts w:ascii="宋体" w:hAnsi="宋体" w:cs="宋体"/>
                <w:sz w:val="24"/>
                <w:highlight w:val="none"/>
              </w:rPr>
            </w:pPr>
          </w:p>
        </w:tc>
        <w:tc>
          <w:tcPr>
            <w:tcW w:w="1182" w:type="dxa"/>
          </w:tcPr>
          <w:p>
            <w:pPr>
              <w:widowControl/>
              <w:jc w:val="left"/>
              <w:rPr>
                <w:rFonts w:ascii="宋体" w:hAnsi="宋体" w:cs="宋体"/>
                <w:sz w:val="24"/>
                <w:highlight w:val="none"/>
              </w:rPr>
            </w:pPr>
          </w:p>
        </w:tc>
        <w:tc>
          <w:tcPr>
            <w:tcW w:w="1043" w:type="dxa"/>
          </w:tcPr>
          <w:p>
            <w:pPr>
              <w:widowControl/>
              <w:jc w:val="left"/>
              <w:rPr>
                <w:rFonts w:ascii="宋体" w:hAnsi="宋体" w:cs="宋体"/>
                <w:sz w:val="24"/>
                <w:highlight w:val="none"/>
              </w:rPr>
            </w:pPr>
          </w:p>
        </w:tc>
        <w:tc>
          <w:tcPr>
            <w:tcW w:w="901" w:type="dxa"/>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continue"/>
            <w:vAlign w:val="center"/>
          </w:tcPr>
          <w:p>
            <w:pPr>
              <w:jc w:val="center"/>
              <w:rPr>
                <w:rFonts w:ascii="宋体" w:hAnsi="宋体" w:cs="宋体"/>
                <w:b/>
                <w:bCs/>
                <w:sz w:val="24"/>
                <w:highlight w:val="none"/>
              </w:rPr>
            </w:pPr>
          </w:p>
        </w:tc>
        <w:tc>
          <w:tcPr>
            <w:tcW w:w="993" w:type="dxa"/>
          </w:tcPr>
          <w:p>
            <w:pPr>
              <w:widowControl/>
              <w:jc w:val="left"/>
              <w:rPr>
                <w:rFonts w:ascii="宋体" w:hAnsi="宋体" w:cs="宋体"/>
                <w:sz w:val="24"/>
                <w:highlight w:val="none"/>
              </w:rPr>
            </w:pPr>
          </w:p>
        </w:tc>
        <w:tc>
          <w:tcPr>
            <w:tcW w:w="994"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1047" w:type="dxa"/>
          </w:tcPr>
          <w:p>
            <w:pPr>
              <w:widowControl/>
              <w:jc w:val="left"/>
              <w:rPr>
                <w:rFonts w:ascii="宋体" w:hAnsi="宋体" w:cs="宋体"/>
                <w:sz w:val="24"/>
                <w:highlight w:val="none"/>
              </w:rPr>
            </w:pPr>
          </w:p>
        </w:tc>
        <w:tc>
          <w:tcPr>
            <w:tcW w:w="1182" w:type="dxa"/>
          </w:tcPr>
          <w:p>
            <w:pPr>
              <w:widowControl/>
              <w:jc w:val="left"/>
              <w:rPr>
                <w:rFonts w:ascii="宋体" w:hAnsi="宋体" w:cs="宋体"/>
                <w:sz w:val="24"/>
                <w:highlight w:val="none"/>
              </w:rPr>
            </w:pPr>
          </w:p>
        </w:tc>
        <w:tc>
          <w:tcPr>
            <w:tcW w:w="1043" w:type="dxa"/>
          </w:tcPr>
          <w:p>
            <w:pPr>
              <w:widowControl/>
              <w:jc w:val="left"/>
              <w:rPr>
                <w:rFonts w:ascii="宋体" w:hAnsi="宋体" w:cs="宋体"/>
                <w:sz w:val="24"/>
                <w:highlight w:val="none"/>
              </w:rPr>
            </w:pPr>
          </w:p>
        </w:tc>
        <w:tc>
          <w:tcPr>
            <w:tcW w:w="901" w:type="dxa"/>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restart"/>
            <w:vAlign w:val="center"/>
          </w:tcPr>
          <w:p>
            <w:pPr>
              <w:widowControl/>
              <w:jc w:val="center"/>
              <w:outlineLvl w:val="1"/>
              <w:rPr>
                <w:rFonts w:ascii="宋体" w:hAnsi="宋体" w:cs="宋体"/>
                <w:b/>
                <w:bCs/>
                <w:sz w:val="24"/>
                <w:highlight w:val="none"/>
              </w:rPr>
            </w:pPr>
            <w:bookmarkStart w:id="276" w:name="_Toc503863014"/>
            <w:r>
              <w:rPr>
                <w:rFonts w:hint="eastAsia" w:ascii="宋体" w:hAnsi="宋体" w:cs="宋体"/>
                <w:b/>
                <w:bCs/>
                <w:sz w:val="24"/>
                <w:highlight w:val="none"/>
              </w:rPr>
              <w:t>技术</w:t>
            </w:r>
            <w:bookmarkEnd w:id="276"/>
          </w:p>
          <w:p>
            <w:pPr>
              <w:widowControl/>
              <w:jc w:val="center"/>
              <w:outlineLvl w:val="1"/>
              <w:rPr>
                <w:rFonts w:ascii="宋体" w:hAnsi="宋体" w:cs="宋体"/>
                <w:b/>
                <w:bCs/>
                <w:sz w:val="24"/>
                <w:highlight w:val="none"/>
              </w:rPr>
            </w:pPr>
            <w:bookmarkStart w:id="277" w:name="_Toc503863015"/>
            <w:r>
              <w:rPr>
                <w:rFonts w:hint="eastAsia" w:ascii="宋体" w:hAnsi="宋体" w:cs="宋体"/>
                <w:b/>
                <w:bCs/>
                <w:sz w:val="24"/>
                <w:highlight w:val="none"/>
              </w:rPr>
              <w:t>人员</w:t>
            </w:r>
            <w:bookmarkEnd w:id="277"/>
          </w:p>
        </w:tc>
        <w:tc>
          <w:tcPr>
            <w:tcW w:w="993" w:type="dxa"/>
          </w:tcPr>
          <w:p>
            <w:pPr>
              <w:widowControl/>
              <w:jc w:val="left"/>
              <w:rPr>
                <w:rFonts w:ascii="宋体" w:hAnsi="宋体" w:cs="宋体"/>
                <w:sz w:val="24"/>
                <w:highlight w:val="none"/>
              </w:rPr>
            </w:pPr>
          </w:p>
        </w:tc>
        <w:tc>
          <w:tcPr>
            <w:tcW w:w="994"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1047" w:type="dxa"/>
          </w:tcPr>
          <w:p>
            <w:pPr>
              <w:widowControl/>
              <w:jc w:val="left"/>
              <w:rPr>
                <w:rFonts w:ascii="宋体" w:hAnsi="宋体" w:cs="宋体"/>
                <w:sz w:val="24"/>
                <w:highlight w:val="none"/>
              </w:rPr>
            </w:pPr>
          </w:p>
        </w:tc>
        <w:tc>
          <w:tcPr>
            <w:tcW w:w="1182" w:type="dxa"/>
          </w:tcPr>
          <w:p>
            <w:pPr>
              <w:widowControl/>
              <w:jc w:val="left"/>
              <w:rPr>
                <w:rFonts w:ascii="宋体" w:hAnsi="宋体" w:cs="宋体"/>
                <w:sz w:val="24"/>
                <w:highlight w:val="none"/>
              </w:rPr>
            </w:pPr>
          </w:p>
        </w:tc>
        <w:tc>
          <w:tcPr>
            <w:tcW w:w="1043" w:type="dxa"/>
          </w:tcPr>
          <w:p>
            <w:pPr>
              <w:widowControl/>
              <w:jc w:val="left"/>
              <w:rPr>
                <w:rFonts w:ascii="宋体" w:hAnsi="宋体" w:cs="宋体"/>
                <w:sz w:val="24"/>
                <w:highlight w:val="none"/>
              </w:rPr>
            </w:pPr>
          </w:p>
        </w:tc>
        <w:tc>
          <w:tcPr>
            <w:tcW w:w="901" w:type="dxa"/>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continue"/>
            <w:vAlign w:val="center"/>
          </w:tcPr>
          <w:p>
            <w:pPr>
              <w:jc w:val="center"/>
              <w:rPr>
                <w:rFonts w:ascii="宋体" w:hAnsi="宋体" w:cs="宋体"/>
                <w:b/>
                <w:bCs/>
                <w:sz w:val="24"/>
                <w:highlight w:val="none"/>
              </w:rPr>
            </w:pPr>
          </w:p>
        </w:tc>
        <w:tc>
          <w:tcPr>
            <w:tcW w:w="993" w:type="dxa"/>
          </w:tcPr>
          <w:p>
            <w:pPr>
              <w:widowControl/>
              <w:jc w:val="left"/>
              <w:rPr>
                <w:rFonts w:ascii="宋体" w:hAnsi="宋体" w:cs="宋体"/>
                <w:sz w:val="24"/>
                <w:highlight w:val="none"/>
              </w:rPr>
            </w:pPr>
          </w:p>
        </w:tc>
        <w:tc>
          <w:tcPr>
            <w:tcW w:w="994"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1047" w:type="dxa"/>
          </w:tcPr>
          <w:p>
            <w:pPr>
              <w:widowControl/>
              <w:jc w:val="left"/>
              <w:rPr>
                <w:rFonts w:ascii="宋体" w:hAnsi="宋体" w:cs="宋体"/>
                <w:sz w:val="24"/>
                <w:highlight w:val="none"/>
              </w:rPr>
            </w:pPr>
          </w:p>
        </w:tc>
        <w:tc>
          <w:tcPr>
            <w:tcW w:w="1182" w:type="dxa"/>
          </w:tcPr>
          <w:p>
            <w:pPr>
              <w:widowControl/>
              <w:jc w:val="left"/>
              <w:rPr>
                <w:rFonts w:ascii="宋体" w:hAnsi="宋体" w:cs="宋体"/>
                <w:sz w:val="24"/>
                <w:highlight w:val="none"/>
              </w:rPr>
            </w:pPr>
          </w:p>
        </w:tc>
        <w:tc>
          <w:tcPr>
            <w:tcW w:w="1043" w:type="dxa"/>
          </w:tcPr>
          <w:p>
            <w:pPr>
              <w:widowControl/>
              <w:jc w:val="left"/>
              <w:rPr>
                <w:rFonts w:ascii="宋体" w:hAnsi="宋体" w:cs="宋体"/>
                <w:sz w:val="24"/>
                <w:highlight w:val="none"/>
              </w:rPr>
            </w:pPr>
          </w:p>
        </w:tc>
        <w:tc>
          <w:tcPr>
            <w:tcW w:w="901" w:type="dxa"/>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continue"/>
            <w:vAlign w:val="center"/>
          </w:tcPr>
          <w:p>
            <w:pPr>
              <w:jc w:val="center"/>
              <w:rPr>
                <w:rFonts w:ascii="宋体" w:hAnsi="宋体" w:cs="宋体"/>
                <w:b/>
                <w:bCs/>
                <w:sz w:val="24"/>
                <w:highlight w:val="none"/>
              </w:rPr>
            </w:pPr>
          </w:p>
        </w:tc>
        <w:tc>
          <w:tcPr>
            <w:tcW w:w="993" w:type="dxa"/>
          </w:tcPr>
          <w:p>
            <w:pPr>
              <w:widowControl/>
              <w:jc w:val="left"/>
              <w:rPr>
                <w:rFonts w:ascii="宋体" w:hAnsi="宋体" w:cs="宋体"/>
                <w:sz w:val="24"/>
                <w:highlight w:val="none"/>
              </w:rPr>
            </w:pPr>
          </w:p>
        </w:tc>
        <w:tc>
          <w:tcPr>
            <w:tcW w:w="994"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1047" w:type="dxa"/>
          </w:tcPr>
          <w:p>
            <w:pPr>
              <w:widowControl/>
              <w:jc w:val="left"/>
              <w:rPr>
                <w:rFonts w:ascii="宋体" w:hAnsi="宋体" w:cs="宋体"/>
                <w:sz w:val="24"/>
                <w:highlight w:val="none"/>
              </w:rPr>
            </w:pPr>
          </w:p>
        </w:tc>
        <w:tc>
          <w:tcPr>
            <w:tcW w:w="1182" w:type="dxa"/>
          </w:tcPr>
          <w:p>
            <w:pPr>
              <w:widowControl/>
              <w:jc w:val="left"/>
              <w:rPr>
                <w:rFonts w:ascii="宋体" w:hAnsi="宋体" w:cs="宋体"/>
                <w:sz w:val="24"/>
                <w:highlight w:val="none"/>
              </w:rPr>
            </w:pPr>
          </w:p>
        </w:tc>
        <w:tc>
          <w:tcPr>
            <w:tcW w:w="1043" w:type="dxa"/>
          </w:tcPr>
          <w:p>
            <w:pPr>
              <w:widowControl/>
              <w:jc w:val="left"/>
              <w:rPr>
                <w:rFonts w:ascii="宋体" w:hAnsi="宋体" w:cs="宋体"/>
                <w:sz w:val="24"/>
                <w:highlight w:val="none"/>
              </w:rPr>
            </w:pPr>
          </w:p>
        </w:tc>
        <w:tc>
          <w:tcPr>
            <w:tcW w:w="901" w:type="dxa"/>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restart"/>
            <w:vAlign w:val="center"/>
          </w:tcPr>
          <w:p>
            <w:pPr>
              <w:widowControl/>
              <w:jc w:val="center"/>
              <w:outlineLvl w:val="1"/>
              <w:rPr>
                <w:rFonts w:ascii="宋体" w:hAnsi="宋体" w:cs="宋体"/>
                <w:b/>
                <w:bCs/>
                <w:sz w:val="24"/>
                <w:highlight w:val="none"/>
              </w:rPr>
            </w:pPr>
            <w:bookmarkStart w:id="278" w:name="_Toc503863016"/>
            <w:r>
              <w:rPr>
                <w:rFonts w:hint="eastAsia" w:ascii="宋体" w:hAnsi="宋体" w:cs="宋体"/>
                <w:b/>
                <w:bCs/>
                <w:sz w:val="24"/>
                <w:highlight w:val="none"/>
              </w:rPr>
              <w:t>售后服务人员</w:t>
            </w:r>
            <w:bookmarkEnd w:id="278"/>
          </w:p>
        </w:tc>
        <w:tc>
          <w:tcPr>
            <w:tcW w:w="993" w:type="dxa"/>
          </w:tcPr>
          <w:p>
            <w:pPr>
              <w:widowControl/>
              <w:jc w:val="left"/>
              <w:rPr>
                <w:rFonts w:ascii="宋体" w:hAnsi="宋体" w:cs="宋体"/>
                <w:sz w:val="24"/>
                <w:highlight w:val="none"/>
              </w:rPr>
            </w:pPr>
          </w:p>
        </w:tc>
        <w:tc>
          <w:tcPr>
            <w:tcW w:w="994"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1047" w:type="dxa"/>
          </w:tcPr>
          <w:p>
            <w:pPr>
              <w:widowControl/>
              <w:jc w:val="left"/>
              <w:rPr>
                <w:rFonts w:ascii="宋体" w:hAnsi="宋体" w:cs="宋体"/>
                <w:sz w:val="24"/>
                <w:highlight w:val="none"/>
              </w:rPr>
            </w:pPr>
          </w:p>
        </w:tc>
        <w:tc>
          <w:tcPr>
            <w:tcW w:w="1182" w:type="dxa"/>
          </w:tcPr>
          <w:p>
            <w:pPr>
              <w:widowControl/>
              <w:jc w:val="left"/>
              <w:rPr>
                <w:rFonts w:ascii="宋体" w:hAnsi="宋体" w:cs="宋体"/>
                <w:sz w:val="24"/>
                <w:highlight w:val="none"/>
              </w:rPr>
            </w:pPr>
          </w:p>
        </w:tc>
        <w:tc>
          <w:tcPr>
            <w:tcW w:w="1043" w:type="dxa"/>
          </w:tcPr>
          <w:p>
            <w:pPr>
              <w:widowControl/>
              <w:jc w:val="left"/>
              <w:rPr>
                <w:rFonts w:ascii="宋体" w:hAnsi="宋体" w:cs="宋体"/>
                <w:sz w:val="24"/>
                <w:highlight w:val="none"/>
              </w:rPr>
            </w:pPr>
          </w:p>
        </w:tc>
        <w:tc>
          <w:tcPr>
            <w:tcW w:w="901" w:type="dxa"/>
          </w:tcPr>
          <w:p>
            <w:pPr>
              <w:widowControl/>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74" w:type="dxa"/>
            <w:vMerge w:val="continue"/>
            <w:tcBorders>
              <w:bottom w:val="single" w:color="auto" w:sz="4" w:space="0"/>
            </w:tcBorders>
          </w:tcPr>
          <w:p>
            <w:pPr>
              <w:rPr>
                <w:rFonts w:ascii="宋体" w:hAnsi="宋体" w:cs="宋体"/>
                <w:sz w:val="24"/>
                <w:highlight w:val="none"/>
              </w:rPr>
            </w:pPr>
          </w:p>
        </w:tc>
        <w:tc>
          <w:tcPr>
            <w:tcW w:w="993" w:type="dxa"/>
            <w:tcBorders>
              <w:bottom w:val="single" w:color="auto" w:sz="4" w:space="0"/>
            </w:tcBorders>
          </w:tcPr>
          <w:p>
            <w:pPr>
              <w:widowControl/>
              <w:jc w:val="left"/>
              <w:rPr>
                <w:rFonts w:ascii="宋体" w:hAnsi="宋体" w:cs="宋体"/>
                <w:sz w:val="24"/>
                <w:highlight w:val="none"/>
              </w:rPr>
            </w:pPr>
          </w:p>
        </w:tc>
        <w:tc>
          <w:tcPr>
            <w:tcW w:w="994"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993" w:type="dxa"/>
          </w:tcPr>
          <w:p>
            <w:pPr>
              <w:widowControl/>
              <w:jc w:val="left"/>
              <w:rPr>
                <w:rFonts w:ascii="宋体" w:hAnsi="宋体" w:cs="宋体"/>
                <w:sz w:val="24"/>
                <w:highlight w:val="none"/>
              </w:rPr>
            </w:pPr>
          </w:p>
        </w:tc>
        <w:tc>
          <w:tcPr>
            <w:tcW w:w="1047" w:type="dxa"/>
          </w:tcPr>
          <w:p>
            <w:pPr>
              <w:widowControl/>
              <w:jc w:val="left"/>
              <w:rPr>
                <w:rFonts w:ascii="宋体" w:hAnsi="宋体" w:cs="宋体"/>
                <w:sz w:val="24"/>
                <w:highlight w:val="none"/>
              </w:rPr>
            </w:pPr>
          </w:p>
        </w:tc>
        <w:tc>
          <w:tcPr>
            <w:tcW w:w="1182" w:type="dxa"/>
          </w:tcPr>
          <w:p>
            <w:pPr>
              <w:widowControl/>
              <w:jc w:val="left"/>
              <w:rPr>
                <w:rFonts w:ascii="宋体" w:hAnsi="宋体" w:cs="宋体"/>
                <w:sz w:val="24"/>
                <w:highlight w:val="none"/>
              </w:rPr>
            </w:pPr>
          </w:p>
        </w:tc>
        <w:tc>
          <w:tcPr>
            <w:tcW w:w="1043" w:type="dxa"/>
          </w:tcPr>
          <w:p>
            <w:pPr>
              <w:widowControl/>
              <w:jc w:val="left"/>
              <w:rPr>
                <w:rFonts w:ascii="宋体" w:hAnsi="宋体" w:cs="宋体"/>
                <w:sz w:val="24"/>
                <w:highlight w:val="none"/>
              </w:rPr>
            </w:pPr>
          </w:p>
        </w:tc>
        <w:tc>
          <w:tcPr>
            <w:tcW w:w="901" w:type="dxa"/>
          </w:tcPr>
          <w:p>
            <w:pPr>
              <w:widowControl/>
              <w:jc w:val="left"/>
              <w:rPr>
                <w:rFonts w:ascii="宋体" w:hAnsi="宋体" w:cs="宋体"/>
                <w:sz w:val="24"/>
                <w:highlight w:val="none"/>
              </w:rPr>
            </w:pPr>
          </w:p>
        </w:tc>
      </w:tr>
    </w:tbl>
    <w:p>
      <w:pPr>
        <w:widowControl/>
        <w:spacing w:line="360" w:lineRule="atLeast"/>
        <w:ind w:firstLine="470" w:firstLineChars="196"/>
        <w:jc w:val="left"/>
        <w:rPr>
          <w:rFonts w:ascii="宋体" w:hAnsi="宋体" w:cs="宋体"/>
          <w:sz w:val="24"/>
          <w:highlight w:val="none"/>
        </w:rPr>
      </w:pPr>
    </w:p>
    <w:p>
      <w:pPr>
        <w:pStyle w:val="11"/>
        <w:rPr>
          <w:rFonts w:hAnsi="宋体" w:cs="宋体"/>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widowControl/>
        <w:spacing w:line="360" w:lineRule="atLeast"/>
        <w:ind w:firstLine="472" w:firstLineChars="196"/>
        <w:jc w:val="left"/>
        <w:rPr>
          <w:rFonts w:ascii="宋体" w:hAnsi="宋体" w:cs="宋体"/>
          <w:b/>
          <w:sz w:val="24"/>
          <w:highlight w:val="none"/>
        </w:rPr>
      </w:pPr>
    </w:p>
    <w:p>
      <w:pPr>
        <w:widowControl/>
        <w:spacing w:line="360" w:lineRule="atLeast"/>
        <w:ind w:firstLine="472" w:firstLineChars="196"/>
        <w:jc w:val="left"/>
        <w:rPr>
          <w:rFonts w:ascii="宋体" w:hAnsi="宋体" w:cs="宋体"/>
          <w:b/>
          <w:sz w:val="24"/>
          <w:highlight w:val="none"/>
        </w:rPr>
      </w:pPr>
    </w:p>
    <w:p>
      <w:pPr>
        <w:widowControl/>
        <w:spacing w:line="360" w:lineRule="atLeast"/>
        <w:ind w:firstLine="472" w:firstLineChars="196"/>
        <w:jc w:val="left"/>
        <w:rPr>
          <w:rFonts w:ascii="宋体" w:hAnsi="宋体" w:cs="宋体"/>
          <w:b/>
          <w:sz w:val="24"/>
          <w:highlight w:val="none"/>
        </w:rPr>
      </w:pPr>
    </w:p>
    <w:p>
      <w:pPr>
        <w:spacing w:line="360" w:lineRule="auto"/>
        <w:rPr>
          <w:rFonts w:hint="eastAsia" w:ascii="宋体" w:hAnsi="宋体" w:eastAsia="宋体" w:cs="宋体"/>
          <w:b/>
          <w:sz w:val="32"/>
          <w:szCs w:val="32"/>
          <w:highlight w:val="none"/>
          <w:lang w:eastAsia="zh-CN"/>
        </w:rPr>
      </w:pPr>
      <w:r>
        <w:rPr>
          <w:rFonts w:hint="eastAsia" w:ascii="宋体" w:hAnsi="宋体" w:cs="宋体"/>
          <w:b/>
          <w:sz w:val="24"/>
          <w:highlight w:val="none"/>
        </w:rPr>
        <w:br w:type="page"/>
      </w:r>
      <w:r>
        <w:rPr>
          <w:rFonts w:hint="eastAsia" w:ascii="宋体" w:hAnsi="宋体" w:cs="宋体"/>
          <w:b/>
          <w:sz w:val="32"/>
          <w:szCs w:val="32"/>
          <w:highlight w:val="none"/>
        </w:rPr>
        <w:t>格式2-1</w:t>
      </w:r>
      <w:r>
        <w:rPr>
          <w:rFonts w:hint="eastAsia" w:ascii="宋体" w:hAnsi="宋体" w:cs="宋体"/>
          <w:b/>
          <w:sz w:val="32"/>
          <w:szCs w:val="32"/>
          <w:highlight w:val="none"/>
          <w:lang w:val="en-US" w:eastAsia="zh-CN"/>
        </w:rPr>
        <w:t>1</w:t>
      </w:r>
    </w:p>
    <w:p>
      <w:pPr>
        <w:widowControl/>
        <w:spacing w:line="360" w:lineRule="auto"/>
        <w:jc w:val="center"/>
        <w:outlineLvl w:val="2"/>
        <w:rPr>
          <w:rFonts w:ascii="宋体" w:hAnsi="宋体" w:cs="宋体"/>
          <w:b/>
          <w:sz w:val="32"/>
          <w:szCs w:val="32"/>
          <w:highlight w:val="none"/>
        </w:rPr>
      </w:pPr>
      <w:bookmarkStart w:id="279" w:name="_Toc503863020"/>
      <w:r>
        <w:rPr>
          <w:rFonts w:hint="eastAsia" w:ascii="宋体" w:hAnsi="宋体" w:cs="宋体"/>
          <w:b/>
          <w:sz w:val="32"/>
          <w:szCs w:val="32"/>
          <w:highlight w:val="none"/>
        </w:rPr>
        <w:t>十、供应商诚信情况承诺函</w:t>
      </w:r>
      <w:bookmarkEnd w:id="279"/>
    </w:p>
    <w:p>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致</w:t>
      </w:r>
      <w:r>
        <w:rPr>
          <w:rFonts w:hint="eastAsia" w:ascii="宋体" w:hAnsi="宋体" w:cs="宋体"/>
          <w:bCs/>
          <w:sz w:val="24"/>
          <w:highlight w:val="none"/>
          <w:lang w:eastAsia="zh-CN"/>
        </w:rPr>
        <w:t>：四川新宇盛项目管理集团有限公司</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本单位</w:t>
      </w:r>
      <w:r>
        <w:rPr>
          <w:rFonts w:hint="eastAsia" w:ascii="宋体" w:hAnsi="宋体" w:cs="宋体"/>
          <w:bCs/>
          <w:sz w:val="24"/>
          <w:highlight w:val="none"/>
          <w:u w:val="single"/>
        </w:rPr>
        <w:t xml:space="preserve">                   </w:t>
      </w:r>
      <w:r>
        <w:rPr>
          <w:rFonts w:hint="eastAsia" w:ascii="宋体" w:hAnsi="宋体" w:cs="宋体"/>
          <w:bCs/>
          <w:sz w:val="24"/>
          <w:highlight w:val="none"/>
        </w:rPr>
        <w:t>（供应商名称）参加</w:t>
      </w:r>
      <w:r>
        <w:rPr>
          <w:rFonts w:hint="eastAsia" w:ascii="宋体" w:hAnsi="宋体" w:cs="宋体"/>
          <w:bCs/>
          <w:sz w:val="24"/>
          <w:highlight w:val="none"/>
          <w:u w:val="single"/>
        </w:rPr>
        <w:t xml:space="preserve">                 </w:t>
      </w:r>
      <w:r>
        <w:rPr>
          <w:rFonts w:hint="eastAsia" w:ascii="宋体" w:hAnsi="宋体" w:cs="宋体"/>
          <w:bCs/>
          <w:sz w:val="24"/>
          <w:highlight w:val="none"/>
        </w:rPr>
        <w:t>（项目名称及招标编号）的政府采购活动</w:t>
      </w:r>
      <w:r>
        <w:rPr>
          <w:rFonts w:hint="eastAsia" w:ascii="宋体" w:hAnsi="宋体" w:cs="宋体"/>
          <w:bCs/>
          <w:sz w:val="24"/>
          <w:highlight w:val="none"/>
          <w:lang w:eastAsia="zh-CN"/>
        </w:rPr>
        <w:t>，</w:t>
      </w:r>
      <w:r>
        <w:rPr>
          <w:rFonts w:hint="eastAsia" w:ascii="宋体" w:hAnsi="宋体" w:cs="宋体"/>
          <w:bCs/>
          <w:sz w:val="24"/>
          <w:highlight w:val="none"/>
        </w:rPr>
        <w:t>现根据《四川省公共资源交易领域严重失信联合惩戒实施办法》（川发改信用规〔2019〕405号）、《关于对政府采购领域严重违法失信主体开展联合惩戒的合作备忘录》（发改财金〔2018〕1614号）的相关规定</w:t>
      </w:r>
      <w:r>
        <w:rPr>
          <w:rFonts w:hint="eastAsia" w:ascii="宋体" w:hAnsi="宋体" w:cs="宋体"/>
          <w:bCs/>
          <w:sz w:val="24"/>
          <w:highlight w:val="none"/>
          <w:lang w:eastAsia="zh-CN"/>
        </w:rPr>
        <w:t>，</w:t>
      </w:r>
      <w:r>
        <w:rPr>
          <w:rFonts w:hint="eastAsia" w:ascii="宋体" w:hAnsi="宋体" w:cs="宋体"/>
          <w:bCs/>
          <w:sz w:val="24"/>
          <w:highlight w:val="none"/>
        </w:rPr>
        <w:t>针对本单位的诚信情况作出以下承诺：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我单位具有《四川省公共资源交易领域严重失信联合惩戒实施办法》（川发改信用规〔2019〕405号）、《关于对政府采购领域严重违法失信主体开展联合惩戒的合作备忘录》（发改财金〔2018〕1614号）所规定的失信行为</w:t>
      </w:r>
      <w:r>
        <w:rPr>
          <w:rFonts w:hint="eastAsia" w:ascii="宋体" w:hAnsi="宋体" w:cs="宋体"/>
          <w:bCs/>
          <w:sz w:val="24"/>
          <w:highlight w:val="none"/>
          <w:u w:val="single"/>
        </w:rPr>
        <w:t xml:space="preserve">      </w:t>
      </w:r>
      <w:r>
        <w:rPr>
          <w:rFonts w:hint="eastAsia" w:ascii="宋体" w:hAnsi="宋体" w:cs="宋体"/>
          <w:bCs/>
          <w:sz w:val="24"/>
          <w:highlight w:val="none"/>
        </w:rPr>
        <w:t>次（填写失信行为的次数时</w:t>
      </w:r>
      <w:r>
        <w:rPr>
          <w:rFonts w:hint="eastAsia" w:ascii="宋体" w:hAnsi="宋体" w:cs="宋体"/>
          <w:bCs/>
          <w:sz w:val="24"/>
          <w:highlight w:val="none"/>
          <w:lang w:eastAsia="zh-CN"/>
        </w:rPr>
        <w:t>，</w:t>
      </w:r>
      <w:r>
        <w:rPr>
          <w:rFonts w:hint="eastAsia" w:ascii="宋体" w:hAnsi="宋体" w:cs="宋体"/>
          <w:bCs/>
          <w:sz w:val="24"/>
          <w:highlight w:val="none"/>
        </w:rPr>
        <w:t>建议使用大写数字</w:t>
      </w:r>
      <w:r>
        <w:rPr>
          <w:rFonts w:hint="eastAsia" w:ascii="宋体" w:hAnsi="宋体" w:cs="宋体"/>
          <w:bCs/>
          <w:sz w:val="24"/>
          <w:highlight w:val="none"/>
          <w:lang w:eastAsia="zh-CN"/>
        </w:rPr>
        <w:t>，</w:t>
      </w:r>
      <w:r>
        <w:rPr>
          <w:rFonts w:hint="eastAsia" w:ascii="宋体" w:hAnsi="宋体" w:cs="宋体"/>
          <w:bCs/>
          <w:sz w:val="24"/>
          <w:highlight w:val="none"/>
        </w:rPr>
        <w:t>如零、壹、贰、叁、肆等。）；（仅限投标截止当日仍在有效期的次数）</w:t>
      </w:r>
    </w:p>
    <w:p>
      <w:pPr>
        <w:adjustRightInd w:val="0"/>
        <w:snapToGrid w:val="0"/>
        <w:spacing w:line="360" w:lineRule="auto"/>
        <w:ind w:firstLine="480" w:firstLineChars="200"/>
        <w:rPr>
          <w:rFonts w:ascii="宋体" w:hAnsi="宋体" w:cs="宋体"/>
          <w:bCs/>
          <w:sz w:val="24"/>
          <w:highlight w:val="none"/>
        </w:rPr>
      </w:pP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我单位对以上填写信息的真实性负责。如有不实</w:t>
      </w:r>
      <w:r>
        <w:rPr>
          <w:rFonts w:hint="eastAsia" w:ascii="宋体" w:hAnsi="宋体" w:cs="宋体"/>
          <w:bCs/>
          <w:sz w:val="24"/>
          <w:highlight w:val="none"/>
          <w:lang w:eastAsia="zh-CN"/>
        </w:rPr>
        <w:t>，</w:t>
      </w:r>
      <w:r>
        <w:rPr>
          <w:rFonts w:hint="eastAsia" w:ascii="宋体" w:hAnsi="宋体" w:cs="宋体"/>
          <w:bCs/>
          <w:sz w:val="24"/>
          <w:highlight w:val="none"/>
        </w:rPr>
        <w:t>本单位愿承担由此产生的一切法律责任和后果。</w:t>
      </w:r>
    </w:p>
    <w:p>
      <w:pPr>
        <w:adjustRightInd w:val="0"/>
        <w:snapToGrid w:val="0"/>
        <w:spacing w:line="360" w:lineRule="auto"/>
        <w:ind w:firstLine="482" w:firstLineChars="200"/>
        <w:rPr>
          <w:rFonts w:ascii="宋体" w:hAnsi="宋体" w:cs="宋体"/>
          <w:b/>
          <w:sz w:val="24"/>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spacing w:line="360" w:lineRule="auto"/>
        <w:rPr>
          <w:rFonts w:ascii="宋体" w:hAnsi="宋体" w:cs="宋体"/>
          <w:bCs/>
          <w:sz w:val="24"/>
          <w:highlight w:val="none"/>
        </w:rPr>
      </w:pPr>
    </w:p>
    <w:p>
      <w:pPr>
        <w:adjustRightInd w:val="0"/>
        <w:snapToGrid w:val="0"/>
        <w:spacing w:line="240" w:lineRule="auto"/>
        <w:ind w:firstLine="440" w:firstLineChars="200"/>
        <w:rPr>
          <w:rFonts w:ascii="宋体" w:hAnsi="宋体" w:cs="宋体"/>
          <w:bCs/>
          <w:sz w:val="22"/>
          <w:szCs w:val="22"/>
          <w:highlight w:val="none"/>
        </w:rPr>
      </w:pPr>
      <w:r>
        <w:rPr>
          <w:rFonts w:hint="eastAsia" w:ascii="宋体" w:hAnsi="宋体" w:cs="宋体"/>
          <w:bCs/>
          <w:sz w:val="22"/>
          <w:szCs w:val="22"/>
          <w:highlight w:val="none"/>
        </w:rPr>
        <w:t>注：1、本表格式及内容仅供参考</w:t>
      </w:r>
      <w:r>
        <w:rPr>
          <w:rFonts w:hint="eastAsia" w:ascii="宋体" w:hAnsi="宋体" w:cs="宋体"/>
          <w:bCs/>
          <w:sz w:val="22"/>
          <w:szCs w:val="22"/>
          <w:highlight w:val="none"/>
          <w:lang w:eastAsia="zh-CN"/>
        </w:rPr>
        <w:t>，</w:t>
      </w:r>
      <w:r>
        <w:rPr>
          <w:rFonts w:hint="eastAsia" w:ascii="宋体" w:hAnsi="宋体" w:cs="宋体"/>
          <w:bCs/>
          <w:sz w:val="22"/>
          <w:szCs w:val="22"/>
          <w:highlight w:val="none"/>
        </w:rPr>
        <w:t>投标人也可提供自己的格式；</w:t>
      </w:r>
    </w:p>
    <w:p>
      <w:pPr>
        <w:adjustRightInd w:val="0"/>
        <w:snapToGrid w:val="0"/>
        <w:spacing w:line="240" w:lineRule="auto"/>
        <w:ind w:firstLine="440" w:firstLineChars="200"/>
        <w:rPr>
          <w:rFonts w:ascii="宋体" w:hAnsi="宋体" w:cs="宋体"/>
          <w:bCs/>
          <w:sz w:val="22"/>
          <w:szCs w:val="22"/>
          <w:highlight w:val="none"/>
        </w:rPr>
      </w:pPr>
      <w:r>
        <w:rPr>
          <w:rFonts w:hint="eastAsia" w:ascii="宋体" w:hAnsi="宋体" w:cs="宋体"/>
          <w:bCs/>
          <w:sz w:val="22"/>
          <w:szCs w:val="22"/>
          <w:highlight w:val="none"/>
        </w:rPr>
        <w:t>2、投标人存在以上所述失信行为的</w:t>
      </w:r>
      <w:r>
        <w:rPr>
          <w:rFonts w:hint="eastAsia" w:ascii="宋体" w:hAnsi="宋体" w:cs="宋体"/>
          <w:bCs/>
          <w:sz w:val="22"/>
          <w:szCs w:val="22"/>
          <w:highlight w:val="none"/>
          <w:lang w:eastAsia="zh-CN"/>
        </w:rPr>
        <w:t>，</w:t>
      </w:r>
      <w:r>
        <w:rPr>
          <w:rFonts w:hint="eastAsia" w:ascii="宋体" w:hAnsi="宋体" w:cs="宋体"/>
          <w:bCs/>
          <w:sz w:val="22"/>
          <w:szCs w:val="22"/>
          <w:highlight w:val="none"/>
        </w:rPr>
        <w:t>将按照第二章投标人须知附表的要求进行处理；</w:t>
      </w:r>
    </w:p>
    <w:p>
      <w:pPr>
        <w:adjustRightInd w:val="0"/>
        <w:snapToGrid w:val="0"/>
        <w:spacing w:line="240" w:lineRule="auto"/>
        <w:ind w:firstLine="440" w:firstLineChars="200"/>
        <w:rPr>
          <w:rFonts w:ascii="宋体" w:hAnsi="宋体" w:cs="宋体"/>
          <w:bCs/>
          <w:sz w:val="22"/>
          <w:szCs w:val="22"/>
          <w:highlight w:val="none"/>
        </w:rPr>
      </w:pPr>
      <w:r>
        <w:rPr>
          <w:rFonts w:hint="eastAsia" w:ascii="宋体" w:hAnsi="宋体" w:cs="宋体"/>
          <w:bCs/>
          <w:sz w:val="22"/>
          <w:szCs w:val="22"/>
          <w:highlight w:val="none"/>
        </w:rPr>
        <w:t>3、财政部门对政府采购当事人的失信行为依法进行处罚、处理后</w:t>
      </w:r>
      <w:r>
        <w:rPr>
          <w:rFonts w:hint="eastAsia" w:ascii="宋体" w:hAnsi="宋体" w:cs="宋体"/>
          <w:bCs/>
          <w:sz w:val="22"/>
          <w:szCs w:val="22"/>
          <w:highlight w:val="none"/>
          <w:lang w:eastAsia="zh-CN"/>
        </w:rPr>
        <w:t>，</w:t>
      </w:r>
      <w:r>
        <w:rPr>
          <w:rFonts w:hint="eastAsia" w:ascii="宋体" w:hAnsi="宋体" w:cs="宋体"/>
          <w:bCs/>
          <w:sz w:val="22"/>
          <w:szCs w:val="22"/>
          <w:highlight w:val="none"/>
        </w:rPr>
        <w:t>应当在四川政府采购网向社会公告</w:t>
      </w:r>
      <w:r>
        <w:rPr>
          <w:rFonts w:hint="eastAsia" w:ascii="宋体" w:hAnsi="宋体" w:cs="宋体"/>
          <w:bCs/>
          <w:sz w:val="22"/>
          <w:szCs w:val="22"/>
          <w:highlight w:val="none"/>
          <w:lang w:eastAsia="zh-CN"/>
        </w:rPr>
        <w:t>，</w:t>
      </w:r>
      <w:r>
        <w:rPr>
          <w:rFonts w:hint="eastAsia" w:ascii="宋体" w:hAnsi="宋体" w:cs="宋体"/>
          <w:bCs/>
          <w:sz w:val="22"/>
          <w:szCs w:val="22"/>
          <w:highlight w:val="none"/>
        </w:rPr>
        <w:t>并记入诚信档案</w:t>
      </w:r>
      <w:r>
        <w:rPr>
          <w:rFonts w:hint="eastAsia" w:ascii="宋体" w:hAnsi="宋体" w:cs="宋体"/>
          <w:bCs/>
          <w:sz w:val="22"/>
          <w:szCs w:val="22"/>
          <w:highlight w:val="none"/>
          <w:lang w:eastAsia="zh-CN"/>
        </w:rPr>
        <w:t>，</w:t>
      </w:r>
      <w:r>
        <w:rPr>
          <w:rFonts w:hint="eastAsia" w:ascii="宋体" w:hAnsi="宋体" w:cs="宋体"/>
          <w:bCs/>
          <w:sz w:val="22"/>
          <w:szCs w:val="22"/>
          <w:highlight w:val="none"/>
        </w:rPr>
        <w:t>有效期为1年。工商部门、税务部门、审判机关及其他有关部门单位认定供应商的失信行为明确了有效期的</w:t>
      </w:r>
      <w:r>
        <w:rPr>
          <w:rFonts w:hint="eastAsia" w:ascii="宋体" w:hAnsi="宋体" w:cs="宋体"/>
          <w:bCs/>
          <w:sz w:val="22"/>
          <w:szCs w:val="22"/>
          <w:highlight w:val="none"/>
          <w:lang w:eastAsia="zh-CN"/>
        </w:rPr>
        <w:t>，</w:t>
      </w:r>
      <w:r>
        <w:rPr>
          <w:rFonts w:hint="eastAsia" w:ascii="宋体" w:hAnsi="宋体" w:cs="宋体"/>
          <w:bCs/>
          <w:sz w:val="22"/>
          <w:szCs w:val="22"/>
          <w:highlight w:val="none"/>
        </w:rPr>
        <w:t>不再重复计算。</w:t>
      </w:r>
    </w:p>
    <w:p>
      <w:pPr>
        <w:adjustRightInd w:val="0"/>
        <w:snapToGrid w:val="0"/>
        <w:spacing w:line="24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4、投标人的失信行为受到行政处罚或司法惩处的</w:t>
      </w:r>
      <w:r>
        <w:rPr>
          <w:rFonts w:hint="eastAsia" w:ascii="宋体" w:hAnsi="宋体" w:cs="宋体"/>
          <w:bCs/>
          <w:sz w:val="22"/>
          <w:szCs w:val="22"/>
          <w:highlight w:val="none"/>
          <w:lang w:eastAsia="zh-CN"/>
        </w:rPr>
        <w:t>，</w:t>
      </w:r>
      <w:r>
        <w:rPr>
          <w:rFonts w:hint="eastAsia" w:ascii="宋体" w:hAnsi="宋体" w:cs="宋体"/>
          <w:bCs/>
          <w:sz w:val="22"/>
          <w:szCs w:val="22"/>
          <w:highlight w:val="none"/>
        </w:rPr>
        <w:t>评审时不再对其以价格加成进行惩戒。</w:t>
      </w:r>
    </w:p>
    <w:p>
      <w:pPr>
        <w:adjustRightInd w:val="0"/>
        <w:snapToGrid w:val="0"/>
        <w:spacing w:line="360" w:lineRule="auto"/>
        <w:ind w:firstLine="480" w:firstLineChars="200"/>
        <w:rPr>
          <w:rFonts w:hint="eastAsia" w:ascii="宋体" w:hAnsi="宋体" w:eastAsia="宋体" w:cs="宋体"/>
          <w:b/>
          <w:sz w:val="32"/>
          <w:szCs w:val="32"/>
          <w:highlight w:val="none"/>
          <w:lang w:eastAsia="zh-CN"/>
        </w:rPr>
      </w:pPr>
      <w:r>
        <w:rPr>
          <w:rFonts w:hint="eastAsia" w:ascii="宋体" w:hAnsi="宋体" w:cs="宋体"/>
          <w:bCs/>
          <w:sz w:val="24"/>
          <w:highlight w:val="none"/>
        </w:rPr>
        <w:br w:type="page"/>
      </w:r>
      <w:r>
        <w:rPr>
          <w:rFonts w:hint="eastAsia" w:ascii="宋体" w:hAnsi="宋体" w:cs="宋体"/>
          <w:b/>
          <w:sz w:val="32"/>
          <w:szCs w:val="32"/>
          <w:highlight w:val="none"/>
        </w:rPr>
        <w:t>格式2-1</w:t>
      </w:r>
      <w:r>
        <w:rPr>
          <w:rFonts w:hint="eastAsia" w:ascii="宋体" w:hAnsi="宋体" w:cs="宋体"/>
          <w:b/>
          <w:sz w:val="32"/>
          <w:szCs w:val="32"/>
          <w:highlight w:val="none"/>
          <w:lang w:val="en-US" w:eastAsia="zh-CN"/>
        </w:rPr>
        <w:t>2</w:t>
      </w:r>
    </w:p>
    <w:p>
      <w:pPr>
        <w:widowControl/>
        <w:spacing w:line="360" w:lineRule="auto"/>
        <w:jc w:val="center"/>
        <w:outlineLvl w:val="2"/>
        <w:rPr>
          <w:rFonts w:ascii="宋体" w:hAnsi="宋体" w:cs="宋体"/>
          <w:b/>
          <w:sz w:val="32"/>
          <w:szCs w:val="32"/>
          <w:highlight w:val="none"/>
        </w:rPr>
      </w:pPr>
      <w:bookmarkStart w:id="280" w:name="_Toc503863024"/>
      <w:r>
        <w:rPr>
          <w:rFonts w:hint="eastAsia" w:ascii="宋体" w:hAnsi="宋体" w:cs="宋体"/>
          <w:b/>
          <w:sz w:val="32"/>
          <w:szCs w:val="32"/>
          <w:highlight w:val="none"/>
        </w:rPr>
        <w:t>十</w:t>
      </w:r>
      <w:r>
        <w:rPr>
          <w:rFonts w:hint="eastAsia" w:ascii="宋体" w:hAnsi="宋体" w:cs="宋体"/>
          <w:b/>
          <w:sz w:val="32"/>
          <w:szCs w:val="32"/>
          <w:highlight w:val="none"/>
          <w:lang w:val="en-US" w:eastAsia="zh-CN"/>
        </w:rPr>
        <w:t>一</w:t>
      </w:r>
      <w:r>
        <w:rPr>
          <w:rFonts w:hint="eastAsia" w:ascii="宋体" w:hAnsi="宋体" w:cs="宋体"/>
          <w:b/>
          <w:sz w:val="32"/>
          <w:szCs w:val="32"/>
          <w:highlight w:val="none"/>
        </w:rPr>
        <w:t>、中小企业声明函</w:t>
      </w:r>
      <w:bookmarkEnd w:id="280"/>
      <w:r>
        <w:rPr>
          <w:rFonts w:hint="eastAsia" w:ascii="宋体" w:hAnsi="宋体" w:cs="宋体"/>
          <w:b/>
          <w:sz w:val="32"/>
          <w:szCs w:val="32"/>
          <w:highlight w:val="none"/>
        </w:rPr>
        <w:t>（如涉及）</w:t>
      </w:r>
    </w:p>
    <w:p>
      <w:pPr>
        <w:adjustRightInd w:val="0"/>
        <w:snapToGrid w:val="0"/>
        <w:spacing w:line="360" w:lineRule="auto"/>
        <w:ind w:firstLine="48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本公司（联合体）郑重声明，根据《政府采购促进中小企业发展管理办法》（财库〔2020〕46号）的规定，本公司（联合体）参加</w:t>
      </w:r>
      <w:r>
        <w:rPr>
          <w:rFonts w:hint="eastAsia" w:ascii="宋体" w:hAnsi="宋体" w:cs="宋体"/>
          <w:kern w:val="0"/>
          <w:sz w:val="24"/>
          <w:highlight w:val="none"/>
          <w:u w:val="single"/>
          <w:lang w:val="en-US" w:eastAsia="zh-CN"/>
        </w:rPr>
        <w:t>（单位名称）</w:t>
      </w:r>
      <w:r>
        <w:rPr>
          <w:rFonts w:hint="eastAsia" w:ascii="宋体" w:hAnsi="宋体" w:cs="宋体"/>
          <w:kern w:val="0"/>
          <w:sz w:val="24"/>
          <w:highlight w:val="none"/>
          <w:lang w:val="en-US" w:eastAsia="zh-CN"/>
        </w:rPr>
        <w:t>的</w:t>
      </w:r>
      <w:r>
        <w:rPr>
          <w:rFonts w:hint="eastAsia" w:ascii="宋体" w:hAnsi="宋体" w:cs="宋体"/>
          <w:kern w:val="0"/>
          <w:sz w:val="24"/>
          <w:highlight w:val="none"/>
          <w:u w:val="single"/>
          <w:lang w:val="en-US" w:eastAsia="zh-CN"/>
        </w:rPr>
        <w:t>（项目名称）</w:t>
      </w:r>
      <w:r>
        <w:rPr>
          <w:rFonts w:hint="eastAsia" w:ascii="宋体" w:hAnsi="宋体" w:cs="宋体"/>
          <w:kern w:val="0"/>
          <w:sz w:val="24"/>
          <w:highlight w:val="none"/>
          <w:lang w:val="en-US" w:eastAsia="zh-CN"/>
        </w:rPr>
        <w:t>采购活动，服务全部由符合政策要求的中小企业承接。相关企业（含联合体中的中小企业、签订分包意向协议的中小企业）的具体情况如下：</w:t>
      </w:r>
    </w:p>
    <w:p>
      <w:pPr>
        <w:adjustRightInd w:val="0"/>
        <w:snapToGrid w:val="0"/>
        <w:spacing w:line="360" w:lineRule="auto"/>
        <w:ind w:firstLine="48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w:t>
      </w:r>
      <w:r>
        <w:rPr>
          <w:rFonts w:hint="eastAsia" w:ascii="宋体" w:hAnsi="宋体" w:cs="宋体"/>
          <w:kern w:val="0"/>
          <w:sz w:val="24"/>
          <w:highlight w:val="none"/>
          <w:u w:val="single"/>
          <w:lang w:val="en-US" w:eastAsia="zh-CN"/>
        </w:rPr>
        <w:t>（标的名称）</w:t>
      </w:r>
      <w:r>
        <w:rPr>
          <w:rFonts w:hint="eastAsia" w:ascii="宋体" w:hAnsi="宋体" w:cs="宋体"/>
          <w:kern w:val="0"/>
          <w:sz w:val="24"/>
          <w:highlight w:val="none"/>
          <w:lang w:val="en-US" w:eastAsia="zh-CN"/>
        </w:rPr>
        <w:t>，属于</w:t>
      </w:r>
      <w:r>
        <w:rPr>
          <w:rFonts w:hint="eastAsia" w:ascii="宋体" w:hAnsi="宋体" w:cs="宋体"/>
          <w:kern w:val="0"/>
          <w:sz w:val="24"/>
          <w:highlight w:val="none"/>
          <w:u w:val="single"/>
          <w:lang w:val="en-US" w:eastAsia="zh-CN"/>
        </w:rPr>
        <w:t>（采购文件中明确的所属行业）</w:t>
      </w:r>
      <w:r>
        <w:rPr>
          <w:rFonts w:hint="eastAsia" w:ascii="宋体" w:hAnsi="宋体" w:cs="宋体"/>
          <w:kern w:val="0"/>
          <w:sz w:val="24"/>
          <w:highlight w:val="none"/>
          <w:lang w:val="en-US" w:eastAsia="zh-CN"/>
        </w:rPr>
        <w:t>行业；承接企业为</w:t>
      </w:r>
      <w:r>
        <w:rPr>
          <w:rFonts w:hint="eastAsia" w:ascii="宋体" w:hAnsi="宋体" w:cs="宋体"/>
          <w:kern w:val="0"/>
          <w:sz w:val="24"/>
          <w:highlight w:val="none"/>
          <w:u w:val="single"/>
          <w:lang w:val="en-US" w:eastAsia="zh-CN"/>
        </w:rPr>
        <w:t>（企业名称）</w:t>
      </w:r>
      <w:r>
        <w:rPr>
          <w:rFonts w:hint="eastAsia" w:ascii="宋体" w:hAnsi="宋体" w:cs="宋体"/>
          <w:kern w:val="0"/>
          <w:sz w:val="24"/>
          <w:highlight w:val="none"/>
          <w:lang w:val="en-US" w:eastAsia="zh-CN"/>
        </w:rPr>
        <w:t>，从业人员</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人，营业收入为</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万元，资产总额为</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万元，属于</w:t>
      </w:r>
      <w:r>
        <w:rPr>
          <w:rFonts w:hint="eastAsia" w:ascii="宋体" w:hAnsi="宋体" w:cs="宋体"/>
          <w:kern w:val="0"/>
          <w:sz w:val="24"/>
          <w:highlight w:val="none"/>
          <w:u w:val="single"/>
          <w:lang w:val="en-US" w:eastAsia="zh-CN"/>
        </w:rPr>
        <w:t>（中型企业、小型企业、微型企业）</w:t>
      </w:r>
      <w:r>
        <w:rPr>
          <w:rFonts w:hint="eastAsia" w:ascii="宋体" w:hAnsi="宋体" w:cs="宋体"/>
          <w:kern w:val="0"/>
          <w:sz w:val="24"/>
          <w:highlight w:val="none"/>
          <w:lang w:val="en-US" w:eastAsia="zh-CN"/>
        </w:rPr>
        <w:t>；</w:t>
      </w:r>
    </w:p>
    <w:p>
      <w:pPr>
        <w:adjustRightInd w:val="0"/>
        <w:snapToGrid w:val="0"/>
        <w:spacing w:line="360" w:lineRule="auto"/>
        <w:ind w:firstLine="48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w:t>
      </w:r>
      <w:r>
        <w:rPr>
          <w:rFonts w:hint="eastAsia" w:ascii="宋体" w:hAnsi="宋体" w:cs="宋体"/>
          <w:kern w:val="0"/>
          <w:sz w:val="24"/>
          <w:highlight w:val="none"/>
          <w:u w:val="single"/>
          <w:lang w:val="en-US" w:eastAsia="zh-CN"/>
        </w:rPr>
        <w:t>（标的名称）</w:t>
      </w:r>
      <w:r>
        <w:rPr>
          <w:rFonts w:hint="eastAsia" w:ascii="宋体" w:hAnsi="宋体" w:cs="宋体"/>
          <w:kern w:val="0"/>
          <w:sz w:val="24"/>
          <w:highlight w:val="none"/>
          <w:lang w:val="en-US" w:eastAsia="zh-CN"/>
        </w:rPr>
        <w:t>，属于</w:t>
      </w:r>
      <w:r>
        <w:rPr>
          <w:rFonts w:hint="eastAsia" w:ascii="宋体" w:hAnsi="宋体" w:cs="宋体"/>
          <w:kern w:val="0"/>
          <w:sz w:val="24"/>
          <w:highlight w:val="none"/>
          <w:u w:val="single"/>
          <w:lang w:val="en-US" w:eastAsia="zh-CN"/>
        </w:rPr>
        <w:t>（采购文件中明确的所属行业）</w:t>
      </w:r>
      <w:r>
        <w:rPr>
          <w:rFonts w:hint="eastAsia" w:ascii="宋体" w:hAnsi="宋体" w:cs="宋体"/>
          <w:kern w:val="0"/>
          <w:sz w:val="24"/>
          <w:highlight w:val="none"/>
          <w:lang w:val="en-US" w:eastAsia="zh-CN"/>
        </w:rPr>
        <w:t>行业；承接企业为</w:t>
      </w:r>
      <w:r>
        <w:rPr>
          <w:rFonts w:hint="eastAsia" w:ascii="宋体" w:hAnsi="宋体" w:cs="宋体"/>
          <w:kern w:val="0"/>
          <w:sz w:val="24"/>
          <w:highlight w:val="none"/>
          <w:u w:val="single"/>
          <w:lang w:val="en-US" w:eastAsia="zh-CN"/>
        </w:rPr>
        <w:t>（企业名称）</w:t>
      </w:r>
      <w:r>
        <w:rPr>
          <w:rFonts w:hint="eastAsia" w:ascii="宋体" w:hAnsi="宋体" w:cs="宋体"/>
          <w:kern w:val="0"/>
          <w:sz w:val="24"/>
          <w:highlight w:val="none"/>
          <w:lang w:val="en-US" w:eastAsia="zh-CN"/>
        </w:rPr>
        <w:t>，从业人员</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人，营业收入为</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万元，资产总额为</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万元，属于</w:t>
      </w:r>
      <w:r>
        <w:rPr>
          <w:rFonts w:hint="eastAsia" w:ascii="宋体" w:hAnsi="宋体" w:cs="宋体"/>
          <w:kern w:val="0"/>
          <w:sz w:val="24"/>
          <w:highlight w:val="none"/>
          <w:u w:val="single"/>
          <w:lang w:val="en-US" w:eastAsia="zh-CN"/>
        </w:rPr>
        <w:t>（中型企业、小型企业、微型企业）</w:t>
      </w:r>
      <w:r>
        <w:rPr>
          <w:rFonts w:hint="eastAsia" w:ascii="宋体" w:hAnsi="宋体" w:cs="宋体"/>
          <w:kern w:val="0"/>
          <w:sz w:val="24"/>
          <w:highlight w:val="none"/>
          <w:lang w:val="en-US" w:eastAsia="zh-CN"/>
        </w:rPr>
        <w:t>；</w:t>
      </w:r>
    </w:p>
    <w:p>
      <w:pPr>
        <w:adjustRightInd w:val="0"/>
        <w:snapToGrid w:val="0"/>
        <w:spacing w:line="360" w:lineRule="auto"/>
        <w:ind w:firstLine="48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w:t>
      </w:r>
    </w:p>
    <w:p>
      <w:pPr>
        <w:adjustRightInd w:val="0"/>
        <w:snapToGrid w:val="0"/>
        <w:spacing w:line="360" w:lineRule="auto"/>
        <w:ind w:firstLine="48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以上企业，不属于大企业的分支机构，不存在控股股东为大企业的情形，也不存在与大企业的负责人为同一人的情形。</w:t>
      </w:r>
    </w:p>
    <w:p>
      <w:pPr>
        <w:adjustRightInd w:val="0"/>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本企业对上述声明内容的真实性负责。如有虚假</w:t>
      </w:r>
      <w:r>
        <w:rPr>
          <w:rFonts w:hint="eastAsia" w:ascii="宋体" w:hAnsi="宋体" w:cs="宋体"/>
          <w:kern w:val="0"/>
          <w:sz w:val="24"/>
          <w:highlight w:val="none"/>
          <w:lang w:eastAsia="zh-CN"/>
        </w:rPr>
        <w:t>，</w:t>
      </w:r>
      <w:r>
        <w:rPr>
          <w:rFonts w:hint="eastAsia" w:ascii="宋体" w:hAnsi="宋体" w:cs="宋体"/>
          <w:kern w:val="0"/>
          <w:sz w:val="24"/>
          <w:highlight w:val="none"/>
        </w:rPr>
        <w:t>将依法承担相应责任。</w:t>
      </w:r>
    </w:p>
    <w:p>
      <w:pPr>
        <w:adjustRightInd w:val="0"/>
        <w:snapToGrid w:val="0"/>
        <w:spacing w:line="360" w:lineRule="auto"/>
        <w:ind w:firstLine="480"/>
        <w:rPr>
          <w:rFonts w:hint="eastAsia" w:ascii="宋体" w:hAnsi="宋体" w:cs="宋体"/>
          <w:kern w:val="0"/>
          <w:sz w:val="24"/>
          <w:highlight w:val="none"/>
        </w:rPr>
      </w:pPr>
    </w:p>
    <w:p>
      <w:pPr>
        <w:adjustRightInd w:val="0"/>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企业名称（盖章）：</w:t>
      </w:r>
      <w:r>
        <w:rPr>
          <w:rFonts w:hint="eastAsia" w:ascii="宋体" w:hAnsi="宋体" w:cs="宋体"/>
          <w:b/>
          <w:sz w:val="24"/>
          <w:highlight w:val="none"/>
          <w:u w:val="single"/>
        </w:rPr>
        <w:t xml:space="preserve">                  </w:t>
      </w:r>
    </w:p>
    <w:p>
      <w:pPr>
        <w:adjustRightInd w:val="0"/>
        <w:snapToGrid w:val="0"/>
        <w:spacing w:line="360" w:lineRule="auto"/>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日期：</w:t>
      </w:r>
      <w:r>
        <w:rPr>
          <w:rFonts w:hint="eastAsia" w:ascii="宋体" w:hAnsi="宋体" w:cs="宋体"/>
          <w:kern w:val="0"/>
          <w:sz w:val="24"/>
          <w:highlight w:val="none"/>
          <w:u w:val="single"/>
        </w:rPr>
        <w:t xml:space="preserve">            </w:t>
      </w:r>
    </w:p>
    <w:p>
      <w:pPr>
        <w:adjustRightInd w:val="0"/>
        <w:snapToGrid w:val="0"/>
        <w:spacing w:line="360" w:lineRule="auto"/>
        <w:ind w:firstLine="480" w:firstLineChars="200"/>
        <w:rPr>
          <w:rFonts w:hint="eastAsia" w:ascii="宋体" w:hAnsi="宋体" w:cs="宋体"/>
          <w:kern w:val="0"/>
          <w:sz w:val="24"/>
          <w:highlight w:val="none"/>
          <w:u w:val="single"/>
        </w:rPr>
      </w:pPr>
    </w:p>
    <w:p>
      <w:pPr>
        <w:adjustRightInd w:val="0"/>
        <w:snapToGrid w:val="0"/>
        <w:spacing w:line="360" w:lineRule="auto"/>
        <w:ind w:firstLine="480" w:firstLineChars="200"/>
        <w:rPr>
          <w:rFonts w:hint="eastAsia" w:ascii="宋体" w:hAnsi="宋体" w:cs="宋体"/>
          <w:kern w:val="0"/>
          <w:sz w:val="24"/>
          <w:highlight w:val="none"/>
          <w:u w:val="single"/>
        </w:rPr>
      </w:pPr>
    </w:p>
    <w:p>
      <w:pPr>
        <w:rPr>
          <w:rFonts w:hint="eastAsia"/>
          <w:sz w:val="22"/>
          <w:szCs w:val="28"/>
          <w:highlight w:val="none"/>
          <w:lang w:val="en-US" w:eastAsia="zh-CN"/>
        </w:rPr>
      </w:pPr>
      <w:r>
        <w:rPr>
          <w:rFonts w:hint="eastAsia"/>
          <w:sz w:val="22"/>
          <w:szCs w:val="28"/>
          <w:highlight w:val="none"/>
          <w:lang w:val="en-US" w:eastAsia="zh-CN"/>
        </w:rPr>
        <w:t>注：1.从业人员、营业收入、资产总额填报上一年度数据，无上一年度数据的新成立企业可不填报。</w:t>
      </w:r>
    </w:p>
    <w:p>
      <w:pPr>
        <w:rPr>
          <w:rFonts w:hint="eastAsia" w:ascii="宋体" w:hAnsi="宋体" w:eastAsia="宋体" w:cs="宋体"/>
          <w:b/>
          <w:sz w:val="32"/>
          <w:szCs w:val="32"/>
          <w:highlight w:val="none"/>
          <w:lang w:val="en-US" w:eastAsia="zh-CN"/>
        </w:rPr>
      </w:pPr>
      <w:r>
        <w:rPr>
          <w:rFonts w:hint="eastAsia"/>
          <w:sz w:val="22"/>
          <w:szCs w:val="28"/>
          <w:highlight w:val="none"/>
          <w:lang w:val="en-US" w:eastAsia="zh-CN"/>
        </w:rPr>
        <w:br w:type="page"/>
      </w:r>
      <w:r>
        <w:rPr>
          <w:rFonts w:hint="eastAsia" w:ascii="宋体" w:hAnsi="宋体" w:cs="宋体"/>
          <w:b/>
          <w:sz w:val="32"/>
          <w:szCs w:val="32"/>
          <w:highlight w:val="none"/>
        </w:rPr>
        <w:t>格式2-1</w:t>
      </w:r>
      <w:r>
        <w:rPr>
          <w:rFonts w:hint="eastAsia" w:ascii="宋体" w:hAnsi="宋体" w:cs="宋体"/>
          <w:b/>
          <w:sz w:val="32"/>
          <w:szCs w:val="32"/>
          <w:highlight w:val="none"/>
          <w:lang w:val="en-US" w:eastAsia="zh-CN"/>
        </w:rPr>
        <w:t>3</w:t>
      </w:r>
    </w:p>
    <w:p>
      <w:pPr>
        <w:widowControl/>
        <w:spacing w:line="360" w:lineRule="auto"/>
        <w:jc w:val="center"/>
        <w:outlineLvl w:val="2"/>
        <w:rPr>
          <w:rFonts w:ascii="宋体" w:hAnsi="宋体" w:cs="宋体"/>
          <w:b/>
          <w:sz w:val="32"/>
          <w:szCs w:val="32"/>
          <w:highlight w:val="none"/>
        </w:rPr>
      </w:pPr>
      <w:r>
        <w:rPr>
          <w:rFonts w:hint="eastAsia" w:ascii="宋体" w:hAnsi="宋体" w:cs="宋体"/>
          <w:b/>
          <w:sz w:val="32"/>
          <w:szCs w:val="32"/>
          <w:highlight w:val="none"/>
        </w:rPr>
        <w:t>十</w:t>
      </w:r>
      <w:r>
        <w:rPr>
          <w:rFonts w:hint="eastAsia" w:ascii="宋体" w:hAnsi="宋体" w:cs="宋体"/>
          <w:b/>
          <w:sz w:val="32"/>
          <w:szCs w:val="32"/>
          <w:highlight w:val="none"/>
          <w:lang w:val="en-US" w:eastAsia="zh-CN"/>
        </w:rPr>
        <w:t>二</w:t>
      </w:r>
      <w:r>
        <w:rPr>
          <w:rFonts w:hint="eastAsia" w:ascii="宋体" w:hAnsi="宋体" w:cs="宋体"/>
          <w:b/>
          <w:sz w:val="32"/>
          <w:szCs w:val="32"/>
          <w:highlight w:val="none"/>
        </w:rPr>
        <w:t>、</w:t>
      </w:r>
      <w:bookmarkStart w:id="281" w:name="OLE_LINK13"/>
      <w:bookmarkStart w:id="282" w:name="OLE_LINK14"/>
      <w:r>
        <w:rPr>
          <w:rFonts w:hint="eastAsia" w:ascii="宋体" w:hAnsi="宋体" w:cs="宋体"/>
          <w:b/>
          <w:sz w:val="32"/>
          <w:szCs w:val="32"/>
          <w:highlight w:val="none"/>
        </w:rPr>
        <w:t>残疾人福利性单位声明函（如涉及）</w:t>
      </w:r>
    </w:p>
    <w:bookmarkEnd w:id="281"/>
    <w:bookmarkEnd w:id="282"/>
    <w:p>
      <w:pPr>
        <w:spacing w:line="588" w:lineRule="exact"/>
        <w:rPr>
          <w:rFonts w:ascii="宋体" w:hAnsi="宋体" w:cs="宋体"/>
          <w:b/>
          <w:spacing w:val="6"/>
          <w:sz w:val="24"/>
          <w:highlight w:val="none"/>
        </w:rPr>
      </w:pPr>
    </w:p>
    <w:p>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本单位郑重声明</w:t>
      </w:r>
      <w:r>
        <w:rPr>
          <w:rFonts w:hint="eastAsia" w:ascii="宋体" w:hAnsi="宋体" w:cs="宋体"/>
          <w:kern w:val="0"/>
          <w:sz w:val="24"/>
          <w:highlight w:val="none"/>
          <w:lang w:eastAsia="zh-CN"/>
        </w:rPr>
        <w:t>，</w:t>
      </w:r>
      <w:r>
        <w:rPr>
          <w:rFonts w:hint="eastAsia" w:ascii="宋体" w:hAnsi="宋体" w:cs="宋体"/>
          <w:kern w:val="0"/>
          <w:sz w:val="24"/>
          <w:highlight w:val="none"/>
        </w:rPr>
        <w:t>根据《财政部 民政部 中国残疾人联合会关于促进残疾人就业政府采购政策的通知》（财库〔2017〕141号）的规定</w:t>
      </w:r>
      <w:r>
        <w:rPr>
          <w:rFonts w:hint="eastAsia" w:ascii="宋体" w:hAnsi="宋体" w:cs="宋体"/>
          <w:kern w:val="0"/>
          <w:sz w:val="24"/>
          <w:highlight w:val="none"/>
          <w:lang w:eastAsia="zh-CN"/>
        </w:rPr>
        <w:t>，</w:t>
      </w:r>
      <w:r>
        <w:rPr>
          <w:rFonts w:hint="eastAsia" w:ascii="宋体" w:hAnsi="宋体" w:cs="宋体"/>
          <w:kern w:val="0"/>
          <w:sz w:val="24"/>
          <w:highlight w:val="none"/>
        </w:rPr>
        <w:t>本单位为符合条件的残疾人福利性单位</w:t>
      </w:r>
      <w:r>
        <w:rPr>
          <w:rFonts w:hint="eastAsia" w:ascii="宋体" w:hAnsi="宋体" w:cs="宋体"/>
          <w:kern w:val="0"/>
          <w:sz w:val="24"/>
          <w:highlight w:val="none"/>
          <w:lang w:eastAsia="zh-CN"/>
        </w:rPr>
        <w:t>，</w:t>
      </w:r>
      <w:r>
        <w:rPr>
          <w:rFonts w:hint="eastAsia" w:ascii="宋体" w:hAnsi="宋体" w:cs="宋体"/>
          <w:kern w:val="0"/>
          <w:sz w:val="24"/>
          <w:highlight w:val="none"/>
        </w:rPr>
        <w:t>且本单位参加</w:t>
      </w:r>
      <w:r>
        <w:rPr>
          <w:rFonts w:hint="eastAsia" w:ascii="宋体" w:hAnsi="宋体" w:cs="宋体"/>
          <w:kern w:val="0"/>
          <w:sz w:val="24"/>
          <w:highlight w:val="none"/>
          <w:u w:val="single"/>
        </w:rPr>
        <w:t xml:space="preserve">       </w:t>
      </w:r>
      <w:r>
        <w:rPr>
          <w:rFonts w:hint="eastAsia" w:ascii="宋体" w:hAnsi="宋体" w:cs="宋体"/>
          <w:kern w:val="0"/>
          <w:sz w:val="24"/>
          <w:highlight w:val="none"/>
        </w:rPr>
        <w:t>单位的</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项目采购活动提供本单位制造的货物（由本单位承担工程/提供服务）</w:t>
      </w:r>
      <w:r>
        <w:rPr>
          <w:rFonts w:hint="eastAsia" w:ascii="宋体" w:hAnsi="宋体" w:cs="宋体"/>
          <w:kern w:val="0"/>
          <w:sz w:val="24"/>
          <w:highlight w:val="none"/>
          <w:lang w:eastAsia="zh-CN"/>
        </w:rPr>
        <w:t>，</w:t>
      </w:r>
      <w:r>
        <w:rPr>
          <w:rFonts w:hint="eastAsia" w:ascii="宋体" w:hAnsi="宋体" w:cs="宋体"/>
          <w:kern w:val="0"/>
          <w:sz w:val="24"/>
          <w:highlight w:val="none"/>
        </w:rPr>
        <w:t>或者提供其他残疾人福利性单位制造的货物（不包括使用非残疾人福利性单位注册商标的货物）。</w:t>
      </w:r>
    </w:p>
    <w:p>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本单位对上述声明的真实性负责。如有虚假</w:t>
      </w:r>
      <w:r>
        <w:rPr>
          <w:rFonts w:hint="eastAsia" w:ascii="宋体" w:hAnsi="宋体" w:cs="宋体"/>
          <w:kern w:val="0"/>
          <w:sz w:val="24"/>
          <w:highlight w:val="none"/>
          <w:lang w:eastAsia="zh-CN"/>
        </w:rPr>
        <w:t>，</w:t>
      </w:r>
      <w:r>
        <w:rPr>
          <w:rFonts w:hint="eastAsia" w:ascii="宋体" w:hAnsi="宋体" w:cs="宋体"/>
          <w:kern w:val="0"/>
          <w:sz w:val="24"/>
          <w:highlight w:val="none"/>
        </w:rPr>
        <w:t>将依法承担相应责任。</w:t>
      </w:r>
    </w:p>
    <w:p>
      <w:pPr>
        <w:spacing w:line="588" w:lineRule="exact"/>
        <w:rPr>
          <w:rFonts w:ascii="宋体" w:hAnsi="宋体" w:cs="宋体"/>
          <w:spacing w:val="6"/>
          <w:sz w:val="24"/>
          <w:highlight w:val="none"/>
        </w:rPr>
      </w:pPr>
    </w:p>
    <w:p>
      <w:pPr>
        <w:spacing w:line="588" w:lineRule="exact"/>
        <w:rPr>
          <w:rFonts w:ascii="宋体" w:hAnsi="宋体" w:cs="宋体"/>
          <w:spacing w:val="6"/>
          <w:sz w:val="24"/>
          <w:highlight w:val="none"/>
        </w:rPr>
      </w:pPr>
    </w:p>
    <w:p>
      <w:pPr>
        <w:tabs>
          <w:tab w:val="left" w:pos="4860"/>
        </w:tabs>
        <w:adjustRightInd w:val="0"/>
        <w:snapToGrid w:val="0"/>
        <w:spacing w:line="360" w:lineRule="auto"/>
        <w:ind w:right="1560"/>
        <w:rPr>
          <w:rFonts w:ascii="宋体" w:hAnsi="宋体" w:cs="宋体"/>
          <w:b/>
          <w:bCs/>
          <w:spacing w:val="6"/>
          <w:sz w:val="24"/>
          <w:highlight w:val="none"/>
        </w:rPr>
      </w:pPr>
      <w:r>
        <w:rPr>
          <w:rFonts w:hint="eastAsia" w:ascii="宋体" w:hAnsi="宋体" w:cs="宋体"/>
          <w:b/>
          <w:bCs/>
          <w:spacing w:val="6"/>
          <w:sz w:val="24"/>
          <w:highlight w:val="none"/>
        </w:rPr>
        <w:t>单位名称（盖章）：</w:t>
      </w:r>
      <w:r>
        <w:rPr>
          <w:rFonts w:hint="eastAsia" w:ascii="宋体" w:hAnsi="宋体" w:cs="宋体"/>
          <w:b/>
          <w:sz w:val="24"/>
          <w:highlight w:val="none"/>
          <w:u w:val="single"/>
        </w:rPr>
        <w:t xml:space="preserve">                  </w:t>
      </w:r>
    </w:p>
    <w:p>
      <w:pPr>
        <w:adjustRightInd w:val="0"/>
        <w:snapToGrid w:val="0"/>
        <w:spacing w:line="360" w:lineRule="auto"/>
        <w:rPr>
          <w:rFonts w:ascii="宋体" w:hAnsi="宋体" w:cs="宋体"/>
          <w:b/>
          <w:bCs/>
          <w:spacing w:val="6"/>
          <w:sz w:val="24"/>
          <w:highlight w:val="none"/>
        </w:rPr>
      </w:pPr>
      <w:r>
        <w:rPr>
          <w:rFonts w:hint="eastAsia" w:ascii="宋体" w:hAnsi="宋体" w:cs="宋体"/>
          <w:b/>
          <w:bCs/>
          <w:spacing w:val="6"/>
          <w:sz w:val="24"/>
          <w:highlight w:val="none"/>
        </w:rPr>
        <w:t>日  期：</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w:t>
      </w:r>
    </w:p>
    <w:p>
      <w:pPr>
        <w:numPr>
          <w:ilvl w:val="0"/>
          <w:numId w:val="2"/>
        </w:numPr>
        <w:spacing w:line="360" w:lineRule="auto"/>
        <w:rPr>
          <w:rFonts w:ascii="宋体" w:hAnsi="宋体" w:cs="宋体"/>
          <w:sz w:val="24"/>
          <w:highlight w:val="none"/>
        </w:rPr>
      </w:pPr>
      <w:r>
        <w:rPr>
          <w:rFonts w:hint="eastAsia" w:ascii="宋体" w:hAnsi="宋体" w:cs="宋体"/>
          <w:sz w:val="24"/>
          <w:highlight w:val="none"/>
        </w:rPr>
        <w:t>残疾人福利性单位视同小型、微型企业</w:t>
      </w:r>
      <w:r>
        <w:rPr>
          <w:rFonts w:hint="eastAsia" w:ascii="宋体" w:hAnsi="宋体" w:cs="宋体"/>
          <w:sz w:val="24"/>
          <w:highlight w:val="none"/>
          <w:lang w:eastAsia="zh-CN"/>
        </w:rPr>
        <w:t>，</w:t>
      </w:r>
      <w:r>
        <w:rPr>
          <w:rFonts w:hint="eastAsia" w:ascii="宋体" w:hAnsi="宋体" w:cs="宋体"/>
          <w:sz w:val="24"/>
          <w:highlight w:val="none"/>
        </w:rPr>
        <w:t>享受预留份额、评审中价格扣除等促进中小企业发展的政府采购政策。残疾人福利性单位属于小型、微型企业的</w:t>
      </w:r>
      <w:r>
        <w:rPr>
          <w:rFonts w:hint="eastAsia" w:ascii="宋体" w:hAnsi="宋体" w:cs="宋体"/>
          <w:sz w:val="24"/>
          <w:highlight w:val="none"/>
          <w:lang w:eastAsia="zh-CN"/>
        </w:rPr>
        <w:t>，</w:t>
      </w:r>
      <w:r>
        <w:rPr>
          <w:rFonts w:hint="eastAsia" w:ascii="宋体" w:hAnsi="宋体" w:cs="宋体"/>
          <w:sz w:val="24"/>
          <w:highlight w:val="none"/>
        </w:rPr>
        <w:t>不重复享受政策。</w:t>
      </w:r>
    </w:p>
    <w:p>
      <w:pPr>
        <w:numPr>
          <w:ilvl w:val="0"/>
          <w:numId w:val="2"/>
        </w:numPr>
        <w:spacing w:line="360" w:lineRule="auto"/>
        <w:rPr>
          <w:rFonts w:ascii="宋体" w:hAnsi="宋体" w:cs="宋体"/>
          <w:sz w:val="24"/>
          <w:highlight w:val="none"/>
        </w:rPr>
      </w:pPr>
      <w:r>
        <w:rPr>
          <w:rFonts w:hint="eastAsia" w:ascii="宋体" w:hAnsi="宋体" w:cs="宋体"/>
          <w:sz w:val="24"/>
          <w:highlight w:val="none"/>
        </w:rPr>
        <w:t>投标人为非残疾人福利性单位的</w:t>
      </w:r>
      <w:r>
        <w:rPr>
          <w:rFonts w:hint="eastAsia" w:ascii="宋体" w:hAnsi="宋体" w:cs="宋体"/>
          <w:sz w:val="24"/>
          <w:highlight w:val="none"/>
          <w:lang w:eastAsia="zh-CN"/>
        </w:rPr>
        <w:t>，</w:t>
      </w:r>
      <w:r>
        <w:rPr>
          <w:rFonts w:hint="eastAsia" w:ascii="宋体" w:hAnsi="宋体" w:cs="宋体"/>
          <w:sz w:val="24"/>
          <w:highlight w:val="none"/>
        </w:rPr>
        <w:t>可不提供此声明。</w:t>
      </w:r>
    </w:p>
    <w:bookmarkEnd w:id="177"/>
    <w:bookmarkEnd w:id="178"/>
    <w:bookmarkEnd w:id="179"/>
    <w:p>
      <w:pPr>
        <w:spacing w:line="360" w:lineRule="auto"/>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br w:type="page"/>
      </w:r>
      <w:r>
        <w:rPr>
          <w:rFonts w:hint="eastAsia" w:ascii="宋体" w:hAnsi="宋体" w:cs="宋体"/>
          <w:b/>
          <w:sz w:val="32"/>
          <w:szCs w:val="32"/>
          <w:highlight w:val="none"/>
        </w:rPr>
        <w:t>格式2-1</w:t>
      </w:r>
      <w:r>
        <w:rPr>
          <w:rFonts w:hint="eastAsia" w:ascii="宋体" w:hAnsi="宋体" w:cs="宋体"/>
          <w:b/>
          <w:sz w:val="32"/>
          <w:szCs w:val="32"/>
          <w:highlight w:val="none"/>
          <w:lang w:val="en-US" w:eastAsia="zh-CN"/>
        </w:rPr>
        <w:t>4</w:t>
      </w:r>
    </w:p>
    <w:p>
      <w:pPr>
        <w:widowControl/>
        <w:spacing w:line="360" w:lineRule="auto"/>
        <w:jc w:val="center"/>
        <w:outlineLvl w:val="2"/>
        <w:rPr>
          <w:rFonts w:hint="eastAsia" w:ascii="宋体" w:hAnsi="宋体" w:eastAsia="宋体" w:cs="宋体"/>
          <w:b/>
          <w:sz w:val="32"/>
          <w:szCs w:val="32"/>
          <w:highlight w:val="none"/>
          <w:lang w:eastAsia="zh-CN"/>
        </w:rPr>
      </w:pPr>
      <w:bookmarkStart w:id="283" w:name="_Toc503863025"/>
      <w:r>
        <w:rPr>
          <w:rFonts w:hint="eastAsia" w:ascii="宋体" w:hAnsi="宋体" w:cs="宋体"/>
          <w:b/>
          <w:sz w:val="32"/>
          <w:szCs w:val="32"/>
          <w:highlight w:val="none"/>
        </w:rPr>
        <w:t>十</w:t>
      </w:r>
      <w:r>
        <w:rPr>
          <w:rFonts w:hint="eastAsia" w:ascii="宋体" w:hAnsi="宋体" w:cs="宋体"/>
          <w:b/>
          <w:sz w:val="32"/>
          <w:szCs w:val="32"/>
          <w:highlight w:val="none"/>
          <w:lang w:val="en-US" w:eastAsia="zh-CN"/>
        </w:rPr>
        <w:t>三</w:t>
      </w:r>
      <w:r>
        <w:rPr>
          <w:rFonts w:hint="eastAsia" w:ascii="宋体" w:hAnsi="宋体" w:cs="宋体"/>
          <w:b/>
          <w:sz w:val="32"/>
          <w:szCs w:val="32"/>
          <w:highlight w:val="none"/>
        </w:rPr>
        <w:t>、</w:t>
      </w:r>
      <w:bookmarkEnd w:id="283"/>
      <w:r>
        <w:rPr>
          <w:rFonts w:hint="eastAsia" w:ascii="宋体" w:hAnsi="宋体" w:cs="宋体"/>
          <w:b/>
          <w:sz w:val="32"/>
          <w:szCs w:val="32"/>
          <w:highlight w:val="none"/>
          <w:lang w:val="en-US" w:eastAsia="zh-CN"/>
        </w:rPr>
        <w:t>服务方案</w:t>
      </w:r>
    </w:p>
    <w:p>
      <w:pPr>
        <w:spacing w:line="360" w:lineRule="auto"/>
        <w:jc w:val="left"/>
        <w:rPr>
          <w:rFonts w:ascii="宋体" w:hAnsi="宋体" w:cs="宋体"/>
          <w:b/>
          <w:sz w:val="24"/>
          <w:highlight w:val="none"/>
        </w:rPr>
      </w:pPr>
      <w:bookmarkStart w:id="284" w:name="_Toc503863026"/>
    </w:p>
    <w:bookmarkEnd w:id="284"/>
    <w:p>
      <w:pPr>
        <w:spacing w:line="360" w:lineRule="auto"/>
        <w:ind w:firstLine="630" w:firstLineChars="196"/>
        <w:jc w:val="center"/>
        <w:rPr>
          <w:rFonts w:ascii="宋体" w:hAnsi="宋体" w:cs="宋体"/>
          <w:b/>
          <w:sz w:val="32"/>
          <w:szCs w:val="32"/>
          <w:highlight w:val="none"/>
        </w:rPr>
      </w:pPr>
      <w:bookmarkStart w:id="285" w:name="_Toc503863027"/>
    </w:p>
    <w:bookmarkEnd w:id="285"/>
    <w:p>
      <w:pPr>
        <w:widowControl/>
        <w:adjustRightInd w:val="0"/>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（格式自拟）</w:t>
      </w:r>
    </w:p>
    <w:p>
      <w:pPr>
        <w:spacing w:line="360" w:lineRule="auto"/>
        <w:ind w:firstLine="630" w:firstLineChars="196"/>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w:t>
      </w:r>
      <w:r>
        <w:rPr>
          <w:rFonts w:hint="eastAsia" w:ascii="宋体" w:hAnsi="宋体" w:cs="宋体"/>
          <w:b/>
          <w:sz w:val="24"/>
          <w:highlight w:val="none"/>
        </w:rPr>
        <w:t>（单位盖章）</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法定代表人/单位负责人或授权代表：</w:t>
      </w:r>
      <w:r>
        <w:rPr>
          <w:rFonts w:hint="eastAsia" w:ascii="宋体" w:hAnsi="宋体" w:cs="宋体"/>
          <w:b/>
          <w:bCs w:val="0"/>
          <w:sz w:val="24"/>
          <w:highlight w:val="none"/>
          <w:u w:val="single"/>
        </w:rPr>
        <w:t xml:space="preserve">    </w:t>
      </w:r>
      <w:r>
        <w:rPr>
          <w:rFonts w:hint="eastAsia" w:ascii="宋体" w:hAnsi="宋体" w:cs="宋体"/>
          <w:b/>
          <w:bCs w:val="0"/>
          <w:sz w:val="24"/>
          <w:highlight w:val="none"/>
          <w:u w:val="single"/>
          <w:lang w:val="en-US" w:eastAsia="zh-CN"/>
        </w:rPr>
        <w:t xml:space="preserve"> </w:t>
      </w:r>
      <w:r>
        <w:rPr>
          <w:rFonts w:hint="eastAsia" w:ascii="宋体" w:hAnsi="宋体" w:cs="宋体"/>
          <w:b/>
          <w:bCs w:val="0"/>
          <w:sz w:val="24"/>
          <w:highlight w:val="none"/>
          <w:u w:val="single"/>
        </w:rPr>
        <w:t xml:space="preserve">  </w:t>
      </w:r>
      <w:r>
        <w:rPr>
          <w:rFonts w:hint="eastAsia" w:ascii="宋体" w:hAnsi="宋体" w:cs="宋体"/>
          <w:b/>
          <w:sz w:val="24"/>
          <w:highlight w:val="none"/>
        </w:rPr>
        <w:t>（签字或加盖个人名章）</w:t>
      </w:r>
    </w:p>
    <w:p>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标  段  号：</w:t>
      </w:r>
      <w:r>
        <w:rPr>
          <w:rFonts w:hint="eastAsia" w:ascii="宋体" w:hAnsi="宋体" w:eastAsia="宋体" w:cs="宋体"/>
          <w:b/>
          <w:sz w:val="24"/>
          <w:highlight w:val="none"/>
          <w:u w:val="single"/>
          <w:lang w:val="en-US" w:eastAsia="zh-CN"/>
        </w:rPr>
        <w:t xml:space="preserve">               </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投标日期</w:t>
      </w:r>
      <w:r>
        <w:rPr>
          <w:rFonts w:hint="eastAsia" w:ascii="宋体" w:hAnsi="宋体" w:cs="宋体"/>
          <w:b/>
          <w:sz w:val="24"/>
          <w:highlight w:val="none"/>
          <w:lang w:eastAsia="zh-CN"/>
        </w:rPr>
        <w:t>：</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年</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月</w:t>
      </w:r>
      <w:r>
        <w:rPr>
          <w:rFonts w:hint="eastAsia" w:ascii="宋体" w:hAnsi="宋体" w:cs="宋体"/>
          <w:b/>
          <w:bCs w:val="0"/>
          <w:sz w:val="24"/>
          <w:highlight w:val="none"/>
          <w:u w:val="single"/>
        </w:rPr>
        <w:t xml:space="preserve">   </w:t>
      </w:r>
      <w:r>
        <w:rPr>
          <w:rFonts w:hint="eastAsia" w:ascii="宋体" w:hAnsi="宋体" w:cs="宋体"/>
          <w:b/>
          <w:bCs w:val="0"/>
          <w:sz w:val="24"/>
          <w:highlight w:val="none"/>
        </w:rPr>
        <w:t>日</w:t>
      </w:r>
    </w:p>
    <w:p>
      <w:pPr>
        <w:spacing w:line="360" w:lineRule="auto"/>
        <w:jc w:val="center"/>
        <w:rPr>
          <w:rFonts w:ascii="宋体" w:hAnsi="宋体" w:cs="宋体"/>
          <w:b/>
          <w:sz w:val="32"/>
          <w:szCs w:val="32"/>
          <w:highlight w:val="none"/>
        </w:rPr>
      </w:pPr>
    </w:p>
    <w:p>
      <w:pPr>
        <w:spacing w:line="360" w:lineRule="auto"/>
        <w:ind w:firstLine="630" w:firstLineChars="196"/>
        <w:jc w:val="center"/>
        <w:rPr>
          <w:rFonts w:ascii="宋体" w:hAnsi="宋体" w:cs="宋体"/>
          <w:b/>
          <w:sz w:val="32"/>
          <w:szCs w:val="32"/>
          <w:highlight w:val="none"/>
        </w:rPr>
      </w:pPr>
    </w:p>
    <w:p>
      <w:pPr>
        <w:rPr>
          <w:rFonts w:ascii="宋体" w:hAnsi="宋体" w:cs="宋体"/>
          <w:highlight w:val="none"/>
        </w:rPr>
      </w:pPr>
      <w:r>
        <w:rPr>
          <w:rFonts w:hint="eastAsia" w:ascii="宋体" w:hAnsi="宋体" w:cs="宋体"/>
          <w:highlight w:val="none"/>
        </w:rPr>
        <w:br w:type="page"/>
      </w:r>
      <w:bookmarkStart w:id="286" w:name="_Toc503863037"/>
    </w:p>
    <w:p>
      <w:pPr>
        <w:spacing w:line="360" w:lineRule="auto"/>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t>格式2-1</w:t>
      </w:r>
      <w:r>
        <w:rPr>
          <w:rFonts w:hint="eastAsia" w:ascii="宋体" w:hAnsi="宋体" w:cs="宋体"/>
          <w:b/>
          <w:sz w:val="32"/>
          <w:szCs w:val="32"/>
          <w:highlight w:val="none"/>
          <w:lang w:val="en-US" w:eastAsia="zh-CN"/>
        </w:rPr>
        <w:t>5</w:t>
      </w:r>
    </w:p>
    <w:p>
      <w:pPr>
        <w:widowControl/>
        <w:spacing w:line="360" w:lineRule="auto"/>
        <w:jc w:val="center"/>
        <w:outlineLvl w:val="2"/>
        <w:rPr>
          <w:rFonts w:ascii="宋体" w:hAnsi="宋体" w:cs="宋体"/>
          <w:b/>
          <w:sz w:val="32"/>
          <w:szCs w:val="32"/>
          <w:highlight w:val="none"/>
        </w:rPr>
      </w:pPr>
      <w:r>
        <w:rPr>
          <w:rFonts w:hint="eastAsia" w:ascii="宋体" w:hAnsi="宋体" w:cs="宋体"/>
          <w:b/>
          <w:sz w:val="32"/>
          <w:szCs w:val="32"/>
          <w:highlight w:val="none"/>
        </w:rPr>
        <w:t>十</w:t>
      </w:r>
      <w:r>
        <w:rPr>
          <w:rFonts w:hint="eastAsia" w:ascii="宋体" w:hAnsi="宋体" w:cs="宋体"/>
          <w:b/>
          <w:sz w:val="32"/>
          <w:szCs w:val="32"/>
          <w:highlight w:val="none"/>
          <w:lang w:val="en-US" w:eastAsia="zh-CN"/>
        </w:rPr>
        <w:t>四</w:t>
      </w:r>
      <w:r>
        <w:rPr>
          <w:rFonts w:hint="eastAsia" w:ascii="宋体" w:hAnsi="宋体" w:cs="宋体"/>
          <w:b/>
          <w:sz w:val="32"/>
          <w:szCs w:val="32"/>
          <w:highlight w:val="none"/>
        </w:rPr>
        <w:t>、其他材料</w:t>
      </w:r>
      <w:bookmarkEnd w:id="286"/>
    </w:p>
    <w:p>
      <w:pPr>
        <w:widowControl/>
        <w:spacing w:line="360" w:lineRule="atLeast"/>
        <w:ind w:firstLine="551" w:firstLineChars="196"/>
        <w:jc w:val="center"/>
        <w:rPr>
          <w:rFonts w:ascii="宋体" w:hAnsi="宋体" w:cs="宋体"/>
          <w:b/>
          <w:bCs/>
          <w:sz w:val="28"/>
          <w:szCs w:val="28"/>
          <w:highlight w:val="none"/>
        </w:rPr>
      </w:pPr>
    </w:p>
    <w:p>
      <w:pPr>
        <w:widowControl/>
        <w:spacing w:line="360" w:lineRule="atLeast"/>
        <w:ind w:firstLine="551" w:firstLineChars="196"/>
        <w:jc w:val="center"/>
        <w:rPr>
          <w:rFonts w:ascii="宋体" w:hAnsi="宋体" w:cs="宋体"/>
          <w:b/>
          <w:bCs/>
          <w:sz w:val="28"/>
          <w:szCs w:val="28"/>
          <w:highlight w:val="none"/>
        </w:rPr>
      </w:pPr>
    </w:p>
    <w:p>
      <w:pPr>
        <w:widowControl/>
        <w:spacing w:line="360" w:lineRule="atLeast"/>
        <w:ind w:firstLine="551" w:firstLineChars="196"/>
        <w:jc w:val="center"/>
        <w:rPr>
          <w:rFonts w:ascii="宋体" w:hAnsi="宋体" w:cs="宋体"/>
          <w:b/>
          <w:bCs/>
          <w:sz w:val="28"/>
          <w:szCs w:val="28"/>
          <w:highlight w:val="none"/>
        </w:rPr>
      </w:pPr>
    </w:p>
    <w:p>
      <w:pPr>
        <w:widowControl/>
        <w:spacing w:line="360" w:lineRule="atLeast"/>
        <w:ind w:firstLine="551" w:firstLineChars="196"/>
        <w:jc w:val="center"/>
        <w:rPr>
          <w:rFonts w:ascii="宋体" w:hAnsi="宋体" w:cs="宋体"/>
          <w:b/>
          <w:bCs/>
          <w:sz w:val="28"/>
          <w:szCs w:val="28"/>
          <w:highlight w:val="none"/>
        </w:rPr>
      </w:pPr>
    </w:p>
    <w:p>
      <w:pPr>
        <w:widowControl/>
        <w:adjustRightInd w:val="0"/>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（格式自拟）</w:t>
      </w:r>
    </w:p>
    <w:p>
      <w:pPr>
        <w:widowControl/>
        <w:spacing w:line="360" w:lineRule="atLeast"/>
        <w:ind w:firstLine="551" w:firstLineChars="196"/>
        <w:jc w:val="center"/>
        <w:rPr>
          <w:rFonts w:ascii="宋体" w:hAnsi="宋体" w:cs="宋体"/>
          <w:b/>
          <w:bCs/>
          <w:sz w:val="28"/>
          <w:szCs w:val="28"/>
          <w:highlight w:val="none"/>
        </w:rPr>
      </w:pPr>
    </w:p>
    <w:p>
      <w:pPr>
        <w:widowControl/>
        <w:spacing w:line="360" w:lineRule="atLeast"/>
        <w:ind w:firstLine="551" w:firstLineChars="196"/>
        <w:jc w:val="center"/>
        <w:rPr>
          <w:rFonts w:ascii="宋体" w:hAnsi="宋体" w:cs="宋体"/>
          <w:b/>
          <w:bCs/>
          <w:sz w:val="28"/>
          <w:szCs w:val="28"/>
          <w:highlight w:val="none"/>
        </w:rPr>
      </w:pPr>
    </w:p>
    <w:p>
      <w:pPr>
        <w:widowControl/>
        <w:spacing w:line="360" w:lineRule="atLeast"/>
        <w:ind w:firstLine="551" w:firstLineChars="196"/>
        <w:jc w:val="center"/>
        <w:rPr>
          <w:rFonts w:ascii="宋体" w:hAnsi="宋体" w:cs="宋体"/>
          <w:b/>
          <w:bCs/>
          <w:sz w:val="28"/>
          <w:szCs w:val="28"/>
          <w:highlight w:val="none"/>
        </w:rPr>
      </w:pPr>
    </w:p>
    <w:p>
      <w:pPr>
        <w:rPr>
          <w:rFonts w:ascii="宋体" w:hAnsi="宋体" w:cs="宋体"/>
          <w:b/>
          <w:sz w:val="24"/>
          <w:highlight w:val="none"/>
        </w:rPr>
      </w:pPr>
      <w:r>
        <w:rPr>
          <w:rFonts w:hint="eastAsia" w:ascii="宋体" w:hAnsi="宋体" w:cs="宋体"/>
          <w:b/>
          <w:sz w:val="24"/>
          <w:highlight w:val="none"/>
        </w:rPr>
        <w:br w:type="page"/>
      </w:r>
    </w:p>
    <w:p>
      <w:pPr>
        <w:pStyle w:val="2"/>
        <w:rPr>
          <w:highlight w:val="none"/>
        </w:rPr>
      </w:pPr>
    </w:p>
    <w:p>
      <w:pPr>
        <w:pStyle w:val="3"/>
        <w:rPr>
          <w:rFonts w:ascii="宋体" w:hAnsi="宋体" w:cs="宋体"/>
          <w:highlight w:val="none"/>
        </w:rPr>
      </w:pPr>
      <w:bookmarkStart w:id="287" w:name="_Toc503863038"/>
      <w:bookmarkStart w:id="288" w:name="_Toc28894"/>
      <w:bookmarkStart w:id="289" w:name="_Toc4386"/>
      <w:bookmarkStart w:id="290" w:name="_Toc6399"/>
      <w:r>
        <w:rPr>
          <w:rFonts w:hint="eastAsia" w:ascii="宋体" w:hAnsi="宋体" w:cs="宋体"/>
          <w:highlight w:val="none"/>
        </w:rPr>
        <w:t>第四章  投标人的资格、资质性</w:t>
      </w:r>
      <w:bookmarkEnd w:id="287"/>
      <w:bookmarkEnd w:id="288"/>
      <w:bookmarkStart w:id="291" w:name="_Toc12078"/>
      <w:bookmarkStart w:id="292" w:name="_Toc503863039"/>
      <w:r>
        <w:rPr>
          <w:rFonts w:hint="eastAsia" w:ascii="宋体" w:hAnsi="宋体" w:cs="宋体"/>
          <w:highlight w:val="none"/>
        </w:rPr>
        <w:t>及其他类似效力要求</w:t>
      </w:r>
      <w:bookmarkEnd w:id="289"/>
      <w:bookmarkEnd w:id="290"/>
      <w:bookmarkEnd w:id="291"/>
      <w:bookmarkEnd w:id="292"/>
    </w:p>
    <w:p>
      <w:pPr>
        <w:adjustRightInd w:val="0"/>
        <w:snapToGrid w:val="0"/>
        <w:spacing w:line="360" w:lineRule="auto"/>
        <w:ind w:firstLine="482" w:firstLineChars="200"/>
        <w:rPr>
          <w:rFonts w:ascii="宋体" w:hAnsi="宋体" w:cs="宋体"/>
          <w:b/>
          <w:sz w:val="24"/>
          <w:highlight w:val="none"/>
        </w:rPr>
      </w:pPr>
      <w:bookmarkStart w:id="293" w:name="_Toc503863040"/>
      <w:r>
        <w:rPr>
          <w:rFonts w:hint="eastAsia" w:ascii="宋体" w:hAnsi="宋体" w:cs="宋体"/>
          <w:b/>
          <w:sz w:val="24"/>
          <w:highlight w:val="none"/>
        </w:rPr>
        <w:t>一、投标人资格、资质性及其他类似效力要求</w:t>
      </w:r>
      <w:bookmarkEnd w:id="293"/>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w:t>
      </w:r>
      <w:r>
        <w:rPr>
          <w:rFonts w:hint="eastAsia" w:ascii="宋体" w:hAnsi="宋体" w:cs="宋体"/>
          <w:b/>
          <w:sz w:val="24"/>
          <w:highlight w:val="none"/>
          <w:lang w:val="en-US" w:eastAsia="zh-CN"/>
        </w:rPr>
        <w:t>满足《中华人民共和国政府采购法》第二十二条规定</w:t>
      </w:r>
      <w:r>
        <w:rPr>
          <w:rFonts w:hint="eastAsia" w:ascii="宋体" w:hAnsi="宋体" w:cs="宋体"/>
          <w:b/>
          <w:sz w:val="24"/>
          <w:highlight w:val="none"/>
        </w:rPr>
        <w:t>：</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1.具有独立承担民事责任的能力；</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2.具有良好的商业信誉和健全的财务会计制度；</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3.具有履行合同所必需的设备和专业技术能力；</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4.具有依法缴纳税收和社会保障资金的良好记录；</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5.参加政府采购活动前三年内</w:t>
      </w:r>
      <w:r>
        <w:rPr>
          <w:rFonts w:hint="eastAsia" w:ascii="宋体" w:hAnsi="宋体" w:cs="宋体"/>
          <w:bCs/>
          <w:sz w:val="24"/>
          <w:highlight w:val="none"/>
          <w:lang w:eastAsia="zh-CN"/>
        </w:rPr>
        <w:t>，</w:t>
      </w:r>
      <w:r>
        <w:rPr>
          <w:rFonts w:hint="eastAsia" w:ascii="宋体" w:hAnsi="宋体" w:cs="宋体"/>
          <w:bCs/>
          <w:sz w:val="24"/>
          <w:highlight w:val="none"/>
        </w:rPr>
        <w:t>在经营活动中没有重大违法记录；</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6.法律、行政法规规定的其他条件。</w:t>
      </w:r>
    </w:p>
    <w:p>
      <w:pPr>
        <w:adjustRightInd w:val="0"/>
        <w:snapToGrid w:val="0"/>
        <w:spacing w:line="360" w:lineRule="auto"/>
        <w:ind w:firstLine="482" w:firstLineChars="200"/>
        <w:rPr>
          <w:rFonts w:hint="default"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（二）落实政府采购政策需满足的资格要求：</w:t>
      </w:r>
      <w:r>
        <w:rPr>
          <w:rFonts w:hint="eastAsia" w:ascii="宋体" w:hAnsi="宋体" w:cs="宋体"/>
          <w:b/>
          <w:bCs w:val="0"/>
          <w:sz w:val="24"/>
          <w:highlight w:val="none"/>
          <w:lang w:val="en-US" w:eastAsia="zh-CN"/>
        </w:rPr>
        <w:t>无。</w:t>
      </w:r>
    </w:p>
    <w:p>
      <w:pPr>
        <w:adjustRightInd w:val="0"/>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（三）根据采购项目提出的特殊条件：</w:t>
      </w:r>
      <w:r>
        <w:rPr>
          <w:rFonts w:hint="eastAsia" w:ascii="宋体" w:hAnsi="宋体" w:eastAsia="宋体" w:cs="宋体"/>
          <w:color w:val="auto"/>
          <w:sz w:val="24"/>
          <w:highlight w:val="none"/>
        </w:rPr>
        <w:t>本项目参加政府采购活动的</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、法定代表人/主要负责人近3年内不得具有行贿犯罪记录。</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注：1、本项目确定供应商重大违法记录中较大数额罚款的金额标准为：5万元。</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2</w:t>
      </w:r>
      <w:r>
        <w:rPr>
          <w:rFonts w:hint="eastAsia" w:ascii="宋体" w:hAnsi="宋体" w:cs="宋体"/>
          <w:bCs/>
          <w:sz w:val="24"/>
          <w:highlight w:val="none"/>
        </w:rPr>
        <w:t>、供应商参加政府采购活动时</w:t>
      </w:r>
      <w:r>
        <w:rPr>
          <w:rFonts w:hint="eastAsia" w:ascii="宋体" w:hAnsi="宋体" w:cs="宋体"/>
          <w:bCs/>
          <w:sz w:val="24"/>
          <w:highlight w:val="none"/>
          <w:lang w:eastAsia="zh-CN"/>
        </w:rPr>
        <w:t>，</w:t>
      </w:r>
      <w:r>
        <w:rPr>
          <w:rFonts w:hint="eastAsia" w:ascii="宋体" w:hAnsi="宋体" w:cs="宋体"/>
          <w:bCs/>
          <w:sz w:val="24"/>
          <w:highlight w:val="none"/>
        </w:rPr>
        <w:t>应当就自己的诚信情况在投标文件中进行承诺。</w:t>
      </w:r>
    </w:p>
    <w:p>
      <w:pPr>
        <w:rPr>
          <w:rFonts w:ascii="宋体" w:hAnsi="宋体" w:cs="宋体"/>
          <w:bCs/>
          <w:sz w:val="22"/>
          <w:szCs w:val="22"/>
          <w:highlight w:val="none"/>
        </w:rPr>
      </w:pPr>
      <w:r>
        <w:rPr>
          <w:rFonts w:hint="eastAsia" w:ascii="宋体" w:hAnsi="宋体" w:cs="宋体"/>
          <w:bCs/>
          <w:sz w:val="22"/>
          <w:szCs w:val="22"/>
          <w:highlight w:val="none"/>
        </w:rPr>
        <w:br w:type="page"/>
      </w:r>
    </w:p>
    <w:p>
      <w:pPr>
        <w:pStyle w:val="3"/>
        <w:rPr>
          <w:rFonts w:ascii="宋体" w:hAnsi="宋体" w:cs="宋体"/>
          <w:highlight w:val="none"/>
        </w:rPr>
      </w:pPr>
      <w:bookmarkStart w:id="294" w:name="_Toc25582"/>
      <w:bookmarkStart w:id="295" w:name="_Toc3794"/>
      <w:bookmarkStart w:id="296" w:name="_Toc6492"/>
      <w:r>
        <w:rPr>
          <w:rFonts w:hint="eastAsia" w:ascii="宋体" w:hAnsi="宋体" w:cs="宋体"/>
          <w:highlight w:val="none"/>
        </w:rPr>
        <w:t>第五章  投标人应当提供的资格、资质性及其他类似效力要求的相关证明材料</w:t>
      </w:r>
      <w:bookmarkEnd w:id="294"/>
      <w:bookmarkEnd w:id="295"/>
      <w:bookmarkEnd w:id="296"/>
    </w:p>
    <w:p>
      <w:pPr>
        <w:adjustRightInd w:val="0"/>
        <w:snapToGrid w:val="0"/>
        <w:spacing w:line="360" w:lineRule="auto"/>
        <w:ind w:firstLine="482" w:firstLineChars="200"/>
        <w:rPr>
          <w:rFonts w:ascii="宋体" w:hAnsi="宋体" w:cs="宋体"/>
          <w:b/>
          <w:sz w:val="24"/>
          <w:highlight w:val="none"/>
        </w:rPr>
      </w:pPr>
      <w:bookmarkStart w:id="297" w:name="_Toc320624217"/>
      <w:bookmarkEnd w:id="297"/>
      <w:bookmarkStart w:id="298" w:name="_Toc320624216"/>
      <w:bookmarkEnd w:id="298"/>
      <w:bookmarkStart w:id="299" w:name="_Toc320624221"/>
      <w:bookmarkEnd w:id="299"/>
      <w:bookmarkStart w:id="300" w:name="_Toc320624213"/>
      <w:bookmarkEnd w:id="300"/>
      <w:bookmarkStart w:id="301" w:name="_Toc320624224"/>
      <w:bookmarkEnd w:id="301"/>
      <w:bookmarkStart w:id="302" w:name="_Toc320624220"/>
      <w:bookmarkEnd w:id="302"/>
      <w:bookmarkStart w:id="303" w:name="_Toc320624214"/>
      <w:bookmarkEnd w:id="303"/>
      <w:bookmarkStart w:id="304" w:name="_Toc320624215"/>
      <w:bookmarkEnd w:id="304"/>
      <w:bookmarkStart w:id="305" w:name="_Toc320624223"/>
      <w:bookmarkEnd w:id="305"/>
      <w:bookmarkStart w:id="306" w:name="_Toc320624212"/>
      <w:bookmarkEnd w:id="306"/>
      <w:bookmarkStart w:id="307" w:name="_Toc320624222"/>
      <w:bookmarkEnd w:id="307"/>
      <w:bookmarkStart w:id="308" w:name="_Toc320624218"/>
      <w:bookmarkEnd w:id="308"/>
      <w:bookmarkStart w:id="309" w:name="_Toc320624219"/>
      <w:bookmarkEnd w:id="309"/>
      <w:bookmarkStart w:id="310" w:name="_Toc503863044"/>
      <w:r>
        <w:rPr>
          <w:rFonts w:hint="eastAsia" w:ascii="宋体" w:hAnsi="宋体" w:cs="宋体"/>
          <w:b/>
          <w:sz w:val="24"/>
          <w:highlight w:val="none"/>
        </w:rPr>
        <w:t>一、</w:t>
      </w:r>
      <w:r>
        <w:rPr>
          <w:rFonts w:hint="eastAsia" w:ascii="宋体" w:hAnsi="宋体" w:cs="宋体"/>
          <w:b/>
          <w:sz w:val="24"/>
          <w:highlight w:val="none"/>
          <w:lang w:val="en-US" w:eastAsia="zh-CN"/>
        </w:rPr>
        <w:t>满足《中华人民共和国政府采购法》第二十二条规定</w:t>
      </w:r>
      <w:r>
        <w:rPr>
          <w:rFonts w:hint="eastAsia" w:ascii="宋体" w:hAnsi="宋体" w:cs="宋体"/>
          <w:b/>
          <w:sz w:val="24"/>
          <w:highlight w:val="none"/>
        </w:rPr>
        <w:t>要求</w:t>
      </w:r>
      <w:r>
        <w:rPr>
          <w:rFonts w:hint="eastAsia" w:ascii="宋体" w:hAnsi="宋体" w:cs="宋体"/>
          <w:b/>
          <w:sz w:val="24"/>
          <w:highlight w:val="none"/>
          <w:lang w:val="en-US" w:eastAsia="zh-CN"/>
        </w:rPr>
        <w:t>的</w:t>
      </w:r>
      <w:r>
        <w:rPr>
          <w:rFonts w:hint="eastAsia" w:ascii="宋体" w:hAnsi="宋体" w:cs="宋体"/>
          <w:b/>
          <w:sz w:val="24"/>
          <w:highlight w:val="none"/>
        </w:rPr>
        <w:t>相关证明材料：</w:t>
      </w:r>
      <w:bookmarkEnd w:id="310"/>
    </w:p>
    <w:p>
      <w:pPr>
        <w:adjustRightInd w:val="0"/>
        <w:snapToGrid w:val="0"/>
        <w:spacing w:line="360" w:lineRule="auto"/>
        <w:ind w:firstLine="482" w:firstLineChars="200"/>
        <w:rPr>
          <w:rFonts w:ascii="宋体" w:hAnsi="宋体" w:cs="宋体"/>
          <w:b/>
          <w:sz w:val="24"/>
          <w:highlight w:val="none"/>
        </w:rPr>
      </w:pPr>
      <w:bookmarkStart w:id="311" w:name="_Toc503863045"/>
      <w:r>
        <w:rPr>
          <w:rFonts w:hint="eastAsia" w:ascii="宋体" w:hAnsi="宋体" w:cs="宋体"/>
          <w:b/>
          <w:sz w:val="24"/>
          <w:highlight w:val="none"/>
        </w:rPr>
        <w:t>1、具有独立承担民事责任的能力</w:t>
      </w:r>
      <w:r>
        <w:rPr>
          <w:rFonts w:hint="eastAsia" w:ascii="宋体" w:hAnsi="宋体" w:cs="宋体"/>
          <w:b/>
          <w:sz w:val="24"/>
          <w:highlight w:val="none"/>
          <w:lang w:val="en-US" w:eastAsia="zh-CN"/>
        </w:rPr>
        <w:t>所需</w:t>
      </w:r>
      <w:r>
        <w:rPr>
          <w:rFonts w:hint="eastAsia" w:ascii="宋体" w:hAnsi="宋体" w:cs="宋体"/>
          <w:b/>
          <w:sz w:val="24"/>
          <w:highlight w:val="none"/>
        </w:rPr>
        <w:t>证明材料：</w:t>
      </w:r>
      <w:bookmarkEnd w:id="311"/>
    </w:p>
    <w:p>
      <w:pPr>
        <w:adjustRightInd w:val="0"/>
        <w:snapToGrid w:val="0"/>
        <w:spacing w:line="360" w:lineRule="auto"/>
        <w:ind w:firstLine="480" w:firstLineChars="200"/>
        <w:rPr>
          <w:rFonts w:ascii="宋体" w:hAnsi="宋体" w:cs="宋体"/>
          <w:bCs/>
          <w:sz w:val="24"/>
          <w:highlight w:val="none"/>
        </w:rPr>
      </w:pPr>
      <w:bookmarkStart w:id="312" w:name="_Toc503863046"/>
      <w:r>
        <w:rPr>
          <w:rFonts w:hint="eastAsia" w:ascii="宋体" w:hAnsi="宋体" w:cs="宋体"/>
          <w:bCs/>
          <w:sz w:val="24"/>
          <w:highlight w:val="none"/>
        </w:rPr>
        <w:t>（1）独立法人机构提供下述证明材料：</w:t>
      </w:r>
      <w:bookmarkEnd w:id="312"/>
    </w:p>
    <w:p>
      <w:pPr>
        <w:adjustRightInd w:val="0"/>
        <w:snapToGrid w:val="0"/>
        <w:spacing w:line="360" w:lineRule="auto"/>
        <w:ind w:firstLine="480" w:firstLineChars="200"/>
        <w:rPr>
          <w:rFonts w:ascii="宋体" w:hAnsi="宋体" w:cs="宋体"/>
          <w:bCs/>
          <w:sz w:val="24"/>
          <w:highlight w:val="none"/>
        </w:rPr>
      </w:pPr>
      <w:bookmarkStart w:id="313" w:name="_Toc503863047"/>
      <w:r>
        <w:rPr>
          <w:rFonts w:hint="eastAsia" w:ascii="宋体" w:hAnsi="宋体" w:cs="宋体"/>
          <w:bCs/>
          <w:sz w:val="24"/>
          <w:highlight w:val="none"/>
        </w:rPr>
        <w:t>营业执照副本复印件（注：①在有效期内；②具有独立法人资格；）、组织机构代码证副本复印件（注：①在有效期内）】或国家新颁发的营业执照复印件（有效期内）。</w:t>
      </w:r>
      <w:bookmarkEnd w:id="313"/>
    </w:p>
    <w:p>
      <w:pPr>
        <w:adjustRightInd w:val="0"/>
        <w:snapToGrid w:val="0"/>
        <w:spacing w:line="360" w:lineRule="auto"/>
        <w:ind w:firstLine="480" w:firstLineChars="200"/>
        <w:rPr>
          <w:rFonts w:ascii="宋体" w:hAnsi="宋体" w:cs="宋体"/>
          <w:bCs/>
          <w:sz w:val="24"/>
          <w:highlight w:val="none"/>
        </w:rPr>
      </w:pPr>
      <w:bookmarkStart w:id="314" w:name="_Toc503863048"/>
      <w:r>
        <w:rPr>
          <w:rFonts w:hint="eastAsia" w:ascii="宋体" w:hAnsi="宋体" w:cs="宋体"/>
          <w:bCs/>
          <w:sz w:val="24"/>
          <w:highlight w:val="none"/>
        </w:rPr>
        <w:t>（2）非独立法人机构提供下述证明材料：</w:t>
      </w:r>
      <w:bookmarkEnd w:id="314"/>
    </w:p>
    <w:p>
      <w:pPr>
        <w:adjustRightInd w:val="0"/>
        <w:snapToGrid w:val="0"/>
        <w:spacing w:line="360" w:lineRule="auto"/>
        <w:ind w:firstLine="480" w:firstLineChars="200"/>
        <w:rPr>
          <w:rFonts w:ascii="宋体" w:hAnsi="宋体" w:cs="宋体"/>
          <w:bCs/>
          <w:sz w:val="24"/>
          <w:highlight w:val="none"/>
        </w:rPr>
      </w:pPr>
      <w:bookmarkStart w:id="315" w:name="_Toc503863049"/>
      <w:r>
        <w:rPr>
          <w:rFonts w:hint="eastAsia" w:ascii="宋体" w:hAnsi="宋体" w:cs="宋体"/>
          <w:bCs/>
          <w:sz w:val="24"/>
          <w:highlight w:val="none"/>
        </w:rPr>
        <w:t>提供相应的法定注册或证明材料复印件。</w:t>
      </w:r>
      <w:bookmarkEnd w:id="315"/>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2" w:firstLineChars="200"/>
        <w:rPr>
          <w:rFonts w:ascii="宋体" w:hAnsi="宋体" w:cs="宋体"/>
          <w:b/>
          <w:sz w:val="24"/>
          <w:highlight w:val="none"/>
        </w:rPr>
      </w:pPr>
      <w:bookmarkStart w:id="316" w:name="_Toc503863050"/>
      <w:r>
        <w:rPr>
          <w:rFonts w:hint="eastAsia" w:ascii="宋体" w:hAnsi="宋体" w:cs="宋体"/>
          <w:b/>
          <w:sz w:val="24"/>
          <w:highlight w:val="none"/>
        </w:rPr>
        <w:t>2、具有良好的商业信誉和健全的财务会计制度</w:t>
      </w:r>
      <w:r>
        <w:rPr>
          <w:rFonts w:hint="eastAsia" w:ascii="宋体" w:hAnsi="宋体" w:cs="宋体"/>
          <w:b/>
          <w:sz w:val="24"/>
          <w:highlight w:val="none"/>
          <w:lang w:val="en-US" w:eastAsia="zh-CN"/>
        </w:rPr>
        <w:t>所需</w:t>
      </w:r>
      <w:r>
        <w:rPr>
          <w:rFonts w:hint="eastAsia" w:ascii="宋体" w:hAnsi="宋体" w:cs="宋体"/>
          <w:b/>
          <w:sz w:val="24"/>
          <w:highlight w:val="none"/>
        </w:rPr>
        <w:t>证明材料：</w:t>
      </w:r>
      <w:bookmarkEnd w:id="316"/>
    </w:p>
    <w:p>
      <w:pPr>
        <w:adjustRightInd w:val="0"/>
        <w:snapToGrid w:val="0"/>
        <w:spacing w:line="360" w:lineRule="auto"/>
        <w:ind w:firstLine="482" w:firstLineChars="200"/>
        <w:rPr>
          <w:rFonts w:ascii="宋体" w:hAnsi="宋体" w:cs="宋体"/>
          <w:b/>
          <w:sz w:val="24"/>
          <w:highlight w:val="none"/>
        </w:rPr>
      </w:pPr>
      <w:bookmarkStart w:id="317" w:name="_Toc503863055"/>
      <w:r>
        <w:rPr>
          <w:rFonts w:hint="eastAsia" w:ascii="宋体" w:hAnsi="宋体" w:cs="宋体"/>
          <w:b/>
          <w:sz w:val="24"/>
          <w:highlight w:val="none"/>
        </w:rPr>
        <w:t>（1）健全的财务会计制度（投标人可根据自身实际情况任选其一提供以下证明材料）</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①可提供2019或2020年度经审计的财务报告复印件（包含审计报告和审计报告中所涉及的财务报表和报表附注）的有效财务报告复印件；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②也可提供2019或2020年度供应商内部的财务报表复印件（至少包含资产负债表）；</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③也可提供截至响应文件递交截止日一年内银行出具的资信证明（复印件）；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④供应商注册时间至文件递交截止日不足一年的</w:t>
      </w:r>
      <w:r>
        <w:rPr>
          <w:rFonts w:hint="eastAsia" w:ascii="宋体" w:hAnsi="宋体" w:cs="宋体"/>
          <w:bCs/>
          <w:sz w:val="24"/>
          <w:highlight w:val="none"/>
          <w:lang w:eastAsia="zh-CN"/>
        </w:rPr>
        <w:t>，</w:t>
      </w:r>
      <w:r>
        <w:rPr>
          <w:rFonts w:hint="eastAsia" w:ascii="宋体" w:hAnsi="宋体" w:cs="宋体"/>
          <w:bCs/>
          <w:sz w:val="24"/>
          <w:highlight w:val="none"/>
        </w:rPr>
        <w:t>可提供在工商备案的公司章程（复印件）。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注：以上4项具有同等的投标效力</w:t>
      </w:r>
      <w:r>
        <w:rPr>
          <w:rFonts w:hint="eastAsia" w:ascii="宋体" w:hAnsi="宋体" w:cs="宋体"/>
          <w:bCs/>
          <w:sz w:val="24"/>
          <w:highlight w:val="none"/>
          <w:lang w:eastAsia="zh-CN"/>
        </w:rPr>
        <w:t>，</w:t>
      </w:r>
      <w:r>
        <w:rPr>
          <w:rFonts w:hint="eastAsia" w:ascii="宋体" w:hAnsi="宋体" w:cs="宋体"/>
          <w:bCs/>
          <w:sz w:val="24"/>
          <w:highlight w:val="none"/>
        </w:rPr>
        <w:t>提供任一项均可</w:t>
      </w:r>
      <w:r>
        <w:rPr>
          <w:rFonts w:hint="eastAsia" w:ascii="宋体" w:hAnsi="宋体" w:cs="宋体"/>
          <w:bCs/>
          <w:sz w:val="24"/>
          <w:highlight w:val="none"/>
          <w:lang w:eastAsia="zh-CN"/>
        </w:rPr>
        <w:t>，</w:t>
      </w:r>
      <w:r>
        <w:rPr>
          <w:rFonts w:hint="eastAsia" w:ascii="宋体" w:hAnsi="宋体" w:cs="宋体"/>
          <w:bCs/>
          <w:sz w:val="24"/>
          <w:highlight w:val="none"/>
        </w:rPr>
        <w:t>第（4）条适用于新成立的法人或组织、未进行财务审计的供应商、存在困难的投标供应商</w:t>
      </w:r>
      <w:r>
        <w:rPr>
          <w:rFonts w:hint="eastAsia" w:ascii="宋体" w:hAnsi="宋体" w:cs="宋体"/>
          <w:bCs/>
          <w:sz w:val="24"/>
          <w:highlight w:val="none"/>
          <w:lang w:eastAsia="zh-CN"/>
        </w:rPr>
        <w:t>，</w:t>
      </w:r>
      <w:r>
        <w:rPr>
          <w:rFonts w:hint="eastAsia" w:ascii="宋体" w:hAnsi="宋体" w:cs="宋体"/>
          <w:bCs/>
          <w:sz w:val="24"/>
          <w:highlight w:val="none"/>
        </w:rPr>
        <w:t>如在评审时不能明确界定</w:t>
      </w:r>
      <w:r>
        <w:rPr>
          <w:rFonts w:hint="eastAsia" w:ascii="宋体" w:hAnsi="宋体" w:cs="宋体"/>
          <w:bCs/>
          <w:sz w:val="24"/>
          <w:highlight w:val="none"/>
          <w:lang w:eastAsia="zh-CN"/>
        </w:rPr>
        <w:t>，</w:t>
      </w:r>
      <w:r>
        <w:rPr>
          <w:rFonts w:hint="eastAsia" w:ascii="宋体" w:hAnsi="宋体" w:cs="宋体"/>
          <w:bCs/>
          <w:sz w:val="24"/>
          <w:highlight w:val="none"/>
        </w:rPr>
        <w:t>以有利于供应商的原则进行评审)；</w:t>
      </w: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（2）提供具有良好的商业信誉的承诺函（格式自拟）。</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（1）投标人自行提供或提供承诺函原件。</w:t>
      </w: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3、具有履行合同所必需的设备和专业技术能力</w:t>
      </w:r>
      <w:r>
        <w:rPr>
          <w:rFonts w:hint="eastAsia" w:ascii="宋体" w:hAnsi="宋体" w:cs="宋体"/>
          <w:b/>
          <w:sz w:val="24"/>
          <w:highlight w:val="none"/>
          <w:lang w:val="en-US" w:eastAsia="zh-CN"/>
        </w:rPr>
        <w:t>所需</w:t>
      </w:r>
      <w:r>
        <w:rPr>
          <w:rFonts w:hint="eastAsia" w:ascii="宋体" w:hAnsi="宋体" w:cs="宋体"/>
          <w:b/>
          <w:sz w:val="24"/>
          <w:highlight w:val="none"/>
        </w:rPr>
        <w:t>证明材料：</w:t>
      </w:r>
      <w:bookmarkEnd w:id="317"/>
    </w:p>
    <w:p>
      <w:pPr>
        <w:adjustRightInd w:val="0"/>
        <w:snapToGrid w:val="0"/>
        <w:spacing w:line="360" w:lineRule="auto"/>
        <w:ind w:firstLine="480" w:firstLineChars="200"/>
        <w:rPr>
          <w:rFonts w:ascii="宋体" w:hAnsi="宋体" w:cs="宋体"/>
          <w:bCs/>
          <w:sz w:val="24"/>
          <w:highlight w:val="none"/>
        </w:rPr>
      </w:pPr>
      <w:bookmarkStart w:id="318" w:name="_Toc503863056"/>
      <w:r>
        <w:rPr>
          <w:rFonts w:hint="eastAsia" w:ascii="宋体" w:hAnsi="宋体" w:cs="宋体"/>
          <w:bCs/>
          <w:sz w:val="24"/>
          <w:highlight w:val="none"/>
        </w:rPr>
        <w:t>（1）投标人自行提供或提供承诺函原件。</w:t>
      </w:r>
      <w:bookmarkEnd w:id="318"/>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2" w:firstLineChars="200"/>
        <w:rPr>
          <w:rFonts w:ascii="宋体" w:hAnsi="宋体" w:cs="宋体"/>
          <w:b/>
          <w:sz w:val="24"/>
          <w:highlight w:val="none"/>
        </w:rPr>
      </w:pPr>
      <w:bookmarkStart w:id="319" w:name="_Toc503863057"/>
      <w:r>
        <w:rPr>
          <w:rFonts w:hint="eastAsia" w:ascii="宋体" w:hAnsi="宋体" w:cs="宋体"/>
          <w:b/>
          <w:sz w:val="24"/>
          <w:highlight w:val="none"/>
        </w:rPr>
        <w:t>4、具有依法缴纳税收和社会保障资金的良好记录</w:t>
      </w:r>
      <w:r>
        <w:rPr>
          <w:rFonts w:hint="eastAsia" w:ascii="宋体" w:hAnsi="宋体" w:cs="宋体"/>
          <w:b/>
          <w:sz w:val="24"/>
          <w:highlight w:val="none"/>
          <w:lang w:val="en-US" w:eastAsia="zh-CN"/>
        </w:rPr>
        <w:t>所需</w:t>
      </w:r>
      <w:r>
        <w:rPr>
          <w:rFonts w:hint="eastAsia" w:ascii="宋体" w:hAnsi="宋体" w:cs="宋体"/>
          <w:b/>
          <w:sz w:val="24"/>
          <w:highlight w:val="none"/>
        </w:rPr>
        <w:t>证明材料：</w:t>
      </w:r>
      <w:bookmarkEnd w:id="319"/>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（1）投标人自行提供或提供承诺函原件。</w:t>
      </w:r>
    </w:p>
    <w:p>
      <w:pPr>
        <w:pStyle w:val="7"/>
        <w:rPr>
          <w:rFonts w:hint="eastAsia"/>
        </w:rPr>
      </w:pPr>
    </w:p>
    <w:p>
      <w:pPr>
        <w:adjustRightInd w:val="0"/>
        <w:snapToGrid w:val="0"/>
        <w:spacing w:line="360" w:lineRule="auto"/>
        <w:ind w:firstLine="482" w:firstLineChars="200"/>
        <w:rPr>
          <w:rFonts w:ascii="宋体" w:hAnsi="宋体" w:cs="宋体"/>
          <w:b/>
          <w:sz w:val="24"/>
          <w:highlight w:val="none"/>
        </w:rPr>
      </w:pPr>
      <w:bookmarkStart w:id="320" w:name="_Toc503863062"/>
      <w:r>
        <w:rPr>
          <w:rFonts w:hint="eastAsia" w:ascii="宋体" w:hAnsi="宋体" w:cs="宋体"/>
          <w:b/>
          <w:sz w:val="24"/>
          <w:highlight w:val="none"/>
        </w:rPr>
        <w:t>5、参加政府采购活动前三年内</w:t>
      </w:r>
      <w:r>
        <w:rPr>
          <w:rFonts w:hint="eastAsia" w:ascii="宋体" w:hAnsi="宋体" w:cs="宋体"/>
          <w:b/>
          <w:sz w:val="24"/>
          <w:highlight w:val="none"/>
          <w:lang w:eastAsia="zh-CN"/>
        </w:rPr>
        <w:t>，</w:t>
      </w:r>
      <w:r>
        <w:rPr>
          <w:rFonts w:hint="eastAsia" w:ascii="宋体" w:hAnsi="宋体" w:cs="宋体"/>
          <w:b/>
          <w:sz w:val="24"/>
          <w:highlight w:val="none"/>
        </w:rPr>
        <w:t>在经营活动中没有重大违法记录</w:t>
      </w:r>
      <w:r>
        <w:rPr>
          <w:rFonts w:hint="eastAsia" w:ascii="宋体" w:hAnsi="宋体" w:cs="宋体"/>
          <w:b/>
          <w:sz w:val="24"/>
          <w:highlight w:val="none"/>
          <w:lang w:val="en-US" w:eastAsia="zh-CN"/>
        </w:rPr>
        <w:t>所需</w:t>
      </w:r>
      <w:r>
        <w:rPr>
          <w:rFonts w:hint="eastAsia" w:ascii="宋体" w:hAnsi="宋体" w:cs="宋体"/>
          <w:b/>
          <w:sz w:val="24"/>
          <w:highlight w:val="none"/>
        </w:rPr>
        <w:t>证明材料：</w:t>
      </w:r>
      <w:bookmarkEnd w:id="320"/>
    </w:p>
    <w:p>
      <w:pPr>
        <w:adjustRightInd w:val="0"/>
        <w:snapToGrid w:val="0"/>
        <w:spacing w:line="360" w:lineRule="auto"/>
        <w:ind w:firstLine="480" w:firstLineChars="200"/>
        <w:rPr>
          <w:rFonts w:ascii="宋体" w:hAnsi="宋体" w:cs="宋体"/>
          <w:bCs/>
          <w:sz w:val="24"/>
          <w:highlight w:val="none"/>
        </w:rPr>
      </w:pPr>
      <w:bookmarkStart w:id="321" w:name="_Toc503863063"/>
      <w:r>
        <w:rPr>
          <w:rFonts w:hint="eastAsia" w:ascii="宋体" w:hAnsi="宋体" w:cs="宋体"/>
          <w:bCs/>
          <w:sz w:val="24"/>
          <w:highlight w:val="none"/>
        </w:rPr>
        <w:t>投标人参加政府采购活动前三年内</w:t>
      </w:r>
      <w:r>
        <w:rPr>
          <w:rFonts w:hint="eastAsia" w:ascii="宋体" w:hAnsi="宋体" w:cs="宋体"/>
          <w:bCs/>
          <w:sz w:val="24"/>
          <w:highlight w:val="none"/>
          <w:lang w:eastAsia="zh-CN"/>
        </w:rPr>
        <w:t>，</w:t>
      </w:r>
      <w:r>
        <w:rPr>
          <w:rFonts w:hint="eastAsia" w:ascii="宋体" w:hAnsi="宋体" w:cs="宋体"/>
          <w:bCs/>
          <w:sz w:val="24"/>
          <w:highlight w:val="none"/>
        </w:rPr>
        <w:t>在经营活动中没有重大违法记录的书面声明原件。</w:t>
      </w:r>
      <w:bookmarkEnd w:id="321"/>
    </w:p>
    <w:p>
      <w:pPr>
        <w:adjustRightInd w:val="0"/>
        <w:snapToGrid w:val="0"/>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cs="宋体"/>
          <w:b/>
          <w:sz w:val="24"/>
          <w:highlight w:val="none"/>
        </w:rPr>
        <w:t>二、</w:t>
      </w:r>
      <w:r>
        <w:rPr>
          <w:rFonts w:hint="eastAsia" w:ascii="宋体" w:hAnsi="宋体" w:eastAsia="宋体" w:cs="宋体"/>
          <w:b/>
          <w:bCs w:val="0"/>
          <w:sz w:val="24"/>
          <w:highlight w:val="none"/>
          <w:lang w:val="en-US" w:eastAsia="zh-CN"/>
        </w:rPr>
        <w:t>落实政府采购政策需满足的资格要求</w:t>
      </w:r>
      <w:r>
        <w:rPr>
          <w:rFonts w:hint="eastAsia" w:ascii="宋体" w:hAnsi="宋体" w:cs="宋体"/>
          <w:b/>
          <w:sz w:val="24"/>
          <w:highlight w:val="none"/>
        </w:rPr>
        <w:t>：</w:t>
      </w:r>
      <w:r>
        <w:rPr>
          <w:rFonts w:hint="eastAsia" w:ascii="宋体" w:hAnsi="宋体" w:cs="宋体"/>
          <w:b/>
          <w:sz w:val="24"/>
          <w:highlight w:val="none"/>
          <w:lang w:val="en-US" w:eastAsia="zh-CN"/>
        </w:rPr>
        <w:t>无。</w:t>
      </w:r>
    </w:p>
    <w:p>
      <w:pPr>
        <w:adjustRightInd w:val="0"/>
        <w:snapToGrid w:val="0"/>
        <w:spacing w:line="360" w:lineRule="auto"/>
        <w:ind w:firstLine="482" w:firstLineChars="200"/>
        <w:rPr>
          <w:rFonts w:hint="eastAsia" w:ascii="宋体" w:hAnsi="宋体" w:eastAsia="宋体" w:cs="宋体"/>
          <w:bCs/>
          <w:sz w:val="24"/>
          <w:highlight w:val="none"/>
          <w:lang w:eastAsia="zh-CN"/>
        </w:rPr>
      </w:pPr>
      <w:bookmarkStart w:id="322" w:name="_Toc503863064"/>
      <w:r>
        <w:rPr>
          <w:rFonts w:hint="eastAsia" w:ascii="宋体" w:hAnsi="宋体" w:cs="宋体"/>
          <w:b/>
          <w:sz w:val="24"/>
          <w:highlight w:val="none"/>
          <w:lang w:val="en-US" w:eastAsia="zh-CN"/>
        </w:rPr>
        <w:t>三、根据采购项目提出的特殊条件：</w:t>
      </w:r>
      <w:r>
        <w:rPr>
          <w:rFonts w:hint="eastAsia" w:ascii="宋体" w:hAnsi="宋体" w:eastAsia="宋体" w:cs="宋体"/>
          <w:color w:val="auto"/>
          <w:sz w:val="24"/>
          <w:highlight w:val="none"/>
        </w:rPr>
        <w:t>本项目参加政府采购活动的</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、法定代表人/主要负责人近3年内不得具有行贿犯罪记录。</w:t>
      </w:r>
      <w:r>
        <w:rPr>
          <w:rFonts w:hint="eastAsia" w:ascii="宋体" w:hAnsi="宋体" w:eastAsia="宋体" w:cs="宋体"/>
          <w:color w:val="auto"/>
          <w:sz w:val="24"/>
          <w:highlight w:val="none"/>
          <w:lang w:eastAsia="zh-CN"/>
        </w:rPr>
        <w:t>（</w:t>
      </w:r>
      <w:r>
        <w:rPr>
          <w:rFonts w:hint="eastAsia" w:ascii="宋体" w:hAnsi="宋体" w:cs="宋体"/>
          <w:bCs/>
          <w:sz w:val="24"/>
          <w:highlight w:val="none"/>
        </w:rPr>
        <w:t>投标人自行提供或提供承诺函原件。</w:t>
      </w:r>
      <w:r>
        <w:rPr>
          <w:rFonts w:hint="eastAsia" w:ascii="宋体" w:hAnsi="宋体" w:eastAsia="宋体" w:cs="宋体"/>
          <w:color w:val="auto"/>
          <w:sz w:val="24"/>
          <w:highlight w:val="none"/>
          <w:lang w:eastAsia="zh-CN"/>
        </w:rPr>
        <w:t>）</w:t>
      </w:r>
    </w:p>
    <w:bookmarkEnd w:id="322"/>
    <w:p>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四</w:t>
      </w:r>
      <w:r>
        <w:rPr>
          <w:rFonts w:hint="eastAsia" w:ascii="宋体" w:hAnsi="宋体" w:cs="宋体"/>
          <w:b/>
          <w:sz w:val="24"/>
          <w:highlight w:val="none"/>
        </w:rPr>
        <w:t>、其他类似效力要求相关证明材料：</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1、法定代表人身份证复印件或护照复印件［注：①法定代表人身份证复印件（在有效期内、两面均应复印）或护照复印件（法定代表人为外籍人士的</w:t>
      </w:r>
      <w:r>
        <w:rPr>
          <w:rFonts w:hint="eastAsia" w:ascii="宋体" w:hAnsi="宋体" w:cs="宋体"/>
          <w:bCs/>
          <w:sz w:val="24"/>
          <w:highlight w:val="none"/>
          <w:lang w:eastAsia="zh-CN"/>
        </w:rPr>
        <w:t>，</w:t>
      </w:r>
      <w:r>
        <w:rPr>
          <w:rFonts w:hint="eastAsia" w:ascii="宋体" w:hAnsi="宋体" w:cs="宋体"/>
          <w:bCs/>
          <w:sz w:val="24"/>
          <w:highlight w:val="none"/>
        </w:rPr>
        <w:t>按此提供）；</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2、代理人身份证复印件（身份证两面均应复印）（注：①在有效期内；②由投标人法定代表人签署所有投标文件并参加投标的</w:t>
      </w:r>
      <w:r>
        <w:rPr>
          <w:rFonts w:hint="eastAsia" w:ascii="宋体" w:hAnsi="宋体" w:cs="宋体"/>
          <w:bCs/>
          <w:sz w:val="24"/>
          <w:highlight w:val="none"/>
          <w:lang w:eastAsia="zh-CN"/>
        </w:rPr>
        <w:t>，</w:t>
      </w:r>
      <w:r>
        <w:rPr>
          <w:rFonts w:hint="eastAsia" w:ascii="宋体" w:hAnsi="宋体" w:cs="宋体"/>
          <w:bCs/>
          <w:sz w:val="24"/>
          <w:highlight w:val="none"/>
        </w:rPr>
        <w:t>则可不提供）。</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3、法人授权书原件（注：①非法定代表人签署所有投标文件并参加投标的适用；②非独立法人机构提供相应的有授权资格的负责人授权书原件。）</w:t>
      </w:r>
    </w:p>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注：1、本章要求提供的相关证明材料应当与第四章的规定要求对应</w:t>
      </w:r>
      <w:r>
        <w:rPr>
          <w:rFonts w:hint="eastAsia" w:ascii="宋体" w:hAnsi="宋体" w:cs="宋体"/>
          <w:bCs/>
          <w:sz w:val="24"/>
          <w:highlight w:val="none"/>
          <w:lang w:eastAsia="zh-CN"/>
        </w:rPr>
        <w:t>，</w:t>
      </w:r>
      <w:r>
        <w:rPr>
          <w:rFonts w:hint="eastAsia" w:ascii="宋体" w:hAnsi="宋体" w:cs="宋体"/>
          <w:bCs/>
          <w:sz w:val="24"/>
          <w:highlight w:val="none"/>
        </w:rPr>
        <w:t>除投标人自愿以外</w:t>
      </w:r>
      <w:r>
        <w:rPr>
          <w:rFonts w:hint="eastAsia" w:ascii="宋体" w:hAnsi="宋体" w:cs="宋体"/>
          <w:bCs/>
          <w:sz w:val="24"/>
          <w:highlight w:val="none"/>
          <w:lang w:eastAsia="zh-CN"/>
        </w:rPr>
        <w:t>，</w:t>
      </w:r>
      <w:r>
        <w:rPr>
          <w:rFonts w:hint="eastAsia" w:ascii="宋体" w:hAnsi="宋体" w:cs="宋体"/>
          <w:bCs/>
          <w:sz w:val="24"/>
          <w:highlight w:val="none"/>
        </w:rPr>
        <w:t>不能要求投标人提供额外的证明材料。如果要求提供额外的证明材料</w:t>
      </w:r>
      <w:r>
        <w:rPr>
          <w:rFonts w:hint="eastAsia" w:ascii="宋体" w:hAnsi="宋体" w:cs="宋体"/>
          <w:bCs/>
          <w:sz w:val="24"/>
          <w:highlight w:val="none"/>
          <w:lang w:eastAsia="zh-CN"/>
        </w:rPr>
        <w:t>，</w:t>
      </w:r>
      <w:r>
        <w:rPr>
          <w:rFonts w:hint="eastAsia" w:ascii="宋体" w:hAnsi="宋体" w:cs="宋体"/>
          <w:bCs/>
          <w:sz w:val="24"/>
          <w:highlight w:val="none"/>
        </w:rPr>
        <w:t>投标人有权不予提供</w:t>
      </w:r>
      <w:r>
        <w:rPr>
          <w:rFonts w:hint="eastAsia" w:ascii="宋体" w:hAnsi="宋体" w:cs="宋体"/>
          <w:bCs/>
          <w:sz w:val="24"/>
          <w:highlight w:val="none"/>
          <w:lang w:eastAsia="zh-CN"/>
        </w:rPr>
        <w:t>，</w:t>
      </w:r>
      <w:r>
        <w:rPr>
          <w:rFonts w:hint="eastAsia" w:ascii="宋体" w:hAnsi="宋体" w:cs="宋体"/>
          <w:bCs/>
          <w:sz w:val="24"/>
          <w:highlight w:val="none"/>
        </w:rPr>
        <w:t>且不影响投标文件的有效性和完整性。</w:t>
      </w:r>
      <w:bookmarkStart w:id="323" w:name="_Toc217446093"/>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2、本章要求提供的相关证明材料应当结合采购项目具体情况和投标人的组织机构性质确定</w:t>
      </w:r>
      <w:r>
        <w:rPr>
          <w:rFonts w:hint="eastAsia" w:ascii="宋体" w:hAnsi="宋体" w:cs="宋体"/>
          <w:bCs/>
          <w:sz w:val="24"/>
          <w:highlight w:val="none"/>
          <w:lang w:eastAsia="zh-CN"/>
        </w:rPr>
        <w:t>，</w:t>
      </w:r>
      <w:r>
        <w:rPr>
          <w:rFonts w:hint="eastAsia" w:ascii="宋体" w:hAnsi="宋体" w:cs="宋体"/>
          <w:bCs/>
          <w:sz w:val="24"/>
          <w:highlight w:val="none"/>
        </w:rPr>
        <w:t>不得一概而论。</w:t>
      </w:r>
      <w:r>
        <w:rPr>
          <w:rFonts w:hint="eastAsia" w:ascii="宋体" w:hAnsi="宋体" w:cs="宋体"/>
          <w:bCs/>
          <w:sz w:val="24"/>
          <w:highlight w:val="none"/>
        </w:rPr>
        <w:br w:type="page"/>
      </w:r>
    </w:p>
    <w:p>
      <w:pPr>
        <w:pStyle w:val="3"/>
        <w:rPr>
          <w:rFonts w:ascii="宋体" w:hAnsi="宋体" w:cs="宋体"/>
          <w:highlight w:val="none"/>
        </w:rPr>
      </w:pPr>
      <w:bookmarkStart w:id="324" w:name="_Toc503863068"/>
      <w:bookmarkStart w:id="325" w:name="_Toc21266"/>
      <w:bookmarkStart w:id="326" w:name="_Toc48"/>
      <w:bookmarkStart w:id="327" w:name="_Toc24805"/>
      <w:r>
        <w:rPr>
          <w:rFonts w:hint="eastAsia" w:ascii="宋体" w:hAnsi="宋体" w:cs="宋体"/>
          <w:highlight w:val="none"/>
        </w:rPr>
        <w:t>第六章  招标项目技术、服务、政府采购合同内容条款及其他商务要求</w:t>
      </w:r>
      <w:bookmarkEnd w:id="323"/>
      <w:bookmarkEnd w:id="324"/>
      <w:bookmarkEnd w:id="325"/>
      <w:bookmarkEnd w:id="326"/>
      <w:bookmarkEnd w:id="327"/>
      <w:bookmarkStart w:id="328" w:name="_Toc503863069"/>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一、项目概况</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1、项目名称：成都市郫都区综合行政执法局犀浦街道市政设施市场化管护项目。</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2、项目概况：本项目位于成都市郫都区，分为2个标段，分别为犀浦1标段（南片区）的红光大道以南区域；梓潼路及其以东区域；犀浦2标段（北片区）的红光大道以北、梓潼路以西区域。包含市政道路及其附属设施、照明设施及其配套设施、隔离设施、桥梁设施的日常巡查管护、维修维护等工作。</w:t>
      </w:r>
    </w:p>
    <w:p>
      <w:pPr>
        <w:pStyle w:val="2"/>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zh-CN" w:bidi="zh-CN"/>
        </w:rPr>
        <w:t>★</w:t>
      </w:r>
      <w:r>
        <w:rPr>
          <w:rFonts w:hint="eastAsia" w:ascii="宋体" w:hAnsi="宋体" w:eastAsia="宋体" w:cs="宋体"/>
          <w:b/>
          <w:bCs/>
          <w:color w:val="auto"/>
          <w:sz w:val="24"/>
          <w:szCs w:val="24"/>
          <w:lang w:val="en-US" w:bidi="zh-CN"/>
        </w:rPr>
        <w:t xml:space="preserve"> </w:t>
      </w:r>
      <w:r>
        <w:rPr>
          <w:rFonts w:hint="eastAsia" w:ascii="宋体" w:hAnsi="宋体" w:eastAsia="宋体" w:cs="宋体"/>
          <w:b/>
          <w:bCs/>
          <w:color w:val="auto"/>
          <w:sz w:val="24"/>
          <w:szCs w:val="24"/>
          <w:lang w:val="en-US" w:eastAsia="zh-CN"/>
        </w:rPr>
        <w:t>二、服务内容和要求</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1、服务内容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（1）犀浦1标段（南片区）：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1.管护工作内容：市政道路及其附属设施（详见</w:t>
      </w:r>
      <w:r>
        <w:rPr>
          <w:rFonts w:hint="eastAsia" w:ascii="宋体" w:hAnsi="宋体" w:eastAsia="宋体" w:cs="宋体"/>
          <w:b/>
          <w:bCs/>
          <w:color w:val="auto"/>
          <w:sz w:val="24"/>
          <w:szCs w:val="24"/>
          <w:lang w:val="en-US" w:eastAsia="zh-CN"/>
        </w:rPr>
        <w:t>附件1：</w:t>
      </w:r>
      <w:r>
        <w:rPr>
          <w:rFonts w:hint="eastAsia" w:ascii="宋体" w:hAnsi="宋体" w:eastAsia="宋体" w:cs="宋体"/>
          <w:b w:val="0"/>
          <w:bCs w:val="0"/>
          <w:color w:val="auto"/>
          <w:sz w:val="24"/>
          <w:szCs w:val="24"/>
          <w:lang w:val="en-US" w:eastAsia="zh-CN"/>
        </w:rPr>
        <w:t>犀浦街道城市道路明细表）、照明设施及其配套设施、隔离设施、桥梁设施的日常巡查管护、维修维护工作(详见</w:t>
      </w:r>
      <w:r>
        <w:rPr>
          <w:rFonts w:hint="eastAsia" w:ascii="宋体" w:hAnsi="宋体" w:eastAsia="宋体" w:cs="宋体"/>
          <w:b/>
          <w:bCs/>
          <w:color w:val="auto"/>
          <w:sz w:val="24"/>
          <w:szCs w:val="24"/>
          <w:lang w:val="en-US" w:eastAsia="zh-CN"/>
        </w:rPr>
        <w:t>附件2：</w:t>
      </w:r>
      <w:r>
        <w:rPr>
          <w:rFonts w:hint="eastAsia" w:ascii="宋体" w:hAnsi="宋体" w:eastAsia="宋体" w:cs="宋体"/>
          <w:b w:val="0"/>
          <w:bCs w:val="0"/>
          <w:color w:val="auto"/>
          <w:sz w:val="24"/>
          <w:szCs w:val="24"/>
          <w:lang w:val="en-US" w:eastAsia="zh-CN"/>
        </w:rPr>
        <w:t>犀浦街道城市桥梁明细表)。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2.管护区域：红光大道以南区域；梓潼路及其以东区域。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3.管护面积：市政道路73条，面积79.07万平米；道红外硬质铺装7.88万平米；路灯1783盏及相应照明控制柜、变压器。桥梁28座。郫筒街道东大街工商银行楼顶钟楼结构及塔钟。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（2）犀浦2标段（北片区）：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1.管护工作内容：市政道路及其附属设施、照明设施及其配套设施、隔离设施、桥梁设施的日常巡查管护、维修维护工作。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2.管护区域：红光大道以北、梓潼路以西区域。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3.管护面积：市政道路39条，面积70.55万平米；道红外硬质铺装12.18万平米；路灯1860盏及相应照明控制柜、变压器。桥梁14座。</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2、服务要求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（一）服务内容及技术要求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1.日常巡查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日常巡查应由经过培训的专职管理人员或养护技术人员负责。</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（1）市政道路及其附属设施巡查：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日常巡查应对路面外观变化、结构变化、道路施工作业情况及附属设施等状况进行检查。宜以步行目测为主，并做好相关记录，定期整理归档。</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日常巡查应按道路养护等级分别执行，I等养护道路每日一巡，II等养护道路每二日一巡，III等养护道路每三日一巡。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日常巡查应符合《城镇道路养护技术规范》（CJJ 36-2016）第4.2条全部规定要求，且硬质铺装地面、栏杆、隔离桩、木平台、市政座椅、小品、箱柜、杆体等市政设施及其附属设施亦属于日常巡查范围。</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（2）照明设施巡查：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①常规巡查：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亮灯巡查：每天亮灯后一小时内完成对维护区域的巡查，必检区域亮灯率100%，其他区域亮灯率达到99%以上。</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维修巡查：对当日巡查发现的故障应当日处理，维修所用的元器件应达到原设计要求，同品牌、同规格的合格产品。即时维修率要达到100%。</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设施安全巡查：设施安全巡查每日不少于两次全面巡查（白天和晚上各一次）。设施完好率要达到95%以上。</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变压器巡查：要求每天巡查2次以上，确保变压器安全正常运行。</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设施防盗巡查：不间断对照明设施，特别是线缆的防盗巡查管控。</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②专项巡查：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电力电缆巡查：电力电缆巡查检修每月不少于一次。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灯杆外观保洁：主干道及出入城通道灯杆每月不少于两次保洁，次干道、巷道每月不少于一次保洁。</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配电柜等配电设施巡查：配电柜每周不少于一次外观保洁，元器件每月不少于两次检修保洁，每年不少于一次除锈刷漆翻新。</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（3）其他市政设施巡查及值守：</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①隔离设施巡查：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日常巡查应对中央隔离护栏、机非隔离护栏、标识牌等状况进行检查。每天巡查次数不少于3次，并做好相关记录，定期整理归档。</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（4）桥梁日常巡检（经常性检查）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 经常性检查应对结构变异、桥及桥区施工作业情况的检查和桥面系、限载标志、交通标志及其他附属设施等状况进行日常巡检；</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（4）.2 经常性检查应由经过培训的专职桥梁管理人员和工程技术人员负责；</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highlight w:val="none"/>
          <w:lang w:val="en-US" w:eastAsia="zh-CN"/>
        </w:rPr>
        <w:t>.3经常性检查宜以目测为主，并应按《城市桥梁养护技术标准》CJJ99-2017附录A现场填写《城市桥梁日常巡检日报表》（一桥一本），</w:t>
      </w:r>
      <w:r>
        <w:rPr>
          <w:rFonts w:hint="eastAsia" w:ascii="宋体" w:hAnsi="宋体" w:eastAsia="宋体" w:cs="宋体"/>
          <w:b w:val="0"/>
          <w:bCs w:val="0"/>
          <w:color w:val="auto"/>
          <w:sz w:val="24"/>
          <w:szCs w:val="24"/>
          <w:lang w:val="en-US" w:eastAsia="zh-CN"/>
        </w:rPr>
        <w:t>登记所检查桥梁的病害类型、维修工程量，提出相应的养护措施；</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（4）.4 经常性检查应按桥梁的类别、级别、技术等级分别制定巡检周期。对重要桥梁，或遇恶劣天气、汛期、雨季、冰冻等特殊情况，周期宜短。特殊情况应设专人看护；</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（4）.5 经常性检查记录应定期整理归档，并提出评价意见。巡检过程中发现设施明显损坏，影响车辆和行人安全，应及时采取相应维护措施，并应立即向主管部门报告；</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（4）.6 经常性检查应包括下列内容：</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①桥面系及附属结构物的外观情况：</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平整性、裂缝、局部坑槽、拥包、车辙、桥头跳车；</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伸缩缝装置的连接松动、异常变形、破损、脱落、阻塞等；</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桥面泄水孔的堵塞、缺损；</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人行道铺装、栏杆扶手、端柱、防护网等部分的污秽、破损、缺失、露筋、锈蚀等；</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挡土墙、护坡、调治构造物、墩台、锥坡、翼墙的局部开裂、破损、塌陷、倾斜等；</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②上下部结构异常变化、缺陷、变形、沉降、位移等情况。</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③城市道路管理条例中规定的各类违章现象；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④检查在桥区内的施工作业情况；</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⑤各类标识：桥梁限高、限载标志、桥梁铭牌及桥墩编号的齐全、完好、清晰等；</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⑥其他较明显的损坏及不正常现象。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（4）.7 经常性检查应符合的基本要求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①巡查人员安排</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lang w:val="en-US" w:eastAsia="zh-CN"/>
        </w:rPr>
        <w:t>管护单位应根据桥梁的巡查工作量，配备足够的专职巡查人员。</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所有巡查人员必须进行上岗前的技术、安全培训，合格后方能上岗，巡查人员必须穿着带警示标志且符合采购人要求的工作装，并佩戴“桥梁巡查”证，对所巡查范围内的设施进行认真核实，掌握桥梁范围内各类设施的权属单位。</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②巡查周期</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Ⅰ等养护的桥梁每天一巡。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Ⅱ等养护的桥梁三天一巡。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Ⅲ等养护的桥梁每周一巡。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③巡查方式</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所有桥梁均步行巡查。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④临时事件的处理</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在巡查中发现有人为损坏、破坏桥梁设施的行为时应当场立即制止，同时向发包方或有关执法部门报告。</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巡查人员在巡查中发现有安全隐患等紧急情况时，应立即设置警示标识，避免安全责任事故发生，同时向发包方报告。</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在任何时间出现的安全隐患均需在3小时内进行处理。</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⑤日常巡查以目测为主，并现场填写《城市桥梁日常巡查日报表》（一桥一本），登记所检查桥梁的病害类型，维修工程量。</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2.预防性养护</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根据道路状况，按照《城镇道路养护技术规范》（CJJ 36-2016）第5.2条规范采取预防性养护措施；根据市政设施锈蚀、磨损等状况，采取相应预防性养护措施。</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3.日常维修维护工作要求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（1）市政道路及其附属设施维修维护工作要求：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按照相关规范及技术要求，对管护区域内市政道路及其附属设施进行日常维修及保养小修工作（小修工作指同一条道路同一施工维修作业内容面积在1000平米以下的市政道路维修）。</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车行道、人行道、硬质铺装地面：路面平整、密实、无明显沉陷、裂缝、破碎、错台、拥包、车辙、积水、跛翘、构件无缺损等病害。</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沥青路面裂缝（10mm以内）、水泥路面接缝均完成灌缝，且符合相关技术规范要求。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路缘石、平石、嵌边石、树池、井周等市政相关附属设施应平整、坚实，无下沉、塌落、位移、破损、缺失等现象。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栏杆、隔离桩、木平台、市政座椅、小品雕塑、箱柜、杆体等市政其他设施应无变形、松动、脱位、破损、脱漆皮、锈蚀等现象。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栏杆、铁质隔离桩、防腐木平台、座椅防腐木等每年应刷新油漆一次。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各项市政道路及其附属设施维修维护后需到达《城镇道路养护技术规范》（CJJ 36-2016）、《成都市郫都区综合行政执法局城市道路社会化养护管理考核办法》相关标准及要求。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（2）照明设施维护内容和要求：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①灯杆灯具维护要求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灯具：外观完整、绝缘良好；安装稳固；闭合紧密；保护层完好；部件齐全，支架稳定；元器件完整。</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光源电器：齐全完整；连接准确；工作正常；安装稳固；外壳完整安全。绝缘层完好；接头规范。</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灯杆灯架：安装端正、稳固；接地可靠；外观整齐清洁；无积尘、无异物、无锈蚀；灯杆检修门关闭严实完好以及保护层完好。每年应对灯杆接地或接零设施进行测试，测试结果必须达到国家有关标准，每年完成一次测试，测试报告报采购人备案。</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灯杆灯具锈蚀面积达到30%以上，更换新灯杆灯具；锈蚀较轻的应该除锈刷漆。</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灯杆基础：基础稳固，无裂口，歪斜，灯脚保护完好。</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质保期内的灯杆、灯具损坏（不含人为损坏及被盗）由建设单位进行更换。</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②电力电缆维护要求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敷设规范安全；保护措施齐全绝缘层良好；接地连接可靠；固件完整齐全；若有被盗、损毁等，乙方应按原设计标准同材质、同规格进行更换。质保期内的线缆损坏（不含人为损坏及被盗）由建设单位进行更换。</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③工作井维护要求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稳定完整，砌体坚固，部件齐全。</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④配电柜维护要求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箱体内元器件导线排列整齐、美观；相序一致、接触紧密；固件完整、齐全。箱体内外清洁，无积尘，无异物、安装规范、牢固；配件完整、保护层完好，门、锁、性能完好，防鼠等设施完备；标记内容完整、清楚、醒目。</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⑤变压器维护要求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箱体外观：保持整洁、安装稳固、部件完整、箱门锁闭灵活有效、接地连接可靠、运行安全、标志明显齐全、周边无异物、杂草堆积等。</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基础：基础牢固、无基础下沉情况、台架式变压器台杆基础牢固、排水良好无积水现象。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箱内元器件：绝缘良好、接地可靠、连接牢固、无漏电、无接头过热现象、清洁、无异物、导线连接良好，电器工作正常，电器导线排列整齐，无破损，定期进行绝缘测试。</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变压器：变压器声音、油温是否正常、油面高度是否正常、保持清洁、保持通风良好。</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跌落式熔断器：更换高压保险丝具。</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绝缘电阻测试、接地电阻测试、负荷测试、按期提供周期性实验报告单。</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定期做好检测维修登记、巡查维护检测记录。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66"/>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日常巡查</w:t>
            </w:r>
          </w:p>
        </w:tc>
        <w:tc>
          <w:tcPr>
            <w:tcW w:w="1366"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每天两次</w:t>
            </w:r>
          </w:p>
        </w:tc>
        <w:tc>
          <w:tcPr>
            <w:tcW w:w="4589"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出具巡查记录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绝缘电阻测试</w:t>
            </w:r>
          </w:p>
        </w:tc>
        <w:tc>
          <w:tcPr>
            <w:tcW w:w="1366"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半年一次</w:t>
            </w:r>
          </w:p>
        </w:tc>
        <w:tc>
          <w:tcPr>
            <w:tcW w:w="4589"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出具报告单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接到电阻测试</w:t>
            </w:r>
          </w:p>
        </w:tc>
        <w:tc>
          <w:tcPr>
            <w:tcW w:w="1366"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半年一次</w:t>
            </w:r>
          </w:p>
        </w:tc>
        <w:tc>
          <w:tcPr>
            <w:tcW w:w="4589"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出具报告单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负荷测试</w:t>
            </w:r>
          </w:p>
        </w:tc>
        <w:tc>
          <w:tcPr>
            <w:tcW w:w="1366"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一月一次</w:t>
            </w:r>
          </w:p>
        </w:tc>
        <w:tc>
          <w:tcPr>
            <w:tcW w:w="4589"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出具报告单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预防性试验</w:t>
            </w:r>
          </w:p>
        </w:tc>
        <w:tc>
          <w:tcPr>
            <w:tcW w:w="1366"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一年一次</w:t>
            </w:r>
          </w:p>
        </w:tc>
        <w:tc>
          <w:tcPr>
            <w:tcW w:w="4589"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出具报告单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年度检测</w:t>
            </w:r>
          </w:p>
        </w:tc>
        <w:tc>
          <w:tcPr>
            <w:tcW w:w="1366"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一年一次</w:t>
            </w:r>
          </w:p>
        </w:tc>
        <w:tc>
          <w:tcPr>
            <w:tcW w:w="4589" w:type="dxa"/>
            <w:noWrap w:val="0"/>
            <w:vAlign w:val="center"/>
          </w:tcPr>
          <w:p>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出具电力监管部门认可的第三方检验报告</w:t>
            </w:r>
          </w:p>
        </w:tc>
      </w:tr>
    </w:tbl>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⑥维修记录，数据台账：</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照“一路一档”的原则建立灯具、灯杆、变压器、电缆、控制柜、电表维护基础台帐资料、管理档案，对所管理的照明设施进行编号；做好维护、巡查、维修、抢修记录；按期对变压器运行情况进行检查测试、并将测试结果报甲方备案。</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（3）桥梁设施维护内容和要求：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日常保养及小型维修范围为：单座桥梁单次维修费用在4万元（含4万元）人民币以内的维修服务（若双方对维修价格认定产生分歧的，由</w:t>
      </w:r>
      <w:r>
        <w:rPr>
          <w:rFonts w:hint="eastAsia" w:ascii="宋体" w:hAnsi="宋体" w:eastAsia="宋体" w:cs="宋体"/>
          <w:color w:val="auto"/>
          <w:sz w:val="24"/>
        </w:rPr>
        <w:t>采购人委托</w:t>
      </w:r>
      <w:r>
        <w:rPr>
          <w:rFonts w:hint="eastAsia" w:ascii="宋体" w:hAnsi="宋体" w:eastAsia="宋体" w:cs="宋体"/>
          <w:color w:val="auto"/>
          <w:sz w:val="24"/>
          <w:lang w:eastAsia="zh-CN"/>
        </w:rPr>
        <w:t>第三方</w:t>
      </w:r>
      <w:r>
        <w:rPr>
          <w:rFonts w:hint="eastAsia" w:ascii="宋体" w:hAnsi="宋体" w:eastAsia="宋体" w:cs="宋体"/>
          <w:color w:val="auto"/>
          <w:sz w:val="24"/>
        </w:rPr>
        <w:t>专业单位</w:t>
      </w:r>
      <w:r>
        <w:rPr>
          <w:rFonts w:hint="eastAsia" w:ascii="宋体" w:hAnsi="宋体" w:eastAsia="宋体" w:cs="宋体"/>
          <w:color w:val="auto"/>
          <w:sz w:val="24"/>
          <w:lang w:eastAsia="zh-CN"/>
        </w:rPr>
        <w:t>认定</w:t>
      </w:r>
      <w:r>
        <w:rPr>
          <w:rFonts w:hint="eastAsia" w:ascii="宋体" w:hAnsi="宋体" w:eastAsia="宋体" w:cs="宋体"/>
          <w:color w:val="auto"/>
          <w:sz w:val="24"/>
        </w:rPr>
        <w:t>本次维修总价</w:t>
      </w:r>
      <w:r>
        <w:rPr>
          <w:rFonts w:hint="eastAsia" w:ascii="宋体" w:hAnsi="宋体" w:eastAsia="宋体" w:cs="宋体"/>
          <w:color w:val="auto"/>
          <w:sz w:val="24"/>
          <w:lang w:eastAsia="zh-CN"/>
        </w:rPr>
        <w:t>。</w:t>
      </w:r>
      <w:r>
        <w:rPr>
          <w:rFonts w:hint="eastAsia" w:ascii="宋体" w:hAnsi="宋体" w:eastAsia="宋体" w:cs="宋体"/>
          <w:b w:val="0"/>
          <w:bCs w:val="0"/>
          <w:color w:val="auto"/>
          <w:sz w:val="24"/>
          <w:szCs w:val="24"/>
          <w:lang w:val="en-US" w:eastAsia="zh-CN"/>
        </w:rPr>
        <w:t>）。主要包括以下内容：</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①桥面铺装裂缝、破损、坑槽等修补；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②伸缩缝及其保护带裂缝、破损等修补；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③人行道网裂、塌陷、残缺等修补；</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④主梁及墩台裂缝、破损、露筋锈蚀等维修；</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⑤支座脱空、支座钢垫板锈蚀等维修；</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⑥栏杆等附属设施维修。</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⑦对每座桥梁设置墩台编号和养护公示牌。</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（4）其他市政设施维修维护工作要求：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巡查发现的中央隔离护栏、机非隔离护栏、标识牌等位移、脱落等问题立即进行恢复；对能找到第三方损毁责任人的各类隔离设施，督促其恢复损毁设施；对15个自然日内无法找到第三方损毁责任人的各类隔离设施（不含红绿灯及电子眼设施），由管护单位自行负责进行恢复（不另计费用）；对隔离设施正常使用出现的脱漆皮、锈蚀、破损等问题，进行翻修、刷漆、除锈等维修维护工作。</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（5）市政设施防盗防损工作要求：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加强各类管护市政设施的防盗防损工作，对能找到第三方损毁、盗窃责任人的，督促其恢复损毁设施；对无法找到第三方损毁、盗窃责任人或15个自然日内损毁责任人不恢复的各类市政设施，由管护单位负责进行恢复（发包人不另计费用）。路灯及其相应照明控制柜、变压器等设施被盗、被损毁的需在24小时内完成恢复。</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4.其它管护要求</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（1）市政道路</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①按照《城镇道路养护技术规范》（CJJ 36-2016）相关规范，对管护区域内每条道路每年进行一次常规检测，并出具检测报告。</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②按照《城镇道路养护技术规范》（CJJ 36-2016）及成都市城管委相关规范及要求，由具有相关资质的第三方机构每年对管护区域内每条道路进行一次结构检测，并出具符合要求的第三方检测报告。</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（2）变压器</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由具有相关资质的第三方机构对管护区域内管护的所有变压器每年进行一次年度检测，并出具电力监管部门认可的第三方检验报告。</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（3）桥梁定期</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根据成都市城管委、《城市桥梁养护技术标准》CJJ99-2017、《城市桥梁检测与评定技术规范》（CJJ/T 233-2015）的相关要求、规定，在3年服务期内由具有相关资质的第三方机构对管护区域内管护的所有城市桥梁进行常规定期检测（三年两次，当年做结构定期检测的桥梁可不做常规定期检测）和结构定期检测（三年一次），并出具符合要求的第三方检测报告。</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5.管护档案资料建立</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5.1按照郫都区综合执法局相关工作要求，以“一路一档”的原则，分类建立“市政道路”“市政设施”“照明设施”“下穿隧道”等分类档案，档案内包含各类设施基本资料（包括但不限于道路平面图、断面图、灯具型号类型、线路走向、材料规格等），若无现成资料的，需管护单位自行绘制补齐相关资料。做好维护、巡查、维修、抢修记录，并按期归入档案；对所管理的各类市政设施进行编号。</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5.2桥梁管护档案应以一座桥梁为单位建档，养护档案应包括以下内容：桥梁主要技术资料，桥梁平面图、断面图、竣工图、养护技术文件，巡检、检测、测试资料、桥上架设管线等技术文件及相关资料等；所有现场记录资料以及常规定期检测报告应以电子文档和书面形式在现场调查完成后15个工作日内提供给发包方。</w:t>
      </w:r>
    </w:p>
    <w:p>
      <w:pPr>
        <w:pStyle w:val="2"/>
        <w:keepNext w:val="0"/>
        <w:keepLines w:val="0"/>
        <w:pageBreakBefore w:val="0"/>
        <w:numPr>
          <w:ilvl w:val="0"/>
          <w:numId w:val="3"/>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24小时备勤、应急演练</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（1）每个标段应建立一支24小时备勤队伍，用于应急处理夜间突发事件、防汛期间应急救灾及防汛处置等工作。</w:t>
      </w:r>
    </w:p>
    <w:p>
      <w:pPr>
        <w:pStyle w:val="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（2）建立应急预案，每年至少进行一次应急演练。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lang w:eastAsia="zh-CN"/>
        </w:rPr>
        <w:t>道路</w:t>
      </w:r>
      <w:r>
        <w:rPr>
          <w:rFonts w:hint="eastAsia" w:ascii="宋体" w:hAnsi="宋体" w:eastAsia="宋体" w:cs="宋体"/>
          <w:b w:val="0"/>
          <w:bCs w:val="0"/>
          <w:color w:val="auto"/>
          <w:sz w:val="24"/>
        </w:rPr>
        <w:t>应急抢修工程或采购人要求的其他服务工作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成都市郫都区</w:t>
      </w:r>
      <w:r>
        <w:rPr>
          <w:rFonts w:hint="eastAsia" w:ascii="宋体" w:hAnsi="宋体" w:eastAsia="宋体" w:cs="宋体"/>
          <w:color w:val="auto"/>
          <w:sz w:val="24"/>
          <w:lang w:eastAsia="zh-CN"/>
        </w:rPr>
        <w:t>道路</w:t>
      </w:r>
      <w:r>
        <w:rPr>
          <w:rFonts w:hint="eastAsia" w:ascii="宋体" w:hAnsi="宋体" w:eastAsia="宋体" w:cs="宋体"/>
          <w:color w:val="auto"/>
          <w:sz w:val="24"/>
        </w:rPr>
        <w:t>应急抢修工程或采购人要求的其他服务工作是指采购人要求</w:t>
      </w:r>
      <w:r>
        <w:rPr>
          <w:rFonts w:hint="eastAsia" w:ascii="宋体" w:hAnsi="宋体" w:eastAsia="宋体" w:cs="宋体"/>
          <w:color w:val="auto"/>
          <w:sz w:val="24"/>
          <w:lang w:eastAsia="zh-CN"/>
        </w:rPr>
        <w:t>承包人进行服务内容外</w:t>
      </w:r>
      <w:r>
        <w:rPr>
          <w:rFonts w:hint="eastAsia" w:ascii="宋体" w:hAnsi="宋体" w:eastAsia="宋体" w:cs="宋体"/>
          <w:color w:val="auto"/>
          <w:sz w:val="24"/>
        </w:rPr>
        <w:t>的</w:t>
      </w:r>
      <w:r>
        <w:rPr>
          <w:rFonts w:hint="eastAsia" w:ascii="宋体" w:hAnsi="宋体" w:eastAsia="宋体" w:cs="宋体"/>
          <w:color w:val="auto"/>
          <w:sz w:val="24"/>
          <w:lang w:eastAsia="zh-CN"/>
        </w:rPr>
        <w:t>服务工作</w:t>
      </w:r>
      <w:r>
        <w:rPr>
          <w:rFonts w:hint="eastAsia" w:ascii="宋体" w:hAnsi="宋体" w:eastAsia="宋体" w:cs="宋体"/>
          <w:color w:val="auto"/>
          <w:sz w:val="24"/>
        </w:rPr>
        <w:t>。主要</w:t>
      </w:r>
      <w:r>
        <w:rPr>
          <w:rFonts w:hint="eastAsia" w:ascii="宋体" w:hAnsi="宋体" w:eastAsia="宋体" w:cs="宋体"/>
          <w:color w:val="auto"/>
          <w:sz w:val="24"/>
          <w:lang w:eastAsia="zh-CN"/>
        </w:rPr>
        <w:t>服务工作</w:t>
      </w:r>
      <w:r>
        <w:rPr>
          <w:rFonts w:hint="eastAsia" w:ascii="宋体" w:hAnsi="宋体" w:eastAsia="宋体" w:cs="宋体"/>
          <w:color w:val="auto"/>
          <w:sz w:val="24"/>
        </w:rPr>
        <w:t>内容包括以下几个方面：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根据采购人</w:t>
      </w:r>
      <w:r>
        <w:rPr>
          <w:rFonts w:hint="eastAsia" w:ascii="宋体" w:hAnsi="宋体" w:eastAsia="宋体" w:cs="宋体"/>
          <w:color w:val="auto"/>
          <w:sz w:val="24"/>
        </w:rPr>
        <w:t>需要</w:t>
      </w:r>
      <w:r>
        <w:rPr>
          <w:rFonts w:hint="eastAsia" w:ascii="宋体" w:hAnsi="宋体" w:eastAsia="宋体" w:cs="宋体"/>
          <w:color w:val="auto"/>
          <w:sz w:val="24"/>
          <w:lang w:eastAsia="zh-CN"/>
        </w:rPr>
        <w:t>对服务内容外</w:t>
      </w:r>
      <w:r>
        <w:rPr>
          <w:rFonts w:hint="eastAsia" w:ascii="宋体" w:hAnsi="宋体" w:eastAsia="宋体" w:cs="宋体"/>
          <w:color w:val="auto"/>
          <w:sz w:val="24"/>
        </w:rPr>
        <w:t>进行应急抢修</w:t>
      </w:r>
      <w:r>
        <w:rPr>
          <w:rFonts w:hint="eastAsia" w:ascii="宋体" w:hAnsi="宋体" w:eastAsia="宋体" w:cs="宋体"/>
          <w:color w:val="auto"/>
          <w:sz w:val="24"/>
          <w:lang w:eastAsia="zh-CN"/>
        </w:rPr>
        <w:t>工程</w:t>
      </w:r>
      <w:r>
        <w:rPr>
          <w:rFonts w:hint="eastAsia" w:ascii="宋体" w:hAnsi="宋体" w:eastAsia="宋体" w:cs="宋体"/>
          <w:color w:val="auto"/>
          <w:sz w:val="24"/>
        </w:rPr>
        <w:t>的病害情况、位置及范围</w:t>
      </w:r>
      <w:r>
        <w:rPr>
          <w:rFonts w:hint="eastAsia" w:ascii="宋体" w:hAnsi="宋体" w:eastAsia="宋体" w:cs="宋体"/>
          <w:color w:val="auto"/>
          <w:sz w:val="24"/>
          <w:lang w:eastAsia="zh-CN"/>
        </w:rPr>
        <w:t>的调查、统计、测算工作</w:t>
      </w:r>
      <w:r>
        <w:rPr>
          <w:rFonts w:hint="eastAsia" w:ascii="宋体" w:hAnsi="宋体" w:eastAsia="宋体" w:cs="宋体"/>
          <w:color w:val="auto"/>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）采购人指定的维修范围。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（2）制定应急抢修方案及工程量并上报采购人。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（3）采购人现场核实确认工程量并下发派工单。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（4）按照经批准的方案和派工单对病害进行专项维修或应急抢修。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（5）按国家建设工程工程量清单计价规范2013、四川省建设工程20</w:t>
      </w:r>
      <w:r>
        <w:rPr>
          <w:rFonts w:hint="eastAsia" w:ascii="宋体" w:hAnsi="宋体" w:eastAsia="宋体" w:cs="宋体"/>
          <w:color w:val="auto"/>
          <w:sz w:val="24"/>
          <w:lang w:val="en-US" w:eastAsia="zh-CN"/>
        </w:rPr>
        <w:t>20</w:t>
      </w:r>
      <w:r>
        <w:rPr>
          <w:rFonts w:hint="eastAsia" w:ascii="宋体" w:hAnsi="宋体" w:eastAsia="宋体" w:cs="宋体"/>
          <w:color w:val="auto"/>
          <w:sz w:val="24"/>
        </w:rPr>
        <w:t>工程量清单计价定额及相关配套文件组价的计费标准（如遇定额调整则按新标准实施）及投标比例编制造价清单，若定额标准内无相关项目，则根据实际情况进行组价。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（6）由采购人委托</w:t>
      </w:r>
      <w:r>
        <w:rPr>
          <w:rFonts w:hint="eastAsia" w:ascii="宋体" w:hAnsi="宋体" w:eastAsia="宋体" w:cs="宋体"/>
          <w:color w:val="auto"/>
          <w:sz w:val="24"/>
          <w:szCs w:val="24"/>
          <w:lang w:eastAsia="zh-CN"/>
        </w:rPr>
        <w:t>第三方</w:t>
      </w:r>
      <w:r>
        <w:rPr>
          <w:rFonts w:hint="eastAsia" w:ascii="宋体" w:hAnsi="宋体" w:eastAsia="宋体" w:cs="宋体"/>
          <w:color w:val="auto"/>
          <w:sz w:val="24"/>
          <w:szCs w:val="24"/>
        </w:rPr>
        <w:t>专业单位审核并确定本次维修总价。</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zh-CN" w:bidi="zh-CN"/>
        </w:rPr>
      </w:pPr>
      <w:r>
        <w:rPr>
          <w:rFonts w:hint="eastAsia" w:ascii="宋体" w:hAnsi="宋体" w:eastAsia="宋体" w:cs="宋体"/>
          <w:b/>
          <w:bCs/>
          <w:color w:val="auto"/>
          <w:sz w:val="24"/>
          <w:szCs w:val="24"/>
          <w:highlight w:val="none"/>
          <w:lang w:val="zh-CN" w:bidi="zh-CN"/>
        </w:rPr>
        <w:t>（</w:t>
      </w:r>
      <w:r>
        <w:rPr>
          <w:rFonts w:hint="eastAsia" w:ascii="宋体" w:hAnsi="宋体" w:eastAsia="宋体" w:cs="宋体"/>
          <w:b/>
          <w:bCs/>
          <w:color w:val="auto"/>
          <w:sz w:val="24"/>
          <w:szCs w:val="24"/>
          <w:highlight w:val="none"/>
          <w:lang w:val="en-US" w:bidi="zh-CN"/>
        </w:rPr>
        <w:t>二</w:t>
      </w:r>
      <w:r>
        <w:rPr>
          <w:rFonts w:hint="eastAsia" w:ascii="宋体" w:hAnsi="宋体" w:eastAsia="宋体" w:cs="宋体"/>
          <w:b/>
          <w:bCs/>
          <w:color w:val="auto"/>
          <w:sz w:val="24"/>
          <w:szCs w:val="24"/>
          <w:highlight w:val="none"/>
          <w:lang w:val="zh-CN" w:bidi="zh-CN"/>
        </w:rPr>
        <w:t>）</w:t>
      </w:r>
      <w:r>
        <w:rPr>
          <w:rFonts w:hint="eastAsia" w:ascii="宋体" w:hAnsi="宋体" w:eastAsia="宋体" w:cs="宋体"/>
          <w:b/>
          <w:bCs/>
          <w:color w:val="auto"/>
          <w:sz w:val="24"/>
          <w:szCs w:val="24"/>
          <w:highlight w:val="none"/>
          <w:lang w:val="zh-CN" w:eastAsia="zh-CN" w:bidi="zh-CN"/>
        </w:rPr>
        <w:t>人员配备要求：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lang w:val="en-US" w:bidi="zh-CN"/>
        </w:rPr>
      </w:pPr>
      <w:r>
        <w:rPr>
          <w:rFonts w:hint="eastAsia" w:ascii="宋体" w:hAnsi="宋体" w:eastAsia="宋体" w:cs="宋体"/>
          <w:b w:val="0"/>
          <w:bCs w:val="0"/>
          <w:color w:val="auto"/>
          <w:sz w:val="24"/>
          <w:szCs w:val="24"/>
          <w:highlight w:val="none"/>
          <w:lang w:val="en-US" w:eastAsia="zh-CN"/>
        </w:rPr>
        <w:t>犀浦1标段、犀浦2标段：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zh-CN" w:eastAsia="zh-CN" w:bidi="zh-CN"/>
        </w:rPr>
        <w:t>1.巡查人员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①</w:t>
      </w:r>
      <w:r>
        <w:rPr>
          <w:rFonts w:hint="eastAsia" w:ascii="宋体" w:hAnsi="宋体" w:eastAsia="宋体" w:cs="宋体"/>
          <w:b w:val="0"/>
          <w:bCs w:val="0"/>
          <w:color w:val="auto"/>
          <w:sz w:val="24"/>
          <w:szCs w:val="24"/>
          <w:highlight w:val="none"/>
          <w:lang w:val="zh-CN" w:eastAsia="zh-CN" w:bidi="zh-CN"/>
        </w:rPr>
        <w:t>巡查管理人员1名，具有市政施工员</w:t>
      </w:r>
      <w:r>
        <w:rPr>
          <w:rFonts w:hint="eastAsia" w:ascii="宋体" w:hAnsi="宋体" w:eastAsia="宋体" w:cs="宋体"/>
          <w:b w:val="0"/>
          <w:bCs w:val="0"/>
          <w:color w:val="auto"/>
          <w:sz w:val="24"/>
          <w:szCs w:val="24"/>
          <w:highlight w:val="none"/>
          <w:lang w:val="en-US" w:eastAsia="zh-CN" w:bidi="zh-CN"/>
        </w:rPr>
        <w:t>资格</w:t>
      </w:r>
      <w:r>
        <w:rPr>
          <w:rFonts w:hint="eastAsia" w:ascii="宋体" w:hAnsi="宋体" w:eastAsia="宋体" w:cs="宋体"/>
          <w:b w:val="0"/>
          <w:bCs w:val="0"/>
          <w:color w:val="auto"/>
          <w:sz w:val="24"/>
          <w:szCs w:val="24"/>
          <w:highlight w:val="none"/>
          <w:lang w:val="zh-CN" w:eastAsia="zh-CN" w:bidi="zh-CN"/>
        </w:rPr>
        <w:t>或经过培训的管理人员、养护技术人员。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②</w:t>
      </w:r>
      <w:r>
        <w:rPr>
          <w:rFonts w:hint="eastAsia" w:ascii="宋体" w:hAnsi="宋体" w:eastAsia="宋体" w:cs="宋体"/>
          <w:b w:val="0"/>
          <w:bCs w:val="0"/>
          <w:color w:val="auto"/>
          <w:sz w:val="24"/>
          <w:szCs w:val="24"/>
          <w:highlight w:val="none"/>
          <w:lang w:val="zh-CN" w:eastAsia="zh-CN" w:bidi="zh-CN"/>
        </w:rPr>
        <w:t>市政专职巡查人员2名。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③</w:t>
      </w:r>
      <w:r>
        <w:rPr>
          <w:rFonts w:hint="eastAsia" w:ascii="宋体" w:hAnsi="宋体" w:eastAsia="宋体" w:cs="宋体"/>
          <w:b w:val="0"/>
          <w:bCs w:val="0"/>
          <w:color w:val="auto"/>
          <w:sz w:val="24"/>
          <w:szCs w:val="24"/>
          <w:highlight w:val="none"/>
          <w:lang w:val="zh-CN" w:eastAsia="zh-CN" w:bidi="zh-CN"/>
        </w:rPr>
        <w:t>路灯专职维护巡查人员1名，具有</w:t>
      </w:r>
      <w:r>
        <w:rPr>
          <w:rFonts w:hint="eastAsia" w:ascii="宋体" w:hAnsi="宋体" w:eastAsia="宋体" w:cs="宋体"/>
          <w:b w:val="0"/>
          <w:bCs w:val="0"/>
          <w:color w:val="auto"/>
          <w:sz w:val="24"/>
          <w:szCs w:val="24"/>
          <w:highlight w:val="none"/>
          <w:lang w:val="en-US" w:eastAsia="zh-CN" w:bidi="zh-CN"/>
        </w:rPr>
        <w:t>相关</w:t>
      </w:r>
      <w:r>
        <w:rPr>
          <w:rFonts w:hint="eastAsia" w:ascii="宋体" w:hAnsi="宋体" w:eastAsia="宋体" w:cs="宋体"/>
          <w:b w:val="0"/>
          <w:bCs w:val="0"/>
          <w:color w:val="auto"/>
          <w:sz w:val="24"/>
          <w:szCs w:val="24"/>
          <w:highlight w:val="none"/>
          <w:lang w:val="zh-CN" w:eastAsia="zh-CN" w:bidi="zh-CN"/>
        </w:rPr>
        <w:t>部门颁发的低压类别电工证。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rPr>
        <w:t>④桥梁</w:t>
      </w:r>
      <w:r>
        <w:rPr>
          <w:rFonts w:hint="eastAsia" w:ascii="宋体" w:hAnsi="宋体" w:eastAsia="宋体" w:cs="宋体"/>
          <w:b w:val="0"/>
          <w:bCs w:val="0"/>
          <w:color w:val="auto"/>
          <w:sz w:val="24"/>
          <w:szCs w:val="24"/>
          <w:highlight w:val="none"/>
          <w:lang w:val="zh-CN" w:eastAsia="zh-CN" w:bidi="zh-CN"/>
        </w:rPr>
        <w:t>专职巡查人员2名。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zh-CN" w:eastAsia="zh-CN" w:bidi="zh-CN"/>
        </w:rPr>
        <w:t>2.维修技术人员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2.1</w:t>
      </w:r>
      <w:r>
        <w:rPr>
          <w:rFonts w:hint="eastAsia" w:ascii="宋体" w:hAnsi="宋体" w:eastAsia="宋体" w:cs="宋体"/>
          <w:b w:val="0"/>
          <w:bCs w:val="0"/>
          <w:color w:val="auto"/>
          <w:sz w:val="24"/>
          <w:szCs w:val="24"/>
          <w:highlight w:val="none"/>
          <w:lang w:val="zh-CN" w:eastAsia="zh-CN" w:bidi="zh-CN"/>
        </w:rPr>
        <w:t>市政方面：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①</w:t>
      </w:r>
      <w:r>
        <w:rPr>
          <w:rFonts w:hint="eastAsia" w:ascii="宋体" w:hAnsi="宋体" w:eastAsia="宋体" w:cs="宋体"/>
          <w:b w:val="0"/>
          <w:bCs w:val="0"/>
          <w:color w:val="auto"/>
          <w:sz w:val="24"/>
          <w:szCs w:val="24"/>
          <w:highlight w:val="none"/>
          <w:lang w:val="zh-CN" w:eastAsia="zh-CN" w:bidi="zh-CN"/>
        </w:rPr>
        <w:t>技术管理人员1名，具有二级建造师（</w:t>
      </w:r>
      <w:r>
        <w:rPr>
          <w:rFonts w:hint="eastAsia" w:ascii="宋体" w:hAnsi="宋体" w:eastAsia="宋体" w:cs="宋体"/>
          <w:b w:val="0"/>
          <w:bCs w:val="0"/>
          <w:color w:val="auto"/>
          <w:sz w:val="24"/>
          <w:szCs w:val="24"/>
          <w:highlight w:val="none"/>
          <w:lang w:val="en-US" w:eastAsia="zh-CN" w:bidi="zh-CN"/>
        </w:rPr>
        <w:t>专业为：市政公用工程</w:t>
      </w:r>
      <w:r>
        <w:rPr>
          <w:rFonts w:hint="eastAsia" w:ascii="宋体" w:hAnsi="宋体" w:eastAsia="宋体" w:cs="宋体"/>
          <w:b w:val="0"/>
          <w:bCs w:val="0"/>
          <w:color w:val="auto"/>
          <w:sz w:val="24"/>
          <w:szCs w:val="24"/>
          <w:highlight w:val="none"/>
          <w:lang w:val="zh-CN" w:eastAsia="zh-CN" w:bidi="zh-CN"/>
        </w:rPr>
        <w:t>）</w:t>
      </w:r>
      <w:r>
        <w:rPr>
          <w:rFonts w:hint="eastAsia" w:ascii="宋体" w:hAnsi="宋体" w:eastAsia="宋体" w:cs="宋体"/>
          <w:b w:val="0"/>
          <w:bCs w:val="0"/>
          <w:color w:val="auto"/>
          <w:sz w:val="24"/>
          <w:szCs w:val="24"/>
          <w:highlight w:val="none"/>
          <w:lang w:val="en-US" w:eastAsia="zh-CN" w:bidi="zh-CN"/>
        </w:rPr>
        <w:t>职业资格或市政类中级或以上职称</w:t>
      </w:r>
      <w:r>
        <w:rPr>
          <w:rFonts w:hint="eastAsia" w:ascii="宋体" w:hAnsi="宋体" w:eastAsia="宋体" w:cs="宋体"/>
          <w:b w:val="0"/>
          <w:bCs w:val="0"/>
          <w:color w:val="auto"/>
          <w:sz w:val="24"/>
          <w:szCs w:val="24"/>
          <w:highlight w:val="none"/>
          <w:lang w:val="zh-CN" w:eastAsia="zh-CN" w:bidi="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②</w:t>
      </w:r>
      <w:r>
        <w:rPr>
          <w:rFonts w:hint="eastAsia" w:ascii="宋体" w:hAnsi="宋体" w:eastAsia="宋体" w:cs="宋体"/>
          <w:b w:val="0"/>
          <w:bCs w:val="0"/>
          <w:color w:val="auto"/>
          <w:sz w:val="24"/>
          <w:szCs w:val="24"/>
          <w:highlight w:val="none"/>
          <w:lang w:val="zh-CN" w:eastAsia="zh-CN" w:bidi="zh-CN"/>
        </w:rPr>
        <w:t>现场技术管理人员1名，从事市政行业维修维护工作5年以上。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③</w:t>
      </w:r>
      <w:r>
        <w:rPr>
          <w:rFonts w:hint="eastAsia" w:ascii="宋体" w:hAnsi="宋体" w:eastAsia="宋体" w:cs="宋体"/>
          <w:b w:val="0"/>
          <w:bCs w:val="0"/>
          <w:color w:val="auto"/>
          <w:sz w:val="24"/>
          <w:szCs w:val="24"/>
          <w:highlight w:val="none"/>
          <w:lang w:val="zh-CN" w:eastAsia="zh-CN" w:bidi="zh-CN"/>
        </w:rPr>
        <w:t>维修人员4名。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2.2</w:t>
      </w:r>
      <w:r>
        <w:rPr>
          <w:rFonts w:hint="eastAsia" w:ascii="宋体" w:hAnsi="宋体" w:eastAsia="宋体" w:cs="宋体"/>
          <w:b w:val="0"/>
          <w:bCs w:val="0"/>
          <w:color w:val="auto"/>
          <w:sz w:val="24"/>
          <w:szCs w:val="24"/>
          <w:highlight w:val="none"/>
          <w:lang w:val="zh-CN" w:eastAsia="zh-CN" w:bidi="zh-CN"/>
        </w:rPr>
        <w:t>路灯方面：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①</w:t>
      </w:r>
      <w:r>
        <w:rPr>
          <w:rFonts w:hint="eastAsia" w:ascii="宋体" w:hAnsi="宋体" w:eastAsia="宋体" w:cs="宋体"/>
          <w:b w:val="0"/>
          <w:bCs w:val="0"/>
          <w:color w:val="auto"/>
          <w:sz w:val="24"/>
          <w:szCs w:val="24"/>
          <w:highlight w:val="none"/>
          <w:lang w:val="zh-CN" w:eastAsia="zh-CN" w:bidi="zh-CN"/>
        </w:rPr>
        <w:t>技术管理人员1名，具有注册电气工程师</w:t>
      </w:r>
      <w:r>
        <w:rPr>
          <w:rFonts w:hint="eastAsia" w:ascii="宋体" w:hAnsi="宋体" w:eastAsia="宋体" w:cs="宋体"/>
          <w:b w:val="0"/>
          <w:bCs w:val="0"/>
          <w:color w:val="auto"/>
          <w:sz w:val="24"/>
          <w:szCs w:val="24"/>
          <w:highlight w:val="none"/>
          <w:lang w:val="en-US" w:eastAsia="zh-CN" w:bidi="zh-CN"/>
        </w:rPr>
        <w:t>资格</w:t>
      </w:r>
      <w:r>
        <w:rPr>
          <w:rFonts w:hint="eastAsia" w:ascii="宋体" w:hAnsi="宋体" w:eastAsia="宋体" w:cs="宋体"/>
          <w:b w:val="0"/>
          <w:bCs w:val="0"/>
          <w:color w:val="auto"/>
          <w:sz w:val="24"/>
          <w:szCs w:val="24"/>
          <w:highlight w:val="none"/>
          <w:lang w:val="zh-CN" w:eastAsia="zh-CN" w:bidi="zh-CN"/>
        </w:rPr>
        <w:t>或机电工程</w:t>
      </w:r>
      <w:r>
        <w:rPr>
          <w:rFonts w:hint="eastAsia" w:ascii="宋体" w:hAnsi="宋体" w:eastAsia="宋体" w:cs="宋体"/>
          <w:b w:val="0"/>
          <w:bCs w:val="0"/>
          <w:color w:val="auto"/>
          <w:sz w:val="24"/>
          <w:szCs w:val="24"/>
          <w:highlight w:val="none"/>
          <w:lang w:val="en-US" w:eastAsia="zh-CN" w:bidi="zh-CN"/>
        </w:rPr>
        <w:t>类中级或以上职称</w:t>
      </w:r>
      <w:r>
        <w:rPr>
          <w:rFonts w:hint="eastAsia" w:ascii="宋体" w:hAnsi="宋体" w:eastAsia="宋体" w:cs="宋体"/>
          <w:b w:val="0"/>
          <w:bCs w:val="0"/>
          <w:color w:val="auto"/>
          <w:sz w:val="24"/>
          <w:szCs w:val="24"/>
          <w:highlight w:val="none"/>
          <w:lang w:val="zh-CN" w:eastAsia="zh-CN" w:bidi="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en-US" w:eastAsia="zh-CN" w:bidi="zh-CN"/>
        </w:rPr>
        <w:t>②</w:t>
      </w:r>
      <w:r>
        <w:rPr>
          <w:rFonts w:hint="eastAsia" w:ascii="宋体" w:hAnsi="宋体" w:eastAsia="宋体" w:cs="宋体"/>
          <w:b w:val="0"/>
          <w:bCs w:val="0"/>
          <w:color w:val="auto"/>
          <w:sz w:val="24"/>
          <w:szCs w:val="24"/>
          <w:lang w:val="zh-CN" w:eastAsia="zh-CN" w:bidi="zh-CN"/>
        </w:rPr>
        <w:t>高压电工维护人员1名，具有电监部门或安监部门颁发的高压类别电工证。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en-US" w:eastAsia="zh-CN" w:bidi="zh-CN"/>
        </w:rPr>
        <w:t>③</w:t>
      </w:r>
      <w:r>
        <w:rPr>
          <w:rFonts w:hint="eastAsia" w:ascii="宋体" w:hAnsi="宋体" w:eastAsia="宋体" w:cs="宋体"/>
          <w:b w:val="0"/>
          <w:bCs w:val="0"/>
          <w:color w:val="auto"/>
          <w:sz w:val="24"/>
          <w:szCs w:val="24"/>
          <w:lang w:val="zh-CN" w:eastAsia="zh-CN" w:bidi="zh-CN"/>
        </w:rPr>
        <w:t>低压电工维护人员2名，具有电监部门或安监部门颁发的低压类别电工证。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en-US" w:eastAsia="zh-CN" w:bidi="zh-CN"/>
        </w:rPr>
        <w:t>④</w:t>
      </w:r>
      <w:r>
        <w:rPr>
          <w:rFonts w:hint="eastAsia" w:ascii="宋体" w:hAnsi="宋体" w:eastAsia="宋体" w:cs="宋体"/>
          <w:b w:val="0"/>
          <w:bCs w:val="0"/>
          <w:color w:val="auto"/>
          <w:sz w:val="24"/>
          <w:szCs w:val="24"/>
          <w:lang w:val="zh-CN" w:eastAsia="zh-CN" w:bidi="zh-CN"/>
        </w:rPr>
        <w:t>安全员1名，具备安全生产考核</w:t>
      </w:r>
      <w:r>
        <w:rPr>
          <w:rFonts w:hint="eastAsia" w:ascii="宋体" w:hAnsi="宋体" w:eastAsia="宋体" w:cs="宋体"/>
          <w:b w:val="0"/>
          <w:bCs w:val="0"/>
          <w:color w:val="auto"/>
          <w:sz w:val="24"/>
          <w:szCs w:val="24"/>
          <w:lang w:val="en-US" w:eastAsia="zh-CN" w:bidi="zh-CN"/>
        </w:rPr>
        <w:t>合格C</w:t>
      </w:r>
      <w:r>
        <w:rPr>
          <w:rFonts w:hint="eastAsia" w:ascii="宋体" w:hAnsi="宋体" w:eastAsia="宋体" w:cs="宋体"/>
          <w:b w:val="0"/>
          <w:bCs w:val="0"/>
          <w:color w:val="auto"/>
          <w:sz w:val="24"/>
          <w:szCs w:val="24"/>
          <w:lang w:val="zh-CN" w:eastAsia="zh-CN" w:bidi="zh-CN"/>
        </w:rPr>
        <w:t>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zh-CN" w:bidi="zh-CN"/>
        </w:rPr>
      </w:pPr>
      <w:r>
        <w:rPr>
          <w:rFonts w:hint="eastAsia" w:ascii="宋体" w:hAnsi="宋体" w:eastAsia="宋体" w:cs="宋体"/>
          <w:b w:val="0"/>
          <w:bCs w:val="0"/>
          <w:color w:val="auto"/>
          <w:sz w:val="24"/>
          <w:szCs w:val="24"/>
          <w:lang w:val="zh-CN" w:eastAsia="zh-CN" w:bidi="zh-CN"/>
        </w:rPr>
        <w:t>3.行政管理人员1名。</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lang w:val="en-US" w:bidi="zh-CN"/>
        </w:rPr>
      </w:pPr>
      <w:r>
        <w:rPr>
          <w:rFonts w:hint="eastAsia" w:ascii="宋体" w:hAnsi="宋体" w:eastAsia="宋体" w:cs="宋体"/>
          <w:b/>
          <w:bCs/>
          <w:color w:val="auto"/>
          <w:sz w:val="24"/>
          <w:szCs w:val="24"/>
          <w:lang w:val="en-US" w:bidi="zh-CN"/>
        </w:rPr>
        <w:t>注：①各标段以上人员不得兼任，需提供相关证明材料，并加盖投标人公章。</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bidi="zh-CN"/>
        </w:rPr>
      </w:pPr>
      <w:r>
        <w:rPr>
          <w:rFonts w:hint="eastAsia" w:ascii="宋体" w:hAnsi="宋体" w:eastAsia="宋体" w:cs="宋体"/>
          <w:b/>
          <w:bCs/>
          <w:color w:val="auto"/>
          <w:sz w:val="24"/>
          <w:szCs w:val="24"/>
          <w:lang w:val="en-US" w:bidi="zh-CN"/>
        </w:rPr>
        <w:t>②各标段以上人员也可提供承诺函，格式自拟（需承诺职位不得兼任，中标后人员到岗，并加盖投标人公章。）</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bidi="zh-CN"/>
        </w:rPr>
      </w:pPr>
      <w:r>
        <w:rPr>
          <w:rFonts w:hint="eastAsia" w:ascii="宋体" w:hAnsi="宋体" w:eastAsia="宋体" w:cs="宋体"/>
          <w:b/>
          <w:bCs/>
          <w:color w:val="auto"/>
          <w:sz w:val="24"/>
          <w:szCs w:val="24"/>
          <w:lang w:val="zh-CN" w:bidi="zh-CN"/>
        </w:rPr>
        <w:t>（</w:t>
      </w:r>
      <w:r>
        <w:rPr>
          <w:rFonts w:hint="eastAsia" w:ascii="宋体" w:hAnsi="宋体" w:eastAsia="宋体" w:cs="宋体"/>
          <w:b/>
          <w:bCs/>
          <w:color w:val="auto"/>
          <w:sz w:val="24"/>
          <w:szCs w:val="24"/>
          <w:lang w:val="en-US" w:bidi="zh-CN"/>
        </w:rPr>
        <w:t>投标人</w:t>
      </w:r>
      <w:r>
        <w:rPr>
          <w:rFonts w:hint="eastAsia" w:ascii="宋体" w:hAnsi="宋体" w:eastAsia="宋体" w:cs="宋体"/>
          <w:b/>
          <w:bCs/>
          <w:color w:val="auto"/>
          <w:sz w:val="24"/>
          <w:szCs w:val="24"/>
          <w:lang w:val="zh-CN" w:bidi="zh-CN"/>
        </w:rPr>
        <w:t>可根据自身实际情况任选其一提供证明材料）</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bidi="zh-CN"/>
        </w:rPr>
      </w:pPr>
      <w:r>
        <w:rPr>
          <w:rFonts w:hint="eastAsia" w:ascii="宋体" w:hAnsi="宋体" w:eastAsia="宋体" w:cs="宋体"/>
          <w:b/>
          <w:bCs/>
          <w:color w:val="auto"/>
          <w:sz w:val="24"/>
          <w:szCs w:val="24"/>
          <w:lang w:val="zh-CN" w:bidi="zh-CN"/>
        </w:rPr>
        <w:t>（</w:t>
      </w:r>
      <w:r>
        <w:rPr>
          <w:rFonts w:hint="eastAsia" w:ascii="宋体" w:hAnsi="宋体" w:eastAsia="宋体" w:cs="宋体"/>
          <w:b/>
          <w:bCs/>
          <w:color w:val="auto"/>
          <w:sz w:val="24"/>
          <w:szCs w:val="24"/>
          <w:lang w:val="en-US" w:bidi="zh-CN"/>
        </w:rPr>
        <w:t>三</w:t>
      </w:r>
      <w:r>
        <w:rPr>
          <w:rFonts w:hint="eastAsia" w:ascii="宋体" w:hAnsi="宋体" w:eastAsia="宋体" w:cs="宋体"/>
          <w:b/>
          <w:bCs/>
          <w:color w:val="auto"/>
          <w:sz w:val="24"/>
          <w:szCs w:val="24"/>
          <w:lang w:val="zh-CN" w:bidi="zh-CN"/>
        </w:rPr>
        <w:t>）</w:t>
      </w:r>
      <w:r>
        <w:rPr>
          <w:rFonts w:hint="eastAsia" w:ascii="宋体" w:hAnsi="宋体" w:eastAsia="宋体" w:cs="宋体"/>
          <w:b/>
          <w:bCs/>
          <w:color w:val="auto"/>
          <w:sz w:val="24"/>
          <w:szCs w:val="24"/>
          <w:lang w:val="en-US" w:bidi="zh-CN"/>
        </w:rPr>
        <w:t>机具</w:t>
      </w:r>
      <w:r>
        <w:rPr>
          <w:rFonts w:hint="eastAsia" w:ascii="宋体" w:hAnsi="宋体" w:eastAsia="宋体" w:cs="宋体"/>
          <w:b/>
          <w:bCs/>
          <w:color w:val="auto"/>
          <w:sz w:val="24"/>
          <w:szCs w:val="24"/>
          <w:lang w:val="zh-CN" w:eastAsia="zh-CN" w:bidi="zh-CN"/>
        </w:rPr>
        <w:t>配备要求：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275"/>
        <w:gridCol w:w="2736"/>
        <w:gridCol w:w="176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序号</w:t>
            </w:r>
          </w:p>
        </w:tc>
        <w:tc>
          <w:tcPr>
            <w:tcW w:w="2275"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机具名称</w:t>
            </w:r>
          </w:p>
        </w:tc>
        <w:tc>
          <w:tcPr>
            <w:tcW w:w="2736"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参数要求</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数量</w:t>
            </w:r>
          </w:p>
        </w:tc>
        <w:tc>
          <w:tcPr>
            <w:tcW w:w="921"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一</w:t>
            </w:r>
          </w:p>
        </w:tc>
        <w:tc>
          <w:tcPr>
            <w:tcW w:w="7696" w:type="dxa"/>
            <w:gridSpan w:val="4"/>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2275" w:type="dxa"/>
            <w:noWrap w:val="0"/>
            <w:vAlign w:val="center"/>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皮卡车</w:t>
            </w:r>
          </w:p>
        </w:tc>
        <w:tc>
          <w:tcPr>
            <w:tcW w:w="2736" w:type="dxa"/>
            <w:noWrap w:val="0"/>
            <w:vAlign w:val="center"/>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黄色车身；核定载质量≥480KG。</w:t>
            </w:r>
          </w:p>
        </w:tc>
        <w:tc>
          <w:tcPr>
            <w:tcW w:w="1764" w:type="dxa"/>
            <w:noWrap w:val="0"/>
            <w:vAlign w:val="center"/>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center"/>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二</w:t>
            </w:r>
          </w:p>
        </w:tc>
        <w:tc>
          <w:tcPr>
            <w:tcW w:w="7696" w:type="dxa"/>
            <w:gridSpan w:val="4"/>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维修机具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3"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重型电</w:t>
            </w:r>
            <w:r>
              <w:rPr>
                <w:rFonts w:hint="eastAsia" w:ascii="宋体" w:hAnsi="宋体" w:eastAsia="宋体" w:cs="宋体"/>
                <w:b w:val="0"/>
                <w:bCs w:val="0"/>
                <w:color w:val="auto"/>
                <w:sz w:val="24"/>
                <w:szCs w:val="24"/>
                <w:lang w:val="zh-CN" w:bidi="zh-CN"/>
              </w:rPr>
              <w:t>镐</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额定功率≥1750w</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2</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2</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bidi="zh-CN"/>
              </w:rPr>
              <w:t>路面切割机</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3</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云石</w:t>
            </w:r>
            <w:r>
              <w:rPr>
                <w:rFonts w:hint="eastAsia" w:ascii="宋体" w:hAnsi="宋体" w:eastAsia="宋体" w:cs="宋体"/>
                <w:b w:val="0"/>
                <w:bCs w:val="0"/>
                <w:color w:val="auto"/>
                <w:sz w:val="24"/>
                <w:szCs w:val="24"/>
                <w:lang w:val="zh-CN" w:bidi="zh-CN"/>
              </w:rPr>
              <w:t>机</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额定功率≥1200w</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4</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角磨机</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额定功率≥700w</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5</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电钻</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额定功率≥500w</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6</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冲击夯</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冲击力度≥80N*M</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7</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bidi="zh-CN"/>
              </w:rPr>
              <w:t>平板夯</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激振力≥30KN</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8</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微型路面铣刨机</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铣刨深度≥4mm</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9</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bidi="zh-CN"/>
              </w:rPr>
              <w:t>喷漆枪</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en-US" w:eastAsia="zh-CN" w:bidi="zh-CN"/>
              </w:rPr>
              <w:t>10</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bidi="zh-CN"/>
              </w:rPr>
              <w:t>空压机</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1</w:t>
            </w:r>
            <w:r>
              <w:rPr>
                <w:rFonts w:hint="eastAsia" w:ascii="宋体" w:hAnsi="宋体" w:eastAsia="宋体" w:cs="宋体"/>
                <w:b w:val="0"/>
                <w:bCs w:val="0"/>
                <w:color w:val="auto"/>
                <w:sz w:val="24"/>
                <w:szCs w:val="24"/>
                <w:lang w:val="en-US" w:eastAsia="zh-CN" w:bidi="zh-CN"/>
              </w:rPr>
              <w:t>1</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电焊机</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1</w:t>
            </w:r>
            <w:r>
              <w:rPr>
                <w:rFonts w:hint="eastAsia" w:ascii="宋体" w:hAnsi="宋体" w:eastAsia="宋体" w:cs="宋体"/>
                <w:b w:val="0"/>
                <w:bCs w:val="0"/>
                <w:color w:val="auto"/>
                <w:sz w:val="24"/>
                <w:szCs w:val="24"/>
                <w:lang w:val="en-US" w:eastAsia="zh-CN" w:bidi="zh-CN"/>
              </w:rPr>
              <w:t>2</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静音发电机</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噪音分贝≤70db；功率≥6kw；双电压</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2</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1</w:t>
            </w:r>
            <w:r>
              <w:rPr>
                <w:rFonts w:hint="eastAsia" w:ascii="宋体" w:hAnsi="宋体" w:eastAsia="宋体" w:cs="宋体"/>
                <w:b w:val="0"/>
                <w:bCs w:val="0"/>
                <w:color w:val="auto"/>
                <w:sz w:val="24"/>
                <w:szCs w:val="24"/>
                <w:lang w:val="en-US" w:eastAsia="zh-CN" w:bidi="zh-CN"/>
              </w:rPr>
              <w:t>3</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工业吸尘器</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吸力≥200mbar（20kpa）</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1</w:t>
            </w:r>
            <w:r>
              <w:rPr>
                <w:rFonts w:hint="eastAsia" w:ascii="宋体" w:hAnsi="宋体" w:eastAsia="宋体" w:cs="宋体"/>
                <w:b w:val="0"/>
                <w:bCs w:val="0"/>
                <w:color w:val="auto"/>
                <w:sz w:val="24"/>
                <w:szCs w:val="24"/>
                <w:lang w:val="en-US" w:eastAsia="zh-CN" w:bidi="zh-CN"/>
              </w:rPr>
              <w:t>4</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高空作业车</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20米及以上高空作业车</w:t>
            </w: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1</w:t>
            </w:r>
            <w:r>
              <w:rPr>
                <w:rFonts w:hint="eastAsia" w:ascii="宋体" w:hAnsi="宋体" w:eastAsia="宋体" w:cs="宋体"/>
                <w:b w:val="0"/>
                <w:bCs w:val="0"/>
                <w:color w:val="auto"/>
                <w:sz w:val="24"/>
                <w:szCs w:val="24"/>
                <w:lang w:val="en-US" w:eastAsia="zh-CN" w:bidi="zh-CN"/>
              </w:rPr>
              <w:t>5</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电工包</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c>
          <w:tcPr>
            <w:tcW w:w="1764"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每位电工一个</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1</w:t>
            </w:r>
            <w:r>
              <w:rPr>
                <w:rFonts w:hint="eastAsia" w:ascii="宋体" w:hAnsi="宋体" w:eastAsia="宋体" w:cs="宋体"/>
                <w:b w:val="0"/>
                <w:bCs w:val="0"/>
                <w:color w:val="auto"/>
                <w:sz w:val="24"/>
                <w:szCs w:val="24"/>
                <w:lang w:val="en-US" w:eastAsia="zh-CN" w:bidi="zh-CN"/>
              </w:rPr>
              <w:t>6</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高压绝缘电阻测试仪</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1</w:t>
            </w:r>
            <w:r>
              <w:rPr>
                <w:rFonts w:hint="eastAsia" w:ascii="宋体" w:hAnsi="宋体" w:eastAsia="宋体" w:cs="宋体"/>
                <w:b w:val="0"/>
                <w:bCs w:val="0"/>
                <w:color w:val="auto"/>
                <w:sz w:val="24"/>
                <w:szCs w:val="24"/>
                <w:lang w:val="en-US" w:eastAsia="zh-CN" w:bidi="zh-CN"/>
              </w:rPr>
              <w:t>7</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接地电阻测试仪</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bottom"/>
          </w:tcPr>
          <w:p>
            <w:pPr>
              <w:spacing w:line="360" w:lineRule="auto"/>
              <w:rPr>
                <w:rFonts w:hint="default"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1</w:t>
            </w:r>
            <w:r>
              <w:rPr>
                <w:rFonts w:hint="eastAsia" w:ascii="宋体" w:hAnsi="宋体" w:eastAsia="宋体" w:cs="宋体"/>
                <w:b w:val="0"/>
                <w:bCs w:val="0"/>
                <w:color w:val="auto"/>
                <w:sz w:val="24"/>
                <w:szCs w:val="24"/>
                <w:lang w:val="en-US" w:eastAsia="zh-CN" w:bidi="zh-CN"/>
              </w:rPr>
              <w:t>8</w:t>
            </w:r>
          </w:p>
        </w:tc>
        <w:tc>
          <w:tcPr>
            <w:tcW w:w="2275" w:type="dxa"/>
            <w:noWrap w:val="0"/>
            <w:vAlign w:val="bottom"/>
          </w:tcPr>
          <w:p>
            <w:pPr>
              <w:spacing w:line="360" w:lineRule="auto"/>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电缆故障探测仪</w:t>
            </w:r>
          </w:p>
        </w:tc>
        <w:tc>
          <w:tcPr>
            <w:tcW w:w="2736"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c>
          <w:tcPr>
            <w:tcW w:w="1764" w:type="dxa"/>
            <w:noWrap w:val="0"/>
            <w:vAlign w:val="bottom"/>
          </w:tcPr>
          <w:p>
            <w:pPr>
              <w:spacing w:line="360" w:lineRule="auto"/>
              <w:jc w:val="center"/>
              <w:rPr>
                <w:rFonts w:hint="eastAsia" w:ascii="宋体" w:hAnsi="宋体" w:eastAsia="宋体" w:cs="宋体"/>
                <w:b w:val="0"/>
                <w:bCs w:val="0"/>
                <w:color w:val="auto"/>
                <w:sz w:val="24"/>
                <w:szCs w:val="24"/>
                <w:lang w:val="zh-CN" w:eastAsia="zh-CN" w:bidi="zh-CN"/>
              </w:rPr>
            </w:pPr>
            <w:r>
              <w:rPr>
                <w:rFonts w:hint="eastAsia" w:ascii="宋体" w:hAnsi="宋体" w:eastAsia="宋体" w:cs="宋体"/>
                <w:b w:val="0"/>
                <w:bCs w:val="0"/>
                <w:color w:val="auto"/>
                <w:sz w:val="24"/>
                <w:szCs w:val="24"/>
                <w:lang w:val="zh-CN" w:eastAsia="zh-CN" w:bidi="zh-CN"/>
              </w:rPr>
              <w:t>1</w:t>
            </w:r>
          </w:p>
        </w:tc>
        <w:tc>
          <w:tcPr>
            <w:tcW w:w="921" w:type="dxa"/>
            <w:noWrap w:val="0"/>
            <w:vAlign w:val="bottom"/>
          </w:tcPr>
          <w:p>
            <w:pPr>
              <w:spacing w:line="360" w:lineRule="auto"/>
              <w:rPr>
                <w:rFonts w:hint="eastAsia" w:ascii="宋体" w:hAnsi="宋体" w:eastAsia="宋体" w:cs="宋体"/>
                <w:b w:val="0"/>
                <w:bCs w:val="0"/>
                <w:color w:val="auto"/>
                <w:sz w:val="24"/>
                <w:szCs w:val="24"/>
                <w:lang w:val="zh-CN" w:eastAsia="zh-CN" w:bidi="zh-CN"/>
              </w:rPr>
            </w:pPr>
          </w:p>
        </w:tc>
      </w:tr>
    </w:tbl>
    <w:p>
      <w:pPr>
        <w:spacing w:line="360" w:lineRule="auto"/>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注：①投标人自有机具：提供购置发票复印件，并加盖公章；</w:t>
      </w:r>
    </w:p>
    <w:p>
      <w:pPr>
        <w:spacing w:line="360" w:lineRule="auto"/>
        <w:ind w:firstLine="482" w:firstLineChars="200"/>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②投标人租赁机具：提供租赁合同复印件，并加盖公章；</w:t>
      </w:r>
    </w:p>
    <w:p>
      <w:pPr>
        <w:spacing w:line="360" w:lineRule="auto"/>
        <w:ind w:firstLine="482" w:firstLineChars="200"/>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③投标人新购置机具：投标人承诺在</w:t>
      </w:r>
      <w:r>
        <w:rPr>
          <w:rFonts w:hint="eastAsia" w:ascii="宋体" w:hAnsi="宋体" w:eastAsia="宋体" w:cs="宋体"/>
          <w:b/>
          <w:bCs/>
          <w:color w:val="auto"/>
          <w:sz w:val="24"/>
          <w:szCs w:val="24"/>
          <w:lang w:val="en-US" w:eastAsia="zh-CN" w:bidi="zh-CN"/>
        </w:rPr>
        <w:t>进场前</w:t>
      </w:r>
      <w:r>
        <w:rPr>
          <w:rFonts w:hint="eastAsia" w:ascii="宋体" w:hAnsi="宋体" w:eastAsia="宋体" w:cs="宋体"/>
          <w:b/>
          <w:bCs/>
          <w:color w:val="auto"/>
          <w:sz w:val="24"/>
          <w:szCs w:val="24"/>
          <w:lang w:val="zh-CN" w:eastAsia="zh-CN" w:bidi="zh-CN"/>
        </w:rPr>
        <w:t>完成新购置机具，并完成上户等</w:t>
      </w:r>
      <w:r>
        <w:rPr>
          <w:rFonts w:hint="eastAsia" w:ascii="宋体" w:hAnsi="宋体" w:eastAsia="宋体" w:cs="宋体"/>
          <w:b/>
          <w:bCs/>
          <w:color w:val="auto"/>
          <w:sz w:val="24"/>
          <w:szCs w:val="24"/>
          <w:lang w:val="en-US" w:eastAsia="zh-CN" w:bidi="zh-CN"/>
        </w:rPr>
        <w:t>相关</w:t>
      </w:r>
      <w:r>
        <w:rPr>
          <w:rFonts w:hint="eastAsia" w:ascii="宋体" w:hAnsi="宋体" w:eastAsia="宋体" w:cs="宋体"/>
          <w:b/>
          <w:bCs/>
          <w:color w:val="auto"/>
          <w:sz w:val="24"/>
          <w:szCs w:val="24"/>
          <w:lang w:val="zh-CN" w:eastAsia="zh-CN" w:bidi="zh-CN"/>
        </w:rPr>
        <w:t>措施。（提供承诺函，格式自拟。）</w:t>
      </w:r>
    </w:p>
    <w:p>
      <w:pPr>
        <w:spacing w:line="360" w:lineRule="auto"/>
        <w:rPr>
          <w:rFonts w:hint="eastAsia" w:ascii="宋体" w:hAnsi="宋体" w:eastAsia="宋体" w:cs="宋体"/>
          <w:b/>
          <w:bCs/>
          <w:color w:val="auto"/>
          <w:sz w:val="24"/>
          <w:szCs w:val="24"/>
          <w:lang w:val="zh-CN" w:bidi="zh-CN"/>
        </w:rPr>
      </w:pPr>
      <w:r>
        <w:rPr>
          <w:rFonts w:hint="eastAsia" w:ascii="宋体" w:hAnsi="宋体" w:eastAsia="宋体" w:cs="宋体"/>
          <w:b/>
          <w:bCs/>
          <w:color w:val="auto"/>
          <w:sz w:val="24"/>
          <w:szCs w:val="24"/>
          <w:lang w:val="zh-CN" w:bidi="zh-CN"/>
        </w:rPr>
        <w:t>（</w:t>
      </w:r>
      <w:r>
        <w:rPr>
          <w:rFonts w:hint="eastAsia" w:ascii="宋体" w:hAnsi="宋体" w:eastAsia="宋体" w:cs="宋体"/>
          <w:b/>
          <w:bCs/>
          <w:color w:val="auto"/>
          <w:sz w:val="24"/>
          <w:szCs w:val="24"/>
          <w:lang w:val="en-US" w:bidi="zh-CN"/>
        </w:rPr>
        <w:t>投标人</w:t>
      </w:r>
      <w:r>
        <w:rPr>
          <w:rFonts w:hint="eastAsia" w:ascii="宋体" w:hAnsi="宋体" w:eastAsia="宋体" w:cs="宋体"/>
          <w:b/>
          <w:bCs/>
          <w:color w:val="auto"/>
          <w:sz w:val="24"/>
          <w:szCs w:val="24"/>
          <w:lang w:val="zh-CN" w:bidi="zh-CN"/>
        </w:rPr>
        <w:t>可根据自身实际情况任选其一提供证明材料）</w:t>
      </w:r>
    </w:p>
    <w:p>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b/>
          <w:bCs/>
          <w:color w:val="auto"/>
          <w:sz w:val="24"/>
          <w:szCs w:val="24"/>
          <w:lang w:val="zh-CN" w:bidi="zh-CN"/>
        </w:rPr>
      </w:pPr>
    </w:p>
    <w:p>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zh-CN" w:bidi="zh-CN"/>
        </w:rPr>
        <w:t>★</w:t>
      </w:r>
      <w:r>
        <w:rPr>
          <w:rFonts w:hint="eastAsia" w:ascii="宋体" w:hAnsi="宋体" w:eastAsia="宋体" w:cs="宋体"/>
          <w:b/>
          <w:bCs/>
          <w:color w:val="auto"/>
          <w:sz w:val="24"/>
          <w:szCs w:val="24"/>
          <w:lang w:val="en-US" w:bidi="zh-CN"/>
        </w:rPr>
        <w:t xml:space="preserve"> </w:t>
      </w:r>
      <w:r>
        <w:rPr>
          <w:rFonts w:hint="eastAsia" w:ascii="宋体" w:hAnsi="宋体" w:eastAsia="宋体" w:cs="宋体"/>
          <w:b/>
          <w:bCs/>
          <w:color w:val="auto"/>
          <w:sz w:val="24"/>
          <w:szCs w:val="24"/>
          <w:lang w:val="en-US" w:eastAsia="zh-CN"/>
        </w:rPr>
        <w:t>三、商务要求</w:t>
      </w:r>
    </w:p>
    <w:p>
      <w:pPr>
        <w:keepNext w:val="0"/>
        <w:keepLines w:val="0"/>
        <w:pageBreakBefore w:val="0"/>
        <w:widowControl/>
        <w:suppressLineNumbers w:val="0"/>
        <w:kinsoku/>
        <w:wordWrap/>
        <w:overflowPunct/>
        <w:topLinePunct w:val="0"/>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0"/>
          <w:sz w:val="24"/>
          <w:szCs w:val="24"/>
          <w:lang w:val="en-US" w:eastAsia="zh-CN" w:bidi="ar"/>
        </w:rPr>
      </w:pPr>
      <w:bookmarkStart w:id="329" w:name="_bookmark23"/>
      <w:bookmarkEnd w:id="329"/>
      <w:bookmarkStart w:id="330" w:name="_bookmark23"/>
      <w:bookmarkEnd w:id="330"/>
      <w:r>
        <w:rPr>
          <w:rFonts w:hint="eastAsia" w:ascii="宋体" w:hAnsi="宋体" w:eastAsia="宋体" w:cs="宋体"/>
          <w:color w:val="auto"/>
          <w:kern w:val="0"/>
          <w:sz w:val="24"/>
          <w:szCs w:val="24"/>
          <w:lang w:val="en-US" w:eastAsia="zh-CN" w:bidi="ar"/>
        </w:rPr>
        <w:t>1、服务期限：3年，经考核合格后，合同一年一签。</w:t>
      </w:r>
    </w:p>
    <w:p>
      <w:pPr>
        <w:keepNext w:val="0"/>
        <w:keepLines w:val="0"/>
        <w:pageBreakBefore w:val="0"/>
        <w:widowControl/>
        <w:suppressLineNumbers w:val="0"/>
        <w:kinsoku/>
        <w:wordWrap/>
        <w:overflowPunct/>
        <w:topLinePunct w:val="0"/>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2、服务地点：采购人指定地点。</w:t>
      </w:r>
    </w:p>
    <w:p>
      <w:pPr>
        <w:keepNext w:val="0"/>
        <w:keepLines w:val="0"/>
        <w:pageBreakBefore w:val="0"/>
        <w:widowControl/>
        <w:suppressLineNumbers w:val="0"/>
        <w:kinsoku/>
        <w:wordWrap/>
        <w:overflowPunct/>
        <w:topLinePunct w:val="0"/>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付款方式：按月支付。考核结果作为每月管护费拨付的依据。采购人于次月15日前完成上月考核，30个工作日内向成交供应商支付上月实际考核应付的管护费。每月支付管护费前，管护公司须递交拨付管护费的书面申请，并提供正式发票。</w:t>
      </w:r>
    </w:p>
    <w:p>
      <w:pPr>
        <w:keepNext w:val="0"/>
        <w:keepLines w:val="0"/>
        <w:pageBreakBefore w:val="0"/>
        <w:widowControl/>
        <w:suppressLineNumbers w:val="0"/>
        <w:kinsoku/>
        <w:wordWrap/>
        <w:overflowPunct/>
        <w:topLinePunct w:val="0"/>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4、考核办法：严格按照《成都市郫都区综合行政执法局城市道路社会化养护管理考核办法》（详见附件3）、《成都市郫都区综合行政执法局桥梁养护管理考核办法》（详见附件4）、《</w:t>
      </w:r>
      <w:bookmarkStart w:id="331" w:name="OLE_LINK1"/>
      <w:r>
        <w:rPr>
          <w:rFonts w:hint="eastAsia" w:ascii="宋体" w:hAnsi="宋体" w:eastAsia="宋体" w:cs="宋体"/>
          <w:color w:val="auto"/>
          <w:kern w:val="0"/>
          <w:sz w:val="24"/>
          <w:szCs w:val="24"/>
          <w:lang w:val="en-US" w:eastAsia="zh-CN" w:bidi="ar"/>
        </w:rPr>
        <w:t>成都市郫都区综合行政执法局市政照明管护市场化管理监督考核办法</w:t>
      </w:r>
      <w:bookmarkEnd w:id="331"/>
      <w:r>
        <w:rPr>
          <w:rFonts w:hint="eastAsia" w:ascii="宋体" w:hAnsi="宋体" w:eastAsia="宋体" w:cs="宋体"/>
          <w:color w:val="auto"/>
          <w:kern w:val="0"/>
          <w:sz w:val="24"/>
          <w:szCs w:val="24"/>
          <w:lang w:val="en-US" w:eastAsia="zh-CN" w:bidi="ar"/>
        </w:rPr>
        <w:t>》（详见附件5）执行。</w:t>
      </w:r>
    </w:p>
    <w:p>
      <w:pPr>
        <w:keepNext w:val="0"/>
        <w:keepLines w:val="0"/>
        <w:pageBreakBefore w:val="0"/>
        <w:widowControl/>
        <w:suppressLineNumbers w:val="0"/>
        <w:kinsoku/>
        <w:wordWrap/>
        <w:overflowPunct/>
        <w:topLinePunct w:val="0"/>
        <w:bidi w:val="0"/>
        <w:adjustRightInd w:val="0"/>
        <w:snapToGrid w:val="0"/>
        <w:spacing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5、验收：</w:t>
      </w:r>
    </w:p>
    <w:p>
      <w:pPr>
        <w:keepNext w:val="0"/>
        <w:keepLines w:val="0"/>
        <w:pageBreakBefore w:val="0"/>
        <w:widowControl/>
        <w:suppressLineNumbers w:val="0"/>
        <w:kinsoku/>
        <w:wordWrap/>
        <w:overflowPunct/>
        <w:topLinePunct w:val="0"/>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本项目成果和内容符合国家或行业现行相关规定以及采购人提出的技术服务要求，其他未尽事宜应严格按照《财政部关于进一步加强政府采购需求和履约验收管理的指导意见》（财库[2016]205 号）等相关文件要求进行验收。</w:t>
      </w:r>
    </w:p>
    <w:p>
      <w:pPr>
        <w:keepNext w:val="0"/>
        <w:keepLines w:val="0"/>
        <w:pageBreakBefore w:val="0"/>
        <w:widowControl/>
        <w:suppressLineNumbers w:val="0"/>
        <w:kinsoku/>
        <w:wordWrap/>
        <w:overflowPunct/>
        <w:topLinePunct w:val="0"/>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6、其他要求：</w:t>
      </w:r>
    </w:p>
    <w:p>
      <w:pPr>
        <w:keepNext w:val="0"/>
        <w:keepLines w:val="0"/>
        <w:pageBreakBefore w:val="0"/>
        <w:widowControl/>
        <w:suppressLineNumbers w:val="0"/>
        <w:kinsoku/>
        <w:wordWrap/>
        <w:overflowPunct/>
        <w:topLinePunct w:val="0"/>
        <w:bidi w:val="0"/>
        <w:adjustRightInd w:val="0"/>
        <w:snapToGrid w:val="0"/>
        <w:spacing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供应商本项目报价包括：人员劳务、踏勘、差旅、设备投入、成果输出、保险、第三方知识产权使用或转让费用、税金、服务费等的一切费用。供应商应根据本项目的实际情况与自身现实情况，并充分考虑不确定性因素可能导致的风险自行报价。若因供应商原因造成的漏报、错报而导致重复工作成本，由供应商负责，采购人不会承担任何费用。</w:t>
      </w:r>
    </w:p>
    <w:p>
      <w:pPr>
        <w:keepNext w:val="0"/>
        <w:keepLines w:val="0"/>
        <w:pageBreakBefore w:val="0"/>
        <w:widowControl/>
        <w:suppressLineNumbers w:val="0"/>
        <w:kinsoku/>
        <w:wordWrap/>
        <w:overflowPunct/>
        <w:topLinePunct w:val="0"/>
        <w:bidi w:val="0"/>
        <w:adjustRightInd w:val="0"/>
        <w:snapToGrid w:val="0"/>
        <w:spacing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2.成交供应商所提供的服务质量须达到采购人的要求，在保证服务期和服务质量的前提下为采购人提供服务，服务中的一切风险（包括人员安全事故责任、与第</w:t>
      </w:r>
      <w:r>
        <w:rPr>
          <w:rFonts w:hint="eastAsia" w:ascii="宋体" w:hAnsi="宋体" w:eastAsia="宋体" w:cs="宋体"/>
          <w:b w:val="0"/>
          <w:bCs w:val="0"/>
          <w:color w:val="auto"/>
          <w:kern w:val="0"/>
          <w:sz w:val="24"/>
          <w:szCs w:val="24"/>
          <w:highlight w:val="none"/>
          <w:lang w:val="en-US" w:eastAsia="zh-CN" w:bidi="ar"/>
        </w:rPr>
        <w:t>三方的劳务纠纷、项目实施过程中的劳务纠纷及人员伤害等）均由成交供应商承担责任。</w:t>
      </w:r>
    </w:p>
    <w:p>
      <w:pPr>
        <w:pStyle w:val="36"/>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3.管护面积变化的结算方式：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（1）管护面积增减的结算方式（A方式）: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当管护面积和管护设施数量有增减时，按照投标单项报价总价除以管护面积（管护设施数量）得到的单位面积投标价，再按该单位面积投标价乘以增减数量进行结算。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2）质保期内市政设施管护经费的结算方式（B方式）：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处于工程质量质保期内的市政设施，其维修由施工单位负责。因中标人只承担巡查督查工作，不承担维修工作，故该类设施只计算中标人单位面积投标价的15%，作为其管护费用。</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部分标段存在未移交、正在改造和质保期内的道路、路灯设施，若市政设施为“未移交”、“正在改造”按A方式进行扣减；若市政设施为“质保期内”则按B方式进行扣减。</w:t>
      </w:r>
    </w:p>
    <w:p>
      <w:pPr>
        <w:pStyle w:val="36"/>
        <w:keepNext w:val="0"/>
        <w:keepLines w:val="0"/>
        <w:pageBreakBefore w:val="0"/>
        <w:kinsoku/>
        <w:wordWrap/>
        <w:overflowPunct/>
        <w:topLinePunct w:val="0"/>
        <w:bidi w:val="0"/>
        <w:adjustRightInd w:val="0"/>
        <w:snapToGrid w:val="0"/>
        <w:spacing w:line="360" w:lineRule="auto"/>
        <w:ind w:right="0" w:rightChars="0" w:firstLine="480" w:firstLineChars="200"/>
        <w:textAlignment w:val="auto"/>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val="en-US" w:eastAsia="zh-CN" w:bidi="ar"/>
        </w:rPr>
        <w:t>4.各标段内均存在道路现状病害、路灯设施及各类管护内容损坏的情况，</w:t>
      </w:r>
      <w:r>
        <w:rPr>
          <w:rFonts w:hint="eastAsia" w:ascii="宋体" w:hAnsi="宋体" w:eastAsia="宋体" w:cs="宋体"/>
          <w:b w:val="0"/>
          <w:bCs w:val="0"/>
          <w:color w:val="auto"/>
          <w:kern w:val="0"/>
          <w:sz w:val="24"/>
          <w:szCs w:val="24"/>
          <w:highlight w:val="none"/>
          <w:lang w:val="en-US" w:eastAsia="zh-CN" w:bidi="ar"/>
        </w:rPr>
        <w:t>成交供应商</w:t>
      </w:r>
      <w:r>
        <w:rPr>
          <w:rFonts w:hint="eastAsia" w:ascii="宋体" w:hAnsi="宋体" w:eastAsia="宋体" w:cs="宋体"/>
          <w:kern w:val="2"/>
          <w:sz w:val="24"/>
          <w:szCs w:val="24"/>
          <w:highlight w:val="none"/>
          <w:lang w:val="en-US" w:eastAsia="zh-CN" w:bidi="ar"/>
        </w:rPr>
        <w:t>需自行踏勘现场，并承诺在合同生效后</w:t>
      </w:r>
      <w:r>
        <w:rPr>
          <w:rFonts w:hint="eastAsia" w:ascii="宋体" w:hAnsi="宋体" w:eastAsia="宋体" w:cs="宋体"/>
          <w:color w:val="000000"/>
          <w:kern w:val="2"/>
          <w:sz w:val="24"/>
          <w:szCs w:val="24"/>
          <w:highlight w:val="none"/>
          <w:lang w:val="en-US" w:eastAsia="zh-CN" w:bidi="ar"/>
        </w:rPr>
        <w:t>2个月内</w:t>
      </w:r>
      <w:r>
        <w:rPr>
          <w:rFonts w:hint="eastAsia" w:ascii="宋体" w:hAnsi="宋体" w:eastAsia="宋体" w:cs="宋体"/>
          <w:kern w:val="2"/>
          <w:sz w:val="24"/>
          <w:szCs w:val="24"/>
          <w:highlight w:val="none"/>
          <w:lang w:val="en-US" w:eastAsia="zh-CN" w:bidi="ar"/>
        </w:rPr>
        <w:t>修复达到考核标准。</w:t>
      </w:r>
      <w:r>
        <w:rPr>
          <w:rFonts w:hint="eastAsia" w:ascii="宋体" w:hAnsi="宋体" w:eastAsia="宋体" w:cs="宋体"/>
          <w:b/>
          <w:bCs/>
          <w:kern w:val="2"/>
          <w:sz w:val="24"/>
          <w:szCs w:val="24"/>
          <w:highlight w:val="none"/>
          <w:lang w:val="en-US" w:eastAsia="zh-CN" w:bidi="ar"/>
        </w:rPr>
        <w:t>（提供承诺函，格式自拟。）</w:t>
      </w:r>
    </w:p>
    <w:p>
      <w:pPr>
        <w:keepNext w:val="0"/>
        <w:keepLines w:val="0"/>
        <w:pageBreakBefore w:val="0"/>
        <w:tabs>
          <w:tab w:val="left" w:pos="0"/>
        </w:tabs>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5.每标段</w:t>
      </w:r>
      <w:r>
        <w:rPr>
          <w:rFonts w:hint="eastAsia" w:ascii="宋体" w:hAnsi="宋体" w:eastAsia="宋体" w:cs="宋体"/>
          <w:b w:val="0"/>
          <w:bCs w:val="0"/>
          <w:color w:val="auto"/>
          <w:kern w:val="0"/>
          <w:sz w:val="24"/>
          <w:szCs w:val="24"/>
          <w:highlight w:val="none"/>
          <w:lang w:val="en-US" w:eastAsia="zh-CN" w:bidi="ar"/>
        </w:rPr>
        <w:t>成交供应商需</w:t>
      </w:r>
      <w:r>
        <w:rPr>
          <w:rFonts w:hint="eastAsia" w:ascii="宋体" w:hAnsi="宋体" w:eastAsia="宋体" w:cs="宋体"/>
          <w:kern w:val="2"/>
          <w:sz w:val="24"/>
          <w:szCs w:val="24"/>
          <w:lang w:val="en-US" w:eastAsia="zh-CN" w:bidi="ar"/>
        </w:rPr>
        <w:t>承诺在合同生效后</w:t>
      </w:r>
      <w:r>
        <w:rPr>
          <w:rFonts w:hint="eastAsia" w:ascii="宋体" w:hAnsi="宋体" w:eastAsia="宋体" w:cs="宋体"/>
          <w:color w:val="000000"/>
          <w:kern w:val="2"/>
          <w:sz w:val="24"/>
          <w:szCs w:val="24"/>
          <w:lang w:val="en-US" w:eastAsia="zh-CN" w:bidi="ar"/>
        </w:rPr>
        <w:t>2个月内，增设10根9m路灯设施及其配套线路、更换锈蚀灯杆20根、改造人行道面砖500平米；建设点位为犀浦街道内。</w:t>
      </w:r>
      <w:r>
        <w:rPr>
          <w:rFonts w:hint="eastAsia" w:ascii="宋体" w:hAnsi="宋体" w:eastAsia="宋体" w:cs="宋体"/>
          <w:b/>
          <w:bCs/>
          <w:kern w:val="2"/>
          <w:sz w:val="24"/>
          <w:szCs w:val="24"/>
          <w:lang w:val="en-US" w:eastAsia="zh-CN" w:bidi="ar"/>
        </w:rPr>
        <w:t>（提供承诺函，格式自拟。）</w:t>
      </w:r>
    </w:p>
    <w:p>
      <w:pPr>
        <w:keepNext w:val="0"/>
        <w:keepLines w:val="0"/>
        <w:pageBreakBefore w:val="0"/>
        <w:tabs>
          <w:tab w:val="left" w:pos="0"/>
        </w:tabs>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 w:val="0"/>
          <w:bCs w:val="0"/>
          <w:color w:val="auto"/>
          <w:sz w:val="24"/>
          <w:szCs w:val="24"/>
          <w:highlight w:val="none"/>
          <w:lang w:val="zh-CN" w:bidi="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其他未尽事宜，由采购人与成交人另行协商解决</w:t>
      </w:r>
      <w:r>
        <w:rPr>
          <w:rFonts w:hint="eastAsia" w:ascii="宋体" w:hAnsi="宋体" w:eastAsia="宋体" w:cs="宋体"/>
          <w:b w:val="0"/>
          <w:bCs w:val="0"/>
          <w:color w:val="auto"/>
          <w:sz w:val="24"/>
          <w:szCs w:val="24"/>
          <w:highlight w:val="none"/>
          <w:lang w:val="zh-CN" w:bidi="zh-CN"/>
        </w:rPr>
        <w:t>。</w:t>
      </w:r>
    </w:p>
    <w:p>
      <w:pPr>
        <w:pStyle w:val="2"/>
        <w:keepNext w:val="0"/>
        <w:keepLines w:val="0"/>
        <w:pageBreakBefore w:val="0"/>
        <w:kinsoku/>
        <w:wordWrap/>
        <w:overflowPunct/>
        <w:topLinePunct w:val="0"/>
        <w:bidi w:val="0"/>
        <w:adjustRightInd w:val="0"/>
        <w:snapToGrid w:val="0"/>
        <w:spacing w:after="0" w:line="360" w:lineRule="auto"/>
        <w:ind w:right="0" w:rightChars="0" w:firstLine="482" w:firstLineChars="200"/>
        <w:textAlignment w:val="auto"/>
        <w:rPr>
          <w:rFonts w:hint="eastAsia" w:ascii="宋体" w:hAnsi="宋体" w:eastAsia="宋体" w:cs="宋体"/>
          <w:b/>
          <w:bCs/>
          <w:color w:val="auto"/>
          <w:sz w:val="24"/>
          <w:szCs w:val="24"/>
          <w:lang w:val="zh-CN" w:bidi="zh-CN"/>
        </w:rPr>
      </w:pPr>
      <w:r>
        <w:rPr>
          <w:rFonts w:hint="eastAsia" w:ascii="宋体" w:hAnsi="宋体" w:eastAsia="宋体" w:cs="宋体"/>
          <w:b/>
          <w:bCs/>
          <w:color w:val="auto"/>
          <w:sz w:val="24"/>
          <w:szCs w:val="24"/>
          <w:lang w:val="zh-CN" w:bidi="zh-CN"/>
        </w:rPr>
        <w:t>本章采购需求中标注“★”号的条款为本次采购项目的实质性要求。</w:t>
      </w:r>
    </w:p>
    <w:p>
      <w:pPr>
        <w:rPr>
          <w:color w:val="auto"/>
          <w:lang w:val="zh-CN"/>
        </w:rPr>
      </w:pPr>
    </w:p>
    <w:p>
      <w:pPr>
        <w:rPr>
          <w:color w:val="auto"/>
          <w:lang w:val="zh-CN"/>
        </w:rPr>
        <w:sectPr>
          <w:headerReference r:id="rId7" w:type="default"/>
          <w:footerReference r:id="rId9" w:type="default"/>
          <w:headerReference r:id="rId8" w:type="even"/>
          <w:pgSz w:w="11907" w:h="16840"/>
          <w:pgMar w:top="1440" w:right="1800" w:bottom="1440" w:left="1800" w:header="567" w:footer="992" w:gutter="0"/>
          <w:pgNumType w:fmt="decimal" w:start="1"/>
          <w:cols w:space="720" w:num="1"/>
          <w:docGrid w:linePitch="326" w:charSpace="0"/>
        </w:sectPr>
      </w:pPr>
    </w:p>
    <w:p>
      <w:pPr>
        <w:spacing w:line="360" w:lineRule="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附件1</w:t>
      </w:r>
    </w:p>
    <w:tbl>
      <w:tblPr>
        <w:tblStyle w:val="22"/>
        <w:tblW w:w="14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332"/>
        <w:gridCol w:w="1500"/>
        <w:gridCol w:w="799"/>
        <w:gridCol w:w="1208"/>
        <w:gridCol w:w="662"/>
        <w:gridCol w:w="980"/>
        <w:gridCol w:w="789"/>
        <w:gridCol w:w="725"/>
        <w:gridCol w:w="858"/>
        <w:gridCol w:w="789"/>
        <w:gridCol w:w="725"/>
        <w:gridCol w:w="662"/>
        <w:gridCol w:w="475"/>
        <w:gridCol w:w="454"/>
        <w:gridCol w:w="454"/>
        <w:gridCol w:w="834"/>
        <w:gridCol w:w="101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593" w:type="dxa"/>
            <w:gridSpan w:val="1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犀浦街道城市道路明细表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7" w:type="dxa"/>
            <w:gridSpan w:val="2"/>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0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道路名称</w:t>
            </w:r>
          </w:p>
        </w:tc>
        <w:tc>
          <w:tcPr>
            <w:tcW w:w="799"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道路起点</w:t>
            </w:r>
          </w:p>
        </w:tc>
        <w:tc>
          <w:tcPr>
            <w:tcW w:w="1208"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道路止点</w:t>
            </w:r>
          </w:p>
        </w:tc>
        <w:tc>
          <w:tcPr>
            <w:tcW w:w="2431" w:type="dxa"/>
            <w:gridSpan w:val="3"/>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机动车道</w:t>
            </w:r>
          </w:p>
        </w:tc>
        <w:tc>
          <w:tcPr>
            <w:tcW w:w="2372" w:type="dxa"/>
            <w:gridSpan w:val="3"/>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人行道</w:t>
            </w:r>
          </w:p>
        </w:tc>
        <w:tc>
          <w:tcPr>
            <w:tcW w:w="725"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盲道</w:t>
            </w:r>
          </w:p>
        </w:tc>
        <w:tc>
          <w:tcPr>
            <w:tcW w:w="662"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机非隔离带</w:t>
            </w:r>
          </w:p>
        </w:tc>
        <w:tc>
          <w:tcPr>
            <w:tcW w:w="1383" w:type="dxa"/>
            <w:gridSpan w:val="3"/>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路灯杆</w:t>
            </w:r>
          </w:p>
        </w:tc>
        <w:tc>
          <w:tcPr>
            <w:tcW w:w="834"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道路红线外硬质铺装</w:t>
            </w:r>
          </w:p>
        </w:tc>
        <w:tc>
          <w:tcPr>
            <w:tcW w:w="1012"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质保期及移交情况</w:t>
            </w:r>
          </w:p>
        </w:tc>
        <w:tc>
          <w:tcPr>
            <w:tcW w:w="77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养护等级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97" w:type="dxa"/>
            <w:gridSpan w:val="2"/>
            <w:vMerge w:val="continue"/>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noWrap w:val="0"/>
            <w:vAlign w:val="center"/>
          </w:tcPr>
          <w:p>
            <w:pPr>
              <w:jc w:val="center"/>
              <w:rPr>
                <w:rFonts w:hint="eastAsia" w:ascii="宋体" w:hAnsi="宋体" w:eastAsia="宋体" w:cs="宋体"/>
                <w:b/>
                <w:bCs/>
                <w:i w:val="0"/>
                <w:iCs w:val="0"/>
                <w:color w:val="000000"/>
                <w:sz w:val="22"/>
                <w:szCs w:val="22"/>
                <w:u w:val="none"/>
              </w:rPr>
            </w:pPr>
          </w:p>
        </w:tc>
        <w:tc>
          <w:tcPr>
            <w:tcW w:w="799" w:type="dxa"/>
            <w:vMerge w:val="continue"/>
            <w:noWrap w:val="0"/>
            <w:vAlign w:val="center"/>
          </w:tcPr>
          <w:p>
            <w:pPr>
              <w:jc w:val="center"/>
              <w:rPr>
                <w:rFonts w:hint="eastAsia" w:ascii="宋体" w:hAnsi="宋体" w:eastAsia="宋体" w:cs="宋体"/>
                <w:b/>
                <w:bCs/>
                <w:i w:val="0"/>
                <w:iCs w:val="0"/>
                <w:color w:val="000000"/>
                <w:sz w:val="22"/>
                <w:szCs w:val="22"/>
                <w:u w:val="none"/>
              </w:rPr>
            </w:pPr>
          </w:p>
        </w:tc>
        <w:tc>
          <w:tcPr>
            <w:tcW w:w="1208" w:type="dxa"/>
            <w:vMerge w:val="continue"/>
            <w:noWrap w:val="0"/>
            <w:vAlign w:val="center"/>
          </w:tcPr>
          <w:p>
            <w:pPr>
              <w:jc w:val="center"/>
              <w:rPr>
                <w:rFonts w:hint="eastAsia" w:ascii="宋体" w:hAnsi="宋体" w:eastAsia="宋体" w:cs="宋体"/>
                <w:b/>
                <w:bCs/>
                <w:i w:val="0"/>
                <w:iCs w:val="0"/>
                <w:color w:val="000000"/>
                <w:sz w:val="22"/>
                <w:szCs w:val="22"/>
                <w:u w:val="none"/>
              </w:rPr>
            </w:pPr>
          </w:p>
        </w:tc>
        <w:tc>
          <w:tcPr>
            <w:tcW w:w="2431" w:type="dxa"/>
            <w:gridSpan w:val="3"/>
            <w:vMerge w:val="continue"/>
            <w:noWrap w:val="0"/>
            <w:vAlign w:val="center"/>
          </w:tcPr>
          <w:p>
            <w:pPr>
              <w:jc w:val="center"/>
              <w:rPr>
                <w:rFonts w:hint="eastAsia" w:ascii="宋体" w:hAnsi="宋体" w:eastAsia="宋体" w:cs="宋体"/>
                <w:b/>
                <w:bCs/>
                <w:i w:val="0"/>
                <w:iCs w:val="0"/>
                <w:color w:val="000000"/>
                <w:sz w:val="24"/>
                <w:szCs w:val="24"/>
                <w:u w:val="none"/>
              </w:rPr>
            </w:pPr>
          </w:p>
        </w:tc>
        <w:tc>
          <w:tcPr>
            <w:tcW w:w="2372" w:type="dxa"/>
            <w:gridSpan w:val="3"/>
            <w:vMerge w:val="continue"/>
            <w:noWrap w:val="0"/>
            <w:vAlign w:val="center"/>
          </w:tcPr>
          <w:p>
            <w:pPr>
              <w:jc w:val="center"/>
              <w:rPr>
                <w:rFonts w:hint="eastAsia" w:ascii="宋体" w:hAnsi="宋体" w:eastAsia="宋体" w:cs="宋体"/>
                <w:b/>
                <w:bCs/>
                <w:i w:val="0"/>
                <w:iCs w:val="0"/>
                <w:color w:val="000000"/>
                <w:sz w:val="24"/>
                <w:szCs w:val="24"/>
                <w:u w:val="none"/>
              </w:rPr>
            </w:pPr>
          </w:p>
        </w:tc>
        <w:tc>
          <w:tcPr>
            <w:tcW w:w="725"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662"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1383" w:type="dxa"/>
            <w:gridSpan w:val="3"/>
            <w:vMerge w:val="continue"/>
            <w:noWrap w:val="0"/>
            <w:vAlign w:val="center"/>
          </w:tcPr>
          <w:p>
            <w:pPr>
              <w:jc w:val="center"/>
              <w:rPr>
                <w:rFonts w:hint="eastAsia" w:ascii="宋体" w:hAnsi="宋体" w:eastAsia="宋体" w:cs="宋体"/>
                <w:b/>
                <w:bCs/>
                <w:i w:val="0"/>
                <w:iCs w:val="0"/>
                <w:color w:val="000000"/>
                <w:sz w:val="22"/>
                <w:szCs w:val="22"/>
                <w:u w:val="none"/>
              </w:rPr>
            </w:pPr>
          </w:p>
        </w:tc>
        <w:tc>
          <w:tcPr>
            <w:tcW w:w="834" w:type="dxa"/>
            <w:vMerge w:val="continue"/>
            <w:noWrap w:val="0"/>
            <w:vAlign w:val="center"/>
          </w:tcPr>
          <w:p>
            <w:pPr>
              <w:jc w:val="center"/>
              <w:rPr>
                <w:rFonts w:hint="eastAsia" w:ascii="宋体" w:hAnsi="宋体" w:eastAsia="宋体" w:cs="宋体"/>
                <w:b/>
                <w:bCs/>
                <w:i w:val="0"/>
                <w:iCs w:val="0"/>
                <w:color w:val="000000"/>
                <w:sz w:val="22"/>
                <w:szCs w:val="22"/>
                <w:u w:val="none"/>
              </w:rPr>
            </w:pPr>
          </w:p>
        </w:tc>
        <w:tc>
          <w:tcPr>
            <w:tcW w:w="1012" w:type="dxa"/>
            <w:vMerge w:val="continue"/>
            <w:noWrap w:val="0"/>
            <w:vAlign w:val="center"/>
          </w:tcPr>
          <w:p>
            <w:pPr>
              <w:jc w:val="center"/>
              <w:rPr>
                <w:rFonts w:hint="eastAsia" w:ascii="宋体" w:hAnsi="宋体" w:eastAsia="宋体" w:cs="宋体"/>
                <w:b/>
                <w:bCs/>
                <w:i w:val="0"/>
                <w:iCs w:val="0"/>
                <w:color w:val="000000"/>
                <w:sz w:val="22"/>
                <w:szCs w:val="22"/>
                <w:u w:val="none"/>
              </w:rPr>
            </w:pPr>
          </w:p>
        </w:tc>
        <w:tc>
          <w:tcPr>
            <w:tcW w:w="770" w:type="dxa"/>
            <w:vMerge w:val="continue"/>
            <w:noWrap w:val="0"/>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7" w:type="dxa"/>
            <w:gridSpan w:val="2"/>
            <w:vMerge w:val="continue"/>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noWrap w:val="0"/>
            <w:vAlign w:val="center"/>
          </w:tcPr>
          <w:p>
            <w:pPr>
              <w:jc w:val="center"/>
              <w:rPr>
                <w:rFonts w:hint="eastAsia" w:ascii="宋体" w:hAnsi="宋体" w:eastAsia="宋体" w:cs="宋体"/>
                <w:b/>
                <w:bCs/>
                <w:i w:val="0"/>
                <w:iCs w:val="0"/>
                <w:color w:val="000000"/>
                <w:sz w:val="22"/>
                <w:szCs w:val="22"/>
                <w:u w:val="none"/>
              </w:rPr>
            </w:pPr>
          </w:p>
        </w:tc>
        <w:tc>
          <w:tcPr>
            <w:tcW w:w="799" w:type="dxa"/>
            <w:vMerge w:val="continue"/>
            <w:noWrap w:val="0"/>
            <w:vAlign w:val="center"/>
          </w:tcPr>
          <w:p>
            <w:pPr>
              <w:jc w:val="center"/>
              <w:rPr>
                <w:rFonts w:hint="eastAsia" w:ascii="宋体" w:hAnsi="宋体" w:eastAsia="宋体" w:cs="宋体"/>
                <w:b/>
                <w:bCs/>
                <w:i w:val="0"/>
                <w:iCs w:val="0"/>
                <w:color w:val="000000"/>
                <w:sz w:val="22"/>
                <w:szCs w:val="22"/>
                <w:u w:val="none"/>
              </w:rPr>
            </w:pPr>
          </w:p>
        </w:tc>
        <w:tc>
          <w:tcPr>
            <w:tcW w:w="1208" w:type="dxa"/>
            <w:vMerge w:val="continue"/>
            <w:noWrap w:val="0"/>
            <w:vAlign w:val="center"/>
          </w:tcPr>
          <w:p>
            <w:pPr>
              <w:jc w:val="center"/>
              <w:rPr>
                <w:rFonts w:hint="eastAsia" w:ascii="宋体" w:hAnsi="宋体" w:eastAsia="宋体" w:cs="宋体"/>
                <w:b/>
                <w:bCs/>
                <w:i w:val="0"/>
                <w:iCs w:val="0"/>
                <w:color w:val="000000"/>
                <w:sz w:val="22"/>
                <w:szCs w:val="22"/>
                <w:u w:val="none"/>
              </w:rPr>
            </w:pP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长度m</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宽度m</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长度m</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宽度m</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单挑</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双挑</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中杆</w:t>
            </w:r>
          </w:p>
        </w:tc>
        <w:tc>
          <w:tcPr>
            <w:tcW w:w="8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总面积㎡</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5"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color w:val="auto"/>
                <w:sz w:val="24"/>
                <w:szCs w:val="24"/>
                <w:highlight w:val="none"/>
                <w:lang w:val="en-US" w:eastAsia="zh-CN"/>
              </w:rPr>
              <w:t>犀浦2标段（</w:t>
            </w:r>
            <w:r>
              <w:rPr>
                <w:rFonts w:hint="eastAsia" w:ascii="宋体" w:hAnsi="宋体" w:eastAsia="宋体" w:cs="宋体"/>
                <w:i w:val="0"/>
                <w:iCs w:val="0"/>
                <w:color w:val="000000"/>
                <w:kern w:val="0"/>
                <w:sz w:val="22"/>
                <w:szCs w:val="22"/>
                <w:u w:val="none"/>
                <w:lang w:val="en-US" w:eastAsia="zh-CN" w:bidi="ar"/>
              </w:rPr>
              <w:t>北片区</w:t>
            </w:r>
            <w:r>
              <w:rPr>
                <w:rFonts w:hint="eastAsia" w:ascii="宋体" w:hAnsi="宋体" w:eastAsia="宋体" w:cs="宋体"/>
                <w:b w:val="0"/>
                <w:bCs w:val="0"/>
                <w:color w:val="auto"/>
                <w:sz w:val="24"/>
                <w:szCs w:val="24"/>
                <w:highlight w:val="none"/>
                <w:lang w:val="en-US" w:eastAsia="zh-CN"/>
              </w:rPr>
              <w:t>）</w:t>
            </w: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新犀路（犀团路）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港通北四路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2901.76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83948.20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5530.9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14031.68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5530.9</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校园路至港通北三路段2022年11月20日质保到期</w:t>
            </w: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犀方路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石亭路下段</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1491.9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22309.69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2682.7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9668.72</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1158.47</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4050.79</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新犀路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犀安路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2688.48</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62888.52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5203.64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17076.68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4295.01</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16425.15</w:t>
            </w:r>
          </w:p>
        </w:tc>
        <w:tc>
          <w:tcPr>
            <w:tcW w:w="10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2022年11月20日质保期到期。</w:t>
            </w: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校园路东段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犀安路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龙吟路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6405.04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8312.39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12810.08</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2632.7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12810.08</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7665.77</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校园路（梓潼宫段）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龙吟路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784.42</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19382.34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5944.41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1461.33</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14459.86</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犀安路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安靖界</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1538.53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39.64/15.2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42084.88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2581.58</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8393.18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1756.03</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1008.84</w:t>
            </w:r>
          </w:p>
        </w:tc>
        <w:tc>
          <w:tcPr>
            <w:tcW w:w="10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红光大道至校园路段2022年11月20日质保到期；</w:t>
            </w: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龙吟路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兴业北街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784.78</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8.9/18.05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11192.48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1261.93</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5378.93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1261.93</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0"/>
                <w:szCs w:val="20"/>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华都路（天府-犀方路）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天府路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犀方路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592.73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6297.99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1115.37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3211.19</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1103.08</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719.92</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锦宁巷（天府-犀方路）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天府路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犀方路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653.57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4211.39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1309.3</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4431.15</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1325.85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0"/>
                <w:szCs w:val="20"/>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锦宁巷（犀安-兴业北）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犀安路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兴业北街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406.69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2987.16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762.55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1848.32</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762.55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735.11</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天府路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871.87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25518.32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1834.66</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4815.25</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1553.79</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342.97</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12528.59</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曲锦路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锦苑路外段</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2126.50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1165.71</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锦苑路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石亭路下段</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11.92/12.2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10930.00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1309.99</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512.39</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王公堰路及下段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1108.67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8.2/12.9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16173.13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2156.22</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7719.53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2156.22</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石亭路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石亭路下段</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万家沱路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427.15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2641.64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万家沱路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蜀源大道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596.53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12211.48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1118.36</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3998.30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1112.79</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1707.55</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沱滨一街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犀安路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沱江河南街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314.95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2302.19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3463.38</w:t>
            </w:r>
          </w:p>
        </w:tc>
        <w:tc>
          <w:tcPr>
            <w:tcW w:w="10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2022年8月31日质保到期。</w:t>
            </w: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沱江河南街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犀安路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龙吟路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515.61</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7369.32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970.87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3515.25</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970.87</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犀安路至龙吟路段2022年8月31日质保到期。</w:t>
            </w: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学园路（兴业-天府路）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天府路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1344.21</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8271.70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2688.42</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3908.4</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2688.42</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3842.35</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学园路（犀安-兴业北）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犀安路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兴业北街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393.37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7988.97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786.74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2382.67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758.17</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学园路（天府-犀方路）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天府路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犀方路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538.75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10704.73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986.21</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4024.08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984.93</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园林路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锦宁巷</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497.28</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5939.12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934.54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2307.42</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934.54</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352.98</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2967.34</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龙吟路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321.40 </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6585.17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635.68</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3404.86</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603.93</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2344.90 </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梓潼一街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成灌路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955.85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14347.64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1783.34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6362.46</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128.25</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1377.53</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10664.23</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华都路（梓潼路上段）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龙吟路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14017.55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5435.71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850.09</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56.18</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5388.18</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福梓西街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龙梓路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460.53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4625.03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345.21</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348.13</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福梓路（龙梓路段）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龙梓路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万福新街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516.94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10423.62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1033.88</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3521.28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1033.88</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6174.35</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福梓路（红光大道口）</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299.46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5715.68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593.67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2595.17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福梓路(校园路上段)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润弘校园路幼儿园</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4472.65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694.65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3457.01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585.71</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197.63</w:t>
            </w: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1621.74</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龙梓路（梓潼分界上）</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龙吟路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822.34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13860.58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1596.69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5588.41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1596.69</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363.67</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5053.42</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万福新街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梓潼一街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福梓路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404.52</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6197.48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2451.28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466.4</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6170.82</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天府路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425.19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4058.79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796.64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2440.68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796.64</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兴业北街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759.42</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20321.81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1518.84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5411.41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1518.84</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321.54</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8144.63</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锦宁巷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天府路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409.09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2986.26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434.80 </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1780.58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301.54</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4099.37</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犀方路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966.43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23.00 </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27421.00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1598.33</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3.52/2.58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6427.75</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1414.31</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180.84</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犀团路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576.17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10300.92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667.05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2.54/2.34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1684.82</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216.57</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吉楠路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犀团路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曲锦路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4374.09</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257.14</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福梓东路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486.00 </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4274.51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835.70 </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3688.79</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713.46</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1354.39</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新犀路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港泰大道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金土地巷</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545.95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12254.68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806.37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2343.43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785.06</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1832"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99" w:type="dxa"/>
            <w:noWrap/>
            <w:vAlign w:val="center"/>
          </w:tcPr>
          <w:p>
            <w:pPr>
              <w:jc w:val="center"/>
              <w:rPr>
                <w:rFonts w:hint="eastAsia" w:ascii="宋体" w:hAnsi="宋体" w:eastAsia="宋体" w:cs="宋体"/>
                <w:i w:val="0"/>
                <w:iCs w:val="0"/>
                <w:color w:val="000000"/>
                <w:sz w:val="22"/>
                <w:szCs w:val="22"/>
                <w:u w:val="none"/>
              </w:rPr>
            </w:pPr>
          </w:p>
        </w:tc>
        <w:tc>
          <w:tcPr>
            <w:tcW w:w="1208"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4"/>
                <w:szCs w:val="24"/>
                <w:u w:val="none"/>
              </w:rPr>
            </w:pPr>
          </w:p>
        </w:tc>
        <w:tc>
          <w:tcPr>
            <w:tcW w:w="980"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542029.6</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163448.63</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121756.39</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2631" w:type="dxa"/>
            <w:gridSpan w:val="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道路总面积合计</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827234.62</w:t>
            </w:r>
          </w:p>
        </w:tc>
        <w:tc>
          <w:tcPr>
            <w:tcW w:w="662" w:type="dxa"/>
            <w:noWrap/>
            <w:vAlign w:val="center"/>
          </w:tcPr>
          <w:p>
            <w:pPr>
              <w:jc w:val="center"/>
              <w:rPr>
                <w:rFonts w:hint="eastAsia" w:ascii="宋体" w:hAnsi="宋体" w:eastAsia="宋体" w:cs="宋体"/>
                <w:i w:val="0"/>
                <w:iCs w:val="0"/>
                <w:color w:val="000000"/>
                <w:sz w:val="24"/>
                <w:szCs w:val="24"/>
                <w:u w:val="none"/>
              </w:rPr>
            </w:pP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道路面积合计</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705478.23</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1383"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路灯盏数：1783盏</w:t>
            </w:r>
          </w:p>
        </w:tc>
        <w:tc>
          <w:tcPr>
            <w:tcW w:w="8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硬质铺装：121756.39平米</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593" w:type="dxa"/>
            <w:gridSpan w:val="19"/>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color w:val="auto"/>
                <w:sz w:val="24"/>
                <w:szCs w:val="24"/>
                <w:highlight w:val="none"/>
                <w:lang w:val="en-US" w:eastAsia="zh-CN"/>
              </w:rPr>
              <w:t>犀浦1标段（</w:t>
            </w:r>
            <w:r>
              <w:rPr>
                <w:rFonts w:hint="eastAsia" w:ascii="宋体" w:hAnsi="宋体" w:eastAsia="宋体" w:cs="宋体"/>
                <w:i w:val="0"/>
                <w:iCs w:val="0"/>
                <w:color w:val="000000"/>
                <w:kern w:val="0"/>
                <w:sz w:val="22"/>
                <w:szCs w:val="22"/>
                <w:u w:val="none"/>
                <w:lang w:val="en-US" w:eastAsia="zh-CN" w:bidi="ar"/>
              </w:rPr>
              <w:t>南片区</w:t>
            </w:r>
            <w:r>
              <w:rPr>
                <w:rFonts w:hint="eastAsia" w:ascii="宋体" w:hAnsi="宋体" w:eastAsia="宋体" w:cs="宋体"/>
                <w:b w:val="0"/>
                <w:bCs w:val="0"/>
                <w:color w:val="auto"/>
                <w:sz w:val="24"/>
                <w:szCs w:val="24"/>
                <w:highlight w:val="none"/>
                <w:lang w:val="en-US" w:eastAsia="zh-CN"/>
              </w:rPr>
              <w:t>）</w:t>
            </w: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梓潼路（校园路上段）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郫都区犀浦小学</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390.41</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10189.74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728.41</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2608.07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857.96</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1469.36</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梓潼路（校园路下段）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395.99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8670.02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792.00 </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2596.84</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792.00 </w:t>
            </w:r>
          </w:p>
        </w:tc>
        <w:tc>
          <w:tcPr>
            <w:tcW w:w="662" w:type="dxa"/>
            <w:noWrap/>
            <w:vAlign w:val="center"/>
          </w:tcPr>
          <w:p>
            <w:pPr>
              <w:jc w:val="center"/>
              <w:rPr>
                <w:rFonts w:hint="eastAsia" w:ascii="宋体" w:hAnsi="宋体" w:eastAsia="宋体" w:cs="宋体"/>
                <w:i w:val="0"/>
                <w:iCs w:val="0"/>
                <w:color w:val="000000"/>
                <w:sz w:val="24"/>
                <w:szCs w:val="24"/>
                <w:u w:val="none"/>
              </w:rPr>
            </w:pPr>
          </w:p>
        </w:tc>
        <w:tc>
          <w:tcPr>
            <w:tcW w:w="475"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1410.75</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龙梓路（梓潼分界下）</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万福二街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6694.88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955.19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2918.2</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955.19</w:t>
            </w:r>
          </w:p>
        </w:tc>
        <w:tc>
          <w:tcPr>
            <w:tcW w:w="662" w:type="dxa"/>
            <w:noWrap/>
            <w:vAlign w:val="center"/>
          </w:tcPr>
          <w:p>
            <w:pP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612.19</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校园路东段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断头路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351.64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8686.86</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622.154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2168.14</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622.154</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万福二街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龙梓路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16836.85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1459.23</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5222.71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1459.23</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即将改造。</w:t>
            </w: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金粮路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盛发街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1490.30 </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40791.14</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2133.90 </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8501.53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2133.90 </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3290.43</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国宁东路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金粮路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和心路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883.84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9206.89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1734.59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5928.16</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1734.59</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五粮一街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国宁东路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粮河路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1789.04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318.65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1305.56</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318.65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五粮二街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国宁东路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粮河路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3845.16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375.34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1354.85</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375.34</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2259.07</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金樽三街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互通一路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253.44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4747.86</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475.37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1724.57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475.37</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7956.31</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粮河路（金粮路旁）</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金粮路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五粮二街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671.56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20279.64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1305.51</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5199.53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1305.51</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9208.39</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粮河路（西区大道旁）</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和心路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454.95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9988.01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781.25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3033.11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781.25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6085.21</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西区大道</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粮河路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天河路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529.53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13209.38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1056.30 </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4018.94</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1056.30 </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天河路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815.38</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34.551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24602.16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1586.08</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5766.24</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1586.08</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5394.52</w:t>
            </w:r>
          </w:p>
        </w:tc>
        <w:tc>
          <w:tcPr>
            <w:tcW w:w="10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2022年11月20日质保到期</w:t>
            </w: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两河新街（天河路段）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天河路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断头路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339.64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3251.68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686.75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4565.66</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686.75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两河新街（两河东街段）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两河东街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筒车堰路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303.21</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2524.29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377.42</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1546.83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377.42</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筒车堰路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两河新街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张家石桥街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348.84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6835.00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601.32</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2441.12</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601.32</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1356.32</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张家石桥街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筒车堰路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天河路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325.16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3069.69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591.16</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2163.85</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223.45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1774.01</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浦发街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948.33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13014.99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339.73</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12647.7</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犀浦下街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天河路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2038.5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42664.53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14806.27</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犀湖街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犀浦下街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高铁站</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292.01</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4278.99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525.78</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7.73/5.86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3377.08</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199.84</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犀浦下街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738.36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11347.37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1256.72</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6703.18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1256.72</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岚牌街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学园路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175.24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3273.08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373.98</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1733.18</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岷江商业街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344.96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4256.51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3309.56</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玉龙二巷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298.78</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5124.93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玉龙三巷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302.05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5239.47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犀池东四巷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5573.25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浦兴街（6号线犀浦站）</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犀浦下街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1845.66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1845.66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犀浦下街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810.17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13513.38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1539.72</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8149.63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1539.72</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1893.64</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犀池一街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341.02</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3410.42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663.95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1296.80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犀池二街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342.64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3256.22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662.69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1987.65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犀池三街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344.61</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3516.76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352.77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1191.63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犀池四街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346.44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4480.30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犀池五街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367.33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4184.87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417.99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457.32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犀池六街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763.49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6096.70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1014.55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5/2.58/4.24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3613.84</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玉泉巷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361.67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4101.14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361.67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159.08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曲池街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犀池一街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309.53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3822.51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309.53</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2678.28</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恒山南街/恒山北街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成灌公路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围城南路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1238.47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22289.79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2476.94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11353.24</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2476.94</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2246.1</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国宁一街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国宁中街</w:t>
            </w:r>
          </w:p>
        </w:tc>
        <w:tc>
          <w:tcPr>
            <w:tcW w:w="662" w:type="dxa"/>
            <w:noWrap/>
            <w:vAlign w:val="center"/>
          </w:tcPr>
          <w:p>
            <w:pPr>
              <w:jc w:val="center"/>
              <w:rPr>
                <w:rFonts w:hint="eastAsia" w:ascii="宋体" w:hAnsi="宋体" w:eastAsia="宋体" w:cs="宋体"/>
                <w:i w:val="0"/>
                <w:iCs w:val="0"/>
                <w:color w:val="000000"/>
                <w:sz w:val="24"/>
                <w:szCs w:val="24"/>
                <w:u w:val="none"/>
              </w:rPr>
            </w:pPr>
          </w:p>
        </w:tc>
        <w:tc>
          <w:tcPr>
            <w:tcW w:w="980"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128.6</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2447.64</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国宁二街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浦发街</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980"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302.29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5720.18</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国宁三街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浦发街</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980"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339.73</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6730.79</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国宁中街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成灌公路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国宁三街</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980"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192.57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3376.44</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围城南路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1334.67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32915.86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2442.38</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16752.17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2442.38</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3540.25</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泰山一巷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成都市儿童福利院</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330.18</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3666.02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泰山二巷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泰山一巷</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228.2</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4148.29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泰山三巷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452.38</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5838.14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904.76</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4910.05</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904.76</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无名道路（玉龙五巷旁）</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玉龙五巷</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泰山三巷</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300.41</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2346.11 </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2"/>
                <w:szCs w:val="22"/>
                <w:u w:val="none"/>
              </w:rPr>
            </w:pP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围城南路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天河路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2144.23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21441.72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4189.06</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16959.92</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华都路（梓潼路下段）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梓潼路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红光大道/金粮路）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1418.64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18723.58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1418.64</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8284.21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2993.91</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2743.7</w:t>
            </w:r>
          </w:p>
        </w:tc>
        <w:tc>
          <w:tcPr>
            <w:tcW w:w="10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即将改造。</w:t>
            </w: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两河东路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粮河路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592.64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9617.77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885.87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4.63/2.52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3370.61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885.87</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4447.21</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万福一街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385.87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5725.80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736.95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2.89/3.31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2322.17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736.95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4766.4</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江西街四巷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兴业南街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320.83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14.5/5.62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2861.26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463.35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6.57/1.37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1839.85</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和心路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粮河路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383.99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22.54/9.12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7384.33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581.86</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2026.50 </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581.86</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和心路2段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粮河路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百草路东段</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574.26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5484.89</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910.21</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2548.83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910.21</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百草路东段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和心路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金粮路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373.95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7178.07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677.65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2545.28</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677.65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福河路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和心路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两河东路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463.41</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3293.17</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183.68</w:t>
            </w: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789.68</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华盛街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犀浦下街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断头路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1769.19</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江西街1-3巷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207.67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2829.46</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江西街5-9巷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945.58</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9776.7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2198.49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8124.78</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岚牌街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犀浦下街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269.83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3454.8</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乐园后街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岷江街三段</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珠江西街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419.24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3945.67</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岷江街三段</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断头路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568.93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9751.97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264.96</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6.87/9.68</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2369.29</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岷江南三四五六巷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岷江街三段</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岷江街三段</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6008.72</w:t>
            </w:r>
          </w:p>
        </w:tc>
        <w:tc>
          <w:tcPr>
            <w:tcW w:w="725" w:type="dxa"/>
            <w:noWrap/>
            <w:vAlign w:val="center"/>
          </w:tcPr>
          <w:p>
            <w:pPr>
              <w:jc w:val="cente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2774.57</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天目路人行道</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百草路东段</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高新西区界</w:t>
            </w:r>
          </w:p>
        </w:tc>
        <w:tc>
          <w:tcPr>
            <w:tcW w:w="662" w:type="dxa"/>
            <w:noWrap/>
            <w:vAlign w:val="center"/>
          </w:tcPr>
          <w:p>
            <w:pPr>
              <w:rPr>
                <w:rFonts w:hint="eastAsia" w:ascii="宋体" w:hAnsi="宋体" w:eastAsia="宋体" w:cs="宋体"/>
                <w:i w:val="0"/>
                <w:iCs w:val="0"/>
                <w:color w:val="000000"/>
                <w:sz w:val="22"/>
                <w:szCs w:val="22"/>
                <w:u w:val="none"/>
              </w:rPr>
            </w:pPr>
          </w:p>
        </w:tc>
        <w:tc>
          <w:tcPr>
            <w:tcW w:w="980" w:type="dxa"/>
            <w:noWrap/>
            <w:vAlign w:val="center"/>
          </w:tcPr>
          <w:p>
            <w:pPr>
              <w:rPr>
                <w:rFonts w:hint="eastAsia" w:ascii="宋体" w:hAnsi="宋体" w:eastAsia="宋体" w:cs="宋体"/>
                <w:i w:val="0"/>
                <w:iCs w:val="0"/>
                <w:color w:val="000000"/>
                <w:sz w:val="22"/>
                <w:szCs w:val="22"/>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392.01</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1529.39</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392.01</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万福三街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福梓路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253.86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2490.77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399.53</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1406.33</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399.53</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西区大道人形道</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绕城高速</w:t>
            </w:r>
          </w:p>
        </w:tc>
        <w:tc>
          <w:tcPr>
            <w:tcW w:w="662" w:type="dxa"/>
            <w:noWrap/>
            <w:vAlign w:val="center"/>
          </w:tcPr>
          <w:p>
            <w:pPr>
              <w:jc w:val="center"/>
              <w:rPr>
                <w:rFonts w:hint="eastAsia" w:ascii="宋体" w:hAnsi="宋体" w:eastAsia="宋体" w:cs="宋体"/>
                <w:i w:val="0"/>
                <w:iCs w:val="0"/>
                <w:color w:val="000000"/>
                <w:sz w:val="24"/>
                <w:szCs w:val="24"/>
                <w:u w:val="none"/>
              </w:rPr>
            </w:pPr>
          </w:p>
        </w:tc>
        <w:tc>
          <w:tcPr>
            <w:tcW w:w="980"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690.15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2190.2</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686.97</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犀池东一二三巷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237.47</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1985.67</w:t>
            </w:r>
          </w:p>
        </w:tc>
        <w:tc>
          <w:tcPr>
            <w:tcW w:w="725" w:type="dxa"/>
            <w:noWrap/>
            <w:vAlign w:val="center"/>
          </w:tcPr>
          <w:p>
            <w:pPr>
              <w:rPr>
                <w:rFonts w:hint="eastAsia" w:ascii="宋体" w:hAnsi="宋体" w:eastAsia="宋体" w:cs="宋体"/>
                <w:i w:val="0"/>
                <w:iCs w:val="0"/>
                <w:color w:val="000000"/>
                <w:sz w:val="22"/>
                <w:szCs w:val="22"/>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游家柏树街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天河路</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两河新街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162.04</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 </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1684.77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142.23</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6.6/3.0</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704.71</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130.37</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珠江西街</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乐园后街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277.16</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3782.77</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金爵巷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金樽三街</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断头路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212.35</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8.99</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1907.49</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422.55</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1475.47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422.55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金樽三街北延线</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断头路</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127.32</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12.97</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1838.87</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237.67</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826.82</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237.67</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无命名道路</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红光大道</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972.99</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6.2/10.0</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10065.99</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1013.239</w:t>
            </w:r>
          </w:p>
        </w:tc>
        <w:tc>
          <w:tcPr>
            <w:tcW w:w="85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2975.25</w:t>
            </w:r>
          </w:p>
        </w:tc>
        <w:tc>
          <w:tcPr>
            <w:tcW w:w="7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754.75</w:t>
            </w: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332"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5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玉龙五、六、七巷</w:t>
            </w:r>
          </w:p>
        </w:tc>
        <w:tc>
          <w:tcPr>
            <w:tcW w:w="7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泰山大道</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66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1599.53</w:t>
            </w:r>
          </w:p>
        </w:tc>
        <w:tc>
          <w:tcPr>
            <w:tcW w:w="9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78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15155.17</w:t>
            </w: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858" w:type="dxa"/>
            <w:noWrap/>
            <w:vAlign w:val="center"/>
          </w:tcPr>
          <w:p>
            <w:pPr>
              <w:jc w:val="center"/>
              <w:rPr>
                <w:rFonts w:hint="eastAsia" w:ascii="宋体" w:hAnsi="宋体" w:eastAsia="宋体" w:cs="宋体"/>
                <w:i w:val="0"/>
                <w:iCs w:val="0"/>
                <w:color w:val="000000"/>
                <w:sz w:val="24"/>
                <w:szCs w:val="24"/>
                <w:u w:val="none"/>
              </w:rPr>
            </w:pPr>
          </w:p>
        </w:tc>
        <w:tc>
          <w:tcPr>
            <w:tcW w:w="789" w:type="dxa"/>
            <w:noWrap/>
            <w:vAlign w:val="center"/>
          </w:tcPr>
          <w:p>
            <w:pPr>
              <w:jc w:val="center"/>
              <w:rPr>
                <w:rFonts w:hint="eastAsia" w:ascii="宋体" w:hAnsi="宋体" w:eastAsia="宋体" w:cs="宋体"/>
                <w:i w:val="0"/>
                <w:iCs w:val="0"/>
                <w:color w:val="000000"/>
                <w:sz w:val="24"/>
                <w:szCs w:val="24"/>
                <w:u w:val="none"/>
              </w:rPr>
            </w:pPr>
          </w:p>
        </w:tc>
        <w:tc>
          <w:tcPr>
            <w:tcW w:w="725" w:type="dxa"/>
            <w:noWrap/>
            <w:vAlign w:val="center"/>
          </w:tcPr>
          <w:p>
            <w:pPr>
              <w:jc w:val="center"/>
              <w:rPr>
                <w:rFonts w:hint="eastAsia" w:ascii="宋体" w:hAnsi="宋体" w:eastAsia="宋体" w:cs="宋体"/>
                <w:i w:val="0"/>
                <w:iCs w:val="0"/>
                <w:color w:val="000000"/>
                <w:sz w:val="24"/>
                <w:szCs w:val="24"/>
                <w:u w:val="none"/>
              </w:rPr>
            </w:pPr>
          </w:p>
        </w:tc>
        <w:tc>
          <w:tcPr>
            <w:tcW w:w="662" w:type="dxa"/>
            <w:noWrap/>
            <w:vAlign w:val="center"/>
          </w:tcPr>
          <w:p>
            <w:pPr>
              <w:jc w:val="cente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54" w:type="dxa"/>
            <w:noWrap/>
            <w:vAlign w:val="center"/>
          </w:tcPr>
          <w:p>
            <w:pPr>
              <w:jc w:val="center"/>
              <w:rPr>
                <w:rFonts w:hint="eastAsia" w:ascii="宋体" w:hAnsi="宋体" w:eastAsia="宋体" w:cs="宋体"/>
                <w:i w:val="0"/>
                <w:iCs w:val="0"/>
                <w:color w:val="000000"/>
                <w:sz w:val="24"/>
                <w:szCs w:val="24"/>
                <w:u w:val="none"/>
              </w:rPr>
            </w:pPr>
          </w:p>
        </w:tc>
        <w:tc>
          <w:tcPr>
            <w:tcW w:w="454" w:type="dxa"/>
            <w:noWrap/>
            <w:vAlign w:val="center"/>
          </w:tcPr>
          <w:p>
            <w:pPr>
              <w:jc w:val="center"/>
              <w:rPr>
                <w:rFonts w:hint="eastAsia" w:ascii="宋体" w:hAnsi="宋体" w:eastAsia="宋体" w:cs="宋体"/>
                <w:i w:val="0"/>
                <w:iCs w:val="0"/>
                <w:color w:val="000000"/>
                <w:sz w:val="22"/>
                <w:szCs w:val="22"/>
                <w:u w:val="none"/>
              </w:rPr>
            </w:pPr>
          </w:p>
        </w:tc>
        <w:tc>
          <w:tcPr>
            <w:tcW w:w="834" w:type="dxa"/>
            <w:noWrap/>
            <w:vAlign w:val="center"/>
          </w:tcPr>
          <w:p>
            <w:pPr>
              <w:jc w:val="center"/>
              <w:rPr>
                <w:rFonts w:hint="eastAsia" w:ascii="宋体" w:hAnsi="宋体" w:eastAsia="宋体" w:cs="宋体"/>
                <w:i w:val="0"/>
                <w:iCs w:val="0"/>
                <w:color w:val="000000"/>
                <w:sz w:val="22"/>
                <w:szCs w:val="22"/>
                <w:u w:val="none"/>
              </w:rPr>
            </w:pP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III类养护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1832"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99" w:type="dxa"/>
            <w:noWrap/>
            <w:vAlign w:val="center"/>
          </w:tcPr>
          <w:p>
            <w:pPr>
              <w:jc w:val="center"/>
              <w:rPr>
                <w:rFonts w:hint="eastAsia" w:ascii="宋体" w:hAnsi="宋体" w:eastAsia="宋体" w:cs="宋体"/>
                <w:i w:val="0"/>
                <w:iCs w:val="0"/>
                <w:color w:val="000000"/>
                <w:sz w:val="22"/>
                <w:szCs w:val="22"/>
                <w:u w:val="none"/>
              </w:rPr>
            </w:pPr>
          </w:p>
        </w:tc>
        <w:tc>
          <w:tcPr>
            <w:tcW w:w="1208" w:type="dxa"/>
            <w:noWrap/>
            <w:vAlign w:val="center"/>
          </w:tcPr>
          <w:p>
            <w:pPr>
              <w:jc w:val="center"/>
              <w:rPr>
                <w:rFonts w:hint="eastAsia" w:ascii="宋体" w:hAnsi="宋体" w:eastAsia="宋体" w:cs="宋体"/>
                <w:i w:val="0"/>
                <w:iCs w:val="0"/>
                <w:color w:val="000000"/>
                <w:sz w:val="22"/>
                <w:szCs w:val="22"/>
                <w:u w:val="none"/>
              </w:rPr>
            </w:pPr>
          </w:p>
        </w:tc>
        <w:tc>
          <w:tcPr>
            <w:tcW w:w="662" w:type="dxa"/>
            <w:noWrap/>
            <w:vAlign w:val="center"/>
          </w:tcPr>
          <w:p>
            <w:pPr>
              <w:rPr>
                <w:rFonts w:hint="eastAsia" w:ascii="宋体" w:hAnsi="宋体" w:eastAsia="宋体" w:cs="宋体"/>
                <w:i w:val="0"/>
                <w:iCs w:val="0"/>
                <w:color w:val="000000"/>
                <w:sz w:val="22"/>
                <w:szCs w:val="22"/>
                <w:u w:val="none"/>
              </w:rPr>
            </w:pPr>
          </w:p>
        </w:tc>
        <w:tc>
          <w:tcPr>
            <w:tcW w:w="980" w:type="dxa"/>
            <w:noWrap/>
            <w:vAlign w:val="center"/>
          </w:tcPr>
          <w:p>
            <w:pPr>
              <w:rPr>
                <w:rFonts w:hint="eastAsia" w:ascii="宋体" w:hAnsi="宋体" w:eastAsia="宋体" w:cs="宋体"/>
                <w:i w:val="0"/>
                <w:iCs w:val="0"/>
                <w:color w:val="000000"/>
                <w:sz w:val="22"/>
                <w:szCs w:val="22"/>
                <w:u w:val="none"/>
              </w:rPr>
            </w:pPr>
          </w:p>
        </w:tc>
        <w:tc>
          <w:tcPr>
            <w:tcW w:w="789"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567582.18 </w:t>
            </w:r>
          </w:p>
        </w:tc>
        <w:tc>
          <w:tcPr>
            <w:tcW w:w="725" w:type="dxa"/>
            <w:noWrap/>
            <w:vAlign w:val="center"/>
          </w:tcPr>
          <w:p>
            <w:pPr>
              <w:rPr>
                <w:rFonts w:hint="eastAsia" w:ascii="宋体" w:hAnsi="宋体" w:eastAsia="宋体" w:cs="宋体"/>
                <w:i w:val="0"/>
                <w:iCs w:val="0"/>
                <w:color w:val="000000"/>
                <w:sz w:val="22"/>
                <w:szCs w:val="22"/>
                <w:u w:val="none"/>
              </w:rPr>
            </w:pPr>
          </w:p>
        </w:tc>
        <w:tc>
          <w:tcPr>
            <w:tcW w:w="858" w:type="dxa"/>
            <w:noWrap/>
            <w:vAlign w:val="center"/>
          </w:tcPr>
          <w:p>
            <w:pPr>
              <w:rPr>
                <w:rFonts w:hint="eastAsia" w:ascii="宋体" w:hAnsi="宋体" w:eastAsia="宋体" w:cs="宋体"/>
                <w:i w:val="0"/>
                <w:iCs w:val="0"/>
                <w:color w:val="000000"/>
                <w:sz w:val="22"/>
                <w:szCs w:val="22"/>
                <w:u w:val="none"/>
              </w:rPr>
            </w:pPr>
          </w:p>
        </w:tc>
        <w:tc>
          <w:tcPr>
            <w:tcW w:w="789"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223158.96 </w:t>
            </w:r>
          </w:p>
        </w:tc>
        <w:tc>
          <w:tcPr>
            <w:tcW w:w="725" w:type="dxa"/>
            <w:noWrap/>
            <w:vAlign w:val="center"/>
          </w:tcPr>
          <w:p>
            <w:pPr>
              <w:rPr>
                <w:rFonts w:hint="eastAsia" w:ascii="宋体" w:hAnsi="宋体" w:eastAsia="宋体" w:cs="宋体"/>
                <w:i w:val="0"/>
                <w:iCs w:val="0"/>
                <w:color w:val="000000"/>
                <w:sz w:val="22"/>
                <w:szCs w:val="22"/>
                <w:u w:val="none"/>
              </w:rPr>
            </w:pPr>
          </w:p>
        </w:tc>
        <w:tc>
          <w:tcPr>
            <w:tcW w:w="662" w:type="dxa"/>
            <w:noWrap/>
            <w:vAlign w:val="center"/>
          </w:tcPr>
          <w:p>
            <w:pPr>
              <w:rPr>
                <w:rFonts w:hint="eastAsia" w:ascii="宋体" w:hAnsi="宋体" w:eastAsia="宋体" w:cs="宋体"/>
                <w:i w:val="0"/>
                <w:iCs w:val="0"/>
                <w:color w:val="000000"/>
                <w:sz w:val="22"/>
                <w:szCs w:val="22"/>
                <w:u w:val="none"/>
              </w:rPr>
            </w:pPr>
          </w:p>
        </w:tc>
        <w:tc>
          <w:tcPr>
            <w:tcW w:w="47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1251 </w:t>
            </w:r>
          </w:p>
        </w:tc>
        <w:tc>
          <w:tcPr>
            <w:tcW w:w="45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 </w:t>
            </w:r>
          </w:p>
        </w:tc>
        <w:tc>
          <w:tcPr>
            <w:tcW w:w="45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 </w:t>
            </w:r>
          </w:p>
        </w:tc>
        <w:tc>
          <w:tcPr>
            <w:tcW w:w="83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78824.38 </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5" w:type="dxa"/>
            <w:vMerge w:val="continue"/>
            <w:noWrap/>
            <w:vAlign w:val="center"/>
          </w:tcPr>
          <w:p>
            <w:pPr>
              <w:jc w:val="center"/>
              <w:rPr>
                <w:rFonts w:hint="eastAsia" w:ascii="宋体" w:hAnsi="宋体" w:eastAsia="宋体" w:cs="宋体"/>
                <w:i w:val="0"/>
                <w:iCs w:val="0"/>
                <w:color w:val="000000"/>
                <w:sz w:val="22"/>
                <w:szCs w:val="22"/>
                <w:u w:val="none"/>
              </w:rPr>
            </w:pPr>
          </w:p>
        </w:tc>
        <w:tc>
          <w:tcPr>
            <w:tcW w:w="2631" w:type="dxa"/>
            <w:gridSpan w:val="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道路总面积合计</w:t>
            </w:r>
          </w:p>
        </w:tc>
        <w:tc>
          <w:tcPr>
            <w:tcW w:w="120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869565.52</w:t>
            </w:r>
          </w:p>
        </w:tc>
        <w:tc>
          <w:tcPr>
            <w:tcW w:w="662" w:type="dxa"/>
            <w:noWrap/>
            <w:vAlign w:val="center"/>
          </w:tcPr>
          <w:p>
            <w:pPr>
              <w:rPr>
                <w:rFonts w:hint="eastAsia" w:ascii="宋体" w:hAnsi="宋体" w:eastAsia="宋体" w:cs="宋体"/>
                <w:i w:val="0"/>
                <w:iCs w:val="0"/>
                <w:color w:val="000000"/>
                <w:sz w:val="22"/>
                <w:szCs w:val="22"/>
                <w:u w:val="none"/>
              </w:rPr>
            </w:pPr>
          </w:p>
        </w:tc>
        <w:tc>
          <w:tcPr>
            <w:tcW w:w="98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道路面积合计</w:t>
            </w:r>
          </w:p>
        </w:tc>
        <w:tc>
          <w:tcPr>
            <w:tcW w:w="789"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790741.14 </w:t>
            </w:r>
          </w:p>
        </w:tc>
        <w:tc>
          <w:tcPr>
            <w:tcW w:w="725" w:type="dxa"/>
            <w:noWrap/>
            <w:vAlign w:val="center"/>
          </w:tcPr>
          <w:p>
            <w:pPr>
              <w:rPr>
                <w:rFonts w:hint="eastAsia" w:ascii="宋体" w:hAnsi="宋体" w:eastAsia="宋体" w:cs="宋体"/>
                <w:i w:val="0"/>
                <w:iCs w:val="0"/>
                <w:color w:val="000000"/>
                <w:sz w:val="22"/>
                <w:szCs w:val="22"/>
                <w:u w:val="none"/>
              </w:rPr>
            </w:pPr>
          </w:p>
        </w:tc>
        <w:tc>
          <w:tcPr>
            <w:tcW w:w="858" w:type="dxa"/>
            <w:noWrap/>
            <w:vAlign w:val="center"/>
          </w:tcPr>
          <w:p>
            <w:pPr>
              <w:rPr>
                <w:rFonts w:hint="eastAsia" w:ascii="宋体" w:hAnsi="宋体" w:eastAsia="宋体" w:cs="宋体"/>
                <w:i w:val="0"/>
                <w:iCs w:val="0"/>
                <w:color w:val="000000"/>
                <w:sz w:val="22"/>
                <w:szCs w:val="22"/>
                <w:u w:val="none"/>
              </w:rPr>
            </w:pPr>
          </w:p>
        </w:tc>
        <w:tc>
          <w:tcPr>
            <w:tcW w:w="789" w:type="dxa"/>
            <w:noWrap/>
            <w:vAlign w:val="center"/>
          </w:tcPr>
          <w:p>
            <w:pPr>
              <w:rPr>
                <w:rFonts w:hint="eastAsia" w:ascii="宋体" w:hAnsi="宋体" w:eastAsia="宋体" w:cs="宋体"/>
                <w:i w:val="0"/>
                <w:iCs w:val="0"/>
                <w:color w:val="000000"/>
                <w:sz w:val="22"/>
                <w:szCs w:val="22"/>
                <w:u w:val="none"/>
              </w:rPr>
            </w:pPr>
          </w:p>
        </w:tc>
        <w:tc>
          <w:tcPr>
            <w:tcW w:w="725" w:type="dxa"/>
            <w:noWrap/>
            <w:vAlign w:val="center"/>
          </w:tcPr>
          <w:p>
            <w:pPr>
              <w:rPr>
                <w:rFonts w:hint="eastAsia" w:ascii="宋体" w:hAnsi="宋体" w:eastAsia="宋体" w:cs="宋体"/>
                <w:i w:val="0"/>
                <w:iCs w:val="0"/>
                <w:color w:val="000000"/>
                <w:sz w:val="22"/>
                <w:szCs w:val="22"/>
                <w:u w:val="none"/>
              </w:rPr>
            </w:pPr>
          </w:p>
        </w:tc>
        <w:tc>
          <w:tcPr>
            <w:tcW w:w="662" w:type="dxa"/>
            <w:noWrap/>
            <w:vAlign w:val="center"/>
          </w:tcPr>
          <w:p>
            <w:pPr>
              <w:rPr>
                <w:rFonts w:hint="eastAsia" w:ascii="宋体" w:hAnsi="宋体" w:eastAsia="宋体" w:cs="宋体"/>
                <w:i w:val="0"/>
                <w:iCs w:val="0"/>
                <w:color w:val="000000"/>
                <w:sz w:val="22"/>
                <w:szCs w:val="22"/>
                <w:u w:val="none"/>
              </w:rPr>
            </w:pPr>
          </w:p>
        </w:tc>
        <w:tc>
          <w:tcPr>
            <w:tcW w:w="1383" w:type="dxa"/>
            <w:gridSpan w:val="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路灯盏数：1860盏</w:t>
            </w:r>
          </w:p>
        </w:tc>
        <w:tc>
          <w:tcPr>
            <w:tcW w:w="83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硬质铺装：78824.38平米</w:t>
            </w:r>
          </w:p>
        </w:tc>
        <w:tc>
          <w:tcPr>
            <w:tcW w:w="1012" w:type="dxa"/>
            <w:noWrap/>
            <w:vAlign w:val="center"/>
          </w:tcPr>
          <w:p>
            <w:pPr>
              <w:rPr>
                <w:rFonts w:hint="eastAsia" w:ascii="宋体" w:hAnsi="宋体" w:eastAsia="宋体" w:cs="宋体"/>
                <w:i w:val="0"/>
                <w:iCs w:val="0"/>
                <w:color w:val="000000"/>
                <w:sz w:val="22"/>
                <w:szCs w:val="22"/>
                <w:u w:val="none"/>
              </w:rPr>
            </w:pPr>
          </w:p>
        </w:tc>
        <w:tc>
          <w:tcPr>
            <w:tcW w:w="770" w:type="dxa"/>
            <w:noWrap/>
            <w:vAlign w:val="center"/>
          </w:tcPr>
          <w:p>
            <w:pPr>
              <w:jc w:val="center"/>
              <w:rPr>
                <w:rFonts w:hint="eastAsia" w:ascii="宋体" w:hAnsi="宋体" w:eastAsia="宋体" w:cs="宋体"/>
                <w:i w:val="0"/>
                <w:iCs w:val="0"/>
                <w:color w:val="000000"/>
                <w:sz w:val="22"/>
                <w:szCs w:val="22"/>
                <w:u w:val="none"/>
              </w:rPr>
            </w:pPr>
          </w:p>
        </w:tc>
      </w:tr>
    </w:tbl>
    <w:p>
      <w:pPr>
        <w:rPr>
          <w:rFonts w:hint="eastAsia"/>
          <w:lang w:val="en-US" w:eastAsia="zh-CN"/>
        </w:rPr>
      </w:pPr>
    </w:p>
    <w:p>
      <w:pPr>
        <w:pStyle w:val="2"/>
        <w:rPr>
          <w:rFonts w:hint="eastAsia"/>
          <w:lang w:val="en-US" w:eastAsia="zh-CN"/>
        </w:rPr>
        <w:sectPr>
          <w:pgSz w:w="16838" w:h="11906" w:orient="landscape"/>
          <w:pgMar w:top="1800" w:right="1440" w:bottom="1800" w:left="1440" w:header="851" w:footer="992" w:gutter="0"/>
          <w:pgNumType w:fmt="decimal"/>
          <w:cols w:space="720" w:num="1"/>
          <w:docGrid w:type="lines" w:linePitch="312" w:charSpace="0"/>
        </w:sectPr>
      </w:pPr>
    </w:p>
    <w:p>
      <w:pPr>
        <w:spacing w:line="360" w:lineRule="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附件2</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466"/>
        <w:gridCol w:w="959"/>
        <w:gridCol w:w="798"/>
        <w:gridCol w:w="727"/>
        <w:gridCol w:w="527"/>
        <w:gridCol w:w="678"/>
        <w:gridCol w:w="857"/>
        <w:gridCol w:w="762"/>
        <w:gridCol w:w="967"/>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0" w:type="auto"/>
            <w:gridSpan w:val="11"/>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56"/>
                <w:szCs w:val="56"/>
                <w:u w:val="none"/>
              </w:rPr>
            </w:pPr>
            <w:r>
              <w:rPr>
                <w:rFonts w:hint="default" w:ascii="方正小标宋简体" w:hAnsi="方正小标宋简体" w:eastAsia="方正小标宋简体" w:cs="方正小标宋简体"/>
                <w:i w:val="0"/>
                <w:iCs w:val="0"/>
                <w:color w:val="000000"/>
                <w:kern w:val="0"/>
                <w:sz w:val="56"/>
                <w:szCs w:val="56"/>
                <w:u w:val="none"/>
                <w:lang w:val="en-US" w:eastAsia="zh-CN" w:bidi="ar"/>
              </w:rPr>
              <w:t>犀浦街道城市桥梁明细表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片区</w:t>
            </w:r>
          </w:p>
        </w:tc>
        <w:tc>
          <w:tcPr>
            <w:tcW w:w="0" w:type="auto"/>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桥梁名称</w:t>
            </w:r>
          </w:p>
        </w:tc>
        <w:tc>
          <w:tcPr>
            <w:tcW w:w="798" w:type="dxa"/>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桥梁类型</w:t>
            </w:r>
          </w:p>
        </w:tc>
        <w:tc>
          <w:tcPr>
            <w:tcW w:w="727" w:type="dxa"/>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所在道路名称</w:t>
            </w:r>
          </w:p>
        </w:tc>
        <w:tc>
          <w:tcPr>
            <w:tcW w:w="0" w:type="auto"/>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跨越类型</w:t>
            </w:r>
          </w:p>
        </w:tc>
        <w:tc>
          <w:tcPr>
            <w:tcW w:w="0" w:type="auto"/>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跨越河流或道路名称</w:t>
            </w:r>
          </w:p>
        </w:tc>
        <w:tc>
          <w:tcPr>
            <w:tcW w:w="0" w:type="auto"/>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桥梁总长(m)</w:t>
            </w:r>
          </w:p>
        </w:tc>
        <w:tc>
          <w:tcPr>
            <w:tcW w:w="0" w:type="auto"/>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桥梁总宽(m)</w:t>
            </w:r>
          </w:p>
        </w:tc>
        <w:tc>
          <w:tcPr>
            <w:tcW w:w="0" w:type="auto"/>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桥面面积(㎡)</w:t>
            </w:r>
          </w:p>
        </w:tc>
        <w:tc>
          <w:tcPr>
            <w:tcW w:w="0" w:type="auto"/>
            <w:shd w:val="clear" w:color="auto" w:fill="FFFFFF"/>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restart"/>
            <w:noWrap w:val="0"/>
            <w:vAlign w:val="center"/>
          </w:tcPr>
          <w:p>
            <w:pPr>
              <w:keepNext w:val="0"/>
              <w:keepLines w:val="0"/>
              <w:widowControl/>
              <w:suppressLineNumbers w:val="0"/>
              <w:spacing w:line="240" w:lineRule="auto"/>
              <w:jc w:val="center"/>
              <w:textAlignment w:val="center"/>
              <w:rPr>
                <w:rFonts w:ascii="方正雪炜锐黑 简" w:hAnsi="方正雪炜锐黑 简" w:eastAsia="方正雪炜锐黑 简" w:cs="方正雪炜锐黑 简"/>
                <w:i w:val="0"/>
                <w:iCs w:val="0"/>
                <w:color w:val="000000"/>
                <w:sz w:val="56"/>
                <w:szCs w:val="56"/>
                <w:u w:val="none"/>
              </w:rPr>
            </w:pPr>
            <w:r>
              <w:rPr>
                <w:rFonts w:hint="default" w:ascii="方正雪炜锐黑 简" w:hAnsi="方正雪炜锐黑 简" w:eastAsia="方正雪炜锐黑 简" w:cs="方正雪炜锐黑 简"/>
                <w:i w:val="0"/>
                <w:iCs w:val="0"/>
                <w:color w:val="000000"/>
                <w:kern w:val="0"/>
                <w:sz w:val="48"/>
                <w:szCs w:val="48"/>
                <w:u w:val="none"/>
                <w:lang w:val="en-US" w:eastAsia="zh-CN" w:bidi="ar"/>
              </w:rPr>
              <w:t>犀浦1标段南片区</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泗合桥（恒山北街）</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恒山北街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泗合桥（国宁中街）</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国宁中街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泗合桥（浦发街6号线）</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浦发街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泗合桥（犀湖街）</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犀湖街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泗合桥（岚牌街）</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岚牌街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泗合桥（鑫安驾校）</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晨风路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万福三街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412.36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龙梓路（五粮家园）</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万福二街北段</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华都路东段桥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华都路东段</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金牛支渠</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君临天下桥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金粮路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金牛支渠</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2754.5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西江月</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金粮路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金牛支渠</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成外雅庭</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金粮路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金牛支渠</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成外雅庭</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金粮路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沈家桥沟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外国语学校</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沈家桥沟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天辰路1号桥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天辰路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沈家桥沟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沈家桥沟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两河小区</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两河西路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沈家桥沟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两河西路桥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两河西路与围城路交汇处</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红光右支三斗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42.39</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西区花园桥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红光右支三斗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兴业南街桥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围城路与兴业南街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红光右支三斗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玉龙综合市场</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红光右支三斗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江西街</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红光右支三斗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西藏卫生厅</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红光右支三斗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179.08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浦兴街</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围城路与浦兴街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红光右支三斗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恒山南街</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围城路与恒山南街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红光右支三斗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泰山南街</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围城路与泰山南街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红光右支三斗</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15"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28座</w:t>
            </w:r>
          </w:p>
        </w:tc>
        <w:tc>
          <w:tcPr>
            <w:tcW w:w="727" w:type="dxa"/>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restart"/>
            <w:noWrap w:val="0"/>
            <w:vAlign w:val="center"/>
          </w:tcPr>
          <w:p>
            <w:pPr>
              <w:keepNext w:val="0"/>
              <w:keepLines w:val="0"/>
              <w:widowControl/>
              <w:suppressLineNumbers w:val="0"/>
              <w:spacing w:line="240" w:lineRule="auto"/>
              <w:jc w:val="center"/>
              <w:textAlignment w:val="center"/>
              <w:rPr>
                <w:rFonts w:hint="default" w:ascii="方正雪炜锐黑 简" w:hAnsi="方正雪炜锐黑 简" w:eastAsia="方正雪炜锐黑 简" w:cs="方正雪炜锐黑 简"/>
                <w:i w:val="0"/>
                <w:iCs w:val="0"/>
                <w:color w:val="000000"/>
                <w:sz w:val="56"/>
                <w:szCs w:val="56"/>
                <w:u w:val="none"/>
              </w:rPr>
            </w:pPr>
            <w:r>
              <w:rPr>
                <w:rFonts w:hint="default" w:ascii="方正雪炜锐黑 简" w:hAnsi="方正雪炜锐黑 简" w:eastAsia="方正雪炜锐黑 简" w:cs="方正雪炜锐黑 简"/>
                <w:i w:val="0"/>
                <w:iCs w:val="0"/>
                <w:color w:val="000000"/>
                <w:kern w:val="0"/>
                <w:sz w:val="48"/>
                <w:szCs w:val="48"/>
                <w:u w:val="none"/>
                <w:lang w:val="en-US" w:eastAsia="zh-CN" w:bidi="ar"/>
              </w:rPr>
              <w:t>犀浦</w:t>
            </w:r>
            <w:r>
              <w:rPr>
                <w:rFonts w:hint="eastAsia" w:ascii="方正雪炜锐黑 简" w:hAnsi="方正雪炜锐黑 简" w:eastAsia="方正雪炜锐黑 简" w:cs="方正雪炜锐黑 简"/>
                <w:i w:val="0"/>
                <w:iCs w:val="0"/>
                <w:color w:val="000000"/>
                <w:kern w:val="0"/>
                <w:sz w:val="48"/>
                <w:szCs w:val="48"/>
                <w:u w:val="none"/>
                <w:lang w:val="en-US" w:eastAsia="zh-CN" w:bidi="ar"/>
              </w:rPr>
              <w:t>2</w:t>
            </w:r>
            <w:r>
              <w:rPr>
                <w:rFonts w:hint="default" w:ascii="方正雪炜锐黑 简" w:hAnsi="方正雪炜锐黑 简" w:eastAsia="方正雪炜锐黑 简" w:cs="方正雪炜锐黑 简"/>
                <w:i w:val="0"/>
                <w:iCs w:val="0"/>
                <w:color w:val="000000"/>
                <w:kern w:val="0"/>
                <w:sz w:val="48"/>
                <w:szCs w:val="48"/>
                <w:u w:val="none"/>
                <w:lang w:val="en-US" w:eastAsia="zh-CN" w:bidi="ar"/>
              </w:rPr>
              <w:t>标段</w:t>
            </w:r>
            <w:r>
              <w:rPr>
                <w:rFonts w:hint="eastAsia" w:ascii="方正雪炜锐黑 简" w:hAnsi="方正雪炜锐黑 简" w:eastAsia="方正雪炜锐黑 简" w:cs="方正雪炜锐黑 简"/>
                <w:i w:val="0"/>
                <w:iCs w:val="0"/>
                <w:color w:val="000000"/>
                <w:kern w:val="0"/>
                <w:sz w:val="48"/>
                <w:szCs w:val="48"/>
                <w:u w:val="none"/>
                <w:lang w:val="en-US" w:eastAsia="zh-CN" w:bidi="ar"/>
              </w:rPr>
              <w:t>北</w:t>
            </w:r>
            <w:r>
              <w:rPr>
                <w:rFonts w:hint="default" w:ascii="方正雪炜锐黑 简" w:hAnsi="方正雪炜锐黑 简" w:eastAsia="方正雪炜锐黑 简" w:cs="方正雪炜锐黑 简"/>
                <w:i w:val="0"/>
                <w:iCs w:val="0"/>
                <w:color w:val="000000"/>
                <w:kern w:val="0"/>
                <w:sz w:val="48"/>
                <w:szCs w:val="48"/>
                <w:u w:val="none"/>
                <w:lang w:val="en-US" w:eastAsia="zh-CN" w:bidi="ar"/>
              </w:rPr>
              <w:t>片区</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玉龙桥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犀团路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沱江河桥（交医养老院桥）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吉楠路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沱江1号桥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沱江2号桥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犀方路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沱江3号桥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天府路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沱江河（犀安路桥）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犀安路</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沱江河锦苑三期桥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沱江河公园桥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沱江河</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泗合桥（泰迪熊乐园）</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华都路东段</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龙吟路（幸福满庭）</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356.7</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福梓西街（宇众悦府旁）</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241.11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华都大道中段</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泗合桥</w:t>
            </w:r>
          </w:p>
        </w:tc>
        <w:tc>
          <w:tcPr>
            <w:tcW w:w="79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w:t>
            </w:r>
          </w:p>
        </w:tc>
        <w:tc>
          <w:tcPr>
            <w:tcW w:w="727"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福梓路（四季合能旁）</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跨河桥</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泗河桥沟</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0" w:type="auto"/>
            <w:vMerge w:val="continue"/>
            <w:noWrap w:val="0"/>
            <w:vAlign w:val="center"/>
          </w:tcPr>
          <w:p>
            <w:pPr>
              <w:spacing w:line="240" w:lineRule="auto"/>
              <w:jc w:val="center"/>
              <w:rPr>
                <w:rFonts w:hint="default" w:ascii="方正雪炜锐黑 简" w:hAnsi="方正雪炜锐黑 简" w:eastAsia="方正雪炜锐黑 简" w:cs="方正雪炜锐黑 简"/>
                <w:i w:val="0"/>
                <w:iCs w:val="0"/>
                <w:color w:val="000000"/>
                <w:sz w:val="56"/>
                <w:szCs w:val="56"/>
                <w:u w:val="none"/>
              </w:rPr>
            </w:pPr>
          </w:p>
        </w:tc>
        <w:tc>
          <w:tcPr>
            <w:tcW w:w="0" w:type="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15" w:type="dxa"/>
            <w:gridSpan w:val="2"/>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14座</w:t>
            </w:r>
          </w:p>
        </w:tc>
        <w:tc>
          <w:tcPr>
            <w:tcW w:w="727" w:type="dxa"/>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noWrap w:val="0"/>
            <w:vAlign w:val="center"/>
          </w:tcPr>
          <w:p>
            <w:pPr>
              <w:spacing w:line="240" w:lineRule="auto"/>
              <w:jc w:val="center"/>
              <w:rPr>
                <w:rFonts w:hint="eastAsia" w:ascii="宋体" w:hAnsi="宋体" w:eastAsia="宋体" w:cs="宋体"/>
                <w:i w:val="0"/>
                <w:iCs w:val="0"/>
                <w:color w:val="000000"/>
                <w:sz w:val="22"/>
                <w:szCs w:val="22"/>
                <w:u w:val="none"/>
              </w:rPr>
            </w:pPr>
          </w:p>
        </w:tc>
      </w:tr>
    </w:tbl>
    <w:p>
      <w:pPr>
        <w:spacing w:line="360" w:lineRule="auto"/>
        <w:outlineLvl w:val="9"/>
        <w:rPr>
          <w:rFonts w:hint="eastAsia" w:ascii="宋体" w:hAnsi="宋体" w:eastAsia="宋体" w:cs="宋体"/>
          <w:b/>
          <w:bCs/>
          <w:color w:val="auto"/>
          <w:sz w:val="24"/>
          <w:szCs w:val="24"/>
          <w:highlight w:val="none"/>
          <w:lang w:val="en-US" w:eastAsia="zh-CN"/>
        </w:rPr>
      </w:pPr>
    </w:p>
    <w:p>
      <w:pPr>
        <w:spacing w:line="360" w:lineRule="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附件3</w:t>
      </w:r>
    </w:p>
    <w:p>
      <w:pPr>
        <w:pStyle w:val="36"/>
        <w:spacing w:line="640" w:lineRule="exact"/>
        <w:jc w:val="center"/>
        <w:rPr>
          <w:rFonts w:ascii="方正小标宋简体" w:hAnsi="方正仿宋简体" w:eastAsia="方正小标宋简体" w:cs="方正仿宋简体"/>
          <w:color w:val="auto"/>
          <w:sz w:val="44"/>
          <w:szCs w:val="44"/>
        </w:rPr>
      </w:pPr>
      <w:r>
        <w:rPr>
          <w:rFonts w:hint="eastAsia" w:ascii="方正小标宋简体" w:hAnsi="方正仿宋简体" w:eastAsia="方正小标宋简体" w:cs="方正仿宋简体"/>
          <w:color w:val="auto"/>
          <w:sz w:val="44"/>
          <w:szCs w:val="44"/>
        </w:rPr>
        <w:t>成都市郫都区</w:t>
      </w:r>
      <w:r>
        <w:rPr>
          <w:rFonts w:hint="eastAsia" w:ascii="方正小标宋简体" w:hAnsi="方正仿宋简体" w:eastAsia="方正小标宋简体" w:cs="方正仿宋简体"/>
          <w:color w:val="auto"/>
          <w:sz w:val="44"/>
          <w:szCs w:val="44"/>
          <w:lang w:eastAsia="zh-CN"/>
        </w:rPr>
        <w:t>综合行政执法</w:t>
      </w:r>
      <w:r>
        <w:rPr>
          <w:rFonts w:hint="eastAsia" w:ascii="方正小标宋简体" w:hAnsi="方正仿宋简体" w:eastAsia="方正小标宋简体" w:cs="方正仿宋简体"/>
          <w:color w:val="auto"/>
          <w:sz w:val="44"/>
          <w:szCs w:val="44"/>
        </w:rPr>
        <w:t>局</w:t>
      </w:r>
    </w:p>
    <w:p>
      <w:pPr>
        <w:pStyle w:val="36"/>
        <w:spacing w:line="640" w:lineRule="exact"/>
        <w:jc w:val="center"/>
        <w:rPr>
          <w:rFonts w:ascii="方正小标宋简体" w:hAnsi="方正仿宋简体" w:eastAsia="方正小标宋简体" w:cs="方正仿宋简体"/>
          <w:color w:val="auto"/>
          <w:sz w:val="44"/>
          <w:szCs w:val="44"/>
        </w:rPr>
      </w:pPr>
      <w:r>
        <w:rPr>
          <w:rFonts w:hint="eastAsia" w:ascii="方正小标宋简体" w:hAnsi="方正仿宋简体" w:eastAsia="方正小标宋简体" w:cs="方正仿宋简体"/>
          <w:color w:val="auto"/>
          <w:sz w:val="44"/>
          <w:szCs w:val="44"/>
        </w:rPr>
        <w:t>城市道路</w:t>
      </w:r>
      <w:r>
        <w:rPr>
          <w:rFonts w:hint="eastAsia" w:ascii="方正小标宋简体" w:hAnsi="宋体" w:eastAsia="方正小标宋简体"/>
          <w:color w:val="auto"/>
          <w:sz w:val="44"/>
          <w:szCs w:val="44"/>
        </w:rPr>
        <w:t>社会化养护管理</w:t>
      </w:r>
      <w:r>
        <w:rPr>
          <w:rFonts w:hint="eastAsia" w:ascii="方正小标宋简体" w:hAnsi="方正仿宋简体" w:eastAsia="方正小标宋简体" w:cs="方正仿宋简体"/>
          <w:color w:val="auto"/>
          <w:sz w:val="44"/>
          <w:szCs w:val="44"/>
        </w:rPr>
        <w:t>考核办法</w:t>
      </w:r>
    </w:p>
    <w:p>
      <w:pPr>
        <w:widowControl/>
        <w:spacing w:line="570" w:lineRule="exact"/>
        <w:ind w:firstLine="640" w:firstLineChars="200"/>
        <w:rPr>
          <w:rFonts w:ascii="黑体" w:eastAsia="黑体"/>
          <w:color w:val="auto"/>
          <w:sz w:val="32"/>
          <w:szCs w:val="32"/>
        </w:rPr>
      </w:pPr>
    </w:p>
    <w:p>
      <w:pPr>
        <w:spacing w:line="360" w:lineRule="auto"/>
        <w:ind w:firstLine="627" w:firstLineChars="196"/>
        <w:rPr>
          <w:rFonts w:ascii="黑体" w:eastAsia="黑体"/>
          <w:color w:val="auto"/>
          <w:sz w:val="32"/>
          <w:szCs w:val="32"/>
        </w:rPr>
      </w:pPr>
      <w:r>
        <w:rPr>
          <w:rFonts w:hint="eastAsia" w:ascii="黑体" w:eastAsia="黑体"/>
          <w:color w:val="auto"/>
          <w:sz w:val="32"/>
          <w:szCs w:val="32"/>
        </w:rPr>
        <w:t>一、考核依据</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《城镇道路养护技术规范》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CJJ 36-2016</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《城市道路工程设计规范》CJJ37-2012</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《城镇道路工程施工与质量验收规范》（CJJ1-20</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《无障碍设计规范》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GB50763-2012</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《无障碍设施施工验收及维护规范》GB50642-2011</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公路隧道养护技术规范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JTG H12-2015</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《公路工程技术标准》（JTG B01-2014）</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《公路养护技术规范》（JTG H10-2009）</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《公路工程名词术语》（JTJ002-1987）</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《公路养护安全作业规程》（JTG H30-2015）</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《道路交通标志和标线》GB5768-2009</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成都市道路指路标志系统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DB510100/T129.2-2013</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《成都市城市道路养护维修规范化操作规程》（</w:t>
      </w:r>
      <w:r>
        <w:rPr>
          <w:rFonts w:hint="eastAsia" w:ascii="仿宋_GB2312" w:hAnsi="仿宋_GB2312" w:eastAsia="仿宋_GB2312" w:cs="仿宋_GB2312"/>
          <w:color w:val="auto"/>
          <w:sz w:val="32"/>
          <w:szCs w:val="32"/>
          <w:lang w:val="en-US" w:eastAsia="zh-CN"/>
        </w:rPr>
        <w:t>2014版</w:t>
      </w:r>
      <w:r>
        <w:rPr>
          <w:rFonts w:hint="eastAsia" w:ascii="仿宋_GB2312" w:hAnsi="仿宋_GB2312" w:eastAsia="仿宋_GB2312" w:cs="仿宋_GB2312"/>
          <w:color w:val="auto"/>
          <w:sz w:val="32"/>
          <w:szCs w:val="32"/>
          <w:lang w:eastAsia="zh-CN"/>
        </w:rPr>
        <w:t>）</w:t>
      </w:r>
    </w:p>
    <w:p>
      <w:pPr>
        <w:spacing w:line="360" w:lineRule="auto"/>
        <w:ind w:firstLine="627" w:firstLineChars="196"/>
        <w:rPr>
          <w:rFonts w:ascii="黑体" w:eastAsia="黑体"/>
          <w:color w:val="auto"/>
          <w:sz w:val="32"/>
          <w:szCs w:val="32"/>
        </w:rPr>
      </w:pPr>
      <w:r>
        <w:rPr>
          <w:rFonts w:hint="eastAsia" w:ascii="黑体" w:eastAsia="黑体"/>
          <w:color w:val="auto"/>
          <w:sz w:val="32"/>
          <w:szCs w:val="32"/>
        </w:rPr>
        <w:t>二、考核对象</w:t>
      </w:r>
    </w:p>
    <w:p>
      <w:pPr>
        <w:spacing w:line="360" w:lineRule="auto"/>
        <w:ind w:firstLine="660"/>
        <w:rPr>
          <w:rFonts w:ascii="仿宋_GB2312" w:eastAsia="仿宋_GB2312"/>
          <w:color w:val="auto"/>
          <w:sz w:val="32"/>
          <w:szCs w:val="32"/>
        </w:rPr>
      </w:pPr>
      <w:r>
        <w:rPr>
          <w:rFonts w:hint="eastAsia" w:ascii="仿宋_GB2312" w:eastAsia="仿宋_GB2312"/>
          <w:color w:val="auto"/>
          <w:sz w:val="32"/>
          <w:szCs w:val="32"/>
        </w:rPr>
        <w:t>本办法适用于受成都市郫都区</w:t>
      </w:r>
      <w:r>
        <w:rPr>
          <w:rFonts w:hint="eastAsia" w:ascii="仿宋_GB2312" w:eastAsia="仿宋_GB2312"/>
          <w:color w:val="auto"/>
          <w:sz w:val="32"/>
          <w:szCs w:val="32"/>
          <w:lang w:eastAsia="zh-CN"/>
        </w:rPr>
        <w:t>综合行政执法</w:t>
      </w:r>
      <w:r>
        <w:rPr>
          <w:rFonts w:hint="eastAsia" w:ascii="仿宋_GB2312" w:eastAsia="仿宋_GB2312"/>
          <w:color w:val="auto"/>
          <w:sz w:val="32"/>
          <w:szCs w:val="32"/>
        </w:rPr>
        <w:t>局委托从事城市道路</w:t>
      </w:r>
      <w:r>
        <w:rPr>
          <w:rFonts w:hint="eastAsia" w:ascii="仿宋_GB2312" w:eastAsia="仿宋_GB2312"/>
          <w:color w:val="auto"/>
          <w:sz w:val="32"/>
          <w:szCs w:val="32"/>
          <w:lang w:eastAsia="zh-CN"/>
        </w:rPr>
        <w:t>（含</w:t>
      </w:r>
      <w:r>
        <w:rPr>
          <w:rFonts w:hint="eastAsia" w:ascii="仿宋_GB2312" w:eastAsia="仿宋_GB2312"/>
          <w:color w:val="auto"/>
          <w:sz w:val="32"/>
          <w:szCs w:val="32"/>
        </w:rPr>
        <w:t>人行道</w:t>
      </w:r>
      <w:r>
        <w:rPr>
          <w:rFonts w:hint="eastAsia" w:ascii="仿宋_GB2312" w:eastAsia="仿宋_GB2312"/>
          <w:color w:val="auto"/>
          <w:sz w:val="32"/>
          <w:szCs w:val="32"/>
          <w:lang w:eastAsia="zh-CN"/>
        </w:rPr>
        <w:t>、公园绿地硬质铺装等</w:t>
      </w:r>
      <w:r>
        <w:rPr>
          <w:rFonts w:hint="eastAsia" w:ascii="仿宋_GB2312" w:eastAsia="仿宋_GB2312"/>
          <w:color w:val="auto"/>
          <w:sz w:val="32"/>
          <w:szCs w:val="32"/>
        </w:rPr>
        <w:t>）及</w:t>
      </w:r>
      <w:r>
        <w:rPr>
          <w:rFonts w:hint="eastAsia" w:ascii="仿宋_GB2312" w:eastAsia="仿宋_GB2312"/>
          <w:color w:val="auto"/>
          <w:sz w:val="32"/>
          <w:szCs w:val="32"/>
          <w:lang w:eastAsia="zh-CN"/>
        </w:rPr>
        <w:t>其</w:t>
      </w:r>
      <w:r>
        <w:rPr>
          <w:rFonts w:hint="eastAsia" w:ascii="仿宋_GB2312" w:eastAsia="仿宋_GB2312"/>
          <w:color w:val="auto"/>
          <w:sz w:val="32"/>
          <w:szCs w:val="32"/>
        </w:rPr>
        <w:t>附属市政设施</w:t>
      </w:r>
      <w:r>
        <w:rPr>
          <w:rFonts w:hint="eastAsia" w:ascii="仿宋_GB2312" w:eastAsia="仿宋_GB2312"/>
          <w:color w:val="auto"/>
          <w:sz w:val="32"/>
          <w:szCs w:val="32"/>
          <w:lang w:eastAsia="zh-CN"/>
        </w:rPr>
        <w:t>养护</w:t>
      </w:r>
      <w:r>
        <w:rPr>
          <w:rFonts w:hint="eastAsia" w:ascii="仿宋_GB2312" w:eastAsia="仿宋_GB2312"/>
          <w:color w:val="auto"/>
          <w:sz w:val="32"/>
          <w:szCs w:val="32"/>
        </w:rPr>
        <w:t>作业单位的日常作业情况的检查、考核工作。</w:t>
      </w:r>
    </w:p>
    <w:p>
      <w:pPr>
        <w:spacing w:line="360" w:lineRule="auto"/>
        <w:ind w:firstLine="627" w:firstLineChars="196"/>
        <w:rPr>
          <w:rFonts w:ascii="黑体" w:eastAsia="黑体"/>
          <w:color w:val="auto"/>
          <w:sz w:val="32"/>
          <w:szCs w:val="32"/>
        </w:rPr>
      </w:pPr>
      <w:r>
        <w:rPr>
          <w:rFonts w:hint="eastAsia" w:ascii="黑体" w:eastAsia="黑体"/>
          <w:color w:val="auto"/>
          <w:sz w:val="32"/>
          <w:szCs w:val="32"/>
        </w:rPr>
        <w:t>三、考核项目及内容</w:t>
      </w:r>
    </w:p>
    <w:p>
      <w:pPr>
        <w:tabs>
          <w:tab w:val="left" w:pos="2940"/>
        </w:tabs>
        <w:spacing w:line="360" w:lineRule="auto"/>
        <w:ind w:firstLine="480" w:firstLineChars="150"/>
        <w:rPr>
          <w:rFonts w:ascii="仿宋_GB2312" w:eastAsia="仿宋_GB2312"/>
          <w:color w:val="auto"/>
          <w:sz w:val="32"/>
          <w:szCs w:val="32"/>
        </w:rPr>
      </w:pPr>
      <w:r>
        <w:rPr>
          <w:rFonts w:hint="eastAsia" w:ascii="楷体_GB2312" w:eastAsia="楷体_GB2312"/>
          <w:color w:val="auto"/>
          <w:sz w:val="32"/>
          <w:szCs w:val="32"/>
        </w:rPr>
        <w:t>（一）日常巡查考核（代表符号X）</w:t>
      </w:r>
      <w:r>
        <w:rPr>
          <w:rFonts w:hint="eastAsia" w:ascii="仿宋_GB2312" w:eastAsia="仿宋_GB2312"/>
          <w:color w:val="auto"/>
          <w:sz w:val="32"/>
          <w:szCs w:val="32"/>
        </w:rPr>
        <w:t>：各道路必须按标准配置相应的巡查人员，并将责任落实到个人，及时发现问题并记录，及时通知相关单位人员进行处置。</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5040"/>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考核</w:t>
            </w:r>
          </w:p>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项目</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考核内容</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巡查人员配置</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按</w:t>
            </w:r>
            <w:r>
              <w:rPr>
                <w:rFonts w:hint="eastAsia" w:ascii="仿宋_GB2312" w:eastAsia="仿宋_GB2312"/>
                <w:color w:val="auto"/>
                <w:lang w:eastAsia="zh-CN"/>
              </w:rPr>
              <w:t>合同要求</w:t>
            </w:r>
            <w:r>
              <w:rPr>
                <w:rFonts w:hint="eastAsia" w:ascii="仿宋_GB2312" w:eastAsia="仿宋_GB2312"/>
                <w:color w:val="auto"/>
              </w:rPr>
              <w:t>配足巡查人员。</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未按要求配足人员每缺</w:t>
            </w:r>
            <w:r>
              <w:rPr>
                <w:rFonts w:hint="eastAsia" w:ascii="仿宋_GB2312" w:eastAsia="仿宋_GB2312"/>
                <w:color w:val="auto"/>
                <w:lang w:eastAsia="zh-CN"/>
              </w:rPr>
              <w:t>少</w:t>
            </w:r>
            <w:r>
              <w:rPr>
                <w:rFonts w:hint="eastAsia" w:ascii="仿宋_GB2312" w:eastAsia="仿宋_GB2312"/>
                <w:color w:val="auto"/>
              </w:rPr>
              <w:t>1人扣</w:t>
            </w:r>
            <w:r>
              <w:rPr>
                <w:rFonts w:hint="eastAsia" w:ascii="仿宋_GB2312" w:eastAsia="仿宋_GB2312"/>
                <w:color w:val="auto"/>
                <w:lang w:val="en-US" w:eastAsia="zh-CN"/>
              </w:rPr>
              <w:t>10</w:t>
            </w:r>
            <w:r>
              <w:rPr>
                <w:rFonts w:hint="eastAsia" w:ascii="仿宋_GB2312" w:eastAsia="仿宋_GB2312"/>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巡查责任落实</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巡查责任必须落实到个人，中心城区及重要路段必须进行步行巡查，要求做到定人、定路段、定时间进行巡查。</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未达到本条要求者，每</w:t>
            </w:r>
            <w:r>
              <w:rPr>
                <w:rFonts w:hint="eastAsia" w:ascii="仿宋_GB2312" w:eastAsia="仿宋_GB2312"/>
                <w:color w:val="auto"/>
                <w:lang w:eastAsia="zh-CN"/>
              </w:rPr>
              <w:t>发现一次</w:t>
            </w:r>
            <w:r>
              <w:rPr>
                <w:rFonts w:hint="eastAsia" w:ascii="仿宋_GB2312" w:eastAsia="仿宋_GB2312"/>
                <w:color w:val="auto"/>
              </w:rPr>
              <w:t>扣</w:t>
            </w:r>
            <w:r>
              <w:rPr>
                <w:rFonts w:hint="eastAsia" w:ascii="仿宋_GB2312" w:eastAsia="仿宋_GB2312"/>
                <w:color w:val="auto"/>
                <w:lang w:val="en-US" w:eastAsia="zh-CN"/>
              </w:rPr>
              <w:t>3</w:t>
            </w:r>
            <w:r>
              <w:rPr>
                <w:rFonts w:hint="eastAsia" w:ascii="仿宋_GB2312" w:eastAsia="仿宋_GB2312"/>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汛期</w:t>
            </w:r>
          </w:p>
          <w:p>
            <w:pPr>
              <w:spacing w:line="320" w:lineRule="exact"/>
              <w:jc w:val="center"/>
              <w:rPr>
                <w:rFonts w:ascii="仿宋_GB2312" w:eastAsia="仿宋_GB2312"/>
                <w:color w:val="auto"/>
              </w:rPr>
            </w:pPr>
            <w:r>
              <w:rPr>
                <w:rFonts w:hint="eastAsia" w:ascii="仿宋_GB2312" w:eastAsia="仿宋_GB2312"/>
                <w:color w:val="auto"/>
              </w:rPr>
              <w:t>巡查</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汛期防汛巡查遇大、暴雨半小时后巡查员应将各负责巡查片区的基本状况</w:t>
            </w:r>
            <w:r>
              <w:rPr>
                <w:rFonts w:hint="eastAsia" w:ascii="仿宋_GB2312" w:eastAsia="仿宋_GB2312"/>
                <w:color w:val="auto"/>
                <w:lang w:eastAsia="zh-CN"/>
              </w:rPr>
              <w:t>巡查完毕，并</w:t>
            </w:r>
            <w:r>
              <w:rPr>
                <w:rFonts w:hint="eastAsia" w:ascii="仿宋_GB2312" w:eastAsia="仿宋_GB2312"/>
                <w:color w:val="auto"/>
              </w:rPr>
              <w:t>报知维护管理单位相关负责人。</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未达到本条要求者，每次扣</w:t>
            </w:r>
            <w:r>
              <w:rPr>
                <w:rFonts w:hint="eastAsia" w:ascii="仿宋_GB2312" w:eastAsia="仿宋_GB2312"/>
                <w:color w:val="auto"/>
                <w:lang w:val="en-US" w:eastAsia="zh-CN"/>
              </w:rPr>
              <w:t>5</w:t>
            </w:r>
            <w:r>
              <w:rPr>
                <w:rFonts w:hint="eastAsia" w:ascii="仿宋_GB2312" w:eastAsia="仿宋_GB2312"/>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巡查问题发现</w:t>
            </w:r>
          </w:p>
        </w:tc>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巡查应及时发现病害问题记录，并上报列入维修计划。</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olor w:val="auto"/>
                <w:lang w:val="en-US" w:eastAsia="zh-CN"/>
              </w:rPr>
            </w:pPr>
            <w:r>
              <w:rPr>
                <w:rFonts w:hint="eastAsia" w:ascii="仿宋_GB2312" w:eastAsia="仿宋_GB2312"/>
                <w:color w:val="auto"/>
                <w:lang w:eastAsia="zh-CN"/>
              </w:rPr>
              <w:t>未</w:t>
            </w:r>
            <w:r>
              <w:rPr>
                <w:rFonts w:hint="eastAsia" w:ascii="仿宋_GB2312" w:eastAsia="仿宋_GB2312"/>
                <w:color w:val="auto"/>
              </w:rPr>
              <w:t>达到本条要求者</w:t>
            </w:r>
            <w:r>
              <w:rPr>
                <w:rFonts w:hint="eastAsia" w:ascii="仿宋_GB2312" w:eastAsia="仿宋_GB2312"/>
                <w:color w:val="auto"/>
                <w:lang w:eastAsia="zh-CN"/>
              </w:rPr>
              <w:t>，每处扣</w:t>
            </w:r>
            <w:r>
              <w:rPr>
                <w:rFonts w:hint="eastAsia" w:ascii="仿宋_GB2312" w:eastAsia="仿宋_GB2312"/>
                <w:color w:val="auto"/>
                <w:lang w:val="en-US" w:eastAsia="zh-CN"/>
              </w:rPr>
              <w:t>1分。</w:t>
            </w:r>
          </w:p>
        </w:tc>
      </w:tr>
    </w:tbl>
    <w:p>
      <w:pPr>
        <w:tabs>
          <w:tab w:val="left" w:pos="2940"/>
        </w:tabs>
        <w:spacing w:line="590" w:lineRule="exact"/>
        <w:ind w:firstLine="480" w:firstLineChars="150"/>
        <w:rPr>
          <w:rFonts w:ascii="仿宋_GB2312" w:eastAsia="仿宋_GB2312"/>
          <w:color w:val="auto"/>
          <w:sz w:val="32"/>
          <w:szCs w:val="32"/>
        </w:rPr>
      </w:pPr>
      <w:r>
        <w:rPr>
          <w:rFonts w:hint="eastAsia" w:ascii="楷体_GB2312" w:eastAsia="楷体_GB2312"/>
          <w:color w:val="auto"/>
          <w:sz w:val="32"/>
          <w:szCs w:val="32"/>
        </w:rPr>
        <w:t>（二）道路现场检查(代表符号Y)</w:t>
      </w:r>
      <w:r>
        <w:rPr>
          <w:rFonts w:hint="eastAsia" w:ascii="仿宋_GB2312" w:eastAsia="仿宋_GB2312"/>
          <w:color w:val="auto"/>
          <w:sz w:val="32"/>
          <w:szCs w:val="32"/>
        </w:rPr>
        <w:t>：路面平整，无明显沉陷、破碎、错台、拥包、积水，构件无缺损等病害。</w:t>
      </w:r>
    </w:p>
    <w:p>
      <w:pPr>
        <w:spacing w:line="590" w:lineRule="exact"/>
        <w:rPr>
          <w:rFonts w:ascii="仿宋_GB2312" w:eastAsia="仿宋_GB2312"/>
          <w:color w:val="auto"/>
          <w:sz w:val="32"/>
          <w:szCs w:val="32"/>
        </w:rPr>
      </w:pPr>
      <w:r>
        <w:rPr>
          <w:rFonts w:hint="eastAsia" w:ascii="仿宋_GB2312" w:eastAsia="仿宋_GB2312"/>
          <w:b/>
          <w:bCs/>
          <w:color w:val="auto"/>
          <w:sz w:val="32"/>
          <w:szCs w:val="32"/>
        </w:rPr>
        <w:t xml:space="preserve">    </w:t>
      </w:r>
      <w:r>
        <w:rPr>
          <w:rFonts w:hint="eastAsia" w:ascii="仿宋_GB2312" w:eastAsia="仿宋_GB2312"/>
          <w:color w:val="auto"/>
          <w:sz w:val="32"/>
          <w:szCs w:val="32"/>
        </w:rPr>
        <w:t>1．车行道路面病害类型及检查标准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98"/>
        <w:gridCol w:w="4942"/>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序号</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项目</w:t>
            </w:r>
          </w:p>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名称</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590" w:lineRule="exact"/>
              <w:ind w:firstLine="420" w:firstLineChars="150"/>
              <w:jc w:val="center"/>
              <w:rPr>
                <w:rFonts w:ascii="仿宋_GB2312" w:eastAsia="仿宋_GB2312"/>
                <w:color w:val="auto"/>
                <w:sz w:val="28"/>
                <w:szCs w:val="28"/>
              </w:rPr>
            </w:pPr>
            <w:r>
              <w:rPr>
                <w:rFonts w:hint="eastAsia" w:ascii="仿宋_GB2312" w:eastAsia="仿宋_GB2312"/>
                <w:color w:val="auto"/>
                <w:sz w:val="28"/>
                <w:szCs w:val="28"/>
              </w:rPr>
              <w:t>标准范围及计量单位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维护期限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裂缝</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裂缝宽度大于10mm且未处理，按裂缝长*0.2(m)计量。单位：m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发现问题后1天处理完毕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2</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碎裂</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开裂成网状，碎块直径小于300mm，按其外边界线长(m) ×宽(m)计量。单位：m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发现问题后2天处理完毕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坑函</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路面材料松散脱落成函，深度大于25mm，面积大于0.04 m</w:t>
            </w:r>
            <w:r>
              <w:rPr>
                <w:rFonts w:hint="eastAsia" w:ascii="仿宋_GB2312" w:eastAsia="仿宋_GB2312"/>
                <w:color w:val="auto"/>
                <w:vertAlign w:val="superscript"/>
              </w:rPr>
              <w:t>2</w:t>
            </w:r>
            <w:r>
              <w:rPr>
                <w:rFonts w:hint="eastAsia" w:ascii="仿宋_GB2312" w:eastAsia="仿宋_GB2312"/>
                <w:color w:val="auto"/>
              </w:rPr>
              <w:t>。按长(m) ×宽(m)计量。单位：m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发现问题后2天处理完毕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4</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松散</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路面材料呈松散状。按长(m) ×宽(m)计量。单位：m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发现问题后4天处理完毕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5</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脱皮</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路面混凝土表层、保护层或封面脱落，其深度小于25mm，按长(m) ×宽(m)计量。单位：m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发现问题后2天处理完毕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6</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沉陷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路面局部下沉，包括掘路修补后下沉，在3m直尺范围内，沉陷深度大于30mm。按长(m) ×宽(m)计量。单位：m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发现问题后3天处理完毕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7</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拥包</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路面局部隆起，在1m范围内，隆起高度大于20mm。按长(m) ×宽(m)计量。单位：m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发现问题后3天处理完毕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8</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井周沉 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路面与井座高差大于15mm。按周长(m) ×宽(m)0.2（m）计量。单位：m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发现问题后3天处理完毕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9</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车辙</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面层磨损过度及结构层变形而形成的车槽，以3m直尺横向量测深大于30mm时，按辙长(m) ×轮迹全宽(m)计量。单位：m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发现问题后4天处理完毕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错台</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水泥混凝土路面在纵、横缝处或与沥青路面接茬处的竖向高差大于15mm。按错台长(m) ×0.2宽(m)计量。单位：m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发现问题后5天处理完毕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11</w:t>
            </w:r>
          </w:p>
        </w:tc>
        <w:tc>
          <w:tcPr>
            <w:tcW w:w="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烂边啃 边</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路面边缘材料剥落、破损或形成坑函，宽度大于40mm，长度大于0.1m。按长(m) ×宽(m)计量。单位：m</w:t>
            </w:r>
            <w:r>
              <w:rPr>
                <w:rFonts w:hint="eastAsia" w:ascii="仿宋_GB2312" w:eastAsia="仿宋_GB2312"/>
                <w:color w:val="auto"/>
                <w:vertAlign w:val="superscript"/>
              </w:rPr>
              <w:t>2</w:t>
            </w:r>
            <w:r>
              <w:rPr>
                <w:rFonts w:hint="eastAsia" w:ascii="仿宋_GB2312" w:eastAsia="仿宋_GB2312"/>
                <w:color w:val="auto"/>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发现问题后3天处理完毕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1.5分/处</w:t>
            </w:r>
          </w:p>
        </w:tc>
      </w:tr>
    </w:tbl>
    <w:p>
      <w:pPr>
        <w:spacing w:line="590" w:lineRule="exact"/>
        <w:rPr>
          <w:rFonts w:ascii="仿宋_GB2312" w:eastAsia="仿宋_GB2312"/>
          <w:color w:val="auto"/>
          <w:sz w:val="32"/>
          <w:szCs w:val="32"/>
        </w:rPr>
      </w:pPr>
      <w:r>
        <w:rPr>
          <w:rFonts w:hint="eastAsia" w:ascii="仿宋_GB2312" w:eastAsia="仿宋_GB2312"/>
          <w:color w:val="auto"/>
          <w:sz w:val="32"/>
          <w:szCs w:val="32"/>
        </w:rPr>
        <w:t xml:space="preserve">    2.人行道病害类型及检查标准              </w:t>
      </w:r>
    </w:p>
    <w:tbl>
      <w:tblPr>
        <w:tblStyle w:val="22"/>
        <w:tblW w:w="908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3502"/>
        <w:gridCol w:w="23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项目</w:t>
            </w:r>
          </w:p>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名称</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590" w:lineRule="exact"/>
              <w:ind w:firstLine="420" w:firstLineChars="150"/>
              <w:jc w:val="center"/>
              <w:rPr>
                <w:rFonts w:ascii="仿宋_GB2312" w:eastAsia="仿宋_GB2312"/>
                <w:color w:val="auto"/>
                <w:sz w:val="28"/>
                <w:szCs w:val="28"/>
              </w:rPr>
            </w:pPr>
            <w:r>
              <w:rPr>
                <w:rFonts w:hint="eastAsia" w:ascii="仿宋_GB2312" w:eastAsia="仿宋_GB2312"/>
                <w:color w:val="auto"/>
                <w:sz w:val="28"/>
                <w:szCs w:val="28"/>
              </w:rPr>
              <w:t>标准范围及计量单位</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维护期限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方砖松动</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人行道方砖松动，面积大于1m</w:t>
            </w:r>
            <w:r>
              <w:rPr>
                <w:rFonts w:hint="eastAsia" w:ascii="仿宋_GB2312" w:eastAsia="仿宋_GB2312"/>
                <w:color w:val="auto"/>
                <w:vertAlign w:val="superscript"/>
              </w:rPr>
              <w:t>2</w:t>
            </w:r>
            <w:r>
              <w:rPr>
                <w:rFonts w:hint="eastAsia" w:ascii="仿宋_GB2312" w:eastAsia="仿宋_GB2312"/>
                <w:color w:val="auto"/>
              </w:rPr>
              <w:t xml:space="preserve">。  </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rPr>
              <w:t>1天处理完毕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方砖缺失</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人行道方砖缺失，面积大于1m</w:t>
            </w:r>
            <w:r>
              <w:rPr>
                <w:rFonts w:hint="eastAsia" w:ascii="仿宋_GB2312" w:eastAsia="仿宋_GB2312"/>
                <w:color w:val="auto"/>
                <w:vertAlign w:val="superscript"/>
              </w:rPr>
              <w:t>2</w:t>
            </w:r>
            <w:r>
              <w:rPr>
                <w:rFonts w:hint="eastAsia" w:ascii="仿宋_GB2312" w:eastAsia="仿宋_GB2312"/>
                <w:color w:val="auto"/>
              </w:rPr>
              <w:t xml:space="preserve">。 </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rPr>
              <w:t>1天处理完毕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方砖跛</w:t>
            </w:r>
          </w:p>
          <w:p>
            <w:pPr>
              <w:spacing w:line="320" w:lineRule="exact"/>
              <w:jc w:val="center"/>
              <w:rPr>
                <w:rFonts w:ascii="仿宋_GB2312" w:eastAsia="仿宋_GB2312"/>
                <w:color w:val="auto"/>
              </w:rPr>
            </w:pPr>
            <w:r>
              <w:rPr>
                <w:rFonts w:hint="eastAsia" w:ascii="仿宋_GB2312" w:eastAsia="仿宋_GB2312"/>
                <w:color w:val="auto"/>
              </w:rPr>
              <w:t>翘沉陷</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方砖跛翘不平，沉陷深度大于25mm，面积大于1 m</w:t>
            </w:r>
            <w:r>
              <w:rPr>
                <w:rFonts w:hint="eastAsia" w:ascii="仿宋_GB2312" w:eastAsia="仿宋_GB2312"/>
                <w:color w:val="auto"/>
                <w:vertAlign w:val="superscript"/>
              </w:rPr>
              <w:t>2</w:t>
            </w:r>
            <w:r>
              <w:rPr>
                <w:rFonts w:hint="eastAsia" w:ascii="仿宋_GB2312" w:eastAsia="仿宋_GB2312"/>
                <w:color w:val="auto"/>
              </w:rPr>
              <w:t>。</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rPr>
              <w:t>3天处理完毕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人行道材料完好</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人行道材料破损面积大于1平方米。</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rPr>
              <w:t>3天处理完毕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路沿石、平石缺失</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路沿石、平石缺失长度大于1米。</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rPr>
              <w:t>2天处理完毕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路沿石、平石移位</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移位长度大于1米，沉陷深度大于25mm。</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rPr>
              <w:t>2天处理完毕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路沿石、平石勾缝</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未勾缝长度大于1米。</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rPr>
              <w:t>1天处理完毕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1.5分/处</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3.其他附属设施</w:t>
      </w:r>
      <w:r>
        <w:rPr>
          <w:rFonts w:hint="eastAsia" w:ascii="仿宋_GB2312" w:eastAsia="仿宋_GB2312"/>
          <w:color w:val="auto"/>
          <w:sz w:val="32"/>
          <w:szCs w:val="32"/>
        </w:rPr>
        <w:t>病害类型及检查标准</w:t>
      </w:r>
    </w:p>
    <w:tbl>
      <w:tblPr>
        <w:tblStyle w:val="22"/>
        <w:tblW w:w="908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481"/>
        <w:gridCol w:w="3502"/>
        <w:gridCol w:w="23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序号</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项目</w:t>
            </w:r>
          </w:p>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名称</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590" w:lineRule="exact"/>
              <w:ind w:firstLine="420" w:firstLineChars="150"/>
              <w:jc w:val="center"/>
              <w:rPr>
                <w:rFonts w:ascii="仿宋_GB2312" w:eastAsia="仿宋_GB2312"/>
                <w:color w:val="auto"/>
                <w:sz w:val="28"/>
                <w:szCs w:val="28"/>
              </w:rPr>
            </w:pPr>
            <w:r>
              <w:rPr>
                <w:rFonts w:hint="eastAsia" w:ascii="仿宋_GB2312" w:eastAsia="仿宋_GB2312"/>
                <w:color w:val="auto"/>
                <w:sz w:val="28"/>
                <w:szCs w:val="28"/>
              </w:rPr>
              <w:t>标准范围及计量单位</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维护期限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交安设施脱落、移位</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lang w:eastAsia="zh-CN"/>
              </w:rPr>
              <w:t>交安设施脱落、移位</w:t>
            </w:r>
            <w:r>
              <w:rPr>
                <w:rFonts w:hint="eastAsia" w:ascii="仿宋_GB2312" w:eastAsia="仿宋_GB2312"/>
                <w:color w:val="auto"/>
                <w:lang w:val="en-US" w:eastAsia="zh-CN"/>
              </w:rPr>
              <w:t>未处置</w:t>
            </w:r>
            <w:r>
              <w:rPr>
                <w:rFonts w:hint="eastAsia" w:ascii="仿宋_GB2312" w:eastAsia="仿宋_GB2312"/>
                <w:color w:val="auto"/>
              </w:rPr>
              <w:t xml:space="preserve">。  </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lang w:val="en-US" w:eastAsia="zh-CN"/>
              </w:rPr>
              <w:t>0.5</w:t>
            </w:r>
            <w:r>
              <w:rPr>
                <w:rFonts w:hint="eastAsia" w:ascii="仿宋_GB2312" w:eastAsia="仿宋_GB2312"/>
                <w:color w:val="auto"/>
              </w:rPr>
              <w:t>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lang w:val="en-US" w:eastAsia="zh-CN"/>
              </w:rPr>
              <w:t>1</w:t>
            </w:r>
            <w:r>
              <w:rPr>
                <w:rFonts w:hint="eastAsia" w:ascii="仿宋_GB2312" w:eastAsia="仿宋_GB2312"/>
                <w:color w:val="auto"/>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2</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lang w:eastAsia="zh-CN"/>
              </w:rPr>
              <w:t>交安设施破损</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lang w:eastAsia="zh-CN"/>
              </w:rPr>
              <w:t>交安设施破损未处置</w:t>
            </w:r>
            <w:r>
              <w:rPr>
                <w:rFonts w:hint="eastAsia" w:ascii="仿宋_GB2312" w:eastAsia="仿宋_GB2312"/>
                <w:color w:val="auto"/>
              </w:rPr>
              <w:t xml:space="preserve">。 </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lang w:val="en-US" w:eastAsia="zh-CN"/>
              </w:rPr>
              <w:t>0.5</w:t>
            </w:r>
            <w:r>
              <w:rPr>
                <w:rFonts w:hint="eastAsia" w:ascii="仿宋_GB2312" w:eastAsia="仿宋_GB2312"/>
                <w:color w:val="auto"/>
              </w:rPr>
              <w:t>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lang w:val="en-US" w:eastAsia="zh-CN"/>
              </w:rPr>
              <w:t>2</w:t>
            </w:r>
            <w:r>
              <w:rPr>
                <w:rFonts w:hint="eastAsia" w:ascii="仿宋_GB2312" w:eastAsia="仿宋_GB2312"/>
                <w:color w:val="auto"/>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栏杆锈蚀、破损</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lang w:eastAsia="zh-CN"/>
              </w:rPr>
              <w:t>单个栏杆锈蚀、破损</w:t>
            </w:r>
            <w:r>
              <w:rPr>
                <w:rFonts w:hint="eastAsia" w:ascii="仿宋_GB2312" w:eastAsia="仿宋_GB2312"/>
                <w:color w:val="auto"/>
                <w:lang w:val="en-US" w:eastAsia="zh-CN"/>
              </w:rPr>
              <w:t>1米</w:t>
            </w:r>
            <w:r>
              <w:rPr>
                <w:rFonts w:hint="eastAsia" w:ascii="仿宋_GB2312" w:eastAsia="仿宋_GB2312"/>
                <w:color w:val="auto"/>
              </w:rPr>
              <w:t>。</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rPr>
              <w:t>3天处理完毕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4</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座椅、小品等市政设施</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lang w:eastAsia="zh-CN"/>
              </w:rPr>
              <w:t>座椅、小品等市政设施破损、位移</w:t>
            </w:r>
            <w:r>
              <w:rPr>
                <w:rFonts w:hint="eastAsia" w:ascii="仿宋_GB2312" w:eastAsia="仿宋_GB2312"/>
                <w:color w:val="auto"/>
                <w:lang w:val="en-US" w:eastAsia="zh-CN"/>
              </w:rPr>
              <w:t>1处</w:t>
            </w:r>
            <w:r>
              <w:rPr>
                <w:rFonts w:hint="eastAsia" w:ascii="仿宋_GB2312" w:eastAsia="仿宋_GB2312"/>
                <w:color w:val="auto"/>
              </w:rPr>
              <w:t>。</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lang w:val="en-US" w:eastAsia="zh-CN"/>
              </w:rPr>
              <w:t>1</w:t>
            </w:r>
            <w:r>
              <w:rPr>
                <w:rFonts w:hint="eastAsia" w:ascii="仿宋_GB2312" w:eastAsia="仿宋_GB2312"/>
                <w:color w:val="auto"/>
              </w:rPr>
              <w:t>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5</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隔离桩</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lang w:eastAsia="zh-CN"/>
              </w:rPr>
              <w:t>隔离桩破损、脱漆、缺失</w:t>
            </w:r>
            <w:r>
              <w:rPr>
                <w:rFonts w:hint="eastAsia" w:ascii="仿宋_GB2312" w:eastAsia="仿宋_GB2312"/>
                <w:color w:val="auto"/>
                <w:lang w:val="en-US" w:eastAsia="zh-CN"/>
              </w:rPr>
              <w:t>1处</w:t>
            </w:r>
            <w:r>
              <w:rPr>
                <w:rFonts w:hint="eastAsia" w:ascii="仿宋_GB2312" w:eastAsia="仿宋_GB2312"/>
                <w:color w:val="auto"/>
              </w:rPr>
              <w:t>。</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发现问题后</w:t>
            </w:r>
          </w:p>
          <w:p>
            <w:pPr>
              <w:spacing w:line="320" w:lineRule="exact"/>
              <w:jc w:val="center"/>
              <w:rPr>
                <w:rFonts w:ascii="仿宋_GB2312" w:eastAsia="仿宋_GB2312"/>
                <w:color w:val="auto"/>
              </w:rPr>
            </w:pPr>
            <w:r>
              <w:rPr>
                <w:rFonts w:hint="eastAsia" w:ascii="仿宋_GB2312" w:eastAsia="仿宋_GB2312"/>
                <w:color w:val="auto"/>
              </w:rPr>
              <w:t>2天处理完毕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6</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eastAsia="zh-CN"/>
              </w:rPr>
            </w:pPr>
            <w:r>
              <w:rPr>
                <w:rFonts w:hint="eastAsia" w:ascii="仿宋_GB2312" w:eastAsia="仿宋_GB2312"/>
                <w:color w:val="auto"/>
                <w:lang w:eastAsia="zh-CN"/>
              </w:rPr>
              <w:t>水景设施</w:t>
            </w:r>
          </w:p>
        </w:tc>
        <w:tc>
          <w:tcPr>
            <w:tcW w:w="35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color w:val="auto"/>
                <w:lang w:val="en-US" w:eastAsia="zh-CN"/>
              </w:rPr>
            </w:pPr>
            <w:r>
              <w:rPr>
                <w:rFonts w:hint="eastAsia" w:ascii="仿宋_GB2312" w:eastAsia="仿宋_GB2312"/>
                <w:color w:val="auto"/>
                <w:lang w:val="en-US" w:eastAsia="zh-CN"/>
              </w:rPr>
              <w:t>1.水景设施故障应当日修复处理；</w:t>
            </w:r>
          </w:p>
          <w:p>
            <w:pPr>
              <w:spacing w:line="320" w:lineRule="exact"/>
              <w:rPr>
                <w:rFonts w:hint="eastAsia" w:ascii="仿宋_GB2312" w:eastAsia="仿宋_GB2312"/>
                <w:color w:val="auto"/>
                <w:lang w:val="en-US" w:eastAsia="zh-CN"/>
              </w:rPr>
            </w:pPr>
            <w:r>
              <w:rPr>
                <w:rFonts w:hint="eastAsia" w:ascii="仿宋_GB2312" w:eastAsia="仿宋_GB2312"/>
                <w:color w:val="auto"/>
                <w:lang w:val="en-US" w:eastAsia="zh-CN"/>
              </w:rPr>
              <w:t>2.水管、喷头：外观完好、闭合紧密、部件齐全，支架稳定，无堵塞、喷水不正常现象。</w:t>
            </w:r>
          </w:p>
          <w:p>
            <w:pPr>
              <w:spacing w:line="320" w:lineRule="exact"/>
              <w:rPr>
                <w:rFonts w:hint="eastAsia" w:ascii="仿宋_GB2312" w:eastAsia="仿宋_GB2312"/>
                <w:color w:val="auto"/>
                <w:lang w:val="en-US" w:eastAsia="zh-CN"/>
              </w:rPr>
            </w:pPr>
            <w:r>
              <w:rPr>
                <w:rFonts w:hint="eastAsia" w:ascii="仿宋_GB2312" w:eastAsia="仿宋_GB2312"/>
                <w:color w:val="auto"/>
                <w:lang w:val="en-US" w:eastAsia="zh-CN"/>
              </w:rPr>
              <w:t>3.潜水泵：工作正常、安装稳固、绝缘层完好、接头规范。</w:t>
            </w:r>
          </w:p>
          <w:p>
            <w:pPr>
              <w:spacing w:line="320" w:lineRule="exact"/>
              <w:rPr>
                <w:rFonts w:hint="eastAsia" w:ascii="仿宋_GB2312" w:eastAsia="仿宋_GB2312"/>
                <w:color w:val="auto"/>
                <w:lang w:val="en-US" w:eastAsia="zh-CN"/>
              </w:rPr>
            </w:pPr>
            <w:r>
              <w:rPr>
                <w:rFonts w:hint="eastAsia" w:ascii="仿宋_GB2312" w:eastAsia="仿宋_GB2312"/>
                <w:color w:val="auto"/>
                <w:lang w:val="en-US" w:eastAsia="zh-CN"/>
              </w:rPr>
              <w:t>4.灯具：部件齐整、绝缘层完好、接头规范、安装稳固、正常亮灯。</w:t>
            </w:r>
          </w:p>
          <w:p>
            <w:pPr>
              <w:spacing w:line="320" w:lineRule="exact"/>
              <w:rPr>
                <w:rFonts w:hint="eastAsia" w:ascii="仿宋_GB2312" w:eastAsia="仿宋_GB2312"/>
                <w:color w:val="auto"/>
                <w:lang w:val="en-US" w:eastAsia="zh-CN"/>
              </w:rPr>
            </w:pPr>
            <w:r>
              <w:rPr>
                <w:rFonts w:hint="eastAsia" w:ascii="仿宋_GB2312" w:eastAsia="仿宋_GB2312"/>
                <w:color w:val="auto"/>
                <w:lang w:val="en-US" w:eastAsia="zh-CN"/>
              </w:rPr>
              <w:t>5.电力电缆：敷设规范安全；保护措施齐全、绝缘层良好；接地连接可靠；固件完整齐全；若有被盗、损毁等，应按原设计标准同材质、同规格进行更换。</w:t>
            </w:r>
          </w:p>
          <w:p>
            <w:pPr>
              <w:spacing w:line="320" w:lineRule="exact"/>
              <w:rPr>
                <w:rFonts w:hint="default"/>
                <w:color w:val="auto"/>
                <w:lang w:val="en-US" w:eastAsia="zh-CN"/>
              </w:rPr>
            </w:pPr>
            <w:r>
              <w:rPr>
                <w:rFonts w:hint="eastAsia" w:ascii="仿宋_GB2312" w:eastAsia="仿宋_GB2312"/>
                <w:color w:val="auto"/>
                <w:lang w:val="en-US" w:eastAsia="zh-CN"/>
              </w:rPr>
              <w:t>6.配电柜：箱体内元器件导线排列整齐、美观；相序一致、接触紧密；固件完整齐全；箱体内外清洁，无积尘，无异物、安装规范、牢固；配件完整、保护层完好，门、锁、性能完好，防鼠等设施完备；标记内容完整、清楚、醒目。</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发现</w:t>
            </w:r>
            <w:r>
              <w:rPr>
                <w:rFonts w:hint="eastAsia" w:ascii="仿宋_GB2312" w:eastAsia="仿宋_GB2312"/>
                <w:color w:val="auto"/>
                <w:lang w:eastAsia="zh-CN"/>
              </w:rPr>
              <w:t>水景设施</w:t>
            </w:r>
            <w:r>
              <w:rPr>
                <w:rFonts w:hint="eastAsia" w:ascii="仿宋_GB2312" w:eastAsia="仿宋_GB2312"/>
                <w:color w:val="auto"/>
              </w:rPr>
              <w:t>问题后</w:t>
            </w:r>
          </w:p>
          <w:p>
            <w:pPr>
              <w:spacing w:line="320" w:lineRule="exact"/>
              <w:jc w:val="center"/>
              <w:rPr>
                <w:rFonts w:hint="eastAsia" w:ascii="仿宋_GB2312" w:eastAsia="仿宋_GB2312"/>
                <w:color w:val="auto"/>
              </w:rPr>
            </w:pPr>
            <w:r>
              <w:rPr>
                <w:rFonts w:hint="eastAsia" w:ascii="仿宋_GB2312" w:eastAsia="仿宋_GB2312"/>
                <w:color w:val="auto"/>
                <w:lang w:val="en-US" w:eastAsia="zh-CN"/>
              </w:rPr>
              <w:t>1</w:t>
            </w:r>
            <w:r>
              <w:rPr>
                <w:rFonts w:hint="eastAsia" w:ascii="仿宋_GB2312" w:eastAsia="仿宋_GB2312"/>
                <w:color w:val="auto"/>
              </w:rPr>
              <w:t>天</w:t>
            </w:r>
            <w:r>
              <w:rPr>
                <w:rFonts w:hint="eastAsia" w:ascii="仿宋_GB2312" w:eastAsia="仿宋_GB2312"/>
                <w:color w:val="auto"/>
                <w:lang w:eastAsia="zh-CN"/>
              </w:rPr>
              <w:t>内</w:t>
            </w:r>
            <w:r>
              <w:rPr>
                <w:rFonts w:hint="eastAsia" w:ascii="仿宋_GB2312" w:eastAsia="仿宋_GB2312"/>
                <w:color w:val="auto"/>
              </w:rPr>
              <w:t>处理完毕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color w:val="auto"/>
                <w:lang w:val="en-US" w:eastAsia="zh-CN"/>
              </w:rPr>
            </w:pPr>
            <w:r>
              <w:rPr>
                <w:rFonts w:hint="eastAsia" w:ascii="仿宋_GB2312" w:eastAsia="仿宋_GB2312"/>
                <w:color w:val="auto"/>
                <w:lang w:val="en-US" w:eastAsia="zh-CN"/>
              </w:rPr>
              <w:t>3分/处</w:t>
            </w:r>
          </w:p>
        </w:tc>
      </w:tr>
    </w:tbl>
    <w:p>
      <w:pPr>
        <w:spacing w:line="590" w:lineRule="exact"/>
        <w:rPr>
          <w:rFonts w:ascii="仿宋_GB2312" w:eastAsia="仿宋_GB2312"/>
          <w:color w:val="auto"/>
          <w:sz w:val="32"/>
          <w:szCs w:val="32"/>
        </w:rPr>
      </w:pPr>
    </w:p>
    <w:p>
      <w:pPr>
        <w:spacing w:line="590" w:lineRule="exact"/>
        <w:rPr>
          <w:rFonts w:ascii="仿宋_GB2312" w:eastAsia="仿宋_GB2312"/>
          <w:color w:val="auto"/>
          <w:sz w:val="32"/>
          <w:szCs w:val="32"/>
        </w:rPr>
      </w:pPr>
      <w:r>
        <w:rPr>
          <w:rFonts w:hint="eastAsia" w:ascii="楷体_GB2312" w:eastAsia="楷体_GB2312"/>
          <w:color w:val="auto"/>
          <w:sz w:val="32"/>
          <w:szCs w:val="32"/>
        </w:rPr>
        <w:t>（三）内业检查(代表符号Z)</w:t>
      </w:r>
      <w:r>
        <w:rPr>
          <w:rFonts w:hint="eastAsia" w:ascii="仿宋_GB2312" w:eastAsia="仿宋_GB2312"/>
          <w:color w:val="auto"/>
          <w:sz w:val="32"/>
          <w:szCs w:val="32"/>
        </w:rPr>
        <w:t>：</w:t>
      </w:r>
    </w:p>
    <w:p>
      <w:pPr>
        <w:spacing w:line="590" w:lineRule="exact"/>
        <w:ind w:firstLine="800" w:firstLineChars="250"/>
        <w:rPr>
          <w:rFonts w:ascii="仿宋_GB2312" w:eastAsia="仿宋_GB2312"/>
          <w:color w:val="auto"/>
          <w:sz w:val="32"/>
          <w:szCs w:val="32"/>
        </w:rPr>
      </w:pPr>
      <w:r>
        <w:rPr>
          <w:rFonts w:hint="eastAsia" w:ascii="仿宋_GB2312" w:eastAsia="仿宋_GB2312"/>
          <w:color w:val="auto"/>
          <w:sz w:val="32"/>
          <w:szCs w:val="32"/>
        </w:rPr>
        <w:t>根据抽检道路现场检查结果，对内业进行检查，核实巡查记录、维修记录等相关资料。</w:t>
      </w:r>
    </w:p>
    <w:tbl>
      <w:tblPr>
        <w:tblStyle w:val="22"/>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58"/>
        <w:gridCol w:w="54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序号</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项目</w:t>
            </w:r>
          </w:p>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名称</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ind w:firstLine="420" w:firstLineChars="150"/>
              <w:jc w:val="center"/>
              <w:rPr>
                <w:rFonts w:ascii="仿宋_GB2312" w:eastAsia="仿宋_GB2312"/>
                <w:color w:val="auto"/>
                <w:sz w:val="28"/>
                <w:szCs w:val="28"/>
              </w:rPr>
            </w:pPr>
            <w:r>
              <w:rPr>
                <w:rFonts w:hint="eastAsia" w:ascii="仿宋_GB2312" w:eastAsia="仿宋_GB2312"/>
                <w:color w:val="auto"/>
                <w:sz w:val="28"/>
                <w:szCs w:val="28"/>
              </w:rPr>
              <w:t>考核内容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仿宋_GB2312" w:eastAsia="仿宋_GB2312"/>
                <w:color w:val="auto"/>
                <w:sz w:val="28"/>
                <w:szCs w:val="28"/>
              </w:rPr>
            </w:pPr>
            <w:r>
              <w:rPr>
                <w:rFonts w:hint="eastAsia" w:ascii="仿宋_GB2312" w:eastAsia="仿宋_GB2312"/>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1</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综合资料</w:t>
            </w:r>
          </w:p>
        </w:tc>
        <w:tc>
          <w:tcPr>
            <w:tcW w:w="5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仿宋_GB2312" w:eastAsia="仿宋_GB2312"/>
                <w:color w:val="auto"/>
              </w:rPr>
            </w:pPr>
            <w:r>
              <w:rPr>
                <w:rFonts w:hint="eastAsia" w:ascii="仿宋_GB2312" w:eastAsia="仿宋_GB2312"/>
                <w:color w:val="auto"/>
              </w:rPr>
              <w:t>包括：巡查道路</w:t>
            </w:r>
            <w:r>
              <w:rPr>
                <w:rFonts w:hint="eastAsia" w:ascii="仿宋_GB2312" w:eastAsia="仿宋_GB2312"/>
                <w:color w:val="auto"/>
                <w:lang w:eastAsia="zh-CN"/>
              </w:rPr>
              <w:t>养护</w:t>
            </w:r>
            <w:r>
              <w:rPr>
                <w:rFonts w:hint="eastAsia" w:ascii="仿宋_GB2312" w:eastAsia="仿宋_GB2312"/>
                <w:color w:val="auto"/>
              </w:rPr>
              <w:t>档案、人员配置表、应急预案、日常值班表、汛期值班表，日常工作计划、工作总结等</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仿宋_GB2312" w:eastAsia="仿宋_GB2312"/>
                <w:color w:val="auto"/>
              </w:rPr>
            </w:pPr>
            <w:r>
              <w:rPr>
                <w:rFonts w:hint="eastAsia" w:ascii="仿宋_GB2312" w:eastAsia="仿宋_GB2312"/>
                <w:color w:val="auto"/>
              </w:rPr>
              <w:t>每缺少一样扣1分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2</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巡查记录</w:t>
            </w:r>
          </w:p>
        </w:tc>
        <w:tc>
          <w:tcPr>
            <w:tcW w:w="5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仿宋_GB2312" w:eastAsia="仿宋_GB2312"/>
                <w:color w:val="auto"/>
              </w:rPr>
            </w:pPr>
            <w:r>
              <w:rPr>
                <w:rFonts w:hint="eastAsia" w:ascii="仿宋_GB2312" w:eastAsia="仿宋_GB2312"/>
                <w:color w:val="auto"/>
              </w:rPr>
              <w:t>巡查工作每日有记载，内容准确，应做到项目、位置、数量准确无误，发现问题要及时上报，并有记录。处理完毕后，记录处理结果，由相关负责人审核签字。</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仿宋_GB2312" w:eastAsia="仿宋_GB2312"/>
                <w:color w:val="auto"/>
              </w:rPr>
            </w:pPr>
            <w:r>
              <w:rPr>
                <w:rFonts w:hint="eastAsia" w:ascii="仿宋_GB2312" w:eastAsia="仿宋_GB2312"/>
                <w:color w:val="auto"/>
              </w:rPr>
              <w:t>未达本要求每次扣1分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3</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维修记录</w:t>
            </w:r>
          </w:p>
        </w:tc>
        <w:tc>
          <w:tcPr>
            <w:tcW w:w="5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仿宋_GB2312" w:eastAsia="仿宋_GB2312"/>
                <w:color w:val="auto"/>
              </w:rPr>
            </w:pPr>
            <w:r>
              <w:rPr>
                <w:rFonts w:hint="eastAsia" w:ascii="仿宋_GB2312" w:eastAsia="仿宋_GB2312"/>
                <w:color w:val="auto"/>
              </w:rPr>
              <w:t>对于巡查发现的问题，应在规定的期限内整改完毕，并做好维修记录。</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仿宋_GB2312" w:eastAsia="仿宋_GB2312"/>
                <w:color w:val="auto"/>
              </w:rPr>
            </w:pPr>
            <w:r>
              <w:rPr>
                <w:rFonts w:hint="eastAsia" w:ascii="仿宋_GB2312" w:eastAsia="仿宋_GB2312"/>
                <w:color w:val="auto"/>
              </w:rPr>
              <w:t>未达本要求每处扣2分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auto"/>
              </w:rPr>
            </w:pPr>
            <w:r>
              <w:rPr>
                <w:rFonts w:hint="eastAsia" w:ascii="仿宋_GB2312" w:eastAsia="仿宋_GB2312"/>
                <w:color w:val="auto"/>
              </w:rPr>
              <w:t>4</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上报资料</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auto"/>
              </w:rPr>
            </w:pPr>
            <w:r>
              <w:rPr>
                <w:rFonts w:hint="eastAsia" w:ascii="仿宋_GB2312" w:eastAsia="仿宋_GB2312"/>
                <w:color w:val="auto"/>
              </w:rPr>
              <w:t>巡查道路发现问题后上报</w:t>
            </w:r>
            <w:r>
              <w:rPr>
                <w:rFonts w:hint="eastAsia" w:ascii="仿宋_GB2312" w:eastAsia="仿宋_GB2312"/>
                <w:color w:val="auto"/>
                <w:lang w:eastAsia="zh-CN"/>
              </w:rPr>
              <w:t>区综合行政执法局</w:t>
            </w:r>
            <w:r>
              <w:rPr>
                <w:rFonts w:hint="eastAsia" w:ascii="仿宋_GB2312" w:eastAsia="仿宋_GB2312"/>
                <w:color w:val="auto"/>
              </w:rPr>
              <w:t>相关报告、请示、文件等</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仿宋_GB2312" w:eastAsia="仿宋_GB2312"/>
                <w:color w:val="auto"/>
              </w:rPr>
            </w:pPr>
            <w:r>
              <w:rPr>
                <w:rFonts w:hint="eastAsia" w:ascii="仿宋_GB2312" w:eastAsia="仿宋_GB2312"/>
                <w:color w:val="auto"/>
              </w:rPr>
              <w:t>未达本要求每处扣1分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5</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color w:val="auto"/>
                <w:lang w:eastAsia="zh-CN"/>
              </w:rPr>
            </w:pPr>
            <w:r>
              <w:rPr>
                <w:rFonts w:hint="eastAsia" w:ascii="仿宋_GB2312" w:eastAsia="仿宋_GB2312"/>
                <w:color w:val="auto"/>
                <w:lang w:eastAsia="zh-CN"/>
              </w:rPr>
              <w:t>规范维修工作</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color w:val="auto"/>
                <w:lang w:eastAsia="zh-CN"/>
              </w:rPr>
            </w:pPr>
            <w:r>
              <w:rPr>
                <w:rFonts w:hint="eastAsia" w:ascii="仿宋_GB2312" w:eastAsia="仿宋_GB2312"/>
                <w:color w:val="auto"/>
                <w:lang w:eastAsia="zh-CN"/>
              </w:rPr>
              <w:t>严格按照第一条考核依据相关规范开展道路维修维护相关工作。</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default" w:ascii="仿宋_GB2312" w:eastAsia="仿宋_GB2312"/>
                <w:color w:val="auto"/>
                <w:lang w:val="en-US" w:eastAsia="zh-CN"/>
              </w:rPr>
            </w:pPr>
            <w:r>
              <w:rPr>
                <w:rFonts w:hint="eastAsia" w:ascii="仿宋_GB2312" w:eastAsia="仿宋_GB2312"/>
                <w:color w:val="auto"/>
                <w:lang w:eastAsia="zh-CN"/>
              </w:rPr>
              <w:t>未按要求开展工作每次扣</w:t>
            </w:r>
            <w:r>
              <w:rPr>
                <w:rFonts w:hint="eastAsia" w:ascii="仿宋_GB2312" w:eastAsia="仿宋_GB2312"/>
                <w:color w:val="auto"/>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6</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color w:val="auto"/>
                <w:lang w:val="en-US" w:eastAsia="zh-CN"/>
              </w:rPr>
            </w:pPr>
            <w:r>
              <w:rPr>
                <w:rFonts w:hint="eastAsia" w:ascii="仿宋_GB2312" w:eastAsia="仿宋_GB2312"/>
                <w:color w:val="auto"/>
                <w:lang w:eastAsia="zh-CN"/>
              </w:rPr>
              <w:t>维修质量保证</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color w:val="auto"/>
                <w:lang w:val="en-US" w:eastAsia="zh-CN"/>
              </w:rPr>
            </w:pPr>
            <w:r>
              <w:rPr>
                <w:rFonts w:hint="eastAsia" w:ascii="仿宋_GB2312" w:eastAsia="仿宋_GB2312"/>
                <w:color w:val="auto"/>
                <w:lang w:val="en-US" w:eastAsia="zh-CN"/>
              </w:rPr>
              <w:t>病害问题维修维护后，3个月内同一位置再次出现同一病害类型。</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eastAsia="仿宋_GB2312"/>
                <w:color w:val="auto"/>
                <w:lang w:val="en-US" w:eastAsia="zh-CN"/>
              </w:rPr>
            </w:pPr>
            <w:r>
              <w:rPr>
                <w:rFonts w:hint="eastAsia" w:ascii="仿宋_GB2312" w:eastAsia="仿宋_GB2312"/>
                <w:color w:val="auto"/>
                <w:lang w:eastAsia="zh-CN"/>
              </w:rPr>
              <w:t>每处扣</w:t>
            </w:r>
            <w:r>
              <w:rPr>
                <w:rFonts w:hint="eastAsia" w:ascii="仿宋_GB2312" w:eastAsia="仿宋_GB2312"/>
                <w:color w:val="auto"/>
                <w:lang w:val="en-US" w:eastAsia="zh-CN"/>
              </w:rPr>
              <w:t>10分。</w:t>
            </w:r>
          </w:p>
        </w:tc>
      </w:tr>
    </w:tbl>
    <w:p>
      <w:pPr>
        <w:spacing w:line="590" w:lineRule="exact"/>
        <w:ind w:firstLine="660"/>
        <w:rPr>
          <w:rFonts w:ascii="黑体" w:eastAsia="黑体"/>
          <w:color w:val="auto"/>
          <w:sz w:val="32"/>
          <w:szCs w:val="32"/>
        </w:rPr>
      </w:pPr>
      <w:r>
        <w:rPr>
          <w:rFonts w:hint="eastAsia" w:ascii="黑体" w:eastAsia="黑体"/>
          <w:color w:val="auto"/>
          <w:sz w:val="32"/>
          <w:szCs w:val="32"/>
        </w:rPr>
        <w:t>四、实施办法</w:t>
      </w:r>
    </w:p>
    <w:p>
      <w:pPr>
        <w:spacing w:line="560" w:lineRule="exact"/>
        <w:ind w:firstLine="660"/>
        <w:rPr>
          <w:rFonts w:hint="eastAsia" w:ascii="仿宋_GB2312" w:eastAsia="仿宋_GB2312"/>
          <w:color w:val="auto"/>
          <w:sz w:val="32"/>
          <w:szCs w:val="32"/>
        </w:rPr>
      </w:pPr>
      <w:r>
        <w:rPr>
          <w:rFonts w:hint="eastAsia" w:ascii="仿宋_GB2312" w:eastAsia="仿宋_GB2312"/>
          <w:color w:val="auto"/>
          <w:sz w:val="32"/>
          <w:szCs w:val="32"/>
          <w:lang w:eastAsia="zh-CN"/>
        </w:rPr>
        <w:t>区综合行政执法</w:t>
      </w:r>
      <w:r>
        <w:rPr>
          <w:rFonts w:hint="eastAsia" w:ascii="仿宋_GB2312" w:eastAsia="仿宋_GB2312"/>
          <w:color w:val="auto"/>
          <w:sz w:val="32"/>
          <w:szCs w:val="32"/>
        </w:rPr>
        <w:t>局根据具体情况，将定期或不定期对各社会</w:t>
      </w:r>
      <w:r>
        <w:rPr>
          <w:rFonts w:hint="eastAsia" w:ascii="仿宋_GB2312" w:eastAsia="仿宋_GB2312"/>
          <w:color w:val="auto"/>
          <w:sz w:val="32"/>
          <w:szCs w:val="32"/>
          <w:lang w:eastAsia="zh-CN"/>
        </w:rPr>
        <w:t>养护</w:t>
      </w:r>
      <w:r>
        <w:rPr>
          <w:rFonts w:hint="eastAsia" w:ascii="仿宋_GB2312" w:eastAsia="仿宋_GB2312"/>
          <w:color w:val="auto"/>
          <w:sz w:val="32"/>
          <w:szCs w:val="32"/>
        </w:rPr>
        <w:t>作业单位维护作业情况进行检查，检查结果直接与</w:t>
      </w:r>
      <w:r>
        <w:rPr>
          <w:rFonts w:hint="eastAsia" w:ascii="仿宋_GB2312" w:eastAsia="仿宋_GB2312"/>
          <w:color w:val="auto"/>
          <w:sz w:val="32"/>
          <w:szCs w:val="32"/>
          <w:lang w:eastAsia="zh-CN"/>
        </w:rPr>
        <w:t>养护</w:t>
      </w:r>
      <w:r>
        <w:rPr>
          <w:rFonts w:hint="eastAsia" w:ascii="仿宋_GB2312" w:eastAsia="仿宋_GB2312"/>
          <w:color w:val="auto"/>
          <w:sz w:val="32"/>
          <w:szCs w:val="32"/>
        </w:rPr>
        <w:t>经费挂钩，考核人员由</w:t>
      </w:r>
      <w:r>
        <w:rPr>
          <w:rFonts w:hint="eastAsia" w:ascii="仿宋_GB2312" w:eastAsia="仿宋_GB2312"/>
          <w:color w:val="auto"/>
          <w:sz w:val="32"/>
          <w:szCs w:val="32"/>
          <w:lang w:eastAsia="zh-CN"/>
        </w:rPr>
        <w:t>区综合行政执法</w:t>
      </w:r>
      <w:r>
        <w:rPr>
          <w:rFonts w:hint="eastAsia" w:ascii="仿宋_GB2312" w:eastAsia="仿宋_GB2312"/>
          <w:color w:val="auto"/>
          <w:sz w:val="32"/>
          <w:szCs w:val="32"/>
        </w:rPr>
        <w:t>局组织相关人员参加</w:t>
      </w:r>
      <w:r>
        <w:rPr>
          <w:rFonts w:hint="eastAsia" w:ascii="仿宋_GB2312" w:eastAsia="仿宋_GB2312"/>
          <w:color w:val="auto"/>
          <w:sz w:val="32"/>
          <w:szCs w:val="32"/>
          <w:lang w:eastAsia="zh-CN"/>
        </w:rPr>
        <w:t>，考核方法分为日常检查和集中检查</w:t>
      </w:r>
      <w:r>
        <w:rPr>
          <w:rFonts w:hint="eastAsia" w:ascii="仿宋_GB2312" w:eastAsia="仿宋_GB2312"/>
          <w:color w:val="auto"/>
          <w:sz w:val="32"/>
          <w:szCs w:val="32"/>
        </w:rPr>
        <w:t>。</w:t>
      </w:r>
    </w:p>
    <w:p>
      <w:pPr>
        <w:spacing w:line="560" w:lineRule="exact"/>
        <w:ind w:firstLine="660"/>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（一）日常检查</w:t>
      </w:r>
    </w:p>
    <w:p>
      <w:pPr>
        <w:spacing w:line="560" w:lineRule="exact"/>
        <w:ind w:firstLine="66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实施方法为区综合行政执法局日常巡查、检查发现的养护问题，通知养护单位现场确认问题无异议后，在当月集中检查各项得分计算结果上，按照本办法第三条标准直接予以扣分。</w:t>
      </w:r>
    </w:p>
    <w:p>
      <w:pPr>
        <w:spacing w:line="560" w:lineRule="exact"/>
        <w:ind w:firstLine="660"/>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（二）集中检查</w:t>
      </w:r>
    </w:p>
    <w:p>
      <w:pPr>
        <w:spacing w:line="560" w:lineRule="exact"/>
        <w:ind w:firstLine="660"/>
        <w:rPr>
          <w:rFonts w:ascii="仿宋_GB2312" w:eastAsia="仿宋_GB2312"/>
          <w:color w:val="auto"/>
          <w:sz w:val="32"/>
          <w:szCs w:val="32"/>
        </w:rPr>
      </w:pPr>
      <w:r>
        <w:rPr>
          <w:rFonts w:hint="eastAsia" w:ascii="仿宋_GB2312" w:eastAsia="仿宋_GB2312"/>
          <w:color w:val="auto"/>
          <w:sz w:val="32"/>
          <w:szCs w:val="32"/>
          <w:lang w:eastAsia="zh-CN"/>
        </w:rPr>
        <w:t>集中检查</w:t>
      </w:r>
      <w:r>
        <w:rPr>
          <w:rFonts w:hint="eastAsia" w:ascii="仿宋_GB2312" w:eastAsia="仿宋_GB2312"/>
          <w:color w:val="auto"/>
          <w:sz w:val="32"/>
          <w:szCs w:val="32"/>
        </w:rPr>
        <w:t>实施方法为随机抽取5条各</w:t>
      </w:r>
      <w:r>
        <w:rPr>
          <w:rFonts w:hint="eastAsia" w:ascii="仿宋_GB2312" w:eastAsia="仿宋_GB2312"/>
          <w:color w:val="auto"/>
          <w:sz w:val="32"/>
          <w:szCs w:val="32"/>
          <w:lang w:eastAsia="zh-CN"/>
        </w:rPr>
        <w:t>养护</w:t>
      </w:r>
      <w:r>
        <w:rPr>
          <w:rFonts w:hint="eastAsia" w:ascii="仿宋_GB2312" w:eastAsia="仿宋_GB2312"/>
          <w:color w:val="auto"/>
          <w:sz w:val="32"/>
          <w:szCs w:val="32"/>
        </w:rPr>
        <w:t>作业单位在管道路进行检查，取抽检道路平均分为各</w:t>
      </w:r>
      <w:r>
        <w:rPr>
          <w:rFonts w:hint="eastAsia" w:ascii="仿宋_GB2312" w:eastAsia="仿宋_GB2312"/>
          <w:color w:val="auto"/>
          <w:sz w:val="32"/>
          <w:szCs w:val="32"/>
          <w:lang w:eastAsia="zh-CN"/>
        </w:rPr>
        <w:t>养护</w:t>
      </w:r>
      <w:r>
        <w:rPr>
          <w:rFonts w:hint="eastAsia" w:ascii="仿宋_GB2312" w:eastAsia="仿宋_GB2312"/>
          <w:color w:val="auto"/>
          <w:sz w:val="32"/>
          <w:szCs w:val="32"/>
        </w:rPr>
        <w:t>作业单位</w:t>
      </w:r>
      <w:r>
        <w:rPr>
          <w:rFonts w:hint="eastAsia" w:ascii="仿宋_GB2312" w:eastAsia="仿宋_GB2312"/>
          <w:color w:val="auto"/>
          <w:sz w:val="32"/>
          <w:szCs w:val="32"/>
          <w:lang w:eastAsia="zh-CN"/>
        </w:rPr>
        <w:t>集中检查考核</w:t>
      </w:r>
      <w:r>
        <w:rPr>
          <w:rFonts w:hint="eastAsia" w:ascii="仿宋_GB2312" w:eastAsia="仿宋_GB2312"/>
          <w:color w:val="auto"/>
          <w:sz w:val="32"/>
          <w:szCs w:val="32"/>
        </w:rPr>
        <w:t>得分。</w:t>
      </w:r>
    </w:p>
    <w:p>
      <w:pPr>
        <w:spacing w:line="560" w:lineRule="exact"/>
        <w:ind w:firstLine="66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日常巡查考核、道路现场检查及内业检查总分各为100分，集中检查各项考核得分=</w:t>
      </w:r>
      <w:r>
        <w:rPr>
          <w:rFonts w:hint="default" w:ascii="仿宋_GB2312" w:eastAsia="仿宋_GB2312"/>
          <w:color w:val="auto"/>
          <w:sz w:val="32"/>
          <w:szCs w:val="32"/>
          <w:lang w:val="en-US" w:eastAsia="zh-CN"/>
        </w:rPr>
        <w:t>Σ</w:t>
      </w:r>
      <w:r>
        <w:rPr>
          <w:rFonts w:hint="eastAsia" w:ascii="仿宋_GB2312" w:eastAsia="仿宋_GB2312"/>
          <w:color w:val="auto"/>
          <w:sz w:val="32"/>
          <w:szCs w:val="32"/>
          <w:lang w:val="en-US" w:eastAsia="zh-CN"/>
        </w:rPr>
        <w:t>单条道路各项考核得分</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5。</w:t>
      </w:r>
    </w:p>
    <w:p>
      <w:pPr>
        <w:spacing w:line="560" w:lineRule="exact"/>
        <w:ind w:firstLine="660"/>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（三）养护作业水平考核得分</w:t>
      </w:r>
    </w:p>
    <w:p>
      <w:pPr>
        <w:spacing w:line="560" w:lineRule="exact"/>
        <w:ind w:firstLine="66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hAnsi="Times New Roman" w:eastAsia="仿宋_GB2312" w:cs="Times New Roman"/>
          <w:color w:val="auto"/>
          <w:sz w:val="32"/>
          <w:szCs w:val="32"/>
          <w:lang w:eastAsia="zh-CN"/>
        </w:rPr>
        <w:t>各养护作业考核项目得分=集中检查各考核项目得分－日常检查各考核项目单次扣分</w:t>
      </w:r>
      <w:r>
        <w:rPr>
          <w:rFonts w:hint="eastAsia" w:ascii="仿宋_GB2312" w:eastAsia="仿宋_GB2312"/>
          <w:color w:val="auto"/>
          <w:sz w:val="32"/>
          <w:szCs w:val="32"/>
          <w:lang w:eastAsia="zh-CN"/>
        </w:rPr>
        <w:t>。</w:t>
      </w:r>
    </w:p>
    <w:p>
      <w:pPr>
        <w:spacing w:line="560" w:lineRule="exact"/>
        <w:ind w:firstLine="66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日常巡查（X）、桥梁现场检查（Y）及内业检查（Z）</w:t>
      </w:r>
      <w:r>
        <w:rPr>
          <w:rFonts w:hint="eastAsia" w:ascii="仿宋_GB2312" w:hAnsi="Times New Roman" w:eastAsia="仿宋_GB2312" w:cs="Times New Roman"/>
          <w:color w:val="auto"/>
          <w:sz w:val="32"/>
          <w:szCs w:val="32"/>
          <w:lang w:eastAsia="zh-CN"/>
        </w:rPr>
        <w:t>各养护作业考核项目得分</w:t>
      </w:r>
      <w:r>
        <w:rPr>
          <w:rFonts w:hint="eastAsia" w:ascii="仿宋_GB2312" w:eastAsia="仿宋_GB2312"/>
          <w:color w:val="auto"/>
          <w:sz w:val="32"/>
          <w:szCs w:val="32"/>
          <w:lang w:eastAsia="zh-CN"/>
        </w:rPr>
        <w:t>占养护作业水平考核分值比例分别为20%、60%、20%。</w:t>
      </w:r>
    </w:p>
    <w:p>
      <w:pPr>
        <w:spacing w:line="560" w:lineRule="exact"/>
        <w:ind w:firstLine="66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养护作业水平考核得分=X*20%+Y*60%+Z*20%。</w:t>
      </w:r>
    </w:p>
    <w:p>
      <w:pPr>
        <w:spacing w:line="560" w:lineRule="exact"/>
        <w:ind w:firstLine="660"/>
        <w:rPr>
          <w:rFonts w:hint="eastAsia" w:ascii="仿宋_GB2312" w:eastAsia="仿宋_GB2312"/>
          <w:color w:val="auto"/>
          <w:sz w:val="32"/>
          <w:szCs w:val="32"/>
          <w:lang w:eastAsia="zh-CN"/>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eastAsia="zh-CN"/>
        </w:rPr>
        <w:t>根据养护作业水平考核得分进行考核等级评定</w:t>
      </w:r>
      <w:r>
        <w:rPr>
          <w:rFonts w:hint="eastAsia" w:ascii="仿宋_GB2312" w:eastAsia="仿宋_GB2312"/>
          <w:color w:val="auto"/>
          <w:sz w:val="32"/>
          <w:szCs w:val="32"/>
          <w:lang w:eastAsia="zh-CN"/>
        </w:rPr>
        <w:t>：100分至95分为优秀，95分（不含）至90分为良，90分（不含）至80分为合格，80分以下为不合格。</w:t>
      </w:r>
    </w:p>
    <w:p>
      <w:pPr>
        <w:spacing w:line="560" w:lineRule="exact"/>
        <w:ind w:firstLine="660"/>
        <w:rPr>
          <w:rFonts w:ascii="黑体" w:eastAsia="黑体"/>
          <w:color w:val="auto"/>
          <w:sz w:val="32"/>
          <w:szCs w:val="32"/>
        </w:rPr>
      </w:pPr>
      <w:r>
        <w:rPr>
          <w:rFonts w:hint="eastAsia" w:ascii="黑体" w:eastAsia="黑体"/>
          <w:color w:val="auto"/>
          <w:sz w:val="32"/>
          <w:szCs w:val="32"/>
        </w:rPr>
        <w:t>五、考核结果处理办法</w:t>
      </w:r>
    </w:p>
    <w:p>
      <w:pPr>
        <w:spacing w:line="560" w:lineRule="exact"/>
        <w:ind w:firstLine="660"/>
        <w:rPr>
          <w:rFonts w:hint="eastAsia" w:ascii="仿宋_GB2312" w:eastAsia="仿宋_GB2312"/>
          <w:color w:val="auto"/>
          <w:sz w:val="32"/>
          <w:szCs w:val="32"/>
        </w:rPr>
      </w:pPr>
      <w:r>
        <w:rPr>
          <w:rFonts w:hint="eastAsia" w:ascii="仿宋_GB2312" w:eastAsia="仿宋_GB2312"/>
          <w:color w:val="auto"/>
          <w:sz w:val="32"/>
          <w:szCs w:val="32"/>
        </w:rPr>
        <w:t>（一）考核等级应用</w:t>
      </w:r>
    </w:p>
    <w:p>
      <w:pPr>
        <w:spacing w:line="560" w:lineRule="exact"/>
        <w:ind w:firstLine="660"/>
        <w:rPr>
          <w:rFonts w:hint="eastAsia" w:ascii="仿宋_GB2312" w:eastAsia="仿宋_GB2312"/>
          <w:color w:val="auto"/>
          <w:sz w:val="32"/>
          <w:szCs w:val="32"/>
        </w:rPr>
      </w:pPr>
      <w:r>
        <w:rPr>
          <w:rFonts w:hint="eastAsia" w:ascii="仿宋_GB2312" w:eastAsia="仿宋_GB2312"/>
          <w:color w:val="auto"/>
          <w:sz w:val="32"/>
          <w:szCs w:val="32"/>
        </w:rPr>
        <w:t>1.养护作业水平等级为优秀，全额拨付当月养护费；</w:t>
      </w:r>
    </w:p>
    <w:p>
      <w:pPr>
        <w:spacing w:line="560" w:lineRule="exact"/>
        <w:ind w:firstLine="660"/>
        <w:rPr>
          <w:rFonts w:hint="eastAsia" w:ascii="仿宋_GB2312" w:eastAsia="仿宋_GB2312"/>
          <w:color w:val="auto"/>
          <w:sz w:val="32"/>
          <w:szCs w:val="32"/>
        </w:rPr>
      </w:pPr>
      <w:r>
        <w:rPr>
          <w:rFonts w:hint="eastAsia" w:ascii="仿宋_GB2312" w:eastAsia="仿宋_GB2312"/>
          <w:color w:val="auto"/>
          <w:sz w:val="32"/>
          <w:szCs w:val="32"/>
        </w:rPr>
        <w:t>2.养护作业水平等级为良，考核得分比95分每低1分，扣除当月1%养护费；</w:t>
      </w:r>
    </w:p>
    <w:p>
      <w:pPr>
        <w:spacing w:line="560" w:lineRule="exact"/>
        <w:ind w:firstLine="660"/>
        <w:rPr>
          <w:rFonts w:hint="eastAsia" w:ascii="仿宋_GB2312" w:eastAsia="仿宋_GB2312"/>
          <w:color w:val="auto"/>
          <w:sz w:val="32"/>
          <w:szCs w:val="32"/>
        </w:rPr>
      </w:pPr>
      <w:r>
        <w:rPr>
          <w:rFonts w:hint="eastAsia" w:ascii="仿宋_GB2312" w:eastAsia="仿宋_GB2312"/>
          <w:color w:val="auto"/>
          <w:sz w:val="32"/>
          <w:szCs w:val="32"/>
        </w:rPr>
        <w:t>3.养护作业水平等级为合格：在直接扣除5%当月养护费的基础上，考核得分比90分每低1分，扣除当月2%养护费；</w:t>
      </w:r>
    </w:p>
    <w:p>
      <w:pPr>
        <w:spacing w:line="560" w:lineRule="exact"/>
        <w:ind w:firstLine="660"/>
        <w:rPr>
          <w:rFonts w:ascii="仿宋_GB2312" w:eastAsia="仿宋_GB2312"/>
          <w:color w:val="auto"/>
          <w:sz w:val="32"/>
          <w:szCs w:val="32"/>
        </w:rPr>
      </w:pPr>
      <w:r>
        <w:rPr>
          <w:rFonts w:hint="eastAsia" w:ascii="仿宋_GB2312" w:eastAsia="仿宋_GB2312"/>
          <w:color w:val="auto"/>
          <w:sz w:val="32"/>
          <w:szCs w:val="32"/>
        </w:rPr>
        <w:t>4.养护作业水平得分为不合格，扣除当月养护费总额的50%。</w:t>
      </w:r>
    </w:p>
    <w:p>
      <w:pPr>
        <w:spacing w:line="560" w:lineRule="exact"/>
        <w:ind w:firstLine="660"/>
        <w:rPr>
          <w:rFonts w:ascii="仿宋_GB2312" w:eastAsia="仿宋_GB2312"/>
          <w:color w:val="auto"/>
          <w:sz w:val="32"/>
          <w:szCs w:val="32"/>
        </w:rPr>
      </w:pPr>
      <w:r>
        <w:rPr>
          <w:rFonts w:hint="eastAsia" w:ascii="仿宋_GB2312" w:eastAsia="仿宋_GB2312"/>
          <w:color w:val="auto"/>
          <w:sz w:val="32"/>
          <w:szCs w:val="32"/>
        </w:rPr>
        <w:t>（二）对于在检查前被投诉或曝光的道路，</w:t>
      </w:r>
      <w:r>
        <w:rPr>
          <w:rFonts w:hint="eastAsia" w:ascii="仿宋_GB2312" w:eastAsia="仿宋_GB2312"/>
          <w:color w:val="auto"/>
          <w:sz w:val="32"/>
          <w:szCs w:val="32"/>
          <w:lang w:eastAsia="zh-CN"/>
        </w:rPr>
        <w:t>直接</w:t>
      </w:r>
      <w:r>
        <w:rPr>
          <w:rFonts w:hint="eastAsia" w:ascii="仿宋_GB2312" w:eastAsia="仿宋_GB2312"/>
          <w:color w:val="auto"/>
          <w:sz w:val="32"/>
          <w:szCs w:val="32"/>
        </w:rPr>
        <w:t>扣发当月</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eastAsia="zh-CN"/>
        </w:rPr>
        <w:t>养护</w:t>
      </w:r>
      <w:r>
        <w:rPr>
          <w:rFonts w:hint="eastAsia" w:ascii="仿宋_GB2312" w:eastAsia="仿宋_GB2312"/>
          <w:color w:val="auto"/>
          <w:sz w:val="32"/>
          <w:szCs w:val="32"/>
        </w:rPr>
        <w:t>费。</w:t>
      </w:r>
    </w:p>
    <w:p>
      <w:pPr>
        <w:spacing w:line="560" w:lineRule="exact"/>
        <w:ind w:firstLine="660"/>
        <w:rPr>
          <w:rFonts w:hint="eastAsia" w:ascii="仿宋_GB2312" w:eastAsia="仿宋_GB2312"/>
          <w:color w:val="auto"/>
          <w:sz w:val="32"/>
          <w:szCs w:val="32"/>
        </w:rPr>
      </w:pPr>
      <w:r>
        <w:rPr>
          <w:rFonts w:hint="eastAsia" w:ascii="仿宋_GB2312" w:eastAsia="仿宋_GB2312"/>
          <w:color w:val="auto"/>
          <w:sz w:val="32"/>
          <w:szCs w:val="32"/>
        </w:rPr>
        <w:t>（三）数字城管、市政所巡查等发现道路存在问题的，在规定时间内未进行整改，扣发该道路当月</w:t>
      </w:r>
      <w:r>
        <w:rPr>
          <w:rFonts w:hint="eastAsia" w:ascii="仿宋_GB2312" w:eastAsia="仿宋_GB2312"/>
          <w:color w:val="auto"/>
          <w:sz w:val="32"/>
          <w:szCs w:val="32"/>
          <w:lang w:eastAsia="zh-CN"/>
        </w:rPr>
        <w:t>养护</w:t>
      </w:r>
      <w:r>
        <w:rPr>
          <w:rFonts w:hint="eastAsia" w:ascii="仿宋_GB2312" w:eastAsia="仿宋_GB2312"/>
          <w:color w:val="auto"/>
          <w:sz w:val="32"/>
          <w:szCs w:val="32"/>
        </w:rPr>
        <w:t>费的30%。</w:t>
      </w:r>
    </w:p>
    <w:p>
      <w:pPr>
        <w:spacing w:line="560" w:lineRule="exact"/>
        <w:ind w:firstLine="660"/>
        <w:rPr>
          <w:rFonts w:hint="eastAsia" w:ascii="仿宋_GB2312" w:eastAsia="仿宋_GB2312"/>
          <w:color w:val="auto"/>
          <w:sz w:val="32"/>
          <w:szCs w:val="32"/>
        </w:rPr>
      </w:pPr>
      <w:r>
        <w:rPr>
          <w:rFonts w:hint="eastAsia" w:ascii="仿宋_GB2312" w:eastAsia="仿宋_GB2312"/>
          <w:color w:val="auto"/>
          <w:sz w:val="32"/>
          <w:szCs w:val="32"/>
        </w:rPr>
        <w:t>（四）市城管</w:t>
      </w:r>
      <w:r>
        <w:rPr>
          <w:rFonts w:hint="eastAsia" w:ascii="仿宋_GB2312" w:eastAsia="仿宋_GB2312"/>
          <w:color w:val="auto"/>
          <w:sz w:val="32"/>
          <w:szCs w:val="32"/>
          <w:lang w:eastAsia="zh-CN"/>
        </w:rPr>
        <w:t>委</w:t>
      </w:r>
      <w:r>
        <w:rPr>
          <w:rFonts w:hint="eastAsia" w:ascii="仿宋_GB2312" w:eastAsia="仿宋_GB2312"/>
          <w:color w:val="auto"/>
          <w:sz w:val="32"/>
          <w:szCs w:val="32"/>
        </w:rPr>
        <w:t>在季度及年度考核中存在问题的，扣发当月管养费的5%。</w:t>
      </w:r>
    </w:p>
    <w:p>
      <w:pPr>
        <w:spacing w:line="560" w:lineRule="exact"/>
        <w:ind w:firstLine="660"/>
        <w:rPr>
          <w:rFonts w:ascii="仿宋_GB2312" w:eastAsia="仿宋_GB2312"/>
          <w:color w:val="auto"/>
          <w:sz w:val="32"/>
          <w:szCs w:val="32"/>
        </w:rPr>
      </w:pPr>
    </w:p>
    <w:p>
      <w:pPr>
        <w:wordWrap w:val="0"/>
        <w:spacing w:line="560" w:lineRule="exact"/>
        <w:ind w:firstLine="660"/>
        <w:jc w:val="right"/>
        <w:rPr>
          <w:rFonts w:hint="default" w:ascii="仿宋_GB2312" w:eastAsia="仿宋_GB2312"/>
          <w:color w:val="auto"/>
          <w:sz w:val="32"/>
          <w:szCs w:val="32"/>
          <w:lang w:val="en-US" w:eastAsia="zh-CN"/>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 xml:space="preserve">    </w:t>
      </w:r>
    </w:p>
    <w:p>
      <w:pPr>
        <w:rPr>
          <w:color w:val="auto"/>
        </w:rPr>
        <w:sectPr>
          <w:pgSz w:w="11906" w:h="16838"/>
          <w:pgMar w:top="1440" w:right="1800" w:bottom="1440" w:left="1800" w:header="851" w:footer="992" w:gutter="0"/>
          <w:pgNumType w:fmt="decimal"/>
          <w:cols w:space="720" w:num="1"/>
          <w:docGrid w:type="lines" w:linePitch="312" w:charSpace="0"/>
        </w:sectPr>
      </w:pP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u w:val="single"/>
        </w:rPr>
        <w:t xml:space="preserve">     </w:t>
      </w:r>
      <w:r>
        <w:rPr>
          <w:rFonts w:hint="eastAsia" w:ascii="方正小标宋简体" w:eastAsia="方正小标宋简体"/>
          <w:color w:val="auto"/>
          <w:sz w:val="44"/>
          <w:szCs w:val="44"/>
        </w:rPr>
        <w:t>年城区市政道路维修</w:t>
      </w:r>
      <w:r>
        <w:rPr>
          <w:rFonts w:hint="eastAsia" w:ascii="方正小标宋简体" w:eastAsia="方正小标宋简体"/>
          <w:color w:val="auto"/>
          <w:sz w:val="44"/>
          <w:szCs w:val="44"/>
          <w:lang w:eastAsia="zh-CN"/>
        </w:rPr>
        <w:t>养护</w:t>
      </w:r>
      <w:r>
        <w:rPr>
          <w:rFonts w:hint="eastAsia" w:ascii="方正小标宋简体" w:eastAsia="方正小标宋简体"/>
          <w:color w:val="auto"/>
          <w:sz w:val="44"/>
          <w:szCs w:val="44"/>
          <w:u w:val="single"/>
        </w:rPr>
        <w:t xml:space="preserve">    </w:t>
      </w:r>
      <w:r>
        <w:rPr>
          <w:rFonts w:hint="eastAsia" w:ascii="方正小标宋简体" w:eastAsia="方正小标宋简体"/>
          <w:color w:val="auto"/>
          <w:sz w:val="44"/>
          <w:szCs w:val="44"/>
        </w:rPr>
        <w:t>标段</w:t>
      </w:r>
      <w:r>
        <w:rPr>
          <w:rFonts w:hint="eastAsia" w:ascii="方正小标宋简体" w:eastAsia="方正小标宋简体"/>
          <w:color w:val="auto"/>
          <w:sz w:val="44"/>
          <w:szCs w:val="44"/>
          <w:u w:val="single"/>
        </w:rPr>
        <w:t xml:space="preserve">   </w:t>
      </w:r>
      <w:r>
        <w:rPr>
          <w:rFonts w:hint="eastAsia" w:ascii="方正小标宋简体" w:eastAsia="方正小标宋简体"/>
          <w:color w:val="auto"/>
          <w:sz w:val="44"/>
          <w:szCs w:val="44"/>
        </w:rPr>
        <w:t>月考核得分</w:t>
      </w:r>
      <w:r>
        <w:rPr>
          <w:rFonts w:hint="eastAsia" w:ascii="方正小标宋简体" w:eastAsia="方正小标宋简体"/>
          <w:color w:val="auto"/>
          <w:sz w:val="44"/>
          <w:szCs w:val="44"/>
          <w:lang w:eastAsia="zh-CN"/>
        </w:rPr>
        <w:t>计算表</w:t>
      </w:r>
    </w:p>
    <w:p>
      <w:pPr>
        <w:pStyle w:val="2"/>
        <w:rPr>
          <w:rFonts w:hint="eastAsia"/>
          <w:color w:val="auto"/>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596"/>
        <w:gridCol w:w="1801"/>
        <w:gridCol w:w="2674"/>
        <w:gridCol w:w="2094"/>
        <w:gridCol w:w="1832"/>
        <w:gridCol w:w="1832"/>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序号</w:t>
            </w:r>
          </w:p>
        </w:tc>
        <w:tc>
          <w:tcPr>
            <w:tcW w:w="2596" w:type="dxa"/>
            <w:vMerge w:val="restart"/>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考核方式</w:t>
            </w:r>
          </w:p>
        </w:tc>
        <w:tc>
          <w:tcPr>
            <w:tcW w:w="1801" w:type="dxa"/>
            <w:vMerge w:val="restart"/>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考核检查内容</w:t>
            </w:r>
          </w:p>
        </w:tc>
        <w:tc>
          <w:tcPr>
            <w:tcW w:w="2674" w:type="dxa"/>
            <w:vMerge w:val="restart"/>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计算式</w:t>
            </w:r>
          </w:p>
        </w:tc>
        <w:tc>
          <w:tcPr>
            <w:tcW w:w="5758" w:type="dxa"/>
            <w:gridSpan w:val="3"/>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各养护作业考核项目得分</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596" w:type="dxa"/>
            <w:vMerge w:val="continue"/>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1801" w:type="dxa"/>
            <w:vMerge w:val="continue"/>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674" w:type="dxa"/>
            <w:vMerge w:val="continue"/>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09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日常巡查（X）</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桥梁现场检查（Y）</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内业检查（Z）</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596" w:type="dxa"/>
            <w:vMerge w:val="restart"/>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集中检查</w:t>
            </w:r>
          </w:p>
        </w:tc>
        <w:tc>
          <w:tcPr>
            <w:tcW w:w="1801"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检查道路</w:t>
            </w:r>
            <w:r>
              <w:rPr>
                <w:rFonts w:hint="eastAsia" w:ascii="仿宋_GB2312" w:hAnsi="仿宋_GB2312" w:eastAsia="仿宋_GB2312" w:cs="仿宋_GB2312"/>
                <w:color w:val="auto"/>
                <w:sz w:val="21"/>
                <w:szCs w:val="21"/>
                <w:vertAlign w:val="baseline"/>
                <w:lang w:val="en-US" w:eastAsia="zh-CN"/>
              </w:rPr>
              <w:t>1</w:t>
            </w:r>
          </w:p>
        </w:tc>
        <w:tc>
          <w:tcPr>
            <w:tcW w:w="267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094"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A1</w:t>
            </w:r>
          </w:p>
        </w:tc>
        <w:tc>
          <w:tcPr>
            <w:tcW w:w="1832"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A2</w:t>
            </w:r>
          </w:p>
        </w:tc>
        <w:tc>
          <w:tcPr>
            <w:tcW w:w="1832"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A3</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596" w:type="dxa"/>
            <w:vMerge w:val="continue"/>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180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检查道路</w:t>
            </w:r>
            <w:r>
              <w:rPr>
                <w:rFonts w:hint="eastAsia" w:ascii="仿宋_GB2312" w:hAnsi="仿宋_GB2312" w:eastAsia="仿宋_GB2312" w:cs="仿宋_GB2312"/>
                <w:color w:val="auto"/>
                <w:sz w:val="21"/>
                <w:szCs w:val="21"/>
                <w:vertAlign w:val="baseline"/>
                <w:lang w:val="en-US" w:eastAsia="zh-CN"/>
              </w:rPr>
              <w:t>2</w:t>
            </w:r>
          </w:p>
        </w:tc>
        <w:tc>
          <w:tcPr>
            <w:tcW w:w="267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09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A1</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A2</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A3</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596" w:type="dxa"/>
            <w:vMerge w:val="continue"/>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1801"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检查道路</w:t>
            </w:r>
            <w:r>
              <w:rPr>
                <w:rFonts w:hint="eastAsia" w:ascii="仿宋_GB2312" w:hAnsi="仿宋_GB2312" w:eastAsia="仿宋_GB2312" w:cs="仿宋_GB2312"/>
                <w:color w:val="auto"/>
                <w:sz w:val="21"/>
                <w:szCs w:val="21"/>
                <w:vertAlign w:val="baseline"/>
                <w:lang w:val="en-US" w:eastAsia="zh-CN"/>
              </w:rPr>
              <w:t>3</w:t>
            </w:r>
          </w:p>
        </w:tc>
        <w:tc>
          <w:tcPr>
            <w:tcW w:w="267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09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A1</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A2</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A3</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596" w:type="dxa"/>
            <w:vMerge w:val="continue"/>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1801"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检查道路</w:t>
            </w:r>
            <w:r>
              <w:rPr>
                <w:rFonts w:hint="eastAsia" w:ascii="仿宋_GB2312" w:hAnsi="仿宋_GB2312" w:eastAsia="仿宋_GB2312" w:cs="仿宋_GB2312"/>
                <w:color w:val="auto"/>
                <w:sz w:val="21"/>
                <w:szCs w:val="21"/>
                <w:vertAlign w:val="baseline"/>
                <w:lang w:val="en-US" w:eastAsia="zh-CN"/>
              </w:rPr>
              <w:t>4</w:t>
            </w:r>
          </w:p>
        </w:tc>
        <w:tc>
          <w:tcPr>
            <w:tcW w:w="267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09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A1</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A2</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A3</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596" w:type="dxa"/>
            <w:vMerge w:val="continue"/>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1801" w:type="dxa"/>
            <w:noWrap w:val="0"/>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检查道路</w:t>
            </w:r>
            <w:r>
              <w:rPr>
                <w:rFonts w:hint="eastAsia" w:ascii="仿宋_GB2312" w:hAnsi="仿宋_GB2312" w:eastAsia="仿宋_GB2312" w:cs="仿宋_GB2312"/>
                <w:color w:val="auto"/>
                <w:sz w:val="21"/>
                <w:szCs w:val="21"/>
                <w:vertAlign w:val="baseline"/>
                <w:lang w:val="en-US" w:eastAsia="zh-CN"/>
              </w:rPr>
              <w:t>5</w:t>
            </w:r>
          </w:p>
        </w:tc>
        <w:tc>
          <w:tcPr>
            <w:tcW w:w="267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09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A1</w:t>
            </w:r>
          </w:p>
        </w:tc>
        <w:tc>
          <w:tcPr>
            <w:tcW w:w="1832"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A2</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A3</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596" w:type="dxa"/>
            <w:vMerge w:val="continue"/>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180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集中检查平均分</w:t>
            </w:r>
          </w:p>
        </w:tc>
        <w:tc>
          <w:tcPr>
            <w:tcW w:w="267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Σ各道路单项目得分÷5</w:t>
            </w:r>
          </w:p>
        </w:tc>
        <w:tc>
          <w:tcPr>
            <w:tcW w:w="2094"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a=</w:t>
            </w:r>
            <w:r>
              <w:rPr>
                <w:rFonts w:hint="eastAsia" w:ascii="仿宋_GB2312" w:hAnsi="仿宋_GB2312" w:eastAsia="仿宋_GB2312" w:cs="仿宋_GB2312"/>
                <w:color w:val="auto"/>
                <w:sz w:val="21"/>
                <w:szCs w:val="21"/>
                <w:vertAlign w:val="baseline"/>
                <w:lang w:eastAsia="zh-CN"/>
              </w:rPr>
              <w:t>Σ</w:t>
            </w:r>
            <w:r>
              <w:rPr>
                <w:rFonts w:hint="eastAsia" w:ascii="仿宋_GB2312" w:hAnsi="仿宋_GB2312" w:eastAsia="仿宋_GB2312" w:cs="仿宋_GB2312"/>
                <w:color w:val="auto"/>
                <w:sz w:val="21"/>
                <w:szCs w:val="21"/>
                <w:vertAlign w:val="baseline"/>
                <w:lang w:val="en-US" w:eastAsia="zh-CN"/>
              </w:rPr>
              <w:t>A1</w:t>
            </w:r>
            <w:r>
              <w:rPr>
                <w:rFonts w:hint="eastAsia" w:ascii="仿宋_GB2312" w:hAnsi="仿宋_GB2312" w:eastAsia="仿宋_GB2312" w:cs="仿宋_GB2312"/>
                <w:color w:val="auto"/>
                <w:sz w:val="21"/>
                <w:szCs w:val="21"/>
                <w:vertAlign w:val="baseline"/>
                <w:lang w:eastAsia="zh-CN"/>
              </w:rPr>
              <w:t>÷5</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b=</w:t>
            </w:r>
            <w:r>
              <w:rPr>
                <w:rFonts w:hint="eastAsia" w:ascii="仿宋_GB2312" w:hAnsi="仿宋_GB2312" w:eastAsia="仿宋_GB2312" w:cs="仿宋_GB2312"/>
                <w:color w:val="auto"/>
                <w:sz w:val="21"/>
                <w:szCs w:val="21"/>
                <w:vertAlign w:val="baseline"/>
                <w:lang w:eastAsia="zh-CN"/>
              </w:rPr>
              <w:t>Σ</w:t>
            </w:r>
            <w:r>
              <w:rPr>
                <w:rFonts w:hint="eastAsia" w:ascii="仿宋_GB2312" w:hAnsi="仿宋_GB2312" w:eastAsia="仿宋_GB2312" w:cs="仿宋_GB2312"/>
                <w:color w:val="auto"/>
                <w:sz w:val="21"/>
                <w:szCs w:val="21"/>
                <w:vertAlign w:val="baseline"/>
                <w:lang w:val="en-US" w:eastAsia="zh-CN"/>
              </w:rPr>
              <w:t>A2</w:t>
            </w:r>
            <w:r>
              <w:rPr>
                <w:rFonts w:hint="eastAsia" w:ascii="仿宋_GB2312" w:hAnsi="仿宋_GB2312" w:eastAsia="仿宋_GB2312" w:cs="仿宋_GB2312"/>
                <w:color w:val="auto"/>
                <w:sz w:val="21"/>
                <w:szCs w:val="21"/>
                <w:vertAlign w:val="baseline"/>
                <w:lang w:eastAsia="zh-CN"/>
              </w:rPr>
              <w:t>÷5</w:t>
            </w:r>
          </w:p>
        </w:tc>
        <w:tc>
          <w:tcPr>
            <w:tcW w:w="1832"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c=</w:t>
            </w:r>
            <w:r>
              <w:rPr>
                <w:rFonts w:hint="eastAsia" w:ascii="仿宋_GB2312" w:hAnsi="仿宋_GB2312" w:eastAsia="仿宋_GB2312" w:cs="仿宋_GB2312"/>
                <w:color w:val="auto"/>
                <w:sz w:val="21"/>
                <w:szCs w:val="21"/>
                <w:vertAlign w:val="baseline"/>
                <w:lang w:eastAsia="zh-CN"/>
              </w:rPr>
              <w:t>Σ</w:t>
            </w:r>
            <w:r>
              <w:rPr>
                <w:rFonts w:hint="eastAsia" w:ascii="仿宋_GB2312" w:hAnsi="仿宋_GB2312" w:eastAsia="仿宋_GB2312" w:cs="仿宋_GB2312"/>
                <w:color w:val="auto"/>
                <w:sz w:val="21"/>
                <w:szCs w:val="21"/>
                <w:vertAlign w:val="baseline"/>
                <w:lang w:val="en-US" w:eastAsia="zh-CN"/>
              </w:rPr>
              <w:t>A3</w:t>
            </w:r>
            <w:r>
              <w:rPr>
                <w:rFonts w:hint="eastAsia" w:ascii="仿宋_GB2312" w:hAnsi="仿宋_GB2312" w:eastAsia="仿宋_GB2312" w:cs="仿宋_GB2312"/>
                <w:color w:val="auto"/>
                <w:sz w:val="21"/>
                <w:szCs w:val="21"/>
                <w:vertAlign w:val="baseline"/>
                <w:lang w:eastAsia="zh-CN"/>
              </w:rPr>
              <w:t>÷5</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596"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日常检查</w:t>
            </w:r>
          </w:p>
        </w:tc>
        <w:tc>
          <w:tcPr>
            <w:tcW w:w="1801"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日常检查扣分</w:t>
            </w:r>
          </w:p>
        </w:tc>
        <w:tc>
          <w:tcPr>
            <w:tcW w:w="267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094"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E</w:t>
            </w:r>
          </w:p>
        </w:tc>
        <w:tc>
          <w:tcPr>
            <w:tcW w:w="1832"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F</w:t>
            </w:r>
          </w:p>
        </w:tc>
        <w:tc>
          <w:tcPr>
            <w:tcW w:w="1832"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G</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4397" w:type="dxa"/>
            <w:gridSpan w:val="2"/>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各养护作业考核项目得分</w:t>
            </w:r>
          </w:p>
        </w:tc>
        <w:tc>
          <w:tcPr>
            <w:tcW w:w="267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2094"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x=a-E</w:t>
            </w:r>
          </w:p>
        </w:tc>
        <w:tc>
          <w:tcPr>
            <w:tcW w:w="1832"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y=b-F</w:t>
            </w:r>
          </w:p>
        </w:tc>
        <w:tc>
          <w:tcPr>
            <w:tcW w:w="1832" w:type="dxa"/>
            <w:noWrap w:val="0"/>
            <w:vAlign w:val="center"/>
          </w:tcPr>
          <w:p>
            <w:pPr>
              <w:pStyle w:val="2"/>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z=c-G</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c>
          <w:tcPr>
            <w:tcW w:w="4397" w:type="dxa"/>
            <w:gridSpan w:val="2"/>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养护作业水平考核得分</w:t>
            </w:r>
          </w:p>
        </w:tc>
        <w:tc>
          <w:tcPr>
            <w:tcW w:w="2674"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X*20%+Y*60%+Z*20%</w:t>
            </w:r>
          </w:p>
        </w:tc>
        <w:tc>
          <w:tcPr>
            <w:tcW w:w="5758" w:type="dxa"/>
            <w:gridSpan w:val="3"/>
            <w:noWrap w:val="0"/>
            <w:vAlign w:val="center"/>
          </w:tcPr>
          <w:p>
            <w:pPr>
              <w:pStyle w:val="2"/>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x</w:t>
            </w:r>
            <w:r>
              <w:rPr>
                <w:rFonts w:hint="eastAsia" w:ascii="仿宋_GB2312" w:hAnsi="仿宋_GB2312" w:eastAsia="仿宋_GB2312" w:cs="仿宋_GB2312"/>
                <w:color w:val="auto"/>
                <w:sz w:val="21"/>
                <w:szCs w:val="21"/>
                <w:vertAlign w:val="baseline"/>
                <w:lang w:eastAsia="zh-CN"/>
              </w:rPr>
              <w:t>*20%+</w:t>
            </w:r>
            <w:r>
              <w:rPr>
                <w:rFonts w:hint="eastAsia" w:ascii="仿宋_GB2312" w:hAnsi="仿宋_GB2312" w:eastAsia="仿宋_GB2312" w:cs="仿宋_GB2312"/>
                <w:color w:val="auto"/>
                <w:sz w:val="21"/>
                <w:szCs w:val="21"/>
                <w:vertAlign w:val="baseline"/>
                <w:lang w:val="en-US" w:eastAsia="zh-CN"/>
              </w:rPr>
              <w:t>y</w:t>
            </w:r>
            <w:r>
              <w:rPr>
                <w:rFonts w:hint="eastAsia" w:ascii="仿宋_GB2312" w:hAnsi="仿宋_GB2312" w:eastAsia="仿宋_GB2312" w:cs="仿宋_GB2312"/>
                <w:color w:val="auto"/>
                <w:sz w:val="21"/>
                <w:szCs w:val="21"/>
                <w:vertAlign w:val="baseline"/>
                <w:lang w:eastAsia="zh-CN"/>
              </w:rPr>
              <w:t>*60%+</w:t>
            </w:r>
            <w:r>
              <w:rPr>
                <w:rFonts w:hint="eastAsia" w:ascii="仿宋_GB2312" w:hAnsi="仿宋_GB2312" w:eastAsia="仿宋_GB2312" w:cs="仿宋_GB2312"/>
                <w:color w:val="auto"/>
                <w:sz w:val="21"/>
                <w:szCs w:val="21"/>
                <w:vertAlign w:val="baseline"/>
                <w:lang w:val="en-US" w:eastAsia="zh-CN"/>
              </w:rPr>
              <w:t>z</w:t>
            </w:r>
            <w:r>
              <w:rPr>
                <w:rFonts w:hint="eastAsia" w:ascii="仿宋_GB2312" w:hAnsi="仿宋_GB2312" w:eastAsia="仿宋_GB2312" w:cs="仿宋_GB2312"/>
                <w:color w:val="auto"/>
                <w:sz w:val="21"/>
                <w:szCs w:val="21"/>
                <w:vertAlign w:val="baseline"/>
                <w:lang w:eastAsia="zh-CN"/>
              </w:rPr>
              <w:t>*20%</w:t>
            </w:r>
          </w:p>
        </w:tc>
        <w:tc>
          <w:tcPr>
            <w:tcW w:w="1781" w:type="dxa"/>
            <w:noWrap w:val="0"/>
            <w:vAlign w:val="center"/>
          </w:tcPr>
          <w:p>
            <w:pPr>
              <w:pStyle w:val="2"/>
              <w:jc w:val="center"/>
              <w:rPr>
                <w:rFonts w:hint="eastAsia" w:ascii="仿宋_GB2312" w:hAnsi="仿宋_GB2312" w:eastAsia="仿宋_GB2312" w:cs="仿宋_GB2312"/>
                <w:color w:val="auto"/>
                <w:sz w:val="21"/>
                <w:szCs w:val="21"/>
                <w:vertAlign w:val="baseline"/>
                <w:lang w:eastAsia="zh-CN"/>
              </w:rPr>
            </w:pPr>
          </w:p>
        </w:tc>
      </w:tr>
    </w:tbl>
    <w:p>
      <w:pPr>
        <w:pStyle w:val="2"/>
        <w:rPr>
          <w:rFonts w:hint="eastAsia" w:ascii="方正小标宋简体" w:eastAsia="方正小标宋简体"/>
          <w:color w:val="auto"/>
          <w:sz w:val="44"/>
          <w:szCs w:val="44"/>
          <w:lang w:eastAsia="zh-CN"/>
        </w:rPr>
        <w:sectPr>
          <w:footerReference r:id="rId10" w:type="default"/>
          <w:pgSz w:w="16838" w:h="11906" w:orient="landscape"/>
          <w:pgMar w:top="720" w:right="720" w:bottom="720" w:left="720" w:header="851" w:footer="992" w:gutter="0"/>
          <w:pgNumType w:fmt="decimal"/>
          <w:cols w:space="720" w:num="1"/>
          <w:docGrid w:type="lines" w:linePitch="312" w:charSpace="0"/>
        </w:sectPr>
      </w:pPr>
    </w:p>
    <w:p>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u w:val="single"/>
        </w:rPr>
        <w:t xml:space="preserve">     </w:t>
      </w:r>
      <w:r>
        <w:rPr>
          <w:rFonts w:hint="eastAsia" w:ascii="方正小标宋简体" w:eastAsia="方正小标宋简体"/>
          <w:color w:val="auto"/>
          <w:sz w:val="44"/>
          <w:szCs w:val="44"/>
        </w:rPr>
        <w:t>年城区市政道路维修</w:t>
      </w:r>
      <w:r>
        <w:rPr>
          <w:rFonts w:hint="eastAsia" w:ascii="方正小标宋简体" w:eastAsia="方正小标宋简体"/>
          <w:color w:val="auto"/>
          <w:sz w:val="44"/>
          <w:szCs w:val="44"/>
          <w:lang w:eastAsia="zh-CN"/>
        </w:rPr>
        <w:t>养护</w:t>
      </w:r>
      <w:r>
        <w:rPr>
          <w:rFonts w:hint="eastAsia" w:ascii="方正小标宋简体" w:eastAsia="方正小标宋简体"/>
          <w:color w:val="auto"/>
          <w:sz w:val="44"/>
          <w:szCs w:val="44"/>
          <w:u w:val="single"/>
        </w:rPr>
        <w:t xml:space="preserve">    </w:t>
      </w:r>
      <w:r>
        <w:rPr>
          <w:rFonts w:hint="eastAsia" w:ascii="方正小标宋简体" w:eastAsia="方正小标宋简体"/>
          <w:color w:val="auto"/>
          <w:sz w:val="44"/>
          <w:szCs w:val="44"/>
        </w:rPr>
        <w:t>标段</w:t>
      </w:r>
      <w:r>
        <w:rPr>
          <w:rFonts w:hint="eastAsia" w:ascii="方正小标宋简体" w:eastAsia="方正小标宋简体"/>
          <w:color w:val="auto"/>
          <w:sz w:val="44"/>
          <w:szCs w:val="44"/>
          <w:u w:val="single"/>
        </w:rPr>
        <w:t xml:space="preserve">   </w:t>
      </w:r>
      <w:r>
        <w:rPr>
          <w:rFonts w:hint="eastAsia" w:ascii="方正小标宋简体" w:eastAsia="方正小标宋简体"/>
          <w:color w:val="auto"/>
          <w:sz w:val="44"/>
          <w:szCs w:val="44"/>
        </w:rPr>
        <w:t>月考核得分汇总表</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59"/>
        <w:gridCol w:w="2859"/>
        <w:gridCol w:w="2859"/>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99" w:type="pct"/>
            <w:noWrap w:val="0"/>
            <w:vAlign w:val="center"/>
          </w:tcPr>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受检单位</w:t>
            </w:r>
          </w:p>
        </w:tc>
        <w:tc>
          <w:tcPr>
            <w:tcW w:w="1000" w:type="pct"/>
            <w:noWrap w:val="0"/>
            <w:vAlign w:val="center"/>
          </w:tcPr>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日常巡查考核得分</w:t>
            </w:r>
          </w:p>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000" w:type="pct"/>
            <w:noWrap w:val="0"/>
            <w:vAlign w:val="center"/>
          </w:tcPr>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道路维修现场检查</w:t>
            </w:r>
          </w:p>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考核得分（60%）</w:t>
            </w:r>
          </w:p>
        </w:tc>
        <w:tc>
          <w:tcPr>
            <w:tcW w:w="1000" w:type="pct"/>
            <w:noWrap w:val="0"/>
            <w:vAlign w:val="center"/>
          </w:tcPr>
          <w:p>
            <w:pPr>
              <w:spacing w:line="5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管理、</w:t>
            </w:r>
            <w:r>
              <w:rPr>
                <w:rFonts w:hint="eastAsia" w:ascii="仿宋_GB2312" w:hAnsi="仿宋_GB2312" w:eastAsia="仿宋_GB2312" w:cs="仿宋_GB2312"/>
                <w:color w:val="auto"/>
                <w:sz w:val="24"/>
                <w:szCs w:val="24"/>
                <w:lang w:eastAsia="zh-CN"/>
              </w:rPr>
              <w:t>内业</w:t>
            </w:r>
          </w:p>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考核得分（20%）</w:t>
            </w:r>
          </w:p>
        </w:tc>
        <w:tc>
          <w:tcPr>
            <w:tcW w:w="1000" w:type="pct"/>
            <w:noWrap w:val="0"/>
            <w:vAlign w:val="center"/>
          </w:tcPr>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99" w:type="pct"/>
            <w:noWrap w:val="0"/>
            <w:vAlign w:val="center"/>
          </w:tcPr>
          <w:p>
            <w:pPr>
              <w:spacing w:line="560" w:lineRule="exact"/>
              <w:jc w:val="center"/>
              <w:rPr>
                <w:rFonts w:hint="eastAsia" w:ascii="仿宋_GB2312" w:hAnsi="仿宋_GB2312" w:eastAsia="仿宋_GB2312" w:cs="仿宋_GB2312"/>
                <w:color w:val="auto"/>
                <w:sz w:val="24"/>
                <w:szCs w:val="24"/>
              </w:rPr>
            </w:pPr>
            <w:r>
              <w:rPr>
                <w:rFonts w:hint="eastAsia" w:ascii="仿宋_GB2312" w:eastAsia="仿宋_GB2312"/>
                <w:color w:val="auto"/>
                <w:sz w:val="24"/>
                <w:szCs w:val="24"/>
              </w:rPr>
              <w:t xml:space="preserve"> </w:t>
            </w:r>
          </w:p>
        </w:tc>
        <w:tc>
          <w:tcPr>
            <w:tcW w:w="1000" w:type="pct"/>
            <w:noWrap w:val="0"/>
            <w:vAlign w:val="center"/>
          </w:tcPr>
          <w:p>
            <w:pPr>
              <w:spacing w:line="560" w:lineRule="exact"/>
              <w:jc w:val="center"/>
              <w:rPr>
                <w:rFonts w:hint="eastAsia" w:ascii="仿宋_GB2312" w:hAnsi="仿宋_GB2312" w:eastAsia="仿宋_GB2312" w:cs="仿宋_GB2312"/>
                <w:color w:val="auto"/>
                <w:sz w:val="24"/>
                <w:szCs w:val="24"/>
              </w:rPr>
            </w:pPr>
          </w:p>
        </w:tc>
        <w:tc>
          <w:tcPr>
            <w:tcW w:w="1000" w:type="pct"/>
            <w:noWrap w:val="0"/>
            <w:vAlign w:val="center"/>
          </w:tcPr>
          <w:p>
            <w:pPr>
              <w:spacing w:line="560" w:lineRule="exact"/>
              <w:jc w:val="center"/>
              <w:rPr>
                <w:rFonts w:hint="eastAsia" w:ascii="仿宋_GB2312" w:hAnsi="仿宋_GB2312" w:eastAsia="仿宋_GB2312" w:cs="仿宋_GB2312"/>
                <w:color w:val="auto"/>
                <w:sz w:val="24"/>
                <w:szCs w:val="24"/>
              </w:rPr>
            </w:pPr>
          </w:p>
        </w:tc>
        <w:tc>
          <w:tcPr>
            <w:tcW w:w="1000" w:type="pct"/>
            <w:noWrap w:val="0"/>
            <w:vAlign w:val="center"/>
          </w:tcPr>
          <w:p>
            <w:pPr>
              <w:spacing w:line="560" w:lineRule="exact"/>
              <w:jc w:val="center"/>
              <w:rPr>
                <w:rFonts w:hint="eastAsia" w:ascii="仿宋_GB2312" w:hAnsi="仿宋_GB2312" w:eastAsia="仿宋_GB2312" w:cs="仿宋_GB2312"/>
                <w:color w:val="auto"/>
                <w:sz w:val="24"/>
                <w:szCs w:val="24"/>
              </w:rPr>
            </w:pPr>
          </w:p>
        </w:tc>
        <w:tc>
          <w:tcPr>
            <w:tcW w:w="1000" w:type="pct"/>
            <w:noWrap w:val="0"/>
            <w:vAlign w:val="center"/>
          </w:tcPr>
          <w:p>
            <w:pPr>
              <w:spacing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999" w:type="pct"/>
            <w:noWrap w:val="0"/>
            <w:vAlign w:val="center"/>
          </w:tcPr>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考核组意见</w:t>
            </w:r>
          </w:p>
        </w:tc>
        <w:tc>
          <w:tcPr>
            <w:tcW w:w="4000" w:type="pct"/>
            <w:gridSpan w:val="4"/>
            <w:noWrap w:val="0"/>
            <w:vAlign w:val="center"/>
          </w:tcPr>
          <w:p>
            <w:pPr>
              <w:spacing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999" w:type="pct"/>
            <w:noWrap w:val="0"/>
            <w:vAlign w:val="center"/>
          </w:tcPr>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市政所负责人意见</w:t>
            </w:r>
          </w:p>
        </w:tc>
        <w:tc>
          <w:tcPr>
            <w:tcW w:w="4000" w:type="pct"/>
            <w:gridSpan w:val="4"/>
            <w:noWrap w:val="0"/>
            <w:vAlign w:val="center"/>
          </w:tcPr>
          <w:p>
            <w:pPr>
              <w:spacing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999" w:type="pct"/>
            <w:noWrap w:val="0"/>
            <w:vAlign w:val="center"/>
          </w:tcPr>
          <w:p>
            <w:pPr>
              <w:spacing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分管领导意见</w:t>
            </w:r>
          </w:p>
        </w:tc>
        <w:tc>
          <w:tcPr>
            <w:tcW w:w="4000" w:type="pct"/>
            <w:gridSpan w:val="4"/>
            <w:noWrap w:val="0"/>
            <w:vAlign w:val="center"/>
          </w:tcPr>
          <w:p>
            <w:pPr>
              <w:spacing w:line="560" w:lineRule="exact"/>
              <w:jc w:val="center"/>
              <w:rPr>
                <w:rFonts w:hint="eastAsia" w:ascii="仿宋_GB2312" w:hAnsi="仿宋_GB2312" w:eastAsia="仿宋_GB2312" w:cs="仿宋_GB2312"/>
                <w:color w:val="auto"/>
                <w:sz w:val="24"/>
                <w:szCs w:val="24"/>
              </w:rPr>
            </w:pPr>
          </w:p>
        </w:tc>
      </w:tr>
    </w:tbl>
    <w:p>
      <w:pPr>
        <w:jc w:val="left"/>
        <w:rPr>
          <w:rFonts w:hint="eastAsia" w:ascii="方正小标宋简体" w:eastAsia="方正小标宋简体"/>
          <w:color w:val="auto"/>
          <w:sz w:val="15"/>
          <w:szCs w:val="15"/>
        </w:rPr>
      </w:pPr>
    </w:p>
    <w:p>
      <w:pPr>
        <w:rPr>
          <w:color w:val="auto"/>
        </w:rPr>
      </w:pPr>
    </w:p>
    <w:p>
      <w:pPr>
        <w:pStyle w:val="2"/>
        <w:rPr>
          <w:rFonts w:hint="eastAsia"/>
          <w:color w:val="auto"/>
        </w:rPr>
        <w:sectPr>
          <w:headerReference r:id="rId11" w:type="default"/>
          <w:footerReference r:id="rId12" w:type="default"/>
          <w:pgSz w:w="16838" w:h="11906" w:orient="landscape"/>
          <w:pgMar w:top="1800" w:right="1440" w:bottom="1800" w:left="1318" w:header="851" w:footer="992" w:gutter="0"/>
          <w:pgNumType w:fmt="decimal"/>
          <w:cols w:space="720" w:num="1"/>
          <w:docGrid w:type="lines" w:linePitch="312" w:charSpace="0"/>
        </w:sectPr>
      </w:pPr>
    </w:p>
    <w:p>
      <w:pPr>
        <w:spacing w:line="600" w:lineRule="exact"/>
        <w:ind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附件4</w:t>
      </w:r>
    </w:p>
    <w:p>
      <w:pPr>
        <w:spacing w:line="600" w:lineRule="exact"/>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成都市郫都区</w:t>
      </w:r>
      <w:r>
        <w:rPr>
          <w:rFonts w:hint="eastAsia" w:ascii="方正小标宋简体" w:eastAsia="方正小标宋简体"/>
          <w:sz w:val="44"/>
          <w:szCs w:val="44"/>
          <w:lang w:eastAsia="zh-CN"/>
        </w:rPr>
        <w:t>综合行政执法</w:t>
      </w:r>
      <w:r>
        <w:rPr>
          <w:rFonts w:hint="eastAsia" w:ascii="方正小标宋简体" w:eastAsia="方正小标宋简体"/>
          <w:sz w:val="44"/>
          <w:szCs w:val="44"/>
        </w:rPr>
        <w:t>局</w:t>
      </w:r>
    </w:p>
    <w:p>
      <w:pPr>
        <w:spacing w:line="600" w:lineRule="exact"/>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桥梁养护管理考核办法</w:t>
      </w:r>
    </w:p>
    <w:p>
      <w:pPr>
        <w:spacing w:line="600" w:lineRule="exact"/>
        <w:ind w:firstLine="0" w:firstLineChars="0"/>
        <w:jc w:val="center"/>
        <w:rPr>
          <w:rFonts w:hint="eastAsia" w:ascii="方正小标宋简体" w:eastAsia="方正小标宋简体"/>
          <w:sz w:val="32"/>
          <w:szCs w:val="32"/>
        </w:rPr>
      </w:pPr>
    </w:p>
    <w:p>
      <w:pPr>
        <w:spacing w:line="600" w:lineRule="exact"/>
        <w:ind w:firstLine="640"/>
        <w:rPr>
          <w:rFonts w:hint="eastAsia" w:ascii="方正黑体简体" w:eastAsia="方正黑体简体"/>
          <w:sz w:val="32"/>
          <w:szCs w:val="32"/>
        </w:rPr>
      </w:pPr>
      <w:r>
        <w:rPr>
          <w:rFonts w:hint="eastAsia" w:ascii="方正黑体简体" w:eastAsia="方正黑体简体"/>
          <w:sz w:val="32"/>
          <w:szCs w:val="32"/>
        </w:rPr>
        <w:t>一、考核依据</w:t>
      </w:r>
    </w:p>
    <w:p>
      <w:pPr>
        <w:spacing w:line="600" w:lineRule="exact"/>
        <w:ind w:firstLine="640"/>
        <w:rPr>
          <w:rFonts w:hint="eastAsia" w:ascii="方正仿宋简体" w:eastAsia="方正仿宋简体"/>
          <w:sz w:val="32"/>
          <w:szCs w:val="32"/>
          <w:lang w:eastAsia="zh-CN"/>
        </w:rPr>
      </w:pPr>
      <w:r>
        <w:rPr>
          <w:rFonts w:hint="eastAsia" w:ascii="方正仿宋简体" w:eastAsia="方正仿宋简体"/>
          <w:sz w:val="32"/>
          <w:szCs w:val="32"/>
        </w:rPr>
        <w:t>（一）</w:t>
      </w:r>
      <w:r>
        <w:rPr>
          <w:rFonts w:hint="eastAsia" w:ascii="方正仿宋简体" w:eastAsia="方正仿宋简体"/>
          <w:sz w:val="32"/>
          <w:szCs w:val="32"/>
          <w:lang w:eastAsia="zh-CN"/>
        </w:rPr>
        <w:t>国家规范及行业标准</w:t>
      </w:r>
      <w:r>
        <w:rPr>
          <w:rFonts w:hint="eastAsia" w:ascii="方正仿宋简体" w:eastAsia="方正仿宋简体"/>
          <w:sz w:val="32"/>
          <w:szCs w:val="32"/>
        </w:rPr>
        <w:t>《城镇道路养护技术规范》（CJJ 36-2016）、《城市桥梁养护技术标准》（CJJ99-20</w:t>
      </w:r>
      <w:r>
        <w:rPr>
          <w:rFonts w:hint="eastAsia" w:ascii="方正仿宋简体" w:eastAsia="方正仿宋简体"/>
          <w:sz w:val="32"/>
          <w:szCs w:val="32"/>
          <w:lang w:val="en-US" w:eastAsia="zh-CN"/>
        </w:rPr>
        <w:t>17</w:t>
      </w:r>
      <w:r>
        <w:rPr>
          <w:rFonts w:hint="eastAsia" w:ascii="方正仿宋简体" w:eastAsia="方正仿宋简体"/>
          <w:sz w:val="32"/>
          <w:szCs w:val="32"/>
        </w:rPr>
        <w:t>）</w:t>
      </w:r>
      <w:r>
        <w:rPr>
          <w:rFonts w:hint="eastAsia" w:ascii="方正仿宋简体" w:eastAsia="方正仿宋简体"/>
          <w:sz w:val="32"/>
          <w:szCs w:val="32"/>
          <w:lang w:eastAsia="zh-CN"/>
        </w:rPr>
        <w:t>、《无障碍设计规范》（GB50763-2012）。</w:t>
      </w:r>
    </w:p>
    <w:p>
      <w:pPr>
        <w:spacing w:line="600" w:lineRule="exact"/>
        <w:ind w:firstLine="640"/>
        <w:rPr>
          <w:rFonts w:hint="eastAsia" w:ascii="方正仿宋简体" w:eastAsia="方正仿宋简体"/>
          <w:sz w:val="32"/>
          <w:szCs w:val="32"/>
          <w:lang w:eastAsia="zh-CN"/>
        </w:rPr>
      </w:pPr>
      <w:r>
        <w:rPr>
          <w:rFonts w:hint="eastAsia" w:ascii="方正仿宋简体" w:eastAsia="方正仿宋简体"/>
          <w:sz w:val="32"/>
          <w:szCs w:val="32"/>
        </w:rPr>
        <w:t>（二）成都市市政行业标准《城市桥梁养护维修技术规范》（CDSZ03-97）</w:t>
      </w:r>
      <w:r>
        <w:rPr>
          <w:rFonts w:hint="eastAsia" w:ascii="方正仿宋简体" w:eastAsia="方正仿宋简体"/>
          <w:sz w:val="32"/>
          <w:szCs w:val="32"/>
          <w:lang w:eastAsia="zh-CN"/>
        </w:rPr>
        <w:t>、《成都市城市道路养护维修规范化操作规程》（2014版）</w:t>
      </w:r>
    </w:p>
    <w:p>
      <w:pPr>
        <w:spacing w:line="600" w:lineRule="exact"/>
        <w:ind w:firstLine="640"/>
        <w:rPr>
          <w:rFonts w:hint="eastAsia" w:ascii="方正仿宋简体" w:eastAsia="方正仿宋简体"/>
          <w:sz w:val="32"/>
          <w:szCs w:val="32"/>
        </w:rPr>
      </w:pPr>
      <w:r>
        <w:rPr>
          <w:rFonts w:hint="eastAsia" w:ascii="方正仿宋简体" w:eastAsia="方正仿宋简体"/>
          <w:sz w:val="32"/>
          <w:szCs w:val="32"/>
        </w:rPr>
        <w:t>（三）《成都市城市道路桥梁养护管理考核管理办法》</w:t>
      </w:r>
    </w:p>
    <w:p>
      <w:pPr>
        <w:spacing w:line="600" w:lineRule="exact"/>
        <w:ind w:firstLine="640"/>
        <w:rPr>
          <w:rFonts w:hint="eastAsia" w:ascii="方正黑体简体" w:eastAsia="方正黑体简体"/>
          <w:sz w:val="32"/>
          <w:szCs w:val="32"/>
        </w:rPr>
      </w:pPr>
      <w:r>
        <w:rPr>
          <w:rFonts w:hint="eastAsia" w:ascii="方正黑体简体" w:eastAsia="方正黑体简体"/>
          <w:sz w:val="32"/>
          <w:szCs w:val="32"/>
        </w:rPr>
        <w:t>二、考核对象</w:t>
      </w:r>
    </w:p>
    <w:p>
      <w:pPr>
        <w:spacing w:line="600" w:lineRule="exact"/>
        <w:ind w:firstLine="640"/>
        <w:rPr>
          <w:rFonts w:hint="eastAsia" w:ascii="方正仿宋简体" w:eastAsia="方正仿宋简体"/>
          <w:sz w:val="32"/>
          <w:szCs w:val="32"/>
        </w:rPr>
      </w:pPr>
      <w:r>
        <w:rPr>
          <w:rFonts w:hint="eastAsia" w:ascii="方正仿宋简体" w:eastAsia="方正仿宋简体"/>
          <w:sz w:val="32"/>
          <w:szCs w:val="32"/>
        </w:rPr>
        <w:t>本办法适用于对受成都市郫都区</w:t>
      </w:r>
      <w:r>
        <w:rPr>
          <w:rFonts w:hint="eastAsia" w:ascii="方正仿宋简体" w:eastAsia="方正仿宋简体"/>
          <w:sz w:val="32"/>
          <w:szCs w:val="32"/>
          <w:lang w:eastAsia="zh-CN"/>
        </w:rPr>
        <w:t>综合行政执法</w:t>
      </w:r>
      <w:r>
        <w:rPr>
          <w:rFonts w:hint="eastAsia" w:ascii="方正仿宋简体" w:eastAsia="方正仿宋简体"/>
          <w:sz w:val="32"/>
          <w:szCs w:val="32"/>
        </w:rPr>
        <w:t>局委托从事桥梁养护作业单位的日常作业情况的检查、考核工作。</w:t>
      </w:r>
    </w:p>
    <w:p>
      <w:pPr>
        <w:spacing w:line="600" w:lineRule="exact"/>
        <w:ind w:firstLine="640"/>
        <w:rPr>
          <w:rFonts w:hint="eastAsia" w:ascii="方正黑体简体" w:eastAsia="方正黑体简体"/>
          <w:sz w:val="32"/>
          <w:szCs w:val="32"/>
        </w:rPr>
      </w:pPr>
      <w:r>
        <w:rPr>
          <w:rFonts w:hint="eastAsia" w:ascii="方正黑体简体" w:eastAsia="方正黑体简体"/>
          <w:sz w:val="32"/>
          <w:szCs w:val="32"/>
        </w:rPr>
        <w:t>三、考核项目及内容</w:t>
      </w:r>
    </w:p>
    <w:p>
      <w:pPr>
        <w:spacing w:line="600" w:lineRule="exact"/>
        <w:ind w:firstLine="640"/>
        <w:rPr>
          <w:rFonts w:hint="eastAsia" w:ascii="方正楷体简体" w:eastAsia="方正楷体简体"/>
          <w:sz w:val="32"/>
          <w:szCs w:val="32"/>
        </w:rPr>
      </w:pPr>
      <w:r>
        <w:rPr>
          <w:rFonts w:hint="eastAsia" w:ascii="方正楷体简体" w:eastAsia="方正楷体简体"/>
          <w:sz w:val="32"/>
          <w:szCs w:val="32"/>
        </w:rPr>
        <w:t>（一）日常巡查考核（代表符号X）：</w:t>
      </w:r>
    </w:p>
    <w:p>
      <w:pPr>
        <w:spacing w:line="600" w:lineRule="exact"/>
        <w:ind w:firstLine="640"/>
        <w:rPr>
          <w:rFonts w:hint="eastAsia" w:ascii="方正仿宋简体" w:eastAsia="方正仿宋简体"/>
          <w:sz w:val="32"/>
          <w:szCs w:val="32"/>
        </w:rPr>
      </w:pPr>
      <w:r>
        <w:rPr>
          <w:rFonts w:hint="eastAsia" w:ascii="方正仿宋简体" w:eastAsia="方正仿宋简体"/>
          <w:sz w:val="32"/>
          <w:szCs w:val="32"/>
        </w:rPr>
        <w:t>每座桥梁必须按照标准配置相应的巡查人员，并将责任落实到个人，及时发现问题并记录，及时通知相关单位人员进行处置。</w:t>
      </w:r>
    </w:p>
    <w:tbl>
      <w:tblPr>
        <w:tblStyle w:val="22"/>
        <w:tblpPr w:leftFromText="180" w:rightFromText="180" w:vertAnchor="text" w:horzAnchor="margin" w:tblpX="1" w:tblpY="4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81"/>
        <w:gridCol w:w="439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号</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43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考核内容</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巡查人员配置</w:t>
            </w:r>
          </w:p>
        </w:tc>
        <w:tc>
          <w:tcPr>
            <w:tcW w:w="43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每4座桥梁设置一名巡检人员</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每缺少一名巡查人员扣1分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巡查责任落实</w:t>
            </w:r>
          </w:p>
        </w:tc>
        <w:tc>
          <w:tcPr>
            <w:tcW w:w="43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桥梁均步行巡检全桥</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未达到本条要求者，每处扣2分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汛期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巡查</w:t>
            </w:r>
          </w:p>
        </w:tc>
        <w:tc>
          <w:tcPr>
            <w:tcW w:w="43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汛期防汛巡查遇大、暴雨半小时后，巡查员应将各负责巡查桥梁的基本状况报知维护管理单位相关负责人。</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未达到本条要求者，每处扣1分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巡查问题发现</w:t>
            </w:r>
          </w:p>
        </w:tc>
        <w:tc>
          <w:tcPr>
            <w:tcW w:w="43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巡查应及时发现病害问题记录，并上报列入维修计划。</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未</w:t>
            </w:r>
            <w:r>
              <w:rPr>
                <w:rFonts w:hint="eastAsia" w:ascii="仿宋_GB2312" w:hAnsi="仿宋_GB2312" w:eastAsia="仿宋_GB2312" w:cs="仿宋_GB2312"/>
                <w:sz w:val="21"/>
                <w:szCs w:val="21"/>
              </w:rPr>
              <w:t>达到本条要求者</w:t>
            </w:r>
            <w:r>
              <w:rPr>
                <w:rFonts w:hint="eastAsia" w:ascii="仿宋_GB2312" w:hAnsi="仿宋_GB2312" w:eastAsia="仿宋_GB2312" w:cs="仿宋_GB2312"/>
                <w:sz w:val="21"/>
                <w:szCs w:val="21"/>
                <w:lang w:eastAsia="zh-CN"/>
              </w:rPr>
              <w:t>，每处扣</w:t>
            </w:r>
            <w:r>
              <w:rPr>
                <w:rFonts w:hint="eastAsia" w:ascii="仿宋_GB2312" w:hAnsi="仿宋_GB2312" w:eastAsia="仿宋_GB2312" w:cs="仿宋_GB2312"/>
                <w:sz w:val="21"/>
                <w:szCs w:val="21"/>
                <w:lang w:val="en-US" w:eastAsia="zh-CN"/>
              </w:rPr>
              <w:t>1分。</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p>
    <w:p>
      <w:pPr>
        <w:spacing w:line="600" w:lineRule="exact"/>
        <w:ind w:firstLine="640"/>
        <w:rPr>
          <w:rFonts w:hint="eastAsia" w:ascii="方正楷体简体" w:eastAsia="方正楷体简体"/>
          <w:sz w:val="32"/>
          <w:szCs w:val="32"/>
        </w:rPr>
      </w:pPr>
      <w:r>
        <w:rPr>
          <w:rFonts w:hint="eastAsia" w:ascii="方正楷体简体" w:eastAsia="方正楷体简体"/>
          <w:sz w:val="32"/>
          <w:szCs w:val="32"/>
        </w:rPr>
        <w:t>（二）</w:t>
      </w:r>
      <w:r>
        <w:rPr>
          <w:rFonts w:hint="eastAsia" w:ascii="方正楷体简体" w:eastAsia="方正楷体简体"/>
          <w:sz w:val="32"/>
          <w:szCs w:val="32"/>
          <w:lang w:eastAsia="zh-CN"/>
        </w:rPr>
        <w:t>桥梁</w:t>
      </w:r>
      <w:r>
        <w:rPr>
          <w:rFonts w:hint="eastAsia" w:ascii="方正楷体简体" w:eastAsia="方正楷体简体"/>
          <w:sz w:val="32"/>
          <w:szCs w:val="32"/>
        </w:rPr>
        <w:t>现场检查（代表符号Y）：</w:t>
      </w:r>
    </w:p>
    <w:p>
      <w:pPr>
        <w:spacing w:line="600" w:lineRule="exact"/>
        <w:ind w:firstLine="640"/>
        <w:rPr>
          <w:rFonts w:hint="eastAsia" w:ascii="方正仿宋简体" w:eastAsia="方正仿宋简体"/>
          <w:sz w:val="32"/>
          <w:szCs w:val="32"/>
        </w:rPr>
      </w:pPr>
      <w:r>
        <w:rPr>
          <w:rFonts w:hint="eastAsia" w:ascii="方正仿宋简体" w:eastAsia="方正仿宋简体"/>
          <w:sz w:val="32"/>
          <w:szCs w:val="32"/>
          <w:lang w:eastAsia="zh-CN"/>
        </w:rPr>
        <w:t>桥面系、桥台等表面</w:t>
      </w:r>
      <w:r>
        <w:rPr>
          <w:rFonts w:hint="eastAsia" w:ascii="方正仿宋简体" w:eastAsia="方正仿宋简体"/>
          <w:sz w:val="32"/>
          <w:szCs w:val="32"/>
        </w:rPr>
        <w:t>平整</w:t>
      </w:r>
      <w:r>
        <w:rPr>
          <w:rFonts w:hint="eastAsia" w:ascii="方正仿宋简体" w:eastAsia="方正仿宋简体"/>
          <w:sz w:val="32"/>
          <w:szCs w:val="32"/>
          <w:lang w:eastAsia="zh-CN"/>
        </w:rPr>
        <w:t>、</w:t>
      </w:r>
      <w:r>
        <w:rPr>
          <w:rFonts w:hint="eastAsia" w:ascii="方正仿宋简体" w:eastAsia="方正仿宋简体"/>
          <w:sz w:val="32"/>
          <w:szCs w:val="32"/>
        </w:rPr>
        <w:t>无明显沉陷破碎、错台、拥包、积水，构建无缺损等病害。</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63"/>
        <w:gridCol w:w="3366"/>
        <w:gridCol w:w="215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号</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标准范围及计量单位</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处理维护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期限</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9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桥面系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裂缝</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裂缝宽度大于10mm且未处理，按裂缝长*0.2（m）计量。单位：㎡。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发现问题后1天处理完毕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碎裂</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开裂成网状，碎块直径小于300mm，按其外边界线长（m）×宽（m）计量。单位：㎡。</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发现问题后2天处理完毕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坑凼</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路面材料松散脱落成函，深度大于25mm，面积大于0.04㎡。按长（m）×宽（m）计量。单位：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发现问题后2天处理完毕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松散</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路面材料呈松散状。按长（m）×宽（m）计量。单位：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发现问题后4天处理完毕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脱皮</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路面混凝土表层、保护层或封面脱落，其深度小于25mm，按长（m）×宽（m）计量。单位：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发现问题后2天处理完毕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沉陷</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路面局部下沉，包括掘路修补后下沉，在3m支持范围内，沉陷深度大于30mm。按长（m）×宽（m）计量。单位：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发现问题后3天处理完毕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拥包</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路面局部隆起，在1m范围内，隆起高度大于20mm。按长（m）×宽（m）计量。单位：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发现问题后3天处理完毕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井周沉陷</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路面与井座高差大于15mm。按周长（m）×宽（m）0.2计量。单位：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发现问题后3天处理完毕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车辙</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面层磨损过度及结构层变形而形成的车槽，以3m直尺横向量测深大于30mm时，按辙长（m）×轮迹全宽（m）计量。单位：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发现问题后4天处理完毕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错台</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水泥混凝土路面在纵、横缝处或与沥青路面接茬处的竖向高差大于15mm时，按错台长（m）×0.2宽（m）计量。单位：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发现问题后5天处理完毕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烂边啃边</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路面边缘材料剥落、破损或形成坑凼，宽度大于40mm，长度大于0.1m。按长（m）×宽（m）计量。单位： ㎡。</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发现问题后3天处理完毕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99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方砖松动</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人行道方砖松动，面积大于1㎡。</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发现问题后1天处理完毕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方砖缺失</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人行道方砖缺失，面积大于1㎡。</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方砖跛</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翘沉陷</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方砖跛翘不平，沉陷深度大于25mm，面积大于1㎡。</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人行道材料完好</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人行道材料破损面积大于1平方米。</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路沿石、平石缺失</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路沿石、平石缺失长度大于1米。</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路沿石、平石移位</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移位长度大于1米，沉陷深度大于25mm。</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路沿石、平石勾缝</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未勾缝长度大于1米。</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桥铭牌</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清洁、完整</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发现问题后1天处理完毕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伸缩缝</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伸缩缝内积存污物</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发现问题后1天处理完毕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护栏</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护栏损坏</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发现问题后2天处理完毕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泄水孔</w:t>
            </w:r>
          </w:p>
        </w:tc>
        <w:tc>
          <w:tcPr>
            <w:tcW w:w="33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畅通</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发现问题后1天处理完毕</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1分/处</w:t>
            </w:r>
          </w:p>
        </w:tc>
      </w:tr>
    </w:tbl>
    <w:p>
      <w:pPr>
        <w:spacing w:line="600" w:lineRule="exact"/>
        <w:ind w:firstLine="640"/>
        <w:rPr>
          <w:rFonts w:hint="eastAsia" w:ascii="方正楷体简体" w:eastAsia="方正楷体简体"/>
          <w:sz w:val="32"/>
          <w:szCs w:val="32"/>
        </w:rPr>
      </w:pPr>
      <w:r>
        <w:rPr>
          <w:rFonts w:hint="eastAsia" w:ascii="方正楷体简体" w:eastAsia="方正楷体简体"/>
          <w:sz w:val="32"/>
          <w:szCs w:val="32"/>
        </w:rPr>
        <w:t>（三）</w:t>
      </w:r>
      <w:r>
        <w:rPr>
          <w:rFonts w:hint="eastAsia" w:ascii="方正楷体简体" w:eastAsia="方正楷体简体"/>
          <w:sz w:val="32"/>
          <w:szCs w:val="32"/>
          <w:lang w:eastAsia="zh-CN"/>
        </w:rPr>
        <w:t>内业</w:t>
      </w:r>
      <w:r>
        <w:rPr>
          <w:rFonts w:hint="eastAsia" w:ascii="方正楷体简体" w:eastAsia="方正楷体简体"/>
          <w:sz w:val="32"/>
          <w:szCs w:val="32"/>
        </w:rPr>
        <w:t>检查（代表符号Z）：</w:t>
      </w:r>
    </w:p>
    <w:p>
      <w:pPr>
        <w:spacing w:line="600" w:lineRule="exact"/>
        <w:ind w:firstLine="640"/>
        <w:jc w:val="left"/>
        <w:rPr>
          <w:rFonts w:hint="eastAsia" w:ascii="方正仿宋简体" w:eastAsia="方正仿宋简体"/>
          <w:sz w:val="32"/>
          <w:szCs w:val="32"/>
        </w:rPr>
      </w:pPr>
      <w:r>
        <w:rPr>
          <w:rFonts w:hint="eastAsia" w:ascii="方正仿宋简体" w:eastAsia="方正仿宋简体"/>
          <w:sz w:val="32"/>
          <w:szCs w:val="32"/>
        </w:rPr>
        <w:t>根据抽检</w:t>
      </w:r>
      <w:r>
        <w:rPr>
          <w:rFonts w:hint="eastAsia" w:ascii="方正仿宋简体" w:eastAsia="方正仿宋简体"/>
          <w:sz w:val="32"/>
          <w:szCs w:val="32"/>
          <w:lang w:eastAsia="zh-CN"/>
        </w:rPr>
        <w:t>桥梁</w:t>
      </w:r>
      <w:r>
        <w:rPr>
          <w:rFonts w:hint="eastAsia" w:ascii="方正仿宋简体" w:eastAsia="方正仿宋简体"/>
          <w:sz w:val="32"/>
          <w:szCs w:val="32"/>
        </w:rPr>
        <w:t>现场检查结果，对内业进行检查，核实巡查记录、维修记录等相关资料。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60"/>
        <w:gridCol w:w="4732"/>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简体" w:eastAsia="仿宋_GB2312"/>
                <w:sz w:val="28"/>
                <w:szCs w:val="28"/>
              </w:rPr>
            </w:pPr>
            <w:r>
              <w:rPr>
                <w:rFonts w:hint="eastAsia" w:ascii="方正仿宋简体" w:eastAsia="仿宋_GB2312"/>
                <w:sz w:val="28"/>
                <w:szCs w:val="28"/>
              </w:rPr>
              <w:t>序号</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简体" w:eastAsia="仿宋_GB2312"/>
                <w:sz w:val="28"/>
                <w:szCs w:val="28"/>
              </w:rPr>
            </w:pPr>
            <w:r>
              <w:rPr>
                <w:rFonts w:hint="eastAsia" w:ascii="方正仿宋简体" w:eastAsia="仿宋_GB2312"/>
                <w:sz w:val="28"/>
                <w:szCs w:val="28"/>
              </w:rPr>
              <w:t>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简体" w:eastAsia="仿宋_GB2312"/>
                <w:sz w:val="28"/>
                <w:szCs w:val="28"/>
              </w:rPr>
            </w:pPr>
            <w:r>
              <w:rPr>
                <w:rFonts w:hint="eastAsia" w:ascii="方正仿宋简体" w:eastAsia="仿宋_GB2312"/>
                <w:sz w:val="28"/>
                <w:szCs w:val="28"/>
              </w:rPr>
              <w:t>名称</w:t>
            </w:r>
          </w:p>
        </w:tc>
        <w:tc>
          <w:tcPr>
            <w:tcW w:w="4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简体" w:eastAsia="仿宋_GB2312"/>
                <w:sz w:val="28"/>
                <w:szCs w:val="28"/>
              </w:rPr>
            </w:pPr>
            <w:r>
              <w:rPr>
                <w:rFonts w:hint="eastAsia" w:ascii="方正仿宋简体" w:eastAsia="仿宋_GB2312"/>
                <w:sz w:val="28"/>
                <w:szCs w:val="28"/>
              </w:rPr>
              <w:t>考核内容</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简体" w:eastAsia="仿宋_GB2312"/>
                <w:sz w:val="28"/>
                <w:szCs w:val="28"/>
              </w:rPr>
            </w:pPr>
            <w:r>
              <w:rPr>
                <w:rFonts w:hint="eastAsia" w:ascii="方正仿宋简体" w:eastAsia="仿宋_GB2312"/>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9" w:type="dxa"/>
            <w:noWrap w:val="0"/>
            <w:vAlign w:val="center"/>
          </w:tcPr>
          <w:p>
            <w:pPr>
              <w:spacing w:line="320" w:lineRule="exact"/>
              <w:ind w:firstLine="0" w:firstLineChars="0"/>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1</w:t>
            </w:r>
          </w:p>
        </w:tc>
        <w:tc>
          <w:tcPr>
            <w:tcW w:w="1360"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综合资料</w:t>
            </w:r>
          </w:p>
        </w:tc>
        <w:tc>
          <w:tcPr>
            <w:tcW w:w="4732"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包括：巡查人员配置表、应急预案、日常值班表</w:t>
            </w:r>
          </w:p>
        </w:tc>
        <w:tc>
          <w:tcPr>
            <w:tcW w:w="1492"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每缺少一样</w:t>
            </w:r>
          </w:p>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29" w:type="dxa"/>
            <w:noWrap w:val="0"/>
            <w:vAlign w:val="center"/>
          </w:tcPr>
          <w:p>
            <w:pPr>
              <w:spacing w:line="320" w:lineRule="exact"/>
              <w:ind w:firstLine="0" w:firstLineChars="0"/>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2</w:t>
            </w:r>
          </w:p>
        </w:tc>
        <w:tc>
          <w:tcPr>
            <w:tcW w:w="1360"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巡查记录</w:t>
            </w:r>
          </w:p>
        </w:tc>
        <w:tc>
          <w:tcPr>
            <w:tcW w:w="4732"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巡查工作每日有记载，内容准确，应做到项目、位置、数量准确无误，发现问题要及时上报，并有记录。处理完毕后，记录处理结果，由相关负责人审核签字。</w:t>
            </w:r>
          </w:p>
        </w:tc>
        <w:tc>
          <w:tcPr>
            <w:tcW w:w="1492"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未达本要求</w:t>
            </w:r>
          </w:p>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29" w:type="dxa"/>
            <w:noWrap w:val="0"/>
            <w:vAlign w:val="center"/>
          </w:tcPr>
          <w:p>
            <w:pPr>
              <w:spacing w:line="320" w:lineRule="exact"/>
              <w:ind w:firstLine="0" w:firstLineChars="0"/>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3</w:t>
            </w:r>
          </w:p>
        </w:tc>
        <w:tc>
          <w:tcPr>
            <w:tcW w:w="1360"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维修记录</w:t>
            </w:r>
          </w:p>
        </w:tc>
        <w:tc>
          <w:tcPr>
            <w:tcW w:w="4732"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对于巡查发现的问题，应在规定的期限内整改完毕，并做好维修记录。</w:t>
            </w:r>
          </w:p>
        </w:tc>
        <w:tc>
          <w:tcPr>
            <w:tcW w:w="1492"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未达本要求</w:t>
            </w:r>
          </w:p>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29" w:type="dxa"/>
            <w:noWrap w:val="0"/>
            <w:vAlign w:val="center"/>
          </w:tcPr>
          <w:p>
            <w:pPr>
              <w:spacing w:line="320" w:lineRule="exact"/>
              <w:ind w:firstLine="0" w:firstLineChars="0"/>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4</w:t>
            </w:r>
          </w:p>
        </w:tc>
        <w:tc>
          <w:tcPr>
            <w:tcW w:w="1360"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上报资料</w:t>
            </w:r>
          </w:p>
        </w:tc>
        <w:tc>
          <w:tcPr>
            <w:tcW w:w="4732"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巡查发现问题后上报城管局的相关报告、请示、文件等。</w:t>
            </w:r>
          </w:p>
        </w:tc>
        <w:tc>
          <w:tcPr>
            <w:tcW w:w="1492" w:type="dxa"/>
            <w:noWrap w:val="0"/>
            <w:vAlign w:val="center"/>
          </w:tcPr>
          <w:p>
            <w:pPr>
              <w:spacing w:line="320" w:lineRule="exact"/>
              <w:ind w:firstLine="0" w:firstLineChars="0"/>
              <w:jc w:val="both"/>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未达本要求每处扣1分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029" w:type="dxa"/>
            <w:noWrap w:val="0"/>
            <w:vAlign w:val="center"/>
          </w:tcPr>
          <w:p>
            <w:pPr>
              <w:spacing w:line="320" w:lineRule="exact"/>
              <w:ind w:firstLine="0" w:firstLineChars="0"/>
              <w:jc w:val="center"/>
              <w:rPr>
                <w:rFonts w:hint="eastAsia" w:ascii="仿宋_GB2312" w:hAnsi="Times New Roman" w:eastAsia="仿宋_GB2312" w:cs="Times New Roman"/>
                <w:sz w:val="21"/>
                <w:szCs w:val="24"/>
                <w:lang w:val="en-US" w:eastAsia="zh-CN"/>
              </w:rPr>
            </w:pPr>
            <w:r>
              <w:rPr>
                <w:rFonts w:hint="eastAsia" w:ascii="仿宋_GB2312" w:hAnsi="Times New Roman" w:eastAsia="仿宋_GB2312" w:cs="Times New Roman"/>
                <w:sz w:val="21"/>
                <w:szCs w:val="24"/>
                <w:lang w:val="en-US" w:eastAsia="zh-CN"/>
              </w:rPr>
              <w:t>5</w:t>
            </w:r>
          </w:p>
        </w:tc>
        <w:tc>
          <w:tcPr>
            <w:tcW w:w="1360" w:type="dxa"/>
            <w:noWrap w:val="0"/>
            <w:vAlign w:val="center"/>
          </w:tcPr>
          <w:p>
            <w:pPr>
              <w:spacing w:line="320" w:lineRule="exact"/>
              <w:ind w:firstLine="0" w:firstLineChars="0"/>
              <w:jc w:val="both"/>
              <w:rPr>
                <w:rFonts w:hint="eastAsia" w:ascii="仿宋_GB2312" w:hAnsi="Times New Roman" w:eastAsia="仿宋_GB2312" w:cs="Times New Roman"/>
                <w:sz w:val="21"/>
                <w:szCs w:val="24"/>
                <w:lang w:val="en-US" w:eastAsia="zh-CN"/>
              </w:rPr>
            </w:pPr>
            <w:r>
              <w:rPr>
                <w:rFonts w:hint="eastAsia" w:ascii="仿宋_GB2312" w:hAnsi="Times New Roman" w:eastAsia="仿宋_GB2312" w:cs="Times New Roman"/>
                <w:sz w:val="21"/>
                <w:szCs w:val="24"/>
                <w:lang w:eastAsia="zh-CN"/>
              </w:rPr>
              <w:t>规范维修工作</w:t>
            </w:r>
          </w:p>
        </w:tc>
        <w:tc>
          <w:tcPr>
            <w:tcW w:w="4732" w:type="dxa"/>
            <w:noWrap w:val="0"/>
            <w:vAlign w:val="center"/>
          </w:tcPr>
          <w:p>
            <w:pPr>
              <w:spacing w:line="320" w:lineRule="exact"/>
              <w:ind w:firstLine="0" w:firstLineChars="0"/>
              <w:jc w:val="both"/>
              <w:rPr>
                <w:rFonts w:hint="eastAsia" w:ascii="仿宋_GB2312" w:hAnsi="Times New Roman" w:eastAsia="仿宋_GB2312" w:cs="Times New Roman"/>
                <w:sz w:val="21"/>
                <w:szCs w:val="24"/>
                <w:lang w:val="en-US" w:eastAsia="zh-CN"/>
              </w:rPr>
            </w:pPr>
            <w:r>
              <w:rPr>
                <w:rFonts w:hint="eastAsia" w:ascii="仿宋_GB2312" w:hAnsi="Times New Roman" w:eastAsia="仿宋_GB2312" w:cs="Times New Roman"/>
                <w:sz w:val="21"/>
                <w:szCs w:val="24"/>
                <w:lang w:eastAsia="zh-CN"/>
              </w:rPr>
              <w:t>严格按照第一条考核依据相关规范开展桥梁维修维护相关工作。</w:t>
            </w:r>
          </w:p>
        </w:tc>
        <w:tc>
          <w:tcPr>
            <w:tcW w:w="1492" w:type="dxa"/>
            <w:noWrap w:val="0"/>
            <w:vAlign w:val="center"/>
          </w:tcPr>
          <w:p>
            <w:pPr>
              <w:spacing w:line="320" w:lineRule="exact"/>
              <w:ind w:firstLine="0" w:firstLineChars="0"/>
              <w:jc w:val="both"/>
              <w:rPr>
                <w:rFonts w:hint="eastAsia" w:ascii="仿宋_GB2312" w:hAnsi="Times New Roman" w:eastAsia="仿宋_GB2312" w:cs="Times New Roman"/>
                <w:sz w:val="21"/>
                <w:szCs w:val="24"/>
                <w:lang w:val="en-US" w:eastAsia="zh-CN"/>
              </w:rPr>
            </w:pPr>
            <w:r>
              <w:rPr>
                <w:rFonts w:hint="eastAsia" w:ascii="仿宋_GB2312" w:hAnsi="Times New Roman" w:eastAsia="仿宋_GB2312" w:cs="Times New Roman"/>
                <w:sz w:val="21"/>
                <w:szCs w:val="24"/>
                <w:lang w:eastAsia="zh-CN"/>
              </w:rPr>
              <w:t>未按要求开展工作每次扣</w:t>
            </w:r>
            <w:r>
              <w:rPr>
                <w:rFonts w:hint="eastAsia" w:ascii="仿宋_GB2312" w:hAnsi="Times New Roman" w:eastAsia="仿宋_GB2312" w:cs="Times New Roman"/>
                <w:sz w:val="21"/>
                <w:szCs w:val="24"/>
                <w:lang w:val="en-US" w:eastAsia="zh-CN"/>
              </w:rPr>
              <w:t>1分</w:t>
            </w:r>
          </w:p>
        </w:tc>
      </w:tr>
    </w:tbl>
    <w:p>
      <w:pPr>
        <w:spacing w:line="600" w:lineRule="exact"/>
        <w:ind w:firstLine="640"/>
        <w:rPr>
          <w:rFonts w:hint="eastAsia" w:ascii="方正黑体简体" w:eastAsia="方正黑体简体"/>
          <w:sz w:val="32"/>
          <w:szCs w:val="32"/>
        </w:rPr>
      </w:pPr>
      <w:r>
        <w:rPr>
          <w:rFonts w:hint="eastAsia" w:ascii="方正黑体简体" w:eastAsia="方正黑体简体"/>
          <w:sz w:val="32"/>
          <w:szCs w:val="32"/>
        </w:rPr>
        <w:t>四</w:t>
      </w:r>
      <w:r>
        <w:rPr>
          <w:rFonts w:hint="eastAsia" w:ascii="方正黑体简体" w:eastAsia="方正黑体简体"/>
          <w:sz w:val="32"/>
          <w:szCs w:val="32"/>
          <w:lang w:eastAsia="zh-CN"/>
        </w:rPr>
        <w:t>、</w:t>
      </w:r>
      <w:r>
        <w:rPr>
          <w:rFonts w:hint="eastAsia" w:ascii="方正黑体简体" w:eastAsia="方正黑体简体"/>
          <w:sz w:val="32"/>
          <w:szCs w:val="32"/>
        </w:rPr>
        <w:t>实施办法</w:t>
      </w:r>
    </w:p>
    <w:p>
      <w:pPr>
        <w:spacing w:line="560" w:lineRule="exact"/>
        <w:ind w:firstLine="660"/>
        <w:rPr>
          <w:rFonts w:hint="eastAsia" w:ascii="仿宋_GB2312" w:eastAsia="仿宋_GB2312"/>
          <w:sz w:val="32"/>
          <w:szCs w:val="32"/>
        </w:rPr>
      </w:pPr>
      <w:r>
        <w:rPr>
          <w:rFonts w:hint="eastAsia" w:ascii="仿宋_GB2312" w:eastAsia="仿宋_GB2312"/>
          <w:sz w:val="32"/>
          <w:szCs w:val="32"/>
          <w:lang w:eastAsia="zh-CN"/>
        </w:rPr>
        <w:t>区综合行政执法</w:t>
      </w:r>
      <w:r>
        <w:rPr>
          <w:rFonts w:hint="eastAsia" w:ascii="仿宋_GB2312" w:eastAsia="仿宋_GB2312"/>
          <w:sz w:val="32"/>
          <w:szCs w:val="32"/>
        </w:rPr>
        <w:t>局根据具体情况，将定期或不定期对各社会</w:t>
      </w:r>
      <w:r>
        <w:rPr>
          <w:rFonts w:hint="eastAsia" w:ascii="仿宋_GB2312" w:eastAsia="仿宋_GB2312"/>
          <w:sz w:val="32"/>
          <w:szCs w:val="32"/>
          <w:lang w:eastAsia="zh-CN"/>
        </w:rPr>
        <w:t>养护</w:t>
      </w:r>
      <w:r>
        <w:rPr>
          <w:rFonts w:hint="eastAsia" w:ascii="仿宋_GB2312" w:eastAsia="仿宋_GB2312"/>
          <w:sz w:val="32"/>
          <w:szCs w:val="32"/>
        </w:rPr>
        <w:t>作业单位维护作业情况进行检查，检查结果直接与</w:t>
      </w:r>
      <w:r>
        <w:rPr>
          <w:rFonts w:hint="eastAsia" w:ascii="仿宋_GB2312" w:eastAsia="仿宋_GB2312"/>
          <w:sz w:val="32"/>
          <w:szCs w:val="32"/>
          <w:lang w:eastAsia="zh-CN"/>
        </w:rPr>
        <w:t>养护</w:t>
      </w:r>
      <w:r>
        <w:rPr>
          <w:rFonts w:hint="eastAsia" w:ascii="仿宋_GB2312" w:eastAsia="仿宋_GB2312"/>
          <w:sz w:val="32"/>
          <w:szCs w:val="32"/>
        </w:rPr>
        <w:t>经费挂钩，考核人员由</w:t>
      </w:r>
      <w:r>
        <w:rPr>
          <w:rFonts w:hint="eastAsia" w:ascii="仿宋_GB2312" w:eastAsia="仿宋_GB2312"/>
          <w:sz w:val="32"/>
          <w:szCs w:val="32"/>
          <w:lang w:eastAsia="zh-CN"/>
        </w:rPr>
        <w:t>区综合行政执法</w:t>
      </w:r>
      <w:r>
        <w:rPr>
          <w:rFonts w:hint="eastAsia" w:ascii="仿宋_GB2312" w:eastAsia="仿宋_GB2312"/>
          <w:sz w:val="32"/>
          <w:szCs w:val="32"/>
        </w:rPr>
        <w:t>局组织相关人员参加</w:t>
      </w:r>
      <w:r>
        <w:rPr>
          <w:rFonts w:hint="eastAsia" w:ascii="仿宋_GB2312" w:eastAsia="仿宋_GB2312"/>
          <w:sz w:val="32"/>
          <w:szCs w:val="32"/>
          <w:lang w:eastAsia="zh-CN"/>
        </w:rPr>
        <w:t>，考核方法分为日常检查和集中检查</w:t>
      </w:r>
      <w:r>
        <w:rPr>
          <w:rFonts w:hint="eastAsia" w:ascii="仿宋_GB2312" w:eastAsia="仿宋_GB2312"/>
          <w:sz w:val="32"/>
          <w:szCs w:val="32"/>
        </w:rPr>
        <w:t>。</w:t>
      </w:r>
    </w:p>
    <w:p>
      <w:pPr>
        <w:spacing w:line="560" w:lineRule="exact"/>
        <w:ind w:firstLine="660"/>
        <w:rPr>
          <w:rFonts w:hint="eastAsia" w:ascii="楷体" w:hAnsi="楷体" w:eastAsia="楷体" w:cs="楷体"/>
          <w:sz w:val="32"/>
          <w:szCs w:val="32"/>
          <w:lang w:eastAsia="zh-CN"/>
        </w:rPr>
      </w:pPr>
      <w:r>
        <w:rPr>
          <w:rFonts w:hint="eastAsia" w:ascii="楷体" w:hAnsi="楷体" w:eastAsia="楷体" w:cs="楷体"/>
          <w:sz w:val="32"/>
          <w:szCs w:val="32"/>
          <w:lang w:eastAsia="zh-CN"/>
        </w:rPr>
        <w:t>（一）日常检查</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lang w:eastAsia="zh-CN"/>
        </w:rPr>
        <w:t>实施方法为区综合行政执法局日常巡查、检查发现的养护问题，通知养护单位现场确认问题无异议后，在当月集中检查各项得分计算结果上，按照本办法第三条标准直接予以扣分。</w:t>
      </w:r>
    </w:p>
    <w:p>
      <w:pPr>
        <w:spacing w:line="560" w:lineRule="exact"/>
        <w:ind w:firstLine="660"/>
        <w:rPr>
          <w:rFonts w:hint="eastAsia" w:ascii="楷体" w:hAnsi="楷体" w:eastAsia="楷体" w:cs="楷体"/>
          <w:sz w:val="32"/>
          <w:szCs w:val="32"/>
          <w:lang w:eastAsia="zh-CN"/>
        </w:rPr>
      </w:pPr>
      <w:r>
        <w:rPr>
          <w:rFonts w:hint="eastAsia" w:ascii="楷体" w:hAnsi="楷体" w:eastAsia="楷体" w:cs="楷体"/>
          <w:sz w:val="32"/>
          <w:szCs w:val="32"/>
          <w:lang w:eastAsia="zh-CN"/>
        </w:rPr>
        <w:t>（二）集中检查</w:t>
      </w:r>
    </w:p>
    <w:p>
      <w:pPr>
        <w:spacing w:line="560" w:lineRule="exact"/>
        <w:ind w:firstLine="660"/>
        <w:rPr>
          <w:rFonts w:ascii="仿宋_GB2312" w:eastAsia="仿宋_GB2312"/>
          <w:sz w:val="32"/>
          <w:szCs w:val="32"/>
        </w:rPr>
      </w:pPr>
      <w:r>
        <w:rPr>
          <w:rFonts w:hint="eastAsia" w:ascii="仿宋_GB2312" w:eastAsia="仿宋_GB2312"/>
          <w:sz w:val="32"/>
          <w:szCs w:val="32"/>
          <w:lang w:eastAsia="zh-CN"/>
        </w:rPr>
        <w:t>集中检查</w:t>
      </w:r>
      <w:r>
        <w:rPr>
          <w:rFonts w:hint="eastAsia" w:ascii="仿宋_GB2312" w:eastAsia="仿宋_GB2312"/>
          <w:sz w:val="32"/>
          <w:szCs w:val="32"/>
        </w:rPr>
        <w:t>实施方法为随机抽取5</w:t>
      </w:r>
      <w:r>
        <w:rPr>
          <w:rFonts w:hint="eastAsia" w:ascii="仿宋_GB2312" w:eastAsia="仿宋_GB2312"/>
          <w:sz w:val="32"/>
          <w:szCs w:val="32"/>
          <w:lang w:eastAsia="zh-CN"/>
        </w:rPr>
        <w:t>座</w:t>
      </w:r>
      <w:r>
        <w:rPr>
          <w:rFonts w:hint="eastAsia" w:ascii="仿宋_GB2312" w:eastAsia="仿宋_GB2312"/>
          <w:sz w:val="32"/>
          <w:szCs w:val="32"/>
        </w:rPr>
        <w:t>各</w:t>
      </w:r>
      <w:r>
        <w:rPr>
          <w:rFonts w:hint="eastAsia" w:ascii="仿宋_GB2312" w:eastAsia="仿宋_GB2312"/>
          <w:sz w:val="32"/>
          <w:szCs w:val="32"/>
          <w:lang w:eastAsia="zh-CN"/>
        </w:rPr>
        <w:t>养护</w:t>
      </w:r>
      <w:r>
        <w:rPr>
          <w:rFonts w:hint="eastAsia" w:ascii="仿宋_GB2312" w:eastAsia="仿宋_GB2312"/>
          <w:sz w:val="32"/>
          <w:szCs w:val="32"/>
        </w:rPr>
        <w:t>作业单位在管</w:t>
      </w:r>
      <w:r>
        <w:rPr>
          <w:rFonts w:hint="eastAsia" w:ascii="仿宋_GB2312" w:eastAsia="仿宋_GB2312"/>
          <w:sz w:val="32"/>
          <w:szCs w:val="32"/>
          <w:lang w:eastAsia="zh-CN"/>
        </w:rPr>
        <w:t>桥梁</w:t>
      </w:r>
      <w:r>
        <w:rPr>
          <w:rFonts w:hint="eastAsia" w:ascii="仿宋_GB2312" w:eastAsia="仿宋_GB2312"/>
          <w:sz w:val="32"/>
          <w:szCs w:val="32"/>
        </w:rPr>
        <w:t>进行检查，取抽检</w:t>
      </w:r>
      <w:r>
        <w:rPr>
          <w:rFonts w:hint="eastAsia" w:ascii="仿宋_GB2312" w:eastAsia="仿宋_GB2312"/>
          <w:sz w:val="32"/>
          <w:szCs w:val="32"/>
          <w:lang w:eastAsia="zh-CN"/>
        </w:rPr>
        <w:t>桥梁</w:t>
      </w:r>
      <w:r>
        <w:rPr>
          <w:rFonts w:hint="eastAsia" w:ascii="仿宋_GB2312" w:eastAsia="仿宋_GB2312"/>
          <w:sz w:val="32"/>
          <w:szCs w:val="32"/>
        </w:rPr>
        <w:t>平均分为各</w:t>
      </w:r>
      <w:r>
        <w:rPr>
          <w:rFonts w:hint="eastAsia" w:ascii="仿宋_GB2312" w:eastAsia="仿宋_GB2312"/>
          <w:sz w:val="32"/>
          <w:szCs w:val="32"/>
          <w:lang w:eastAsia="zh-CN"/>
        </w:rPr>
        <w:t>养护</w:t>
      </w:r>
      <w:r>
        <w:rPr>
          <w:rFonts w:hint="eastAsia" w:ascii="仿宋_GB2312" w:eastAsia="仿宋_GB2312"/>
          <w:sz w:val="32"/>
          <w:szCs w:val="32"/>
        </w:rPr>
        <w:t>作业单位</w:t>
      </w:r>
      <w:r>
        <w:rPr>
          <w:rFonts w:hint="eastAsia" w:ascii="仿宋_GB2312" w:eastAsia="仿宋_GB2312"/>
          <w:sz w:val="32"/>
          <w:szCs w:val="32"/>
          <w:lang w:eastAsia="zh-CN"/>
        </w:rPr>
        <w:t>集中检查考核</w:t>
      </w:r>
      <w:r>
        <w:rPr>
          <w:rFonts w:hint="eastAsia" w:ascii="仿宋_GB2312" w:eastAsia="仿宋_GB2312"/>
          <w:sz w:val="32"/>
          <w:szCs w:val="32"/>
        </w:rPr>
        <w:t>得分。</w:t>
      </w:r>
    </w:p>
    <w:p>
      <w:pPr>
        <w:spacing w:line="560" w:lineRule="exact"/>
        <w:ind w:firstLine="660"/>
        <w:rPr>
          <w:rFonts w:hint="default" w:ascii="仿宋_GB2312" w:eastAsia="仿宋_GB2312"/>
          <w:sz w:val="32"/>
          <w:szCs w:val="32"/>
          <w:lang w:val="en-US" w:eastAsia="zh-CN"/>
        </w:rPr>
      </w:pPr>
      <w:r>
        <w:rPr>
          <w:rFonts w:hint="eastAsia" w:ascii="仿宋_GB2312" w:eastAsia="仿宋_GB2312"/>
          <w:sz w:val="32"/>
          <w:szCs w:val="32"/>
          <w:lang w:val="en-US" w:eastAsia="zh-CN"/>
        </w:rPr>
        <w:t>日常巡查考核、桥梁现场检查及内业检查总分各为100分，集中检查各项考核得分=</w:t>
      </w:r>
      <w:r>
        <w:rPr>
          <w:rFonts w:hint="default" w:ascii="仿宋_GB2312" w:eastAsia="仿宋_GB2312"/>
          <w:sz w:val="32"/>
          <w:szCs w:val="32"/>
          <w:lang w:val="en-US" w:eastAsia="zh-CN"/>
        </w:rPr>
        <w:t>Σ</w:t>
      </w:r>
      <w:r>
        <w:rPr>
          <w:rFonts w:hint="eastAsia" w:ascii="仿宋_GB2312" w:eastAsia="仿宋_GB2312"/>
          <w:sz w:val="32"/>
          <w:szCs w:val="32"/>
          <w:lang w:val="en-US" w:eastAsia="zh-CN"/>
        </w:rPr>
        <w:t>单座桥梁各项考核得分</w:t>
      </w:r>
      <w:r>
        <w:rPr>
          <w:rFonts w:hint="default" w:ascii="仿宋_GB2312" w:eastAsia="仿宋_GB2312"/>
          <w:sz w:val="32"/>
          <w:szCs w:val="32"/>
          <w:lang w:val="en-US" w:eastAsia="zh-CN"/>
        </w:rPr>
        <w:t>÷</w:t>
      </w:r>
      <w:r>
        <w:rPr>
          <w:rFonts w:hint="eastAsia" w:ascii="仿宋_GB2312" w:eastAsia="仿宋_GB2312"/>
          <w:sz w:val="32"/>
          <w:szCs w:val="32"/>
          <w:lang w:val="en-US" w:eastAsia="zh-CN"/>
        </w:rPr>
        <w:t>5。</w:t>
      </w:r>
    </w:p>
    <w:p>
      <w:pPr>
        <w:spacing w:line="560" w:lineRule="exact"/>
        <w:ind w:firstLine="660"/>
        <w:rPr>
          <w:rFonts w:hint="eastAsia" w:ascii="楷体" w:hAnsi="楷体" w:eastAsia="楷体" w:cs="楷体"/>
          <w:sz w:val="32"/>
          <w:szCs w:val="32"/>
          <w:lang w:eastAsia="zh-CN"/>
        </w:rPr>
      </w:pPr>
      <w:r>
        <w:rPr>
          <w:rFonts w:hint="eastAsia" w:ascii="楷体" w:hAnsi="楷体" w:eastAsia="楷体" w:cs="楷体"/>
          <w:sz w:val="32"/>
          <w:szCs w:val="32"/>
          <w:lang w:eastAsia="zh-CN"/>
        </w:rPr>
        <w:t>（三）养护作业水平考核得分</w:t>
      </w:r>
    </w:p>
    <w:p>
      <w:pPr>
        <w:spacing w:line="560" w:lineRule="exact"/>
        <w:ind w:firstLine="660"/>
        <w:rPr>
          <w:rFonts w:hint="default" w:ascii="仿宋_GB2312" w:eastAsia="仿宋_GB2312"/>
          <w:sz w:val="32"/>
          <w:szCs w:val="32"/>
          <w:lang w:val="en-US"/>
        </w:rPr>
      </w:pPr>
      <w:r>
        <w:rPr>
          <w:rFonts w:hint="eastAsia" w:ascii="仿宋_GB2312" w:eastAsia="仿宋_GB2312"/>
          <w:sz w:val="32"/>
          <w:szCs w:val="32"/>
          <w:lang w:eastAsia="zh-CN"/>
        </w:rPr>
        <w:t>各项养护作业水平考核得分</w:t>
      </w:r>
      <w:r>
        <w:rPr>
          <w:rFonts w:hint="eastAsia" w:ascii="仿宋_GB2312" w:eastAsia="仿宋_GB2312"/>
          <w:sz w:val="32"/>
          <w:szCs w:val="32"/>
          <w:lang w:val="en-US" w:eastAsia="zh-CN"/>
        </w:rPr>
        <w:t>=集中检查各项考核得分</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日常检查各项单次扣分。</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日常巡查（X）、桥梁现场检查（Y）及内业检查（Z）各项考核得分</w:t>
      </w:r>
      <w:r>
        <w:rPr>
          <w:rFonts w:hint="eastAsia" w:ascii="仿宋_GB2312" w:eastAsia="仿宋_GB2312"/>
          <w:sz w:val="32"/>
          <w:szCs w:val="32"/>
        </w:rPr>
        <w:t>占</w:t>
      </w:r>
      <w:r>
        <w:rPr>
          <w:rFonts w:hint="eastAsia" w:ascii="仿宋_GB2312" w:eastAsia="仿宋_GB2312"/>
          <w:sz w:val="32"/>
          <w:szCs w:val="32"/>
          <w:lang w:eastAsia="zh-CN"/>
        </w:rPr>
        <w:t>养护作业水平考核</w:t>
      </w:r>
      <w:r>
        <w:rPr>
          <w:rFonts w:hint="eastAsia" w:ascii="仿宋_GB2312" w:eastAsia="仿宋_GB2312"/>
          <w:sz w:val="32"/>
          <w:szCs w:val="32"/>
        </w:rPr>
        <w:t>分值比例分别为20%、60%、20%。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养护作业水平考核得分=X*20%+Y*60%+Z*20%。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考核</w:t>
      </w:r>
      <w:r>
        <w:rPr>
          <w:rFonts w:hint="eastAsia" w:ascii="仿宋_GB2312" w:eastAsia="仿宋_GB2312"/>
          <w:sz w:val="32"/>
          <w:szCs w:val="32"/>
          <w:lang w:eastAsia="zh-CN"/>
        </w:rPr>
        <w:t>等级评定：</w:t>
      </w:r>
      <w:r>
        <w:rPr>
          <w:rFonts w:hint="eastAsia" w:ascii="仿宋_GB2312" w:eastAsia="仿宋_GB2312"/>
          <w:sz w:val="32"/>
          <w:szCs w:val="32"/>
          <w:lang w:val="en-US" w:eastAsia="zh-CN"/>
        </w:rPr>
        <w:t>100分至</w:t>
      </w:r>
      <w:r>
        <w:rPr>
          <w:rFonts w:hint="eastAsia" w:ascii="仿宋_GB2312" w:eastAsia="仿宋_GB2312"/>
          <w:sz w:val="32"/>
          <w:szCs w:val="32"/>
        </w:rPr>
        <w:t>9</w:t>
      </w:r>
      <w:r>
        <w:rPr>
          <w:rFonts w:hint="eastAsia" w:ascii="仿宋_GB2312" w:eastAsia="仿宋_GB2312"/>
          <w:sz w:val="32"/>
          <w:szCs w:val="32"/>
          <w:lang w:val="en-US" w:eastAsia="zh-CN"/>
        </w:rPr>
        <w:t>5</w:t>
      </w:r>
      <w:r>
        <w:rPr>
          <w:rFonts w:hint="eastAsia" w:ascii="仿宋_GB2312" w:eastAsia="仿宋_GB2312"/>
          <w:sz w:val="32"/>
          <w:szCs w:val="32"/>
        </w:rPr>
        <w:t>分为优秀，</w:t>
      </w:r>
      <w:r>
        <w:rPr>
          <w:rFonts w:hint="eastAsia" w:ascii="仿宋_GB2312" w:eastAsia="仿宋_GB2312"/>
          <w:sz w:val="32"/>
          <w:szCs w:val="32"/>
          <w:lang w:val="en-US" w:eastAsia="zh-CN"/>
        </w:rPr>
        <w:t>95分（不含）至90分为良，90</w:t>
      </w:r>
      <w:r>
        <w:rPr>
          <w:rFonts w:hint="eastAsia" w:ascii="仿宋_GB2312" w:eastAsia="仿宋_GB2312"/>
          <w:sz w:val="32"/>
          <w:szCs w:val="32"/>
          <w:lang w:eastAsia="zh-CN"/>
        </w:rPr>
        <w:t>分</w:t>
      </w:r>
      <w:r>
        <w:rPr>
          <w:rFonts w:hint="eastAsia" w:ascii="仿宋_GB2312" w:eastAsia="仿宋_GB2312"/>
          <w:sz w:val="32"/>
          <w:szCs w:val="32"/>
          <w:lang w:val="en-US" w:eastAsia="zh-CN"/>
        </w:rPr>
        <w:t>（不含）</w:t>
      </w:r>
      <w:r>
        <w:rPr>
          <w:rFonts w:hint="eastAsia" w:ascii="仿宋_GB2312" w:eastAsia="仿宋_GB2312"/>
          <w:sz w:val="32"/>
          <w:szCs w:val="32"/>
          <w:lang w:eastAsia="zh-CN"/>
        </w:rPr>
        <w:t>至</w:t>
      </w:r>
      <w:r>
        <w:rPr>
          <w:rFonts w:hint="eastAsia" w:ascii="仿宋_GB2312" w:eastAsia="仿宋_GB2312"/>
          <w:sz w:val="32"/>
          <w:szCs w:val="32"/>
          <w:lang w:val="en-US" w:eastAsia="zh-CN"/>
        </w:rPr>
        <w:t>8</w:t>
      </w:r>
      <w:r>
        <w:rPr>
          <w:rFonts w:hint="eastAsia" w:ascii="仿宋_GB2312" w:eastAsia="仿宋_GB2312"/>
          <w:sz w:val="32"/>
          <w:szCs w:val="32"/>
        </w:rPr>
        <w:t>0分为合格，80分以下为不合格。</w:t>
      </w:r>
    </w:p>
    <w:p>
      <w:pPr>
        <w:spacing w:line="560" w:lineRule="exact"/>
        <w:ind w:firstLine="660"/>
        <w:rPr>
          <w:rFonts w:ascii="黑体" w:eastAsia="黑体"/>
          <w:sz w:val="32"/>
          <w:szCs w:val="32"/>
        </w:rPr>
      </w:pPr>
      <w:r>
        <w:rPr>
          <w:rFonts w:hint="eastAsia" w:ascii="黑体" w:eastAsia="黑体"/>
          <w:sz w:val="32"/>
          <w:szCs w:val="32"/>
        </w:rPr>
        <w:t>五、考核结果处理办法</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考核等级应用</w:t>
      </w:r>
    </w:p>
    <w:p>
      <w:pPr>
        <w:spacing w:line="560" w:lineRule="exact"/>
        <w:ind w:firstLine="66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养护</w:t>
      </w:r>
      <w:r>
        <w:rPr>
          <w:rFonts w:hint="eastAsia" w:ascii="仿宋_GB2312" w:eastAsia="仿宋_GB2312"/>
          <w:sz w:val="32"/>
          <w:szCs w:val="32"/>
        </w:rPr>
        <w:t>作业水平</w:t>
      </w:r>
      <w:r>
        <w:rPr>
          <w:rFonts w:hint="eastAsia" w:ascii="仿宋_GB2312" w:eastAsia="仿宋_GB2312"/>
          <w:sz w:val="32"/>
          <w:szCs w:val="32"/>
          <w:lang w:eastAsia="zh-CN"/>
        </w:rPr>
        <w:t>等级</w:t>
      </w:r>
      <w:r>
        <w:rPr>
          <w:rFonts w:hint="eastAsia" w:ascii="仿宋_GB2312" w:eastAsia="仿宋_GB2312"/>
          <w:sz w:val="32"/>
          <w:szCs w:val="32"/>
        </w:rPr>
        <w:t>为优秀，</w:t>
      </w:r>
      <w:r>
        <w:rPr>
          <w:rFonts w:hint="eastAsia" w:ascii="仿宋_GB2312" w:eastAsia="仿宋_GB2312"/>
          <w:sz w:val="32"/>
          <w:szCs w:val="32"/>
          <w:lang w:eastAsia="zh-CN"/>
        </w:rPr>
        <w:t>全额拨付</w:t>
      </w:r>
      <w:r>
        <w:rPr>
          <w:rFonts w:hint="eastAsia" w:ascii="仿宋_GB2312" w:eastAsia="仿宋_GB2312"/>
          <w:sz w:val="32"/>
          <w:szCs w:val="32"/>
        </w:rPr>
        <w:t>当月</w:t>
      </w:r>
      <w:r>
        <w:rPr>
          <w:rFonts w:hint="eastAsia" w:ascii="仿宋_GB2312" w:eastAsia="仿宋_GB2312"/>
          <w:sz w:val="32"/>
          <w:szCs w:val="32"/>
          <w:lang w:eastAsia="zh-CN"/>
        </w:rPr>
        <w:t>养护</w:t>
      </w:r>
      <w:r>
        <w:rPr>
          <w:rFonts w:hint="eastAsia" w:ascii="仿宋_GB2312" w:eastAsia="仿宋_GB2312"/>
          <w:sz w:val="32"/>
          <w:szCs w:val="32"/>
        </w:rPr>
        <w:t>费；</w:t>
      </w:r>
    </w:p>
    <w:p>
      <w:pPr>
        <w:spacing w:line="560" w:lineRule="exact"/>
        <w:ind w:firstLine="66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养护</w:t>
      </w:r>
      <w:r>
        <w:rPr>
          <w:rFonts w:hint="eastAsia" w:ascii="仿宋_GB2312" w:eastAsia="仿宋_GB2312"/>
          <w:sz w:val="32"/>
          <w:szCs w:val="32"/>
        </w:rPr>
        <w:t>作业水平</w:t>
      </w:r>
      <w:r>
        <w:rPr>
          <w:rFonts w:hint="eastAsia" w:ascii="仿宋_GB2312" w:eastAsia="仿宋_GB2312"/>
          <w:sz w:val="32"/>
          <w:szCs w:val="32"/>
          <w:lang w:eastAsia="zh-CN"/>
        </w:rPr>
        <w:t>等级</w:t>
      </w:r>
      <w:r>
        <w:rPr>
          <w:rFonts w:hint="eastAsia" w:ascii="仿宋_GB2312" w:eastAsia="仿宋_GB2312"/>
          <w:sz w:val="32"/>
          <w:szCs w:val="32"/>
        </w:rPr>
        <w:t>为</w:t>
      </w:r>
      <w:r>
        <w:rPr>
          <w:rFonts w:hint="eastAsia" w:ascii="仿宋_GB2312" w:eastAsia="仿宋_GB2312"/>
          <w:sz w:val="32"/>
          <w:szCs w:val="32"/>
          <w:lang w:eastAsia="zh-CN"/>
        </w:rPr>
        <w:t>良</w:t>
      </w:r>
      <w:r>
        <w:rPr>
          <w:rFonts w:hint="eastAsia" w:ascii="仿宋_GB2312" w:eastAsia="仿宋_GB2312"/>
          <w:sz w:val="32"/>
          <w:szCs w:val="32"/>
        </w:rPr>
        <w:t>，</w:t>
      </w:r>
      <w:r>
        <w:rPr>
          <w:rFonts w:hint="default" w:ascii="仿宋_GB2312" w:eastAsia="仿宋_GB2312"/>
          <w:sz w:val="32"/>
          <w:szCs w:val="32"/>
        </w:rPr>
        <w:t>考核得分比</w:t>
      </w:r>
      <w:r>
        <w:rPr>
          <w:rFonts w:hint="eastAsia" w:ascii="仿宋_GB2312" w:eastAsia="仿宋_GB2312"/>
          <w:sz w:val="32"/>
          <w:szCs w:val="32"/>
          <w:lang w:val="en-US" w:eastAsia="zh-CN"/>
        </w:rPr>
        <w:t>95分</w:t>
      </w:r>
      <w:r>
        <w:rPr>
          <w:rFonts w:hint="default" w:ascii="仿宋_GB2312" w:eastAsia="仿宋_GB2312"/>
          <w:sz w:val="32"/>
          <w:szCs w:val="32"/>
          <w:lang w:eastAsia="zh-CN"/>
        </w:rPr>
        <w:t>每低</w:t>
      </w:r>
      <w:r>
        <w:rPr>
          <w:rFonts w:hint="eastAsia" w:ascii="仿宋_GB2312" w:eastAsia="仿宋_GB2312"/>
          <w:sz w:val="32"/>
          <w:szCs w:val="32"/>
          <w:lang w:val="en-US" w:eastAsia="zh-CN"/>
        </w:rPr>
        <w:t>1分</w:t>
      </w:r>
      <w:r>
        <w:rPr>
          <w:rFonts w:hint="default" w:ascii="仿宋_GB2312" w:eastAsia="仿宋_GB2312"/>
          <w:sz w:val="32"/>
          <w:szCs w:val="32"/>
          <w:lang w:eastAsia="zh-CN"/>
        </w:rPr>
        <w:t>，</w:t>
      </w:r>
      <w:r>
        <w:rPr>
          <w:rFonts w:hint="eastAsia" w:ascii="仿宋_GB2312" w:eastAsia="仿宋_GB2312"/>
          <w:sz w:val="32"/>
          <w:szCs w:val="32"/>
          <w:lang w:val="en-US" w:eastAsia="zh-CN"/>
        </w:rPr>
        <w:t>扣除当月</w:t>
      </w:r>
      <w:r>
        <w:rPr>
          <w:rFonts w:hint="default" w:ascii="仿宋_GB2312" w:eastAsia="仿宋_GB2312"/>
          <w:sz w:val="32"/>
          <w:szCs w:val="32"/>
          <w:lang w:eastAsia="zh-CN"/>
        </w:rPr>
        <w:t>1</w:t>
      </w:r>
      <w:r>
        <w:rPr>
          <w:rFonts w:hint="eastAsia" w:ascii="仿宋_GB2312" w:eastAsia="仿宋_GB2312"/>
          <w:sz w:val="32"/>
          <w:szCs w:val="32"/>
          <w:lang w:val="en-US" w:eastAsia="zh-CN"/>
        </w:rPr>
        <w:t>%养护费</w:t>
      </w:r>
      <w:r>
        <w:rPr>
          <w:rFonts w:hint="eastAsia" w:ascii="仿宋_GB2312" w:eastAsia="仿宋_GB2312"/>
          <w:sz w:val="32"/>
          <w:szCs w:val="32"/>
        </w:rPr>
        <w:t>；</w:t>
      </w:r>
    </w:p>
    <w:p>
      <w:pPr>
        <w:spacing w:line="560" w:lineRule="exact"/>
        <w:ind w:firstLine="66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养护</w:t>
      </w:r>
      <w:r>
        <w:rPr>
          <w:rFonts w:hint="eastAsia" w:ascii="仿宋_GB2312" w:eastAsia="仿宋_GB2312"/>
          <w:sz w:val="32"/>
          <w:szCs w:val="32"/>
        </w:rPr>
        <w:t>作业水平</w:t>
      </w:r>
      <w:r>
        <w:rPr>
          <w:rFonts w:hint="eastAsia" w:ascii="仿宋_GB2312" w:eastAsia="仿宋_GB2312"/>
          <w:sz w:val="32"/>
          <w:szCs w:val="32"/>
          <w:lang w:eastAsia="zh-CN"/>
        </w:rPr>
        <w:t>等级</w:t>
      </w:r>
      <w:r>
        <w:rPr>
          <w:rFonts w:hint="eastAsia" w:ascii="仿宋_GB2312" w:eastAsia="仿宋_GB2312"/>
          <w:sz w:val="32"/>
          <w:szCs w:val="32"/>
        </w:rPr>
        <w:t>为</w:t>
      </w:r>
      <w:r>
        <w:rPr>
          <w:rFonts w:hint="eastAsia" w:ascii="仿宋_GB2312" w:eastAsia="仿宋_GB2312"/>
          <w:sz w:val="32"/>
          <w:szCs w:val="32"/>
          <w:lang w:eastAsia="zh-CN"/>
        </w:rPr>
        <w:t>合格：在直接扣除</w:t>
      </w:r>
      <w:r>
        <w:rPr>
          <w:rFonts w:hint="default" w:ascii="仿宋_GB2312" w:eastAsia="仿宋_GB2312"/>
          <w:sz w:val="32"/>
          <w:szCs w:val="32"/>
          <w:lang w:eastAsia="zh-CN"/>
        </w:rPr>
        <w:t>5</w:t>
      </w:r>
      <w:r>
        <w:rPr>
          <w:rFonts w:hint="eastAsia" w:ascii="仿宋_GB2312" w:eastAsia="仿宋_GB2312"/>
          <w:sz w:val="32"/>
          <w:szCs w:val="32"/>
          <w:lang w:val="en-US" w:eastAsia="zh-CN"/>
        </w:rPr>
        <w:t>%</w:t>
      </w:r>
      <w:r>
        <w:rPr>
          <w:rFonts w:hint="eastAsia" w:ascii="仿宋_GB2312" w:eastAsia="仿宋_GB2312"/>
          <w:sz w:val="32"/>
          <w:szCs w:val="32"/>
          <w:lang w:eastAsia="zh-CN"/>
        </w:rPr>
        <w:t>当月养护费的基础上，考核得分</w:t>
      </w:r>
      <w:r>
        <w:rPr>
          <w:rFonts w:hint="default" w:ascii="仿宋_GB2312" w:eastAsia="仿宋_GB2312"/>
          <w:sz w:val="32"/>
          <w:szCs w:val="32"/>
          <w:lang w:eastAsia="zh-CN"/>
        </w:rPr>
        <w:t>比</w:t>
      </w:r>
      <w:r>
        <w:rPr>
          <w:rFonts w:hint="eastAsia" w:ascii="仿宋_GB2312" w:eastAsia="仿宋_GB2312"/>
          <w:sz w:val="32"/>
          <w:szCs w:val="32"/>
          <w:lang w:val="en-US" w:eastAsia="zh-CN"/>
        </w:rPr>
        <w:t>90分</w:t>
      </w:r>
      <w:r>
        <w:rPr>
          <w:rFonts w:hint="default" w:ascii="仿宋_GB2312" w:eastAsia="仿宋_GB2312"/>
          <w:sz w:val="32"/>
          <w:szCs w:val="32"/>
          <w:lang w:eastAsia="zh-CN"/>
        </w:rPr>
        <w:t>每低</w:t>
      </w:r>
      <w:r>
        <w:rPr>
          <w:rFonts w:hint="eastAsia" w:ascii="仿宋_GB2312" w:eastAsia="仿宋_GB2312"/>
          <w:sz w:val="32"/>
          <w:szCs w:val="32"/>
          <w:lang w:val="en-US" w:eastAsia="zh-CN"/>
        </w:rPr>
        <w:t>1分</w:t>
      </w:r>
      <w:r>
        <w:rPr>
          <w:rFonts w:hint="default" w:ascii="仿宋_GB2312" w:eastAsia="仿宋_GB2312"/>
          <w:sz w:val="32"/>
          <w:szCs w:val="32"/>
          <w:lang w:eastAsia="zh-CN"/>
        </w:rPr>
        <w:t>，</w:t>
      </w:r>
      <w:r>
        <w:rPr>
          <w:rFonts w:hint="eastAsia" w:ascii="仿宋_GB2312" w:eastAsia="仿宋_GB2312"/>
          <w:sz w:val="32"/>
          <w:szCs w:val="32"/>
          <w:lang w:val="en-US" w:eastAsia="zh-CN"/>
        </w:rPr>
        <w:t>扣除当月</w:t>
      </w:r>
      <w:r>
        <w:rPr>
          <w:rFonts w:hint="default" w:ascii="仿宋_GB2312" w:eastAsia="仿宋_GB2312"/>
          <w:sz w:val="32"/>
          <w:szCs w:val="32"/>
          <w:lang w:eastAsia="zh-CN"/>
        </w:rPr>
        <w:t>2</w:t>
      </w:r>
      <w:r>
        <w:rPr>
          <w:rFonts w:hint="eastAsia" w:ascii="仿宋_GB2312" w:eastAsia="仿宋_GB2312"/>
          <w:sz w:val="32"/>
          <w:szCs w:val="32"/>
          <w:lang w:val="en-US" w:eastAsia="zh-CN"/>
        </w:rPr>
        <w:t>%养护费</w:t>
      </w:r>
      <w:r>
        <w:rPr>
          <w:rFonts w:hint="eastAsia" w:ascii="仿宋_GB2312" w:eastAsia="仿宋_GB2312"/>
          <w:sz w:val="32"/>
          <w:szCs w:val="32"/>
        </w:rPr>
        <w:t>；</w:t>
      </w:r>
    </w:p>
    <w:p>
      <w:pPr>
        <w:spacing w:line="560" w:lineRule="exact"/>
        <w:ind w:firstLine="660"/>
        <w:rPr>
          <w:rFonts w:hint="default"/>
        </w:rPr>
      </w:pPr>
      <w:r>
        <w:rPr>
          <w:rFonts w:hint="eastAsia" w:ascii="仿宋_GB2312" w:eastAsia="仿宋_GB2312"/>
          <w:sz w:val="32"/>
          <w:szCs w:val="32"/>
          <w:lang w:val="en-US" w:eastAsia="zh-CN"/>
        </w:rPr>
        <w:t>4.</w:t>
      </w:r>
      <w:r>
        <w:rPr>
          <w:rFonts w:hint="eastAsia" w:ascii="仿宋_GB2312" w:eastAsia="仿宋_GB2312"/>
          <w:sz w:val="32"/>
          <w:szCs w:val="32"/>
          <w:lang w:eastAsia="zh-CN"/>
        </w:rPr>
        <w:t>养护</w:t>
      </w:r>
      <w:r>
        <w:rPr>
          <w:rFonts w:hint="eastAsia" w:ascii="仿宋_GB2312" w:eastAsia="仿宋_GB2312"/>
          <w:sz w:val="32"/>
          <w:szCs w:val="32"/>
        </w:rPr>
        <w:t>作业水平得分为不合格，扣除当月</w:t>
      </w:r>
      <w:r>
        <w:rPr>
          <w:rFonts w:hint="eastAsia" w:ascii="仿宋_GB2312" w:eastAsia="仿宋_GB2312"/>
          <w:sz w:val="32"/>
          <w:szCs w:val="32"/>
          <w:lang w:eastAsia="zh-CN"/>
        </w:rPr>
        <w:t>养护</w:t>
      </w:r>
      <w:r>
        <w:rPr>
          <w:rFonts w:hint="eastAsia" w:ascii="仿宋_GB2312" w:eastAsia="仿宋_GB2312"/>
          <w:sz w:val="32"/>
          <w:szCs w:val="32"/>
        </w:rPr>
        <w:t>费总额的50%。</w:t>
      </w:r>
    </w:p>
    <w:p>
      <w:pPr>
        <w:spacing w:line="560" w:lineRule="exact"/>
        <w:ind w:firstLine="660"/>
        <w:rPr>
          <w:rFonts w:ascii="仿宋_GB2312" w:eastAsia="仿宋_GB2312"/>
          <w:sz w:val="32"/>
          <w:szCs w:val="32"/>
        </w:rPr>
      </w:pPr>
      <w:r>
        <w:rPr>
          <w:rFonts w:hint="eastAsia" w:ascii="仿宋_GB2312" w:eastAsia="仿宋_GB2312"/>
          <w:sz w:val="32"/>
          <w:szCs w:val="32"/>
        </w:rPr>
        <w:t>（二）对于在检查前被投诉或曝光的</w:t>
      </w:r>
      <w:r>
        <w:rPr>
          <w:rFonts w:hint="eastAsia" w:ascii="仿宋_GB2312" w:eastAsia="仿宋_GB2312"/>
          <w:sz w:val="32"/>
          <w:szCs w:val="32"/>
          <w:lang w:eastAsia="zh-CN"/>
        </w:rPr>
        <w:t>桥梁管护</w:t>
      </w:r>
      <w:r>
        <w:rPr>
          <w:rFonts w:hint="eastAsia" w:ascii="仿宋_GB2312" w:eastAsia="仿宋_GB2312"/>
          <w:sz w:val="32"/>
          <w:szCs w:val="32"/>
        </w:rPr>
        <w:t>，</w:t>
      </w:r>
      <w:r>
        <w:rPr>
          <w:rFonts w:hint="eastAsia" w:ascii="仿宋_GB2312" w:eastAsia="仿宋_GB2312"/>
          <w:sz w:val="32"/>
          <w:szCs w:val="32"/>
          <w:lang w:eastAsia="zh-CN"/>
        </w:rPr>
        <w:t>直接</w:t>
      </w:r>
      <w:r>
        <w:rPr>
          <w:rFonts w:hint="eastAsia" w:ascii="仿宋_GB2312" w:eastAsia="仿宋_GB2312"/>
          <w:sz w:val="32"/>
          <w:szCs w:val="32"/>
        </w:rPr>
        <w:t>扣发当月</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养护</w:t>
      </w:r>
      <w:r>
        <w:rPr>
          <w:rFonts w:hint="eastAsia" w:ascii="仿宋_GB2312" w:eastAsia="仿宋_GB2312"/>
          <w:sz w:val="32"/>
          <w:szCs w:val="32"/>
        </w:rPr>
        <w:t>费。</w:t>
      </w:r>
    </w:p>
    <w:p>
      <w:pPr>
        <w:spacing w:line="600" w:lineRule="exact"/>
        <w:ind w:firstLine="640"/>
        <w:rPr>
          <w:rFonts w:hint="eastAsia" w:ascii="方正仿宋简体" w:eastAsia="方正仿宋简体"/>
          <w:sz w:val="32"/>
          <w:szCs w:val="32"/>
        </w:rPr>
      </w:pPr>
      <w:r>
        <w:rPr>
          <w:rFonts w:hint="eastAsia" w:ascii="仿宋_GB2312" w:eastAsia="仿宋_GB2312"/>
          <w:sz w:val="32"/>
          <w:szCs w:val="32"/>
        </w:rPr>
        <w:t>（三）数字城管、市政所巡查等发现</w:t>
      </w:r>
      <w:r>
        <w:rPr>
          <w:rFonts w:hint="eastAsia" w:ascii="仿宋_GB2312" w:eastAsia="仿宋_GB2312"/>
          <w:sz w:val="32"/>
          <w:szCs w:val="32"/>
          <w:lang w:eastAsia="zh-CN"/>
        </w:rPr>
        <w:t>桥梁</w:t>
      </w:r>
      <w:r>
        <w:rPr>
          <w:rFonts w:hint="eastAsia" w:ascii="仿宋_GB2312" w:eastAsia="仿宋_GB2312"/>
          <w:sz w:val="32"/>
          <w:szCs w:val="32"/>
        </w:rPr>
        <w:t>存在问题的，在规定时间内未进行整改，扣发当月</w:t>
      </w:r>
      <w:r>
        <w:rPr>
          <w:rFonts w:hint="eastAsia" w:ascii="仿宋_GB2312" w:eastAsia="仿宋_GB2312"/>
          <w:sz w:val="32"/>
          <w:szCs w:val="32"/>
          <w:lang w:eastAsia="zh-CN"/>
        </w:rPr>
        <w:t>养护</w:t>
      </w:r>
      <w:r>
        <w:rPr>
          <w:rFonts w:hint="eastAsia" w:ascii="仿宋_GB2312" w:eastAsia="仿宋_GB2312"/>
          <w:sz w:val="32"/>
          <w:szCs w:val="32"/>
        </w:rPr>
        <w:t>费的30%。</w:t>
      </w:r>
    </w:p>
    <w:p>
      <w:pPr>
        <w:spacing w:line="560" w:lineRule="exact"/>
        <w:ind w:firstLine="660"/>
        <w:rPr>
          <w:rFonts w:hint="eastAsia" w:ascii="仿宋_GB2312" w:eastAsia="仿宋_GB2312"/>
          <w:sz w:val="32"/>
          <w:szCs w:val="32"/>
        </w:rPr>
      </w:pPr>
      <w:r>
        <w:rPr>
          <w:rFonts w:hint="eastAsia" w:ascii="仿宋_GB2312" w:eastAsia="仿宋_GB2312"/>
          <w:sz w:val="32"/>
          <w:szCs w:val="32"/>
        </w:rPr>
        <w:t>（四）市城管</w:t>
      </w:r>
      <w:r>
        <w:rPr>
          <w:rFonts w:hint="eastAsia" w:ascii="仿宋_GB2312" w:eastAsia="仿宋_GB2312"/>
          <w:sz w:val="32"/>
          <w:szCs w:val="32"/>
          <w:lang w:eastAsia="zh-CN"/>
        </w:rPr>
        <w:t>委</w:t>
      </w:r>
      <w:r>
        <w:rPr>
          <w:rFonts w:hint="eastAsia" w:ascii="仿宋_GB2312" w:eastAsia="仿宋_GB2312"/>
          <w:sz w:val="32"/>
          <w:szCs w:val="32"/>
        </w:rPr>
        <w:t>在季度及年度考核中存在问题的，扣发当月管养费的5%。</w:t>
      </w:r>
    </w:p>
    <w:p>
      <w:pPr>
        <w:spacing w:line="600" w:lineRule="exact"/>
        <w:ind w:firstLine="640"/>
        <w:rPr>
          <w:rFonts w:hint="eastAsia" w:ascii="方正仿宋简体" w:eastAsia="方正仿宋简体"/>
          <w:sz w:val="32"/>
          <w:szCs w:val="32"/>
        </w:rPr>
      </w:pPr>
    </w:p>
    <w:p>
      <w:pPr>
        <w:wordWrap w:val="0"/>
        <w:spacing w:line="600" w:lineRule="exact"/>
        <w:ind w:firstLine="640"/>
        <w:jc w:val="right"/>
        <w:rPr>
          <w:rFonts w:hint="default" w:ascii="方正仿宋简体" w:eastAsia="方正仿宋简体"/>
          <w:sz w:val="32"/>
          <w:szCs w:val="32"/>
          <w:lang w:val="en-US" w:eastAsia="zh-CN"/>
        </w:rPr>
      </w:pPr>
      <w:r>
        <w:rPr>
          <w:rFonts w:hint="eastAsia" w:ascii="方正仿宋简体" w:eastAsia="方正仿宋简体"/>
          <w:sz w:val="32"/>
          <w:szCs w:val="32"/>
        </w:rPr>
        <w:t>20</w:t>
      </w:r>
      <w:r>
        <w:rPr>
          <w:rFonts w:hint="eastAsia" w:ascii="方正仿宋简体" w:eastAsia="方正仿宋简体"/>
          <w:sz w:val="32"/>
          <w:szCs w:val="32"/>
          <w:lang w:val="en-US" w:eastAsia="zh-CN"/>
        </w:rPr>
        <w:t>20</w:t>
      </w:r>
      <w:r>
        <w:rPr>
          <w:rFonts w:hint="eastAsia" w:ascii="方正仿宋简体" w:eastAsia="方正仿宋简体"/>
          <w:sz w:val="32"/>
          <w:szCs w:val="32"/>
        </w:rPr>
        <w:t>年</w:t>
      </w:r>
      <w:r>
        <w:rPr>
          <w:rFonts w:hint="eastAsia" w:ascii="方正仿宋简体" w:eastAsia="方正仿宋简体"/>
          <w:sz w:val="32"/>
          <w:szCs w:val="32"/>
          <w:lang w:val="en-US" w:eastAsia="zh-CN"/>
        </w:rPr>
        <w:t>8</w:t>
      </w:r>
      <w:r>
        <w:rPr>
          <w:rFonts w:hint="eastAsia" w:ascii="方正仿宋简体" w:eastAsia="方正仿宋简体"/>
          <w:sz w:val="32"/>
          <w:szCs w:val="32"/>
        </w:rPr>
        <w:t>月</w:t>
      </w:r>
      <w:r>
        <w:rPr>
          <w:rFonts w:hint="eastAsia" w:ascii="方正仿宋简体" w:eastAsia="方正仿宋简体"/>
          <w:sz w:val="32"/>
          <w:szCs w:val="32"/>
          <w:lang w:val="en-US" w:eastAsia="zh-CN"/>
        </w:rPr>
        <w:t xml:space="preserve">   </w:t>
      </w:r>
    </w:p>
    <w:p>
      <w:pPr>
        <w:spacing w:line="360" w:lineRule="auto"/>
        <w:outlineLvl w:val="9"/>
        <w:rPr>
          <w:rFonts w:hint="eastAsia" w:ascii="宋体" w:hAnsi="宋体" w:cs="宋体"/>
          <w:b/>
          <w:bCs/>
          <w:color w:val="auto"/>
          <w:sz w:val="24"/>
          <w:szCs w:val="24"/>
          <w:highlight w:val="none"/>
        </w:rPr>
      </w:pPr>
    </w:p>
    <w:p>
      <w:pPr>
        <w:outlineLvl w:val="9"/>
        <w:rPr>
          <w:rFonts w:hint="eastAsia"/>
        </w:rPr>
        <w:sectPr>
          <w:pgSz w:w="11906" w:h="16838"/>
          <w:pgMar w:top="1440" w:right="1800" w:bottom="1318" w:left="1800"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20" w:lineRule="exact"/>
        <w:jc w:val="left"/>
        <w:textAlignment w:val="auto"/>
        <w:rPr>
          <w:rFonts w:hint="default"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附件5</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方正小标宋简体" w:hAnsi="黑体" w:eastAsia="方正小标宋简体"/>
          <w:sz w:val="44"/>
          <w:szCs w:val="44"/>
          <w:u w:val="none"/>
        </w:rPr>
      </w:pPr>
      <w:r>
        <w:rPr>
          <w:rFonts w:hint="eastAsia" w:ascii="方正小标宋简体" w:hAnsi="黑体" w:eastAsia="方正小标宋简体"/>
          <w:sz w:val="44"/>
          <w:szCs w:val="44"/>
          <w:u w:val="none"/>
        </w:rPr>
        <w:t>成都市郫都区综合行政执法局</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方正小标宋简体" w:hAnsi="仿宋_GB2312" w:eastAsia="方正小标宋简体" w:cs="仿宋_GB2312"/>
          <w:spacing w:val="-10"/>
          <w:sz w:val="44"/>
          <w:szCs w:val="44"/>
          <w:u w:val="none"/>
        </w:rPr>
      </w:pPr>
      <w:r>
        <w:rPr>
          <w:rFonts w:hint="eastAsia" w:ascii="方正小标宋简体" w:hAnsi="仿宋_GB2312" w:eastAsia="方正小标宋简体" w:cs="仿宋_GB2312"/>
          <w:spacing w:val="-10"/>
          <w:sz w:val="44"/>
          <w:szCs w:val="44"/>
          <w:u w:val="none"/>
        </w:rPr>
        <w:t>市</w:t>
      </w:r>
      <w:r>
        <w:rPr>
          <w:rFonts w:hint="eastAsia" w:ascii="方正小标宋简体" w:hAnsi="宋体" w:eastAsia="方正小标宋简体" w:cs="仿宋_GB2312"/>
          <w:spacing w:val="-10"/>
          <w:sz w:val="44"/>
          <w:szCs w:val="44"/>
          <w:u w:val="none"/>
        </w:rPr>
        <w:t>政照明管护市场化管理监督考核办法</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方正小标宋简体" w:hAnsi="仿宋" w:eastAsia="方正小标宋简体"/>
          <w:sz w:val="44"/>
          <w:szCs w:val="44"/>
          <w:u w:val="none"/>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为提高我区道路照明设施管理水平，使市政道路照明设施更好地为城市经济建设和人民生活服务，结合我区城市照明管理工作的实际，制订本办法。</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一、考核实施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成都市郫都区综合行政执法局为考核主体，具体考核工作由</w:t>
      </w:r>
      <w:r>
        <w:rPr>
          <w:rFonts w:hint="eastAsia" w:ascii="仿宋_GB2312" w:hAnsi="方正仿宋简体" w:eastAsia="仿宋_GB2312" w:cs="方正仿宋简体"/>
          <w:sz w:val="32"/>
          <w:szCs w:val="32"/>
          <w:u w:val="none"/>
          <w:lang w:eastAsia="zh-CN"/>
        </w:rPr>
        <w:t>市政中心</w:t>
      </w:r>
      <w:r>
        <w:rPr>
          <w:rFonts w:hint="eastAsia" w:ascii="仿宋_GB2312" w:hAnsi="方正仿宋简体" w:eastAsia="仿宋_GB2312" w:cs="方正仿宋简体"/>
          <w:sz w:val="32"/>
          <w:szCs w:val="32"/>
          <w:u w:val="none"/>
        </w:rPr>
        <w:t>组织实施，相关科室配合。</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二、考核对象及范围</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（一）考核对象：市政照明管护市场化管护单位。</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（二）考核范围：公开招标确定的市政照明设施。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三、考核依据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（一）《城市道路照明设计标准》（CJJ45-</w:t>
      </w:r>
      <w:r>
        <w:rPr>
          <w:rFonts w:hint="eastAsia" w:ascii="仿宋_GB2312" w:hAnsi="方正仿宋简体" w:eastAsia="仿宋_GB2312" w:cs="方正仿宋简体"/>
          <w:sz w:val="32"/>
          <w:szCs w:val="32"/>
          <w:u w:val="none"/>
          <w:lang w:val="en-US" w:eastAsia="zh-CN"/>
        </w:rPr>
        <w:t>2015</w:t>
      </w:r>
      <w:r>
        <w:rPr>
          <w:rFonts w:hint="eastAsia" w:ascii="仿宋_GB2312" w:hAnsi="方正仿宋简体" w:eastAsia="仿宋_GB2312" w:cs="方正仿宋简体"/>
          <w:sz w:val="32"/>
          <w:szCs w:val="32"/>
          <w:u w:val="none"/>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（二）《城市道路照明工程施工及验收规程》（CJJ89-2012）</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（三）《成都市城市道路照明设施管理办法》</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（四）《电气装置安装工程电气设备交接试验标准》（GB50150-</w:t>
      </w:r>
      <w:r>
        <w:rPr>
          <w:rFonts w:hint="eastAsia" w:ascii="仿宋_GB2312" w:hAnsi="方正仿宋简体" w:eastAsia="仿宋_GB2312" w:cs="方正仿宋简体"/>
          <w:sz w:val="32"/>
          <w:szCs w:val="32"/>
          <w:u w:val="none"/>
          <w:lang w:val="en-US" w:eastAsia="zh-CN"/>
        </w:rPr>
        <w:t>2006</w:t>
      </w:r>
      <w:r>
        <w:rPr>
          <w:rFonts w:hint="eastAsia" w:ascii="仿宋_GB2312" w:hAnsi="方正仿宋简体" w:eastAsia="仿宋_GB2312" w:cs="方正仿宋简体"/>
          <w:sz w:val="32"/>
          <w:szCs w:val="32"/>
          <w:u w:val="none"/>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（五）《电气装置安装工程电缆线路施工及验收规范》（GB50168-</w:t>
      </w:r>
      <w:r>
        <w:rPr>
          <w:rFonts w:hint="eastAsia" w:ascii="仿宋_GB2312" w:hAnsi="方正仿宋简体" w:eastAsia="仿宋_GB2312" w:cs="方正仿宋简体"/>
          <w:sz w:val="32"/>
          <w:szCs w:val="32"/>
          <w:u w:val="none"/>
          <w:lang w:val="en-US" w:eastAsia="zh-CN"/>
        </w:rPr>
        <w:t>2018</w:t>
      </w:r>
      <w:r>
        <w:rPr>
          <w:rFonts w:hint="eastAsia" w:ascii="仿宋_GB2312" w:hAnsi="方正仿宋简体" w:eastAsia="仿宋_GB2312" w:cs="方正仿宋简体"/>
          <w:sz w:val="32"/>
          <w:szCs w:val="32"/>
          <w:u w:val="none"/>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（六）《电气装置安装工程接地装置施工及验收规范》（GB 50169-</w:t>
      </w:r>
      <w:r>
        <w:rPr>
          <w:rFonts w:hint="eastAsia" w:ascii="仿宋_GB2312" w:hAnsi="方正仿宋简体" w:eastAsia="仿宋_GB2312" w:cs="方正仿宋简体"/>
          <w:sz w:val="32"/>
          <w:szCs w:val="32"/>
          <w:u w:val="none"/>
          <w:lang w:val="en-US" w:eastAsia="zh-CN"/>
        </w:rPr>
        <w:t>2006</w:t>
      </w:r>
      <w:r>
        <w:rPr>
          <w:rFonts w:hint="eastAsia" w:ascii="仿宋_GB2312" w:hAnsi="方正仿宋简体" w:eastAsia="仿宋_GB2312" w:cs="方正仿宋简体"/>
          <w:sz w:val="32"/>
          <w:szCs w:val="32"/>
          <w:u w:val="none"/>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（七）《电气装置安装工程盘、柜及二次回路结线施工及验收规范》（GB50171- 92）</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（八）《电气装置安装工程35KV及以下架空电力线路施工及验收规范》（GB 50173-92）</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（九）《建筑电气照明装置施工与验收规范》（GB50617-2010）</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仿宋" w:eastAsia="黑体"/>
          <w:sz w:val="32"/>
          <w:szCs w:val="32"/>
          <w:u w:val="none"/>
        </w:rPr>
      </w:pPr>
      <w:r>
        <w:rPr>
          <w:rFonts w:hint="eastAsia" w:ascii="黑体" w:hAnsi="仿宋" w:eastAsia="黑体"/>
          <w:sz w:val="32"/>
          <w:szCs w:val="32"/>
          <w:u w:val="none"/>
        </w:rPr>
        <w:t>四、考核内容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楷体" w:hAnsi="楷体" w:eastAsia="楷体"/>
          <w:sz w:val="32"/>
          <w:szCs w:val="32"/>
          <w:u w:val="none"/>
        </w:rPr>
        <w:t>（一）市政照明设施及变压器</w:t>
      </w:r>
      <w:r>
        <w:rPr>
          <w:rFonts w:hint="eastAsia" w:ascii="楷体" w:hAnsi="楷体" w:eastAsia="楷体"/>
          <w:sz w:val="32"/>
          <w:szCs w:val="32"/>
          <w:u w:val="none"/>
          <w:lang w:eastAsia="zh-CN"/>
        </w:rPr>
        <w:t>等设施</w:t>
      </w:r>
      <w:r>
        <w:rPr>
          <w:rFonts w:hint="eastAsia" w:ascii="楷体" w:hAnsi="楷体" w:eastAsia="楷体"/>
          <w:sz w:val="32"/>
          <w:szCs w:val="32"/>
          <w:u w:val="none"/>
        </w:rPr>
        <w:t>管护质量。</w:t>
      </w:r>
      <w:r>
        <w:rPr>
          <w:rFonts w:hint="eastAsia" w:ascii="仿宋_GB2312" w:hAnsi="方正仿宋简体" w:eastAsia="仿宋_GB2312" w:cs="方正仿宋简体"/>
          <w:sz w:val="32"/>
          <w:szCs w:val="32"/>
          <w:u w:val="none"/>
        </w:rPr>
        <w:t>各管护公司应按照合同约定的路灯、变压器等照明设施管护服务质量标准及要求进行管护。确保“亮灯率”、“设施完好率”、“及时修复率”达</w:t>
      </w:r>
      <w:r>
        <w:rPr>
          <w:rFonts w:hint="eastAsia" w:ascii="仿宋_GB2312" w:hAnsi="方正仿宋简体" w:eastAsia="仿宋_GB2312" w:cs="方正仿宋简体"/>
          <w:sz w:val="32"/>
          <w:szCs w:val="32"/>
          <w:u w:val="none"/>
          <w:lang w:eastAsia="zh-CN"/>
        </w:rPr>
        <w:t>到</w:t>
      </w:r>
      <w:r>
        <w:rPr>
          <w:rFonts w:hint="eastAsia" w:ascii="仿宋_GB2312" w:hAnsi="方正仿宋简体" w:eastAsia="仿宋_GB2312" w:cs="方正仿宋简体"/>
          <w:sz w:val="32"/>
          <w:szCs w:val="32"/>
          <w:u w:val="none"/>
        </w:rPr>
        <w:t>国家标准</w:t>
      </w:r>
      <w:r>
        <w:rPr>
          <w:rFonts w:hint="eastAsia" w:ascii="仿宋_GB2312" w:hAnsi="方正仿宋简体" w:eastAsia="仿宋_GB2312" w:cs="方正仿宋简体"/>
          <w:sz w:val="32"/>
          <w:szCs w:val="32"/>
          <w:u w:val="none"/>
          <w:lang w:eastAsia="zh-CN"/>
        </w:rPr>
        <w:t>及规范，符合本考核办法要求</w:t>
      </w:r>
      <w:r>
        <w:rPr>
          <w:rFonts w:hint="eastAsia" w:ascii="仿宋_GB2312" w:hAnsi="方正仿宋简体" w:eastAsia="仿宋_GB2312" w:cs="方正仿宋简体"/>
          <w:sz w:val="32"/>
          <w:szCs w:val="32"/>
          <w:u w:val="none"/>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方正仿宋简体" w:eastAsia="仿宋_GB2312" w:cs="方正仿宋简体"/>
          <w:sz w:val="32"/>
          <w:szCs w:val="32"/>
          <w:u w:val="none"/>
        </w:rPr>
      </w:pPr>
      <w:r>
        <w:rPr>
          <w:rFonts w:hint="eastAsia" w:ascii="楷体" w:hAnsi="楷体" w:eastAsia="楷体"/>
          <w:sz w:val="32"/>
          <w:szCs w:val="32"/>
          <w:u w:val="none"/>
        </w:rPr>
        <w:t>（二）安全管理考核。</w:t>
      </w:r>
      <w:r>
        <w:rPr>
          <w:rFonts w:hint="eastAsia" w:ascii="仿宋_GB2312" w:hAnsi="方正仿宋简体" w:eastAsia="仿宋_GB2312" w:cs="方正仿宋简体"/>
          <w:sz w:val="32"/>
          <w:szCs w:val="32"/>
          <w:u w:val="none"/>
        </w:rPr>
        <w:t>各管护公司应严格遵守《安全生产法》，严格按照相关安全规程操作，严禁无证上岗，带电操作等。</w:t>
      </w:r>
    </w:p>
    <w:p>
      <w:pPr>
        <w:spacing w:line="620" w:lineRule="exact"/>
        <w:ind w:firstLine="640" w:firstLineChars="200"/>
        <w:rPr>
          <w:u w:val="none"/>
        </w:rPr>
      </w:pPr>
      <w:r>
        <w:rPr>
          <w:rFonts w:hint="eastAsia" w:ascii="楷体" w:hAnsi="楷体" w:eastAsia="楷体"/>
          <w:sz w:val="32"/>
          <w:szCs w:val="32"/>
          <w:u w:val="none"/>
        </w:rPr>
        <w:t>（三）内业考核。</w:t>
      </w:r>
      <w:r>
        <w:rPr>
          <w:rFonts w:hint="eastAsia" w:ascii="仿宋_GB2312" w:hAnsi="方正仿宋简体" w:eastAsia="仿宋_GB2312" w:cs="方正仿宋简体"/>
          <w:sz w:val="32"/>
          <w:szCs w:val="32"/>
          <w:u w:val="none"/>
        </w:rPr>
        <w:t>各管护公司应按照招标文件要求配置相应数量的巡查人员、巡查管护车辆、机具、设备、仪器等，落实责任，将发现的故障问题进行记录，建立档案、数据台账、安全台账，资产编号管理等。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五、监督考核分工及职责</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总负责人：</w:t>
      </w:r>
      <w:r>
        <w:rPr>
          <w:rFonts w:hint="eastAsia" w:ascii="仿宋_GB2312" w:hAnsi="方正仿宋简体" w:eastAsia="仿宋_GB2312" w:cs="方正仿宋简体"/>
          <w:sz w:val="32"/>
          <w:szCs w:val="32"/>
          <w:u w:val="none"/>
          <w:lang w:eastAsia="zh-CN"/>
        </w:rPr>
        <w:t>由局分管领导担任，</w:t>
      </w:r>
      <w:r>
        <w:rPr>
          <w:rFonts w:hint="eastAsia" w:ascii="仿宋_GB2312" w:hAnsi="方正仿宋简体" w:eastAsia="仿宋_GB2312" w:cs="方正仿宋简体"/>
          <w:sz w:val="32"/>
          <w:szCs w:val="32"/>
          <w:u w:val="none"/>
        </w:rPr>
        <w:t>全面负责区综合行政执法局管辖市政照明管护市场化监督考核工作。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负责人：</w:t>
      </w:r>
      <w:r>
        <w:rPr>
          <w:rFonts w:hint="eastAsia" w:ascii="仿宋_GB2312" w:hAnsi="方正仿宋简体" w:eastAsia="仿宋_GB2312" w:cs="方正仿宋简体"/>
          <w:sz w:val="32"/>
          <w:szCs w:val="32"/>
          <w:u w:val="none"/>
          <w:lang w:eastAsia="zh-CN"/>
        </w:rPr>
        <w:t>由市政中心负责人担任，</w:t>
      </w:r>
      <w:r>
        <w:rPr>
          <w:rFonts w:hint="eastAsia" w:ascii="仿宋_GB2312" w:hAnsi="方正仿宋简体" w:eastAsia="仿宋_GB2312" w:cs="方正仿宋简体"/>
          <w:sz w:val="32"/>
          <w:szCs w:val="32"/>
          <w:u w:val="none"/>
        </w:rPr>
        <w:t>具体负责市政照明管护市场化的监督考核工作。</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考核</w:t>
      </w:r>
      <w:r>
        <w:rPr>
          <w:rFonts w:hint="eastAsia" w:ascii="仿宋_GB2312" w:hAnsi="方正仿宋简体" w:eastAsia="仿宋_GB2312" w:cs="方正仿宋简体"/>
          <w:sz w:val="32"/>
          <w:szCs w:val="32"/>
          <w:u w:val="none"/>
          <w:lang w:eastAsia="zh-CN"/>
        </w:rPr>
        <w:t>小组</w:t>
      </w:r>
      <w:r>
        <w:rPr>
          <w:rFonts w:hint="eastAsia" w:ascii="仿宋_GB2312" w:hAnsi="方正仿宋简体" w:eastAsia="仿宋_GB2312" w:cs="方正仿宋简体"/>
          <w:sz w:val="32"/>
          <w:szCs w:val="32"/>
          <w:u w:val="none"/>
        </w:rPr>
        <w:t>人员：</w:t>
      </w:r>
      <w:r>
        <w:rPr>
          <w:rFonts w:hint="eastAsia" w:ascii="仿宋_GB2312" w:hAnsi="方正仿宋简体" w:eastAsia="仿宋_GB2312" w:cs="方正仿宋简体"/>
          <w:sz w:val="32"/>
          <w:szCs w:val="32"/>
          <w:u w:val="none"/>
          <w:lang w:eastAsia="zh-CN"/>
        </w:rPr>
        <w:t>由市政中心工作人员及局属相关部门人员组成，</w:t>
      </w:r>
      <w:r>
        <w:rPr>
          <w:rFonts w:hint="eastAsia" w:ascii="仿宋_GB2312" w:hAnsi="方正仿宋简体" w:eastAsia="仿宋_GB2312" w:cs="方正仿宋简体"/>
          <w:sz w:val="32"/>
          <w:szCs w:val="32"/>
          <w:u w:val="none"/>
        </w:rPr>
        <w:t>负责对市政照明设施的管护考核。</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黑体" w:hAnsi="黑体" w:eastAsia="黑体"/>
          <w:sz w:val="32"/>
          <w:szCs w:val="32"/>
          <w:u w:val="none"/>
        </w:rPr>
      </w:pPr>
      <w:r>
        <w:rPr>
          <w:rFonts w:hint="eastAsia" w:ascii="黑体" w:hAnsi="黑体" w:eastAsia="黑体"/>
          <w:sz w:val="32"/>
          <w:szCs w:val="32"/>
          <w:u w:val="none"/>
        </w:rPr>
        <w:t>六、考核步骤</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lang w:val="en-US" w:eastAsia="zh-CN"/>
        </w:rPr>
        <w:t>市政中心</w:t>
      </w:r>
      <w:r>
        <w:rPr>
          <w:rFonts w:hint="eastAsia" w:ascii="仿宋_GB2312" w:hAnsi="方正仿宋简体" w:eastAsia="仿宋_GB2312" w:cs="方正仿宋简体"/>
          <w:sz w:val="32"/>
          <w:szCs w:val="32"/>
          <w:u w:val="none"/>
        </w:rPr>
        <w:t>每月</w:t>
      </w:r>
      <w:r>
        <w:rPr>
          <w:rFonts w:hint="eastAsia" w:ascii="仿宋_GB2312" w:hAnsi="方正仿宋简体" w:eastAsia="仿宋_GB2312" w:cs="方正仿宋简体"/>
          <w:sz w:val="32"/>
          <w:szCs w:val="32"/>
          <w:u w:val="none"/>
          <w:lang w:eastAsia="zh-CN"/>
        </w:rPr>
        <w:t>按照定期考核和内业考核两部分汇总形成《市政照明考核得分汇总表》（考核表一）</w:t>
      </w:r>
      <w:r>
        <w:rPr>
          <w:rFonts w:hint="eastAsia" w:ascii="仿宋_GB2312" w:hAnsi="方正仿宋简体" w:eastAsia="仿宋_GB2312" w:cs="方正仿宋简体"/>
          <w:sz w:val="32"/>
          <w:szCs w:val="32"/>
          <w:u w:val="none"/>
        </w:rPr>
        <w:t>，</w:t>
      </w:r>
      <w:r>
        <w:rPr>
          <w:rFonts w:hint="eastAsia" w:ascii="仿宋_GB2312" w:hAnsi="方正仿宋简体" w:eastAsia="仿宋_GB2312" w:cs="方正仿宋简体"/>
          <w:sz w:val="32"/>
          <w:szCs w:val="32"/>
          <w:u w:val="none"/>
          <w:lang w:eastAsia="zh-CN"/>
        </w:rPr>
        <w:t>报郫都区综合行政执法局审批后，</w:t>
      </w:r>
      <w:r>
        <w:rPr>
          <w:rFonts w:hint="eastAsia" w:ascii="仿宋_GB2312" w:hAnsi="方正仿宋简体" w:eastAsia="仿宋_GB2312" w:cs="方正仿宋简体"/>
          <w:sz w:val="32"/>
          <w:szCs w:val="32"/>
          <w:u w:val="none"/>
        </w:rPr>
        <w:t>作为</w:t>
      </w:r>
      <w:r>
        <w:rPr>
          <w:rFonts w:hint="eastAsia" w:ascii="仿宋_GB2312" w:hAnsi="方正仿宋简体" w:eastAsia="仿宋_GB2312" w:cs="方正仿宋简体"/>
          <w:sz w:val="32"/>
          <w:szCs w:val="32"/>
          <w:u w:val="none"/>
          <w:lang w:eastAsia="zh-CN"/>
        </w:rPr>
        <w:t>管护经费</w:t>
      </w:r>
      <w:r>
        <w:rPr>
          <w:rFonts w:hint="eastAsia" w:ascii="仿宋_GB2312" w:hAnsi="方正仿宋简体" w:eastAsia="仿宋_GB2312" w:cs="方正仿宋简体"/>
          <w:sz w:val="32"/>
          <w:szCs w:val="32"/>
          <w:u w:val="none"/>
        </w:rPr>
        <w:t>拨付依据。</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楷体" w:hAnsi="楷体" w:eastAsia="楷体" w:cs="楷体_GB2312"/>
          <w:sz w:val="32"/>
          <w:szCs w:val="32"/>
          <w:u w:val="none"/>
        </w:rPr>
      </w:pPr>
      <w:r>
        <w:rPr>
          <w:rFonts w:hint="eastAsia" w:ascii="楷体" w:hAnsi="楷体" w:eastAsia="楷体" w:cs="楷体_GB2312"/>
          <w:sz w:val="32"/>
          <w:szCs w:val="32"/>
          <w:u w:val="none"/>
        </w:rPr>
        <w:t>（一）</w:t>
      </w:r>
      <w:r>
        <w:rPr>
          <w:rFonts w:hint="eastAsia" w:ascii="楷体" w:hAnsi="楷体" w:eastAsia="楷体" w:cs="楷体_GB2312"/>
          <w:sz w:val="32"/>
          <w:szCs w:val="32"/>
          <w:u w:val="none"/>
          <w:lang w:eastAsia="zh-CN"/>
        </w:rPr>
        <w:t>定期</w:t>
      </w:r>
      <w:r>
        <w:rPr>
          <w:rFonts w:ascii="楷体" w:hAnsi="楷体" w:eastAsia="楷体" w:cs="楷体_GB2312"/>
          <w:sz w:val="32"/>
          <w:szCs w:val="32"/>
          <w:u w:val="none"/>
        </w:rPr>
        <w:t>考核</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定期</w:t>
      </w:r>
      <w:r>
        <w:rPr>
          <w:rFonts w:hint="eastAsia" w:ascii="仿宋_GB2312" w:hAnsi="仿宋_GB2312" w:eastAsia="仿宋_GB2312" w:cs="仿宋_GB2312"/>
          <w:sz w:val="32"/>
          <w:szCs w:val="32"/>
          <w:u w:val="none"/>
        </w:rPr>
        <w:t>考核采取日检与夜检相结合，</w:t>
      </w:r>
      <w:r>
        <w:rPr>
          <w:rFonts w:hint="eastAsia" w:ascii="仿宋_GB2312" w:hAnsi="仿宋_GB2312" w:eastAsia="仿宋_GB2312" w:cs="仿宋_GB2312"/>
          <w:sz w:val="32"/>
          <w:szCs w:val="32"/>
          <w:u w:val="none"/>
          <w:lang w:eastAsia="zh-CN"/>
        </w:rPr>
        <w:t>每月三次，</w:t>
      </w:r>
      <w:r>
        <w:rPr>
          <w:rFonts w:hint="eastAsia" w:ascii="仿宋_GB2312" w:hAnsi="仿宋_GB2312" w:eastAsia="仿宋_GB2312" w:cs="仿宋_GB2312"/>
          <w:sz w:val="32"/>
          <w:szCs w:val="32"/>
          <w:u w:val="none"/>
        </w:rPr>
        <w:t>由考核人员依据管理标准、技术规范、维护合同及考核办法，考核所得分数填入</w:t>
      </w:r>
      <w:r>
        <w:rPr>
          <w:rFonts w:hint="eastAsia" w:ascii="仿宋_GB2312" w:hAnsi="仿宋_GB2312" w:eastAsia="仿宋_GB2312" w:cs="仿宋_GB2312"/>
          <w:sz w:val="32"/>
          <w:szCs w:val="32"/>
          <w:u w:val="none"/>
          <w:lang w:eastAsia="zh-CN"/>
        </w:rPr>
        <w:t>周考核</w:t>
      </w:r>
      <w:r>
        <w:rPr>
          <w:rFonts w:hint="eastAsia" w:ascii="仿宋_GB2312" w:hAnsi="仿宋_GB2312" w:eastAsia="仿宋_GB2312" w:cs="仿宋_GB2312"/>
          <w:sz w:val="32"/>
          <w:szCs w:val="32"/>
          <w:u w:val="none"/>
        </w:rPr>
        <w:t>记分表，</w:t>
      </w:r>
      <w:r>
        <w:rPr>
          <w:rFonts w:hint="eastAsia" w:ascii="仿宋_GB2312" w:hAnsi="仿宋_GB2312" w:eastAsia="仿宋_GB2312" w:cs="仿宋_GB2312"/>
          <w:sz w:val="32"/>
          <w:szCs w:val="32"/>
          <w:u w:val="none"/>
          <w:lang w:eastAsia="zh-CN"/>
        </w:rPr>
        <w:t>三次平均分</w:t>
      </w:r>
      <w:r>
        <w:rPr>
          <w:rFonts w:hint="eastAsia" w:ascii="仿宋_GB2312" w:hAnsi="仿宋_GB2312" w:eastAsia="仿宋_GB2312" w:cs="仿宋_GB2312"/>
          <w:sz w:val="32"/>
          <w:szCs w:val="32"/>
          <w:u w:val="none"/>
        </w:rPr>
        <w:t>作为月考核依据。</w:t>
      </w:r>
    </w:p>
    <w:p>
      <w:pPr>
        <w:numPr>
          <w:ilvl w:val="0"/>
          <w:numId w:val="0"/>
        </w:numPr>
        <w:spacing w:line="620" w:lineRule="exact"/>
        <w:ind w:firstLine="640" w:firstLineChars="200"/>
        <w:jc w:val="both"/>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lang w:val="en-US" w:eastAsia="zh-CN"/>
        </w:rPr>
        <w:t>1.</w:t>
      </w:r>
      <w:r>
        <w:rPr>
          <w:rFonts w:hint="eastAsia" w:ascii="仿宋_GB2312" w:hAnsi="仿宋_GB2312" w:eastAsia="仿宋_GB2312" w:cs="仿宋_GB2312"/>
          <w:bCs/>
          <w:color w:val="000000"/>
          <w:sz w:val="32"/>
          <w:szCs w:val="32"/>
          <w:u w:val="none"/>
        </w:rPr>
        <w:t>日检针对事故及故障处理率、设施完好率、设施清保洁率、安全作业进行考核，发现的问题参照考核办法及《</w:t>
      </w:r>
      <w:r>
        <w:rPr>
          <w:rFonts w:hint="eastAsia" w:ascii="仿宋_GB2312" w:hAnsi="方正仿宋简体" w:eastAsia="仿宋_GB2312" w:cs="方正仿宋简体"/>
          <w:sz w:val="32"/>
          <w:szCs w:val="32"/>
          <w:u w:val="none"/>
          <w:lang w:val="en-US" w:eastAsia="zh-CN"/>
        </w:rPr>
        <w:t>市政照明管护市场化作业标准及考核细则（定期考核）</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eastAsia="zh-CN"/>
        </w:rPr>
        <w:t>（以下简称</w:t>
      </w:r>
      <w:r>
        <w:rPr>
          <w:rFonts w:hint="eastAsia" w:ascii="仿宋_GB2312" w:hAnsi="方正仿宋简体" w:eastAsia="仿宋_GB2312" w:cs="方正仿宋简体"/>
          <w:sz w:val="32"/>
          <w:szCs w:val="32"/>
          <w:u w:val="none"/>
          <w:lang w:val="en-US" w:eastAsia="zh-CN"/>
        </w:rPr>
        <w:t>考核细则（定期考核</w:t>
      </w:r>
      <w:r>
        <w:rPr>
          <w:rFonts w:hint="eastAsia" w:ascii="仿宋_GB2312" w:hAnsi="仿宋_GB2312" w:eastAsia="仿宋_GB2312" w:cs="仿宋_GB2312"/>
          <w:bCs/>
          <w:color w:val="000000"/>
          <w:sz w:val="32"/>
          <w:szCs w:val="32"/>
          <w:u w:val="none"/>
          <w:lang w:eastAsia="zh-CN"/>
        </w:rPr>
        <w:t>），考核表二）</w:t>
      </w:r>
      <w:r>
        <w:rPr>
          <w:rFonts w:hint="eastAsia" w:ascii="仿宋_GB2312" w:hAnsi="仿宋_GB2312" w:eastAsia="仿宋_GB2312" w:cs="仿宋_GB2312"/>
          <w:bCs/>
          <w:color w:val="000000"/>
          <w:sz w:val="32"/>
          <w:szCs w:val="32"/>
          <w:u w:val="none"/>
        </w:rPr>
        <w:t>评分，并由</w:t>
      </w:r>
      <w:r>
        <w:rPr>
          <w:rFonts w:hint="eastAsia" w:ascii="仿宋_GB2312" w:hAnsi="仿宋_GB2312" w:eastAsia="仿宋_GB2312" w:cs="仿宋_GB2312"/>
          <w:bCs/>
          <w:color w:val="000000"/>
          <w:sz w:val="32"/>
          <w:szCs w:val="32"/>
          <w:u w:val="none"/>
          <w:lang w:eastAsia="zh-CN"/>
        </w:rPr>
        <w:t>市政中心</w:t>
      </w:r>
      <w:r>
        <w:rPr>
          <w:rFonts w:hint="eastAsia" w:ascii="仿宋_GB2312" w:hAnsi="仿宋_GB2312" w:eastAsia="仿宋_GB2312" w:cs="仿宋_GB2312"/>
          <w:bCs/>
          <w:color w:val="000000"/>
          <w:sz w:val="32"/>
          <w:szCs w:val="32"/>
          <w:u w:val="none"/>
        </w:rPr>
        <w:t>签发《</w:t>
      </w:r>
      <w:r>
        <w:rPr>
          <w:rFonts w:hint="eastAsia" w:ascii="仿宋_GB2312" w:hAnsi="仿宋_GB2312" w:eastAsia="仿宋_GB2312" w:cs="仿宋_GB2312"/>
          <w:sz w:val="32"/>
          <w:szCs w:val="32"/>
          <w:u w:val="none"/>
          <w:lang w:eastAsia="zh-CN"/>
        </w:rPr>
        <w:t>市政照明</w:t>
      </w:r>
      <w:r>
        <w:rPr>
          <w:rFonts w:hint="eastAsia" w:ascii="仿宋_GB2312" w:hAnsi="仿宋_GB2312" w:eastAsia="仿宋_GB2312" w:cs="仿宋_GB2312"/>
          <w:sz w:val="32"/>
          <w:szCs w:val="32"/>
          <w:u w:val="none"/>
        </w:rPr>
        <w:t>整改通知书</w:t>
      </w:r>
      <w:r>
        <w:rPr>
          <w:rFonts w:hint="eastAsia" w:ascii="仿宋_GB2312" w:hAnsi="仿宋_GB2312" w:eastAsia="仿宋_GB2312" w:cs="仿宋_GB2312"/>
          <w:bCs/>
          <w:color w:val="000000"/>
          <w:sz w:val="32"/>
          <w:szCs w:val="32"/>
          <w:u w:val="none"/>
        </w:rPr>
        <w:t>》，管护作业单位须在</w:t>
      </w:r>
      <w:r>
        <w:rPr>
          <w:rFonts w:hint="eastAsia" w:ascii="仿宋_GB2312" w:hAnsi="仿宋_GB2312" w:eastAsia="仿宋_GB2312" w:cs="仿宋_GB2312"/>
          <w:bCs/>
          <w:color w:val="000000"/>
          <w:sz w:val="32"/>
          <w:szCs w:val="32"/>
          <w:u w:val="none"/>
          <w:lang w:eastAsia="zh-CN"/>
        </w:rPr>
        <w:t>市政中心</w:t>
      </w:r>
      <w:r>
        <w:rPr>
          <w:rFonts w:hint="eastAsia" w:ascii="仿宋_GB2312" w:hAnsi="仿宋_GB2312" w:eastAsia="仿宋_GB2312" w:cs="仿宋_GB2312"/>
          <w:bCs/>
          <w:color w:val="000000"/>
          <w:sz w:val="32"/>
          <w:szCs w:val="32"/>
          <w:u w:val="none"/>
        </w:rPr>
        <w:t>监督下立即整改。</w:t>
      </w:r>
      <w:r>
        <w:rPr>
          <w:rFonts w:hint="eastAsia" w:ascii="仿宋_GB2312" w:hAnsi="仿宋_GB2312" w:eastAsia="仿宋_GB2312" w:cs="仿宋_GB2312"/>
          <w:bCs/>
          <w:color w:val="000000"/>
          <w:sz w:val="32"/>
          <w:szCs w:val="32"/>
          <w:u w:val="none"/>
          <w:lang w:eastAsia="zh-CN"/>
        </w:rPr>
        <w:t>日检为每月不定期三次。</w:t>
      </w:r>
    </w:p>
    <w:p>
      <w:pPr>
        <w:pStyle w:val="2"/>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夜检由市政</w:t>
      </w:r>
      <w:r>
        <w:rPr>
          <w:rFonts w:hint="eastAsia" w:ascii="仿宋_GB2312" w:hAnsi="仿宋_GB2312" w:eastAsia="仿宋_GB2312" w:cs="仿宋_GB2312"/>
          <w:sz w:val="32"/>
          <w:szCs w:val="32"/>
          <w:u w:val="none"/>
          <w:lang w:eastAsia="zh-CN"/>
        </w:rPr>
        <w:t>中心</w:t>
      </w:r>
      <w:r>
        <w:rPr>
          <w:rFonts w:hint="eastAsia" w:ascii="仿宋_GB2312" w:hAnsi="仿宋_GB2312" w:eastAsia="仿宋_GB2312" w:cs="仿宋_GB2312"/>
          <w:sz w:val="32"/>
          <w:szCs w:val="32"/>
          <w:u w:val="none"/>
        </w:rPr>
        <w:t>组织考核亮灯率，人员不低于3名（</w:t>
      </w:r>
      <w:r>
        <w:rPr>
          <w:rFonts w:hint="eastAsia" w:ascii="仿宋_GB2312" w:hAnsi="仿宋_GB2312" w:eastAsia="仿宋_GB2312" w:cs="仿宋_GB2312"/>
          <w:sz w:val="32"/>
          <w:szCs w:val="32"/>
          <w:u w:val="none"/>
          <w:lang w:eastAsia="zh-CN"/>
        </w:rPr>
        <w:t>考核小组</w:t>
      </w:r>
      <w:r>
        <w:rPr>
          <w:rFonts w:hint="eastAsia" w:ascii="仿宋_GB2312" w:hAnsi="仿宋_GB2312" w:eastAsia="仿宋_GB2312" w:cs="仿宋_GB2312"/>
          <w:sz w:val="32"/>
          <w:szCs w:val="32"/>
          <w:u w:val="none"/>
        </w:rPr>
        <w:t>2人及以上，管护公司1人及以上），现场统计问题并填写《市政照明管护夜检考核记录表》</w:t>
      </w:r>
      <w:r>
        <w:rPr>
          <w:rFonts w:hint="eastAsia" w:ascii="仿宋_GB2312" w:hAnsi="仿宋_GB2312" w:eastAsia="仿宋_GB2312" w:cs="仿宋_GB2312"/>
          <w:sz w:val="32"/>
          <w:szCs w:val="32"/>
          <w:u w:val="none"/>
          <w:lang w:eastAsia="zh-CN"/>
        </w:rPr>
        <w:t>（考核表三）</w:t>
      </w:r>
      <w:r>
        <w:rPr>
          <w:rFonts w:hint="eastAsia" w:ascii="仿宋_GB2312" w:hAnsi="仿宋_GB2312" w:eastAsia="仿宋_GB2312" w:cs="仿宋_GB2312"/>
          <w:sz w:val="32"/>
          <w:szCs w:val="32"/>
          <w:u w:val="none"/>
        </w:rPr>
        <w:t>，双方签字认可</w:t>
      </w:r>
      <w:r>
        <w:rPr>
          <w:rFonts w:hint="eastAsia" w:ascii="仿宋_GB2312" w:hAnsi="仿宋_GB2312" w:eastAsia="仿宋_GB2312" w:cs="仿宋_GB2312"/>
          <w:sz w:val="32"/>
          <w:szCs w:val="32"/>
          <w:u w:val="none"/>
          <w:lang w:eastAsia="zh-CN"/>
        </w:rPr>
        <w:t>，并按照《</w:t>
      </w:r>
      <w:r>
        <w:rPr>
          <w:rFonts w:hint="eastAsia" w:ascii="仿宋_GB2312" w:hAnsi="方正仿宋简体" w:eastAsia="仿宋_GB2312" w:cs="方正仿宋简体"/>
          <w:sz w:val="32"/>
          <w:szCs w:val="32"/>
          <w:u w:val="none"/>
          <w:lang w:val="en-US" w:eastAsia="zh-CN"/>
        </w:rPr>
        <w:t>考核细则（定期考核</w:t>
      </w:r>
      <w:r>
        <w:rPr>
          <w:rFonts w:hint="eastAsia" w:ascii="仿宋_GB2312" w:hAnsi="仿宋_GB2312" w:eastAsia="仿宋_GB2312" w:cs="仿宋_GB2312"/>
          <w:sz w:val="32"/>
          <w:szCs w:val="32"/>
          <w:u w:val="none"/>
          <w:lang w:eastAsia="zh-CN"/>
        </w:rPr>
        <w:t>》进行打分。夜检</w:t>
      </w:r>
      <w:r>
        <w:rPr>
          <w:rFonts w:hint="eastAsia" w:ascii="仿宋_GB2312" w:hAnsi="仿宋_GB2312" w:eastAsia="仿宋_GB2312" w:cs="仿宋_GB2312"/>
          <w:sz w:val="32"/>
          <w:szCs w:val="32"/>
          <w:u w:val="none"/>
        </w:rPr>
        <w:t>每月</w:t>
      </w:r>
      <w:r>
        <w:rPr>
          <w:rFonts w:hint="eastAsia" w:ascii="仿宋_GB2312" w:hAnsi="仿宋_GB2312" w:eastAsia="仿宋_GB2312" w:cs="仿宋_GB2312"/>
          <w:sz w:val="32"/>
          <w:szCs w:val="32"/>
          <w:u w:val="none"/>
          <w:lang w:eastAsia="zh-CN"/>
        </w:rPr>
        <w:t>定期三</w:t>
      </w:r>
      <w:r>
        <w:rPr>
          <w:rFonts w:hint="eastAsia" w:ascii="仿宋_GB2312" w:hAnsi="仿宋_GB2312" w:eastAsia="仿宋_GB2312" w:cs="仿宋_GB2312"/>
          <w:sz w:val="32"/>
          <w:szCs w:val="32"/>
          <w:u w:val="none"/>
        </w:rPr>
        <w:t>次</w:t>
      </w:r>
      <w:r>
        <w:rPr>
          <w:rFonts w:hint="eastAsia" w:ascii="仿宋_GB2312" w:hAnsi="仿宋_GB2312" w:eastAsia="仿宋_GB2312" w:cs="仿宋_GB2312"/>
          <w:sz w:val="32"/>
          <w:szCs w:val="32"/>
          <w:u w:val="none"/>
          <w:lang w:eastAsia="zh-CN"/>
        </w:rPr>
        <w:t>，分别为每月</w:t>
      </w:r>
      <w:r>
        <w:rPr>
          <w:rFonts w:hint="eastAsia" w:ascii="仿宋_GB2312" w:hAnsi="仿宋_GB2312" w:eastAsia="仿宋_GB2312" w:cs="仿宋_GB2312"/>
          <w:sz w:val="32"/>
          <w:szCs w:val="32"/>
          <w:u w:val="none"/>
          <w:lang w:val="en-US" w:eastAsia="zh-CN"/>
        </w:rPr>
        <w:t>5号、15号25号（节假日顺延），同时结合随机巡查，随机巡查考核计入定期夜检分值内。</w:t>
      </w:r>
    </w:p>
    <w:p>
      <w:pPr>
        <w:pStyle w:val="2"/>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定期夜检由必检区域和抽检区域组成。必检区域为红光大道、中信大道、望丛中路、南北大道、港泰大道、港通北三路、西源大道、东大街、西大街、蜀信西路、梨园路、何公路、杜鹃路、沱江河绿道、石牛公园、创智公园、科化一路、科化二路；</w:t>
      </w:r>
      <w:r>
        <w:rPr>
          <w:rFonts w:hint="eastAsia" w:ascii="仿宋_GB2312" w:hAnsi="仿宋_GB2312" w:eastAsia="仿宋_GB2312" w:cs="仿宋_GB2312"/>
          <w:sz w:val="32"/>
          <w:szCs w:val="32"/>
          <w:u w:val="none"/>
        </w:rPr>
        <w:t>抽检区域从余下范围内随机抽取不低于</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%的设施量。</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楷体" w:hAnsi="楷体" w:eastAsia="楷体" w:cs="楷体_GB2312"/>
          <w:sz w:val="32"/>
          <w:szCs w:val="32"/>
          <w:u w:val="none"/>
        </w:rPr>
      </w:pPr>
      <w:r>
        <w:rPr>
          <w:rFonts w:hint="eastAsia" w:ascii="楷体" w:hAnsi="楷体" w:eastAsia="楷体" w:cs="楷体_GB2312"/>
          <w:sz w:val="32"/>
          <w:szCs w:val="32"/>
          <w:u w:val="none"/>
        </w:rPr>
        <w:t>（</w:t>
      </w:r>
      <w:r>
        <w:rPr>
          <w:rFonts w:ascii="楷体" w:hAnsi="楷体" w:eastAsia="楷体" w:cs="楷体_GB2312"/>
          <w:sz w:val="32"/>
          <w:szCs w:val="32"/>
          <w:u w:val="none"/>
        </w:rPr>
        <w:t>二）</w:t>
      </w:r>
      <w:r>
        <w:rPr>
          <w:rFonts w:hint="eastAsia" w:ascii="楷体" w:hAnsi="楷体" w:eastAsia="楷体" w:cs="楷体_GB2312"/>
          <w:sz w:val="32"/>
          <w:szCs w:val="32"/>
          <w:u w:val="none"/>
          <w:lang w:eastAsia="zh-CN"/>
        </w:rPr>
        <w:t>内业</w:t>
      </w:r>
      <w:r>
        <w:rPr>
          <w:rFonts w:ascii="楷体" w:hAnsi="楷体" w:eastAsia="楷体" w:cs="楷体_GB2312"/>
          <w:sz w:val="32"/>
          <w:szCs w:val="32"/>
          <w:u w:val="none"/>
        </w:rPr>
        <w:t>考核</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ascii="仿宋_GB2312" w:hAnsi="方正仿宋简体" w:eastAsia="仿宋_GB2312" w:cs="方正仿宋简体"/>
          <w:sz w:val="32"/>
          <w:szCs w:val="32"/>
          <w:u w:val="none"/>
          <w:lang w:eastAsia="zh-CN"/>
        </w:rPr>
      </w:pPr>
      <w:r>
        <w:rPr>
          <w:rFonts w:hint="eastAsia" w:ascii="仿宋_GB2312" w:hAnsi="方正仿宋简体" w:eastAsia="仿宋_GB2312" w:cs="方正仿宋简体"/>
          <w:sz w:val="32"/>
          <w:szCs w:val="32"/>
          <w:u w:val="none"/>
        </w:rPr>
        <w:t>1.内业资料考核。</w:t>
      </w:r>
      <w:r>
        <w:rPr>
          <w:rFonts w:hint="eastAsia" w:ascii="仿宋_GB2312" w:hAnsi="方正仿宋简体" w:eastAsia="仿宋_GB2312" w:cs="方正仿宋简体"/>
          <w:sz w:val="32"/>
          <w:szCs w:val="32"/>
          <w:u w:val="none"/>
          <w:lang w:eastAsia="zh-CN"/>
        </w:rPr>
        <w:t>每月</w:t>
      </w:r>
      <w:r>
        <w:rPr>
          <w:rFonts w:hint="eastAsia" w:ascii="仿宋_GB2312" w:hAnsi="方正仿宋简体" w:eastAsia="仿宋_GB2312" w:cs="方正仿宋简体"/>
          <w:sz w:val="32"/>
          <w:szCs w:val="32"/>
          <w:u w:val="none"/>
        </w:rPr>
        <w:t>对内业资料进行检查，检查内容包括日常巡查落实情况、维修记录、检测报告</w:t>
      </w:r>
      <w:r>
        <w:rPr>
          <w:rFonts w:hint="eastAsia" w:ascii="仿宋_GB2312" w:hAnsi="方正仿宋简体" w:eastAsia="仿宋_GB2312" w:cs="方正仿宋简体"/>
          <w:sz w:val="32"/>
          <w:szCs w:val="32"/>
          <w:u w:val="none"/>
          <w:lang w:eastAsia="zh-CN"/>
        </w:rPr>
        <w:t>、人员配备</w:t>
      </w:r>
      <w:r>
        <w:rPr>
          <w:rFonts w:hint="eastAsia" w:ascii="仿宋_GB2312" w:hAnsi="方正仿宋简体" w:eastAsia="仿宋_GB2312" w:cs="方正仿宋简体"/>
          <w:sz w:val="32"/>
          <w:szCs w:val="32"/>
          <w:u w:val="none"/>
        </w:rPr>
        <w:t>等相关资料。</w:t>
      </w:r>
      <w:r>
        <w:rPr>
          <w:rFonts w:hint="eastAsia" w:ascii="仿宋_GB2312" w:hAnsi="方正仿宋简体" w:eastAsia="仿宋_GB2312" w:cs="方正仿宋简体"/>
          <w:sz w:val="32"/>
          <w:szCs w:val="32"/>
          <w:u w:val="none"/>
          <w:lang w:eastAsia="zh-CN"/>
        </w:rPr>
        <w:t>按照《</w:t>
      </w:r>
      <w:r>
        <w:rPr>
          <w:rFonts w:hint="eastAsia" w:ascii="仿宋_GB2312" w:hAnsi="方正仿宋简体" w:eastAsia="仿宋_GB2312" w:cs="方正仿宋简体"/>
          <w:sz w:val="32"/>
          <w:szCs w:val="32"/>
          <w:u w:val="none"/>
        </w:rPr>
        <w:t>市政照明管护市场化作业标准及考核细则（内业考核）</w:t>
      </w:r>
      <w:r>
        <w:rPr>
          <w:rFonts w:hint="eastAsia" w:ascii="仿宋_GB2312" w:hAnsi="方正仿宋简体" w:eastAsia="仿宋_GB2312" w:cs="方正仿宋简体"/>
          <w:sz w:val="32"/>
          <w:szCs w:val="32"/>
          <w:u w:val="none"/>
          <w:lang w:eastAsia="zh-CN"/>
        </w:rPr>
        <w:t>》（考核表四）进行打分。</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hint="eastAsia"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lang w:val="en-US" w:eastAsia="zh-CN"/>
        </w:rPr>
        <w:t>2.每月汇总因管护公司原因造成的投诉（市长信箱、区长信箱、数字中心等各渠道投诉）数量，并根据《考核细则（内业考核）》进行打分</w:t>
      </w:r>
      <w:r>
        <w:rPr>
          <w:rFonts w:hint="eastAsia" w:ascii="仿宋_GB2312" w:hAnsi="方正仿宋简体" w:eastAsia="仿宋_GB2312" w:cs="方正仿宋简体"/>
          <w:sz w:val="32"/>
          <w:szCs w:val="32"/>
          <w:u w:val="none"/>
        </w:rPr>
        <w:t>。</w:t>
      </w:r>
    </w:p>
    <w:p>
      <w:pPr>
        <w:pStyle w:val="2"/>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楷体" w:hAnsi="楷体" w:eastAsia="楷体" w:cs="楷体"/>
          <w:sz w:val="32"/>
          <w:szCs w:val="32"/>
          <w:u w:val="none"/>
          <w:lang w:eastAsia="zh-CN"/>
        </w:rPr>
      </w:pPr>
      <w:r>
        <w:rPr>
          <w:rFonts w:hint="eastAsia" w:ascii="楷体" w:hAnsi="楷体" w:eastAsia="楷体" w:cs="楷体"/>
          <w:sz w:val="32"/>
          <w:szCs w:val="32"/>
          <w:u w:val="none"/>
          <w:lang w:eastAsia="zh-CN"/>
        </w:rPr>
        <w:t>（三）管护公司自查</w:t>
      </w:r>
    </w:p>
    <w:p>
      <w:pPr>
        <w:pStyle w:val="2"/>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仿宋_GB2312" w:hAnsi="方正仿宋简体" w:eastAsia="仿宋_GB2312" w:cs="方正仿宋简体"/>
          <w:sz w:val="32"/>
          <w:szCs w:val="32"/>
          <w:u w:val="none"/>
          <w:lang w:val="en-US" w:eastAsia="zh-CN"/>
        </w:rPr>
      </w:pPr>
      <w:r>
        <w:rPr>
          <w:rFonts w:hint="eastAsia" w:ascii="仿宋_GB2312" w:hAnsi="方正仿宋简体" w:eastAsia="仿宋_GB2312" w:cs="方正仿宋简体"/>
          <w:sz w:val="32"/>
          <w:szCs w:val="32"/>
          <w:u w:val="none"/>
        </w:rPr>
        <w:t>管护公司应每月</w:t>
      </w:r>
      <w:r>
        <w:rPr>
          <w:rFonts w:hint="eastAsia" w:ascii="仿宋_GB2312" w:hAnsi="方正仿宋简体" w:eastAsia="仿宋_GB2312" w:cs="方正仿宋简体"/>
          <w:sz w:val="32"/>
          <w:szCs w:val="32"/>
          <w:u w:val="none"/>
          <w:lang w:eastAsia="zh-CN"/>
        </w:rPr>
        <w:t>做好</w:t>
      </w:r>
      <w:r>
        <w:rPr>
          <w:rFonts w:hint="eastAsia" w:ascii="仿宋_GB2312" w:hAnsi="方正仿宋简体" w:eastAsia="仿宋_GB2312" w:cs="方正仿宋简体"/>
          <w:sz w:val="32"/>
          <w:szCs w:val="32"/>
          <w:u w:val="none"/>
        </w:rPr>
        <w:t>巡查记录及维修记录</w:t>
      </w:r>
      <w:r>
        <w:rPr>
          <w:rFonts w:hint="eastAsia" w:ascii="仿宋_GB2312" w:hAnsi="方正仿宋简体" w:eastAsia="仿宋_GB2312" w:cs="方正仿宋简体"/>
          <w:sz w:val="32"/>
          <w:szCs w:val="32"/>
          <w:u w:val="none"/>
          <w:lang w:eastAsia="zh-CN"/>
        </w:rPr>
        <w:t>；按照《市政照明管护市场化作业标准及考核细则》开展自查，在（定期考核）、（内业考核）表上打分</w:t>
      </w:r>
      <w:r>
        <w:rPr>
          <w:rFonts w:hint="eastAsia" w:ascii="仿宋_GB2312" w:hAnsi="方正仿宋简体" w:eastAsia="仿宋_GB2312" w:cs="方正仿宋简体"/>
          <w:sz w:val="32"/>
          <w:szCs w:val="32"/>
          <w:u w:val="none"/>
          <w:lang w:val="en-US" w:eastAsia="zh-CN"/>
        </w:rPr>
        <w:t>。管护公司应将每月</w:t>
      </w:r>
      <w:r>
        <w:rPr>
          <w:rFonts w:hint="eastAsia" w:ascii="仿宋_GB2312" w:hAnsi="方正仿宋简体" w:eastAsia="仿宋_GB2312" w:cs="方正仿宋简体"/>
          <w:sz w:val="32"/>
          <w:szCs w:val="32"/>
          <w:u w:val="none"/>
          <w:lang w:eastAsia="zh-CN"/>
        </w:rPr>
        <w:t>管护</w:t>
      </w:r>
      <w:r>
        <w:rPr>
          <w:rFonts w:hint="eastAsia" w:ascii="仿宋_GB2312" w:hAnsi="方正仿宋简体" w:eastAsia="仿宋_GB2312" w:cs="方正仿宋简体"/>
          <w:sz w:val="32"/>
          <w:szCs w:val="32"/>
          <w:u w:val="none"/>
        </w:rPr>
        <w:t>工作情况、巡查记录</w:t>
      </w:r>
      <w:r>
        <w:rPr>
          <w:rFonts w:hint="eastAsia" w:ascii="仿宋_GB2312" w:hAnsi="方正仿宋简体" w:eastAsia="仿宋_GB2312" w:cs="方正仿宋简体"/>
          <w:sz w:val="32"/>
          <w:szCs w:val="32"/>
          <w:u w:val="none"/>
          <w:lang w:eastAsia="zh-CN"/>
        </w:rPr>
        <w:t>、</w:t>
      </w:r>
      <w:r>
        <w:rPr>
          <w:rFonts w:hint="eastAsia" w:ascii="仿宋_GB2312" w:hAnsi="方正仿宋简体" w:eastAsia="仿宋_GB2312" w:cs="方正仿宋简体"/>
          <w:sz w:val="32"/>
          <w:szCs w:val="32"/>
          <w:u w:val="none"/>
        </w:rPr>
        <w:t>维修记录</w:t>
      </w:r>
      <w:r>
        <w:rPr>
          <w:rFonts w:hint="eastAsia" w:ascii="仿宋_GB2312" w:hAnsi="方正仿宋简体" w:eastAsia="仿宋_GB2312" w:cs="方正仿宋简体"/>
          <w:sz w:val="32"/>
          <w:szCs w:val="32"/>
          <w:u w:val="none"/>
          <w:lang w:eastAsia="zh-CN"/>
        </w:rPr>
        <w:t>及自查情况形成月工作总结和自查评分表，于次月</w:t>
      </w:r>
      <w:r>
        <w:rPr>
          <w:rFonts w:hint="eastAsia" w:ascii="仿宋_GB2312" w:hAnsi="方正仿宋简体" w:eastAsia="仿宋_GB2312" w:cs="方正仿宋简体"/>
          <w:sz w:val="32"/>
          <w:szCs w:val="32"/>
          <w:u w:val="none"/>
          <w:lang w:val="en-US" w:eastAsia="zh-CN"/>
        </w:rPr>
        <w:t>3日前交市政中心。</w:t>
      </w:r>
    </w:p>
    <w:p>
      <w:pPr>
        <w:keepNext w:val="0"/>
        <w:keepLines w:val="0"/>
        <w:pageBreakBefore w:val="0"/>
        <w:kinsoku/>
        <w:wordWrap/>
        <w:overflowPunct/>
        <w:topLinePunct w:val="0"/>
        <w:autoSpaceDE/>
        <w:autoSpaceDN/>
        <w:bidi w:val="0"/>
        <w:adjustRightInd/>
        <w:snapToGrid/>
        <w:spacing w:line="620" w:lineRule="exact"/>
        <w:ind w:firstLine="645"/>
        <w:textAlignment w:val="auto"/>
        <w:rPr>
          <w:rFonts w:ascii="黑体" w:eastAsia="黑体"/>
          <w:sz w:val="32"/>
          <w:szCs w:val="32"/>
          <w:u w:val="none"/>
        </w:rPr>
      </w:pPr>
      <w:r>
        <w:rPr>
          <w:rFonts w:hint="eastAsia" w:ascii="黑体" w:eastAsia="黑体"/>
          <w:sz w:val="32"/>
          <w:szCs w:val="32"/>
          <w:u w:val="none"/>
        </w:rPr>
        <w:t>七、考核计分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方正仿宋简体" w:eastAsia="仿宋_GB2312" w:cs="方正仿宋简体"/>
          <w:sz w:val="32"/>
          <w:szCs w:val="32"/>
          <w:u w:val="none"/>
          <w:lang w:val="en-US" w:eastAsia="zh-CN"/>
        </w:rPr>
      </w:pPr>
      <w:r>
        <w:rPr>
          <w:rFonts w:hint="eastAsia" w:ascii="仿宋_GB2312" w:hAnsi="方正仿宋简体" w:eastAsia="仿宋_GB2312" w:cs="方正仿宋简体"/>
          <w:sz w:val="32"/>
          <w:szCs w:val="32"/>
          <w:u w:val="none"/>
          <w:lang w:val="en-US" w:eastAsia="zh-CN"/>
        </w:rPr>
        <w:t>1.</w:t>
      </w:r>
      <w:r>
        <w:rPr>
          <w:rFonts w:hint="eastAsia" w:ascii="仿宋_GB2312" w:hAnsi="方正仿宋简体" w:eastAsia="仿宋_GB2312" w:cs="方正仿宋简体"/>
          <w:sz w:val="32"/>
          <w:szCs w:val="32"/>
          <w:u w:val="none"/>
          <w:lang w:eastAsia="zh-CN"/>
        </w:rPr>
        <w:t>三次定期考核取平均分占月考核总分的</w:t>
      </w:r>
      <w:r>
        <w:rPr>
          <w:rFonts w:hint="eastAsia" w:ascii="仿宋_GB2312" w:hAnsi="方正仿宋简体" w:eastAsia="仿宋_GB2312" w:cs="方正仿宋简体"/>
          <w:sz w:val="32"/>
          <w:szCs w:val="32"/>
          <w:u w:val="none"/>
          <w:lang w:val="en-US" w:eastAsia="zh-CN"/>
        </w:rPr>
        <w:t>88%。</w:t>
      </w:r>
    </w:p>
    <w:p>
      <w:pPr>
        <w:pStyle w:val="2"/>
        <w:keepNext w:val="0"/>
        <w:keepLines w:val="0"/>
        <w:pageBreakBefore w:val="0"/>
        <w:kinsoku/>
        <w:wordWrap/>
        <w:overflowPunct/>
        <w:topLinePunct w:val="0"/>
        <w:autoSpaceDE/>
        <w:autoSpaceDN/>
        <w:bidi w:val="0"/>
        <w:adjustRightInd/>
        <w:snapToGrid/>
        <w:spacing w:line="620" w:lineRule="exact"/>
        <w:ind w:firstLine="640"/>
        <w:textAlignment w:val="auto"/>
        <w:rPr>
          <w:rFonts w:hint="eastAsia" w:ascii="仿宋_GB2312" w:hAnsi="方正仿宋简体" w:eastAsia="仿宋_GB2312" w:cs="方正仿宋简体"/>
          <w:sz w:val="32"/>
          <w:szCs w:val="32"/>
          <w:u w:val="none"/>
          <w:lang w:val="en-US" w:eastAsia="zh-CN"/>
        </w:rPr>
      </w:pPr>
      <w:r>
        <w:rPr>
          <w:rFonts w:hint="eastAsia" w:ascii="仿宋_GB2312" w:hAnsi="方正仿宋简体" w:eastAsia="仿宋_GB2312" w:cs="方正仿宋简体"/>
          <w:sz w:val="32"/>
          <w:szCs w:val="32"/>
          <w:u w:val="none"/>
          <w:lang w:val="en-US" w:eastAsia="zh-CN"/>
        </w:rPr>
        <w:t>2.内业考核占月考核总分的12%。</w:t>
      </w:r>
    </w:p>
    <w:p>
      <w:pPr>
        <w:pStyle w:val="2"/>
        <w:keepNext w:val="0"/>
        <w:keepLines w:val="0"/>
        <w:pageBreakBefore w:val="0"/>
        <w:kinsoku/>
        <w:wordWrap/>
        <w:overflowPunct/>
        <w:topLinePunct w:val="0"/>
        <w:autoSpaceDE/>
        <w:autoSpaceDN/>
        <w:bidi w:val="0"/>
        <w:adjustRightInd/>
        <w:snapToGrid/>
        <w:spacing w:line="620" w:lineRule="exact"/>
        <w:ind w:firstLine="640"/>
        <w:textAlignment w:val="auto"/>
        <w:rPr>
          <w:rFonts w:hint="default" w:ascii="仿宋_GB2312" w:hAnsi="方正仿宋简体" w:eastAsia="仿宋_GB2312" w:cs="方正仿宋简体"/>
          <w:sz w:val="32"/>
          <w:szCs w:val="32"/>
          <w:u w:val="none"/>
          <w:lang w:val="en-US" w:eastAsia="zh-CN"/>
        </w:rPr>
      </w:pPr>
      <w:r>
        <w:rPr>
          <w:rFonts w:hint="eastAsia" w:ascii="仿宋_GB2312" w:hAnsi="方正仿宋简体" w:eastAsia="仿宋_GB2312" w:cs="方正仿宋简体"/>
          <w:sz w:val="32"/>
          <w:szCs w:val="32"/>
          <w:u w:val="none"/>
          <w:lang w:val="en-US" w:eastAsia="zh-CN"/>
        </w:rPr>
        <w:t>3.管护公司自查作为月考核打分的补充，若自查情况与市政中心考核情况差距较大，一次性扣除月管护经费的5%。</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仿宋" w:eastAsia="黑体"/>
          <w:sz w:val="32"/>
          <w:szCs w:val="32"/>
          <w:u w:val="none"/>
        </w:rPr>
      </w:pPr>
      <w:r>
        <w:rPr>
          <w:rFonts w:hint="eastAsia" w:ascii="黑体" w:hAnsi="仿宋" w:eastAsia="黑体"/>
          <w:sz w:val="32"/>
          <w:szCs w:val="32"/>
          <w:u w:val="none"/>
        </w:rPr>
        <w:t>八、结果运用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楷体" w:hAnsi="楷体" w:eastAsia="楷体" w:cs="楷体_GB2312"/>
          <w:sz w:val="32"/>
          <w:szCs w:val="32"/>
          <w:u w:val="none"/>
        </w:rPr>
      </w:pPr>
      <w:r>
        <w:rPr>
          <w:rFonts w:hint="eastAsia" w:ascii="楷体" w:hAnsi="楷体" w:eastAsia="楷体" w:cs="楷体_GB2312"/>
          <w:sz w:val="32"/>
          <w:szCs w:val="32"/>
          <w:u w:val="none"/>
        </w:rPr>
        <w:t>（一）经济处罚</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依据考核结果扣减市政照明管护服务费，具体标准如下：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仿宋_GB2312" w:hAnsi="方正仿宋简体" w:eastAsia="仿宋_GB2312" w:cs="方正仿宋简体"/>
          <w:sz w:val="32"/>
          <w:szCs w:val="32"/>
          <w:highlight w:val="none"/>
          <w:u w:val="none"/>
          <w:lang w:val="en-US" w:eastAsia="zh-CN"/>
        </w:rPr>
      </w:pPr>
      <w:r>
        <w:rPr>
          <w:rFonts w:hint="eastAsia" w:ascii="仿宋_GB2312" w:hAnsi="方正仿宋简体" w:eastAsia="仿宋_GB2312" w:cs="方正仿宋简体"/>
          <w:sz w:val="32"/>
          <w:szCs w:val="32"/>
          <w:highlight w:val="none"/>
          <w:u w:val="none"/>
        </w:rPr>
        <w:t>1.</w:t>
      </w:r>
      <w:r>
        <w:rPr>
          <w:rFonts w:hint="eastAsia" w:ascii="仿宋_GB2312" w:hAnsi="方正仿宋简体" w:eastAsia="仿宋_GB2312" w:cs="方正仿宋简体"/>
          <w:sz w:val="32"/>
          <w:szCs w:val="32"/>
          <w:highlight w:val="none"/>
          <w:u w:val="none"/>
          <w:lang w:eastAsia="zh-CN"/>
        </w:rPr>
        <w:t>满分</w:t>
      </w:r>
      <w:r>
        <w:rPr>
          <w:rFonts w:hint="eastAsia" w:ascii="仿宋_GB2312" w:hAnsi="方正仿宋简体" w:eastAsia="仿宋_GB2312" w:cs="方正仿宋简体"/>
          <w:sz w:val="32"/>
          <w:szCs w:val="32"/>
          <w:highlight w:val="none"/>
          <w:u w:val="none"/>
          <w:lang w:val="en-US" w:eastAsia="zh-CN"/>
        </w:rPr>
        <w:t>100分，每低1分，扣除月管护服务费的1%，考核评分不达80分的管护单位，解除管护合同；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仿宋_GB2312" w:hAnsi="方正仿宋简体" w:eastAsia="仿宋_GB2312" w:cs="方正仿宋简体"/>
          <w:sz w:val="32"/>
          <w:szCs w:val="32"/>
          <w:highlight w:val="none"/>
          <w:u w:val="none"/>
          <w:lang w:val="en-US" w:eastAsia="zh-CN"/>
        </w:rPr>
      </w:pPr>
      <w:r>
        <w:rPr>
          <w:rFonts w:hint="eastAsia" w:ascii="仿宋_GB2312" w:hAnsi="方正仿宋简体" w:eastAsia="仿宋_GB2312" w:cs="方正仿宋简体"/>
          <w:sz w:val="32"/>
          <w:szCs w:val="32"/>
          <w:highlight w:val="none"/>
          <w:u w:val="none"/>
        </w:rPr>
        <w:t>2.</w:t>
      </w:r>
      <w:r>
        <w:rPr>
          <w:rFonts w:hint="eastAsia" w:ascii="仿宋_GB2312" w:hAnsi="方正仿宋简体" w:eastAsia="仿宋_GB2312" w:cs="方正仿宋简体"/>
          <w:sz w:val="32"/>
          <w:szCs w:val="32"/>
          <w:highlight w:val="none"/>
          <w:u w:val="none"/>
          <w:lang w:eastAsia="zh-CN"/>
        </w:rPr>
        <w:t>每月考核三次夜检中任一次整体亮灯率未达到</w:t>
      </w:r>
      <w:r>
        <w:rPr>
          <w:rFonts w:hint="eastAsia" w:ascii="仿宋_GB2312" w:hAnsi="方正仿宋简体" w:eastAsia="仿宋_GB2312" w:cs="方正仿宋简体"/>
          <w:sz w:val="32"/>
          <w:szCs w:val="32"/>
          <w:highlight w:val="none"/>
          <w:u w:val="none"/>
          <w:lang w:val="en-US" w:eastAsia="zh-CN"/>
        </w:rPr>
        <w:t>95%，当月一次性扣减管护经费的20%，对全年累计三次检查亮灯率未达95%的管护单位，解除管护合同。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方正仿宋简体" w:eastAsia="仿宋_GB2312" w:cs="方正仿宋简体"/>
          <w:sz w:val="32"/>
          <w:szCs w:val="32"/>
          <w:highlight w:val="yellow"/>
          <w:u w:val="none"/>
        </w:rPr>
      </w:pPr>
      <w:r>
        <w:rPr>
          <w:rFonts w:hint="eastAsia" w:ascii="仿宋_GB2312" w:hAnsi="方正仿宋简体" w:eastAsia="仿宋_GB2312" w:cs="方正仿宋简体"/>
          <w:sz w:val="32"/>
          <w:szCs w:val="32"/>
          <w:highlight w:val="none"/>
          <w:u w:val="none"/>
        </w:rPr>
        <w:t>3.单项扣分累计若超出项目分值时，该项0分。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楷体" w:hAnsi="楷体" w:eastAsia="楷体" w:cs="楷体_GB2312"/>
          <w:sz w:val="32"/>
          <w:szCs w:val="32"/>
          <w:u w:val="none"/>
        </w:rPr>
      </w:pPr>
      <w:r>
        <w:rPr>
          <w:rFonts w:hint="eastAsia" w:ascii="楷体" w:hAnsi="楷体" w:eastAsia="楷体" w:cs="楷体_GB2312"/>
          <w:sz w:val="32"/>
          <w:szCs w:val="32"/>
          <w:u w:val="none"/>
        </w:rPr>
        <w:t>（二）经费支付</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各管护公司的考核得分结果需经考核人员、负责人、总负责人签字，考核结果作为每月</w:t>
      </w:r>
      <w:r>
        <w:rPr>
          <w:rFonts w:hint="eastAsia" w:ascii="仿宋_GB2312" w:hAnsi="方正仿宋简体" w:eastAsia="仿宋_GB2312" w:cs="方正仿宋简体"/>
          <w:sz w:val="32"/>
          <w:szCs w:val="32"/>
          <w:u w:val="none"/>
          <w:lang w:eastAsia="zh-CN"/>
        </w:rPr>
        <w:t>管护费</w:t>
      </w:r>
      <w:r>
        <w:rPr>
          <w:rFonts w:hint="eastAsia" w:ascii="仿宋_GB2312" w:hAnsi="方正仿宋简体" w:eastAsia="仿宋_GB2312" w:cs="方正仿宋简体"/>
          <w:sz w:val="32"/>
          <w:szCs w:val="32"/>
          <w:u w:val="none"/>
        </w:rPr>
        <w:t>拨付的依据。</w:t>
      </w:r>
      <w:r>
        <w:rPr>
          <w:rFonts w:hint="eastAsia" w:ascii="仿宋_GB2312" w:hAnsi="方正仿宋简体" w:eastAsia="仿宋_GB2312" w:cs="方正仿宋简体"/>
          <w:sz w:val="32"/>
          <w:szCs w:val="32"/>
          <w:u w:val="none"/>
          <w:lang w:eastAsia="zh-CN"/>
        </w:rPr>
        <w:t>市政中心于次月</w:t>
      </w:r>
      <w:r>
        <w:rPr>
          <w:rFonts w:hint="eastAsia" w:ascii="仿宋_GB2312" w:hAnsi="方正仿宋简体" w:eastAsia="仿宋_GB2312" w:cs="方正仿宋简体"/>
          <w:sz w:val="32"/>
          <w:szCs w:val="32"/>
          <w:u w:val="none"/>
          <w:lang w:val="en-US" w:eastAsia="zh-CN"/>
        </w:rPr>
        <w:t>15日前完成上月考核，</w:t>
      </w:r>
      <w:r>
        <w:rPr>
          <w:rFonts w:hint="eastAsia" w:ascii="仿宋_GB2312" w:hAnsi="方正仿宋简体" w:eastAsia="仿宋_GB2312" w:cs="方正仿宋简体"/>
          <w:sz w:val="32"/>
          <w:szCs w:val="32"/>
          <w:u w:val="none"/>
          <w:lang w:eastAsia="zh-CN"/>
        </w:rPr>
        <w:t>并按程序</w:t>
      </w:r>
      <w:r>
        <w:rPr>
          <w:rFonts w:hint="eastAsia" w:ascii="仿宋_GB2312" w:hAnsi="方正仿宋简体" w:eastAsia="仿宋_GB2312" w:cs="方正仿宋简体"/>
          <w:sz w:val="32"/>
          <w:szCs w:val="32"/>
          <w:u w:val="none"/>
        </w:rPr>
        <w:t>向管护公司支付上月实际应付的管护费。支付管护费时，管护公司须递交拨付管护费的书面申请，并提供正式发票。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楷体" w:hAnsi="楷体" w:eastAsia="楷体" w:cs="楷体_GB2312"/>
          <w:sz w:val="32"/>
          <w:szCs w:val="32"/>
          <w:u w:val="none"/>
        </w:rPr>
      </w:pPr>
      <w:r>
        <w:rPr>
          <w:rFonts w:hint="eastAsia" w:ascii="楷体" w:hAnsi="楷体" w:eastAsia="楷体" w:cs="楷体_GB2312"/>
          <w:sz w:val="32"/>
          <w:szCs w:val="32"/>
          <w:u w:val="none"/>
        </w:rPr>
        <w:t>（三）退出机制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因管护公司原因导致以下情况之一，区综合执法局有权无条件解除合同，并不予退还乙方履约保证金，由此产生的损失由乙方承担。</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1.合同期间，区综合执法局对管护公司的考核结果每月通报一次，月综合得分在80分以下（不含80分）的。</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u w:val="none"/>
        </w:rPr>
      </w:pPr>
      <w:r>
        <w:rPr>
          <w:rFonts w:hint="eastAsia" w:ascii="仿宋_GB2312" w:eastAsia="仿宋_GB2312"/>
          <w:sz w:val="32"/>
          <w:szCs w:val="32"/>
          <w:u w:val="none"/>
        </w:rPr>
        <w:t>2.全年累计三次亮灯率未达到</w:t>
      </w:r>
      <w:r>
        <w:rPr>
          <w:rFonts w:hint="eastAsia" w:ascii="仿宋_GB2312" w:eastAsia="仿宋_GB2312"/>
          <w:sz w:val="32"/>
          <w:szCs w:val="32"/>
          <w:u w:val="none"/>
          <w:lang w:val="en-US" w:eastAsia="zh-CN"/>
        </w:rPr>
        <w:t>95</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3.区综合执法局因同一个问题发出书面整改通知三次以上（含三次），管护公司仍不整改或整改达不到合同约定的质量标准和要求的。</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4.因管护公司管理不善或作业操作不当等原因，致使责任区域发生安全事故的。（区安监局认定的一般事故及以上的，且管护作业公司负主要责任的）。</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5.拖欠工资等违反《中华人民共和国劳动法》规定的。</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6.投标公司中标后分包、转包该项目的。</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7.凡被我区淘汰的路灯管护公司，取消参与我区下一轮市政照明管护的投标资格。</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黑体" w:hAnsi="仿宋" w:eastAsia="黑体"/>
          <w:sz w:val="32"/>
          <w:szCs w:val="32"/>
          <w:u w:val="none"/>
        </w:rPr>
      </w:pPr>
      <w:r>
        <w:rPr>
          <w:rFonts w:hint="eastAsia" w:ascii="黑体" w:hAnsi="仿宋" w:eastAsia="黑体"/>
          <w:sz w:val="32"/>
          <w:szCs w:val="32"/>
          <w:u w:val="none"/>
        </w:rPr>
        <w:t>九、申请复核</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被考核公司认为考核有误，可以向区综合执法局书面提出复核申请，复核只进行一次。</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十、解释</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方正仿宋简体" w:eastAsia="仿宋_GB2312" w:cs="方正仿宋简体"/>
          <w:sz w:val="32"/>
          <w:szCs w:val="32"/>
          <w:u w:val="none"/>
        </w:rPr>
      </w:pPr>
      <w:r>
        <w:rPr>
          <w:rFonts w:hint="eastAsia" w:ascii="仿宋_GB2312" w:hAnsi="方正仿宋简体" w:eastAsia="仿宋_GB2312" w:cs="方正仿宋简体"/>
          <w:sz w:val="32"/>
          <w:szCs w:val="32"/>
          <w:u w:val="none"/>
        </w:rPr>
        <w:t>本办法解释权归成都市郫都区综合行政执法局。</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方正仿宋简体" w:eastAsia="仿宋_GB2312" w:cs="方正仿宋简体"/>
          <w:sz w:val="32"/>
          <w:szCs w:val="32"/>
          <w:u w:val="none"/>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方正仿宋简体" w:eastAsia="仿宋_GB2312" w:cs="方正仿宋简体"/>
          <w:sz w:val="32"/>
          <w:szCs w:val="32"/>
          <w:u w:val="none"/>
          <w:lang w:val="en-US" w:eastAsia="zh-CN"/>
        </w:rPr>
      </w:pPr>
      <w:r>
        <w:rPr>
          <w:rFonts w:hint="eastAsia" w:ascii="仿宋_GB2312" w:hAnsi="方正仿宋简体" w:eastAsia="仿宋_GB2312" w:cs="方正仿宋简体"/>
          <w:sz w:val="32"/>
          <w:szCs w:val="32"/>
          <w:u w:val="none"/>
          <w:lang w:eastAsia="zh-CN"/>
        </w:rPr>
        <w:t>附件：</w:t>
      </w:r>
      <w:r>
        <w:rPr>
          <w:rFonts w:hint="eastAsia" w:ascii="仿宋_GB2312" w:hAnsi="方正仿宋简体" w:eastAsia="仿宋_GB2312" w:cs="方正仿宋简体"/>
          <w:sz w:val="32"/>
          <w:szCs w:val="32"/>
          <w:u w:val="none"/>
          <w:lang w:val="en-US" w:eastAsia="zh-CN"/>
        </w:rPr>
        <w:t>1.市政照明考核得分汇总表</w:t>
      </w:r>
    </w:p>
    <w:p>
      <w:pPr>
        <w:keepNext w:val="0"/>
        <w:keepLines w:val="0"/>
        <w:pageBreakBefore w:val="0"/>
        <w:kinsoku/>
        <w:wordWrap/>
        <w:overflowPunct/>
        <w:topLinePunct w:val="0"/>
        <w:autoSpaceDE/>
        <w:autoSpaceDN/>
        <w:bidi w:val="0"/>
        <w:adjustRightInd/>
        <w:snapToGrid/>
        <w:spacing w:line="620" w:lineRule="exact"/>
        <w:ind w:firstLine="960" w:firstLineChars="300"/>
        <w:textAlignment w:val="auto"/>
        <w:rPr>
          <w:rFonts w:hint="eastAsia" w:ascii="仿宋_GB2312" w:hAnsi="方正仿宋简体" w:eastAsia="仿宋_GB2312" w:cs="方正仿宋简体"/>
          <w:sz w:val="32"/>
          <w:szCs w:val="32"/>
          <w:u w:val="none"/>
          <w:lang w:val="en-US" w:eastAsia="zh-CN"/>
        </w:rPr>
      </w:pPr>
      <w:r>
        <w:rPr>
          <w:rFonts w:hint="eastAsia" w:ascii="仿宋_GB2312" w:hAnsi="方正仿宋简体" w:eastAsia="仿宋_GB2312" w:cs="方正仿宋简体"/>
          <w:sz w:val="32"/>
          <w:szCs w:val="32"/>
          <w:u w:val="none"/>
          <w:lang w:val="en-US" w:eastAsia="zh-CN"/>
        </w:rPr>
        <w:t>2.市政照明管护市场化作业标准及考核细则（定期考核）</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960" w:firstLineChars="300"/>
        <w:textAlignment w:val="auto"/>
        <w:rPr>
          <w:rFonts w:hint="default" w:ascii="仿宋_GB2312" w:hAnsi="方正仿宋简体" w:eastAsia="仿宋_GB2312" w:cs="方正仿宋简体"/>
          <w:sz w:val="32"/>
          <w:szCs w:val="32"/>
          <w:u w:val="none"/>
          <w:lang w:val="en-US" w:eastAsia="zh-CN"/>
        </w:rPr>
      </w:pPr>
      <w:r>
        <w:rPr>
          <w:rFonts w:hint="eastAsia" w:ascii="仿宋_GB2312" w:hAnsi="方正仿宋简体" w:eastAsia="仿宋_GB2312" w:cs="方正仿宋简体"/>
          <w:sz w:val="32"/>
          <w:szCs w:val="32"/>
          <w:u w:val="none"/>
          <w:lang w:val="en-US" w:eastAsia="zh-CN"/>
        </w:rPr>
        <w:t>3.市政照明管护夜检考核记录表</w:t>
      </w:r>
    </w:p>
    <w:p>
      <w:pPr>
        <w:keepNext w:val="0"/>
        <w:keepLines w:val="0"/>
        <w:pageBreakBefore w:val="0"/>
        <w:kinsoku/>
        <w:wordWrap/>
        <w:overflowPunct/>
        <w:topLinePunct w:val="0"/>
        <w:autoSpaceDE/>
        <w:autoSpaceDN/>
        <w:bidi w:val="0"/>
        <w:adjustRightInd/>
        <w:snapToGrid/>
        <w:spacing w:line="620" w:lineRule="exact"/>
        <w:ind w:firstLine="960" w:firstLineChars="300"/>
        <w:textAlignment w:val="auto"/>
        <w:rPr>
          <w:rFonts w:hint="default" w:ascii="仿宋_GB2312" w:hAnsi="方正仿宋简体" w:eastAsia="仿宋_GB2312" w:cs="方正仿宋简体"/>
          <w:sz w:val="32"/>
          <w:szCs w:val="32"/>
          <w:u w:val="none"/>
          <w:lang w:val="en-US" w:eastAsia="zh-CN"/>
        </w:rPr>
      </w:pPr>
      <w:r>
        <w:rPr>
          <w:rFonts w:hint="eastAsia" w:ascii="仿宋_GB2312" w:hAnsi="方正仿宋简体" w:eastAsia="仿宋_GB2312" w:cs="方正仿宋简体"/>
          <w:sz w:val="32"/>
          <w:szCs w:val="32"/>
          <w:u w:val="none"/>
          <w:lang w:val="en-US" w:eastAsia="zh-CN"/>
        </w:rPr>
        <w:t>4.市政照明管护市场化作业标准及考核细则（内业考核）</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方正仿宋简体" w:eastAsia="仿宋_GB2312" w:cs="方正仿宋简体"/>
          <w:sz w:val="32"/>
          <w:szCs w:val="32"/>
          <w:u w:val="none"/>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方正仿宋简体" w:eastAsia="仿宋_GB2312" w:cs="方正仿宋简体"/>
          <w:sz w:val="32"/>
          <w:szCs w:val="32"/>
          <w:u w:val="none"/>
        </w:rPr>
      </w:pP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宋体" w:eastAsia="仿宋_GB2312" w:cs="宋体"/>
          <w:sz w:val="28"/>
          <w:szCs w:val="28"/>
          <w:u w:val="none"/>
        </w:rPr>
      </w:pPr>
      <w:r>
        <w:rPr>
          <w:rFonts w:hint="eastAsia" w:ascii="仿宋_GB2312" w:hAnsi="方正仿宋简体" w:eastAsia="仿宋_GB2312" w:cs="方正仿宋简体"/>
          <w:sz w:val="32"/>
          <w:szCs w:val="32"/>
          <w:u w:val="none"/>
          <w:lang w:val="en-US" w:eastAsia="zh-CN"/>
        </w:rPr>
        <w:t xml:space="preserve">                    </w:t>
      </w:r>
      <w:r>
        <w:rPr>
          <w:rFonts w:hint="eastAsia" w:ascii="仿宋_GB2312" w:hAnsi="宋体" w:eastAsia="仿宋_GB2312" w:cs="宋体"/>
          <w:sz w:val="28"/>
          <w:szCs w:val="28"/>
          <w:u w:val="none"/>
        </w:rPr>
        <w:t xml:space="preserve">                      </w:t>
      </w:r>
    </w:p>
    <w:p>
      <w:pPr>
        <w:rPr>
          <w:u w:val="none"/>
        </w:rPr>
      </w:pPr>
      <w:r>
        <w:rPr>
          <w:u w:val="none"/>
        </w:rPr>
        <w:br w:type="page"/>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8"/>
        <w:gridCol w:w="2598"/>
        <w:gridCol w:w="1145"/>
        <w:gridCol w:w="1261"/>
        <w:gridCol w:w="1646"/>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93" w:type="pct"/>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考核表一</w:t>
            </w:r>
          </w:p>
        </w:tc>
        <w:tc>
          <w:tcPr>
            <w:tcW w:w="672"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4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6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2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市政照明考核得分汇总表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noWrap/>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 xml:space="preserve">考核项目：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6"/>
            <w:tcBorders>
              <w:top w:val="nil"/>
              <w:left w:val="nil"/>
              <w:bottom w:val="nil"/>
              <w:right w:val="nil"/>
            </w:tcBorders>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管护单位：                   考核时间：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序号</w:t>
            </w:r>
          </w:p>
        </w:tc>
        <w:tc>
          <w:tcPr>
            <w:tcW w:w="1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考核内容</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得分</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平均分</w:t>
            </w: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扣款金额（元）</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1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定期考核第一次（88%）</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iCs w:val="0"/>
                <w:color w:val="000000"/>
                <w:sz w:val="28"/>
                <w:szCs w:val="28"/>
                <w:u w:val="none"/>
              </w:rPr>
            </w:pPr>
          </w:p>
        </w:tc>
        <w:tc>
          <w:tcPr>
            <w:tcW w:w="740"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966" w:type="pct"/>
            <w:vMerge w:val="restart"/>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c>
          <w:tcPr>
            <w:tcW w:w="1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定期考核第二次（88%）</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iCs w:val="0"/>
                <w:color w:val="000000"/>
                <w:sz w:val="28"/>
                <w:szCs w:val="28"/>
                <w:u w:val="none"/>
              </w:rPr>
            </w:pP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966"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c>
          <w:tcPr>
            <w:tcW w:w="1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定期考核第三次（88%）</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iCs w:val="0"/>
                <w:color w:val="000000"/>
                <w:sz w:val="28"/>
                <w:szCs w:val="28"/>
                <w:u w:val="none"/>
              </w:rPr>
            </w:pP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966"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c>
          <w:tcPr>
            <w:tcW w:w="1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内业考核（12%）</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966"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1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总分</w:t>
            </w:r>
          </w:p>
        </w:tc>
        <w:tc>
          <w:tcPr>
            <w:tcW w:w="141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c>
          <w:tcPr>
            <w:tcW w:w="966"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iCs w:val="0"/>
                <w:color w:val="000000"/>
                <w:sz w:val="28"/>
                <w:szCs w:val="28"/>
                <w:u w:val="none"/>
              </w:rPr>
            </w:pP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09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管护公司意见</w:t>
            </w:r>
          </w:p>
        </w:tc>
        <w:tc>
          <w:tcPr>
            <w:tcW w:w="2906"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09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考核小组意见</w:t>
            </w:r>
          </w:p>
        </w:tc>
        <w:tc>
          <w:tcPr>
            <w:tcW w:w="2906"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209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市政所负责人意见</w:t>
            </w:r>
          </w:p>
        </w:tc>
        <w:tc>
          <w:tcPr>
            <w:tcW w:w="2906"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209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局分管领导意见</w:t>
            </w:r>
          </w:p>
        </w:tc>
        <w:tc>
          <w:tcPr>
            <w:tcW w:w="2906" w:type="pct"/>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r>
    </w:tbl>
    <w:p>
      <w:r>
        <w:br w:type="page"/>
      </w:r>
    </w:p>
    <w:tbl>
      <w:tblPr>
        <w:tblStyle w:val="2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
        <w:gridCol w:w="662"/>
        <w:gridCol w:w="846"/>
        <w:gridCol w:w="576"/>
        <w:gridCol w:w="416"/>
        <w:gridCol w:w="2004"/>
        <w:gridCol w:w="772"/>
        <w:gridCol w:w="742"/>
        <w:gridCol w:w="631"/>
        <w:gridCol w:w="222"/>
        <w:gridCol w:w="223"/>
        <w:gridCol w:w="243"/>
        <w:gridCol w:w="245"/>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9" w:type="pct"/>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考核表二</w:t>
            </w:r>
          </w:p>
        </w:tc>
        <w:tc>
          <w:tcPr>
            <w:tcW w:w="319"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2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6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4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0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市政照明管护市场化作业标准及考核细则（定期考核）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7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30"/>
                <w:szCs w:val="30"/>
                <w:u w:val="none"/>
              </w:rPr>
            </w:pPr>
            <w:r>
              <w:rPr>
                <w:rFonts w:hint="default" w:ascii="仿宋_GB2312" w:hAnsi="宋体" w:eastAsia="仿宋_GB2312" w:cs="仿宋_GB2312"/>
                <w:i w:val="0"/>
                <w:iCs w:val="0"/>
                <w:color w:val="000000"/>
                <w:kern w:val="0"/>
                <w:sz w:val="30"/>
                <w:szCs w:val="30"/>
                <w:u w:val="none"/>
                <w:lang w:val="en-US" w:eastAsia="zh-CN" w:bidi="ar"/>
              </w:rPr>
              <w:t>考核项目：</w:t>
            </w:r>
          </w:p>
        </w:tc>
        <w:tc>
          <w:tcPr>
            <w:tcW w:w="2324" w:type="pct"/>
            <w:gridSpan w:val="8"/>
            <w:tcBorders>
              <w:top w:val="nil"/>
              <w:left w:val="nil"/>
              <w:bottom w:val="nil"/>
              <w:right w:val="nil"/>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0"/>
                <w:szCs w:val="30"/>
                <w:u w:val="none"/>
              </w:rPr>
            </w:pPr>
            <w:r>
              <w:rPr>
                <w:rFonts w:hint="default" w:ascii="仿宋_GB2312" w:hAnsi="宋体" w:eastAsia="仿宋_GB2312" w:cs="仿宋_GB2312"/>
                <w:i w:val="0"/>
                <w:iCs w:val="0"/>
                <w:color w:val="000000"/>
                <w:kern w:val="0"/>
                <w:sz w:val="30"/>
                <w:szCs w:val="3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4"/>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30"/>
                <w:szCs w:val="30"/>
                <w:u w:val="none"/>
              </w:rPr>
            </w:pPr>
            <w:r>
              <w:rPr>
                <w:rFonts w:hint="default" w:ascii="仿宋_GB2312" w:hAnsi="宋体" w:eastAsia="仿宋_GB2312" w:cs="仿宋_GB2312"/>
                <w:i w:val="0"/>
                <w:iCs w:val="0"/>
                <w:color w:val="000000"/>
                <w:kern w:val="0"/>
                <w:sz w:val="30"/>
                <w:szCs w:val="30"/>
                <w:u w:val="none"/>
                <w:lang w:val="en-US" w:eastAsia="zh-CN" w:bidi="ar"/>
              </w:rPr>
              <w:t>管护公司：                                                            考核年月：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序号</w:t>
            </w:r>
          </w:p>
        </w:tc>
        <w:tc>
          <w:tcPr>
            <w:tcW w:w="2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检查</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类别</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部位</w:t>
            </w:r>
          </w:p>
        </w:tc>
        <w:tc>
          <w:tcPr>
            <w:tcW w:w="13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技术要求                   </w:t>
            </w:r>
          </w:p>
        </w:tc>
        <w:tc>
          <w:tcPr>
            <w:tcW w:w="160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检查项目    </w:t>
            </w:r>
          </w:p>
        </w:tc>
        <w:tc>
          <w:tcPr>
            <w:tcW w:w="52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扣分标准</w:t>
            </w:r>
          </w:p>
        </w:tc>
        <w:tc>
          <w:tcPr>
            <w:tcW w:w="2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13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16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60"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单位</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分</w:t>
            </w:r>
          </w:p>
        </w:tc>
        <w:tc>
          <w:tcPr>
            <w:tcW w:w="2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18"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夜检</w:t>
            </w:r>
          </w:p>
        </w:tc>
        <w:tc>
          <w:tcPr>
            <w:tcW w:w="319"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亮灯率（25%）</w:t>
            </w:r>
          </w:p>
        </w:tc>
        <w:tc>
          <w:tcPr>
            <w:tcW w:w="319"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光源灯具</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（25分）</w:t>
            </w:r>
          </w:p>
        </w:tc>
        <w:tc>
          <w:tcPr>
            <w:tcW w:w="319" w:type="pct"/>
            <w:vMerge w:val="restart"/>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管护单位每天对管护区域内的路灯亮灯情况进行巡查，确保必检区域亮灯率100%，其余区域亮灯率达99%以上。（25分）</w:t>
            </w:r>
          </w:p>
        </w:tc>
        <w:tc>
          <w:tcPr>
            <w:tcW w:w="1600" w:type="pct"/>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Style w:val="61"/>
                <w:rFonts w:hAnsi="宋体"/>
                <w:lang w:val="en-US" w:eastAsia="zh-CN" w:bidi="ar"/>
              </w:rPr>
              <w:t>1. 必检区域，亮灯率未达到100%，按照未亮灯每盏扣0.2分；</w:t>
            </w:r>
          </w:p>
        </w:tc>
        <w:tc>
          <w:tcPr>
            <w:tcW w:w="260" w:type="pct"/>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0.2分</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vMerge w:val="restart"/>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0"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vMerge w:val="continue"/>
            <w:tcBorders>
              <w:top w:val="nil"/>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18"/>
                <w:szCs w:val="18"/>
                <w:u w:val="none"/>
              </w:rPr>
            </w:pP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Style w:val="61"/>
                <w:rFonts w:hAnsi="宋体"/>
                <w:lang w:val="en-US" w:eastAsia="zh-CN" w:bidi="ar"/>
              </w:rPr>
              <w:t>2.</w:t>
            </w:r>
            <w:r>
              <w:rPr>
                <w:rStyle w:val="62"/>
                <w:rFonts w:eastAsia="仿宋_GB2312"/>
                <w:lang w:val="en-US" w:eastAsia="zh-CN" w:bidi="ar"/>
              </w:rPr>
              <w:t xml:space="preserve"> </w:t>
            </w:r>
            <w:r>
              <w:rPr>
                <w:rStyle w:val="61"/>
                <w:rFonts w:hAnsi="宋体"/>
                <w:lang w:val="en-US" w:eastAsia="zh-CN" w:bidi="ar"/>
              </w:rPr>
              <w:t>抽检区域亮灯率未达到99%（含99%），每低1%扣1分，不足1%部分记为1%；</w:t>
            </w:r>
          </w:p>
        </w:tc>
        <w:tc>
          <w:tcPr>
            <w:tcW w:w="260"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60"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03"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0"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vMerge w:val="continue"/>
            <w:tcBorders>
              <w:top w:val="nil"/>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18"/>
                <w:szCs w:val="18"/>
                <w:u w:val="none"/>
              </w:rPr>
            </w:pP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3.三次夜检中任一次整体亮灯率未达到95%，当月扣减管护经费的20%。</w:t>
            </w:r>
          </w:p>
        </w:tc>
        <w:tc>
          <w:tcPr>
            <w:tcW w:w="260"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60"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03" w:type="pct"/>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日检</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设施完好率（27%）</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控制柜</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（9分）</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箱体</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内外清洁，无积尘，无异物、标示内容完整、清楚、醒目安装规范、牢固；配件完整、保护层完好，门、锁、性能好完好，锈蚀翻新（2分）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货斜、塌陷、剥落、锈蚀、开裂、变形、松动、失效、异物遮档、字迹模糊、内容残缺、脱落。</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0.5分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接地</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连接牢固、位置准确、油漆防腐完整、焊缝严整、固件齐全（2分）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松脱变形、腐蚀、脱落、焊缝起泡，紧固失效、阻值超标。</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0.4分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引下线</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外形整齐、美观；保护管完好绝缘层完好；接头规范（1分）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金具固件变形、锈蚀严重；保护管松脱；绝缘层烧蚀；触点腐蚀。</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箱内线路元器件</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支架稳定；无器件完整齐全；固定牢靠，位置准确；动作灵活有效；导线相一致；编号标志清晰齐全（2分）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松动、位移、残缺破损、严重腐蚀外壳开裂、触点烧蚀开关讯号与标志不一致。</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0.4分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箱内线路</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导线排列整齐、美观；相序一致、接触紧密；固件完整、齐全。(2分）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保护层老化、混乱；触点烧蚀；相序不一致。</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0.5分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2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日检</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设施完好率（27%）</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箱式变压器（10分）</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箱体</w:t>
            </w:r>
          </w:p>
        </w:tc>
        <w:tc>
          <w:tcPr>
            <w:tcW w:w="13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内外清洁，无积尘，无异物、标示内容完整、清楚、醒目。安装规范、牢固；配件完整、保护层完好，门、锁、性能好完好，检查平台牢固、箱体锈蚀部分进行除锈刷漆（2分）</w:t>
            </w:r>
          </w:p>
        </w:tc>
        <w:tc>
          <w:tcPr>
            <w:tcW w:w="160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污秽、积尘、张贴物品、垃圾异物。异物遮档、字迹模糊、内容残缺、脱落、货斜、塌陷、剥落、锈蚀、开裂、变形、松动、失效。</w:t>
            </w:r>
          </w:p>
        </w:tc>
        <w:tc>
          <w:tcPr>
            <w:tcW w:w="26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0.5分</w:t>
            </w:r>
          </w:p>
        </w:tc>
        <w:tc>
          <w:tcPr>
            <w:tcW w:w="20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18"/>
                <w:szCs w:val="18"/>
                <w:u w:val="none"/>
              </w:rPr>
            </w:pPr>
          </w:p>
        </w:tc>
        <w:tc>
          <w:tcPr>
            <w:tcW w:w="16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18"/>
                <w:szCs w:val="18"/>
                <w:u w:val="none"/>
              </w:rPr>
            </w:pPr>
          </w:p>
        </w:tc>
        <w:tc>
          <w:tcPr>
            <w:tcW w:w="26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6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变压器</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油温、油量正常、各密封处是否漏油渗油现象、变压器外观清洁、无裂纹、接头良好（1分）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油温过高、油量过少、变压器否漏油渗油、变压器有裂纹，接头松动。</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0.5分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接地</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连接牢固、位置准确、油漆防腐完整、焊缝严整、固件齐全（1分）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松脱变形、腐蚀、脱落、焊缝起泡，紧固失效、阻值超标。</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内外容断器</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外观完美、美观；保护管完好;连接牢固、有效；安装正确；固件齐全。（1分）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松脱、断裂、附件烧蚀、破损、异物缠绕。</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引下线</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外形整齐、美观；保护管完好绝缘层完好；接头规范（1分）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金具固件变形、锈蚀严重；保护管松脱；绝缘层烧蚀；触点腐蚀。</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箱内一次线路元器件</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支架稳定；元器件完整齐全；固定牢靠，位置准确；动作灵活有效；导线相一致；编号标志清晰齐全（2分）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松动、位移、残缺破损、严重腐蚀外壳开裂、触点烧蚀开关讯号与标志不一致。</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0.5分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箱内线路</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导线排列整齐、美观；相序一致、接触紧密；固件完整、齐全。(1分）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保护层老化、混乱；触点烧蚀；相序不一致。</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0.5分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灯具</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（6分）</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光源及电器</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齐全完整；连接准确；工作正常；安装稳固；外壳完整安全。绝缘层完好；接头规范。（2分）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光源、镇流器、触发器、保险残缺；外壳破裂松动、脱落、异响、严重锈蚀、触点烧蚀、损坏。</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0.4分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灯罩</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外观完整、绝缘良好；安装稳固；闭合紧密；保护层完好；部件齐全。支架稳定；元器件完整。（2分）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歪斜、松脱、漏电、破损、残缺、变形、严重锈蚀、洞穿。</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0.4分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灯杆及灯架</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安装端正、稳固；接地可靠；外观整齐清洁；无积尘、无锈蚀、无异物；保护层完好，锈蚀部分的除锈刷漆。（2分）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倾斜、弯曲，基础损坏裂缝、空洞、塌陷；连接松动；保护层脱落；杆体锈蚀严重；异物张贴、缠挂；积污严重。</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0.4分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线路</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（2分）</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地埋电缆</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敷设规范安全；保护措施齐全绝缘层良好；接地连接可靠；固件完整齐全（1分）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绝缘层破损，漏电过热、变形；接头松动；表皮破损，烧蚀；固件松脱；保护管破裂、变形；异物阻塞。</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0.5分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工作井</w:t>
            </w: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稳定完整，砌体竖固，部件齐全（1分）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井盖破损、遗失；井壁塌陷，开裂，严重积水；尘土淤塞。</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日检</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及时修复率（19%）</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19分</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一般光源故障应在60分钟内进行修复（5分）。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一次扣1分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复杂性故障，如电缆故障需在24小时内进行修复，如遇特殊天气需在48小时内进行恢复，恢复完毕后及时回复区综合执法局工作人员（4分）。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一次扣1分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做好突发事件处理及防汛、应急抢险工作，并回复区综合执法局相关工作人员办理情况（4分）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一次扣1分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因车祸损坏照明设施的，乙方应及时报告区综合执法局和交警部门，并1小时内对现场进行处置，排除安全隐患，5日内按原状进行恢复。（4分）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未按要求完成的，一次扣1分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白天无故亮灯、夜间未正常亮灯（2分）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一次扣0.5分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0.5分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w:t>
            </w: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安全管理</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9分</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按照安全操作规范要求，作业时必须着有明显安全标示的工作服，佩戴统一制作的工作牌，高空作业时必须佩带安全带，严禁带电作业等。（2分）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一项扣1分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严格操作规程进行维修作业，夜间巡查及维修作业时须配备两名及以上工作人员（其中一名作为安全监护）户外夜间作业必须着反光背心，设置明显的安全警示标准，并采取标准围挡的安全措施。（3分）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一项扣1分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巡查作业时严禁酒后驾车、无证驾驶、超速、不按规定行驶。（1分）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一项扣1分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安全管护：加强路灯、电缆、控制柜等相关市政照明设施的日常检测检修以及元旦、春节、五一、国庆等节日以及应急抢险防汛的定期安全管护工作(2分）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未完成一次扣1分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管护单位应遵守文明施工规定，不得擅自开挖路面、绿化等（1分）。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一次扣0.5分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0.5分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日检</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安全管理</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（8分）</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管护单位不得随意变更照明设施现状、不得变更供电线路、电器、光源规格型号品牌，需特殊情况需书面报送区综合执法局，按设计标准进行恢复（2分）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一项扣1分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管护单位不得在未经综合执法局同意的情况下给其他单位及个人使用、接电。（2分）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一次扣2分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照明设施被盗未及时恢复，如电缆、灯杆、灯具、箱式变压器等（2分）</w:t>
            </w:r>
          </w:p>
        </w:tc>
        <w:tc>
          <w:tcPr>
            <w:tcW w:w="16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一次扣1分</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327"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护单位在日常巡查中发现以下问题要及时采取有效措施处置：1、擅自拆除、迁移照明设施2、在照明设施旁堆放杂物、挖掘等3、擅自在灯杆上架设通讯线缆等4、擅自开挖造成的照明线缆损坏，车祸造成的损坏。（2分）</w:t>
            </w:r>
          </w:p>
        </w:tc>
        <w:tc>
          <w:tcPr>
            <w:tcW w:w="1600" w:type="pct"/>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一次扣1分</w:t>
            </w:r>
          </w:p>
        </w:tc>
        <w:tc>
          <w:tcPr>
            <w:tcW w:w="260" w:type="pct"/>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60" w:type="pct"/>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203" w:type="pct"/>
            <w:tcBorders>
              <w:top w:val="single" w:color="000000" w:sz="4" w:space="0"/>
              <w:left w:val="single" w:color="000000" w:sz="4" w:space="0"/>
              <w:bottom w:val="nil"/>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4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合计</w:t>
            </w:r>
          </w:p>
        </w:tc>
        <w:tc>
          <w:tcPr>
            <w:tcW w:w="2927"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6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0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67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考核人员（签字）：                                负责人（签字）：</w:t>
            </w:r>
          </w:p>
        </w:tc>
        <w:tc>
          <w:tcPr>
            <w:tcW w:w="2324" w:type="pct"/>
            <w:gridSpan w:val="8"/>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管护单位（签字）：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说明：</w:t>
            </w:r>
          </w:p>
        </w:tc>
        <w:tc>
          <w:tcPr>
            <w:tcW w:w="567" w:type="pct"/>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549" w:type="pct"/>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614"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260"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333"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4"/>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1、定期考核包含日检和夜检，考核结果由考核人员、管护单位签字认可，三次定期考核平均分作为支付管护费的依据。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7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2、本评分标准解释权归成都市郫都区综合行政执法局</w:t>
            </w:r>
          </w:p>
        </w:tc>
        <w:tc>
          <w:tcPr>
            <w:tcW w:w="567" w:type="pct"/>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549" w:type="pct"/>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614"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260"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333"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r>
    </w:tbl>
    <w:p>
      <w:r>
        <w:br w:type="page"/>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789"/>
        <w:gridCol w:w="1864"/>
        <w:gridCol w:w="1094"/>
        <w:gridCol w:w="1116"/>
        <w:gridCol w:w="1116"/>
        <w:gridCol w:w="1003"/>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1974" w:type="pct"/>
            <w:gridSpan w:val="3"/>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考核表三</w:t>
            </w:r>
          </w:p>
        </w:tc>
        <w:tc>
          <w:tcPr>
            <w:tcW w:w="642"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5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5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8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5000" w:type="pct"/>
            <w:gridSpan w:val="8"/>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市政照明管护夜检考核记录表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5000" w:type="pct"/>
            <w:gridSpan w:val="8"/>
            <w:tcBorders>
              <w:top w:val="nil"/>
              <w:left w:val="nil"/>
              <w:bottom w:val="nil"/>
              <w:right w:val="nil"/>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 xml:space="preserve">考核项目：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5000" w:type="pct"/>
            <w:gridSpan w:val="8"/>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管护单位：                            考核时间：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区域</w:t>
            </w: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道路名称</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盏 数（盏）</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熄灯数（盏）</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亮灯率</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总亮灯率</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必检</w:t>
            </w:r>
          </w:p>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区域</w:t>
            </w: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restart"/>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restart"/>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4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抽检</w:t>
            </w:r>
          </w:p>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区域</w:t>
            </w: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4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10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8"/>
                <w:szCs w:val="28"/>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5000" w:type="pct"/>
            <w:gridSpan w:val="8"/>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5000" w:type="pct"/>
            <w:gridSpan w:val="8"/>
            <w:tcBorders>
              <w:top w:val="nil"/>
              <w:left w:val="nil"/>
              <w:bottom w:val="nil"/>
              <w:right w:val="nil"/>
            </w:tcBorders>
            <w:noWrap w:val="0"/>
            <w:vAlign w:val="center"/>
          </w:tcPr>
          <w:p>
            <w:pPr>
              <w:keepNext w:val="0"/>
              <w:keepLines w:val="0"/>
              <w:widowControl/>
              <w:suppressLineNumbers w:val="0"/>
              <w:ind w:firstLineChars="30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考核人：                         市政中心负责人：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 xml:space="preserve">     管护单位：</w:t>
            </w:r>
          </w:p>
        </w:tc>
      </w:tr>
    </w:tbl>
    <w:p>
      <w:r>
        <w:br w:type="page"/>
      </w:r>
    </w:p>
    <w:tbl>
      <w:tblPr>
        <w:tblStyle w:val="2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6"/>
        <w:gridCol w:w="846"/>
        <w:gridCol w:w="605"/>
        <w:gridCol w:w="2632"/>
        <w:gridCol w:w="449"/>
        <w:gridCol w:w="686"/>
        <w:gridCol w:w="664"/>
        <w:gridCol w:w="281"/>
        <w:gridCol w:w="222"/>
        <w:gridCol w:w="254"/>
        <w:gridCol w:w="232"/>
        <w:gridCol w:w="620"/>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1" w:type="pct"/>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考核表四</w:t>
            </w:r>
          </w:p>
        </w:tc>
        <w:tc>
          <w:tcPr>
            <w:tcW w:w="35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54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6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0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8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6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4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6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642" w:type="pct"/>
            <w:gridSpan w:val="12"/>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市政照明管护市场化作业标准及考核细则（内业考核）</w:t>
            </w: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3" w:type="pct"/>
            <w:gridSpan w:val="4"/>
            <w:tcBorders>
              <w:top w:val="nil"/>
              <w:left w:val="nil"/>
              <w:bottom w:val="nil"/>
              <w:right w:val="nil"/>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30"/>
                <w:szCs w:val="30"/>
                <w:u w:val="none"/>
              </w:rPr>
            </w:pPr>
            <w:r>
              <w:rPr>
                <w:rFonts w:hint="default" w:ascii="仿宋_GB2312" w:hAnsi="宋体" w:eastAsia="仿宋_GB2312" w:cs="仿宋_GB2312"/>
                <w:i w:val="0"/>
                <w:iCs w:val="0"/>
                <w:color w:val="000000"/>
                <w:kern w:val="0"/>
                <w:sz w:val="30"/>
                <w:szCs w:val="30"/>
                <w:u w:val="none"/>
                <w:lang w:val="en-US" w:eastAsia="zh-CN" w:bidi="ar"/>
              </w:rPr>
              <w:t>考核项目：</w:t>
            </w:r>
          </w:p>
        </w:tc>
        <w:tc>
          <w:tcPr>
            <w:tcW w:w="1999" w:type="pct"/>
            <w:gridSpan w:val="8"/>
            <w:tcBorders>
              <w:top w:val="nil"/>
              <w:left w:val="nil"/>
              <w:bottom w:val="nil"/>
              <w:right w:val="nil"/>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30"/>
                <w:szCs w:val="30"/>
                <w:u w:val="none"/>
              </w:rPr>
            </w:pPr>
            <w:r>
              <w:rPr>
                <w:rFonts w:hint="default" w:ascii="仿宋_GB2312" w:hAnsi="宋体" w:eastAsia="仿宋_GB2312" w:cs="仿宋_GB2312"/>
                <w:i w:val="0"/>
                <w:iCs w:val="0"/>
                <w:color w:val="000000"/>
                <w:kern w:val="0"/>
                <w:sz w:val="30"/>
                <w:szCs w:val="30"/>
                <w:u w:val="none"/>
                <w:lang w:val="en-US" w:eastAsia="zh-CN" w:bidi="ar"/>
              </w:rPr>
              <w:t xml:space="preserve">               </w:t>
            </w: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42" w:type="pct"/>
            <w:gridSpan w:val="12"/>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30"/>
                <w:szCs w:val="30"/>
                <w:u w:val="none"/>
              </w:rPr>
            </w:pPr>
            <w:r>
              <w:rPr>
                <w:rFonts w:hint="default" w:ascii="仿宋_GB2312" w:hAnsi="宋体" w:eastAsia="仿宋_GB2312" w:cs="仿宋_GB2312"/>
                <w:i w:val="0"/>
                <w:iCs w:val="0"/>
                <w:color w:val="000000"/>
                <w:kern w:val="0"/>
                <w:sz w:val="30"/>
                <w:szCs w:val="30"/>
                <w:u w:val="none"/>
                <w:lang w:val="en-US" w:eastAsia="zh-CN" w:bidi="ar"/>
              </w:rPr>
              <w:t>管护公司：                 考核时间：   年    月</w:t>
            </w: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vMerge w:val="restart"/>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序号</w:t>
            </w:r>
          </w:p>
        </w:tc>
        <w:tc>
          <w:tcPr>
            <w:tcW w:w="496"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类别</w:t>
            </w:r>
          </w:p>
        </w:tc>
        <w:tc>
          <w:tcPr>
            <w:tcW w:w="356"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w:t>
            </w:r>
          </w:p>
        </w:tc>
        <w:tc>
          <w:tcPr>
            <w:tcW w:w="1546"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技术要求                   </w:t>
            </w:r>
          </w:p>
        </w:tc>
        <w:tc>
          <w:tcPr>
            <w:tcW w:w="1057" w:type="pct"/>
            <w:gridSpan w:val="3"/>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检查项目    </w:t>
            </w:r>
          </w:p>
        </w:tc>
        <w:tc>
          <w:tcPr>
            <w:tcW w:w="580" w:type="pct"/>
            <w:gridSpan w:val="4"/>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扣分标准</w:t>
            </w:r>
          </w:p>
        </w:tc>
        <w:tc>
          <w:tcPr>
            <w:tcW w:w="361" w:type="pct"/>
            <w:vMerge w:val="restart"/>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扣分</w:t>
            </w: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4" w:type="pct"/>
            <w:vMerge w:val="continue"/>
            <w:tcBorders>
              <w:top w:val="single" w:color="000000" w:sz="8" w:space="0"/>
              <w:left w:val="single" w:color="000000" w:sz="8"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496" w:type="pct"/>
            <w:vMerge w:val="continue"/>
            <w:tcBorders>
              <w:top w:val="single" w:color="000000" w:sz="8"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56" w:type="pct"/>
            <w:vMerge w:val="continue"/>
            <w:tcBorders>
              <w:top w:val="single" w:color="000000" w:sz="8"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1546" w:type="pct"/>
            <w:vMerge w:val="continue"/>
            <w:tcBorders>
              <w:top w:val="single" w:color="000000" w:sz="8"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1057" w:type="pct"/>
            <w:gridSpan w:val="3"/>
            <w:vMerge w:val="continue"/>
            <w:tcBorders>
              <w:top w:val="single" w:color="000000" w:sz="8"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295"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单位</w:t>
            </w:r>
          </w:p>
        </w:tc>
        <w:tc>
          <w:tcPr>
            <w:tcW w:w="285"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分</w:t>
            </w:r>
          </w:p>
        </w:tc>
        <w:tc>
          <w:tcPr>
            <w:tcW w:w="361" w:type="pct"/>
            <w:vMerge w:val="continue"/>
            <w:tcBorders>
              <w:top w:val="single" w:color="000000" w:sz="8" w:space="0"/>
              <w:left w:val="single" w:color="000000" w:sz="4" w:space="0"/>
              <w:bottom w:val="single" w:color="000000" w:sz="4" w:space="0"/>
              <w:right w:val="single" w:color="000000" w:sz="8"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44" w:type="pct"/>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4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内业考核</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内业管理及投诉12分</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如因乙方管护责任造成的群众投诉（市长信箱、区长信箱、投诉等），按件扣减乙方考核得分。（7分）</w:t>
            </w:r>
          </w:p>
        </w:tc>
        <w:tc>
          <w:tcPr>
            <w:tcW w:w="10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一件扣1分</w:t>
            </w:r>
          </w:p>
        </w:tc>
        <w:tc>
          <w:tcPr>
            <w:tcW w:w="2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件</w:t>
            </w:r>
          </w:p>
        </w:tc>
        <w:tc>
          <w:tcPr>
            <w:tcW w:w="2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1分</w:t>
            </w:r>
          </w:p>
        </w:tc>
        <w:tc>
          <w:tcPr>
            <w:tcW w:w="361"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仿宋_GB2312" w:hAnsi="宋体" w:eastAsia="仿宋_GB2312" w:cs="仿宋_GB2312"/>
                <w:i w:val="0"/>
                <w:iCs w:val="0"/>
                <w:color w:val="000000"/>
                <w:sz w:val="34"/>
                <w:szCs w:val="34"/>
                <w:u w:val="none"/>
              </w:rPr>
            </w:pP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4" w:type="pct"/>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管护单位按投标文件配备设备、机具、人员的。（1分）</w:t>
            </w:r>
          </w:p>
        </w:tc>
        <w:tc>
          <w:tcPr>
            <w:tcW w:w="10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未按要求配备的，一项扣0.2分</w:t>
            </w:r>
          </w:p>
        </w:tc>
        <w:tc>
          <w:tcPr>
            <w:tcW w:w="2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361"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仿宋_GB2312" w:hAnsi="宋体" w:eastAsia="仿宋_GB2312" w:cs="仿宋_GB2312"/>
                <w:i w:val="0"/>
                <w:iCs w:val="0"/>
                <w:color w:val="000000"/>
                <w:sz w:val="34"/>
                <w:szCs w:val="34"/>
                <w:u w:val="none"/>
              </w:rPr>
            </w:pP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44" w:type="pct"/>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管护公司应对所管护的路灯、配电柜、箱式变压器灯杆、灯具等照明设施建立档案、维修记录、值班记录、数据台账、安全台帐，对新接收的路灯设施进行编号管理。（1分）</w:t>
            </w:r>
          </w:p>
        </w:tc>
        <w:tc>
          <w:tcPr>
            <w:tcW w:w="10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无健全的档案、记录、台帐、未对路灯进行编号管理的，一项扣0.2分</w:t>
            </w:r>
          </w:p>
        </w:tc>
        <w:tc>
          <w:tcPr>
            <w:tcW w:w="2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w:t>
            </w:r>
          </w:p>
        </w:tc>
        <w:tc>
          <w:tcPr>
            <w:tcW w:w="2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361"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仿宋_GB2312" w:hAnsi="宋体" w:eastAsia="仿宋_GB2312" w:cs="仿宋_GB2312"/>
                <w:i w:val="0"/>
                <w:iCs w:val="0"/>
                <w:color w:val="000000"/>
                <w:sz w:val="34"/>
                <w:szCs w:val="34"/>
                <w:u w:val="none"/>
              </w:rPr>
            </w:pP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4" w:type="pct"/>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管护单位负责人必须24小时保持通讯畅通。（1分）</w:t>
            </w:r>
          </w:p>
        </w:tc>
        <w:tc>
          <w:tcPr>
            <w:tcW w:w="10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无法联系一次扣0.2分</w:t>
            </w:r>
          </w:p>
        </w:tc>
        <w:tc>
          <w:tcPr>
            <w:tcW w:w="2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361"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仿宋_GB2312" w:hAnsi="宋体" w:eastAsia="仿宋_GB2312" w:cs="仿宋_GB2312"/>
                <w:i w:val="0"/>
                <w:iCs w:val="0"/>
                <w:color w:val="000000"/>
                <w:sz w:val="34"/>
                <w:szCs w:val="34"/>
                <w:u w:val="none"/>
              </w:rPr>
            </w:pP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4" w:type="pct"/>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资料报送要按时、规范、详细（1分）。</w:t>
            </w:r>
          </w:p>
        </w:tc>
        <w:tc>
          <w:tcPr>
            <w:tcW w:w="10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不按要求报送一次扣0.2分</w:t>
            </w:r>
          </w:p>
        </w:tc>
        <w:tc>
          <w:tcPr>
            <w:tcW w:w="2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361"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仿宋_GB2312" w:hAnsi="宋体" w:eastAsia="仿宋_GB2312" w:cs="仿宋_GB2312"/>
                <w:i w:val="0"/>
                <w:iCs w:val="0"/>
                <w:color w:val="000000"/>
                <w:sz w:val="34"/>
                <w:szCs w:val="34"/>
                <w:u w:val="none"/>
              </w:rPr>
            </w:pP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4" w:type="pct"/>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rPr>
            </w:pPr>
          </w:p>
        </w:tc>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管护单位所有作业机具必须保持整洁、美观。（1分）</w:t>
            </w:r>
          </w:p>
        </w:tc>
        <w:tc>
          <w:tcPr>
            <w:tcW w:w="10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按次扣0.2分</w:t>
            </w:r>
          </w:p>
        </w:tc>
        <w:tc>
          <w:tcPr>
            <w:tcW w:w="2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次</w:t>
            </w:r>
          </w:p>
        </w:tc>
        <w:tc>
          <w:tcPr>
            <w:tcW w:w="2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0.2分</w:t>
            </w:r>
          </w:p>
        </w:tc>
        <w:tc>
          <w:tcPr>
            <w:tcW w:w="361"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仿宋_GB2312" w:hAnsi="宋体" w:eastAsia="仿宋_GB2312" w:cs="仿宋_GB2312"/>
                <w:i w:val="0"/>
                <w:iCs w:val="0"/>
                <w:color w:val="000000"/>
                <w:sz w:val="34"/>
                <w:szCs w:val="34"/>
                <w:u w:val="none"/>
              </w:rPr>
            </w:pP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43" w:type="pct"/>
            <w:gridSpan w:val="4"/>
            <w:tcBorders>
              <w:top w:val="single" w:color="000000" w:sz="4" w:space="0"/>
              <w:left w:val="single" w:color="000000" w:sz="8"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合计</w:t>
            </w:r>
          </w:p>
        </w:tc>
        <w:tc>
          <w:tcPr>
            <w:tcW w:w="1057" w:type="pct"/>
            <w:gridSpan w:val="3"/>
            <w:tcBorders>
              <w:top w:val="single" w:color="000000" w:sz="4" w:space="0"/>
              <w:left w:val="single" w:color="000000" w:sz="4" w:space="0"/>
              <w:bottom w:val="single" w:color="000000" w:sz="8"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95" w:type="pct"/>
            <w:gridSpan w:val="2"/>
            <w:tcBorders>
              <w:top w:val="single" w:color="000000" w:sz="4" w:space="0"/>
              <w:left w:val="single" w:color="000000" w:sz="4" w:space="0"/>
              <w:bottom w:val="single" w:color="000000" w:sz="8"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285" w:type="pct"/>
            <w:gridSpan w:val="2"/>
            <w:tcBorders>
              <w:top w:val="single" w:color="000000" w:sz="4" w:space="0"/>
              <w:left w:val="single" w:color="000000" w:sz="4" w:space="0"/>
              <w:bottom w:val="single" w:color="000000" w:sz="8" w:space="0"/>
              <w:right w:val="single" w:color="000000" w:sz="4" w:space="0"/>
            </w:tcBorders>
            <w:noWrap w:val="0"/>
            <w:vAlign w:val="center"/>
          </w:tcPr>
          <w:p>
            <w:pPr>
              <w:jc w:val="center"/>
              <w:rPr>
                <w:rFonts w:hint="default" w:ascii="仿宋_GB2312" w:hAnsi="宋体" w:eastAsia="仿宋_GB2312" w:cs="仿宋_GB2312"/>
                <w:i w:val="0"/>
                <w:iCs w:val="0"/>
                <w:color w:val="000000"/>
                <w:sz w:val="18"/>
                <w:szCs w:val="18"/>
                <w:u w:val="none"/>
              </w:rPr>
            </w:pPr>
          </w:p>
        </w:tc>
        <w:tc>
          <w:tcPr>
            <w:tcW w:w="361" w:type="pct"/>
            <w:tcBorders>
              <w:top w:val="single" w:color="000000" w:sz="4" w:space="0"/>
              <w:left w:val="single" w:color="000000" w:sz="4" w:space="0"/>
              <w:bottom w:val="single" w:color="000000" w:sz="8" w:space="0"/>
              <w:right w:val="single" w:color="000000" w:sz="8" w:space="0"/>
            </w:tcBorders>
            <w:noWrap w:val="0"/>
            <w:vAlign w:val="center"/>
          </w:tcPr>
          <w:p>
            <w:pPr>
              <w:jc w:val="center"/>
              <w:rPr>
                <w:rFonts w:hint="default" w:ascii="仿宋_GB2312" w:hAnsi="宋体" w:eastAsia="仿宋_GB2312" w:cs="仿宋_GB2312"/>
                <w:i w:val="0"/>
                <w:iCs w:val="0"/>
                <w:color w:val="000000"/>
                <w:sz w:val="34"/>
                <w:szCs w:val="34"/>
                <w:u w:val="none"/>
              </w:rPr>
            </w:pPr>
          </w:p>
        </w:tc>
        <w:tc>
          <w:tcPr>
            <w:tcW w:w="3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07" w:type="pct"/>
            <w:gridSpan w:val="5"/>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考核人员（签字）：                            负责人（签字）：</w:t>
            </w:r>
          </w:p>
        </w:tc>
        <w:tc>
          <w:tcPr>
            <w:tcW w:w="2092" w:type="pct"/>
            <w:gridSpan w:val="8"/>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管护单位（签字）：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07" w:type="pct"/>
            <w:gridSpan w:val="5"/>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说明：</w:t>
            </w:r>
          </w:p>
        </w:tc>
        <w:tc>
          <w:tcPr>
            <w:tcW w:w="403" w:type="pct"/>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389" w:type="pct"/>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295"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285"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718"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3"/>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1、内业考核每月一次，考核结果由考核人员、管护单位签字认可，作为支付管护费的依据。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07" w:type="pct"/>
            <w:gridSpan w:val="5"/>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2、本评分标准解释权归成都市郫都区综合行政执法局。</w:t>
            </w:r>
          </w:p>
        </w:tc>
        <w:tc>
          <w:tcPr>
            <w:tcW w:w="403" w:type="pct"/>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389" w:type="pct"/>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295"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285"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c>
          <w:tcPr>
            <w:tcW w:w="718" w:type="pct"/>
            <w:gridSpan w:val="2"/>
            <w:tcBorders>
              <w:top w:val="nil"/>
              <w:left w:val="nil"/>
              <w:bottom w:val="nil"/>
              <w:right w:val="nil"/>
            </w:tcBorders>
            <w:noWrap w:val="0"/>
            <w:vAlign w:val="center"/>
          </w:tcPr>
          <w:p>
            <w:pPr>
              <w:jc w:val="left"/>
              <w:rPr>
                <w:rFonts w:hint="default" w:ascii="仿宋_GB2312" w:hAnsi="宋体" w:eastAsia="仿宋_GB2312" w:cs="仿宋_GB2312"/>
                <w:i w:val="0"/>
                <w:iCs w:val="0"/>
                <w:color w:val="000000"/>
                <w:sz w:val="24"/>
                <w:szCs w:val="24"/>
                <w:u w:val="none"/>
              </w:rPr>
            </w:pPr>
          </w:p>
        </w:tc>
      </w:tr>
    </w:tbl>
    <w:p>
      <w:pPr>
        <w:pStyle w:val="2"/>
        <w:rPr>
          <w:rFonts w:hint="eastAsia"/>
        </w:rPr>
        <w:sectPr>
          <w:pgSz w:w="11906" w:h="16838"/>
          <w:pgMar w:top="1440" w:right="1800" w:bottom="1318" w:left="1800" w:header="851" w:footer="992" w:gutter="0"/>
          <w:pgNumType w:fmt="decimal"/>
          <w:cols w:space="720" w:num="1"/>
          <w:docGrid w:type="lines" w:linePitch="312" w:charSpace="0"/>
        </w:sectPr>
      </w:pPr>
    </w:p>
    <w:p>
      <w:pPr>
        <w:adjustRightInd w:val="0"/>
        <w:snapToGrid w:val="0"/>
        <w:spacing w:line="360" w:lineRule="auto"/>
        <w:ind w:firstLine="723" w:firstLineChars="200"/>
        <w:jc w:val="center"/>
        <w:outlineLvl w:val="0"/>
        <w:rPr>
          <w:rFonts w:ascii="宋体" w:hAnsi="宋体" w:cs="宋体"/>
          <w:b/>
          <w:bCs/>
          <w:sz w:val="36"/>
          <w:szCs w:val="36"/>
          <w:highlight w:val="none"/>
        </w:rPr>
      </w:pPr>
      <w:bookmarkStart w:id="332" w:name="_Toc22460"/>
      <w:bookmarkStart w:id="333" w:name="_Toc29058"/>
      <w:bookmarkStart w:id="334" w:name="_Toc25085"/>
      <w:r>
        <w:rPr>
          <w:rFonts w:hint="eastAsia" w:ascii="宋体" w:hAnsi="宋体" w:cs="宋体"/>
          <w:b/>
          <w:bCs/>
          <w:sz w:val="36"/>
          <w:szCs w:val="36"/>
          <w:highlight w:val="none"/>
        </w:rPr>
        <w:t>第七章  评标办法</w:t>
      </w:r>
      <w:bookmarkEnd w:id="328"/>
      <w:bookmarkEnd w:id="332"/>
      <w:bookmarkEnd w:id="333"/>
      <w:bookmarkEnd w:id="334"/>
      <w:bookmarkStart w:id="335" w:name="_Hlt101846155"/>
      <w:bookmarkEnd w:id="335"/>
      <w:bookmarkStart w:id="336" w:name="_Toc208849007"/>
      <w:bookmarkStart w:id="337" w:name="_Toc217446097"/>
      <w:bookmarkStart w:id="338" w:name="_Toc183582280"/>
      <w:bookmarkStart w:id="339" w:name="_Toc183682415"/>
    </w:p>
    <w:bookmarkEnd w:id="336"/>
    <w:bookmarkEnd w:id="337"/>
    <w:bookmarkEnd w:id="338"/>
    <w:bookmarkEnd w:id="339"/>
    <w:p>
      <w:pPr>
        <w:adjustRightInd w:val="0"/>
        <w:snapToGrid w:val="0"/>
        <w:spacing w:line="360" w:lineRule="auto"/>
        <w:ind w:firstLine="482" w:firstLineChars="200"/>
        <w:outlineLvl w:val="1"/>
        <w:rPr>
          <w:rFonts w:ascii="宋体" w:hAnsi="宋体" w:cs="宋体"/>
          <w:b/>
          <w:sz w:val="24"/>
          <w:highlight w:val="none"/>
        </w:rPr>
      </w:pPr>
      <w:bookmarkStart w:id="340" w:name="_Toc503863070"/>
      <w:bookmarkStart w:id="341" w:name="_Toc217446099"/>
      <w:r>
        <w:rPr>
          <w:rFonts w:hint="eastAsia" w:ascii="宋体" w:hAnsi="宋体" w:cs="宋体"/>
          <w:b/>
          <w:sz w:val="24"/>
          <w:highlight w:val="none"/>
        </w:rPr>
        <w:t>1．总则</w:t>
      </w:r>
      <w:bookmarkEnd w:id="340"/>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 根据《中华人民共和国政府采购法》、《中华人民共和国政府采购法实施条例》、《政府采购货物和服务招标投标管理办法》等法律制度</w:t>
      </w:r>
      <w:r>
        <w:rPr>
          <w:rFonts w:hint="eastAsia" w:ascii="宋体" w:hAnsi="宋体" w:cs="宋体"/>
          <w:bCs/>
          <w:sz w:val="24"/>
          <w:highlight w:val="none"/>
          <w:lang w:eastAsia="zh-CN"/>
        </w:rPr>
        <w:t>，</w:t>
      </w:r>
      <w:r>
        <w:rPr>
          <w:rFonts w:hint="eastAsia" w:ascii="宋体" w:hAnsi="宋体" w:cs="宋体"/>
          <w:bCs/>
          <w:sz w:val="24"/>
          <w:highlight w:val="none"/>
        </w:rPr>
        <w:t>结合采购项目特点制定本评标办法。</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1.2 评标工作由采购代理机构负责组织</w:t>
      </w:r>
      <w:r>
        <w:rPr>
          <w:rFonts w:hint="eastAsia" w:ascii="宋体" w:hAnsi="宋体" w:cs="宋体"/>
          <w:bCs/>
          <w:sz w:val="24"/>
          <w:highlight w:val="none"/>
          <w:lang w:eastAsia="zh-CN"/>
        </w:rPr>
        <w:t>，</w:t>
      </w:r>
      <w:r>
        <w:rPr>
          <w:rFonts w:hint="eastAsia" w:ascii="宋体" w:hAnsi="宋体" w:cs="宋体"/>
          <w:bCs/>
          <w:sz w:val="24"/>
          <w:highlight w:val="none"/>
        </w:rPr>
        <w:t>具体评标事务由采购代理机构依法组建的评标委员会负责。评标委员会由采购人代表和有关技术、经济、法律等方面的专家组成。</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 评标工作应遵循公平、公正、科学及择优的原则</w:t>
      </w:r>
      <w:r>
        <w:rPr>
          <w:rFonts w:hint="eastAsia" w:ascii="宋体" w:hAnsi="宋体" w:cs="宋体"/>
          <w:bCs/>
          <w:sz w:val="24"/>
          <w:highlight w:val="none"/>
          <w:lang w:eastAsia="zh-CN"/>
        </w:rPr>
        <w:t>，</w:t>
      </w:r>
      <w:r>
        <w:rPr>
          <w:rFonts w:hint="eastAsia" w:ascii="宋体" w:hAnsi="宋体" w:cs="宋体"/>
          <w:bCs/>
          <w:sz w:val="24"/>
          <w:highlight w:val="none"/>
        </w:rPr>
        <w:t>并以相同的评标程序和标准对待所有的投标人。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1.4 评标委员会按照招标文件规定的评标方法和标准进行评标</w:t>
      </w:r>
      <w:r>
        <w:rPr>
          <w:rFonts w:hint="eastAsia" w:ascii="宋体" w:hAnsi="宋体" w:cs="宋体"/>
          <w:bCs/>
          <w:sz w:val="24"/>
          <w:highlight w:val="none"/>
          <w:lang w:eastAsia="zh-CN"/>
        </w:rPr>
        <w:t>，</w:t>
      </w:r>
      <w:r>
        <w:rPr>
          <w:rFonts w:hint="eastAsia" w:ascii="宋体" w:hAnsi="宋体" w:cs="宋体"/>
          <w:bCs/>
          <w:sz w:val="24"/>
          <w:highlight w:val="none"/>
        </w:rPr>
        <w:t>并独立履行下列职责：</w:t>
      </w:r>
    </w:p>
    <w:p>
      <w:pPr>
        <w:adjustRightInd w:val="0"/>
        <w:snapToGrid w:val="0"/>
        <w:spacing w:line="360" w:lineRule="auto"/>
        <w:ind w:firstLine="480" w:firstLineChars="200"/>
        <w:rPr>
          <w:rFonts w:ascii="宋体" w:hAnsi="宋体" w:cs="宋体"/>
          <w:bCs/>
          <w:sz w:val="24"/>
          <w:highlight w:val="none"/>
        </w:rPr>
      </w:pPr>
      <w:bookmarkStart w:id="342" w:name="_Toc217446098"/>
      <w:r>
        <w:rPr>
          <w:rFonts w:hint="eastAsia" w:ascii="宋体" w:hAnsi="宋体" w:cs="宋体"/>
          <w:bCs/>
          <w:sz w:val="24"/>
          <w:highlight w:val="none"/>
        </w:rPr>
        <w:t>（一）熟悉和理解招标文件；</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（二）审查供应商投标文件等是否满足招标文件要求</w:t>
      </w:r>
      <w:r>
        <w:rPr>
          <w:rFonts w:hint="eastAsia" w:ascii="宋体" w:hAnsi="宋体" w:cs="宋体"/>
          <w:bCs/>
          <w:sz w:val="24"/>
          <w:highlight w:val="none"/>
          <w:lang w:eastAsia="zh-CN"/>
        </w:rPr>
        <w:t>，</w:t>
      </w:r>
      <w:r>
        <w:rPr>
          <w:rFonts w:hint="eastAsia" w:ascii="宋体" w:hAnsi="宋体" w:cs="宋体"/>
          <w:bCs/>
          <w:sz w:val="24"/>
          <w:highlight w:val="none"/>
        </w:rPr>
        <w:t>并作出评价；</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（三）根据需要要求招标采购单位对招标文件作出解释；根据需要要求供应商对投标文件有关事项作出澄清、说明或者补正；</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（四）推荐中标候选供应商</w:t>
      </w:r>
      <w:r>
        <w:rPr>
          <w:rFonts w:hint="eastAsia" w:ascii="宋体" w:hAnsi="宋体" w:cs="宋体"/>
          <w:bCs/>
          <w:sz w:val="24"/>
          <w:highlight w:val="none"/>
          <w:lang w:eastAsia="zh-CN"/>
        </w:rPr>
        <w:t>，</w:t>
      </w:r>
      <w:r>
        <w:rPr>
          <w:rFonts w:hint="eastAsia" w:ascii="宋体" w:hAnsi="宋体" w:cs="宋体"/>
          <w:bCs/>
          <w:sz w:val="24"/>
          <w:highlight w:val="none"/>
        </w:rPr>
        <w:t>或者受采购人委托确定中标供应商；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（五）起草评标报告并进行签署；</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（六）向招标采购单位、财政部门或者其他监督部门报告非法干预评标工作的行为；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（七）法律、法规和规章规定的其他职责。</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1.5 评标过程独立、保密。投标人非法干预评标评标过程的行为将导致其投标文件作为无效处理。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1.6</w:t>
      </w:r>
      <w:r>
        <w:rPr>
          <w:rFonts w:hint="eastAsia" w:ascii="宋体" w:hAnsi="宋体" w:cs="宋体"/>
          <w:bCs/>
          <w:sz w:val="24"/>
          <w:highlight w:val="none"/>
          <w:lang w:val="en-US" w:eastAsia="zh-CN"/>
        </w:rPr>
        <w:t xml:space="preserve"> </w:t>
      </w:r>
      <w:r>
        <w:rPr>
          <w:rFonts w:hint="eastAsia" w:ascii="宋体" w:hAnsi="宋体" w:cs="宋体"/>
          <w:bCs/>
          <w:sz w:val="24"/>
          <w:highlight w:val="none"/>
        </w:rPr>
        <w:t>评标委员会评价投标文件的响应性</w:t>
      </w:r>
      <w:r>
        <w:rPr>
          <w:rFonts w:hint="eastAsia" w:ascii="宋体" w:hAnsi="宋体" w:cs="宋体"/>
          <w:bCs/>
          <w:sz w:val="24"/>
          <w:highlight w:val="none"/>
          <w:lang w:eastAsia="zh-CN"/>
        </w:rPr>
        <w:t>，</w:t>
      </w:r>
      <w:r>
        <w:rPr>
          <w:rFonts w:hint="eastAsia" w:ascii="宋体" w:hAnsi="宋体" w:cs="宋体"/>
          <w:bCs/>
          <w:sz w:val="24"/>
          <w:highlight w:val="none"/>
        </w:rPr>
        <w:t>对于投标人而言</w:t>
      </w:r>
      <w:r>
        <w:rPr>
          <w:rFonts w:hint="eastAsia" w:ascii="宋体" w:hAnsi="宋体" w:cs="宋体"/>
          <w:bCs/>
          <w:sz w:val="24"/>
          <w:highlight w:val="none"/>
          <w:lang w:eastAsia="zh-CN"/>
        </w:rPr>
        <w:t>，</w:t>
      </w:r>
      <w:r>
        <w:rPr>
          <w:rFonts w:hint="eastAsia" w:ascii="宋体" w:hAnsi="宋体" w:cs="宋体"/>
          <w:bCs/>
          <w:sz w:val="24"/>
          <w:highlight w:val="none"/>
        </w:rPr>
        <w:t>除评标委员会要求其澄清、说明或者补正而提供的资料外</w:t>
      </w:r>
      <w:r>
        <w:rPr>
          <w:rFonts w:hint="eastAsia" w:ascii="宋体" w:hAnsi="宋体" w:cs="宋体"/>
          <w:bCs/>
          <w:sz w:val="24"/>
          <w:highlight w:val="none"/>
          <w:lang w:eastAsia="zh-CN"/>
        </w:rPr>
        <w:t>，</w:t>
      </w:r>
      <w:r>
        <w:rPr>
          <w:rFonts w:hint="eastAsia" w:ascii="宋体" w:hAnsi="宋体" w:cs="宋体"/>
          <w:bCs/>
          <w:sz w:val="24"/>
          <w:highlight w:val="none"/>
        </w:rPr>
        <w:t>仅依据投标文件本身的内容</w:t>
      </w:r>
      <w:r>
        <w:rPr>
          <w:rFonts w:hint="eastAsia" w:ascii="宋体" w:hAnsi="宋体" w:cs="宋体"/>
          <w:bCs/>
          <w:sz w:val="24"/>
          <w:highlight w:val="none"/>
          <w:lang w:eastAsia="zh-CN"/>
        </w:rPr>
        <w:t>，</w:t>
      </w:r>
      <w:r>
        <w:rPr>
          <w:rFonts w:hint="eastAsia" w:ascii="宋体" w:hAnsi="宋体" w:cs="宋体"/>
          <w:bCs/>
          <w:sz w:val="24"/>
          <w:highlight w:val="none"/>
        </w:rPr>
        <w:t>不寻求其他外部证据。</w:t>
      </w:r>
    </w:p>
    <w:p>
      <w:pPr>
        <w:adjustRightInd w:val="0"/>
        <w:snapToGrid w:val="0"/>
        <w:spacing w:line="360" w:lineRule="auto"/>
        <w:ind w:firstLine="482" w:firstLineChars="200"/>
        <w:outlineLvl w:val="1"/>
        <w:rPr>
          <w:rFonts w:ascii="宋体" w:hAnsi="宋体" w:cs="宋体"/>
          <w:b/>
          <w:sz w:val="24"/>
          <w:highlight w:val="none"/>
        </w:rPr>
      </w:pPr>
      <w:bookmarkStart w:id="343" w:name="_Toc503863071"/>
      <w:r>
        <w:rPr>
          <w:rFonts w:hint="eastAsia" w:ascii="宋体" w:hAnsi="宋体" w:cs="宋体"/>
          <w:b/>
          <w:sz w:val="24"/>
          <w:highlight w:val="none"/>
        </w:rPr>
        <w:t>2．评标方法</w:t>
      </w:r>
      <w:bookmarkEnd w:id="343"/>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本项目评标方法为：综合评分法。</w:t>
      </w:r>
    </w:p>
    <w:p>
      <w:pPr>
        <w:adjustRightInd w:val="0"/>
        <w:snapToGrid w:val="0"/>
        <w:spacing w:line="360" w:lineRule="auto"/>
        <w:ind w:firstLine="482" w:firstLineChars="200"/>
        <w:outlineLvl w:val="1"/>
        <w:rPr>
          <w:rFonts w:ascii="宋体" w:hAnsi="宋体" w:cs="宋体"/>
          <w:b/>
          <w:sz w:val="24"/>
          <w:highlight w:val="none"/>
        </w:rPr>
      </w:pPr>
      <w:bookmarkStart w:id="344" w:name="_Toc503863072"/>
      <w:r>
        <w:rPr>
          <w:rFonts w:hint="eastAsia" w:ascii="宋体" w:hAnsi="宋体" w:cs="宋体"/>
          <w:b/>
          <w:sz w:val="24"/>
          <w:highlight w:val="none"/>
        </w:rPr>
        <w:t>3．评标程序</w:t>
      </w:r>
      <w:bookmarkEnd w:id="342"/>
      <w:bookmarkEnd w:id="344"/>
    </w:p>
    <w:p>
      <w:pPr>
        <w:adjustRightInd w:val="0"/>
        <w:snapToGrid w:val="0"/>
        <w:spacing w:line="360" w:lineRule="auto"/>
        <w:ind w:firstLine="480" w:firstLineChars="200"/>
        <w:rPr>
          <w:rFonts w:ascii="宋体" w:hAnsi="宋体" w:cs="宋体"/>
          <w:bCs/>
          <w:sz w:val="24"/>
          <w:highlight w:val="none"/>
        </w:rPr>
      </w:pPr>
      <w:bookmarkStart w:id="345" w:name="_Toc217446103"/>
      <w:r>
        <w:rPr>
          <w:rFonts w:hint="eastAsia" w:ascii="宋体" w:hAnsi="宋体" w:cs="宋体"/>
          <w:bCs/>
          <w:sz w:val="24"/>
          <w:highlight w:val="none"/>
        </w:rPr>
        <w:t>3.1</w:t>
      </w:r>
      <w:r>
        <w:rPr>
          <w:rFonts w:hint="eastAsia" w:ascii="宋体" w:hAnsi="宋体" w:cs="宋体"/>
          <w:bCs/>
          <w:sz w:val="24"/>
          <w:highlight w:val="none"/>
          <w:lang w:val="en-US" w:eastAsia="zh-CN"/>
        </w:rPr>
        <w:t xml:space="preserve"> </w:t>
      </w:r>
      <w:r>
        <w:rPr>
          <w:rFonts w:hint="eastAsia" w:ascii="宋体" w:hAnsi="宋体" w:cs="宋体"/>
          <w:bCs/>
          <w:sz w:val="24"/>
          <w:highlight w:val="none"/>
        </w:rPr>
        <w:t>熟悉和理解招标文件和停止评标。</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3.1.1</w:t>
      </w:r>
      <w:r>
        <w:rPr>
          <w:rFonts w:hint="eastAsia" w:ascii="宋体" w:hAnsi="宋体" w:cs="宋体"/>
          <w:bCs/>
          <w:sz w:val="24"/>
          <w:highlight w:val="none"/>
          <w:lang w:val="en-US" w:eastAsia="zh-CN"/>
        </w:rPr>
        <w:t xml:space="preserve"> </w:t>
      </w:r>
      <w:r>
        <w:rPr>
          <w:rFonts w:hint="eastAsia" w:ascii="宋体" w:hAnsi="宋体" w:cs="宋体"/>
          <w:bCs/>
          <w:sz w:val="24"/>
          <w:highlight w:val="none"/>
        </w:rPr>
        <w:t>评标委员会正式评标前</w:t>
      </w:r>
      <w:r>
        <w:rPr>
          <w:rFonts w:hint="eastAsia" w:ascii="宋体" w:hAnsi="宋体" w:cs="宋体"/>
          <w:bCs/>
          <w:sz w:val="24"/>
          <w:highlight w:val="none"/>
          <w:lang w:eastAsia="zh-CN"/>
        </w:rPr>
        <w:t>，</w:t>
      </w:r>
      <w:r>
        <w:rPr>
          <w:rFonts w:hint="eastAsia" w:ascii="宋体" w:hAnsi="宋体" w:cs="宋体"/>
          <w:bCs/>
          <w:sz w:val="24"/>
          <w:highlight w:val="none"/>
        </w:rPr>
        <w:t>应当对招标文件进行熟悉和理解</w:t>
      </w:r>
      <w:r>
        <w:rPr>
          <w:rFonts w:hint="eastAsia" w:ascii="宋体" w:hAnsi="宋体" w:cs="宋体"/>
          <w:bCs/>
          <w:sz w:val="24"/>
          <w:highlight w:val="none"/>
          <w:lang w:eastAsia="zh-CN"/>
        </w:rPr>
        <w:t>，</w:t>
      </w:r>
      <w:r>
        <w:rPr>
          <w:rFonts w:hint="eastAsia" w:ascii="宋体" w:hAnsi="宋体" w:cs="宋体"/>
          <w:bCs/>
          <w:sz w:val="24"/>
          <w:highlight w:val="none"/>
        </w:rPr>
        <w:t>内容主要包括招标文件中投标人的采购项目技术、服务和商务要求、评标方法和标准以及可能涉及签订政府采购合同的内容等。</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3.1.2</w:t>
      </w:r>
      <w:r>
        <w:rPr>
          <w:rFonts w:hint="eastAsia" w:ascii="宋体" w:hAnsi="宋体" w:cs="宋体"/>
          <w:bCs/>
          <w:sz w:val="24"/>
          <w:highlight w:val="none"/>
          <w:lang w:val="en-US" w:eastAsia="zh-CN"/>
        </w:rPr>
        <w:t xml:space="preserve"> </w:t>
      </w:r>
      <w:r>
        <w:rPr>
          <w:rFonts w:hint="eastAsia" w:ascii="宋体" w:hAnsi="宋体" w:cs="宋体"/>
          <w:bCs/>
          <w:sz w:val="24"/>
          <w:highlight w:val="none"/>
        </w:rPr>
        <w:t>评标委员会熟悉和理解招标文件以及评标过程中</w:t>
      </w:r>
      <w:r>
        <w:rPr>
          <w:rFonts w:hint="eastAsia" w:ascii="宋体" w:hAnsi="宋体" w:cs="宋体"/>
          <w:bCs/>
          <w:sz w:val="24"/>
          <w:highlight w:val="none"/>
          <w:lang w:eastAsia="zh-CN"/>
        </w:rPr>
        <w:t>，</w:t>
      </w:r>
      <w:r>
        <w:rPr>
          <w:rFonts w:hint="eastAsia" w:ascii="宋体" w:hAnsi="宋体" w:cs="宋体"/>
          <w:bCs/>
          <w:sz w:val="24"/>
          <w:highlight w:val="none"/>
        </w:rPr>
        <w:t>发现本招标文件有下列情形之一的</w:t>
      </w:r>
      <w:r>
        <w:rPr>
          <w:rFonts w:hint="eastAsia" w:ascii="宋体" w:hAnsi="宋体" w:cs="宋体"/>
          <w:bCs/>
          <w:sz w:val="24"/>
          <w:highlight w:val="none"/>
          <w:lang w:eastAsia="zh-CN"/>
        </w:rPr>
        <w:t>，</w:t>
      </w:r>
      <w:r>
        <w:rPr>
          <w:rFonts w:hint="eastAsia" w:ascii="宋体" w:hAnsi="宋体" w:cs="宋体"/>
          <w:bCs/>
          <w:sz w:val="24"/>
          <w:highlight w:val="none"/>
        </w:rPr>
        <w:t>评标委员会应当停止评标：</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（1）招标文件的规定存在歧义、重大缺陷的；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（2）招标文件明显以不合理条件对供应商实行差别待遇或者歧视待遇的；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（3）采购项目属于国家规定的优先、强制采购范围</w:t>
      </w:r>
      <w:r>
        <w:rPr>
          <w:rFonts w:hint="eastAsia" w:ascii="宋体" w:hAnsi="宋体" w:cs="宋体"/>
          <w:bCs/>
          <w:sz w:val="24"/>
          <w:highlight w:val="none"/>
          <w:lang w:eastAsia="zh-CN"/>
        </w:rPr>
        <w:t>，</w:t>
      </w:r>
      <w:r>
        <w:rPr>
          <w:rFonts w:hint="eastAsia" w:ascii="宋体" w:hAnsi="宋体" w:cs="宋体"/>
          <w:bCs/>
          <w:sz w:val="24"/>
          <w:highlight w:val="none"/>
        </w:rPr>
        <w:t>但是招标文件未依法体现优先、强制采购相关规定的；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（4）采购项目属于政府采购促进中小企业发展的范围</w:t>
      </w:r>
      <w:r>
        <w:rPr>
          <w:rFonts w:hint="eastAsia" w:ascii="宋体" w:hAnsi="宋体" w:cs="宋体"/>
          <w:bCs/>
          <w:sz w:val="24"/>
          <w:highlight w:val="none"/>
          <w:lang w:eastAsia="zh-CN"/>
        </w:rPr>
        <w:t>，</w:t>
      </w:r>
      <w:r>
        <w:rPr>
          <w:rFonts w:hint="eastAsia" w:ascii="宋体" w:hAnsi="宋体" w:cs="宋体"/>
          <w:bCs/>
          <w:sz w:val="24"/>
          <w:highlight w:val="none"/>
        </w:rPr>
        <w:t>但是招标文件未依法体现促进中小企业发展相关规定的；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（5）招标文件规定的评标方法是综合评分法、最低评标价法之外的评标方法</w:t>
      </w:r>
      <w:r>
        <w:rPr>
          <w:rFonts w:hint="eastAsia" w:ascii="宋体" w:hAnsi="宋体" w:cs="宋体"/>
          <w:bCs/>
          <w:sz w:val="24"/>
          <w:highlight w:val="none"/>
          <w:lang w:eastAsia="zh-CN"/>
        </w:rPr>
        <w:t>，</w:t>
      </w:r>
      <w:r>
        <w:rPr>
          <w:rFonts w:hint="eastAsia" w:ascii="宋体" w:hAnsi="宋体" w:cs="宋体"/>
          <w:bCs/>
          <w:sz w:val="24"/>
          <w:highlight w:val="none"/>
        </w:rPr>
        <w:t>或者虽然名称为综合评分法、最低评标价法</w:t>
      </w:r>
      <w:r>
        <w:rPr>
          <w:rFonts w:hint="eastAsia" w:ascii="宋体" w:hAnsi="宋体" w:cs="宋体"/>
          <w:bCs/>
          <w:sz w:val="24"/>
          <w:highlight w:val="none"/>
          <w:lang w:eastAsia="zh-CN"/>
        </w:rPr>
        <w:t>，</w:t>
      </w:r>
      <w:r>
        <w:rPr>
          <w:rFonts w:hint="eastAsia" w:ascii="宋体" w:hAnsi="宋体" w:cs="宋体"/>
          <w:bCs/>
          <w:sz w:val="24"/>
          <w:highlight w:val="none"/>
        </w:rPr>
        <w:t>但实际上不符合国家规定；</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（6）招标文件将投标人的资格条件列为评分因素的；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（7）招标文件有违反国家其他有关强制性规定的情形。</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3.1.4</w:t>
      </w:r>
      <w:r>
        <w:rPr>
          <w:rFonts w:hint="eastAsia" w:ascii="宋体" w:hAnsi="宋体" w:cs="宋体"/>
          <w:bCs/>
          <w:sz w:val="24"/>
          <w:highlight w:val="none"/>
          <w:lang w:val="en-US" w:eastAsia="zh-CN"/>
        </w:rPr>
        <w:t xml:space="preserve"> </w:t>
      </w:r>
      <w:r>
        <w:rPr>
          <w:rFonts w:hint="eastAsia" w:ascii="宋体" w:hAnsi="宋体" w:cs="宋体"/>
          <w:bCs/>
          <w:sz w:val="24"/>
          <w:highlight w:val="none"/>
        </w:rPr>
        <w:t>出现本条3.1.2规定应当停止评标情形的</w:t>
      </w:r>
      <w:r>
        <w:rPr>
          <w:rFonts w:hint="eastAsia" w:ascii="宋体" w:hAnsi="宋体" w:cs="宋体"/>
          <w:bCs/>
          <w:sz w:val="24"/>
          <w:highlight w:val="none"/>
          <w:lang w:eastAsia="zh-CN"/>
        </w:rPr>
        <w:t>，</w:t>
      </w:r>
      <w:r>
        <w:rPr>
          <w:rFonts w:hint="eastAsia" w:ascii="宋体" w:hAnsi="宋体" w:cs="宋体"/>
          <w:bCs/>
          <w:sz w:val="24"/>
          <w:highlight w:val="none"/>
        </w:rPr>
        <w:t>评标委员会成员应当向招标采购单位书面说明情况。除本条规定和评标委员会无法依法组建的情形外</w:t>
      </w:r>
      <w:r>
        <w:rPr>
          <w:rFonts w:hint="eastAsia" w:ascii="宋体" w:hAnsi="宋体" w:cs="宋体"/>
          <w:bCs/>
          <w:sz w:val="24"/>
          <w:highlight w:val="none"/>
          <w:lang w:eastAsia="zh-CN"/>
        </w:rPr>
        <w:t>，</w:t>
      </w:r>
      <w:r>
        <w:rPr>
          <w:rFonts w:hint="eastAsia" w:ascii="宋体" w:hAnsi="宋体" w:cs="宋体"/>
          <w:bCs/>
          <w:sz w:val="24"/>
          <w:highlight w:val="none"/>
        </w:rPr>
        <w:t>评标委员会成员不得以任何方式和理由停止评标。</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3.2</w:t>
      </w:r>
      <w:r>
        <w:rPr>
          <w:rFonts w:hint="eastAsia" w:ascii="宋体" w:hAnsi="宋体" w:cs="宋体"/>
          <w:bCs/>
          <w:sz w:val="24"/>
          <w:highlight w:val="none"/>
          <w:lang w:val="en-US" w:eastAsia="zh-CN"/>
        </w:rPr>
        <w:t xml:space="preserve"> </w:t>
      </w:r>
      <w:r>
        <w:rPr>
          <w:rFonts w:hint="eastAsia" w:ascii="宋体" w:hAnsi="宋体" w:cs="宋体"/>
          <w:bCs/>
          <w:sz w:val="24"/>
          <w:highlight w:val="none"/>
        </w:rPr>
        <w:t>资格性检查。</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采购人或者采购代理机构应依据法律法规和本招标文件的规定</w:t>
      </w:r>
      <w:r>
        <w:rPr>
          <w:rFonts w:hint="eastAsia" w:ascii="宋体" w:hAnsi="宋体" w:cs="宋体"/>
          <w:bCs/>
          <w:sz w:val="24"/>
          <w:highlight w:val="none"/>
          <w:lang w:eastAsia="zh-CN"/>
        </w:rPr>
        <w:t>，</w:t>
      </w:r>
      <w:r>
        <w:rPr>
          <w:rFonts w:hint="eastAsia" w:ascii="宋体" w:hAnsi="宋体" w:cs="宋体"/>
          <w:bCs/>
          <w:sz w:val="24"/>
          <w:highlight w:val="none"/>
        </w:rPr>
        <w:t>对投标文件是否按照规定要求提供资格性证明材料、是否按照规定交纳投标保证金、是否属于禁止参加投标的供应商等进行审查</w:t>
      </w:r>
      <w:r>
        <w:rPr>
          <w:rFonts w:hint="eastAsia" w:ascii="宋体" w:hAnsi="宋体" w:cs="宋体"/>
          <w:bCs/>
          <w:sz w:val="24"/>
          <w:highlight w:val="none"/>
          <w:lang w:eastAsia="zh-CN"/>
        </w:rPr>
        <w:t>，</w:t>
      </w:r>
      <w:r>
        <w:rPr>
          <w:rFonts w:hint="eastAsia" w:ascii="宋体" w:hAnsi="宋体" w:cs="宋体"/>
          <w:bCs/>
          <w:sz w:val="24"/>
          <w:highlight w:val="none"/>
        </w:rPr>
        <w:t>以确定投标供应商是否具备投标资格。</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3.3</w:t>
      </w:r>
      <w:r>
        <w:rPr>
          <w:rFonts w:hint="eastAsia" w:ascii="宋体" w:hAnsi="宋体" w:cs="宋体"/>
          <w:bCs/>
          <w:sz w:val="24"/>
          <w:highlight w:val="none"/>
          <w:lang w:val="en-US" w:eastAsia="zh-CN"/>
        </w:rPr>
        <w:t xml:space="preserve"> </w:t>
      </w:r>
      <w:r>
        <w:rPr>
          <w:rFonts w:hint="eastAsia" w:ascii="宋体" w:hAnsi="宋体" w:cs="宋体"/>
          <w:bCs/>
          <w:sz w:val="24"/>
          <w:highlight w:val="none"/>
        </w:rPr>
        <w:t>符合性检查。</w:t>
      </w:r>
    </w:p>
    <w:p>
      <w:pPr>
        <w:adjustRightInd w:val="0"/>
        <w:snapToGrid w:val="0"/>
        <w:spacing w:line="360" w:lineRule="auto"/>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3.3.1</w:t>
      </w:r>
      <w:r>
        <w:rPr>
          <w:rFonts w:hint="eastAsia" w:ascii="宋体" w:hAnsi="宋体" w:cs="宋体"/>
          <w:bCs/>
          <w:sz w:val="24"/>
          <w:highlight w:val="none"/>
          <w:lang w:val="en-US" w:eastAsia="zh-CN"/>
        </w:rPr>
        <w:t xml:space="preserve"> </w:t>
      </w:r>
      <w:r>
        <w:rPr>
          <w:rFonts w:hint="eastAsia" w:ascii="宋体" w:hAnsi="宋体" w:cs="宋体"/>
          <w:bCs/>
          <w:sz w:val="24"/>
          <w:highlight w:val="none"/>
        </w:rPr>
        <w:t>评标委员会依据本招标文件的实质性要求</w:t>
      </w:r>
      <w:r>
        <w:rPr>
          <w:rFonts w:hint="eastAsia" w:ascii="宋体" w:hAnsi="宋体" w:cs="宋体"/>
          <w:bCs/>
          <w:sz w:val="24"/>
          <w:highlight w:val="none"/>
          <w:lang w:eastAsia="zh-CN"/>
        </w:rPr>
        <w:t>，</w:t>
      </w:r>
      <w:r>
        <w:rPr>
          <w:rFonts w:hint="eastAsia" w:ascii="宋体" w:hAnsi="宋体" w:cs="宋体"/>
          <w:bCs/>
          <w:sz w:val="24"/>
          <w:highlight w:val="none"/>
        </w:rPr>
        <w:t>对符合资格的投标文件进行审查</w:t>
      </w:r>
      <w:r>
        <w:rPr>
          <w:rFonts w:hint="eastAsia" w:ascii="宋体" w:hAnsi="宋体" w:cs="宋体"/>
          <w:bCs/>
          <w:sz w:val="24"/>
          <w:highlight w:val="none"/>
          <w:lang w:eastAsia="zh-CN"/>
        </w:rPr>
        <w:t>，</w:t>
      </w:r>
      <w:r>
        <w:rPr>
          <w:rFonts w:hint="eastAsia" w:ascii="宋体" w:hAnsi="宋体" w:cs="宋体"/>
          <w:bCs/>
          <w:sz w:val="24"/>
          <w:highlight w:val="none"/>
        </w:rPr>
        <w:t>以确定其是否满足本招标文件的实质性要求。本项目符合性审查事项仅限于本招标文件的明确规定。投标文件是否满足招标文件的实质性要求</w:t>
      </w:r>
      <w:r>
        <w:rPr>
          <w:rFonts w:hint="eastAsia" w:ascii="宋体" w:hAnsi="宋体" w:cs="宋体"/>
          <w:bCs/>
          <w:sz w:val="24"/>
          <w:highlight w:val="none"/>
          <w:lang w:eastAsia="zh-CN"/>
        </w:rPr>
        <w:t>，</w:t>
      </w:r>
      <w:r>
        <w:rPr>
          <w:rFonts w:hint="eastAsia" w:ascii="宋体" w:hAnsi="宋体" w:cs="宋体"/>
          <w:bCs/>
          <w:sz w:val="24"/>
          <w:highlight w:val="none"/>
        </w:rPr>
        <w:t>必须以本招标文件的明确规定作为依据</w:t>
      </w:r>
      <w:r>
        <w:rPr>
          <w:rFonts w:hint="eastAsia" w:ascii="宋体" w:hAnsi="宋体" w:cs="宋体"/>
          <w:bCs/>
          <w:sz w:val="24"/>
          <w:highlight w:val="none"/>
          <w:lang w:eastAsia="zh-CN"/>
        </w:rPr>
        <w:t>，</w:t>
      </w:r>
      <w:r>
        <w:rPr>
          <w:rFonts w:hint="eastAsia" w:ascii="宋体" w:hAnsi="宋体" w:cs="宋体"/>
          <w:bCs/>
          <w:sz w:val="24"/>
          <w:highlight w:val="none"/>
        </w:rPr>
        <w:t>否则</w:t>
      </w:r>
      <w:r>
        <w:rPr>
          <w:rFonts w:hint="eastAsia" w:ascii="宋体" w:hAnsi="宋体" w:cs="宋体"/>
          <w:bCs/>
          <w:sz w:val="24"/>
          <w:highlight w:val="none"/>
          <w:lang w:eastAsia="zh-CN"/>
        </w:rPr>
        <w:t>，</w:t>
      </w:r>
      <w:r>
        <w:rPr>
          <w:rFonts w:hint="eastAsia" w:ascii="宋体" w:hAnsi="宋体" w:cs="宋体"/>
          <w:bCs/>
          <w:sz w:val="24"/>
          <w:highlight w:val="none"/>
        </w:rPr>
        <w:t>不能对投标文件作为无效处理</w:t>
      </w:r>
      <w:r>
        <w:rPr>
          <w:rFonts w:hint="eastAsia" w:ascii="宋体" w:hAnsi="宋体" w:cs="宋体"/>
          <w:bCs/>
          <w:sz w:val="24"/>
          <w:highlight w:val="none"/>
          <w:lang w:eastAsia="zh-CN"/>
        </w:rPr>
        <w:t>，</w:t>
      </w:r>
      <w:r>
        <w:rPr>
          <w:rFonts w:hint="eastAsia" w:ascii="宋体" w:hAnsi="宋体" w:cs="宋体"/>
          <w:bCs/>
          <w:sz w:val="24"/>
          <w:highlight w:val="none"/>
        </w:rPr>
        <w:t>评标委员会不得臆测符合性审查事项。</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3.3.2</w:t>
      </w:r>
      <w:r>
        <w:rPr>
          <w:rFonts w:hint="eastAsia" w:ascii="宋体" w:hAnsi="宋体" w:cs="宋体"/>
          <w:bCs/>
          <w:sz w:val="24"/>
          <w:highlight w:val="none"/>
          <w:lang w:val="en-US" w:eastAsia="zh-CN"/>
        </w:rPr>
        <w:t xml:space="preserve"> </w:t>
      </w:r>
      <w:r>
        <w:rPr>
          <w:rFonts w:hint="eastAsia" w:ascii="宋体" w:hAnsi="宋体" w:cs="宋体"/>
          <w:bCs/>
          <w:sz w:val="24"/>
          <w:highlight w:val="none"/>
        </w:rPr>
        <w:t>投标文件（包括单独递交的开标一览表）有下列情形的</w:t>
      </w:r>
      <w:r>
        <w:rPr>
          <w:rFonts w:hint="eastAsia" w:ascii="宋体" w:hAnsi="宋体" w:cs="宋体"/>
          <w:bCs/>
          <w:sz w:val="24"/>
          <w:highlight w:val="none"/>
          <w:lang w:eastAsia="zh-CN"/>
        </w:rPr>
        <w:t>，</w:t>
      </w:r>
      <w:r>
        <w:rPr>
          <w:rFonts w:hint="eastAsia" w:ascii="宋体" w:hAnsi="宋体" w:cs="宋体"/>
          <w:bCs/>
          <w:sz w:val="24"/>
          <w:highlight w:val="none"/>
        </w:rPr>
        <w:t>本项目不作为实质性要求进行规定</w:t>
      </w:r>
      <w:r>
        <w:rPr>
          <w:rFonts w:hint="eastAsia" w:ascii="宋体" w:hAnsi="宋体" w:cs="宋体"/>
          <w:bCs/>
          <w:sz w:val="24"/>
          <w:highlight w:val="none"/>
          <w:lang w:eastAsia="zh-CN"/>
        </w:rPr>
        <w:t>，</w:t>
      </w:r>
      <w:r>
        <w:rPr>
          <w:rFonts w:hint="eastAsia" w:ascii="宋体" w:hAnsi="宋体" w:cs="宋体"/>
          <w:bCs/>
          <w:sz w:val="24"/>
          <w:highlight w:val="none"/>
        </w:rPr>
        <w:t>即不作为符合性审查事项</w:t>
      </w:r>
      <w:r>
        <w:rPr>
          <w:rFonts w:hint="eastAsia" w:ascii="宋体" w:hAnsi="宋体" w:cs="宋体"/>
          <w:bCs/>
          <w:sz w:val="24"/>
          <w:highlight w:val="none"/>
          <w:lang w:eastAsia="zh-CN"/>
        </w:rPr>
        <w:t>，</w:t>
      </w:r>
      <w:r>
        <w:rPr>
          <w:rFonts w:hint="eastAsia" w:ascii="宋体" w:hAnsi="宋体" w:cs="宋体"/>
          <w:bCs/>
          <w:sz w:val="24"/>
          <w:highlight w:val="none"/>
        </w:rPr>
        <w:t>不得作为无效投标处理：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（一）正副本数量齐全、密封完好</w:t>
      </w:r>
      <w:r>
        <w:rPr>
          <w:rFonts w:hint="eastAsia" w:ascii="宋体" w:hAnsi="宋体" w:cs="宋体"/>
          <w:bCs/>
          <w:sz w:val="24"/>
          <w:highlight w:val="none"/>
          <w:lang w:eastAsia="zh-CN"/>
        </w:rPr>
        <w:t>，</w:t>
      </w:r>
      <w:r>
        <w:rPr>
          <w:rFonts w:hint="eastAsia" w:ascii="宋体" w:hAnsi="宋体" w:cs="宋体"/>
          <w:bCs/>
          <w:sz w:val="24"/>
          <w:highlight w:val="none"/>
        </w:rPr>
        <w:t>只是未按照招标文件要求进行分装或者统装的；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（二）存在个别地方（不超过2个）没有法定代表人签字</w:t>
      </w:r>
      <w:r>
        <w:rPr>
          <w:rFonts w:hint="eastAsia" w:ascii="宋体" w:hAnsi="宋体" w:cs="宋体"/>
          <w:bCs/>
          <w:sz w:val="24"/>
          <w:highlight w:val="none"/>
          <w:lang w:eastAsia="zh-CN"/>
        </w:rPr>
        <w:t>，</w:t>
      </w:r>
      <w:r>
        <w:rPr>
          <w:rFonts w:hint="eastAsia" w:ascii="宋体" w:hAnsi="宋体" w:cs="宋体"/>
          <w:bCs/>
          <w:sz w:val="24"/>
          <w:highlight w:val="none"/>
        </w:rPr>
        <w:t>但有法定代表人的私人印章或者有效授权代理人签字的；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（三）除招标文件明确要求加盖单位(法人)公章的以外</w:t>
      </w:r>
      <w:r>
        <w:rPr>
          <w:rFonts w:hint="eastAsia" w:ascii="宋体" w:hAnsi="宋体" w:cs="宋体"/>
          <w:bCs/>
          <w:sz w:val="24"/>
          <w:highlight w:val="none"/>
          <w:lang w:eastAsia="zh-CN"/>
        </w:rPr>
        <w:t>，</w:t>
      </w:r>
      <w:r>
        <w:rPr>
          <w:rFonts w:hint="eastAsia" w:ascii="宋体" w:hAnsi="宋体" w:cs="宋体"/>
          <w:bCs/>
          <w:sz w:val="24"/>
          <w:highlight w:val="none"/>
        </w:rPr>
        <w:t>其他地方以相关专用章加盖的；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（四）以骑缝章的形式代替投标文件内容逐页盖章的（但是骑缝章模糊不清</w:t>
      </w:r>
      <w:r>
        <w:rPr>
          <w:rFonts w:hint="eastAsia" w:ascii="宋体" w:hAnsi="宋体" w:cs="宋体"/>
          <w:bCs/>
          <w:sz w:val="24"/>
          <w:highlight w:val="none"/>
          <w:lang w:eastAsia="zh-CN"/>
        </w:rPr>
        <w:t>，</w:t>
      </w:r>
      <w:r>
        <w:rPr>
          <w:rFonts w:hint="eastAsia" w:ascii="宋体" w:hAnsi="宋体" w:cs="宋体"/>
          <w:bCs/>
          <w:sz w:val="24"/>
          <w:highlight w:val="none"/>
        </w:rPr>
        <w:t>印章名称无法辨认的除外）；</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（五）其他不影响采购项目实质性要求的情形。</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3.3.3</w:t>
      </w:r>
      <w:r>
        <w:rPr>
          <w:rFonts w:hint="eastAsia" w:ascii="宋体" w:hAnsi="宋体" w:cs="宋体"/>
          <w:bCs/>
          <w:sz w:val="24"/>
          <w:highlight w:val="none"/>
          <w:lang w:val="en-US" w:eastAsia="zh-CN"/>
        </w:rPr>
        <w:t xml:space="preserve"> </w:t>
      </w:r>
      <w:r>
        <w:rPr>
          <w:rFonts w:hint="eastAsia" w:ascii="宋体" w:hAnsi="宋体" w:cs="宋体"/>
          <w:bCs/>
          <w:sz w:val="24"/>
          <w:highlight w:val="none"/>
        </w:rPr>
        <w:t>除政府采购法律制度规定的情形外</w:t>
      </w:r>
      <w:r>
        <w:rPr>
          <w:rFonts w:hint="eastAsia" w:ascii="宋体" w:hAnsi="宋体" w:cs="宋体"/>
          <w:bCs/>
          <w:sz w:val="24"/>
          <w:highlight w:val="none"/>
          <w:lang w:eastAsia="zh-CN"/>
        </w:rPr>
        <w:t>，</w:t>
      </w:r>
      <w:r>
        <w:rPr>
          <w:rFonts w:hint="eastAsia" w:ascii="宋体" w:hAnsi="宋体" w:cs="宋体"/>
          <w:bCs/>
          <w:sz w:val="24"/>
          <w:highlight w:val="none"/>
        </w:rPr>
        <w:t>本项目投标人或者其投标文件有下列情形之一的</w:t>
      </w:r>
      <w:r>
        <w:rPr>
          <w:rFonts w:hint="eastAsia" w:ascii="宋体" w:hAnsi="宋体" w:cs="宋体"/>
          <w:bCs/>
          <w:sz w:val="24"/>
          <w:highlight w:val="none"/>
          <w:lang w:eastAsia="zh-CN"/>
        </w:rPr>
        <w:t>，</w:t>
      </w:r>
      <w:r>
        <w:rPr>
          <w:rFonts w:hint="eastAsia" w:ascii="宋体" w:hAnsi="宋体" w:cs="宋体"/>
          <w:bCs/>
          <w:sz w:val="24"/>
          <w:highlight w:val="none"/>
        </w:rPr>
        <w:t>作为无效投标处理：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（一）投标文件正副本数量不足的或无单独递交的“开标一览表”的。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（二）投标文件组成明显不符合招标文件的规定要求</w:t>
      </w:r>
      <w:r>
        <w:rPr>
          <w:rFonts w:hint="eastAsia" w:ascii="宋体" w:hAnsi="宋体" w:cs="宋体"/>
          <w:bCs/>
          <w:sz w:val="24"/>
          <w:highlight w:val="none"/>
          <w:lang w:eastAsia="zh-CN"/>
        </w:rPr>
        <w:t>，</w:t>
      </w:r>
      <w:r>
        <w:rPr>
          <w:rFonts w:hint="eastAsia" w:ascii="宋体" w:hAnsi="宋体" w:cs="宋体"/>
          <w:bCs/>
          <w:sz w:val="24"/>
          <w:highlight w:val="none"/>
        </w:rPr>
        <w:t>影响评标委员会评判的；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（三）投标文件的格式、语言、计量单位、报价货币、知识产权、投标有效期等不符合招标文件的规定</w:t>
      </w:r>
      <w:r>
        <w:rPr>
          <w:rFonts w:hint="eastAsia" w:ascii="宋体" w:hAnsi="宋体" w:cs="宋体"/>
          <w:bCs/>
          <w:sz w:val="24"/>
          <w:highlight w:val="none"/>
          <w:lang w:eastAsia="zh-CN"/>
        </w:rPr>
        <w:t>，</w:t>
      </w:r>
      <w:r>
        <w:rPr>
          <w:rFonts w:hint="eastAsia" w:ascii="宋体" w:hAnsi="宋体" w:cs="宋体"/>
          <w:bCs/>
          <w:sz w:val="24"/>
          <w:highlight w:val="none"/>
        </w:rPr>
        <w:t>影响评标委员会评判的；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（四）投标报价不符合招标文件规定的价格标底和其他报价规定的；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（五）技术应答内容完全或者绝大部分复制招标文件规定要求</w:t>
      </w:r>
      <w:r>
        <w:rPr>
          <w:rFonts w:hint="eastAsia" w:ascii="宋体" w:hAnsi="宋体" w:cs="宋体"/>
          <w:bCs/>
          <w:sz w:val="24"/>
          <w:highlight w:val="none"/>
          <w:lang w:eastAsia="zh-CN"/>
        </w:rPr>
        <w:t>，</w:t>
      </w:r>
      <w:r>
        <w:rPr>
          <w:rFonts w:hint="eastAsia" w:ascii="宋体" w:hAnsi="宋体" w:cs="宋体"/>
          <w:bCs/>
          <w:sz w:val="24"/>
          <w:highlight w:val="none"/>
        </w:rPr>
        <w:t>且无相关证明材料的（主要适用于专用设备和电子信息化建设采购项目</w:t>
      </w:r>
      <w:r>
        <w:rPr>
          <w:rFonts w:hint="eastAsia" w:ascii="宋体" w:hAnsi="宋体" w:cs="宋体"/>
          <w:bCs/>
          <w:sz w:val="24"/>
          <w:highlight w:val="none"/>
          <w:lang w:eastAsia="zh-CN"/>
        </w:rPr>
        <w:t>，</w:t>
      </w:r>
      <w:r>
        <w:rPr>
          <w:rFonts w:hint="eastAsia" w:ascii="宋体" w:hAnsi="宋体" w:cs="宋体"/>
          <w:bCs/>
          <w:sz w:val="24"/>
          <w:highlight w:val="none"/>
        </w:rPr>
        <w:t>政府采购工程、政府采购协议供货或定点供应商采购、政府采购的货物属于规格标准统一或者订制产品及服务项目的除外）；</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（六）技术、服务应答内容没有完全响应招标文件的实质性要求的；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（七）招标文件有明确要求</w:t>
      </w:r>
      <w:r>
        <w:rPr>
          <w:rFonts w:hint="eastAsia" w:ascii="宋体" w:hAnsi="宋体" w:cs="宋体"/>
          <w:bCs/>
          <w:sz w:val="24"/>
          <w:highlight w:val="none"/>
          <w:lang w:eastAsia="zh-CN"/>
        </w:rPr>
        <w:t>，</w:t>
      </w:r>
      <w:r>
        <w:rPr>
          <w:rFonts w:hint="eastAsia" w:ascii="宋体" w:hAnsi="宋体" w:cs="宋体"/>
          <w:bCs/>
          <w:sz w:val="24"/>
          <w:highlight w:val="none"/>
        </w:rPr>
        <w:t>但投标文件未载明或者载明的采购项目履约时间、方式、数量与招标文件要求不一致的。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3.4</w:t>
      </w:r>
      <w:r>
        <w:rPr>
          <w:rFonts w:hint="eastAsia" w:ascii="宋体" w:hAnsi="宋体" w:cs="宋体"/>
          <w:bCs/>
          <w:sz w:val="24"/>
          <w:highlight w:val="none"/>
          <w:lang w:val="en-US" w:eastAsia="zh-CN"/>
        </w:rPr>
        <w:t xml:space="preserve"> </w:t>
      </w:r>
      <w:r>
        <w:rPr>
          <w:rFonts w:hint="eastAsia" w:ascii="宋体" w:hAnsi="宋体" w:cs="宋体"/>
          <w:bCs/>
          <w:sz w:val="24"/>
          <w:highlight w:val="none"/>
        </w:rPr>
        <w:t>比较与评价。按招标文件中规定的评标方法和标准</w:t>
      </w:r>
      <w:r>
        <w:rPr>
          <w:rFonts w:hint="eastAsia" w:ascii="宋体" w:hAnsi="宋体" w:cs="宋体"/>
          <w:bCs/>
          <w:sz w:val="24"/>
          <w:highlight w:val="none"/>
          <w:lang w:eastAsia="zh-CN"/>
        </w:rPr>
        <w:t>，</w:t>
      </w:r>
      <w:r>
        <w:rPr>
          <w:rFonts w:hint="eastAsia" w:ascii="宋体" w:hAnsi="宋体" w:cs="宋体"/>
          <w:bCs/>
          <w:sz w:val="24"/>
          <w:highlight w:val="none"/>
        </w:rPr>
        <w:t>对未作无效投标处理的投标文件进行技术、服务、商务等方面评估</w:t>
      </w:r>
      <w:r>
        <w:rPr>
          <w:rFonts w:hint="eastAsia" w:ascii="宋体" w:hAnsi="宋体" w:cs="宋体"/>
          <w:bCs/>
          <w:sz w:val="24"/>
          <w:highlight w:val="none"/>
          <w:lang w:eastAsia="zh-CN"/>
        </w:rPr>
        <w:t>，</w:t>
      </w:r>
      <w:r>
        <w:rPr>
          <w:rFonts w:hint="eastAsia" w:ascii="宋体" w:hAnsi="宋体" w:cs="宋体"/>
          <w:bCs/>
          <w:sz w:val="24"/>
          <w:highlight w:val="none"/>
        </w:rPr>
        <w:t>综合比较与评价。</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3.5</w:t>
      </w:r>
      <w:r>
        <w:rPr>
          <w:rFonts w:hint="eastAsia" w:ascii="宋体" w:hAnsi="宋体" w:cs="宋体"/>
          <w:bCs/>
          <w:sz w:val="24"/>
          <w:highlight w:val="none"/>
          <w:lang w:val="en-US" w:eastAsia="zh-CN"/>
        </w:rPr>
        <w:t xml:space="preserve"> </w:t>
      </w:r>
      <w:r>
        <w:rPr>
          <w:rFonts w:hint="eastAsia" w:ascii="宋体" w:hAnsi="宋体" w:cs="宋体"/>
          <w:bCs/>
          <w:sz w:val="24"/>
          <w:highlight w:val="none"/>
        </w:rPr>
        <w:t>复核。评分汇总结束后</w:t>
      </w:r>
      <w:r>
        <w:rPr>
          <w:rFonts w:hint="eastAsia" w:ascii="宋体" w:hAnsi="宋体" w:cs="宋体"/>
          <w:bCs/>
          <w:sz w:val="24"/>
          <w:highlight w:val="none"/>
          <w:lang w:eastAsia="zh-CN"/>
        </w:rPr>
        <w:t>，</w:t>
      </w:r>
      <w:r>
        <w:rPr>
          <w:rFonts w:hint="eastAsia" w:ascii="宋体" w:hAnsi="宋体" w:cs="宋体"/>
          <w:bCs/>
          <w:sz w:val="24"/>
          <w:highlight w:val="none"/>
        </w:rPr>
        <w:t>评标委员会应当进行复核</w:t>
      </w:r>
      <w:r>
        <w:rPr>
          <w:rFonts w:hint="eastAsia" w:ascii="宋体" w:hAnsi="宋体" w:cs="宋体"/>
          <w:bCs/>
          <w:sz w:val="24"/>
          <w:highlight w:val="none"/>
          <w:lang w:eastAsia="zh-CN"/>
        </w:rPr>
        <w:t>，</w:t>
      </w:r>
      <w:r>
        <w:rPr>
          <w:rFonts w:hint="eastAsia" w:ascii="宋体" w:hAnsi="宋体" w:cs="宋体"/>
          <w:bCs/>
          <w:sz w:val="24"/>
          <w:highlight w:val="none"/>
        </w:rPr>
        <w:t>特别要对拟推荐为中标候选供应商的、报价最低的、投标文件被认定为无效的进行重点复核。</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3.6</w:t>
      </w:r>
      <w:r>
        <w:rPr>
          <w:rFonts w:hint="eastAsia" w:ascii="宋体" w:hAnsi="宋体" w:cs="宋体"/>
          <w:bCs/>
          <w:sz w:val="24"/>
          <w:highlight w:val="none"/>
          <w:lang w:val="en-US" w:eastAsia="zh-CN"/>
        </w:rPr>
        <w:t xml:space="preserve"> </w:t>
      </w:r>
      <w:r>
        <w:rPr>
          <w:rFonts w:hint="eastAsia" w:ascii="宋体" w:hAnsi="宋体" w:cs="宋体"/>
          <w:bCs/>
          <w:sz w:val="24"/>
          <w:highlight w:val="none"/>
        </w:rPr>
        <w:t>推荐中标候选供应商。中标候选供应商应当排序。采用综合评分法的</w:t>
      </w:r>
      <w:r>
        <w:rPr>
          <w:rFonts w:hint="eastAsia" w:ascii="宋体" w:hAnsi="宋体" w:cs="宋体"/>
          <w:bCs/>
          <w:sz w:val="24"/>
          <w:highlight w:val="none"/>
          <w:lang w:eastAsia="zh-CN"/>
        </w:rPr>
        <w:t>，</w:t>
      </w:r>
      <w:r>
        <w:rPr>
          <w:rFonts w:hint="eastAsia" w:ascii="宋体" w:hAnsi="宋体" w:cs="宋体"/>
          <w:bCs/>
          <w:sz w:val="24"/>
          <w:highlight w:val="none"/>
        </w:rPr>
        <w:t>评标结果按评审后得分由高到低顺序排列；得分相同的</w:t>
      </w:r>
      <w:r>
        <w:rPr>
          <w:rFonts w:hint="eastAsia" w:ascii="宋体" w:hAnsi="宋体" w:cs="宋体"/>
          <w:bCs/>
          <w:sz w:val="24"/>
          <w:highlight w:val="none"/>
          <w:lang w:eastAsia="zh-CN"/>
        </w:rPr>
        <w:t>，</w:t>
      </w:r>
      <w:r>
        <w:rPr>
          <w:rFonts w:hint="eastAsia" w:ascii="宋体" w:hAnsi="宋体" w:cs="宋体"/>
          <w:bCs/>
          <w:sz w:val="24"/>
          <w:highlight w:val="none"/>
        </w:rPr>
        <w:t>按投标报价由低到高顺序排列；得分且投标报价相同的并列</w:t>
      </w:r>
      <w:r>
        <w:rPr>
          <w:rFonts w:hint="eastAsia" w:ascii="宋体" w:hAnsi="宋体" w:cs="宋体"/>
          <w:bCs/>
          <w:sz w:val="24"/>
          <w:highlight w:val="none"/>
          <w:lang w:eastAsia="zh-CN"/>
        </w:rPr>
        <w:t>，</w:t>
      </w:r>
      <w:r>
        <w:rPr>
          <w:rFonts w:hint="eastAsia" w:ascii="宋体" w:hAnsi="宋体" w:cs="宋体"/>
          <w:bCs/>
          <w:sz w:val="24"/>
          <w:highlight w:val="none"/>
        </w:rPr>
        <w:t>投标文件满足招标文件全部实质性要求且按照评审因素的量化指标评审得分最高的供应商为中标候选供应商；报价相同且满足招标文件全部实质性要求且按照评审因素的量化指标评审得分也相同的并列</w:t>
      </w:r>
      <w:r>
        <w:rPr>
          <w:rFonts w:hint="eastAsia" w:ascii="宋体" w:hAnsi="宋体" w:cs="宋体"/>
          <w:bCs/>
          <w:sz w:val="24"/>
          <w:highlight w:val="none"/>
          <w:lang w:eastAsia="zh-CN"/>
        </w:rPr>
        <w:t>，</w:t>
      </w:r>
      <w:r>
        <w:rPr>
          <w:rFonts w:hint="eastAsia" w:ascii="宋体" w:hAnsi="宋体" w:cs="宋体"/>
          <w:bCs/>
          <w:sz w:val="24"/>
          <w:highlight w:val="none"/>
        </w:rPr>
        <w:t>由采购人自主采取公平、择优的方式选择中标供应商。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评标委员会可推荐的中标候选供应商数量不能满足招标文件规定的数量的</w:t>
      </w:r>
      <w:r>
        <w:rPr>
          <w:rFonts w:hint="eastAsia" w:ascii="宋体" w:hAnsi="宋体" w:cs="宋体"/>
          <w:bCs/>
          <w:sz w:val="24"/>
          <w:highlight w:val="none"/>
          <w:lang w:eastAsia="zh-CN"/>
        </w:rPr>
        <w:t>，</w:t>
      </w:r>
      <w:r>
        <w:rPr>
          <w:rFonts w:hint="eastAsia" w:ascii="宋体" w:hAnsi="宋体" w:cs="宋体"/>
          <w:bCs/>
          <w:sz w:val="24"/>
          <w:highlight w:val="none"/>
        </w:rPr>
        <w:t>只有在获得采购人书面同意后</w:t>
      </w:r>
      <w:r>
        <w:rPr>
          <w:rFonts w:hint="eastAsia" w:ascii="宋体" w:hAnsi="宋体" w:cs="宋体"/>
          <w:bCs/>
          <w:sz w:val="24"/>
          <w:highlight w:val="none"/>
          <w:lang w:eastAsia="zh-CN"/>
        </w:rPr>
        <w:t>，</w:t>
      </w:r>
      <w:r>
        <w:rPr>
          <w:rFonts w:hint="eastAsia" w:ascii="宋体" w:hAnsi="宋体" w:cs="宋体"/>
          <w:bCs/>
          <w:sz w:val="24"/>
          <w:highlight w:val="none"/>
        </w:rPr>
        <w:t>可以根据实际情况推荐中标候选供应商。未获得采购人的书面同意,评标委员会不得在招标文件规定之外推荐中标候选供应商</w:t>
      </w:r>
      <w:r>
        <w:rPr>
          <w:rFonts w:hint="eastAsia" w:ascii="宋体" w:hAnsi="宋体" w:cs="宋体"/>
          <w:bCs/>
          <w:sz w:val="24"/>
          <w:highlight w:val="none"/>
          <w:lang w:eastAsia="zh-CN"/>
        </w:rPr>
        <w:t>，</w:t>
      </w:r>
      <w:r>
        <w:rPr>
          <w:rFonts w:hint="eastAsia" w:ascii="宋体" w:hAnsi="宋体" w:cs="宋体"/>
          <w:bCs/>
          <w:sz w:val="24"/>
          <w:highlight w:val="none"/>
        </w:rPr>
        <w:t>否则</w:t>
      </w:r>
      <w:r>
        <w:rPr>
          <w:rFonts w:hint="eastAsia" w:ascii="宋体" w:hAnsi="宋体" w:cs="宋体"/>
          <w:bCs/>
          <w:sz w:val="24"/>
          <w:highlight w:val="none"/>
          <w:lang w:eastAsia="zh-CN"/>
        </w:rPr>
        <w:t>，</w:t>
      </w:r>
      <w:r>
        <w:rPr>
          <w:rFonts w:hint="eastAsia" w:ascii="宋体" w:hAnsi="宋体" w:cs="宋体"/>
          <w:bCs/>
          <w:sz w:val="24"/>
          <w:highlight w:val="none"/>
        </w:rPr>
        <w:t>采购人可以不予认可。</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3.7</w:t>
      </w:r>
      <w:r>
        <w:rPr>
          <w:rFonts w:hint="eastAsia" w:ascii="宋体" w:hAnsi="宋体" w:cs="宋体"/>
          <w:bCs/>
          <w:sz w:val="24"/>
          <w:highlight w:val="none"/>
          <w:lang w:val="en-US" w:eastAsia="zh-CN"/>
        </w:rPr>
        <w:t xml:space="preserve"> </w:t>
      </w:r>
      <w:r>
        <w:rPr>
          <w:rFonts w:hint="eastAsia" w:ascii="宋体" w:hAnsi="宋体" w:cs="宋体"/>
          <w:bCs/>
          <w:sz w:val="24"/>
          <w:highlight w:val="none"/>
        </w:rPr>
        <w:t>出具评标报告。评标委员会推荐中标候选供应商后</w:t>
      </w:r>
      <w:r>
        <w:rPr>
          <w:rFonts w:hint="eastAsia" w:ascii="宋体" w:hAnsi="宋体" w:cs="宋体"/>
          <w:bCs/>
          <w:sz w:val="24"/>
          <w:highlight w:val="none"/>
          <w:lang w:eastAsia="zh-CN"/>
        </w:rPr>
        <w:t>，</w:t>
      </w:r>
      <w:r>
        <w:rPr>
          <w:rFonts w:hint="eastAsia" w:ascii="宋体" w:hAnsi="宋体" w:cs="宋体"/>
          <w:bCs/>
          <w:sz w:val="24"/>
          <w:highlight w:val="none"/>
        </w:rPr>
        <w:t>应当向招标采购单位出具评标报告。评标报告应当包括下列内容：</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（一）招标公告刊登的媒体名称、开标日期和地点；</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（二）获取招标文件的投标人名单和评标委员会成员名单；</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（三）评标方法和标准；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（四）开标记录和评标情况及说明</w:t>
      </w:r>
      <w:r>
        <w:rPr>
          <w:rFonts w:hint="eastAsia" w:ascii="宋体" w:hAnsi="宋体" w:cs="宋体"/>
          <w:bCs/>
          <w:sz w:val="24"/>
          <w:highlight w:val="none"/>
          <w:lang w:eastAsia="zh-CN"/>
        </w:rPr>
        <w:t>，</w:t>
      </w:r>
      <w:r>
        <w:rPr>
          <w:rFonts w:hint="eastAsia" w:ascii="宋体" w:hAnsi="宋体" w:cs="宋体"/>
          <w:bCs/>
          <w:sz w:val="24"/>
          <w:highlight w:val="none"/>
        </w:rPr>
        <w:t>包括无效投标人名单及原因；</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（五）评标结果和中标候选供应商排序表；</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（六）评标委员会授标建议；</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（七）报价最高的投标人为中标候选人的</w:t>
      </w:r>
      <w:r>
        <w:rPr>
          <w:rFonts w:hint="eastAsia" w:ascii="宋体" w:hAnsi="宋体" w:cs="宋体"/>
          <w:bCs/>
          <w:sz w:val="24"/>
          <w:highlight w:val="none"/>
          <w:lang w:eastAsia="zh-CN"/>
        </w:rPr>
        <w:t>，</w:t>
      </w:r>
      <w:r>
        <w:rPr>
          <w:rFonts w:hint="eastAsia" w:ascii="宋体" w:hAnsi="宋体" w:cs="宋体"/>
          <w:bCs/>
          <w:sz w:val="24"/>
          <w:highlight w:val="none"/>
        </w:rPr>
        <w:t>评标委员会应当对其报价的合理性予以特别说明。</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评标委员会成员应当在评标报告中签字确认</w:t>
      </w:r>
      <w:r>
        <w:rPr>
          <w:rFonts w:hint="eastAsia" w:ascii="宋体" w:hAnsi="宋体" w:cs="宋体"/>
          <w:bCs/>
          <w:sz w:val="24"/>
          <w:highlight w:val="none"/>
          <w:lang w:eastAsia="zh-CN"/>
        </w:rPr>
        <w:t>，</w:t>
      </w:r>
      <w:r>
        <w:rPr>
          <w:rFonts w:hint="eastAsia" w:ascii="宋体" w:hAnsi="宋体" w:cs="宋体"/>
          <w:bCs/>
          <w:sz w:val="24"/>
          <w:highlight w:val="none"/>
        </w:rPr>
        <w:t>对评标过程和结果有不同意见的</w:t>
      </w:r>
      <w:r>
        <w:rPr>
          <w:rFonts w:hint="eastAsia" w:ascii="宋体" w:hAnsi="宋体" w:cs="宋体"/>
          <w:bCs/>
          <w:sz w:val="24"/>
          <w:highlight w:val="none"/>
          <w:lang w:eastAsia="zh-CN"/>
        </w:rPr>
        <w:t>，</w:t>
      </w:r>
      <w:r>
        <w:rPr>
          <w:rFonts w:hint="eastAsia" w:ascii="宋体" w:hAnsi="宋体" w:cs="宋体"/>
          <w:bCs/>
          <w:sz w:val="24"/>
          <w:highlight w:val="none"/>
        </w:rPr>
        <w:t>应当在评标报告中写明并说明理由。签字但未写明不同意见或者未说明理由的</w:t>
      </w:r>
      <w:r>
        <w:rPr>
          <w:rFonts w:hint="eastAsia" w:ascii="宋体" w:hAnsi="宋体" w:cs="宋体"/>
          <w:bCs/>
          <w:sz w:val="24"/>
          <w:highlight w:val="none"/>
          <w:lang w:eastAsia="zh-CN"/>
        </w:rPr>
        <w:t>，</w:t>
      </w:r>
      <w:r>
        <w:rPr>
          <w:rFonts w:hint="eastAsia" w:ascii="宋体" w:hAnsi="宋体" w:cs="宋体"/>
          <w:bCs/>
          <w:sz w:val="24"/>
          <w:highlight w:val="none"/>
        </w:rPr>
        <w:t>视同无意见。拒不签字又未另行书面说明其不同意见和理由的</w:t>
      </w:r>
      <w:r>
        <w:rPr>
          <w:rFonts w:hint="eastAsia" w:ascii="宋体" w:hAnsi="宋体" w:cs="宋体"/>
          <w:bCs/>
          <w:sz w:val="24"/>
          <w:highlight w:val="none"/>
          <w:lang w:eastAsia="zh-CN"/>
        </w:rPr>
        <w:t>，</w:t>
      </w:r>
      <w:r>
        <w:rPr>
          <w:rFonts w:hint="eastAsia" w:ascii="宋体" w:hAnsi="宋体" w:cs="宋体"/>
          <w:bCs/>
          <w:sz w:val="24"/>
          <w:highlight w:val="none"/>
        </w:rPr>
        <w:t>视同同意评标结果。</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3.8</w:t>
      </w:r>
      <w:r>
        <w:rPr>
          <w:rFonts w:hint="eastAsia" w:ascii="宋体" w:hAnsi="宋体" w:cs="宋体"/>
          <w:bCs/>
          <w:sz w:val="24"/>
          <w:highlight w:val="none"/>
          <w:lang w:val="en-US" w:eastAsia="zh-CN"/>
        </w:rPr>
        <w:t xml:space="preserve"> </w:t>
      </w:r>
      <w:r>
        <w:rPr>
          <w:rFonts w:hint="eastAsia" w:ascii="宋体" w:hAnsi="宋体" w:cs="宋体"/>
          <w:bCs/>
          <w:sz w:val="24"/>
          <w:highlight w:val="none"/>
        </w:rPr>
        <w:t>评标争议处理规则。评标委员会在评审过程中</w:t>
      </w:r>
      <w:r>
        <w:rPr>
          <w:rFonts w:hint="eastAsia" w:ascii="宋体" w:hAnsi="宋体" w:cs="宋体"/>
          <w:bCs/>
          <w:sz w:val="24"/>
          <w:highlight w:val="none"/>
          <w:lang w:eastAsia="zh-CN"/>
        </w:rPr>
        <w:t>，</w:t>
      </w:r>
      <w:r>
        <w:rPr>
          <w:rFonts w:hint="eastAsia" w:ascii="宋体" w:hAnsi="宋体" w:cs="宋体"/>
          <w:bCs/>
          <w:sz w:val="24"/>
          <w:highlight w:val="none"/>
        </w:rPr>
        <w:t>对于符合性审查、对供应商投标文件做无效投标处理及其他需要共同认定的事项存在争议的</w:t>
      </w:r>
      <w:r>
        <w:rPr>
          <w:rFonts w:hint="eastAsia" w:ascii="宋体" w:hAnsi="宋体" w:cs="宋体"/>
          <w:bCs/>
          <w:sz w:val="24"/>
          <w:highlight w:val="none"/>
          <w:lang w:eastAsia="zh-CN"/>
        </w:rPr>
        <w:t>，</w:t>
      </w:r>
      <w:r>
        <w:rPr>
          <w:rFonts w:hint="eastAsia" w:ascii="宋体" w:hAnsi="宋体" w:cs="宋体"/>
          <w:bCs/>
          <w:sz w:val="24"/>
          <w:highlight w:val="none"/>
        </w:rPr>
        <w:t>应当以少数服从多数的原则做出结论</w:t>
      </w:r>
      <w:r>
        <w:rPr>
          <w:rFonts w:hint="eastAsia" w:ascii="宋体" w:hAnsi="宋体" w:cs="宋体"/>
          <w:bCs/>
          <w:sz w:val="24"/>
          <w:highlight w:val="none"/>
          <w:lang w:eastAsia="zh-CN"/>
        </w:rPr>
        <w:t>，</w:t>
      </w:r>
      <w:r>
        <w:rPr>
          <w:rFonts w:hint="eastAsia" w:ascii="宋体" w:hAnsi="宋体" w:cs="宋体"/>
          <w:bCs/>
          <w:sz w:val="24"/>
          <w:highlight w:val="none"/>
        </w:rPr>
        <w:t>但不得违背法律法规和招标文件规定。有不同意见的评标委员会成员认为认定过程和结果不符合法律法规或者招标文件规定的</w:t>
      </w:r>
      <w:r>
        <w:rPr>
          <w:rFonts w:hint="eastAsia" w:ascii="宋体" w:hAnsi="宋体" w:cs="宋体"/>
          <w:bCs/>
          <w:sz w:val="24"/>
          <w:highlight w:val="none"/>
          <w:lang w:eastAsia="zh-CN"/>
        </w:rPr>
        <w:t>，</w:t>
      </w:r>
      <w:r>
        <w:rPr>
          <w:rFonts w:hint="eastAsia" w:ascii="宋体" w:hAnsi="宋体" w:cs="宋体"/>
          <w:bCs/>
          <w:sz w:val="24"/>
          <w:highlight w:val="none"/>
        </w:rPr>
        <w:t>应当及时向招标采购单位书面反映。招标采购单位收到书面反映后</w:t>
      </w:r>
      <w:r>
        <w:rPr>
          <w:rFonts w:hint="eastAsia" w:ascii="宋体" w:hAnsi="宋体" w:cs="宋体"/>
          <w:bCs/>
          <w:sz w:val="24"/>
          <w:highlight w:val="none"/>
          <w:lang w:eastAsia="zh-CN"/>
        </w:rPr>
        <w:t>，</w:t>
      </w:r>
      <w:r>
        <w:rPr>
          <w:rFonts w:hint="eastAsia" w:ascii="宋体" w:hAnsi="宋体" w:cs="宋体"/>
          <w:bCs/>
          <w:sz w:val="24"/>
          <w:highlight w:val="none"/>
        </w:rPr>
        <w:t>应当书面报告采购项目同级财政部门依法处理。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3.9</w:t>
      </w:r>
      <w:r>
        <w:rPr>
          <w:rFonts w:hint="eastAsia" w:ascii="宋体" w:hAnsi="宋体" w:cs="宋体"/>
          <w:bCs/>
          <w:sz w:val="24"/>
          <w:highlight w:val="none"/>
          <w:lang w:val="en-US" w:eastAsia="zh-CN"/>
        </w:rPr>
        <w:t xml:space="preserve"> </w:t>
      </w:r>
      <w:r>
        <w:rPr>
          <w:rFonts w:hint="eastAsia" w:ascii="宋体" w:hAnsi="宋体" w:cs="宋体"/>
          <w:bCs/>
          <w:sz w:val="24"/>
          <w:highlight w:val="none"/>
        </w:rPr>
        <w:t>供应商应当书面澄清、说明或者补正。</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3.9.1</w:t>
      </w:r>
      <w:r>
        <w:rPr>
          <w:rFonts w:hint="eastAsia" w:ascii="宋体" w:hAnsi="宋体" w:cs="宋体"/>
          <w:bCs/>
          <w:sz w:val="24"/>
          <w:highlight w:val="none"/>
          <w:lang w:val="en-US" w:eastAsia="zh-CN"/>
        </w:rPr>
        <w:t xml:space="preserve"> </w:t>
      </w:r>
      <w:r>
        <w:rPr>
          <w:rFonts w:hint="eastAsia" w:ascii="宋体" w:hAnsi="宋体" w:cs="宋体"/>
          <w:bCs/>
          <w:sz w:val="24"/>
          <w:highlight w:val="none"/>
        </w:rPr>
        <w:t>在评标过程中</w:t>
      </w:r>
      <w:r>
        <w:rPr>
          <w:rFonts w:hint="eastAsia" w:ascii="宋体" w:hAnsi="宋体" w:cs="宋体"/>
          <w:bCs/>
          <w:sz w:val="24"/>
          <w:highlight w:val="none"/>
          <w:lang w:eastAsia="zh-CN"/>
        </w:rPr>
        <w:t>，</w:t>
      </w:r>
      <w:r>
        <w:rPr>
          <w:rFonts w:hint="eastAsia" w:ascii="宋体" w:hAnsi="宋体" w:cs="宋体"/>
          <w:bCs/>
          <w:sz w:val="24"/>
          <w:highlight w:val="none"/>
        </w:rPr>
        <w:t>对于投标文件中含义不明确、同类问题表述不一致或者有明显文字和计算错误的内容</w:t>
      </w:r>
      <w:r>
        <w:rPr>
          <w:rFonts w:hint="eastAsia" w:ascii="宋体" w:hAnsi="宋体" w:cs="宋体"/>
          <w:bCs/>
          <w:sz w:val="24"/>
          <w:highlight w:val="none"/>
          <w:lang w:eastAsia="zh-CN"/>
        </w:rPr>
        <w:t>，</w:t>
      </w:r>
      <w:r>
        <w:rPr>
          <w:rFonts w:hint="eastAsia" w:ascii="宋体" w:hAnsi="宋体" w:cs="宋体"/>
          <w:bCs/>
          <w:sz w:val="24"/>
          <w:highlight w:val="none"/>
        </w:rPr>
        <w:t>评标委员会应当以书面形式要求投标人作出必要的澄清、说明或者补正。</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3.9.2</w:t>
      </w:r>
      <w:r>
        <w:rPr>
          <w:rFonts w:hint="eastAsia" w:ascii="宋体" w:hAnsi="宋体" w:cs="宋体"/>
          <w:bCs/>
          <w:sz w:val="24"/>
          <w:highlight w:val="none"/>
          <w:lang w:val="en-US" w:eastAsia="zh-CN"/>
        </w:rPr>
        <w:t xml:space="preserve"> </w:t>
      </w:r>
      <w:r>
        <w:rPr>
          <w:rFonts w:hint="eastAsia" w:ascii="宋体" w:hAnsi="宋体" w:cs="宋体"/>
          <w:bCs/>
          <w:sz w:val="24"/>
          <w:highlight w:val="none"/>
        </w:rPr>
        <w:t>供应商应当书面澄清、说明或者补正</w:t>
      </w:r>
      <w:r>
        <w:rPr>
          <w:rFonts w:hint="eastAsia" w:ascii="宋体" w:hAnsi="宋体" w:cs="宋体"/>
          <w:bCs/>
          <w:sz w:val="24"/>
          <w:highlight w:val="none"/>
          <w:lang w:eastAsia="zh-CN"/>
        </w:rPr>
        <w:t>，</w:t>
      </w:r>
      <w:r>
        <w:rPr>
          <w:rFonts w:hint="eastAsia" w:ascii="宋体" w:hAnsi="宋体" w:cs="宋体"/>
          <w:bCs/>
          <w:sz w:val="24"/>
          <w:highlight w:val="none"/>
        </w:rPr>
        <w:t>并加盖公章或签字确认（供应商为法人的</w:t>
      </w:r>
      <w:r>
        <w:rPr>
          <w:rFonts w:hint="eastAsia" w:ascii="宋体" w:hAnsi="宋体" w:cs="宋体"/>
          <w:bCs/>
          <w:sz w:val="24"/>
          <w:highlight w:val="none"/>
          <w:lang w:eastAsia="zh-CN"/>
        </w:rPr>
        <w:t>，</w:t>
      </w:r>
      <w:r>
        <w:rPr>
          <w:rFonts w:hint="eastAsia" w:ascii="宋体" w:hAnsi="宋体" w:cs="宋体"/>
          <w:bCs/>
          <w:sz w:val="24"/>
          <w:highlight w:val="none"/>
        </w:rPr>
        <w:t>应当由其法定代表人或者代理人签字确认；供应商为其他组织的</w:t>
      </w:r>
      <w:r>
        <w:rPr>
          <w:rFonts w:hint="eastAsia" w:ascii="宋体" w:hAnsi="宋体" w:cs="宋体"/>
          <w:bCs/>
          <w:sz w:val="24"/>
          <w:highlight w:val="none"/>
          <w:lang w:eastAsia="zh-CN"/>
        </w:rPr>
        <w:t>，</w:t>
      </w:r>
      <w:r>
        <w:rPr>
          <w:rFonts w:hint="eastAsia" w:ascii="宋体" w:hAnsi="宋体" w:cs="宋体"/>
          <w:bCs/>
          <w:sz w:val="24"/>
          <w:highlight w:val="none"/>
        </w:rPr>
        <w:t>应当由其主要负责人或者代理人签字确认；供应商为自然人的</w:t>
      </w:r>
      <w:r>
        <w:rPr>
          <w:rFonts w:hint="eastAsia" w:ascii="宋体" w:hAnsi="宋体" w:cs="宋体"/>
          <w:bCs/>
          <w:sz w:val="24"/>
          <w:highlight w:val="none"/>
          <w:lang w:eastAsia="zh-CN"/>
        </w:rPr>
        <w:t>，</w:t>
      </w:r>
      <w:r>
        <w:rPr>
          <w:rFonts w:hint="eastAsia" w:ascii="宋体" w:hAnsi="宋体" w:cs="宋体"/>
          <w:bCs/>
          <w:sz w:val="24"/>
          <w:highlight w:val="none"/>
        </w:rPr>
        <w:t>应当由其本人或者代理人签字确认）</w:t>
      </w:r>
      <w:r>
        <w:rPr>
          <w:rFonts w:hint="eastAsia" w:ascii="宋体" w:hAnsi="宋体" w:cs="宋体"/>
          <w:bCs/>
          <w:sz w:val="24"/>
          <w:highlight w:val="none"/>
          <w:lang w:eastAsia="zh-CN"/>
        </w:rPr>
        <w:t>，</w:t>
      </w:r>
      <w:r>
        <w:rPr>
          <w:rFonts w:hint="eastAsia" w:ascii="宋体" w:hAnsi="宋体" w:cs="宋体"/>
          <w:bCs/>
          <w:sz w:val="24"/>
          <w:highlight w:val="none"/>
        </w:rPr>
        <w:t>否则无效。澄清、说明或者补正不影响投标文件的效力</w:t>
      </w:r>
      <w:r>
        <w:rPr>
          <w:rFonts w:hint="eastAsia" w:ascii="宋体" w:hAnsi="宋体" w:cs="宋体"/>
          <w:bCs/>
          <w:sz w:val="24"/>
          <w:highlight w:val="none"/>
          <w:lang w:eastAsia="zh-CN"/>
        </w:rPr>
        <w:t>，</w:t>
      </w:r>
      <w:r>
        <w:rPr>
          <w:rFonts w:hint="eastAsia" w:ascii="宋体" w:hAnsi="宋体" w:cs="宋体"/>
          <w:bCs/>
          <w:sz w:val="24"/>
          <w:highlight w:val="none"/>
        </w:rPr>
        <w:t>有效的澄清、说明或者补正材料</w:t>
      </w:r>
      <w:r>
        <w:rPr>
          <w:rFonts w:hint="eastAsia" w:ascii="宋体" w:hAnsi="宋体" w:cs="宋体"/>
          <w:bCs/>
          <w:sz w:val="24"/>
          <w:highlight w:val="none"/>
          <w:lang w:eastAsia="zh-CN"/>
        </w:rPr>
        <w:t>，</w:t>
      </w:r>
      <w:r>
        <w:rPr>
          <w:rFonts w:hint="eastAsia" w:ascii="宋体" w:hAnsi="宋体" w:cs="宋体"/>
          <w:bCs/>
          <w:sz w:val="24"/>
          <w:highlight w:val="none"/>
        </w:rPr>
        <w:t>是投标文件的组成部分。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3.9.3</w:t>
      </w:r>
      <w:r>
        <w:rPr>
          <w:rFonts w:hint="eastAsia" w:ascii="宋体" w:hAnsi="宋体" w:cs="宋体"/>
          <w:bCs/>
          <w:sz w:val="24"/>
          <w:highlight w:val="none"/>
          <w:lang w:val="en-US" w:eastAsia="zh-CN"/>
        </w:rPr>
        <w:t xml:space="preserve"> </w:t>
      </w:r>
      <w:r>
        <w:rPr>
          <w:rFonts w:hint="eastAsia" w:ascii="宋体" w:hAnsi="宋体" w:cs="宋体"/>
          <w:bCs/>
          <w:sz w:val="24"/>
          <w:highlight w:val="none"/>
        </w:rPr>
        <w:t>评标委员会要求供应商澄清、说明或者补正</w:t>
      </w:r>
      <w:r>
        <w:rPr>
          <w:rFonts w:hint="eastAsia" w:ascii="宋体" w:hAnsi="宋体" w:cs="宋体"/>
          <w:bCs/>
          <w:sz w:val="24"/>
          <w:highlight w:val="none"/>
          <w:lang w:eastAsia="zh-CN"/>
        </w:rPr>
        <w:t>，</w:t>
      </w:r>
      <w:r>
        <w:rPr>
          <w:rFonts w:hint="eastAsia" w:ascii="宋体" w:hAnsi="宋体" w:cs="宋体"/>
          <w:bCs/>
          <w:sz w:val="24"/>
          <w:highlight w:val="none"/>
        </w:rPr>
        <w:t>不得超出招标文件的范围</w:t>
      </w:r>
      <w:r>
        <w:rPr>
          <w:rFonts w:hint="eastAsia" w:ascii="宋体" w:hAnsi="宋体" w:cs="宋体"/>
          <w:bCs/>
          <w:sz w:val="24"/>
          <w:highlight w:val="none"/>
          <w:lang w:eastAsia="zh-CN"/>
        </w:rPr>
        <w:t>，</w:t>
      </w:r>
      <w:r>
        <w:rPr>
          <w:rFonts w:hint="eastAsia" w:ascii="宋体" w:hAnsi="宋体" w:cs="宋体"/>
          <w:bCs/>
          <w:sz w:val="24"/>
          <w:highlight w:val="none"/>
        </w:rPr>
        <w:t>不得以此让供应商实质改变投标文件的内容</w:t>
      </w:r>
      <w:r>
        <w:rPr>
          <w:rFonts w:hint="eastAsia" w:ascii="宋体" w:hAnsi="宋体" w:cs="宋体"/>
          <w:bCs/>
          <w:sz w:val="24"/>
          <w:highlight w:val="none"/>
          <w:lang w:eastAsia="zh-CN"/>
        </w:rPr>
        <w:t>，</w:t>
      </w:r>
      <w:r>
        <w:rPr>
          <w:rFonts w:hint="eastAsia" w:ascii="宋体" w:hAnsi="宋体" w:cs="宋体"/>
          <w:bCs/>
          <w:sz w:val="24"/>
          <w:highlight w:val="none"/>
        </w:rPr>
        <w:t>不得影响供应商公平竞争。本项目下列内容不得澄清：</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（一）按财政部规定应当在评标时不予承认的投标文件内容事项；</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（二）投标文件中已经明确的内容事项；</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（三）投标文件未提供的材料。</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3.9.4 本项目采购过程中</w:t>
      </w:r>
      <w:r>
        <w:rPr>
          <w:rFonts w:hint="eastAsia" w:ascii="宋体" w:hAnsi="宋体" w:cs="宋体"/>
          <w:bCs/>
          <w:sz w:val="24"/>
          <w:highlight w:val="none"/>
          <w:lang w:eastAsia="zh-CN"/>
        </w:rPr>
        <w:t>，</w:t>
      </w:r>
      <w:r>
        <w:rPr>
          <w:rFonts w:hint="eastAsia" w:ascii="宋体" w:hAnsi="宋体" w:cs="宋体"/>
          <w:bCs/>
          <w:sz w:val="24"/>
          <w:highlight w:val="none"/>
        </w:rPr>
        <w:t>投标文件出现下列情况的</w:t>
      </w:r>
      <w:r>
        <w:rPr>
          <w:rFonts w:hint="eastAsia" w:ascii="宋体" w:hAnsi="宋体" w:cs="宋体"/>
          <w:bCs/>
          <w:sz w:val="24"/>
          <w:highlight w:val="none"/>
          <w:lang w:eastAsia="zh-CN"/>
        </w:rPr>
        <w:t>，</w:t>
      </w:r>
      <w:r>
        <w:rPr>
          <w:rFonts w:hint="eastAsia" w:ascii="宋体" w:hAnsi="宋体" w:cs="宋体"/>
          <w:bCs/>
          <w:sz w:val="24"/>
          <w:highlight w:val="none"/>
        </w:rPr>
        <w:t>不需要供应商澄清、说明或者补正</w:t>
      </w:r>
      <w:r>
        <w:rPr>
          <w:rFonts w:hint="eastAsia" w:ascii="宋体" w:hAnsi="宋体" w:cs="宋体"/>
          <w:bCs/>
          <w:sz w:val="24"/>
          <w:highlight w:val="none"/>
          <w:lang w:eastAsia="zh-CN"/>
        </w:rPr>
        <w:t>，</w:t>
      </w:r>
      <w:r>
        <w:rPr>
          <w:rFonts w:hint="eastAsia" w:ascii="宋体" w:hAnsi="宋体" w:cs="宋体"/>
          <w:bCs/>
          <w:sz w:val="24"/>
          <w:highlight w:val="none"/>
        </w:rPr>
        <w:t>按照以下原则处理：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（一）投标文件的大写金额和小写金额不一致的</w:t>
      </w:r>
      <w:r>
        <w:rPr>
          <w:rFonts w:hint="eastAsia" w:ascii="宋体" w:hAnsi="宋体" w:cs="宋体"/>
          <w:bCs/>
          <w:sz w:val="24"/>
          <w:highlight w:val="none"/>
          <w:lang w:eastAsia="zh-CN"/>
        </w:rPr>
        <w:t>，</w:t>
      </w:r>
      <w:r>
        <w:rPr>
          <w:rFonts w:hint="eastAsia" w:ascii="宋体" w:hAnsi="宋体" w:cs="宋体"/>
          <w:bCs/>
          <w:sz w:val="24"/>
          <w:highlight w:val="none"/>
        </w:rPr>
        <w:t>以大写金额为准</w:t>
      </w:r>
      <w:r>
        <w:rPr>
          <w:rFonts w:hint="eastAsia" w:ascii="宋体" w:hAnsi="宋体" w:cs="宋体"/>
          <w:bCs/>
          <w:sz w:val="24"/>
          <w:highlight w:val="none"/>
          <w:lang w:eastAsia="zh-CN"/>
        </w:rPr>
        <w:t>，</w:t>
      </w:r>
      <w:r>
        <w:rPr>
          <w:rFonts w:hint="eastAsia" w:ascii="宋体" w:hAnsi="宋体" w:cs="宋体"/>
          <w:bCs/>
          <w:sz w:val="24"/>
          <w:highlight w:val="none"/>
        </w:rPr>
        <w:t>但大写金额出现文字错误</w:t>
      </w:r>
      <w:r>
        <w:rPr>
          <w:rFonts w:hint="eastAsia" w:ascii="宋体" w:hAnsi="宋体" w:cs="宋体"/>
          <w:bCs/>
          <w:sz w:val="24"/>
          <w:highlight w:val="none"/>
          <w:lang w:eastAsia="zh-CN"/>
        </w:rPr>
        <w:t>，</w:t>
      </w:r>
      <w:r>
        <w:rPr>
          <w:rFonts w:hint="eastAsia" w:ascii="宋体" w:hAnsi="宋体" w:cs="宋体"/>
          <w:bCs/>
          <w:sz w:val="24"/>
          <w:highlight w:val="none"/>
        </w:rPr>
        <w:t>导致金额无法判断的除外；</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（二）总价金额与按单价汇总金额不一致的</w:t>
      </w:r>
      <w:r>
        <w:rPr>
          <w:rFonts w:hint="eastAsia" w:ascii="宋体" w:hAnsi="宋体" w:cs="宋体"/>
          <w:bCs/>
          <w:sz w:val="24"/>
          <w:highlight w:val="none"/>
          <w:lang w:eastAsia="zh-CN"/>
        </w:rPr>
        <w:t>，</w:t>
      </w:r>
      <w:r>
        <w:rPr>
          <w:rFonts w:hint="eastAsia" w:ascii="宋体" w:hAnsi="宋体" w:cs="宋体"/>
          <w:bCs/>
          <w:sz w:val="24"/>
          <w:highlight w:val="none"/>
        </w:rPr>
        <w:t>以单价汇总金额计算结果为准</w:t>
      </w:r>
      <w:r>
        <w:rPr>
          <w:rFonts w:hint="eastAsia" w:ascii="宋体" w:hAnsi="宋体" w:cs="宋体"/>
          <w:bCs/>
          <w:sz w:val="24"/>
          <w:highlight w:val="none"/>
          <w:lang w:eastAsia="zh-CN"/>
        </w:rPr>
        <w:t>，</w:t>
      </w:r>
      <w:r>
        <w:rPr>
          <w:rFonts w:hint="eastAsia" w:ascii="宋体" w:hAnsi="宋体" w:cs="宋体"/>
          <w:bCs/>
          <w:sz w:val="24"/>
          <w:highlight w:val="none"/>
        </w:rPr>
        <w:t>但是单价金额出现计算错误、明显人为工作失误的除外；</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（三）单价金额小数点有明显错位的</w:t>
      </w:r>
      <w:r>
        <w:rPr>
          <w:rFonts w:hint="eastAsia" w:ascii="宋体" w:hAnsi="宋体" w:cs="宋体"/>
          <w:bCs/>
          <w:sz w:val="24"/>
          <w:highlight w:val="none"/>
          <w:lang w:eastAsia="zh-CN"/>
        </w:rPr>
        <w:t>，</w:t>
      </w:r>
      <w:r>
        <w:rPr>
          <w:rFonts w:hint="eastAsia" w:ascii="宋体" w:hAnsi="宋体" w:cs="宋体"/>
          <w:bCs/>
          <w:sz w:val="24"/>
          <w:highlight w:val="none"/>
        </w:rPr>
        <w:t>应以总价为准</w:t>
      </w:r>
      <w:r>
        <w:rPr>
          <w:rFonts w:hint="eastAsia" w:ascii="宋体" w:hAnsi="宋体" w:cs="宋体"/>
          <w:bCs/>
          <w:sz w:val="24"/>
          <w:highlight w:val="none"/>
          <w:lang w:eastAsia="zh-CN"/>
        </w:rPr>
        <w:t>，</w:t>
      </w:r>
      <w:r>
        <w:rPr>
          <w:rFonts w:hint="eastAsia" w:ascii="宋体" w:hAnsi="宋体" w:cs="宋体"/>
          <w:bCs/>
          <w:sz w:val="24"/>
          <w:highlight w:val="none"/>
        </w:rPr>
        <w:t>并修改单价；</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（四）对不同语言文本投标文件的解释发生异议的</w:t>
      </w:r>
      <w:r>
        <w:rPr>
          <w:rFonts w:hint="eastAsia" w:ascii="宋体" w:hAnsi="宋体" w:cs="宋体"/>
          <w:bCs/>
          <w:sz w:val="24"/>
          <w:highlight w:val="none"/>
          <w:lang w:eastAsia="zh-CN"/>
        </w:rPr>
        <w:t>，</w:t>
      </w:r>
      <w:r>
        <w:rPr>
          <w:rFonts w:hint="eastAsia" w:ascii="宋体" w:hAnsi="宋体" w:cs="宋体"/>
          <w:bCs/>
          <w:sz w:val="24"/>
          <w:highlight w:val="none"/>
        </w:rPr>
        <w:t>以中文文本为准。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出现本条第（二）项规定情形</w:t>
      </w:r>
      <w:r>
        <w:rPr>
          <w:rFonts w:hint="eastAsia" w:ascii="宋体" w:hAnsi="宋体" w:cs="宋体"/>
          <w:bCs/>
          <w:sz w:val="24"/>
          <w:highlight w:val="none"/>
          <w:lang w:eastAsia="zh-CN"/>
        </w:rPr>
        <w:t>，</w:t>
      </w:r>
      <w:r>
        <w:rPr>
          <w:rFonts w:hint="eastAsia" w:ascii="宋体" w:hAnsi="宋体" w:cs="宋体"/>
          <w:bCs/>
          <w:sz w:val="24"/>
          <w:highlight w:val="none"/>
        </w:rPr>
        <w:t>单价汇总金额比总价金额高</w:t>
      </w:r>
      <w:r>
        <w:rPr>
          <w:rFonts w:hint="eastAsia" w:ascii="宋体" w:hAnsi="宋体" w:cs="宋体"/>
          <w:bCs/>
          <w:sz w:val="24"/>
          <w:highlight w:val="none"/>
          <w:lang w:eastAsia="zh-CN"/>
        </w:rPr>
        <w:t>，</w:t>
      </w:r>
      <w:r>
        <w:rPr>
          <w:rFonts w:hint="eastAsia" w:ascii="宋体" w:hAnsi="宋体" w:cs="宋体"/>
          <w:bCs/>
          <w:sz w:val="24"/>
          <w:highlight w:val="none"/>
        </w:rPr>
        <w:t>且超过政府采购预算或者本项目最高限价的</w:t>
      </w:r>
      <w:r>
        <w:rPr>
          <w:rFonts w:hint="eastAsia" w:ascii="宋体" w:hAnsi="宋体" w:cs="宋体"/>
          <w:bCs/>
          <w:sz w:val="24"/>
          <w:highlight w:val="none"/>
          <w:lang w:eastAsia="zh-CN"/>
        </w:rPr>
        <w:t>，</w:t>
      </w:r>
      <w:r>
        <w:rPr>
          <w:rFonts w:hint="eastAsia" w:ascii="宋体" w:hAnsi="宋体" w:cs="宋体"/>
          <w:bCs/>
          <w:sz w:val="24"/>
          <w:highlight w:val="none"/>
        </w:rPr>
        <w:t>供应商投标文件应作为无效投标处理；单价汇总金额比总价金额高</w:t>
      </w:r>
      <w:r>
        <w:rPr>
          <w:rFonts w:hint="eastAsia" w:ascii="宋体" w:hAnsi="宋体" w:cs="宋体"/>
          <w:bCs/>
          <w:sz w:val="24"/>
          <w:highlight w:val="none"/>
          <w:lang w:eastAsia="zh-CN"/>
        </w:rPr>
        <w:t>，</w:t>
      </w:r>
      <w:r>
        <w:rPr>
          <w:rFonts w:hint="eastAsia" w:ascii="宋体" w:hAnsi="宋体" w:cs="宋体"/>
          <w:bCs/>
          <w:sz w:val="24"/>
          <w:highlight w:val="none"/>
        </w:rPr>
        <w:t>但未超过政府采购预算或者本项目最高限价的</w:t>
      </w:r>
      <w:r>
        <w:rPr>
          <w:rFonts w:hint="eastAsia" w:ascii="宋体" w:hAnsi="宋体" w:cs="宋体"/>
          <w:bCs/>
          <w:sz w:val="24"/>
          <w:highlight w:val="none"/>
          <w:lang w:eastAsia="zh-CN"/>
        </w:rPr>
        <w:t>，</w:t>
      </w:r>
      <w:r>
        <w:rPr>
          <w:rFonts w:hint="eastAsia" w:ascii="宋体" w:hAnsi="宋体" w:cs="宋体"/>
          <w:bCs/>
          <w:sz w:val="24"/>
          <w:highlight w:val="none"/>
        </w:rPr>
        <w:t>应以单价汇总金额作为价格评分依据。</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注：评标委员会当积极履行澄清、说明或者补正的职责</w:t>
      </w:r>
      <w:r>
        <w:rPr>
          <w:rFonts w:hint="eastAsia" w:ascii="宋体" w:hAnsi="宋体" w:cs="宋体"/>
          <w:bCs/>
          <w:sz w:val="24"/>
          <w:highlight w:val="none"/>
          <w:lang w:eastAsia="zh-CN"/>
        </w:rPr>
        <w:t>，</w:t>
      </w:r>
      <w:r>
        <w:rPr>
          <w:rFonts w:hint="eastAsia" w:ascii="宋体" w:hAnsi="宋体" w:cs="宋体"/>
          <w:bCs/>
          <w:sz w:val="24"/>
          <w:highlight w:val="none"/>
        </w:rPr>
        <w:t>不得滥用权力。供应商的投标文件可以要求澄清、说明或者补正的</w:t>
      </w:r>
      <w:r>
        <w:rPr>
          <w:rFonts w:hint="eastAsia" w:ascii="宋体" w:hAnsi="宋体" w:cs="宋体"/>
          <w:bCs/>
          <w:sz w:val="24"/>
          <w:highlight w:val="none"/>
          <w:lang w:eastAsia="zh-CN"/>
        </w:rPr>
        <w:t>，</w:t>
      </w:r>
      <w:r>
        <w:rPr>
          <w:rFonts w:hint="eastAsia" w:ascii="宋体" w:hAnsi="宋体" w:cs="宋体"/>
          <w:bCs/>
          <w:sz w:val="24"/>
          <w:highlight w:val="none"/>
        </w:rPr>
        <w:t>不得未经澄清、说明或者补正而直接作无效投标处理。</w:t>
      </w:r>
    </w:p>
    <w:p>
      <w:pPr>
        <w:adjustRightInd w:val="0"/>
        <w:snapToGrid w:val="0"/>
        <w:spacing w:line="360" w:lineRule="auto"/>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3.10</w:t>
      </w:r>
      <w:r>
        <w:rPr>
          <w:rFonts w:hint="eastAsia" w:ascii="宋体" w:hAnsi="宋体" w:cs="宋体"/>
          <w:bCs/>
          <w:sz w:val="24"/>
          <w:highlight w:val="none"/>
          <w:lang w:val="en-US" w:eastAsia="zh-CN"/>
        </w:rPr>
        <w:t xml:space="preserve"> 低于成本报价说明。</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1、在评标过程中</w:t>
      </w:r>
      <w:r>
        <w:rPr>
          <w:rFonts w:hint="eastAsia" w:ascii="宋体" w:hAnsi="宋体" w:cs="宋体"/>
          <w:bCs/>
          <w:sz w:val="24"/>
          <w:highlight w:val="none"/>
          <w:lang w:eastAsia="zh-CN"/>
        </w:rPr>
        <w:t>，</w:t>
      </w:r>
      <w:r>
        <w:rPr>
          <w:rFonts w:hint="eastAsia" w:ascii="宋体" w:hAnsi="宋体" w:cs="宋体"/>
          <w:bCs/>
          <w:sz w:val="24"/>
          <w:highlight w:val="none"/>
        </w:rPr>
        <w:t>评标委员会认为投标人的报价明显低于其他通过符合性审查投标人的报价</w:t>
      </w:r>
      <w:r>
        <w:rPr>
          <w:rFonts w:hint="eastAsia" w:ascii="宋体" w:hAnsi="宋体" w:cs="宋体"/>
          <w:bCs/>
          <w:sz w:val="24"/>
          <w:highlight w:val="none"/>
          <w:lang w:eastAsia="zh-CN"/>
        </w:rPr>
        <w:t>，</w:t>
      </w:r>
      <w:r>
        <w:rPr>
          <w:rFonts w:hint="eastAsia" w:ascii="宋体" w:hAnsi="宋体" w:cs="宋体"/>
          <w:bCs/>
          <w:sz w:val="24"/>
          <w:highlight w:val="none"/>
        </w:rPr>
        <w:t>有可能影响产品质量或者不能诚信履约的</w:t>
      </w:r>
      <w:r>
        <w:rPr>
          <w:rFonts w:hint="eastAsia" w:ascii="宋体" w:hAnsi="宋体" w:cs="宋体"/>
          <w:bCs/>
          <w:sz w:val="24"/>
          <w:highlight w:val="none"/>
          <w:lang w:eastAsia="zh-CN"/>
        </w:rPr>
        <w:t>，</w:t>
      </w:r>
      <w:r>
        <w:rPr>
          <w:rFonts w:hint="eastAsia" w:ascii="宋体" w:hAnsi="宋体" w:cs="宋体"/>
          <w:bCs/>
          <w:sz w:val="24"/>
          <w:highlight w:val="none"/>
        </w:rPr>
        <w:t>应当要求其在评标现场合理的时间内提供书面说明</w:t>
      </w:r>
      <w:r>
        <w:rPr>
          <w:rFonts w:hint="eastAsia" w:ascii="宋体" w:hAnsi="宋体" w:cs="宋体"/>
          <w:bCs/>
          <w:sz w:val="24"/>
          <w:highlight w:val="none"/>
          <w:lang w:eastAsia="zh-CN"/>
        </w:rPr>
        <w:t>，</w:t>
      </w:r>
      <w:r>
        <w:rPr>
          <w:rFonts w:hint="eastAsia" w:ascii="宋体" w:hAnsi="宋体" w:cs="宋体"/>
          <w:bCs/>
          <w:sz w:val="24"/>
          <w:highlight w:val="none"/>
        </w:rPr>
        <w:t>必要时提交相关证明材料；投标人不能证明其报价合理性的</w:t>
      </w:r>
      <w:r>
        <w:rPr>
          <w:rFonts w:hint="eastAsia" w:ascii="宋体" w:hAnsi="宋体" w:cs="宋体"/>
          <w:bCs/>
          <w:sz w:val="24"/>
          <w:highlight w:val="none"/>
          <w:lang w:eastAsia="zh-CN"/>
        </w:rPr>
        <w:t>，</w:t>
      </w:r>
      <w:r>
        <w:rPr>
          <w:rFonts w:hint="eastAsia" w:ascii="宋体" w:hAnsi="宋体" w:cs="宋体"/>
          <w:bCs/>
          <w:sz w:val="24"/>
          <w:highlight w:val="none"/>
        </w:rPr>
        <w:t>评标委员会应当将其作为无效投标处理。供应商书面说明应当按照国家财务会计制度的规定要求</w:t>
      </w:r>
      <w:r>
        <w:rPr>
          <w:rFonts w:hint="eastAsia" w:ascii="宋体" w:hAnsi="宋体" w:cs="宋体"/>
          <w:bCs/>
          <w:sz w:val="24"/>
          <w:highlight w:val="none"/>
          <w:lang w:eastAsia="zh-CN"/>
        </w:rPr>
        <w:t>，</w:t>
      </w:r>
      <w:r>
        <w:rPr>
          <w:rFonts w:hint="eastAsia" w:ascii="宋体" w:hAnsi="宋体" w:cs="宋体"/>
          <w:bCs/>
          <w:sz w:val="24"/>
          <w:highlight w:val="none"/>
        </w:rPr>
        <w:t>逐项就供应商提供的货物、工程和服务的主营业务成本（应根据供应商企业类型予以区别）、税金及附加、销售费用、管理费用、财务费用等成本构成事项详细陈述。</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2、供应商书面说明应当签字确认或者加盖公章</w:t>
      </w:r>
      <w:r>
        <w:rPr>
          <w:rFonts w:hint="eastAsia" w:ascii="宋体" w:hAnsi="宋体" w:cs="宋体"/>
          <w:bCs/>
          <w:sz w:val="24"/>
          <w:highlight w:val="none"/>
          <w:lang w:eastAsia="zh-CN"/>
        </w:rPr>
        <w:t>，</w:t>
      </w:r>
      <w:r>
        <w:rPr>
          <w:rFonts w:hint="eastAsia" w:ascii="宋体" w:hAnsi="宋体" w:cs="宋体"/>
          <w:bCs/>
          <w:sz w:val="24"/>
          <w:highlight w:val="none"/>
        </w:rPr>
        <w:t>否则无效。书面说明的签字确认</w:t>
      </w:r>
      <w:r>
        <w:rPr>
          <w:rFonts w:hint="eastAsia" w:ascii="宋体" w:hAnsi="宋体" w:cs="宋体"/>
          <w:bCs/>
          <w:sz w:val="24"/>
          <w:highlight w:val="none"/>
          <w:lang w:eastAsia="zh-CN"/>
        </w:rPr>
        <w:t>，</w:t>
      </w:r>
      <w:r>
        <w:rPr>
          <w:rFonts w:hint="eastAsia" w:ascii="宋体" w:hAnsi="宋体" w:cs="宋体"/>
          <w:bCs/>
          <w:sz w:val="24"/>
          <w:highlight w:val="none"/>
        </w:rPr>
        <w:t>供应商为法人的</w:t>
      </w:r>
      <w:r>
        <w:rPr>
          <w:rFonts w:hint="eastAsia" w:ascii="宋体" w:hAnsi="宋体" w:cs="宋体"/>
          <w:bCs/>
          <w:sz w:val="24"/>
          <w:highlight w:val="none"/>
          <w:lang w:eastAsia="zh-CN"/>
        </w:rPr>
        <w:t>，</w:t>
      </w:r>
      <w:r>
        <w:rPr>
          <w:rFonts w:hint="eastAsia" w:ascii="宋体" w:hAnsi="宋体" w:cs="宋体"/>
          <w:bCs/>
          <w:sz w:val="24"/>
          <w:highlight w:val="none"/>
        </w:rPr>
        <w:t>由其法定代表人或者代理人签字确认；供应商为其他组织的</w:t>
      </w:r>
      <w:r>
        <w:rPr>
          <w:rFonts w:hint="eastAsia" w:ascii="宋体" w:hAnsi="宋体" w:cs="宋体"/>
          <w:bCs/>
          <w:sz w:val="24"/>
          <w:highlight w:val="none"/>
          <w:lang w:eastAsia="zh-CN"/>
        </w:rPr>
        <w:t>，</w:t>
      </w:r>
      <w:r>
        <w:rPr>
          <w:rFonts w:hint="eastAsia" w:ascii="宋体" w:hAnsi="宋体" w:cs="宋体"/>
          <w:bCs/>
          <w:sz w:val="24"/>
          <w:highlight w:val="none"/>
        </w:rPr>
        <w:t>由其主要负责人或者代理人签字确认；供应商为自然人的</w:t>
      </w:r>
      <w:r>
        <w:rPr>
          <w:rFonts w:hint="eastAsia" w:ascii="宋体" w:hAnsi="宋体" w:cs="宋体"/>
          <w:bCs/>
          <w:sz w:val="24"/>
          <w:highlight w:val="none"/>
          <w:lang w:eastAsia="zh-CN"/>
        </w:rPr>
        <w:t>，</w:t>
      </w:r>
      <w:r>
        <w:rPr>
          <w:rFonts w:hint="eastAsia" w:ascii="宋体" w:hAnsi="宋体" w:cs="宋体"/>
          <w:bCs/>
          <w:sz w:val="24"/>
          <w:highlight w:val="none"/>
        </w:rPr>
        <w:t>由其本人或者代理人签字确认。</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3、供应商提供书面说明后</w:t>
      </w:r>
      <w:r>
        <w:rPr>
          <w:rFonts w:hint="eastAsia" w:ascii="宋体" w:hAnsi="宋体" w:cs="宋体"/>
          <w:bCs/>
          <w:sz w:val="24"/>
          <w:highlight w:val="none"/>
          <w:lang w:eastAsia="zh-CN"/>
        </w:rPr>
        <w:t>，</w:t>
      </w:r>
      <w:r>
        <w:rPr>
          <w:rFonts w:hint="eastAsia" w:ascii="宋体" w:hAnsi="宋体" w:cs="宋体"/>
          <w:bCs/>
          <w:sz w:val="24"/>
          <w:highlight w:val="none"/>
        </w:rPr>
        <w:t>评标委员会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cs="宋体"/>
          <w:bCs/>
          <w:sz w:val="24"/>
          <w:highlight w:val="none"/>
          <w:lang w:eastAsia="zh-CN"/>
        </w:rPr>
        <w:t>，</w:t>
      </w:r>
      <w:r>
        <w:rPr>
          <w:rFonts w:hint="eastAsia" w:ascii="宋体" w:hAnsi="宋体" w:cs="宋体"/>
          <w:bCs/>
          <w:sz w:val="24"/>
          <w:highlight w:val="none"/>
        </w:rPr>
        <w:t>评标委员会应当将其投标文件作为无效处理。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3.11 招标采购单位现场复核评标结果。</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3.11.1</w:t>
      </w:r>
      <w:r>
        <w:rPr>
          <w:rFonts w:hint="eastAsia" w:ascii="宋体" w:hAnsi="宋体" w:cs="宋体"/>
          <w:bCs/>
          <w:sz w:val="24"/>
          <w:highlight w:val="none"/>
          <w:lang w:val="en-US" w:eastAsia="zh-CN"/>
        </w:rPr>
        <w:t xml:space="preserve"> </w:t>
      </w:r>
      <w:r>
        <w:rPr>
          <w:rFonts w:hint="eastAsia" w:ascii="宋体" w:hAnsi="宋体" w:cs="宋体"/>
          <w:bCs/>
          <w:sz w:val="24"/>
          <w:highlight w:val="none"/>
        </w:rPr>
        <w:t>评标结果汇总完成后</w:t>
      </w:r>
      <w:r>
        <w:rPr>
          <w:rFonts w:hint="eastAsia" w:ascii="宋体" w:hAnsi="宋体" w:cs="宋体"/>
          <w:bCs/>
          <w:sz w:val="24"/>
          <w:highlight w:val="none"/>
          <w:lang w:eastAsia="zh-CN"/>
        </w:rPr>
        <w:t>，</w:t>
      </w:r>
      <w:r>
        <w:rPr>
          <w:rFonts w:hint="eastAsia" w:ascii="宋体" w:hAnsi="宋体" w:cs="宋体"/>
          <w:bCs/>
          <w:sz w:val="24"/>
          <w:highlight w:val="none"/>
        </w:rPr>
        <w:t>评标委员会拟出具评标报告前</w:t>
      </w:r>
      <w:r>
        <w:rPr>
          <w:rFonts w:hint="eastAsia" w:ascii="宋体" w:hAnsi="宋体" w:cs="宋体"/>
          <w:bCs/>
          <w:sz w:val="24"/>
          <w:highlight w:val="none"/>
          <w:lang w:eastAsia="zh-CN"/>
        </w:rPr>
        <w:t>，</w:t>
      </w:r>
      <w:r>
        <w:rPr>
          <w:rFonts w:hint="eastAsia" w:ascii="宋体" w:hAnsi="宋体" w:cs="宋体"/>
          <w:bCs/>
          <w:sz w:val="24"/>
          <w:highlight w:val="none"/>
        </w:rPr>
        <w:t>招标采购单位应当组织2名以上的本单位工作人员</w:t>
      </w:r>
      <w:r>
        <w:rPr>
          <w:rFonts w:hint="eastAsia" w:ascii="宋体" w:hAnsi="宋体" w:cs="宋体"/>
          <w:bCs/>
          <w:sz w:val="24"/>
          <w:highlight w:val="none"/>
          <w:lang w:eastAsia="zh-CN"/>
        </w:rPr>
        <w:t>，</w:t>
      </w:r>
      <w:r>
        <w:rPr>
          <w:rFonts w:hint="eastAsia" w:ascii="宋体" w:hAnsi="宋体" w:cs="宋体"/>
          <w:bCs/>
          <w:sz w:val="24"/>
          <w:highlight w:val="none"/>
        </w:rPr>
        <w:t>在采购现场监督人员的监督之下</w:t>
      </w:r>
      <w:r>
        <w:rPr>
          <w:rFonts w:hint="eastAsia" w:ascii="宋体" w:hAnsi="宋体" w:cs="宋体"/>
          <w:bCs/>
          <w:sz w:val="24"/>
          <w:highlight w:val="none"/>
          <w:lang w:eastAsia="zh-CN"/>
        </w:rPr>
        <w:t>，</w:t>
      </w:r>
      <w:r>
        <w:rPr>
          <w:rFonts w:hint="eastAsia" w:ascii="宋体" w:hAnsi="宋体" w:cs="宋体"/>
          <w:bCs/>
          <w:sz w:val="24"/>
          <w:highlight w:val="none"/>
        </w:rPr>
        <w:t>依据有关的法律制度和采购文件对评标结果进行复核</w:t>
      </w:r>
      <w:r>
        <w:rPr>
          <w:rFonts w:hint="eastAsia" w:ascii="宋体" w:hAnsi="宋体" w:cs="宋体"/>
          <w:bCs/>
          <w:sz w:val="24"/>
          <w:highlight w:val="none"/>
          <w:lang w:eastAsia="zh-CN"/>
        </w:rPr>
        <w:t>，</w:t>
      </w:r>
      <w:r>
        <w:rPr>
          <w:rFonts w:hint="eastAsia" w:ascii="宋体" w:hAnsi="宋体" w:cs="宋体"/>
          <w:bCs/>
          <w:sz w:val="24"/>
          <w:highlight w:val="none"/>
        </w:rPr>
        <w:t>出具复核报告。存在下列情形之一的</w:t>
      </w:r>
      <w:r>
        <w:rPr>
          <w:rFonts w:hint="eastAsia" w:ascii="宋体" w:hAnsi="宋体" w:cs="宋体"/>
          <w:bCs/>
          <w:sz w:val="24"/>
          <w:highlight w:val="none"/>
          <w:lang w:eastAsia="zh-CN"/>
        </w:rPr>
        <w:t>，</w:t>
      </w:r>
      <w:r>
        <w:rPr>
          <w:rFonts w:hint="eastAsia" w:ascii="宋体" w:hAnsi="宋体" w:cs="宋体"/>
          <w:bCs/>
          <w:sz w:val="24"/>
          <w:highlight w:val="none"/>
        </w:rPr>
        <w:t>招标采购单位应当根据情况书面建议评标委员会现场修改评标结果或者重新评标：</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（一）资格性审查认定错误的；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（二）分值汇总计算错误的；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（三）分项评分超出评分标准范围的；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（四）客观评分不一致的。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存在本条上述规定情形的</w:t>
      </w:r>
      <w:r>
        <w:rPr>
          <w:rFonts w:hint="eastAsia" w:ascii="宋体" w:hAnsi="宋体" w:cs="宋体"/>
          <w:bCs/>
          <w:sz w:val="24"/>
          <w:highlight w:val="none"/>
          <w:lang w:eastAsia="zh-CN"/>
        </w:rPr>
        <w:t>，</w:t>
      </w:r>
      <w:r>
        <w:rPr>
          <w:rFonts w:hint="eastAsia" w:ascii="宋体" w:hAnsi="宋体" w:cs="宋体"/>
          <w:bCs/>
          <w:sz w:val="24"/>
          <w:highlight w:val="none"/>
        </w:rPr>
        <w:t>由评标委员会自主决定是否采纳招标采购单位的书面建议</w:t>
      </w:r>
      <w:r>
        <w:rPr>
          <w:rFonts w:hint="eastAsia" w:ascii="宋体" w:hAnsi="宋体" w:cs="宋体"/>
          <w:bCs/>
          <w:sz w:val="24"/>
          <w:highlight w:val="none"/>
          <w:lang w:eastAsia="zh-CN"/>
        </w:rPr>
        <w:t>，</w:t>
      </w:r>
      <w:r>
        <w:rPr>
          <w:rFonts w:hint="eastAsia" w:ascii="宋体" w:hAnsi="宋体" w:cs="宋体"/>
          <w:bCs/>
          <w:sz w:val="24"/>
          <w:highlight w:val="none"/>
        </w:rPr>
        <w:t>并承担独立评审责任。评标委员会采纳招标采购单位书面建议的</w:t>
      </w:r>
      <w:r>
        <w:rPr>
          <w:rFonts w:hint="eastAsia" w:ascii="宋体" w:hAnsi="宋体" w:cs="宋体"/>
          <w:bCs/>
          <w:sz w:val="24"/>
          <w:highlight w:val="none"/>
          <w:lang w:eastAsia="zh-CN"/>
        </w:rPr>
        <w:t>，</w:t>
      </w:r>
      <w:r>
        <w:rPr>
          <w:rFonts w:hint="eastAsia" w:ascii="宋体" w:hAnsi="宋体" w:cs="宋体"/>
          <w:bCs/>
          <w:sz w:val="24"/>
          <w:highlight w:val="none"/>
        </w:rPr>
        <w:t>应当按照规定现场修改评标结果或者重新评标</w:t>
      </w:r>
      <w:r>
        <w:rPr>
          <w:rFonts w:hint="eastAsia" w:ascii="宋体" w:hAnsi="宋体" w:cs="宋体"/>
          <w:bCs/>
          <w:sz w:val="24"/>
          <w:highlight w:val="none"/>
          <w:lang w:eastAsia="zh-CN"/>
        </w:rPr>
        <w:t>，</w:t>
      </w:r>
      <w:r>
        <w:rPr>
          <w:rFonts w:hint="eastAsia" w:ascii="宋体" w:hAnsi="宋体" w:cs="宋体"/>
          <w:bCs/>
          <w:sz w:val="24"/>
          <w:highlight w:val="none"/>
        </w:rPr>
        <w:t>并在评标报告中详细记载有关事宜；不采纳招标采购单位书面建议的</w:t>
      </w:r>
      <w:r>
        <w:rPr>
          <w:rFonts w:hint="eastAsia" w:ascii="宋体" w:hAnsi="宋体" w:cs="宋体"/>
          <w:bCs/>
          <w:sz w:val="24"/>
          <w:highlight w:val="none"/>
          <w:lang w:eastAsia="zh-CN"/>
        </w:rPr>
        <w:t>，</w:t>
      </w:r>
      <w:r>
        <w:rPr>
          <w:rFonts w:hint="eastAsia" w:ascii="宋体" w:hAnsi="宋体" w:cs="宋体"/>
          <w:bCs/>
          <w:sz w:val="24"/>
          <w:highlight w:val="none"/>
        </w:rPr>
        <w:t>应当书面说明理由。招标采购单位书面建议未被评标委员会采纳的</w:t>
      </w:r>
      <w:r>
        <w:rPr>
          <w:rFonts w:hint="eastAsia" w:ascii="宋体" w:hAnsi="宋体" w:cs="宋体"/>
          <w:bCs/>
          <w:sz w:val="24"/>
          <w:highlight w:val="none"/>
          <w:lang w:eastAsia="zh-CN"/>
        </w:rPr>
        <w:t>，</w:t>
      </w:r>
      <w:r>
        <w:rPr>
          <w:rFonts w:hint="eastAsia" w:ascii="宋体" w:hAnsi="宋体" w:cs="宋体"/>
          <w:bCs/>
          <w:sz w:val="24"/>
          <w:highlight w:val="none"/>
        </w:rPr>
        <w:t>应当按照规定程序要求继续组织实施采购活动</w:t>
      </w:r>
      <w:r>
        <w:rPr>
          <w:rFonts w:hint="eastAsia" w:ascii="宋体" w:hAnsi="宋体" w:cs="宋体"/>
          <w:bCs/>
          <w:sz w:val="24"/>
          <w:highlight w:val="none"/>
          <w:lang w:eastAsia="zh-CN"/>
        </w:rPr>
        <w:t>，</w:t>
      </w:r>
      <w:r>
        <w:rPr>
          <w:rFonts w:hint="eastAsia" w:ascii="宋体" w:hAnsi="宋体" w:cs="宋体"/>
          <w:bCs/>
          <w:sz w:val="24"/>
          <w:highlight w:val="none"/>
        </w:rPr>
        <w:t>不得擅自中止采购活动。招标采购单位认为评标委员会评标结果不合法的</w:t>
      </w:r>
      <w:r>
        <w:rPr>
          <w:rFonts w:hint="eastAsia" w:ascii="宋体" w:hAnsi="宋体" w:cs="宋体"/>
          <w:bCs/>
          <w:sz w:val="24"/>
          <w:highlight w:val="none"/>
          <w:lang w:eastAsia="zh-CN"/>
        </w:rPr>
        <w:t>，</w:t>
      </w:r>
      <w:r>
        <w:rPr>
          <w:rFonts w:hint="eastAsia" w:ascii="宋体" w:hAnsi="宋体" w:cs="宋体"/>
          <w:bCs/>
          <w:sz w:val="24"/>
          <w:highlight w:val="none"/>
        </w:rPr>
        <w:t>应当书面报告采购项目同级财政部门依法处理。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3.11.2</w:t>
      </w:r>
      <w:r>
        <w:rPr>
          <w:rFonts w:hint="eastAsia" w:ascii="宋体" w:hAnsi="宋体" w:cs="宋体"/>
          <w:bCs/>
          <w:sz w:val="24"/>
          <w:highlight w:val="none"/>
          <w:lang w:val="en-US" w:eastAsia="zh-CN"/>
        </w:rPr>
        <w:t xml:space="preserve"> </w:t>
      </w:r>
      <w:r>
        <w:rPr>
          <w:rFonts w:hint="eastAsia" w:ascii="宋体" w:hAnsi="宋体" w:cs="宋体"/>
          <w:bCs/>
          <w:sz w:val="24"/>
          <w:highlight w:val="none"/>
        </w:rPr>
        <w:t>有下列情形之一的</w:t>
      </w:r>
      <w:r>
        <w:rPr>
          <w:rFonts w:hint="eastAsia" w:ascii="宋体" w:hAnsi="宋体" w:cs="宋体"/>
          <w:bCs/>
          <w:sz w:val="24"/>
          <w:highlight w:val="none"/>
          <w:lang w:eastAsia="zh-CN"/>
        </w:rPr>
        <w:t>，</w:t>
      </w:r>
      <w:r>
        <w:rPr>
          <w:rFonts w:hint="eastAsia" w:ascii="宋体" w:hAnsi="宋体" w:cs="宋体"/>
          <w:bCs/>
          <w:sz w:val="24"/>
          <w:highlight w:val="none"/>
        </w:rPr>
        <w:t>不得修改评标结果或者重新评标：</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（一）评标委员会已经出具评标报告并且离开评标现场的；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（二）招标采购单位现场复核时</w:t>
      </w:r>
      <w:r>
        <w:rPr>
          <w:rFonts w:hint="eastAsia" w:ascii="宋体" w:hAnsi="宋体" w:cs="宋体"/>
          <w:bCs/>
          <w:sz w:val="24"/>
          <w:highlight w:val="none"/>
          <w:lang w:eastAsia="zh-CN"/>
        </w:rPr>
        <w:t>，</w:t>
      </w:r>
      <w:r>
        <w:rPr>
          <w:rFonts w:hint="eastAsia" w:ascii="宋体" w:hAnsi="宋体" w:cs="宋体"/>
          <w:bCs/>
          <w:sz w:val="24"/>
          <w:highlight w:val="none"/>
        </w:rPr>
        <w:t>复核工作人员数量不足的；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（三）招标采购单位现场复核时</w:t>
      </w:r>
      <w:r>
        <w:rPr>
          <w:rFonts w:hint="eastAsia" w:ascii="宋体" w:hAnsi="宋体" w:cs="宋体"/>
          <w:bCs/>
          <w:sz w:val="24"/>
          <w:highlight w:val="none"/>
          <w:lang w:eastAsia="zh-CN"/>
        </w:rPr>
        <w:t>，</w:t>
      </w:r>
      <w:r>
        <w:rPr>
          <w:rFonts w:hint="eastAsia" w:ascii="宋体" w:hAnsi="宋体" w:cs="宋体"/>
          <w:bCs/>
          <w:sz w:val="24"/>
          <w:highlight w:val="none"/>
        </w:rPr>
        <w:t>没有采购监督人员现场监督的；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（四）招标采购单位现场复核内容超出规定范围的；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（五）招标采购单位未提供书面建议的。</w:t>
      </w:r>
    </w:p>
    <w:p>
      <w:pPr>
        <w:adjustRightInd w:val="0"/>
        <w:snapToGrid w:val="0"/>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4．评标细则及标准</w:t>
      </w:r>
      <w:bookmarkEnd w:id="345"/>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4.1</w:t>
      </w:r>
      <w:r>
        <w:rPr>
          <w:rFonts w:hint="eastAsia" w:ascii="宋体" w:hAnsi="宋体" w:cs="宋体"/>
          <w:bCs/>
          <w:sz w:val="24"/>
          <w:highlight w:val="none"/>
          <w:lang w:val="en-US" w:eastAsia="zh-CN"/>
        </w:rPr>
        <w:t xml:space="preserve"> </w:t>
      </w:r>
      <w:r>
        <w:rPr>
          <w:rFonts w:hint="eastAsia" w:ascii="宋体" w:hAnsi="宋体" w:cs="宋体"/>
          <w:bCs/>
          <w:sz w:val="24"/>
          <w:highlight w:val="none"/>
        </w:rPr>
        <w:t>本次综合评分的因素是：详见综合评分明细表。</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4.2 评标委员会成员应当根据自身专业情况对每个有效投标供应商的投标文件进行独立评分</w:t>
      </w:r>
      <w:r>
        <w:rPr>
          <w:rFonts w:hint="eastAsia" w:ascii="宋体" w:hAnsi="宋体" w:cs="宋体"/>
          <w:bCs/>
          <w:sz w:val="24"/>
          <w:highlight w:val="none"/>
          <w:lang w:eastAsia="zh-CN"/>
        </w:rPr>
        <w:t>，</w:t>
      </w:r>
      <w:r>
        <w:rPr>
          <w:rFonts w:hint="eastAsia" w:ascii="宋体" w:hAnsi="宋体" w:cs="宋体"/>
          <w:bCs/>
          <w:sz w:val="24"/>
          <w:highlight w:val="none"/>
        </w:rPr>
        <w:t>加权汇总每项评分因素的得分</w:t>
      </w:r>
      <w:r>
        <w:rPr>
          <w:rFonts w:hint="eastAsia" w:ascii="宋体" w:hAnsi="宋体" w:cs="宋体"/>
          <w:bCs/>
          <w:sz w:val="24"/>
          <w:highlight w:val="none"/>
          <w:lang w:eastAsia="zh-CN"/>
        </w:rPr>
        <w:t>，</w:t>
      </w:r>
      <w:r>
        <w:rPr>
          <w:rFonts w:hint="eastAsia" w:ascii="宋体" w:hAnsi="宋体" w:cs="宋体"/>
          <w:bCs/>
          <w:sz w:val="24"/>
          <w:highlight w:val="none"/>
        </w:rPr>
        <w:t>得出每个有效投标供应商的总分。采购人代表原则上对技术类评分因素独立评分。其他不能明确区分的评分因素由评标委员会成员共同评分。</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4.3</w:t>
      </w:r>
      <w:r>
        <w:rPr>
          <w:rFonts w:hint="eastAsia" w:ascii="宋体" w:hAnsi="宋体" w:cs="宋体"/>
          <w:bCs/>
          <w:sz w:val="24"/>
          <w:highlight w:val="none"/>
          <w:lang w:val="en-US" w:eastAsia="zh-CN"/>
        </w:rPr>
        <w:t xml:space="preserve"> </w:t>
      </w:r>
      <w:r>
        <w:rPr>
          <w:rFonts w:hint="eastAsia" w:ascii="宋体" w:hAnsi="宋体" w:cs="宋体"/>
          <w:bCs/>
          <w:sz w:val="24"/>
          <w:highlight w:val="none"/>
        </w:rPr>
        <w:t>综合评分明细表：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576"/>
        <w:gridCol w:w="918"/>
        <w:gridCol w:w="530"/>
        <w:gridCol w:w="4814"/>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bookmarkStart w:id="346" w:name="_Toc217446060"/>
            <w:r>
              <w:rPr>
                <w:rFonts w:hint="eastAsia" w:ascii="宋体" w:hAnsi="宋体" w:eastAsia="宋体" w:cs="宋体"/>
                <w:sz w:val="24"/>
                <w:szCs w:val="24"/>
                <w:lang w:bidi="ar"/>
              </w:rPr>
              <w:t>序号</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评分因素及权重</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分 值</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28"/>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评分标准</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bidi="ar"/>
              </w:rPr>
              <w:t>1</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报价10%</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10分</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bidi="ar"/>
              </w:rPr>
              <w:t>1、以满足招标文件要求且投标价格最低的投标报价为评标基准价，其价格分为满分。其他投标人的价格分统一按照下列公式计算：投标报价得分=(评标基准价／投标报价)×10%×100；</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bidi="ar"/>
              </w:rPr>
              <w:t>注：结果保留两位小数</w:t>
            </w:r>
            <w:r>
              <w:rPr>
                <w:rFonts w:hint="eastAsia" w:ascii="宋体" w:hAnsi="宋体" w:eastAsia="宋体" w:cs="宋体"/>
                <w:kern w:val="0"/>
                <w:sz w:val="24"/>
                <w:szCs w:val="24"/>
                <w:lang w:eastAsia="zh-CN" w:bidi="ar"/>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2</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lang w:bidi="ar"/>
              </w:rPr>
              <w:t>服务方案5</w:t>
            </w:r>
            <w:r>
              <w:rPr>
                <w:rFonts w:hint="eastAsia" w:ascii="宋体" w:hAnsi="宋体" w:eastAsia="宋体" w:cs="宋体"/>
                <w:sz w:val="24"/>
                <w:szCs w:val="24"/>
                <w:lang w:val="en-US" w:eastAsia="zh-CN" w:bidi="ar"/>
              </w:rPr>
              <w:t>9</w:t>
            </w:r>
            <w:r>
              <w:rPr>
                <w:rFonts w:hint="eastAsia" w:ascii="宋体" w:hAnsi="宋体" w:eastAsia="宋体" w:cs="宋体"/>
                <w:sz w:val="24"/>
                <w:szCs w:val="24"/>
                <w:lang w:bidi="ar"/>
              </w:rPr>
              <w:t>%</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项目整体分析12%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12分</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bidi="ar"/>
              </w:rPr>
              <w:t>根据对投标人</w:t>
            </w:r>
            <w:r>
              <w:rPr>
                <w:rFonts w:hint="eastAsia" w:ascii="宋体" w:hAnsi="宋体" w:eastAsia="宋体" w:cs="宋体"/>
                <w:color w:val="000000"/>
                <w:sz w:val="24"/>
                <w:szCs w:val="24"/>
                <w:lang w:bidi="ar"/>
              </w:rPr>
              <w:t>针对本项目的</w:t>
            </w:r>
            <w:r>
              <w:rPr>
                <w:rFonts w:hint="eastAsia" w:ascii="宋体" w:hAnsi="宋体" w:eastAsia="宋体" w:cs="宋体"/>
                <w:sz w:val="24"/>
                <w:szCs w:val="24"/>
                <w:lang w:bidi="ar"/>
              </w:rPr>
              <w:t>项目整体分析</w:t>
            </w:r>
            <w:r>
              <w:rPr>
                <w:rFonts w:hint="eastAsia" w:ascii="宋体" w:hAnsi="宋体" w:eastAsia="宋体" w:cs="宋体"/>
                <w:sz w:val="24"/>
                <w:szCs w:val="24"/>
                <w:lang w:val="en-US" w:eastAsia="zh-CN" w:bidi="ar"/>
              </w:rPr>
              <w:t>包含：</w:t>
            </w:r>
            <w:r>
              <w:rPr>
                <w:rFonts w:hint="eastAsia" w:ascii="宋体" w:hAnsi="宋体" w:eastAsia="宋体" w:cs="宋体"/>
                <w:color w:val="000000"/>
                <w:sz w:val="24"/>
                <w:szCs w:val="24"/>
                <w:lang w:bidi="ar"/>
              </w:rPr>
              <w:t>①整体设想策划②现场情况描述③现状重难点分析</w:t>
            </w:r>
            <w:r>
              <w:rPr>
                <w:rFonts w:hint="eastAsia" w:ascii="宋体" w:hAnsi="宋体" w:eastAsia="宋体" w:cs="宋体"/>
                <w:color w:val="000000"/>
                <w:sz w:val="24"/>
                <w:szCs w:val="24"/>
                <w:lang w:val="en-US" w:eastAsia="zh-CN" w:bidi="ar"/>
              </w:rPr>
              <w:t>及</w:t>
            </w:r>
            <w:r>
              <w:rPr>
                <w:rFonts w:hint="eastAsia" w:ascii="宋体" w:hAnsi="宋体" w:eastAsia="宋体" w:cs="宋体"/>
                <w:color w:val="000000"/>
                <w:sz w:val="24"/>
                <w:szCs w:val="24"/>
                <w:lang w:bidi="ar"/>
              </w:rPr>
              <w:t>应对措施</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进行综合评分</w:t>
            </w:r>
            <w:r>
              <w:rPr>
                <w:rFonts w:hint="eastAsia" w:ascii="宋体" w:hAnsi="宋体" w:eastAsia="宋体" w:cs="宋体"/>
                <w:color w:val="000000"/>
                <w:sz w:val="24"/>
                <w:szCs w:val="24"/>
                <w:lang w:eastAsia="zh-CN" w:bidi="ar"/>
              </w:rPr>
              <w:t>。</w:t>
            </w:r>
            <w:r>
              <w:rPr>
                <w:rFonts w:hint="eastAsia" w:ascii="宋体" w:hAnsi="宋体" w:eastAsia="宋体" w:cs="宋体"/>
                <w:bCs/>
                <w:color w:val="auto"/>
                <w:sz w:val="24"/>
                <w:szCs w:val="24"/>
                <w:highlight w:val="none"/>
              </w:rPr>
              <w:t>方案完整、完全满足项目需求、内容无错误或无缺陷的得</w:t>
            </w: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分。每缺少一项内容扣</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分，每有一项内容</w:t>
            </w:r>
            <w:r>
              <w:rPr>
                <w:rFonts w:hint="eastAsia" w:ascii="宋体" w:hAnsi="宋体" w:eastAsia="宋体" w:cs="宋体"/>
                <w:bCs/>
                <w:color w:val="auto"/>
                <w:sz w:val="24"/>
                <w:szCs w:val="24"/>
                <w:highlight w:val="none"/>
                <w:lang w:val="en-US" w:eastAsia="zh-CN"/>
              </w:rPr>
              <w:t>有</w:t>
            </w:r>
            <w:r>
              <w:rPr>
                <w:rFonts w:hint="eastAsia" w:ascii="宋体" w:hAnsi="宋体" w:eastAsia="宋体" w:cs="宋体"/>
                <w:bCs/>
                <w:color w:val="auto"/>
                <w:sz w:val="24"/>
                <w:szCs w:val="24"/>
                <w:highlight w:val="none"/>
              </w:rPr>
              <w:t>缺陷或每有一项内容不满足项目需求或每有一项内容错误</w:t>
            </w:r>
            <w:r>
              <w:rPr>
                <w:rFonts w:hint="eastAsia" w:ascii="宋体" w:hAnsi="宋体" w:eastAsia="宋体" w:cs="宋体"/>
                <w:sz w:val="24"/>
                <w:szCs w:val="24"/>
                <w:highlight w:val="none"/>
              </w:rPr>
              <w:t>（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w:t>
            </w:r>
            <w:r>
              <w:rPr>
                <w:rFonts w:hint="eastAsia" w:ascii="宋体" w:hAnsi="宋体" w:eastAsia="宋体" w:cs="宋体"/>
                <w:bCs/>
                <w:color w:val="auto"/>
                <w:sz w:val="24"/>
                <w:szCs w:val="24"/>
                <w:highlight w:val="none"/>
              </w:rPr>
              <w:t>的扣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分。扣完为止。</w:t>
            </w:r>
          </w:p>
        </w:tc>
        <w:tc>
          <w:tcPr>
            <w:tcW w:w="10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实施</w:t>
            </w:r>
            <w:r>
              <w:rPr>
                <w:rFonts w:hint="eastAsia" w:ascii="宋体" w:hAnsi="宋体" w:eastAsia="宋体" w:cs="宋体"/>
                <w:sz w:val="24"/>
                <w:szCs w:val="24"/>
                <w:lang w:bidi="ar"/>
              </w:rPr>
              <w:t>方案2</w:t>
            </w: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分</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根据对投标人</w:t>
            </w:r>
            <w:r>
              <w:rPr>
                <w:rFonts w:hint="eastAsia" w:ascii="宋体" w:hAnsi="宋体" w:eastAsia="宋体" w:cs="宋体"/>
                <w:color w:val="000000"/>
                <w:sz w:val="24"/>
                <w:szCs w:val="24"/>
                <w:lang w:bidi="ar"/>
              </w:rPr>
              <w:t>针对本项目的</w:t>
            </w:r>
            <w:r>
              <w:rPr>
                <w:rFonts w:hint="eastAsia" w:ascii="宋体" w:hAnsi="宋体" w:eastAsia="宋体" w:cs="宋体"/>
                <w:sz w:val="24"/>
                <w:szCs w:val="24"/>
                <w:lang w:val="en-US" w:eastAsia="zh-CN" w:bidi="ar"/>
              </w:rPr>
              <w:t>实施</w:t>
            </w:r>
            <w:r>
              <w:rPr>
                <w:rFonts w:hint="eastAsia" w:ascii="宋体" w:hAnsi="宋体" w:eastAsia="宋体" w:cs="宋体"/>
                <w:sz w:val="24"/>
                <w:szCs w:val="24"/>
                <w:lang w:bidi="ar"/>
              </w:rPr>
              <w:t>方案</w:t>
            </w:r>
            <w:r>
              <w:rPr>
                <w:rFonts w:hint="eastAsia" w:ascii="宋体" w:hAnsi="宋体" w:eastAsia="宋体" w:cs="宋体"/>
                <w:kern w:val="0"/>
                <w:sz w:val="24"/>
                <w:szCs w:val="24"/>
                <w:lang w:bidi="ar"/>
              </w:rPr>
              <w:t>包</w:t>
            </w:r>
            <w:r>
              <w:rPr>
                <w:rFonts w:hint="eastAsia" w:ascii="宋体" w:hAnsi="宋体" w:eastAsia="宋体" w:cs="宋体"/>
                <w:kern w:val="0"/>
                <w:sz w:val="24"/>
                <w:szCs w:val="24"/>
                <w:lang w:val="en-US" w:eastAsia="zh-CN" w:bidi="ar"/>
              </w:rPr>
              <w:t>含：</w:t>
            </w:r>
            <w:r>
              <w:rPr>
                <w:rFonts w:hint="eastAsia" w:ascii="宋体" w:hAnsi="宋体" w:eastAsia="宋体" w:cs="宋体"/>
                <w:kern w:val="0"/>
                <w:sz w:val="24"/>
                <w:szCs w:val="24"/>
                <w:lang w:bidi="ar"/>
              </w:rPr>
              <w:t>①</w:t>
            </w:r>
            <w:r>
              <w:rPr>
                <w:rFonts w:hint="eastAsia" w:ascii="宋体" w:hAnsi="宋体" w:eastAsia="宋体" w:cs="宋体"/>
                <w:color w:val="auto"/>
                <w:kern w:val="2"/>
                <w:sz w:val="24"/>
                <w:szCs w:val="24"/>
                <w:highlight w:val="none"/>
                <w:lang w:val="en-US" w:eastAsia="zh-CN" w:bidi="ar-SA"/>
              </w:rPr>
              <w:t>市政道路及其附属设施</w:t>
            </w:r>
            <w:r>
              <w:rPr>
                <w:rFonts w:hint="eastAsia" w:ascii="宋体" w:hAnsi="宋体" w:eastAsia="宋体" w:cs="宋体"/>
                <w:kern w:val="0"/>
                <w:sz w:val="24"/>
                <w:szCs w:val="24"/>
                <w:lang w:bidi="ar"/>
              </w:rPr>
              <w:t>②</w:t>
            </w:r>
            <w:r>
              <w:rPr>
                <w:rFonts w:hint="eastAsia" w:ascii="宋体" w:hAnsi="宋体" w:eastAsia="宋体" w:cs="宋体"/>
                <w:color w:val="auto"/>
                <w:kern w:val="2"/>
                <w:sz w:val="24"/>
                <w:szCs w:val="24"/>
                <w:highlight w:val="none"/>
                <w:lang w:val="en-US" w:eastAsia="zh-CN" w:bidi="ar-SA"/>
              </w:rPr>
              <w:t>市政</w:t>
            </w:r>
            <w:r>
              <w:rPr>
                <w:rFonts w:hint="eastAsia" w:ascii="宋体" w:hAnsi="宋体" w:eastAsia="宋体" w:cs="宋体"/>
                <w:kern w:val="0"/>
                <w:sz w:val="24"/>
                <w:szCs w:val="24"/>
                <w:lang w:eastAsia="zh-CN" w:bidi="ar"/>
              </w:rPr>
              <w:t>照明设施及其配套设施</w:t>
            </w:r>
            <w:r>
              <w:rPr>
                <w:rFonts w:hint="eastAsia" w:ascii="宋体" w:hAnsi="宋体" w:eastAsia="宋体" w:cs="宋体"/>
                <w:kern w:val="0"/>
                <w:sz w:val="24"/>
                <w:szCs w:val="24"/>
                <w:lang w:bidi="ar"/>
              </w:rPr>
              <w:t>③</w:t>
            </w:r>
            <w:r>
              <w:rPr>
                <w:rFonts w:hint="eastAsia" w:ascii="宋体" w:hAnsi="宋体" w:eastAsia="宋体" w:cs="宋体"/>
                <w:kern w:val="0"/>
                <w:sz w:val="24"/>
                <w:szCs w:val="24"/>
                <w:lang w:val="en-US" w:eastAsia="zh-CN" w:bidi="ar"/>
              </w:rPr>
              <w:t>桥梁设施</w:t>
            </w:r>
            <w:r>
              <w:rPr>
                <w:rFonts w:hint="eastAsia" w:ascii="宋体" w:hAnsi="宋体" w:eastAsia="宋体" w:cs="宋体"/>
                <w:color w:val="auto"/>
                <w:kern w:val="2"/>
                <w:sz w:val="24"/>
                <w:szCs w:val="24"/>
                <w:highlight w:val="none"/>
                <w:lang w:val="en-US" w:eastAsia="zh-CN" w:bidi="ar-SA"/>
              </w:rPr>
              <w:t>的的日常巡查管护、维修维护工作</w:t>
            </w:r>
            <w:r>
              <w:rPr>
                <w:rFonts w:hint="eastAsia" w:ascii="宋体" w:hAnsi="宋体" w:eastAsia="宋体" w:cs="宋体"/>
                <w:kern w:val="0"/>
                <w:sz w:val="24"/>
                <w:szCs w:val="24"/>
                <w:lang w:eastAsia="zh-CN" w:bidi="ar"/>
              </w:rPr>
              <w:t>。</w:t>
            </w:r>
            <w:r>
              <w:rPr>
                <w:rFonts w:hint="eastAsia" w:ascii="宋体" w:hAnsi="宋体" w:eastAsia="宋体" w:cs="宋体"/>
                <w:color w:val="000000"/>
                <w:sz w:val="24"/>
                <w:szCs w:val="24"/>
                <w:lang w:bidi="ar"/>
              </w:rPr>
              <w:t>进行综合评分</w:t>
            </w:r>
            <w:r>
              <w:rPr>
                <w:rFonts w:hint="eastAsia" w:ascii="宋体" w:hAnsi="宋体" w:eastAsia="宋体" w:cs="宋体"/>
                <w:color w:val="000000"/>
                <w:sz w:val="24"/>
                <w:szCs w:val="24"/>
                <w:lang w:eastAsia="zh-CN" w:bidi="ar"/>
              </w:rPr>
              <w:t>。</w:t>
            </w:r>
            <w:r>
              <w:rPr>
                <w:rFonts w:hint="eastAsia" w:ascii="宋体" w:hAnsi="宋体" w:eastAsia="宋体" w:cs="宋体"/>
                <w:bCs/>
                <w:color w:val="auto"/>
                <w:sz w:val="24"/>
                <w:szCs w:val="24"/>
                <w:highlight w:val="none"/>
              </w:rPr>
              <w:t>方案完整、完全满足项目需求、内容无错误或无缺陷的得</w:t>
            </w:r>
            <w:r>
              <w:rPr>
                <w:rFonts w:hint="eastAsia" w:ascii="宋体" w:hAnsi="宋体" w:eastAsia="宋体" w:cs="宋体"/>
                <w:bCs/>
                <w:color w:val="auto"/>
                <w:sz w:val="24"/>
                <w:szCs w:val="24"/>
                <w:highlight w:val="none"/>
                <w:lang w:val="en-US" w:eastAsia="zh-CN"/>
              </w:rPr>
              <w:t>27</w:t>
            </w:r>
            <w:r>
              <w:rPr>
                <w:rFonts w:hint="eastAsia" w:ascii="宋体" w:hAnsi="宋体" w:eastAsia="宋体" w:cs="宋体"/>
                <w:bCs/>
                <w:color w:val="auto"/>
                <w:sz w:val="24"/>
                <w:szCs w:val="24"/>
                <w:highlight w:val="none"/>
              </w:rPr>
              <w:t>分。每缺少一项内容扣</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分，每有一项内容</w:t>
            </w:r>
            <w:r>
              <w:rPr>
                <w:rFonts w:hint="eastAsia" w:ascii="宋体" w:hAnsi="宋体" w:eastAsia="宋体" w:cs="宋体"/>
                <w:bCs/>
                <w:color w:val="auto"/>
                <w:sz w:val="24"/>
                <w:szCs w:val="24"/>
                <w:highlight w:val="none"/>
                <w:lang w:val="en-US" w:eastAsia="zh-CN"/>
              </w:rPr>
              <w:t>有</w:t>
            </w:r>
            <w:r>
              <w:rPr>
                <w:rFonts w:hint="eastAsia" w:ascii="宋体" w:hAnsi="宋体" w:eastAsia="宋体" w:cs="宋体"/>
                <w:bCs/>
                <w:color w:val="auto"/>
                <w:sz w:val="24"/>
                <w:szCs w:val="24"/>
                <w:highlight w:val="none"/>
              </w:rPr>
              <w:t>缺陷或每有一项内容不满足项目需求或每有一项内容错误</w:t>
            </w:r>
            <w:r>
              <w:rPr>
                <w:rFonts w:hint="eastAsia" w:ascii="宋体" w:hAnsi="宋体" w:eastAsia="宋体" w:cs="宋体"/>
                <w:sz w:val="24"/>
                <w:szCs w:val="24"/>
                <w:highlight w:val="none"/>
              </w:rPr>
              <w:t>（内容错误或有缺陷是指： 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w:t>
            </w:r>
            <w:r>
              <w:rPr>
                <w:rFonts w:hint="eastAsia" w:ascii="宋体" w:hAnsi="宋体" w:eastAsia="宋体" w:cs="宋体"/>
                <w:bCs/>
                <w:color w:val="auto"/>
                <w:sz w:val="24"/>
                <w:szCs w:val="24"/>
                <w:highlight w:val="none"/>
              </w:rPr>
              <w:t>的扣</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分。扣完为止。</w:t>
            </w: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质量控制方案6%</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6分</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根据对投标人</w:t>
            </w:r>
            <w:r>
              <w:rPr>
                <w:rFonts w:hint="eastAsia" w:ascii="宋体" w:hAnsi="宋体" w:eastAsia="宋体" w:cs="宋体"/>
                <w:color w:val="000000"/>
                <w:sz w:val="24"/>
                <w:szCs w:val="24"/>
                <w:lang w:bidi="ar"/>
              </w:rPr>
              <w:t>针对本项目的质量控制方案</w:t>
            </w:r>
            <w:r>
              <w:rPr>
                <w:rFonts w:hint="eastAsia" w:ascii="宋体" w:hAnsi="宋体" w:eastAsia="宋体" w:cs="宋体"/>
                <w:kern w:val="0"/>
                <w:sz w:val="24"/>
                <w:szCs w:val="24"/>
                <w:lang w:bidi="ar"/>
              </w:rPr>
              <w:t>包</w:t>
            </w:r>
            <w:r>
              <w:rPr>
                <w:rFonts w:hint="eastAsia" w:ascii="宋体" w:hAnsi="宋体" w:eastAsia="宋体" w:cs="宋体"/>
                <w:kern w:val="0"/>
                <w:sz w:val="24"/>
                <w:szCs w:val="24"/>
                <w:lang w:val="en-US" w:eastAsia="zh-CN" w:bidi="ar"/>
              </w:rPr>
              <w:t>含：</w:t>
            </w:r>
            <w:r>
              <w:rPr>
                <w:rFonts w:hint="eastAsia" w:ascii="宋体" w:hAnsi="宋体" w:eastAsia="宋体" w:cs="宋体"/>
                <w:sz w:val="24"/>
                <w:szCs w:val="24"/>
                <w:lang w:bidi="ar"/>
              </w:rPr>
              <w:t>①质量控制目标②</w:t>
            </w:r>
            <w:r>
              <w:rPr>
                <w:rFonts w:hint="eastAsia" w:ascii="宋体" w:hAnsi="宋体" w:eastAsia="宋体" w:cs="宋体"/>
                <w:sz w:val="24"/>
                <w:szCs w:val="24"/>
                <w:lang w:val="en-US" w:eastAsia="zh-CN" w:bidi="ar"/>
              </w:rPr>
              <w:t>巡查管护</w:t>
            </w:r>
            <w:r>
              <w:rPr>
                <w:rFonts w:hint="eastAsia" w:ascii="宋体" w:hAnsi="宋体" w:eastAsia="宋体" w:cs="宋体"/>
                <w:sz w:val="24"/>
                <w:szCs w:val="24"/>
                <w:lang w:bidi="ar"/>
              </w:rPr>
              <w:t>质量控制措施</w:t>
            </w:r>
            <w:r>
              <w:rPr>
                <w:rFonts w:hint="eastAsia" w:ascii="宋体" w:hAnsi="宋体" w:eastAsia="宋体" w:cs="宋体"/>
                <w:sz w:val="24"/>
                <w:szCs w:val="24"/>
                <w:lang w:eastAsia="zh-CN" w:bidi="ar"/>
              </w:rPr>
              <w:t>。</w:t>
            </w:r>
            <w:r>
              <w:rPr>
                <w:rFonts w:hint="eastAsia" w:ascii="宋体" w:hAnsi="宋体" w:eastAsia="宋体" w:cs="宋体"/>
                <w:color w:val="000000"/>
                <w:sz w:val="24"/>
                <w:szCs w:val="24"/>
                <w:lang w:bidi="ar"/>
              </w:rPr>
              <w:t>进行综合评分</w:t>
            </w:r>
            <w:r>
              <w:rPr>
                <w:rFonts w:hint="eastAsia" w:ascii="宋体" w:hAnsi="宋体" w:eastAsia="宋体" w:cs="宋体"/>
                <w:color w:val="000000"/>
                <w:sz w:val="24"/>
                <w:szCs w:val="24"/>
                <w:lang w:eastAsia="zh-CN" w:bidi="ar"/>
              </w:rPr>
              <w:t>。</w:t>
            </w:r>
            <w:r>
              <w:rPr>
                <w:rFonts w:hint="eastAsia" w:ascii="宋体" w:hAnsi="宋体" w:eastAsia="宋体" w:cs="宋体"/>
                <w:bCs/>
                <w:color w:val="auto"/>
                <w:sz w:val="24"/>
                <w:szCs w:val="24"/>
                <w:highlight w:val="none"/>
              </w:rPr>
              <w:t>方案完整、完全满足项目需求、内容无错误或无缺陷的得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分。每缺少一项内容扣</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分，每有一项内容</w:t>
            </w:r>
            <w:r>
              <w:rPr>
                <w:rFonts w:hint="eastAsia" w:ascii="宋体" w:hAnsi="宋体" w:eastAsia="宋体" w:cs="宋体"/>
                <w:bCs/>
                <w:color w:val="auto"/>
                <w:sz w:val="24"/>
                <w:szCs w:val="24"/>
                <w:highlight w:val="none"/>
                <w:lang w:val="en-US" w:eastAsia="zh-CN"/>
              </w:rPr>
              <w:t>有</w:t>
            </w:r>
            <w:r>
              <w:rPr>
                <w:rFonts w:hint="eastAsia" w:ascii="宋体" w:hAnsi="宋体" w:eastAsia="宋体" w:cs="宋体"/>
                <w:bCs/>
                <w:color w:val="auto"/>
                <w:sz w:val="24"/>
                <w:szCs w:val="24"/>
                <w:highlight w:val="none"/>
              </w:rPr>
              <w:t>缺陷或每有一项内容不满足项目需求或每有一项内容错误</w:t>
            </w:r>
            <w:r>
              <w:rPr>
                <w:rFonts w:hint="eastAsia" w:ascii="宋体" w:hAnsi="宋体" w:eastAsia="宋体" w:cs="宋体"/>
                <w:sz w:val="24"/>
                <w:szCs w:val="24"/>
                <w:highlight w:val="none"/>
              </w:rPr>
              <w:t>（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w:t>
            </w:r>
            <w:r>
              <w:rPr>
                <w:rFonts w:hint="eastAsia" w:ascii="宋体" w:hAnsi="宋体" w:eastAsia="宋体" w:cs="宋体"/>
                <w:bCs/>
                <w:color w:val="auto"/>
                <w:sz w:val="24"/>
                <w:szCs w:val="24"/>
                <w:highlight w:val="none"/>
              </w:rPr>
              <w:t>的扣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分。扣完为止。</w:t>
            </w: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机构设置</w:t>
            </w:r>
            <w:r>
              <w:rPr>
                <w:rFonts w:hint="eastAsia" w:ascii="宋体" w:hAnsi="宋体" w:eastAsia="宋体" w:cs="宋体"/>
                <w:color w:val="000000"/>
                <w:sz w:val="24"/>
                <w:szCs w:val="24"/>
                <w:lang w:bidi="ar"/>
              </w:rPr>
              <w:t>方案</w:t>
            </w:r>
            <w:r>
              <w:rPr>
                <w:rFonts w:hint="eastAsia" w:ascii="宋体" w:hAnsi="宋体" w:eastAsia="宋体" w:cs="宋体"/>
                <w:sz w:val="24"/>
                <w:szCs w:val="24"/>
                <w:lang w:bidi="ar"/>
              </w:rPr>
              <w:t>6%</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6分</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根据对投标人</w:t>
            </w:r>
            <w:r>
              <w:rPr>
                <w:rFonts w:hint="eastAsia" w:ascii="宋体" w:hAnsi="宋体" w:eastAsia="宋体" w:cs="宋体"/>
                <w:color w:val="000000"/>
                <w:sz w:val="24"/>
                <w:szCs w:val="24"/>
                <w:lang w:bidi="ar"/>
              </w:rPr>
              <w:t>针对本项目的</w:t>
            </w:r>
            <w:r>
              <w:rPr>
                <w:rFonts w:hint="eastAsia" w:ascii="宋体" w:hAnsi="宋体" w:eastAsia="宋体" w:cs="宋体"/>
                <w:sz w:val="24"/>
                <w:szCs w:val="24"/>
                <w:lang w:bidi="ar"/>
              </w:rPr>
              <w:t>机构设置</w:t>
            </w:r>
            <w:r>
              <w:rPr>
                <w:rFonts w:hint="eastAsia" w:ascii="宋体" w:hAnsi="宋体" w:eastAsia="宋体" w:cs="宋体"/>
                <w:color w:val="000000"/>
                <w:sz w:val="24"/>
                <w:szCs w:val="24"/>
                <w:lang w:bidi="ar"/>
              </w:rPr>
              <w:t>方案</w:t>
            </w:r>
            <w:r>
              <w:rPr>
                <w:rFonts w:hint="eastAsia" w:ascii="宋体" w:hAnsi="宋体" w:eastAsia="宋体" w:cs="宋体"/>
                <w:kern w:val="0"/>
                <w:sz w:val="24"/>
                <w:szCs w:val="24"/>
                <w:lang w:bidi="ar"/>
              </w:rPr>
              <w:t>包</w:t>
            </w:r>
            <w:r>
              <w:rPr>
                <w:rFonts w:hint="eastAsia" w:ascii="宋体" w:hAnsi="宋体" w:eastAsia="宋体" w:cs="宋体"/>
                <w:kern w:val="0"/>
                <w:sz w:val="24"/>
                <w:szCs w:val="24"/>
                <w:lang w:val="en-US" w:eastAsia="zh-CN" w:bidi="ar"/>
              </w:rPr>
              <w:t>含：</w:t>
            </w:r>
            <w:r>
              <w:rPr>
                <w:rFonts w:hint="eastAsia" w:ascii="宋体" w:hAnsi="宋体" w:eastAsia="宋体" w:cs="宋体"/>
                <w:sz w:val="24"/>
                <w:szCs w:val="24"/>
                <w:lang w:bidi="ar"/>
              </w:rPr>
              <w:t>①机构设置②分工情况③工作机制</w:t>
            </w:r>
            <w:r>
              <w:rPr>
                <w:rFonts w:hint="eastAsia" w:ascii="宋体" w:hAnsi="宋体" w:eastAsia="宋体" w:cs="宋体"/>
                <w:sz w:val="24"/>
                <w:szCs w:val="24"/>
                <w:lang w:val="en-US" w:eastAsia="zh-CN" w:bidi="ar"/>
              </w:rPr>
              <w:t>。</w:t>
            </w:r>
            <w:r>
              <w:rPr>
                <w:rFonts w:hint="eastAsia" w:ascii="宋体" w:hAnsi="宋体" w:eastAsia="宋体" w:cs="宋体"/>
                <w:color w:val="000000"/>
                <w:sz w:val="24"/>
                <w:szCs w:val="24"/>
                <w:lang w:bidi="ar"/>
              </w:rPr>
              <w:t>进行综合评分</w:t>
            </w:r>
            <w:r>
              <w:rPr>
                <w:rFonts w:hint="eastAsia" w:ascii="宋体" w:hAnsi="宋体" w:eastAsia="宋体" w:cs="宋体"/>
                <w:color w:val="000000"/>
                <w:sz w:val="24"/>
                <w:szCs w:val="24"/>
                <w:lang w:eastAsia="zh-CN" w:bidi="ar"/>
              </w:rPr>
              <w:t>。</w:t>
            </w:r>
            <w:r>
              <w:rPr>
                <w:rFonts w:hint="eastAsia" w:ascii="宋体" w:hAnsi="宋体" w:eastAsia="宋体" w:cs="宋体"/>
                <w:bCs/>
                <w:color w:val="auto"/>
                <w:sz w:val="24"/>
                <w:szCs w:val="24"/>
                <w:highlight w:val="none"/>
              </w:rPr>
              <w:t>方案完整、完全满足项目需求、内容无错误或无缺陷的得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分。每缺少一项内容扣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分，每有一项内容</w:t>
            </w:r>
            <w:r>
              <w:rPr>
                <w:rFonts w:hint="eastAsia" w:ascii="宋体" w:hAnsi="宋体" w:eastAsia="宋体" w:cs="宋体"/>
                <w:bCs/>
                <w:color w:val="auto"/>
                <w:sz w:val="24"/>
                <w:szCs w:val="24"/>
                <w:highlight w:val="none"/>
                <w:lang w:val="en-US" w:eastAsia="zh-CN"/>
              </w:rPr>
              <w:t>有</w:t>
            </w:r>
            <w:r>
              <w:rPr>
                <w:rFonts w:hint="eastAsia" w:ascii="宋体" w:hAnsi="宋体" w:eastAsia="宋体" w:cs="宋体"/>
                <w:bCs/>
                <w:color w:val="auto"/>
                <w:sz w:val="24"/>
                <w:szCs w:val="24"/>
                <w:highlight w:val="none"/>
              </w:rPr>
              <w:t>缺陷或每有一项内容不满足项目需求或每有一项内容错误</w:t>
            </w:r>
            <w:r>
              <w:rPr>
                <w:rFonts w:hint="eastAsia" w:ascii="宋体" w:hAnsi="宋体" w:eastAsia="宋体" w:cs="宋体"/>
                <w:sz w:val="24"/>
                <w:szCs w:val="24"/>
                <w:highlight w:val="none"/>
              </w:rPr>
              <w:t>（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w:t>
            </w:r>
            <w:r>
              <w:rPr>
                <w:rFonts w:hint="eastAsia" w:ascii="宋体" w:hAnsi="宋体" w:eastAsia="宋体" w:cs="宋体"/>
                <w:bCs/>
                <w:color w:val="auto"/>
                <w:sz w:val="24"/>
                <w:szCs w:val="24"/>
                <w:highlight w:val="none"/>
              </w:rPr>
              <w:t>的扣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分。扣完为止。</w:t>
            </w: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应急方案</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分</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根据对投标人</w:t>
            </w:r>
            <w:r>
              <w:rPr>
                <w:rFonts w:hint="eastAsia" w:ascii="宋体" w:hAnsi="宋体" w:eastAsia="宋体" w:cs="宋体"/>
                <w:color w:val="000000"/>
                <w:sz w:val="24"/>
                <w:szCs w:val="24"/>
                <w:lang w:bidi="ar"/>
              </w:rPr>
              <w:t>针对本项目的</w:t>
            </w:r>
            <w:r>
              <w:rPr>
                <w:rFonts w:hint="eastAsia" w:ascii="宋体" w:hAnsi="宋体" w:eastAsia="宋体" w:cs="宋体"/>
                <w:sz w:val="24"/>
                <w:szCs w:val="24"/>
                <w:lang w:bidi="ar"/>
              </w:rPr>
              <w:t>应急方案</w:t>
            </w:r>
            <w:r>
              <w:rPr>
                <w:rFonts w:hint="eastAsia" w:ascii="宋体" w:hAnsi="宋体" w:eastAsia="宋体" w:cs="宋体"/>
                <w:kern w:val="0"/>
                <w:sz w:val="24"/>
                <w:szCs w:val="24"/>
                <w:lang w:bidi="ar"/>
              </w:rPr>
              <w:t>包</w:t>
            </w:r>
            <w:r>
              <w:rPr>
                <w:rFonts w:hint="eastAsia" w:ascii="宋体" w:hAnsi="宋体" w:eastAsia="宋体" w:cs="宋体"/>
                <w:kern w:val="0"/>
                <w:sz w:val="24"/>
                <w:szCs w:val="24"/>
                <w:lang w:val="en-US" w:eastAsia="zh-CN" w:bidi="ar"/>
              </w:rPr>
              <w:t>含：</w:t>
            </w:r>
            <w:r>
              <w:rPr>
                <w:rFonts w:hint="eastAsia" w:ascii="宋体" w:hAnsi="宋体" w:eastAsia="宋体" w:cs="宋体"/>
                <w:sz w:val="24"/>
                <w:szCs w:val="24"/>
                <w:lang w:bidi="ar"/>
              </w:rPr>
              <w:t>①特殊天气②重大迎检活动③安全事故</w:t>
            </w:r>
            <w:r>
              <w:rPr>
                <w:rFonts w:hint="eastAsia" w:ascii="宋体" w:hAnsi="宋体" w:eastAsia="宋体" w:cs="宋体"/>
                <w:sz w:val="24"/>
                <w:szCs w:val="24"/>
                <w:lang w:eastAsia="zh-CN" w:bidi="ar"/>
              </w:rPr>
              <w:t>④</w:t>
            </w:r>
            <w:r>
              <w:rPr>
                <w:rFonts w:hint="eastAsia" w:ascii="宋体" w:hAnsi="宋体" w:eastAsia="宋体" w:cs="宋体"/>
                <w:sz w:val="24"/>
                <w:szCs w:val="24"/>
                <w:lang w:val="en-US" w:eastAsia="zh-CN" w:bidi="ar"/>
              </w:rPr>
              <w:t>疫情期间。</w:t>
            </w:r>
            <w:r>
              <w:rPr>
                <w:rFonts w:hint="eastAsia" w:ascii="宋体" w:hAnsi="宋体" w:eastAsia="宋体" w:cs="宋体"/>
                <w:color w:val="000000"/>
                <w:sz w:val="24"/>
                <w:szCs w:val="24"/>
                <w:lang w:bidi="ar"/>
              </w:rPr>
              <w:t>进行综合评分</w:t>
            </w:r>
            <w:r>
              <w:rPr>
                <w:rFonts w:hint="eastAsia" w:ascii="宋体" w:hAnsi="宋体" w:eastAsia="宋体" w:cs="宋体"/>
                <w:color w:val="000000"/>
                <w:sz w:val="24"/>
                <w:szCs w:val="24"/>
                <w:lang w:eastAsia="zh-CN" w:bidi="ar"/>
              </w:rPr>
              <w:t>。</w:t>
            </w:r>
            <w:r>
              <w:rPr>
                <w:rFonts w:hint="eastAsia" w:ascii="宋体" w:hAnsi="宋体" w:eastAsia="宋体" w:cs="宋体"/>
                <w:bCs/>
                <w:color w:val="auto"/>
                <w:sz w:val="24"/>
                <w:szCs w:val="24"/>
                <w:highlight w:val="none"/>
              </w:rPr>
              <w:t>方案完整、完全满足项目需求、内容无错误或无缺陷的得</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分。每缺少一项内容扣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分，每有一项内容</w:t>
            </w:r>
            <w:r>
              <w:rPr>
                <w:rFonts w:hint="eastAsia" w:ascii="宋体" w:hAnsi="宋体" w:eastAsia="宋体" w:cs="宋体"/>
                <w:bCs/>
                <w:color w:val="auto"/>
                <w:sz w:val="24"/>
                <w:szCs w:val="24"/>
                <w:highlight w:val="none"/>
                <w:lang w:val="en-US" w:eastAsia="zh-CN"/>
              </w:rPr>
              <w:t>有</w:t>
            </w:r>
            <w:r>
              <w:rPr>
                <w:rFonts w:hint="eastAsia" w:ascii="宋体" w:hAnsi="宋体" w:eastAsia="宋体" w:cs="宋体"/>
                <w:bCs/>
                <w:color w:val="auto"/>
                <w:sz w:val="24"/>
                <w:szCs w:val="24"/>
                <w:highlight w:val="none"/>
              </w:rPr>
              <w:t>缺陷或每有一项内容不满足项目需求或每有一项内容错误</w:t>
            </w:r>
            <w:r>
              <w:rPr>
                <w:rFonts w:hint="eastAsia" w:ascii="宋体" w:hAnsi="宋体" w:eastAsia="宋体" w:cs="宋体"/>
                <w:sz w:val="24"/>
                <w:szCs w:val="24"/>
                <w:highlight w:val="none"/>
              </w:rPr>
              <w:t>（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w:t>
            </w:r>
            <w:r>
              <w:rPr>
                <w:rFonts w:hint="eastAsia" w:ascii="宋体" w:hAnsi="宋体" w:eastAsia="宋体" w:cs="宋体"/>
                <w:bCs/>
                <w:color w:val="auto"/>
                <w:sz w:val="24"/>
                <w:szCs w:val="24"/>
                <w:highlight w:val="none"/>
              </w:rPr>
              <w:t>的扣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分。扣完为止。</w:t>
            </w: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bidi="ar"/>
              </w:rPr>
              <w:t>3</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人员配置</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bidi="ar"/>
              </w:rPr>
              <w:t>10%</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根据投标人提供的人员配备情况进行综合评分</w:t>
            </w:r>
            <w:r>
              <w:rPr>
                <w:rFonts w:hint="eastAsia" w:ascii="宋体" w:hAnsi="宋体" w:eastAsia="宋体" w:cs="宋体"/>
                <w:sz w:val="24"/>
                <w:szCs w:val="24"/>
                <w:lang w:eastAsia="zh-CN"/>
              </w:rPr>
              <w:t>。</w:t>
            </w:r>
            <w:r>
              <w:rPr>
                <w:rFonts w:hint="eastAsia" w:ascii="宋体" w:hAnsi="宋体" w:eastAsia="宋体" w:cs="宋体"/>
                <w:sz w:val="24"/>
                <w:szCs w:val="24"/>
              </w:rPr>
              <w:t>在满足本项目人员配置基础上：</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highlight w:val="none"/>
              </w:rPr>
              <w:t>、每增加1</w:t>
            </w:r>
            <w:r>
              <w:rPr>
                <w:rFonts w:hint="eastAsia" w:ascii="宋体" w:hAnsi="宋体" w:eastAsia="宋体" w:cs="宋体"/>
                <w:sz w:val="24"/>
                <w:szCs w:val="24"/>
                <w:highlight w:val="none"/>
                <w:lang w:val="en-US" w:eastAsia="zh-CN"/>
              </w:rPr>
              <w:t>名市政专职</w:t>
            </w:r>
            <w:r>
              <w:rPr>
                <w:rFonts w:hint="eastAsia" w:ascii="宋体" w:hAnsi="宋体" w:eastAsia="宋体" w:cs="宋体"/>
                <w:sz w:val="24"/>
                <w:szCs w:val="24"/>
                <w:highlight w:val="none"/>
              </w:rPr>
              <w:t>巡查人员，加2分，本项最高加4分。</w:t>
            </w:r>
          </w:p>
          <w:p>
            <w:pPr>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每增加1名</w:t>
            </w:r>
            <w:r>
              <w:rPr>
                <w:rFonts w:hint="eastAsia" w:ascii="宋体" w:hAnsi="宋体" w:eastAsia="宋体" w:cs="宋体"/>
                <w:sz w:val="24"/>
                <w:szCs w:val="24"/>
                <w:highlight w:val="none"/>
                <w:lang w:val="en-US" w:eastAsia="zh-CN"/>
              </w:rPr>
              <w:t>现场</w:t>
            </w:r>
            <w:r>
              <w:rPr>
                <w:rFonts w:hint="eastAsia" w:ascii="宋体" w:hAnsi="宋体" w:eastAsia="宋体" w:cs="宋体"/>
                <w:sz w:val="24"/>
                <w:szCs w:val="24"/>
                <w:highlight w:val="none"/>
              </w:rPr>
              <w:t>技术管理人员，加</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分，本项最高加</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pPr>
              <w:pStyle w:val="2"/>
              <w:numPr>
                <w:ilvl w:val="0"/>
                <w:numId w:val="0"/>
              </w:num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每增加</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名</w:t>
            </w:r>
            <w:r>
              <w:rPr>
                <w:rFonts w:hint="eastAsia" w:ascii="宋体" w:hAnsi="宋体" w:eastAsia="宋体" w:cs="宋体"/>
                <w:sz w:val="24"/>
                <w:szCs w:val="24"/>
                <w:highlight w:val="none"/>
                <w:lang w:eastAsia="zh-CN"/>
              </w:rPr>
              <w:t>维修</w:t>
            </w:r>
            <w:r>
              <w:rPr>
                <w:rFonts w:hint="eastAsia" w:ascii="宋体" w:hAnsi="宋体" w:eastAsia="宋体" w:cs="宋体"/>
                <w:sz w:val="24"/>
                <w:szCs w:val="24"/>
                <w:highlight w:val="none"/>
              </w:rPr>
              <w:t>人员，加</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分，本项最高加</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sz w:val="24"/>
                <w:szCs w:val="24"/>
                <w:lang w:val="en-US" w:eastAsia="zh-CN"/>
              </w:rPr>
              <w:t>须</w:t>
            </w:r>
            <w:r>
              <w:rPr>
                <w:rFonts w:hint="eastAsia" w:ascii="宋体" w:hAnsi="宋体" w:eastAsia="宋体" w:cs="宋体"/>
                <w:sz w:val="24"/>
                <w:szCs w:val="24"/>
              </w:rPr>
              <w:t>提供</w:t>
            </w:r>
            <w:r>
              <w:rPr>
                <w:rFonts w:hint="eastAsia" w:ascii="宋体" w:hAnsi="宋体" w:eastAsia="宋体" w:cs="宋体"/>
                <w:sz w:val="24"/>
                <w:szCs w:val="24"/>
                <w:lang w:val="en-US" w:eastAsia="zh-CN"/>
              </w:rPr>
              <w:t>相关</w:t>
            </w:r>
            <w:r>
              <w:rPr>
                <w:rFonts w:hint="eastAsia" w:ascii="宋体" w:hAnsi="宋体" w:eastAsia="宋体" w:cs="宋体"/>
                <w:sz w:val="24"/>
                <w:szCs w:val="24"/>
              </w:rPr>
              <w:t>证明材料复印件加盖</w:t>
            </w:r>
            <w:r>
              <w:rPr>
                <w:rFonts w:hint="eastAsia" w:ascii="宋体" w:hAnsi="宋体" w:eastAsia="宋体" w:cs="宋体"/>
                <w:sz w:val="24"/>
                <w:szCs w:val="24"/>
                <w:highlight w:val="none"/>
              </w:rPr>
              <w:t>公章</w:t>
            </w:r>
            <w:r>
              <w:rPr>
                <w:rFonts w:hint="eastAsia" w:ascii="宋体" w:hAnsi="宋体" w:eastAsia="宋体" w:cs="宋体"/>
                <w:sz w:val="24"/>
                <w:szCs w:val="24"/>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top w:val="single" w:color="auto" w:sz="4" w:space="0"/>
              <w:left w:val="single" w:color="auto" w:sz="4" w:space="0"/>
              <w:right w:val="single" w:color="auto" w:sz="4" w:space="0"/>
            </w:tcBorders>
            <w:noWrap w:val="0"/>
            <w:vAlign w:val="center"/>
          </w:tcPr>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94" w:type="dxa"/>
            <w:gridSpan w:val="2"/>
            <w:tcBorders>
              <w:top w:val="single" w:color="auto" w:sz="4" w:space="0"/>
              <w:left w:val="single" w:color="auto" w:sz="4" w:space="0"/>
              <w:right w:val="single" w:color="auto" w:sz="4" w:space="0"/>
            </w:tcBorders>
            <w:noWrap w:val="0"/>
            <w:vAlign w:val="center"/>
          </w:tcPr>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机具配备</w:t>
            </w:r>
          </w:p>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9分</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rPr>
              <w:t>根据投标人提供的</w:t>
            </w:r>
            <w:r>
              <w:rPr>
                <w:rFonts w:hint="eastAsia" w:ascii="宋体" w:hAnsi="宋体" w:eastAsia="宋体" w:cs="宋体"/>
                <w:sz w:val="24"/>
                <w:szCs w:val="24"/>
                <w:lang w:val="en-US" w:eastAsia="zh-CN"/>
              </w:rPr>
              <w:t>机具配备</w:t>
            </w:r>
            <w:r>
              <w:rPr>
                <w:rFonts w:hint="eastAsia" w:ascii="宋体" w:hAnsi="宋体" w:eastAsia="宋体" w:cs="宋体"/>
                <w:sz w:val="24"/>
                <w:szCs w:val="24"/>
              </w:rPr>
              <w:t>情况进行综合评分</w:t>
            </w:r>
            <w:r>
              <w:rPr>
                <w:rFonts w:hint="eastAsia" w:ascii="宋体" w:hAnsi="宋体" w:eastAsia="宋体" w:cs="宋体"/>
                <w:sz w:val="24"/>
                <w:szCs w:val="24"/>
                <w:lang w:eastAsia="zh-CN"/>
              </w:rPr>
              <w:t>。</w:t>
            </w:r>
            <w:r>
              <w:rPr>
                <w:rFonts w:hint="eastAsia" w:ascii="宋体" w:hAnsi="宋体" w:eastAsia="宋体" w:cs="宋体"/>
                <w:sz w:val="24"/>
                <w:szCs w:val="24"/>
                <w:highlight w:val="none"/>
              </w:rPr>
              <w:t>在满足本项目</w:t>
            </w:r>
            <w:r>
              <w:rPr>
                <w:rFonts w:hint="eastAsia" w:ascii="宋体" w:hAnsi="宋体" w:eastAsia="宋体" w:cs="宋体"/>
                <w:sz w:val="24"/>
                <w:szCs w:val="24"/>
                <w:highlight w:val="none"/>
                <w:lang w:eastAsia="zh-CN"/>
              </w:rPr>
              <w:t>机具</w:t>
            </w:r>
            <w:r>
              <w:rPr>
                <w:rFonts w:hint="eastAsia" w:ascii="宋体" w:hAnsi="宋体" w:eastAsia="宋体" w:cs="宋体"/>
                <w:sz w:val="24"/>
                <w:szCs w:val="24"/>
                <w:highlight w:val="none"/>
              </w:rPr>
              <w:t>配置基础上：</w:t>
            </w:r>
          </w:p>
          <w:p>
            <w:pPr>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sz w:val="24"/>
                <w:szCs w:val="24"/>
                <w:highlight w:val="none"/>
                <w:lang w:val="en-US" w:eastAsia="zh-CN"/>
              </w:rPr>
              <w:t>1、每增加1辆皮卡车（</w:t>
            </w:r>
            <w:r>
              <w:rPr>
                <w:rFonts w:hint="eastAsia" w:ascii="宋体" w:hAnsi="宋体" w:eastAsia="宋体" w:cs="宋体"/>
                <w:b w:val="0"/>
                <w:bCs w:val="0"/>
                <w:color w:val="auto"/>
                <w:sz w:val="24"/>
                <w:szCs w:val="24"/>
                <w:lang w:val="zh-CN" w:eastAsia="zh-CN" w:bidi="zh-CN"/>
              </w:rPr>
              <w:t>核定载质量≥480KG</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，加</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分，本项最高加</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sz w:val="24"/>
                <w:szCs w:val="24"/>
                <w:highlight w:val="none"/>
                <w:lang w:val="en-US" w:eastAsia="zh-CN"/>
              </w:rPr>
              <w:t>2、每增加1辆路面切割机1台</w:t>
            </w:r>
            <w:r>
              <w:rPr>
                <w:rFonts w:hint="eastAsia" w:ascii="宋体" w:hAnsi="宋体" w:eastAsia="宋体" w:cs="宋体"/>
                <w:sz w:val="24"/>
                <w:szCs w:val="24"/>
                <w:highlight w:val="none"/>
              </w:rPr>
              <w:t>，加</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分，本项最高加</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3、每增加1辆工业吸尘器1台</w:t>
            </w:r>
            <w:r>
              <w:rPr>
                <w:rFonts w:hint="eastAsia" w:ascii="宋体" w:hAnsi="宋体" w:eastAsia="宋体" w:cs="宋体"/>
                <w:sz w:val="24"/>
                <w:szCs w:val="24"/>
                <w:highlight w:val="none"/>
              </w:rPr>
              <w:t>，加</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分，本项最高加</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pPr>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（说明：</w:t>
            </w:r>
            <w:r>
              <w:rPr>
                <w:rFonts w:hint="eastAsia" w:ascii="宋体" w:hAnsi="宋体" w:eastAsia="宋体" w:cs="宋体"/>
                <w:sz w:val="24"/>
                <w:szCs w:val="24"/>
                <w:highlight w:val="none"/>
              </w:rPr>
              <w:t>①投标人自有机具：提供购置发票复印件，并加盖公章</w:t>
            </w:r>
            <w:r>
              <w:rPr>
                <w:rFonts w:hint="eastAsia" w:ascii="宋体" w:hAnsi="宋体" w:eastAsia="宋体" w:cs="宋体"/>
                <w:sz w:val="24"/>
                <w:szCs w:val="24"/>
                <w:highlight w:val="none"/>
                <w:lang w:eastAsia="zh-CN"/>
              </w:rPr>
              <w:t>；</w:t>
            </w:r>
          </w:p>
          <w:p>
            <w:pPr>
              <w:spacing w:line="240" w:lineRule="auto"/>
              <w:rPr>
                <w:rFonts w:hint="eastAsia" w:ascii="宋体" w:hAnsi="宋体" w:eastAsia="宋体" w:cs="宋体"/>
                <w:sz w:val="24"/>
                <w:szCs w:val="24"/>
              </w:rPr>
            </w:pPr>
            <w:r>
              <w:rPr>
                <w:rFonts w:hint="eastAsia" w:ascii="宋体" w:hAnsi="宋体" w:eastAsia="宋体" w:cs="宋体"/>
                <w:sz w:val="24"/>
                <w:szCs w:val="24"/>
                <w:highlight w:val="none"/>
              </w:rPr>
              <w:t>②投标人租赁机具：提供租赁合同复印件，并加盖公章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r>
              <w:rPr>
                <w:rFonts w:hint="eastAsia" w:ascii="宋体" w:hAnsi="宋体" w:cs="宋体"/>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履约经验</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bidi="ar"/>
              </w:rPr>
              <w:t>%</w:t>
            </w: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bidi="ar"/>
              </w:rPr>
              <w:t>分</w:t>
            </w:r>
          </w:p>
        </w:tc>
        <w:tc>
          <w:tcPr>
            <w:tcW w:w="4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1.投标人提供201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月1日（含，以合同签订时间为准）以来类似项目业绩，每有1个得</w:t>
            </w:r>
            <w:r>
              <w:rPr>
                <w:rFonts w:hint="eastAsia" w:ascii="宋体" w:hAnsi="宋体" w:eastAsia="宋体" w:cs="宋体"/>
                <w:sz w:val="24"/>
                <w:szCs w:val="24"/>
                <w:lang w:val="en-US" w:eastAsia="zh-CN"/>
              </w:rPr>
              <w:t>3</w:t>
            </w:r>
            <w:r>
              <w:rPr>
                <w:rFonts w:hint="eastAsia" w:ascii="宋体" w:hAnsi="宋体" w:eastAsia="宋体" w:cs="宋体"/>
                <w:sz w:val="24"/>
                <w:szCs w:val="24"/>
              </w:rPr>
              <w:t>分，最多</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（说明：1、同一业主、同一金额、不同年份的业绩视为同一业绩；2、以上业绩提供合同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协议</w:t>
            </w:r>
            <w:r>
              <w:rPr>
                <w:rFonts w:hint="eastAsia" w:ascii="宋体" w:hAnsi="宋体" w:eastAsia="宋体" w:cs="宋体"/>
                <w:sz w:val="24"/>
                <w:szCs w:val="24"/>
                <w:lang w:eastAsia="zh-CN"/>
              </w:rPr>
              <w:t>）</w:t>
            </w:r>
            <w:r>
              <w:rPr>
                <w:rFonts w:hint="eastAsia" w:ascii="宋体" w:hAnsi="宋体" w:eastAsia="宋体" w:cs="宋体"/>
                <w:sz w:val="24"/>
                <w:szCs w:val="24"/>
              </w:rPr>
              <w:t>复印件</w:t>
            </w:r>
            <w:r>
              <w:rPr>
                <w:rFonts w:hint="eastAsia" w:ascii="宋体" w:hAnsi="宋体" w:eastAsia="宋体" w:cs="宋体"/>
                <w:sz w:val="24"/>
                <w:szCs w:val="24"/>
                <w:lang w:val="en-US" w:eastAsia="zh-CN"/>
              </w:rPr>
              <w:t>或中标（成交）通知书</w:t>
            </w:r>
            <w:r>
              <w:rPr>
                <w:rFonts w:hint="eastAsia" w:ascii="宋体" w:hAnsi="宋体" w:eastAsia="宋体" w:cs="宋体"/>
                <w:sz w:val="24"/>
                <w:szCs w:val="24"/>
              </w:rPr>
              <w:t>）</w:t>
            </w:r>
            <w:r>
              <w:rPr>
                <w:rFonts w:hint="eastAsia" w:ascii="宋体" w:hAnsi="宋体" w:eastAsia="宋体" w:cs="宋体"/>
                <w:sz w:val="24"/>
                <w:szCs w:val="24"/>
                <w:lang w:eastAsia="zh-CN"/>
              </w:rPr>
              <w:t>。</w:t>
            </w:r>
          </w:p>
          <w:p>
            <w:pPr>
              <w:pStyle w:val="2"/>
              <w:spacing w:line="240" w:lineRule="auto"/>
              <w:rPr>
                <w:rFonts w:hint="eastAsia" w:ascii="宋体" w:hAnsi="宋体" w:eastAsia="宋体" w:cs="宋体"/>
                <w:sz w:val="24"/>
                <w:szCs w:val="24"/>
                <w:lang w:val="en-US"/>
              </w:rPr>
            </w:pPr>
            <w:r>
              <w:rPr>
                <w:rFonts w:hint="eastAsia" w:ascii="宋体" w:hAnsi="宋体" w:eastAsia="宋体" w:cs="宋体"/>
                <w:sz w:val="24"/>
                <w:szCs w:val="24"/>
                <w:highlight w:val="none"/>
                <w:lang w:val="en-US" w:eastAsia="zh-CN" w:bidi="ar"/>
              </w:rPr>
              <w:t>2.</w:t>
            </w:r>
            <w:r>
              <w:rPr>
                <w:rFonts w:hint="eastAsia" w:ascii="宋体" w:hAnsi="宋体" w:eastAsia="宋体" w:cs="宋体"/>
                <w:color w:val="auto"/>
                <w:sz w:val="24"/>
                <w:szCs w:val="24"/>
                <w:highlight w:val="none"/>
                <w:lang w:bidi="ar"/>
              </w:rPr>
              <w:t>投标人</w:t>
            </w:r>
            <w:r>
              <w:rPr>
                <w:rFonts w:hint="eastAsia" w:ascii="宋体" w:hAnsi="宋体" w:eastAsia="宋体" w:cs="宋体"/>
                <w:color w:val="auto"/>
                <w:sz w:val="24"/>
                <w:szCs w:val="24"/>
                <w:highlight w:val="none"/>
                <w:lang w:val="en-US" w:eastAsia="zh-CN" w:bidi="ar"/>
              </w:rPr>
              <w:t>承诺</w:t>
            </w:r>
            <w:r>
              <w:rPr>
                <w:rFonts w:hint="eastAsia" w:ascii="宋体" w:hAnsi="宋体" w:eastAsia="宋体" w:cs="宋体"/>
                <w:color w:val="auto"/>
                <w:sz w:val="24"/>
                <w:szCs w:val="24"/>
                <w:highlight w:val="none"/>
                <w:lang w:bidi="ar"/>
              </w:rPr>
              <w:t>在项目所在地（郫都区）</w:t>
            </w:r>
            <w:r>
              <w:rPr>
                <w:rFonts w:hint="eastAsia" w:ascii="宋体" w:hAnsi="宋体" w:eastAsia="宋体" w:cs="宋体"/>
                <w:color w:val="auto"/>
                <w:sz w:val="24"/>
                <w:szCs w:val="24"/>
                <w:highlight w:val="none"/>
                <w:lang w:val="en-US" w:eastAsia="zh-CN" w:bidi="ar"/>
              </w:rPr>
              <w:t>有</w:t>
            </w:r>
            <w:r>
              <w:rPr>
                <w:rFonts w:hint="eastAsia" w:ascii="宋体" w:hAnsi="宋体" w:eastAsia="宋体" w:cs="宋体"/>
                <w:color w:val="auto"/>
                <w:kern w:val="2"/>
                <w:sz w:val="24"/>
                <w:szCs w:val="24"/>
                <w:highlight w:val="none"/>
                <w:lang w:val="en-US" w:eastAsia="zh-CN" w:bidi="ar"/>
              </w:rPr>
              <w:t>分公司或</w:t>
            </w:r>
            <w:r>
              <w:rPr>
                <w:rFonts w:hint="eastAsia" w:ascii="宋体" w:hAnsi="宋体" w:eastAsia="宋体" w:cs="宋体"/>
                <w:color w:val="auto"/>
                <w:sz w:val="24"/>
                <w:szCs w:val="24"/>
                <w:highlight w:val="none"/>
                <w:lang w:bidi="ar"/>
              </w:rPr>
              <w:t>中标后设</w:t>
            </w:r>
            <w:r>
              <w:rPr>
                <w:rFonts w:hint="eastAsia" w:ascii="宋体" w:hAnsi="宋体" w:eastAsia="宋体" w:cs="宋体"/>
                <w:color w:val="auto"/>
                <w:kern w:val="2"/>
                <w:sz w:val="24"/>
                <w:szCs w:val="24"/>
                <w:highlight w:val="none"/>
                <w:lang w:val="en-US" w:eastAsia="zh-CN" w:bidi="ar"/>
              </w:rPr>
              <w:t>立分公司</w:t>
            </w:r>
            <w:r>
              <w:rPr>
                <w:rFonts w:hint="eastAsia" w:ascii="宋体" w:hAnsi="宋体" w:eastAsia="宋体" w:cs="宋体"/>
                <w:color w:val="auto"/>
                <w:sz w:val="24"/>
                <w:szCs w:val="24"/>
                <w:highlight w:val="none"/>
                <w:lang w:bidi="ar"/>
              </w:rPr>
              <w:t>的，加</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提供承诺函，格式自拟。</w:t>
            </w:r>
            <w:r>
              <w:rPr>
                <w:rFonts w:hint="eastAsia" w:ascii="宋体" w:hAnsi="宋体" w:eastAsia="宋体" w:cs="宋体"/>
                <w:color w:val="auto"/>
                <w:sz w:val="24"/>
                <w:szCs w:val="24"/>
                <w:highlight w:val="none"/>
                <w:lang w:eastAsia="zh-CN" w:bidi="ar"/>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4"/>
                <w:szCs w:val="24"/>
              </w:rPr>
            </w:pPr>
            <w:r>
              <w:rPr>
                <w:rFonts w:hint="eastAsia" w:ascii="宋体" w:hAnsi="宋体" w:cs="宋体"/>
                <w:sz w:val="24"/>
                <w:szCs w:val="24"/>
                <w:lang w:val="en-US" w:eastAsia="zh-CN"/>
              </w:rPr>
              <w:t>共同评分因素</w:t>
            </w:r>
          </w:p>
        </w:tc>
      </w:tr>
    </w:tbl>
    <w:p>
      <w:pPr>
        <w:adjustRightInd w:val="0"/>
        <w:snapToGrid w:val="0"/>
        <w:spacing w:line="360" w:lineRule="auto"/>
        <w:ind w:firstLine="480" w:firstLineChars="200"/>
        <w:rPr>
          <w:rFonts w:hint="eastAsia" w:ascii="宋体" w:hAnsi="宋体" w:cs="宋体"/>
          <w:bCs/>
          <w:sz w:val="24"/>
          <w:highlight w:val="none"/>
        </w:rPr>
      </w:pP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注：评标总得分=F1×A1+F2×A2+……+Fn×An</w:t>
      </w:r>
    </w:p>
    <w:p>
      <w:pPr>
        <w:adjustRightInd w:val="0"/>
        <w:snapToGrid w:val="0"/>
        <w:spacing w:line="360" w:lineRule="auto"/>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rPr>
        <w:t>F1、F2……Fn分别为各项评审因素的得分</w:t>
      </w:r>
      <w:r>
        <w:rPr>
          <w:rFonts w:hint="eastAsia" w:ascii="宋体" w:hAnsi="宋体" w:cs="宋体"/>
          <w:bCs/>
          <w:sz w:val="24"/>
          <w:highlight w:val="none"/>
          <w:lang w:eastAsia="zh-CN"/>
        </w:rPr>
        <w:t>；</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A1、A2、……An 分别为各项评审因素所占的权重(A1+A2+……+An=1)。</w:t>
      </w:r>
    </w:p>
    <w:p>
      <w:pPr>
        <w:adjustRightInd w:val="0"/>
        <w:snapToGrid w:val="0"/>
        <w:spacing w:line="360" w:lineRule="auto"/>
        <w:ind w:firstLine="482" w:firstLineChars="200"/>
        <w:outlineLvl w:val="1"/>
        <w:rPr>
          <w:rFonts w:ascii="宋体" w:hAnsi="宋体" w:cs="宋体"/>
          <w:b/>
          <w:sz w:val="24"/>
          <w:highlight w:val="none"/>
        </w:rPr>
      </w:pPr>
      <w:bookmarkStart w:id="347" w:name="_Toc503863074"/>
      <w:r>
        <w:rPr>
          <w:rFonts w:hint="eastAsia" w:ascii="宋体" w:hAnsi="宋体" w:cs="宋体"/>
          <w:b/>
          <w:sz w:val="24"/>
          <w:highlight w:val="none"/>
        </w:rPr>
        <w:t>5．废标</w:t>
      </w:r>
      <w:bookmarkEnd w:id="347"/>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5.1</w:t>
      </w:r>
      <w:r>
        <w:rPr>
          <w:rFonts w:hint="eastAsia" w:ascii="宋体" w:hAnsi="宋体" w:cs="宋体"/>
          <w:bCs/>
          <w:sz w:val="24"/>
          <w:highlight w:val="none"/>
          <w:lang w:val="en-US" w:eastAsia="zh-CN"/>
        </w:rPr>
        <w:t xml:space="preserve"> </w:t>
      </w:r>
      <w:r>
        <w:rPr>
          <w:rFonts w:hint="eastAsia" w:ascii="宋体" w:hAnsi="宋体" w:cs="宋体"/>
          <w:bCs/>
          <w:sz w:val="24"/>
          <w:highlight w:val="none"/>
        </w:rPr>
        <w:t>本次政府采购活动中</w:t>
      </w:r>
      <w:r>
        <w:rPr>
          <w:rFonts w:hint="eastAsia" w:ascii="宋体" w:hAnsi="宋体" w:cs="宋体"/>
          <w:bCs/>
          <w:sz w:val="24"/>
          <w:highlight w:val="none"/>
          <w:lang w:eastAsia="zh-CN"/>
        </w:rPr>
        <w:t>，</w:t>
      </w:r>
      <w:r>
        <w:rPr>
          <w:rFonts w:hint="eastAsia" w:ascii="宋体" w:hAnsi="宋体" w:cs="宋体"/>
          <w:bCs/>
          <w:sz w:val="24"/>
          <w:highlight w:val="none"/>
        </w:rPr>
        <w:t>出现下列情形之一的</w:t>
      </w:r>
      <w:r>
        <w:rPr>
          <w:rFonts w:hint="eastAsia" w:ascii="宋体" w:hAnsi="宋体" w:cs="宋体"/>
          <w:bCs/>
          <w:sz w:val="24"/>
          <w:highlight w:val="none"/>
          <w:lang w:eastAsia="zh-CN"/>
        </w:rPr>
        <w:t>，</w:t>
      </w:r>
      <w:r>
        <w:rPr>
          <w:rFonts w:hint="eastAsia" w:ascii="宋体" w:hAnsi="宋体" w:cs="宋体"/>
          <w:bCs/>
          <w:sz w:val="24"/>
          <w:highlight w:val="none"/>
        </w:rPr>
        <w:t>予以废标：</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（1）符合专业条件的供应商或者对招标文件作实质响应的供应商不足三家的；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（2）出现影响采购公正的违法、违规行为的；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（3）投标人的报价均超过了采购预算</w:t>
      </w:r>
      <w:r>
        <w:rPr>
          <w:rFonts w:hint="eastAsia" w:ascii="宋体" w:hAnsi="宋体" w:cs="宋体"/>
          <w:bCs/>
          <w:sz w:val="24"/>
          <w:highlight w:val="none"/>
          <w:lang w:eastAsia="zh-CN"/>
        </w:rPr>
        <w:t>，</w:t>
      </w:r>
      <w:r>
        <w:rPr>
          <w:rFonts w:hint="eastAsia" w:ascii="宋体" w:hAnsi="宋体" w:cs="宋体"/>
          <w:bCs/>
          <w:sz w:val="24"/>
          <w:highlight w:val="none"/>
        </w:rPr>
        <w:t>采购人不能支付的；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（4）因重大变故</w:t>
      </w:r>
      <w:r>
        <w:rPr>
          <w:rFonts w:hint="eastAsia" w:ascii="宋体" w:hAnsi="宋体" w:cs="宋体"/>
          <w:bCs/>
          <w:sz w:val="24"/>
          <w:highlight w:val="none"/>
          <w:lang w:eastAsia="zh-CN"/>
        </w:rPr>
        <w:t>，</w:t>
      </w:r>
      <w:r>
        <w:rPr>
          <w:rFonts w:hint="eastAsia" w:ascii="宋体" w:hAnsi="宋体" w:cs="宋体"/>
          <w:bCs/>
          <w:sz w:val="24"/>
          <w:highlight w:val="none"/>
        </w:rPr>
        <w:t>采购任务取消的。</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废标后</w:t>
      </w:r>
      <w:r>
        <w:rPr>
          <w:rFonts w:hint="eastAsia" w:ascii="宋体" w:hAnsi="宋体" w:cs="宋体"/>
          <w:bCs/>
          <w:sz w:val="24"/>
          <w:highlight w:val="none"/>
          <w:lang w:eastAsia="zh-CN"/>
        </w:rPr>
        <w:t>，</w:t>
      </w:r>
      <w:r>
        <w:rPr>
          <w:rFonts w:hint="eastAsia" w:ascii="宋体" w:hAnsi="宋体" w:cs="宋体"/>
          <w:bCs/>
          <w:sz w:val="24"/>
          <w:highlight w:val="none"/>
        </w:rPr>
        <w:t>采购代理机构应在四川政府采购网上公告</w:t>
      </w:r>
      <w:r>
        <w:rPr>
          <w:rFonts w:hint="eastAsia" w:ascii="宋体" w:hAnsi="宋体" w:cs="宋体"/>
          <w:bCs/>
          <w:sz w:val="24"/>
          <w:highlight w:val="none"/>
          <w:lang w:eastAsia="zh-CN"/>
        </w:rPr>
        <w:t>，</w:t>
      </w:r>
      <w:r>
        <w:rPr>
          <w:rFonts w:hint="eastAsia" w:ascii="宋体" w:hAnsi="宋体" w:cs="宋体"/>
          <w:bCs/>
          <w:sz w:val="24"/>
          <w:highlight w:val="none"/>
        </w:rPr>
        <w:t>并公告废标的情形。投标人需要知晓导致废标情形的具体原因和理由的</w:t>
      </w:r>
      <w:r>
        <w:rPr>
          <w:rFonts w:hint="eastAsia" w:ascii="宋体" w:hAnsi="宋体" w:cs="宋体"/>
          <w:bCs/>
          <w:sz w:val="24"/>
          <w:highlight w:val="none"/>
          <w:lang w:eastAsia="zh-CN"/>
        </w:rPr>
        <w:t>，</w:t>
      </w:r>
      <w:r>
        <w:rPr>
          <w:rFonts w:hint="eastAsia" w:ascii="宋体" w:hAnsi="宋体" w:cs="宋体"/>
          <w:bCs/>
          <w:sz w:val="24"/>
          <w:highlight w:val="none"/>
        </w:rPr>
        <w:t>可以通过书面形式询问招标采购单位。</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5.2</w:t>
      </w:r>
      <w:r>
        <w:rPr>
          <w:rFonts w:hint="eastAsia" w:ascii="宋体" w:hAnsi="宋体" w:cs="宋体"/>
          <w:bCs/>
          <w:sz w:val="24"/>
          <w:highlight w:val="none"/>
          <w:lang w:val="en-US" w:eastAsia="zh-CN"/>
        </w:rPr>
        <w:t xml:space="preserve"> </w:t>
      </w:r>
      <w:r>
        <w:rPr>
          <w:rFonts w:hint="eastAsia" w:ascii="宋体" w:hAnsi="宋体" w:cs="宋体"/>
          <w:bCs/>
          <w:sz w:val="24"/>
          <w:highlight w:val="none"/>
        </w:rPr>
        <w:t>对于评标过程中废标的采购项目</w:t>
      </w:r>
      <w:r>
        <w:rPr>
          <w:rFonts w:hint="eastAsia" w:ascii="宋体" w:hAnsi="宋体" w:cs="宋体"/>
          <w:bCs/>
          <w:sz w:val="24"/>
          <w:highlight w:val="none"/>
          <w:lang w:eastAsia="zh-CN"/>
        </w:rPr>
        <w:t>，</w:t>
      </w:r>
      <w:r>
        <w:rPr>
          <w:rFonts w:hint="eastAsia" w:ascii="宋体" w:hAnsi="宋体" w:cs="宋体"/>
          <w:bCs/>
          <w:sz w:val="24"/>
          <w:highlight w:val="none"/>
        </w:rPr>
        <w:t>评标委员会应当对招标文件是否存在倾向性和歧视性、是否存在不合理条款进行论证</w:t>
      </w:r>
      <w:r>
        <w:rPr>
          <w:rFonts w:hint="eastAsia" w:ascii="宋体" w:hAnsi="宋体" w:cs="宋体"/>
          <w:bCs/>
          <w:sz w:val="24"/>
          <w:highlight w:val="none"/>
          <w:lang w:eastAsia="zh-CN"/>
        </w:rPr>
        <w:t>，</w:t>
      </w:r>
      <w:r>
        <w:rPr>
          <w:rFonts w:hint="eastAsia" w:ascii="宋体" w:hAnsi="宋体" w:cs="宋体"/>
          <w:bCs/>
          <w:sz w:val="24"/>
          <w:highlight w:val="none"/>
        </w:rPr>
        <w:t>并出具书面论证意见。</w:t>
      </w:r>
    </w:p>
    <w:p>
      <w:pPr>
        <w:adjustRightInd w:val="0"/>
        <w:snapToGrid w:val="0"/>
        <w:spacing w:line="360" w:lineRule="auto"/>
        <w:ind w:firstLine="482" w:firstLineChars="200"/>
        <w:outlineLvl w:val="1"/>
        <w:rPr>
          <w:rFonts w:ascii="宋体" w:hAnsi="宋体" w:cs="宋体"/>
          <w:b/>
          <w:sz w:val="24"/>
          <w:highlight w:val="none"/>
        </w:rPr>
      </w:pPr>
      <w:bookmarkStart w:id="348" w:name="_Toc503863075"/>
      <w:r>
        <w:rPr>
          <w:rFonts w:hint="eastAsia" w:ascii="宋体" w:hAnsi="宋体" w:cs="宋体"/>
          <w:b/>
          <w:sz w:val="24"/>
          <w:highlight w:val="none"/>
        </w:rPr>
        <w:t>6．定标</w:t>
      </w:r>
      <w:bookmarkEnd w:id="346"/>
      <w:bookmarkEnd w:id="348"/>
      <w:bookmarkStart w:id="349" w:name="_Toc217446061"/>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6.1. 定标原则</w:t>
      </w:r>
      <w:bookmarkEnd w:id="349"/>
      <w:r>
        <w:rPr>
          <w:rFonts w:hint="eastAsia" w:ascii="宋体" w:hAnsi="宋体" w:cs="宋体"/>
          <w:bCs/>
          <w:sz w:val="24"/>
          <w:highlight w:val="none"/>
        </w:rPr>
        <w:t>：本项目根据评标委员会推荐的中标候选供应商名单</w:t>
      </w:r>
      <w:r>
        <w:rPr>
          <w:rFonts w:hint="eastAsia" w:ascii="宋体" w:hAnsi="宋体" w:cs="宋体"/>
          <w:bCs/>
          <w:sz w:val="24"/>
          <w:highlight w:val="none"/>
          <w:lang w:eastAsia="zh-CN"/>
        </w:rPr>
        <w:t>，</w:t>
      </w:r>
      <w:r>
        <w:rPr>
          <w:rFonts w:hint="eastAsia" w:ascii="宋体" w:hAnsi="宋体" w:cs="宋体"/>
          <w:bCs/>
          <w:sz w:val="24"/>
          <w:highlight w:val="none"/>
        </w:rPr>
        <w:t>按顺序确定中标供应商。</w:t>
      </w:r>
    </w:p>
    <w:p>
      <w:pPr>
        <w:adjustRightInd w:val="0"/>
        <w:snapToGrid w:val="0"/>
        <w:spacing w:line="360" w:lineRule="auto"/>
        <w:ind w:firstLine="480" w:firstLineChars="200"/>
        <w:rPr>
          <w:rFonts w:ascii="宋体" w:hAnsi="宋体" w:cs="宋体"/>
          <w:bCs/>
          <w:sz w:val="24"/>
          <w:highlight w:val="none"/>
        </w:rPr>
      </w:pPr>
      <w:bookmarkStart w:id="350" w:name="_Toc217446062"/>
      <w:r>
        <w:rPr>
          <w:rFonts w:hint="eastAsia" w:ascii="宋体" w:hAnsi="宋体" w:cs="宋体"/>
          <w:bCs/>
          <w:sz w:val="24"/>
          <w:highlight w:val="none"/>
        </w:rPr>
        <w:t>6.2. 定标程序</w:t>
      </w:r>
      <w:bookmarkEnd w:id="350"/>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6.2.1 评标委员会将评标情况写出书面报告</w:t>
      </w:r>
      <w:r>
        <w:rPr>
          <w:rFonts w:hint="eastAsia" w:ascii="宋体" w:hAnsi="宋体" w:cs="宋体"/>
          <w:bCs/>
          <w:sz w:val="24"/>
          <w:highlight w:val="none"/>
          <w:lang w:eastAsia="zh-CN"/>
        </w:rPr>
        <w:t>，</w:t>
      </w:r>
      <w:r>
        <w:rPr>
          <w:rFonts w:hint="eastAsia" w:ascii="宋体" w:hAnsi="宋体" w:cs="宋体"/>
          <w:bCs/>
          <w:sz w:val="24"/>
          <w:highlight w:val="none"/>
        </w:rPr>
        <w:t>推荐中标候选供应商。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6.2.2 采购代理机构在评标结束后2个工作日内将评标报告送采购人。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6.2.3 采购人在收到评标报告后5个工作日内</w:t>
      </w:r>
      <w:r>
        <w:rPr>
          <w:rFonts w:hint="eastAsia" w:ascii="宋体" w:hAnsi="宋体" w:cs="宋体"/>
          <w:bCs/>
          <w:sz w:val="24"/>
          <w:highlight w:val="none"/>
          <w:lang w:eastAsia="zh-CN"/>
        </w:rPr>
        <w:t>，</w:t>
      </w:r>
      <w:r>
        <w:rPr>
          <w:rFonts w:hint="eastAsia" w:ascii="宋体" w:hAnsi="宋体" w:cs="宋体"/>
          <w:bCs/>
          <w:sz w:val="24"/>
          <w:highlight w:val="none"/>
        </w:rPr>
        <w:t>按照评标报告中推荐的中标候选供应商顺序确定中标供应商。采用最低评标价法的</w:t>
      </w:r>
      <w:r>
        <w:rPr>
          <w:rFonts w:hint="eastAsia" w:ascii="宋体" w:hAnsi="宋体" w:cs="宋体"/>
          <w:bCs/>
          <w:sz w:val="24"/>
          <w:highlight w:val="none"/>
          <w:lang w:eastAsia="zh-CN"/>
        </w:rPr>
        <w:t>，</w:t>
      </w:r>
      <w:r>
        <w:rPr>
          <w:rFonts w:hint="eastAsia" w:ascii="宋体" w:hAnsi="宋体" w:cs="宋体"/>
          <w:bCs/>
          <w:sz w:val="24"/>
          <w:highlight w:val="none"/>
        </w:rPr>
        <w:t>评标结果按投标报价由低到高顺序排列；投标报价相同的并列</w:t>
      </w:r>
      <w:r>
        <w:rPr>
          <w:rFonts w:hint="eastAsia" w:ascii="宋体" w:hAnsi="宋体" w:cs="宋体"/>
          <w:bCs/>
          <w:sz w:val="24"/>
          <w:highlight w:val="none"/>
          <w:lang w:eastAsia="zh-CN"/>
        </w:rPr>
        <w:t>，</w:t>
      </w:r>
      <w:r>
        <w:rPr>
          <w:rFonts w:hint="eastAsia" w:ascii="宋体" w:hAnsi="宋体" w:cs="宋体"/>
          <w:bCs/>
          <w:sz w:val="24"/>
          <w:highlight w:val="none"/>
        </w:rPr>
        <w:t>投标文件满足招标文件全部实质性要求且投标报价最低的供应商为中标候选供应商；报价相同且满足招标文件全部实质性要求的并列</w:t>
      </w:r>
      <w:r>
        <w:rPr>
          <w:rFonts w:hint="eastAsia" w:ascii="宋体" w:hAnsi="宋体" w:cs="宋体"/>
          <w:bCs/>
          <w:sz w:val="24"/>
          <w:highlight w:val="none"/>
          <w:lang w:eastAsia="zh-CN"/>
        </w:rPr>
        <w:t>，</w:t>
      </w:r>
      <w:r>
        <w:rPr>
          <w:rFonts w:hint="eastAsia" w:ascii="宋体" w:hAnsi="宋体" w:cs="宋体"/>
          <w:bCs/>
          <w:sz w:val="24"/>
          <w:highlight w:val="none"/>
        </w:rPr>
        <w:t>由采购人自主采取公平、择优的方式选择中标供应商。采用综合评分法的</w:t>
      </w:r>
      <w:r>
        <w:rPr>
          <w:rFonts w:hint="eastAsia" w:ascii="宋体" w:hAnsi="宋体" w:cs="宋体"/>
          <w:bCs/>
          <w:sz w:val="24"/>
          <w:highlight w:val="none"/>
          <w:lang w:eastAsia="zh-CN"/>
        </w:rPr>
        <w:t>，</w:t>
      </w:r>
      <w:r>
        <w:rPr>
          <w:rFonts w:hint="eastAsia" w:ascii="宋体" w:hAnsi="宋体" w:cs="宋体"/>
          <w:bCs/>
          <w:sz w:val="24"/>
          <w:highlight w:val="none"/>
        </w:rPr>
        <w:t>评标结果按评审后得分由高到低顺序排列；得分相同的</w:t>
      </w:r>
      <w:r>
        <w:rPr>
          <w:rFonts w:hint="eastAsia" w:ascii="宋体" w:hAnsi="宋体" w:cs="宋体"/>
          <w:bCs/>
          <w:sz w:val="24"/>
          <w:highlight w:val="none"/>
          <w:lang w:eastAsia="zh-CN"/>
        </w:rPr>
        <w:t>，</w:t>
      </w:r>
      <w:r>
        <w:rPr>
          <w:rFonts w:hint="eastAsia" w:ascii="宋体" w:hAnsi="宋体" w:cs="宋体"/>
          <w:bCs/>
          <w:sz w:val="24"/>
          <w:highlight w:val="none"/>
        </w:rPr>
        <w:t>按投标报价由低到高顺序排列；得分且投标报价相同的并列</w:t>
      </w:r>
      <w:r>
        <w:rPr>
          <w:rFonts w:hint="eastAsia" w:ascii="宋体" w:hAnsi="宋体" w:cs="宋体"/>
          <w:bCs/>
          <w:sz w:val="24"/>
          <w:highlight w:val="none"/>
          <w:lang w:eastAsia="zh-CN"/>
        </w:rPr>
        <w:t>，</w:t>
      </w:r>
      <w:r>
        <w:rPr>
          <w:rFonts w:hint="eastAsia" w:ascii="宋体" w:hAnsi="宋体" w:cs="宋体"/>
          <w:bCs/>
          <w:sz w:val="24"/>
          <w:highlight w:val="none"/>
        </w:rPr>
        <w:t>投标文件满足招标文件全部实质性要求且按照评审因素的量化指标评审得分最高的供应商为中标候选供应商；报价相同且满足招标文件全部实质性要求且按照评审因素的量化指标评审得分也相同的并列</w:t>
      </w:r>
      <w:r>
        <w:rPr>
          <w:rFonts w:hint="eastAsia" w:ascii="宋体" w:hAnsi="宋体" w:cs="宋体"/>
          <w:bCs/>
          <w:sz w:val="24"/>
          <w:highlight w:val="none"/>
          <w:lang w:eastAsia="zh-CN"/>
        </w:rPr>
        <w:t>，</w:t>
      </w:r>
      <w:r>
        <w:rPr>
          <w:rFonts w:hint="eastAsia" w:ascii="宋体" w:hAnsi="宋体" w:cs="宋体"/>
          <w:bCs/>
          <w:sz w:val="24"/>
          <w:highlight w:val="none"/>
        </w:rPr>
        <w:t>由采购人自主采取公平、择优的方式选择中标供应商。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注意</w:t>
      </w:r>
      <w:r>
        <w:rPr>
          <w:rFonts w:hint="eastAsia" w:ascii="宋体" w:hAnsi="宋体" w:cs="宋体"/>
          <w:bCs/>
          <w:sz w:val="24"/>
          <w:highlight w:val="none"/>
          <w:lang w:eastAsia="zh-CN"/>
        </w:rPr>
        <w:t>，</w:t>
      </w:r>
      <w:r>
        <w:rPr>
          <w:rFonts w:hint="eastAsia" w:ascii="宋体" w:hAnsi="宋体" w:cs="宋体"/>
          <w:bCs/>
          <w:sz w:val="24"/>
          <w:highlight w:val="none"/>
        </w:rPr>
        <w:t>采购人按照推荐的中标候选供应商顺序确定中标供应商</w:t>
      </w:r>
      <w:r>
        <w:rPr>
          <w:rFonts w:hint="eastAsia" w:ascii="宋体" w:hAnsi="宋体" w:cs="宋体"/>
          <w:bCs/>
          <w:sz w:val="24"/>
          <w:highlight w:val="none"/>
          <w:lang w:eastAsia="zh-CN"/>
        </w:rPr>
        <w:t>，</w:t>
      </w:r>
      <w:r>
        <w:rPr>
          <w:rFonts w:hint="eastAsia" w:ascii="宋体" w:hAnsi="宋体" w:cs="宋体"/>
          <w:bCs/>
          <w:sz w:val="24"/>
          <w:highlight w:val="none"/>
        </w:rPr>
        <w:t>不能认为采购人只能确定第一中标候选供应商为中标供应商</w:t>
      </w:r>
      <w:r>
        <w:rPr>
          <w:rFonts w:hint="eastAsia" w:ascii="宋体" w:hAnsi="宋体" w:cs="宋体"/>
          <w:bCs/>
          <w:sz w:val="24"/>
          <w:highlight w:val="none"/>
          <w:lang w:eastAsia="zh-CN"/>
        </w:rPr>
        <w:t>，</w:t>
      </w:r>
      <w:r>
        <w:rPr>
          <w:rFonts w:hint="eastAsia" w:ascii="宋体" w:hAnsi="宋体" w:cs="宋体"/>
          <w:bCs/>
          <w:sz w:val="24"/>
          <w:highlight w:val="none"/>
        </w:rPr>
        <w:t>采购人有正当理由的</w:t>
      </w:r>
      <w:r>
        <w:rPr>
          <w:rFonts w:hint="eastAsia" w:ascii="宋体" w:hAnsi="宋体" w:cs="宋体"/>
          <w:bCs/>
          <w:sz w:val="24"/>
          <w:highlight w:val="none"/>
          <w:lang w:eastAsia="zh-CN"/>
        </w:rPr>
        <w:t>，</w:t>
      </w:r>
      <w:r>
        <w:rPr>
          <w:rFonts w:hint="eastAsia" w:ascii="宋体" w:hAnsi="宋体" w:cs="宋体"/>
          <w:bCs/>
          <w:sz w:val="24"/>
          <w:highlight w:val="none"/>
        </w:rPr>
        <w:t>可以确定后一顺序中标候选供应商为中标供应商</w:t>
      </w:r>
      <w:r>
        <w:rPr>
          <w:rFonts w:hint="eastAsia" w:ascii="宋体" w:hAnsi="宋体" w:cs="宋体"/>
          <w:bCs/>
          <w:sz w:val="24"/>
          <w:highlight w:val="none"/>
          <w:lang w:eastAsia="zh-CN"/>
        </w:rPr>
        <w:t>，</w:t>
      </w:r>
      <w:r>
        <w:rPr>
          <w:rFonts w:hint="eastAsia" w:ascii="宋体" w:hAnsi="宋体" w:cs="宋体"/>
          <w:bCs/>
          <w:sz w:val="24"/>
          <w:highlight w:val="none"/>
        </w:rPr>
        <w:t>依次类推。</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6.2.4 根据采购人确定的中标供应商</w:t>
      </w:r>
      <w:r>
        <w:rPr>
          <w:rFonts w:hint="eastAsia" w:ascii="宋体" w:hAnsi="宋体" w:cs="宋体"/>
          <w:bCs/>
          <w:sz w:val="24"/>
          <w:highlight w:val="none"/>
          <w:lang w:eastAsia="zh-CN"/>
        </w:rPr>
        <w:t>，</w:t>
      </w:r>
      <w:r>
        <w:rPr>
          <w:rFonts w:hint="eastAsia" w:ascii="宋体" w:hAnsi="宋体" w:cs="宋体"/>
          <w:bCs/>
          <w:sz w:val="24"/>
          <w:highlight w:val="none"/>
        </w:rPr>
        <w:t>采购代理机构在四川政府采购网上发布中标公告</w:t>
      </w:r>
      <w:r>
        <w:rPr>
          <w:rFonts w:hint="eastAsia" w:ascii="宋体" w:hAnsi="宋体" w:cs="宋体"/>
          <w:bCs/>
          <w:sz w:val="24"/>
          <w:highlight w:val="none"/>
          <w:lang w:eastAsia="zh-CN"/>
        </w:rPr>
        <w:t>，</w:t>
      </w:r>
      <w:r>
        <w:rPr>
          <w:rFonts w:hint="eastAsia" w:ascii="宋体" w:hAnsi="宋体" w:cs="宋体"/>
          <w:bCs/>
          <w:sz w:val="24"/>
          <w:highlight w:val="none"/>
        </w:rPr>
        <w:t>并自采购人确定中标之日起2个工作日内向中标供应商发出中标通知书。</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6.2.5 招标采购单位不退回投标人投标文件和其他投标资料。</w:t>
      </w:r>
    </w:p>
    <w:bookmarkEnd w:id="341"/>
    <w:p>
      <w:pPr>
        <w:adjustRightInd w:val="0"/>
        <w:snapToGrid w:val="0"/>
        <w:spacing w:line="360" w:lineRule="auto"/>
        <w:ind w:firstLine="482" w:firstLineChars="200"/>
        <w:outlineLvl w:val="1"/>
        <w:rPr>
          <w:rFonts w:ascii="宋体" w:hAnsi="宋体" w:cs="宋体"/>
          <w:b/>
          <w:sz w:val="24"/>
          <w:highlight w:val="none"/>
        </w:rPr>
      </w:pPr>
      <w:bookmarkStart w:id="351" w:name="_Toc183682432"/>
      <w:bookmarkStart w:id="352" w:name="_Toc217446105"/>
      <w:bookmarkStart w:id="353" w:name="_Toc183582297"/>
      <w:bookmarkStart w:id="354" w:name="_Toc208849022"/>
      <w:bookmarkStart w:id="355" w:name="_Toc503863076"/>
      <w:r>
        <w:rPr>
          <w:rFonts w:hint="eastAsia" w:ascii="宋体" w:hAnsi="宋体" w:cs="宋体"/>
          <w:b/>
          <w:sz w:val="24"/>
          <w:highlight w:val="none"/>
        </w:rPr>
        <w:t>7</w:t>
      </w:r>
      <w:bookmarkEnd w:id="351"/>
      <w:bookmarkEnd w:id="352"/>
      <w:bookmarkEnd w:id="353"/>
      <w:bookmarkEnd w:id="354"/>
      <w:r>
        <w:rPr>
          <w:rFonts w:hint="eastAsia" w:ascii="宋体" w:hAnsi="宋体" w:cs="宋体"/>
          <w:b/>
          <w:sz w:val="24"/>
          <w:highlight w:val="none"/>
        </w:rPr>
        <w:t>．评标专家在政府采购活动中承担以下义务：</w:t>
      </w:r>
      <w:bookmarkEnd w:id="355"/>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（一）遵守评审工作纪律； </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（二）按照客观、公正、审慎的原则</w:t>
      </w:r>
      <w:r>
        <w:rPr>
          <w:rFonts w:hint="eastAsia" w:ascii="宋体" w:hAnsi="宋体" w:cs="宋体"/>
          <w:bCs/>
          <w:sz w:val="24"/>
          <w:highlight w:val="none"/>
          <w:lang w:eastAsia="zh-CN"/>
        </w:rPr>
        <w:t>，</w:t>
      </w:r>
      <w:r>
        <w:rPr>
          <w:rFonts w:hint="eastAsia" w:ascii="宋体" w:hAnsi="宋体" w:cs="宋体"/>
          <w:bCs/>
          <w:sz w:val="24"/>
          <w:highlight w:val="none"/>
        </w:rPr>
        <w:t>根据采购文件规定的评审程序、评审方法和评审标准进行独立评审；</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（三）不得泄露评审文件、评审情况和在评审过程中获悉的商业秘密；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（四）及时向监督部门报告评审过程中采购组织单位向评审专家做倾向性、误导性的解释或者说明</w:t>
      </w:r>
      <w:r>
        <w:rPr>
          <w:rFonts w:hint="eastAsia" w:ascii="宋体" w:hAnsi="宋体" w:cs="宋体"/>
          <w:bCs/>
          <w:sz w:val="24"/>
          <w:highlight w:val="none"/>
          <w:lang w:eastAsia="zh-CN"/>
        </w:rPr>
        <w:t>，</w:t>
      </w:r>
      <w:r>
        <w:rPr>
          <w:rFonts w:hint="eastAsia" w:ascii="宋体" w:hAnsi="宋体" w:cs="宋体"/>
          <w:bCs/>
          <w:sz w:val="24"/>
          <w:highlight w:val="none"/>
        </w:rPr>
        <w:t>供应商行贿、提供虚假材料或者串通、受到的非法干预情况等违法违规行为；</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（五）发现采购文件内容违反国家有关强制性规定或者存在歧义、重大缺陷导致评审工作无法进行时</w:t>
      </w:r>
      <w:r>
        <w:rPr>
          <w:rFonts w:hint="eastAsia" w:ascii="宋体" w:hAnsi="宋体" w:cs="宋体"/>
          <w:bCs/>
          <w:sz w:val="24"/>
          <w:highlight w:val="none"/>
          <w:lang w:eastAsia="zh-CN"/>
        </w:rPr>
        <w:t>，</w:t>
      </w:r>
      <w:r>
        <w:rPr>
          <w:rFonts w:hint="eastAsia" w:ascii="宋体" w:hAnsi="宋体" w:cs="宋体"/>
          <w:bCs/>
          <w:sz w:val="24"/>
          <w:highlight w:val="none"/>
        </w:rPr>
        <w:t>停止评审并向采购组织单位书面说明情况；</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（六）配合答复处理供应商的询问、质疑和投诉等事项；</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（七）法律、法规和规章规定的其他义务。</w:t>
      </w:r>
    </w:p>
    <w:p>
      <w:pPr>
        <w:adjustRightInd w:val="0"/>
        <w:snapToGrid w:val="0"/>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8．评标专家在政府采购活动中应当遵守以下工作纪律：</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（一）遵行《政府采购法》第十二条和《政府采购法实施条例》第九条及财政部关于回避的规定。</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（二）评标前</w:t>
      </w:r>
      <w:r>
        <w:rPr>
          <w:rFonts w:hint="eastAsia" w:ascii="宋体" w:hAnsi="宋体" w:cs="宋体"/>
          <w:bCs/>
          <w:sz w:val="24"/>
          <w:highlight w:val="none"/>
          <w:lang w:eastAsia="zh-CN"/>
        </w:rPr>
        <w:t>，</w:t>
      </w:r>
      <w:r>
        <w:rPr>
          <w:rFonts w:hint="eastAsia" w:ascii="宋体" w:hAnsi="宋体" w:cs="宋体"/>
          <w:bCs/>
          <w:sz w:val="24"/>
          <w:highlight w:val="none"/>
        </w:rPr>
        <w:t>应当将通讯工具或者相关电子设备交由招标采购单位统一保管。</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（三）评标过程中</w:t>
      </w:r>
      <w:r>
        <w:rPr>
          <w:rFonts w:hint="eastAsia" w:ascii="宋体" w:hAnsi="宋体" w:cs="宋体"/>
          <w:bCs/>
          <w:sz w:val="24"/>
          <w:highlight w:val="none"/>
          <w:lang w:eastAsia="zh-CN"/>
        </w:rPr>
        <w:t>，</w:t>
      </w:r>
      <w:r>
        <w:rPr>
          <w:rFonts w:hint="eastAsia" w:ascii="宋体" w:hAnsi="宋体" w:cs="宋体"/>
          <w:bCs/>
          <w:sz w:val="24"/>
          <w:highlight w:val="none"/>
        </w:rPr>
        <w:t>不得与外界联系</w:t>
      </w:r>
      <w:r>
        <w:rPr>
          <w:rFonts w:hint="eastAsia" w:ascii="宋体" w:hAnsi="宋体" w:cs="宋体"/>
          <w:bCs/>
          <w:sz w:val="24"/>
          <w:highlight w:val="none"/>
          <w:lang w:eastAsia="zh-CN"/>
        </w:rPr>
        <w:t>，</w:t>
      </w:r>
      <w:r>
        <w:rPr>
          <w:rFonts w:hint="eastAsia" w:ascii="宋体" w:hAnsi="宋体" w:cs="宋体"/>
          <w:bCs/>
          <w:sz w:val="24"/>
          <w:highlight w:val="none"/>
        </w:rPr>
        <w:t>因发生不可预见情况</w:t>
      </w:r>
      <w:r>
        <w:rPr>
          <w:rFonts w:hint="eastAsia" w:ascii="宋体" w:hAnsi="宋体" w:cs="宋体"/>
          <w:bCs/>
          <w:sz w:val="24"/>
          <w:highlight w:val="none"/>
          <w:lang w:eastAsia="zh-CN"/>
        </w:rPr>
        <w:t>，</w:t>
      </w:r>
      <w:r>
        <w:rPr>
          <w:rFonts w:hint="eastAsia" w:ascii="宋体" w:hAnsi="宋体" w:cs="宋体"/>
          <w:bCs/>
          <w:sz w:val="24"/>
          <w:highlight w:val="none"/>
        </w:rPr>
        <w:t>确实需要与外界联系的</w:t>
      </w:r>
      <w:r>
        <w:rPr>
          <w:rFonts w:hint="eastAsia" w:ascii="宋体" w:hAnsi="宋体" w:cs="宋体"/>
          <w:bCs/>
          <w:sz w:val="24"/>
          <w:highlight w:val="none"/>
          <w:lang w:eastAsia="zh-CN"/>
        </w:rPr>
        <w:t>，</w:t>
      </w:r>
      <w:r>
        <w:rPr>
          <w:rFonts w:hint="eastAsia" w:ascii="宋体" w:hAnsi="宋体" w:cs="宋体"/>
          <w:bCs/>
          <w:sz w:val="24"/>
          <w:highlight w:val="none"/>
        </w:rPr>
        <w:t>应当在监督人员督之下办理。</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（四）评标过程中</w:t>
      </w:r>
      <w:r>
        <w:rPr>
          <w:rFonts w:hint="eastAsia" w:ascii="宋体" w:hAnsi="宋体" w:cs="宋体"/>
          <w:bCs/>
          <w:sz w:val="24"/>
          <w:highlight w:val="none"/>
          <w:lang w:eastAsia="zh-CN"/>
        </w:rPr>
        <w:t>，</w:t>
      </w:r>
      <w:r>
        <w:rPr>
          <w:rFonts w:hint="eastAsia" w:ascii="宋体" w:hAnsi="宋体" w:cs="宋体"/>
          <w:bCs/>
          <w:sz w:val="24"/>
          <w:highlight w:val="none"/>
        </w:rPr>
        <w:t>不得干预或者影响正常评标工作</w:t>
      </w:r>
      <w:r>
        <w:rPr>
          <w:rFonts w:hint="eastAsia" w:ascii="宋体" w:hAnsi="宋体" w:cs="宋体"/>
          <w:bCs/>
          <w:sz w:val="24"/>
          <w:highlight w:val="none"/>
          <w:lang w:eastAsia="zh-CN"/>
        </w:rPr>
        <w:t>，</w:t>
      </w:r>
      <w:r>
        <w:rPr>
          <w:rFonts w:hint="eastAsia" w:ascii="宋体" w:hAnsi="宋体" w:cs="宋体"/>
          <w:bCs/>
          <w:sz w:val="24"/>
          <w:highlight w:val="none"/>
        </w:rPr>
        <w:t>不得发表倾向性、引导性意见</w:t>
      </w:r>
      <w:r>
        <w:rPr>
          <w:rFonts w:hint="eastAsia" w:ascii="宋体" w:hAnsi="宋体" w:cs="宋体"/>
          <w:bCs/>
          <w:sz w:val="24"/>
          <w:highlight w:val="none"/>
          <w:lang w:eastAsia="zh-CN"/>
        </w:rPr>
        <w:t>，</w:t>
      </w:r>
      <w:r>
        <w:rPr>
          <w:rFonts w:hint="eastAsia" w:ascii="宋体" w:hAnsi="宋体" w:cs="宋体"/>
          <w:bCs/>
          <w:sz w:val="24"/>
          <w:highlight w:val="none"/>
        </w:rPr>
        <w:t>不得修改或细化招标文件确定的评标程序、评标方法、评标因素和评标标准</w:t>
      </w:r>
      <w:r>
        <w:rPr>
          <w:rFonts w:hint="eastAsia" w:ascii="宋体" w:hAnsi="宋体" w:cs="宋体"/>
          <w:bCs/>
          <w:sz w:val="24"/>
          <w:highlight w:val="none"/>
          <w:lang w:eastAsia="zh-CN"/>
        </w:rPr>
        <w:t>，</w:t>
      </w:r>
      <w:r>
        <w:rPr>
          <w:rFonts w:hint="eastAsia" w:ascii="宋体" w:hAnsi="宋体" w:cs="宋体"/>
          <w:bCs/>
          <w:sz w:val="24"/>
          <w:highlight w:val="none"/>
        </w:rPr>
        <w:t>不得接受供应商主动提出的澄清和解释</w:t>
      </w:r>
      <w:r>
        <w:rPr>
          <w:rFonts w:hint="eastAsia" w:ascii="宋体" w:hAnsi="宋体" w:cs="宋体"/>
          <w:bCs/>
          <w:sz w:val="24"/>
          <w:highlight w:val="none"/>
          <w:lang w:eastAsia="zh-CN"/>
        </w:rPr>
        <w:t>，</w:t>
      </w:r>
      <w:r>
        <w:rPr>
          <w:rFonts w:hint="eastAsia" w:ascii="宋体" w:hAnsi="宋体" w:cs="宋体"/>
          <w:bCs/>
          <w:sz w:val="24"/>
          <w:highlight w:val="none"/>
        </w:rPr>
        <w:t>不得征询采购人代表的意见</w:t>
      </w:r>
      <w:r>
        <w:rPr>
          <w:rFonts w:hint="eastAsia" w:ascii="宋体" w:hAnsi="宋体" w:cs="宋体"/>
          <w:bCs/>
          <w:sz w:val="24"/>
          <w:highlight w:val="none"/>
          <w:lang w:eastAsia="zh-CN"/>
        </w:rPr>
        <w:t>，</w:t>
      </w:r>
      <w:r>
        <w:rPr>
          <w:rFonts w:hint="eastAsia" w:ascii="宋体" w:hAnsi="宋体" w:cs="宋体"/>
          <w:bCs/>
          <w:sz w:val="24"/>
          <w:highlight w:val="none"/>
        </w:rPr>
        <w:t>不得协商评分</w:t>
      </w:r>
      <w:r>
        <w:rPr>
          <w:rFonts w:hint="eastAsia" w:ascii="宋体" w:hAnsi="宋体" w:cs="宋体"/>
          <w:bCs/>
          <w:sz w:val="24"/>
          <w:highlight w:val="none"/>
          <w:lang w:eastAsia="zh-CN"/>
        </w:rPr>
        <w:t>，</w:t>
      </w:r>
      <w:r>
        <w:rPr>
          <w:rFonts w:hint="eastAsia" w:ascii="宋体" w:hAnsi="宋体" w:cs="宋体"/>
          <w:bCs/>
          <w:sz w:val="24"/>
          <w:highlight w:val="none"/>
        </w:rPr>
        <w:t>不得违反规定的评标格式评分和撰写评标意见</w:t>
      </w:r>
      <w:r>
        <w:rPr>
          <w:rFonts w:hint="eastAsia" w:ascii="宋体" w:hAnsi="宋体" w:cs="宋体"/>
          <w:bCs/>
          <w:sz w:val="24"/>
          <w:highlight w:val="none"/>
          <w:lang w:eastAsia="zh-CN"/>
        </w:rPr>
        <w:t>，</w:t>
      </w:r>
      <w:r>
        <w:rPr>
          <w:rFonts w:hint="eastAsia" w:ascii="宋体" w:hAnsi="宋体" w:cs="宋体"/>
          <w:bCs/>
          <w:sz w:val="24"/>
          <w:highlight w:val="none"/>
        </w:rPr>
        <w:t>不得拒绝对自己的评标意见签字确认。</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（五）在评标过程中和评标结束后</w:t>
      </w:r>
      <w:r>
        <w:rPr>
          <w:rFonts w:hint="eastAsia" w:ascii="宋体" w:hAnsi="宋体" w:cs="宋体"/>
          <w:bCs/>
          <w:sz w:val="24"/>
          <w:highlight w:val="none"/>
          <w:lang w:eastAsia="zh-CN"/>
        </w:rPr>
        <w:t>，</w:t>
      </w:r>
      <w:r>
        <w:rPr>
          <w:rFonts w:hint="eastAsia" w:ascii="宋体" w:hAnsi="宋体" w:cs="宋体"/>
          <w:bCs/>
          <w:sz w:val="24"/>
          <w:highlight w:val="none"/>
        </w:rPr>
        <w:t>不得记录、复制或带走任何评标资料</w:t>
      </w:r>
      <w:r>
        <w:rPr>
          <w:rFonts w:hint="eastAsia" w:ascii="宋体" w:hAnsi="宋体" w:cs="宋体"/>
          <w:bCs/>
          <w:sz w:val="24"/>
          <w:highlight w:val="none"/>
          <w:lang w:eastAsia="zh-CN"/>
        </w:rPr>
        <w:t>，</w:t>
      </w:r>
      <w:r>
        <w:rPr>
          <w:rFonts w:hint="eastAsia" w:ascii="宋体" w:hAnsi="宋体" w:cs="宋体"/>
          <w:bCs/>
          <w:sz w:val="24"/>
          <w:highlight w:val="none"/>
        </w:rPr>
        <w:t>除因规定的义务外</w:t>
      </w:r>
      <w:r>
        <w:rPr>
          <w:rFonts w:hint="eastAsia" w:ascii="宋体" w:hAnsi="宋体" w:cs="宋体"/>
          <w:bCs/>
          <w:sz w:val="24"/>
          <w:highlight w:val="none"/>
          <w:lang w:eastAsia="zh-CN"/>
        </w:rPr>
        <w:t>，</w:t>
      </w:r>
      <w:r>
        <w:rPr>
          <w:rFonts w:hint="eastAsia" w:ascii="宋体" w:hAnsi="宋体" w:cs="宋体"/>
          <w:bCs/>
          <w:sz w:val="24"/>
          <w:highlight w:val="none"/>
        </w:rPr>
        <w:t>不得向外界透露评标内容。</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（六）服从评标现场招标采购单位的现场秩序管理</w:t>
      </w:r>
      <w:r>
        <w:rPr>
          <w:rFonts w:hint="eastAsia" w:ascii="宋体" w:hAnsi="宋体" w:cs="宋体"/>
          <w:bCs/>
          <w:sz w:val="24"/>
          <w:highlight w:val="none"/>
          <w:lang w:eastAsia="zh-CN"/>
        </w:rPr>
        <w:t>，</w:t>
      </w:r>
      <w:r>
        <w:rPr>
          <w:rFonts w:hint="eastAsia" w:ascii="宋体" w:hAnsi="宋体" w:cs="宋体"/>
          <w:bCs/>
          <w:sz w:val="24"/>
          <w:highlight w:val="none"/>
        </w:rPr>
        <w:t>接受评标现场监督人员的合法监督。</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（七）遵守有关廉洁自律规定</w:t>
      </w:r>
      <w:r>
        <w:rPr>
          <w:rFonts w:hint="eastAsia" w:ascii="宋体" w:hAnsi="宋体" w:cs="宋体"/>
          <w:bCs/>
          <w:sz w:val="24"/>
          <w:highlight w:val="none"/>
          <w:lang w:eastAsia="zh-CN"/>
        </w:rPr>
        <w:t>，</w:t>
      </w:r>
      <w:r>
        <w:rPr>
          <w:rFonts w:hint="eastAsia" w:ascii="宋体" w:hAnsi="宋体" w:cs="宋体"/>
          <w:bCs/>
          <w:sz w:val="24"/>
          <w:highlight w:val="none"/>
        </w:rPr>
        <w:t>不得私下接触供应商</w:t>
      </w:r>
      <w:r>
        <w:rPr>
          <w:rFonts w:hint="eastAsia" w:ascii="宋体" w:hAnsi="宋体" w:cs="宋体"/>
          <w:bCs/>
          <w:sz w:val="24"/>
          <w:highlight w:val="none"/>
          <w:lang w:eastAsia="zh-CN"/>
        </w:rPr>
        <w:t>，</w:t>
      </w:r>
      <w:r>
        <w:rPr>
          <w:rFonts w:hint="eastAsia" w:ascii="宋体" w:hAnsi="宋体" w:cs="宋体"/>
          <w:bCs/>
          <w:sz w:val="24"/>
          <w:highlight w:val="none"/>
        </w:rPr>
        <w:t>不得收受供应商及有关业务单位和个人的财物或好处</w:t>
      </w:r>
      <w:r>
        <w:rPr>
          <w:rFonts w:hint="eastAsia" w:ascii="宋体" w:hAnsi="宋体" w:cs="宋体"/>
          <w:bCs/>
          <w:sz w:val="24"/>
          <w:highlight w:val="none"/>
          <w:lang w:eastAsia="zh-CN"/>
        </w:rPr>
        <w:t>，</w:t>
      </w:r>
      <w:r>
        <w:rPr>
          <w:rFonts w:hint="eastAsia" w:ascii="宋体" w:hAnsi="宋体" w:cs="宋体"/>
          <w:bCs/>
          <w:sz w:val="24"/>
          <w:highlight w:val="none"/>
        </w:rPr>
        <w:t>不得接受采购组织单位的请托。</w:t>
      </w:r>
    </w:p>
    <w:p>
      <w:pPr>
        <w:rPr>
          <w:rFonts w:ascii="宋体" w:hAnsi="宋体" w:cs="宋体"/>
          <w:sz w:val="24"/>
          <w:highlight w:val="none"/>
        </w:rPr>
      </w:pPr>
      <w:r>
        <w:rPr>
          <w:rFonts w:hint="eastAsia" w:ascii="宋体" w:hAnsi="宋体" w:cs="宋体"/>
          <w:sz w:val="24"/>
          <w:highlight w:val="none"/>
        </w:rPr>
        <w:br w:type="page"/>
      </w:r>
    </w:p>
    <w:p>
      <w:pPr>
        <w:pStyle w:val="3"/>
        <w:rPr>
          <w:rFonts w:ascii="宋体" w:hAnsi="宋体" w:cs="宋体"/>
          <w:highlight w:val="none"/>
        </w:rPr>
      </w:pPr>
      <w:bookmarkStart w:id="356" w:name="_Toc11212"/>
      <w:bookmarkStart w:id="357" w:name="_Toc10083"/>
      <w:bookmarkStart w:id="358" w:name="_Toc21369"/>
      <w:bookmarkStart w:id="359" w:name="_Toc513202003"/>
      <w:r>
        <w:rPr>
          <w:rFonts w:hint="eastAsia" w:ascii="宋体" w:hAnsi="宋体" w:cs="宋体"/>
          <w:highlight w:val="none"/>
        </w:rPr>
        <w:t>第八章  政府采购合同</w:t>
      </w:r>
      <w:bookmarkEnd w:id="356"/>
      <w:bookmarkEnd w:id="357"/>
      <w:bookmarkEnd w:id="358"/>
      <w:bookmarkEnd w:id="359"/>
    </w:p>
    <w:p>
      <w:pPr>
        <w:pStyle w:val="2"/>
        <w:rPr>
          <w:rFonts w:ascii="宋体" w:hAnsi="宋体" w:cs="宋体"/>
          <w:b/>
          <w:bCs/>
          <w:sz w:val="24"/>
          <w:highlight w:val="none"/>
        </w:rPr>
      </w:pPr>
    </w:p>
    <w:p>
      <w:pPr>
        <w:keepNext w:val="0"/>
        <w:keepLines w:val="0"/>
        <w:pageBreakBefore w:val="0"/>
        <w:widowControl w:val="0"/>
        <w:tabs>
          <w:tab w:val="left" w:pos="5142"/>
        </w:tabs>
        <w:kinsoku/>
        <w:wordWrap/>
        <w:overflowPunct/>
        <w:topLinePunct w:val="0"/>
        <w:autoSpaceDE/>
        <w:autoSpaceDN/>
        <w:bidi w:val="0"/>
        <w:adjustRightInd w:val="0"/>
        <w:snapToGrid w:val="0"/>
        <w:spacing w:line="520" w:lineRule="exact"/>
        <w:jc w:val="center"/>
        <w:textAlignment w:val="auto"/>
        <w:rPr>
          <w:rFonts w:hint="eastAsia" w:ascii="宋体" w:hAnsi="宋体" w:cs="宋体"/>
          <w:b w:val="0"/>
          <w:bCs w:val="0"/>
          <w:color w:val="auto"/>
          <w:sz w:val="44"/>
          <w:szCs w:val="44"/>
          <w:highlight w:val="none"/>
          <w:lang w:val="en-US" w:eastAsia="zh-CN"/>
        </w:rPr>
      </w:pPr>
      <w:r>
        <w:rPr>
          <w:rFonts w:hint="eastAsia" w:ascii="宋体" w:hAnsi="宋体" w:cs="宋体"/>
          <w:b w:val="0"/>
          <w:bCs w:val="0"/>
          <w:color w:val="auto"/>
          <w:sz w:val="44"/>
          <w:szCs w:val="44"/>
          <w:highlight w:val="none"/>
          <w:lang w:val="en-US" w:eastAsia="zh-CN"/>
        </w:rPr>
        <w:t>成都市郫都区综合行政执法局</w:t>
      </w:r>
    </w:p>
    <w:p>
      <w:pPr>
        <w:keepNext w:val="0"/>
        <w:keepLines w:val="0"/>
        <w:pageBreakBefore w:val="0"/>
        <w:widowControl w:val="0"/>
        <w:tabs>
          <w:tab w:val="left" w:pos="5142"/>
        </w:tabs>
        <w:kinsoku/>
        <w:wordWrap/>
        <w:overflowPunct/>
        <w:topLinePunct w:val="0"/>
        <w:autoSpaceDE/>
        <w:autoSpaceDN/>
        <w:bidi w:val="0"/>
        <w:adjustRightInd w:val="0"/>
        <w:snapToGrid w:val="0"/>
        <w:spacing w:line="520" w:lineRule="exact"/>
        <w:jc w:val="center"/>
        <w:textAlignment w:val="auto"/>
        <w:rPr>
          <w:rFonts w:hint="eastAsia" w:ascii="宋体" w:hAnsi="宋体" w:cs="宋体"/>
          <w:b w:val="0"/>
          <w:bCs w:val="0"/>
          <w:color w:val="auto"/>
          <w:sz w:val="44"/>
          <w:szCs w:val="44"/>
          <w:highlight w:val="none"/>
          <w:lang w:val="en-US" w:eastAsia="zh-CN"/>
        </w:rPr>
      </w:pPr>
      <w:r>
        <w:rPr>
          <w:rFonts w:hint="eastAsia" w:ascii="宋体" w:hAnsi="宋体" w:cs="宋体"/>
          <w:b w:val="0"/>
          <w:bCs w:val="0"/>
          <w:color w:val="auto"/>
          <w:sz w:val="44"/>
          <w:szCs w:val="44"/>
          <w:highlight w:val="none"/>
          <w:lang w:val="en-US" w:eastAsia="zh-CN"/>
        </w:rPr>
        <w:t>犀浦街道市政设施市场化管护项目委托合同（XX标段）</w:t>
      </w:r>
    </w:p>
    <w:p>
      <w:pPr>
        <w:pStyle w:val="2"/>
        <w:keepNext w:val="0"/>
        <w:keepLines w:val="0"/>
        <w:pageBreakBefore w:val="0"/>
        <w:kinsoku/>
        <w:wordWrap/>
        <w:overflowPunct/>
        <w:topLinePunct w:val="0"/>
        <w:autoSpaceDE/>
        <w:autoSpaceDN/>
        <w:bidi w:val="0"/>
        <w:spacing w:line="480" w:lineRule="exact"/>
        <w:textAlignment w:val="auto"/>
        <w:rPr>
          <w:rFonts w:hint="eastAsia" w:ascii="宋体" w:hAnsi="宋体" w:cs="宋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 w:val="0"/>
          <w:bCs w:val="0"/>
          <w:color w:val="auto"/>
          <w:sz w:val="28"/>
          <w:szCs w:val="28"/>
          <w:highlight w:val="none"/>
          <w:lang w:eastAsia="zh-CN"/>
        </w:rPr>
      </w:pPr>
      <w:r>
        <w:rPr>
          <w:rFonts w:hint="default" w:ascii="宋体" w:hAnsi="宋体" w:cs="宋体"/>
          <w:b w:val="0"/>
          <w:bCs w:val="0"/>
          <w:color w:val="auto"/>
          <w:sz w:val="28"/>
          <w:szCs w:val="28"/>
          <w:highlight w:val="none"/>
          <w:lang w:eastAsia="zh-CN"/>
        </w:rPr>
        <w:t xml:space="preserve">  </w:t>
      </w:r>
      <w:r>
        <w:rPr>
          <w:rFonts w:hint="eastAsia" w:ascii="宋体" w:hAnsi="宋体" w:cs="宋体"/>
          <w:b w:val="0"/>
          <w:bCs w:val="0"/>
          <w:color w:val="auto"/>
          <w:sz w:val="28"/>
          <w:szCs w:val="28"/>
          <w:highlight w:val="none"/>
          <w:lang w:val="en-US" w:eastAsia="zh-CN"/>
        </w:rPr>
        <w:t xml:space="preserve"> </w:t>
      </w:r>
      <w:r>
        <w:rPr>
          <w:rFonts w:hint="default" w:ascii="宋体" w:hAnsi="宋体" w:cs="宋体"/>
          <w:b w:val="0"/>
          <w:bCs w:val="0"/>
          <w:color w:val="auto"/>
          <w:sz w:val="28"/>
          <w:szCs w:val="28"/>
          <w:highlight w:val="none"/>
          <w:lang w:eastAsia="zh-CN"/>
        </w:rPr>
        <w:t xml:space="preserve"> 签订时间：</w:t>
      </w:r>
      <w:r>
        <w:rPr>
          <w:rFonts w:hint="eastAsia" w:ascii="宋体" w:hAnsi="宋体" w:cs="宋体"/>
          <w:b w:val="0"/>
          <w:bCs w:val="0"/>
          <w:color w:val="auto"/>
          <w:sz w:val="28"/>
          <w:szCs w:val="28"/>
          <w:highlight w:val="none"/>
          <w:lang w:val="en-US" w:eastAsia="zh-CN"/>
        </w:rPr>
        <w:t>XXXX</w:t>
      </w:r>
      <w:r>
        <w:rPr>
          <w:rFonts w:hint="default" w:ascii="宋体" w:hAnsi="宋体" w:cs="宋体"/>
          <w:b w:val="0"/>
          <w:bCs w:val="0"/>
          <w:color w:val="auto"/>
          <w:sz w:val="28"/>
          <w:szCs w:val="28"/>
          <w:highlight w:val="none"/>
          <w:lang w:eastAsia="zh-CN"/>
        </w:rPr>
        <w:t>年</w:t>
      </w:r>
      <w:r>
        <w:rPr>
          <w:rFonts w:hint="eastAsia" w:ascii="宋体" w:hAnsi="宋体" w:cs="宋体"/>
          <w:b w:val="0"/>
          <w:bCs w:val="0"/>
          <w:color w:val="auto"/>
          <w:sz w:val="28"/>
          <w:szCs w:val="28"/>
          <w:highlight w:val="none"/>
          <w:lang w:val="en-US" w:eastAsia="zh-CN"/>
        </w:rPr>
        <w:t>XX</w:t>
      </w:r>
      <w:r>
        <w:rPr>
          <w:rFonts w:hint="default" w:ascii="宋体" w:hAnsi="宋体" w:cs="宋体"/>
          <w:b w:val="0"/>
          <w:bCs w:val="0"/>
          <w:color w:val="auto"/>
          <w:sz w:val="28"/>
          <w:szCs w:val="28"/>
          <w:highlight w:val="none"/>
          <w:lang w:eastAsia="zh-CN"/>
        </w:rPr>
        <w:t>月</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color w:val="auto"/>
          <w:sz w:val="28"/>
          <w:szCs w:val="28"/>
          <w:highlight w:val="none"/>
          <w:lang w:eastAsia="zh-CN"/>
        </w:rPr>
      </w:pPr>
      <w:r>
        <w:rPr>
          <w:rFonts w:hint="default" w:ascii="宋体" w:hAnsi="宋体" w:cs="宋体"/>
          <w:b w:val="0"/>
          <w:bCs w:val="0"/>
          <w:color w:val="auto"/>
          <w:sz w:val="28"/>
          <w:szCs w:val="28"/>
          <w:highlight w:val="none"/>
          <w:lang w:eastAsia="zh-CN"/>
        </w:rPr>
        <w:t xml:space="preserve">    资金来源：财政资金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8"/>
          <w:szCs w:val="28"/>
          <w:highlight w:val="none"/>
        </w:rPr>
      </w:pPr>
      <w:r>
        <w:rPr>
          <w:rFonts w:hint="default" w:ascii="宋体" w:hAnsi="宋体" w:cs="宋体"/>
          <w:b w:val="0"/>
          <w:bCs w:val="0"/>
          <w:color w:val="auto"/>
          <w:sz w:val="28"/>
          <w:szCs w:val="28"/>
          <w:highlight w:val="none"/>
          <w:lang w:eastAsia="zh-CN"/>
        </w:rPr>
        <w:t xml:space="preserve">    </w:t>
      </w:r>
      <w:r>
        <w:rPr>
          <w:rFonts w:hint="eastAsia" w:ascii="宋体" w:hAnsi="宋体" w:eastAsia="宋体" w:cs="宋体"/>
          <w:b w:val="0"/>
          <w:bCs w:val="0"/>
          <w:color w:val="auto"/>
          <w:sz w:val="28"/>
          <w:szCs w:val="28"/>
          <w:highlight w:val="none"/>
        </w:rPr>
        <w:t>签订地点：</w:t>
      </w:r>
      <w:r>
        <w:rPr>
          <w:rFonts w:hint="eastAsia" w:ascii="宋体" w:hAnsi="宋体" w:cs="宋体"/>
          <w:b w:val="0"/>
          <w:bCs w:val="0"/>
          <w:color w:val="auto"/>
          <w:sz w:val="28"/>
          <w:szCs w:val="28"/>
          <w:highlight w:val="none"/>
          <w:lang w:eastAsia="zh-CN"/>
        </w:rPr>
        <w:t>成都市郫都区综合行政执法局</w:t>
      </w:r>
      <w:r>
        <w:rPr>
          <w:rFonts w:hint="eastAsia" w:ascii="宋体" w:hAnsi="宋体" w:eastAsia="宋体" w:cs="宋体"/>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采购人（甲方）：</w:t>
      </w:r>
      <w:r>
        <w:rPr>
          <w:rFonts w:hint="eastAsia" w:ascii="宋体" w:hAnsi="宋体" w:cs="宋体"/>
          <w:b w:val="0"/>
          <w:bCs w:val="0"/>
          <w:color w:val="auto"/>
          <w:sz w:val="28"/>
          <w:szCs w:val="28"/>
          <w:highlight w:val="none"/>
          <w:lang w:eastAsia="zh-CN"/>
        </w:rPr>
        <w:t>成都市郫都区综合行政执法局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供应商（乙方）：</w:t>
      </w:r>
      <w:r>
        <w:rPr>
          <w:rFonts w:hint="eastAsia" w:ascii="宋体" w:hAnsi="宋体" w:eastAsia="宋体" w:cs="宋体"/>
          <w:b w:val="0"/>
          <w:bCs w:val="0"/>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 w:val="0"/>
          <w:bCs w:val="0"/>
          <w:color w:val="auto"/>
          <w:sz w:val="28"/>
          <w:szCs w:val="28"/>
          <w:highlight w:val="none"/>
        </w:rPr>
      </w:pPr>
    </w:p>
    <w:p>
      <w:pPr>
        <w:pStyle w:val="45"/>
        <w:keepNext w:val="0"/>
        <w:keepLines w:val="0"/>
        <w:pageBreakBefore w:val="0"/>
        <w:widowControl w:val="0"/>
        <w:kinsoku/>
        <w:wordWrap/>
        <w:overflowPunct/>
        <w:topLinePunct w:val="0"/>
        <w:autoSpaceDE/>
        <w:autoSpaceDN/>
        <w:bidi w:val="0"/>
        <w:spacing w:line="480" w:lineRule="exact"/>
        <w:ind w:firstLine="48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根据《中华人民共和国政府采购法》、《中华人民共和国</w:t>
      </w:r>
      <w:r>
        <w:rPr>
          <w:rFonts w:hint="eastAsia" w:ascii="宋体" w:hAnsi="宋体" w:eastAsia="宋体" w:cs="宋体"/>
          <w:b w:val="0"/>
          <w:bCs w:val="0"/>
          <w:color w:val="auto"/>
          <w:sz w:val="28"/>
          <w:szCs w:val="28"/>
          <w:highlight w:val="none"/>
          <w:lang w:val="en-US" w:eastAsia="zh-CN"/>
        </w:rPr>
        <w:t>民法典</w:t>
      </w:r>
      <w:r>
        <w:rPr>
          <w:rFonts w:hint="eastAsia" w:ascii="宋体" w:hAnsi="宋体" w:eastAsia="宋体" w:cs="宋体"/>
          <w:b w:val="0"/>
          <w:bCs w:val="0"/>
          <w:color w:val="auto"/>
          <w:sz w:val="28"/>
          <w:szCs w:val="28"/>
          <w:highlight w:val="none"/>
        </w:rPr>
        <w:t>》及</w:t>
      </w:r>
      <w:r>
        <w:rPr>
          <w:rFonts w:hint="eastAsia" w:ascii="宋体" w:hAnsi="宋体" w:eastAsia="宋体" w:cs="宋体"/>
          <w:b w:val="0"/>
          <w:bCs w:val="0"/>
          <w:color w:val="auto"/>
          <w:sz w:val="28"/>
          <w:szCs w:val="28"/>
          <w:highlight w:val="none"/>
          <w:lang w:val="en-US" w:eastAsia="zh-CN"/>
        </w:rPr>
        <w:t>成都市郫都区综合行政执法局犀浦街道市政设施市场化管护项目</w:t>
      </w:r>
      <w:r>
        <w:rPr>
          <w:rFonts w:hint="eastAsia" w:ascii="宋体" w:hAnsi="宋体" w:eastAsia="宋体" w:cs="宋体"/>
          <w:b w:val="0"/>
          <w:bCs w:val="0"/>
          <w:color w:val="auto"/>
          <w:sz w:val="28"/>
          <w:szCs w:val="28"/>
          <w:highlight w:val="none"/>
        </w:rPr>
        <w:t>（项目编号：</w:t>
      </w:r>
      <w:r>
        <w:rPr>
          <w:rFonts w:hint="eastAsia" w:ascii="宋体" w:hAnsi="宋体" w:eastAsia="宋体" w:cs="宋体"/>
          <w:b w:val="0"/>
          <w:bCs w:val="0"/>
          <w:color w:val="auto"/>
          <w:sz w:val="28"/>
          <w:szCs w:val="28"/>
          <w:highlight w:val="none"/>
          <w:lang w:val="en-US" w:eastAsia="zh-CN"/>
        </w:rPr>
        <w:t>XXXXXXXXXXX</w:t>
      </w:r>
      <w:r>
        <w:rPr>
          <w:rFonts w:hint="eastAsia" w:ascii="宋体" w:hAnsi="宋体" w:eastAsia="宋体" w:cs="宋体"/>
          <w:b w:val="0"/>
          <w:bCs w:val="0"/>
          <w:color w:val="auto"/>
          <w:sz w:val="28"/>
          <w:szCs w:val="28"/>
          <w:highlight w:val="none"/>
        </w:rPr>
        <w:t>）的《招标文件》、乙方的《投标文件》及《中标通知书》，甲、乙双方同意签订本合同。详细技术说明及其他有关合同项目的特定信息由合同附件予以说明，合同附件及本项目的招标文件、投标文件、《中标通知书》</w:t>
      </w:r>
      <w:r>
        <w:rPr>
          <w:rFonts w:hint="eastAsia" w:ascii="宋体" w:hAnsi="宋体" w:cs="宋体"/>
          <w:b w:val="0"/>
          <w:bCs w:val="0"/>
          <w:color w:val="auto"/>
          <w:sz w:val="28"/>
          <w:szCs w:val="28"/>
          <w:highlight w:val="none"/>
          <w:lang w:eastAsia="zh-CN"/>
        </w:rPr>
        <w:t>、附件</w:t>
      </w:r>
      <w:r>
        <w:rPr>
          <w:rFonts w:hint="eastAsia" w:ascii="宋体" w:hAnsi="宋体" w:eastAsia="宋体" w:cs="宋体"/>
          <w:b w:val="0"/>
          <w:bCs w:val="0"/>
          <w:color w:val="auto"/>
          <w:sz w:val="28"/>
          <w:szCs w:val="28"/>
          <w:highlight w:val="none"/>
        </w:rPr>
        <w:t>等均为本合同不可分割的部分。双方同意共同遵守如下条款：</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80" w:lineRule="exact"/>
        <w:ind w:left="1519" w:hanging="1094"/>
        <w:textAlignment w:val="auto"/>
        <w:rPr>
          <w:rFonts w:hint="eastAsia" w:ascii="黑体" w:hAnsi="黑体" w:eastAsia="黑体" w:cs="黑体"/>
          <w:b/>
          <w:bCs/>
          <w:color w:val="auto"/>
          <w:sz w:val="28"/>
          <w:szCs w:val="28"/>
          <w:highlight w:val="none"/>
        </w:rPr>
      </w:pPr>
      <w:bookmarkStart w:id="360" w:name="_Toc217446115"/>
      <w:r>
        <w:rPr>
          <w:rFonts w:hint="eastAsia" w:ascii="黑体" w:hAnsi="黑体" w:eastAsia="黑体" w:cs="黑体"/>
          <w:b/>
          <w:bCs/>
          <w:color w:val="auto"/>
          <w:sz w:val="28"/>
          <w:szCs w:val="28"/>
          <w:highlight w:val="none"/>
        </w:rPr>
        <w:t>项目基本情况</w:t>
      </w:r>
    </w:p>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 xml:space="preserve">    （一）管护区域</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XXXXXX，当管护区域存在争议时，以甲方现场指定界线为准。</w:t>
      </w:r>
    </w:p>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 xml:space="preserve">    （二）管护内容</w:t>
      </w:r>
    </w:p>
    <w:p>
      <w:pPr>
        <w:keepNext w:val="0"/>
        <w:keepLines w:val="0"/>
        <w:pageBreakBefore w:val="0"/>
        <w:widowControl w:val="0"/>
        <w:kinsoku/>
        <w:wordWrap/>
        <w:overflowPunct/>
        <w:topLinePunct w:val="0"/>
        <w:autoSpaceDE/>
        <w:autoSpaceDN/>
        <w:bidi w:val="0"/>
        <w:spacing w:line="480" w:lineRule="exact"/>
        <w:textAlignment w:val="auto"/>
        <w:rPr>
          <w:rFonts w:hint="default" w:ascii="宋体" w:hAnsi="宋体" w:eastAsia="宋体" w:cs="宋体"/>
          <w:color w:val="auto"/>
          <w:sz w:val="28"/>
          <w:szCs w:val="28"/>
          <w:highlight w:val="none"/>
          <w:lang w:val="en-US" w:eastAsia="zh-CN"/>
        </w:rPr>
      </w:pPr>
      <w:r>
        <w:rPr>
          <w:rFonts w:hint="eastAsia"/>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XXXXXX</w:t>
      </w:r>
      <w:r>
        <w:rPr>
          <w:rFonts w:hint="eastAsia"/>
          <w:color w:val="auto"/>
          <w:sz w:val="28"/>
          <w:szCs w:val="28"/>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8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合同期限</w:t>
      </w:r>
    </w:p>
    <w:p>
      <w:pPr>
        <w:keepNext w:val="0"/>
        <w:keepLines w:val="0"/>
        <w:pageBreakBefore w:val="0"/>
        <w:widowControl w:val="0"/>
        <w:kinsoku/>
        <w:wordWrap/>
        <w:overflowPunct/>
        <w:topLinePunct w:val="0"/>
        <w:autoSpaceDE/>
        <w:autoSpaceDN/>
        <w:bidi w:val="0"/>
        <w:spacing w:line="480" w:lineRule="exact"/>
        <w:ind w:firstLine="516" w:firstLineChars="200"/>
        <w:textAlignment w:val="auto"/>
        <w:rPr>
          <w:rFonts w:hint="eastAsia" w:ascii="宋体" w:hAnsi="宋体" w:eastAsia="宋体" w:cs="宋体"/>
          <w:b w:val="0"/>
          <w:bCs w:val="0"/>
          <w:color w:val="auto"/>
          <w:sz w:val="28"/>
          <w:szCs w:val="28"/>
          <w:highlight w:val="none"/>
          <w:lang w:eastAsia="zh-CN"/>
        </w:rPr>
      </w:pPr>
      <w:r>
        <w:rPr>
          <w:rFonts w:hint="eastAsia" w:hAnsi="宋体"/>
          <w:color w:val="auto"/>
          <w:spacing w:val="-11"/>
          <w:sz w:val="28"/>
          <w:szCs w:val="28"/>
          <w:highlight w:val="none"/>
        </w:rPr>
        <w:t xml:space="preserve"> 服务期限三年，一年合同期满后甲方视乙方履约情况确定是否续签合同。本合同</w:t>
      </w:r>
      <w:r>
        <w:rPr>
          <w:rFonts w:hint="eastAsia" w:hAnsi="宋体"/>
          <w:color w:val="auto"/>
          <w:spacing w:val="-11"/>
          <w:sz w:val="28"/>
          <w:szCs w:val="28"/>
          <w:highlight w:val="none"/>
          <w:lang w:eastAsia="zh-CN"/>
        </w:rPr>
        <w:t>为第</w:t>
      </w:r>
      <w:r>
        <w:rPr>
          <w:rFonts w:hint="eastAsia" w:hAnsi="宋体"/>
          <w:color w:val="auto"/>
          <w:spacing w:val="-11"/>
          <w:sz w:val="28"/>
          <w:szCs w:val="28"/>
          <w:highlight w:val="none"/>
          <w:u w:val="single"/>
          <w:lang w:val="en-US" w:eastAsia="zh-CN"/>
        </w:rPr>
        <w:t xml:space="preserve">   </w:t>
      </w:r>
      <w:r>
        <w:rPr>
          <w:rFonts w:hint="eastAsia" w:hAnsi="宋体"/>
          <w:color w:val="auto"/>
          <w:spacing w:val="-11"/>
          <w:sz w:val="28"/>
          <w:szCs w:val="28"/>
          <w:highlight w:val="none"/>
          <w:lang w:eastAsia="zh-CN"/>
        </w:rPr>
        <w:t>年，</w:t>
      </w:r>
      <w:r>
        <w:rPr>
          <w:rFonts w:hint="eastAsia" w:hAnsi="宋体"/>
          <w:color w:val="auto"/>
          <w:spacing w:val="-11"/>
          <w:sz w:val="28"/>
          <w:szCs w:val="28"/>
          <w:highlight w:val="none"/>
        </w:rPr>
        <w:t>服务期限：</w:t>
      </w:r>
      <w:r>
        <w:rPr>
          <w:rFonts w:hint="eastAsia" w:hAnsi="宋体"/>
          <w:color w:val="auto"/>
          <w:spacing w:val="-11"/>
          <w:sz w:val="28"/>
          <w:szCs w:val="28"/>
          <w:highlight w:val="none"/>
          <w:u w:val="single"/>
          <w:lang w:val="en-US" w:eastAsia="zh-CN"/>
        </w:rPr>
        <w:t xml:space="preserve">    </w:t>
      </w:r>
      <w:r>
        <w:rPr>
          <w:rFonts w:hint="eastAsia" w:hAnsi="宋体"/>
          <w:color w:val="auto"/>
          <w:spacing w:val="-11"/>
          <w:sz w:val="28"/>
          <w:szCs w:val="28"/>
          <w:highlight w:val="none"/>
        </w:rPr>
        <w:t>年</w:t>
      </w:r>
      <w:r>
        <w:rPr>
          <w:rFonts w:hint="eastAsia" w:hAnsi="宋体"/>
          <w:color w:val="auto"/>
          <w:spacing w:val="-11"/>
          <w:sz w:val="28"/>
          <w:szCs w:val="28"/>
          <w:highlight w:val="none"/>
          <w:u w:val="single"/>
          <w:lang w:val="en-US" w:eastAsia="zh-CN"/>
        </w:rPr>
        <w:t xml:space="preserve">   </w:t>
      </w:r>
      <w:r>
        <w:rPr>
          <w:rFonts w:hint="eastAsia" w:hAnsi="宋体"/>
          <w:color w:val="auto"/>
          <w:spacing w:val="-11"/>
          <w:sz w:val="28"/>
          <w:szCs w:val="28"/>
          <w:highlight w:val="none"/>
        </w:rPr>
        <w:t>月</w:t>
      </w:r>
      <w:r>
        <w:rPr>
          <w:rFonts w:hint="eastAsia" w:hAnsi="宋体"/>
          <w:color w:val="auto"/>
          <w:spacing w:val="-11"/>
          <w:sz w:val="28"/>
          <w:szCs w:val="28"/>
          <w:highlight w:val="none"/>
          <w:u w:val="single"/>
          <w:lang w:val="en-US" w:eastAsia="zh-CN"/>
        </w:rPr>
        <w:t xml:space="preserve">    </w:t>
      </w:r>
      <w:r>
        <w:rPr>
          <w:rFonts w:hint="eastAsia" w:hAnsi="宋体"/>
          <w:color w:val="auto"/>
          <w:spacing w:val="-11"/>
          <w:sz w:val="28"/>
          <w:szCs w:val="28"/>
          <w:highlight w:val="none"/>
        </w:rPr>
        <w:t>日起至</w:t>
      </w:r>
      <w:r>
        <w:rPr>
          <w:rFonts w:hint="eastAsia" w:hAnsi="宋体"/>
          <w:color w:val="auto"/>
          <w:spacing w:val="-11"/>
          <w:sz w:val="28"/>
          <w:szCs w:val="28"/>
          <w:highlight w:val="none"/>
          <w:u w:val="single"/>
          <w:lang w:val="en-US" w:eastAsia="zh-CN"/>
        </w:rPr>
        <w:t xml:space="preserve">    </w:t>
      </w:r>
      <w:r>
        <w:rPr>
          <w:rFonts w:hint="eastAsia" w:hAnsi="宋体"/>
          <w:color w:val="auto"/>
          <w:spacing w:val="-11"/>
          <w:sz w:val="28"/>
          <w:szCs w:val="28"/>
          <w:highlight w:val="none"/>
        </w:rPr>
        <w:t>年</w:t>
      </w:r>
      <w:r>
        <w:rPr>
          <w:rFonts w:hint="eastAsia" w:hAnsi="宋体"/>
          <w:color w:val="auto"/>
          <w:spacing w:val="-11"/>
          <w:sz w:val="28"/>
          <w:szCs w:val="28"/>
          <w:highlight w:val="none"/>
          <w:u w:val="single"/>
          <w:lang w:val="en-US" w:eastAsia="zh-CN"/>
        </w:rPr>
        <w:t xml:space="preserve">   </w:t>
      </w:r>
      <w:r>
        <w:rPr>
          <w:rFonts w:hint="eastAsia" w:hAnsi="宋体"/>
          <w:color w:val="auto"/>
          <w:spacing w:val="-11"/>
          <w:sz w:val="28"/>
          <w:szCs w:val="28"/>
          <w:highlight w:val="none"/>
        </w:rPr>
        <w:t>月</w:t>
      </w:r>
      <w:r>
        <w:rPr>
          <w:rFonts w:hint="eastAsia" w:hAnsi="宋体"/>
          <w:color w:val="auto"/>
          <w:spacing w:val="-11"/>
          <w:sz w:val="28"/>
          <w:szCs w:val="28"/>
          <w:highlight w:val="none"/>
          <w:u w:val="single"/>
          <w:lang w:val="en-US" w:eastAsia="zh-CN"/>
        </w:rPr>
        <w:t xml:space="preserve">    </w:t>
      </w:r>
      <w:r>
        <w:rPr>
          <w:rFonts w:hint="eastAsia" w:hAnsi="宋体"/>
          <w:color w:val="auto"/>
          <w:spacing w:val="-11"/>
          <w:sz w:val="28"/>
          <w:szCs w:val="28"/>
          <w:highlight w:val="none"/>
        </w:rPr>
        <w:t>日止。</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80" w:lineRule="exact"/>
        <w:ind w:left="1519" w:hanging="1094"/>
        <w:textAlignment w:val="auto"/>
        <w:rPr>
          <w:rFonts w:hint="eastAsia" w:ascii="黑体" w:hAnsi="黑体" w:eastAsia="黑体" w:cs="黑体"/>
          <w:b/>
          <w:bCs/>
          <w:color w:val="auto"/>
          <w:sz w:val="28"/>
          <w:szCs w:val="28"/>
          <w:highlight w:val="none"/>
        </w:rPr>
      </w:pPr>
      <w:bookmarkStart w:id="361" w:name="_Toc239568418"/>
      <w:bookmarkStart w:id="362" w:name="_Toc282696226"/>
      <w:bookmarkStart w:id="363" w:name="_Toc239233914"/>
      <w:bookmarkStart w:id="364" w:name="_Toc225670751"/>
      <w:bookmarkStart w:id="365" w:name="_Toc238984975"/>
      <w:bookmarkStart w:id="366" w:name="_Toc237145406"/>
      <w:bookmarkStart w:id="367" w:name="_Toc225654644"/>
      <w:bookmarkStart w:id="368" w:name="_Toc286993786"/>
      <w:bookmarkStart w:id="369" w:name="_Toc212019594"/>
      <w:bookmarkStart w:id="370" w:name="_Toc283019214"/>
      <w:bookmarkStart w:id="371" w:name="_Toc241833903"/>
      <w:bookmarkStart w:id="372" w:name="_Toc225244852"/>
      <w:bookmarkStart w:id="373" w:name="_Toc247334841"/>
      <w:bookmarkStart w:id="374" w:name="_Toc211854449"/>
      <w:bookmarkStart w:id="375" w:name="_Toc185395249"/>
      <w:bookmarkStart w:id="376" w:name="_Toc211911348"/>
      <w:bookmarkStart w:id="377" w:name="_Toc251768862"/>
      <w:bookmarkStart w:id="378" w:name="_Toc232492928"/>
      <w:r>
        <w:rPr>
          <w:rFonts w:hint="eastAsia" w:ascii="黑体" w:hAnsi="黑体" w:eastAsia="黑体" w:cs="黑体"/>
          <w:b/>
          <w:bCs/>
          <w:color w:val="auto"/>
          <w:sz w:val="28"/>
          <w:szCs w:val="28"/>
          <w:highlight w:val="none"/>
        </w:rPr>
        <w:t>服务内容与质量标准</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textAlignment w:val="auto"/>
        <w:rPr>
          <w:rFonts w:ascii="宋体" w:hAnsi="宋体"/>
          <w:color w:val="auto"/>
          <w:sz w:val="28"/>
          <w:szCs w:val="28"/>
          <w:highlight w:val="none"/>
        </w:rPr>
      </w:pPr>
      <w:r>
        <w:rPr>
          <w:rFonts w:hint="eastAsia" w:ascii="宋体" w:hAnsi="宋体" w:cs="宋体"/>
          <w:color w:val="auto"/>
          <w:sz w:val="28"/>
          <w:szCs w:val="28"/>
          <w:highlight w:val="none"/>
          <w:lang w:val="en-US" w:eastAsia="zh-CN"/>
        </w:rPr>
        <w:t>XXXXXX</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8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lang w:eastAsia="zh-CN"/>
        </w:rPr>
        <w:t>人员、机具配置要求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outlineLvl w:val="9"/>
        <w:rPr>
          <w:rFonts w:hint="eastAsia" w:ascii="宋体" w:hAnsi="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（一）人员配置</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cs="宋体"/>
          <w:color w:val="auto"/>
          <w:sz w:val="28"/>
          <w:szCs w:val="28"/>
          <w:highlight w:val="none"/>
          <w:lang w:val="en-US" w:eastAsia="zh-CN"/>
        </w:rPr>
        <w:t>XXXXXX</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（二）机具配置</w:t>
      </w:r>
    </w:p>
    <w:p>
      <w:pPr>
        <w:ind w:firstLine="560"/>
        <w:rPr>
          <w:rFonts w:hint="default"/>
          <w:color w:val="auto"/>
          <w:highlight w:val="none"/>
          <w:lang w:val="en-US" w:eastAsia="zh-CN"/>
        </w:rPr>
      </w:pPr>
      <w:r>
        <w:rPr>
          <w:rFonts w:hint="eastAsia" w:ascii="宋体" w:hAnsi="宋体" w:cs="宋体"/>
          <w:color w:val="auto"/>
          <w:sz w:val="28"/>
          <w:szCs w:val="28"/>
          <w:highlight w:val="none"/>
          <w:lang w:val="en-US" w:eastAsia="zh-CN"/>
        </w:rPr>
        <w:t>XXXXXX</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服务费用及支付方式</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（一）本项目服务费用：</w:t>
      </w:r>
    </w:p>
    <w:p>
      <w:pPr>
        <w:adjustRightInd w:val="0"/>
        <w:snapToGrid w:val="0"/>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1.年费用人民币：</w:t>
      </w:r>
      <w:r>
        <w:rPr>
          <w:rFonts w:hint="eastAsia" w:ascii="宋体" w:hAnsi="宋体" w:cs="宋体"/>
          <w:color w:val="auto"/>
          <w:sz w:val="28"/>
          <w:szCs w:val="28"/>
          <w:highlight w:val="none"/>
          <w:u w:val="single"/>
          <w:lang w:val="en-US" w:eastAsia="zh-CN"/>
        </w:rPr>
        <w:t>XXX</w:t>
      </w:r>
      <w:r>
        <w:rPr>
          <w:rFonts w:hint="eastAsia" w:ascii="宋体" w:hAnsi="宋体" w:cs="宋体"/>
          <w:color w:val="auto"/>
          <w:sz w:val="28"/>
          <w:szCs w:val="28"/>
          <w:highlight w:val="none"/>
        </w:rPr>
        <w:t>元/年（暂定价）（大写：</w:t>
      </w:r>
      <w:r>
        <w:rPr>
          <w:rFonts w:hint="eastAsia" w:ascii="宋体" w:hAnsi="宋体" w:cs="宋体"/>
          <w:color w:val="auto"/>
          <w:sz w:val="28"/>
          <w:szCs w:val="28"/>
          <w:highlight w:val="none"/>
          <w:u w:val="single"/>
          <w:lang w:val="en-US" w:eastAsia="zh-CN"/>
        </w:rPr>
        <w:t>XXX</w:t>
      </w:r>
      <w:r>
        <w:rPr>
          <w:rFonts w:hint="eastAsia" w:ascii="宋体" w:hAnsi="宋体" w:cs="宋体"/>
          <w:color w:val="auto"/>
          <w:sz w:val="28"/>
          <w:szCs w:val="28"/>
          <w:highlight w:val="none"/>
        </w:rPr>
        <w:t>），月费用人民币：</w:t>
      </w:r>
      <w:r>
        <w:rPr>
          <w:rFonts w:hint="eastAsia" w:ascii="宋体" w:hAnsi="宋体" w:cs="宋体"/>
          <w:color w:val="auto"/>
          <w:sz w:val="28"/>
          <w:szCs w:val="28"/>
          <w:highlight w:val="none"/>
          <w:u w:val="single"/>
          <w:lang w:val="en-US" w:eastAsia="zh-CN"/>
        </w:rPr>
        <w:t>XXX</w:t>
      </w:r>
      <w:r>
        <w:rPr>
          <w:rFonts w:hint="eastAsia" w:ascii="宋体" w:hAnsi="宋体" w:cs="宋体"/>
          <w:color w:val="auto"/>
          <w:sz w:val="28"/>
          <w:szCs w:val="28"/>
          <w:highlight w:val="none"/>
        </w:rPr>
        <w:t>元/月（暂定价）（大写：</w:t>
      </w:r>
      <w:r>
        <w:rPr>
          <w:rFonts w:hint="eastAsia" w:ascii="宋体" w:hAnsi="宋体" w:cs="宋体"/>
          <w:color w:val="auto"/>
          <w:sz w:val="28"/>
          <w:szCs w:val="28"/>
          <w:highlight w:val="none"/>
          <w:u w:val="single"/>
          <w:lang w:val="en-US" w:eastAsia="zh-CN"/>
        </w:rPr>
        <w:t>XXX</w:t>
      </w:r>
      <w:r>
        <w:rPr>
          <w:rFonts w:hint="eastAsia" w:ascii="宋体" w:hAnsi="宋体" w:cs="宋体"/>
          <w:color w:val="auto"/>
          <w:sz w:val="28"/>
          <w:szCs w:val="28"/>
          <w:highlight w:val="none"/>
        </w:rPr>
        <w:t>），</w:t>
      </w:r>
    </w:p>
    <w:p>
      <w:pPr>
        <w:adjustRightInd w:val="0"/>
        <w:snapToGrid w:val="0"/>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具体组成为：</w:t>
      </w:r>
    </w:p>
    <w:p>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u w:val="single"/>
          <w:lang w:val="en-US" w:eastAsia="zh-CN"/>
        </w:rPr>
        <w:t>XXX</w:t>
      </w:r>
      <w:r>
        <w:rPr>
          <w:rFonts w:hint="eastAsia" w:ascii="宋体" w:hAnsi="宋体" w:eastAsia="宋体" w:cs="宋体"/>
          <w:b w:val="0"/>
          <w:bCs w:val="0"/>
          <w:color w:val="auto"/>
          <w:sz w:val="28"/>
          <w:szCs w:val="28"/>
          <w:highlight w:val="none"/>
          <w:lang w:val="en-US" w:eastAsia="zh-CN"/>
        </w:rPr>
        <w:t>。</w:t>
      </w:r>
    </w:p>
    <w:p>
      <w:pPr>
        <w:pStyle w:val="2"/>
        <w:keepNext w:val="0"/>
        <w:keepLines w:val="0"/>
        <w:pageBreakBefore w:val="0"/>
        <w:kinsoku/>
        <w:wordWrap/>
        <w:overflowPunct/>
        <w:topLinePunct w:val="0"/>
        <w:autoSpaceDE/>
        <w:autoSpaceDN/>
        <w:bidi w:val="0"/>
        <w:spacing w:after="0" w:line="480" w:lineRule="exact"/>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2.结算方式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cs="宋体"/>
          <w:color w:val="auto"/>
          <w:sz w:val="28"/>
          <w:szCs w:val="28"/>
          <w:highlight w:val="none"/>
          <w:u w:val="single"/>
          <w:lang w:val="en-US" w:eastAsia="zh-CN"/>
        </w:rPr>
      </w:pPr>
      <w:r>
        <w:rPr>
          <w:rFonts w:hint="eastAsia" w:ascii="宋体" w:hAnsi="宋体" w:cs="宋体"/>
          <w:color w:val="auto"/>
          <w:sz w:val="28"/>
          <w:szCs w:val="28"/>
          <w:highlight w:val="none"/>
          <w:u w:val="single"/>
          <w:lang w:val="en-US" w:eastAsia="zh-CN"/>
        </w:rPr>
        <w:t>XXX</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（二）服务费支付方式： </w:t>
      </w:r>
    </w:p>
    <w:p>
      <w:pPr>
        <w:keepNext w:val="0"/>
        <w:keepLines w:val="0"/>
        <w:pageBreakBefore w:val="0"/>
        <w:kinsoku/>
        <w:wordWrap/>
        <w:overflowPunct/>
        <w:topLinePunct w:val="0"/>
        <w:autoSpaceDE/>
        <w:autoSpaceDN/>
        <w:bidi w:val="0"/>
        <w:adjustRightInd w:val="0"/>
        <w:snapToGrid w:val="0"/>
        <w:spacing w:line="480" w:lineRule="exact"/>
        <w:ind w:firstLine="560" w:firstLineChars="200"/>
        <w:rPr>
          <w:rFonts w:hint="eastAsia" w:ascii="宋体" w:hAnsi="宋体" w:eastAsia="宋体" w:cs="宋体"/>
          <w:strike w:val="0"/>
          <w:dstrike w:val="0"/>
          <w:color w:val="auto"/>
          <w:sz w:val="28"/>
          <w:szCs w:val="28"/>
          <w:highlight w:val="none"/>
          <w:lang w:eastAsia="zh-CN"/>
        </w:rPr>
      </w:pPr>
      <w:r>
        <w:rPr>
          <w:rFonts w:hint="eastAsia" w:ascii="宋体" w:hAnsi="宋体" w:cs="宋体"/>
          <w:color w:val="auto"/>
          <w:sz w:val="28"/>
          <w:szCs w:val="28"/>
          <w:highlight w:val="none"/>
          <w:u w:val="single"/>
          <w:lang w:val="en-US" w:eastAsia="zh-CN"/>
        </w:rPr>
        <w:t>XXX</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道路应急抢修工程或</w:t>
      </w:r>
      <w:r>
        <w:rPr>
          <w:rFonts w:hint="default" w:ascii="黑体" w:hAnsi="黑体" w:eastAsia="黑体" w:cs="黑体"/>
          <w:b/>
          <w:bCs/>
          <w:color w:val="auto"/>
          <w:sz w:val="28"/>
          <w:szCs w:val="28"/>
          <w:highlight w:val="none"/>
          <w:lang w:eastAsia="zh-CN"/>
        </w:rPr>
        <w:t>甲方</w:t>
      </w:r>
      <w:r>
        <w:rPr>
          <w:rFonts w:hint="eastAsia" w:ascii="黑体" w:hAnsi="黑体" w:eastAsia="黑体" w:cs="黑体"/>
          <w:b/>
          <w:bCs/>
          <w:color w:val="auto"/>
          <w:sz w:val="28"/>
          <w:szCs w:val="28"/>
          <w:highlight w:val="none"/>
          <w:lang w:val="en-US" w:eastAsia="zh-CN"/>
        </w:rPr>
        <w:t>要求的其他服务工作</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（一）服务内容</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both"/>
        <w:rPr>
          <w:rFonts w:ascii="宋体" w:hAnsi="宋体"/>
          <w:color w:val="auto"/>
          <w:sz w:val="28"/>
          <w:szCs w:val="28"/>
          <w:highlight w:val="none"/>
        </w:rPr>
      </w:pPr>
      <w:r>
        <w:rPr>
          <w:rFonts w:hint="eastAsia" w:ascii="宋体" w:hAnsi="宋体"/>
          <w:color w:val="auto"/>
          <w:sz w:val="28"/>
          <w:szCs w:val="28"/>
          <w:highlight w:val="none"/>
        </w:rPr>
        <w:t>成都市郫都区</w:t>
      </w:r>
      <w:r>
        <w:rPr>
          <w:rFonts w:hint="eastAsia" w:ascii="宋体" w:hAnsi="宋体"/>
          <w:color w:val="auto"/>
          <w:sz w:val="28"/>
          <w:szCs w:val="28"/>
          <w:highlight w:val="none"/>
          <w:lang w:eastAsia="zh-CN"/>
        </w:rPr>
        <w:t>道路</w:t>
      </w:r>
      <w:r>
        <w:rPr>
          <w:rFonts w:hint="eastAsia" w:ascii="宋体" w:hAnsi="宋体"/>
          <w:color w:val="auto"/>
          <w:sz w:val="28"/>
          <w:szCs w:val="28"/>
          <w:highlight w:val="none"/>
        </w:rPr>
        <w:t>应急抢修工程或</w:t>
      </w:r>
      <w:r>
        <w:rPr>
          <w:rFonts w:hint="eastAsia" w:ascii="宋体" w:hAnsi="宋体"/>
          <w:color w:val="auto"/>
          <w:sz w:val="28"/>
          <w:szCs w:val="28"/>
          <w:highlight w:val="none"/>
          <w:lang w:eastAsia="zh-CN"/>
        </w:rPr>
        <w:t>甲方</w:t>
      </w:r>
      <w:r>
        <w:rPr>
          <w:rFonts w:hint="eastAsia" w:ascii="宋体" w:hAnsi="宋体"/>
          <w:color w:val="auto"/>
          <w:sz w:val="28"/>
          <w:szCs w:val="28"/>
          <w:highlight w:val="none"/>
        </w:rPr>
        <w:t>要求的其他服务工作是指</w:t>
      </w:r>
      <w:r>
        <w:rPr>
          <w:rFonts w:hint="eastAsia" w:ascii="宋体" w:hAnsi="宋体"/>
          <w:color w:val="auto"/>
          <w:sz w:val="28"/>
          <w:szCs w:val="28"/>
          <w:highlight w:val="none"/>
          <w:lang w:eastAsia="zh-CN"/>
        </w:rPr>
        <w:t>甲方</w:t>
      </w:r>
      <w:r>
        <w:rPr>
          <w:rFonts w:hint="eastAsia" w:ascii="宋体" w:hAnsi="宋体"/>
          <w:color w:val="auto"/>
          <w:sz w:val="28"/>
          <w:szCs w:val="28"/>
          <w:highlight w:val="none"/>
        </w:rPr>
        <w:t>要求</w:t>
      </w:r>
      <w:r>
        <w:rPr>
          <w:rFonts w:hint="eastAsia" w:ascii="宋体" w:hAnsi="宋体"/>
          <w:color w:val="auto"/>
          <w:sz w:val="28"/>
          <w:szCs w:val="28"/>
          <w:highlight w:val="none"/>
          <w:lang w:eastAsia="zh-CN"/>
        </w:rPr>
        <w:t>乙方进行服务内容外</w:t>
      </w:r>
      <w:r>
        <w:rPr>
          <w:rFonts w:hint="eastAsia" w:ascii="宋体" w:hAnsi="宋体"/>
          <w:color w:val="auto"/>
          <w:sz w:val="28"/>
          <w:szCs w:val="28"/>
          <w:highlight w:val="none"/>
        </w:rPr>
        <w:t>的</w:t>
      </w:r>
      <w:r>
        <w:rPr>
          <w:rFonts w:hint="eastAsia" w:ascii="宋体" w:hAnsi="宋体"/>
          <w:color w:val="auto"/>
          <w:sz w:val="28"/>
          <w:szCs w:val="28"/>
          <w:highlight w:val="none"/>
          <w:lang w:eastAsia="zh-CN"/>
        </w:rPr>
        <w:t>服务工作</w:t>
      </w:r>
      <w:r>
        <w:rPr>
          <w:rFonts w:hint="eastAsia" w:ascii="宋体" w:hAnsi="宋体"/>
          <w:color w:val="auto"/>
          <w:sz w:val="28"/>
          <w:szCs w:val="28"/>
          <w:highlight w:val="none"/>
        </w:rPr>
        <w:t>。主要</w:t>
      </w:r>
      <w:r>
        <w:rPr>
          <w:rFonts w:hint="eastAsia" w:ascii="宋体" w:hAnsi="宋体"/>
          <w:color w:val="auto"/>
          <w:sz w:val="28"/>
          <w:szCs w:val="28"/>
          <w:highlight w:val="none"/>
          <w:lang w:eastAsia="zh-CN"/>
        </w:rPr>
        <w:t>服务工作</w:t>
      </w:r>
      <w:r>
        <w:rPr>
          <w:rFonts w:hint="eastAsia" w:ascii="宋体" w:hAnsi="宋体"/>
          <w:color w:val="auto"/>
          <w:sz w:val="28"/>
          <w:szCs w:val="28"/>
          <w:highlight w:val="none"/>
        </w:rPr>
        <w:t>内容包括以下几个方面：</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根据</w:t>
      </w:r>
      <w:r>
        <w:rPr>
          <w:rFonts w:hint="default" w:ascii="宋体" w:hAnsi="宋体"/>
          <w:color w:val="auto"/>
          <w:sz w:val="28"/>
          <w:szCs w:val="28"/>
          <w:highlight w:val="none"/>
          <w:lang w:eastAsia="zh-CN"/>
        </w:rPr>
        <w:t>甲方</w:t>
      </w:r>
      <w:r>
        <w:rPr>
          <w:rFonts w:hint="eastAsia" w:ascii="宋体" w:hAnsi="宋体"/>
          <w:color w:val="auto"/>
          <w:sz w:val="28"/>
          <w:szCs w:val="28"/>
          <w:highlight w:val="none"/>
        </w:rPr>
        <w:t>需要</w:t>
      </w:r>
      <w:r>
        <w:rPr>
          <w:rFonts w:hint="eastAsia" w:ascii="宋体" w:hAnsi="宋体"/>
          <w:color w:val="auto"/>
          <w:sz w:val="28"/>
          <w:szCs w:val="28"/>
          <w:highlight w:val="none"/>
          <w:lang w:eastAsia="zh-CN"/>
        </w:rPr>
        <w:t>对服务内容外</w:t>
      </w:r>
      <w:r>
        <w:rPr>
          <w:rFonts w:hint="eastAsia" w:ascii="宋体" w:hAnsi="宋体"/>
          <w:color w:val="auto"/>
          <w:sz w:val="28"/>
          <w:szCs w:val="28"/>
          <w:highlight w:val="none"/>
        </w:rPr>
        <w:t>进行应急抢修</w:t>
      </w:r>
      <w:r>
        <w:rPr>
          <w:rFonts w:hint="eastAsia" w:ascii="宋体" w:hAnsi="宋体"/>
          <w:color w:val="auto"/>
          <w:sz w:val="28"/>
          <w:szCs w:val="28"/>
          <w:highlight w:val="none"/>
          <w:lang w:eastAsia="zh-CN"/>
        </w:rPr>
        <w:t>工程</w:t>
      </w:r>
      <w:r>
        <w:rPr>
          <w:rFonts w:hint="eastAsia" w:ascii="宋体" w:hAnsi="宋体"/>
          <w:color w:val="auto"/>
          <w:sz w:val="28"/>
          <w:szCs w:val="28"/>
          <w:highlight w:val="none"/>
        </w:rPr>
        <w:t>的病害情况、位置及范围</w:t>
      </w:r>
      <w:r>
        <w:rPr>
          <w:rFonts w:hint="eastAsia" w:ascii="宋体" w:hAnsi="宋体"/>
          <w:color w:val="auto"/>
          <w:sz w:val="28"/>
          <w:szCs w:val="28"/>
          <w:highlight w:val="none"/>
          <w:lang w:eastAsia="zh-CN"/>
        </w:rPr>
        <w:t>的调查、统计、测算工作</w:t>
      </w:r>
      <w:r>
        <w:rPr>
          <w:rFonts w:hint="eastAsia" w:ascii="宋体" w:hAnsi="宋体"/>
          <w:color w:val="auto"/>
          <w:sz w:val="28"/>
          <w:szCs w:val="28"/>
          <w:highlight w:val="none"/>
        </w:rPr>
        <w:t>。</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lang w:eastAsia="zh-CN"/>
        </w:rPr>
        <w:t>）</w:t>
      </w:r>
      <w:r>
        <w:rPr>
          <w:rFonts w:hint="default" w:ascii="宋体" w:hAnsi="宋体"/>
          <w:color w:val="auto"/>
          <w:sz w:val="28"/>
          <w:szCs w:val="28"/>
          <w:highlight w:val="none"/>
          <w:lang w:eastAsia="zh-CN"/>
        </w:rPr>
        <w:t>甲方</w:t>
      </w:r>
      <w:r>
        <w:rPr>
          <w:rFonts w:hint="eastAsia" w:ascii="宋体" w:hAnsi="宋体"/>
          <w:color w:val="auto"/>
          <w:sz w:val="28"/>
          <w:szCs w:val="28"/>
          <w:highlight w:val="none"/>
          <w:lang w:eastAsia="zh-CN"/>
        </w:rPr>
        <w:t>指定的维修范围。</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（2）制定应急抢修方案及工程量并上报</w:t>
      </w:r>
      <w:r>
        <w:rPr>
          <w:rFonts w:hint="default" w:ascii="宋体" w:hAnsi="宋体"/>
          <w:color w:val="auto"/>
          <w:sz w:val="28"/>
          <w:szCs w:val="28"/>
          <w:highlight w:val="none"/>
        </w:rPr>
        <w:t>甲方</w:t>
      </w:r>
      <w:r>
        <w:rPr>
          <w:rFonts w:hint="eastAsia" w:ascii="宋体" w:hAnsi="宋体"/>
          <w:color w:val="auto"/>
          <w:sz w:val="28"/>
          <w:szCs w:val="28"/>
          <w:highlight w:val="none"/>
        </w:rPr>
        <w:t>。</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（3）</w:t>
      </w:r>
      <w:r>
        <w:rPr>
          <w:rFonts w:hint="default" w:ascii="宋体" w:hAnsi="宋体"/>
          <w:color w:val="auto"/>
          <w:sz w:val="28"/>
          <w:szCs w:val="28"/>
          <w:highlight w:val="none"/>
        </w:rPr>
        <w:t>甲方</w:t>
      </w:r>
      <w:r>
        <w:rPr>
          <w:rFonts w:hint="eastAsia" w:ascii="宋体" w:hAnsi="宋体"/>
          <w:color w:val="auto"/>
          <w:sz w:val="28"/>
          <w:szCs w:val="28"/>
          <w:highlight w:val="none"/>
        </w:rPr>
        <w:t>现场核实确认工程量并下发派工单。</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t>（4）按照经批准的方案和派工单对病害进行专项维修或应急抢修。</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3"/>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（二）结算方式</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按国家建设工程工程量清单计价规范2013、四川省建设工程2015工程量清单计价定额及相关配套文件组价的计费标准（如遇定额调整则按新标准实施）及投标比例编制造价清单，若定额标准内无相关项目，则根据实际情况进行组价</w:t>
      </w:r>
      <w:r>
        <w:rPr>
          <w:rFonts w:hint="eastAsia" w:ascii="宋体" w:hAnsi="宋体"/>
          <w:color w:val="auto"/>
          <w:sz w:val="28"/>
          <w:szCs w:val="28"/>
          <w:highlight w:val="none"/>
          <w:lang w:eastAsia="zh-CN"/>
        </w:rPr>
        <w:t>，并形成结算资料报送甲方</w:t>
      </w:r>
      <w:r>
        <w:rPr>
          <w:rFonts w:hint="eastAsia" w:ascii="宋体" w:hAnsi="宋体"/>
          <w:color w:val="auto"/>
          <w:sz w:val="28"/>
          <w:szCs w:val="28"/>
          <w:highlight w:val="none"/>
        </w:rPr>
        <w:t>。</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rPr>
          <w:rFonts w:hint="default" w:eastAsia="宋体"/>
          <w:color w:val="auto"/>
          <w:sz w:val="28"/>
          <w:szCs w:val="28"/>
          <w:highlight w:val="none"/>
          <w:lang w:val="en-US" w:eastAsia="zh-CN"/>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w:t>
      </w:r>
      <w:r>
        <w:rPr>
          <w:rFonts w:hint="eastAsia" w:ascii="宋体" w:hAnsi="宋体"/>
          <w:color w:val="auto"/>
          <w:sz w:val="28"/>
          <w:szCs w:val="28"/>
          <w:highlight w:val="none"/>
          <w:lang w:eastAsia="zh-CN"/>
        </w:rPr>
        <w:t>由甲方</w:t>
      </w:r>
      <w:r>
        <w:rPr>
          <w:rFonts w:hint="eastAsia" w:ascii="宋体" w:hAnsi="宋体"/>
          <w:color w:val="auto"/>
          <w:sz w:val="28"/>
          <w:szCs w:val="28"/>
          <w:highlight w:val="none"/>
        </w:rPr>
        <w:t>委托</w:t>
      </w:r>
      <w:r>
        <w:rPr>
          <w:rFonts w:hint="eastAsia" w:ascii="宋体" w:hAnsi="宋体"/>
          <w:color w:val="auto"/>
          <w:sz w:val="28"/>
          <w:szCs w:val="28"/>
          <w:highlight w:val="none"/>
          <w:lang w:eastAsia="zh-CN"/>
        </w:rPr>
        <w:t>第三方</w:t>
      </w:r>
      <w:r>
        <w:rPr>
          <w:rFonts w:hint="eastAsia" w:ascii="宋体" w:hAnsi="宋体"/>
          <w:color w:val="auto"/>
          <w:sz w:val="28"/>
          <w:szCs w:val="28"/>
          <w:highlight w:val="none"/>
        </w:rPr>
        <w:t>专业</w:t>
      </w:r>
      <w:r>
        <w:rPr>
          <w:rFonts w:hint="eastAsia" w:ascii="宋体" w:hAnsi="宋体"/>
          <w:color w:val="auto"/>
          <w:sz w:val="28"/>
          <w:szCs w:val="28"/>
          <w:highlight w:val="none"/>
          <w:lang w:eastAsia="zh-CN"/>
        </w:rPr>
        <w:t>评审</w:t>
      </w:r>
      <w:r>
        <w:rPr>
          <w:rFonts w:hint="eastAsia" w:ascii="宋体" w:hAnsi="宋体"/>
          <w:color w:val="auto"/>
          <w:sz w:val="28"/>
          <w:szCs w:val="28"/>
          <w:highlight w:val="none"/>
        </w:rPr>
        <w:t>单位</w:t>
      </w:r>
      <w:r>
        <w:rPr>
          <w:rFonts w:hint="eastAsia" w:ascii="宋体" w:hAnsi="宋体"/>
          <w:color w:val="auto"/>
          <w:sz w:val="28"/>
          <w:szCs w:val="28"/>
          <w:highlight w:val="none"/>
          <w:lang w:eastAsia="zh-CN"/>
        </w:rPr>
        <w:t>对乙方送审的结算资料进行</w:t>
      </w:r>
      <w:r>
        <w:rPr>
          <w:rFonts w:hint="eastAsia" w:ascii="宋体" w:hAnsi="宋体"/>
          <w:color w:val="auto"/>
          <w:sz w:val="28"/>
          <w:szCs w:val="28"/>
          <w:highlight w:val="none"/>
        </w:rPr>
        <w:t>审核</w:t>
      </w:r>
      <w:r>
        <w:rPr>
          <w:rFonts w:hint="eastAsia" w:ascii="宋体" w:hAnsi="宋体"/>
          <w:color w:val="auto"/>
          <w:sz w:val="28"/>
          <w:szCs w:val="28"/>
          <w:highlight w:val="none"/>
          <w:lang w:eastAsia="zh-CN"/>
        </w:rPr>
        <w:t>，甲方根据审核结果支付相应费用</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知识产权</w:t>
      </w:r>
    </w:p>
    <w:p>
      <w:pPr>
        <w:keepNext w:val="0"/>
        <w:keepLines w:val="0"/>
        <w:pageBreakBefore w:val="0"/>
        <w:tabs>
          <w:tab w:val="left" w:pos="1440"/>
        </w:tabs>
        <w:kinsoku/>
        <w:wordWrap/>
        <w:overflowPunct/>
        <w:topLinePunct w:val="0"/>
        <w:autoSpaceDE/>
        <w:autoSpaceDN/>
        <w:bidi w:val="0"/>
        <w:spacing w:line="48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乙方应保证所提供的服务或其任何一部分均不会侵犯任何第三方的专利权、商标权或著作权。</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无产权瑕疵条款</w:t>
      </w:r>
    </w:p>
    <w:p>
      <w:pPr>
        <w:keepNext w:val="0"/>
        <w:keepLines w:val="0"/>
        <w:pageBreakBefore w:val="0"/>
        <w:tabs>
          <w:tab w:val="left" w:pos="1440"/>
        </w:tabs>
        <w:kinsoku/>
        <w:wordWrap/>
        <w:overflowPunct/>
        <w:topLinePunct w:val="0"/>
        <w:autoSpaceDE/>
        <w:autoSpaceDN/>
        <w:bidi w:val="0"/>
        <w:spacing w:line="48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履约保证金</w:t>
      </w:r>
    </w:p>
    <w:p>
      <w:pPr>
        <w:pStyle w:val="11"/>
        <w:keepNext w:val="0"/>
        <w:keepLines w:val="0"/>
        <w:pageBreakBefore w:val="0"/>
        <w:numPr>
          <w:ilvl w:val="0"/>
          <w:numId w:val="5"/>
        </w:numPr>
        <w:kinsoku/>
        <w:wordWrap/>
        <w:overflowPunct/>
        <w:topLinePunct w:val="0"/>
        <w:autoSpaceDE/>
        <w:autoSpaceDN/>
        <w:bidi w:val="0"/>
        <w:spacing w:line="480" w:lineRule="exact"/>
        <w:ind w:left="0" w:firstLine="567"/>
        <w:rPr>
          <w:rFonts w:hint="eastAsia" w:ascii="宋体" w:hAnsi="宋体" w:eastAsia="宋体" w:cs="宋体"/>
          <w:b w:val="0"/>
          <w:bCs w:val="0"/>
          <w:color w:val="auto"/>
          <w:sz w:val="28"/>
          <w:szCs w:val="28"/>
          <w:highlight w:val="none"/>
        </w:rPr>
      </w:pPr>
      <w:r>
        <w:rPr>
          <w:rFonts w:hint="eastAsia" w:hAnsi="宋体" w:cs="宋体"/>
          <w:b w:val="0"/>
          <w:bCs w:val="0"/>
          <w:color w:val="auto"/>
          <w:sz w:val="28"/>
          <w:szCs w:val="28"/>
          <w:highlight w:val="none"/>
          <w:lang w:eastAsia="zh-CN"/>
        </w:rPr>
        <w:t>签订合同前，</w:t>
      </w:r>
      <w:r>
        <w:rPr>
          <w:rFonts w:hint="eastAsia" w:ascii="宋体" w:hAnsi="宋体" w:eastAsia="宋体" w:cs="宋体"/>
          <w:b w:val="0"/>
          <w:bCs w:val="0"/>
          <w:color w:val="auto"/>
          <w:sz w:val="28"/>
          <w:szCs w:val="28"/>
          <w:highlight w:val="none"/>
        </w:rPr>
        <w:t>乙方</w:t>
      </w:r>
      <w:r>
        <w:rPr>
          <w:rFonts w:hint="eastAsia" w:hAnsi="宋体" w:cs="宋体"/>
          <w:b w:val="0"/>
          <w:bCs w:val="0"/>
          <w:color w:val="auto"/>
          <w:sz w:val="28"/>
          <w:szCs w:val="28"/>
          <w:highlight w:val="none"/>
          <w:lang w:eastAsia="zh-CN"/>
        </w:rPr>
        <w:t>需向甲方</w:t>
      </w:r>
      <w:r>
        <w:rPr>
          <w:rFonts w:hint="eastAsia" w:ascii="宋体" w:hAnsi="宋体" w:eastAsia="宋体" w:cs="宋体"/>
          <w:b w:val="0"/>
          <w:bCs w:val="0"/>
          <w:color w:val="auto"/>
          <w:sz w:val="28"/>
          <w:szCs w:val="28"/>
          <w:highlight w:val="none"/>
        </w:rPr>
        <w:t>交纳</w:t>
      </w:r>
      <w:r>
        <w:rPr>
          <w:rFonts w:hint="eastAsia" w:ascii="宋体" w:hAnsi="宋体" w:eastAsia="宋体" w:cs="宋体"/>
          <w:b w:val="0"/>
          <w:bCs w:val="0"/>
          <w:color w:val="auto"/>
          <w:sz w:val="28"/>
          <w:szCs w:val="28"/>
          <w:highlight w:val="none"/>
          <w:lang w:val="en-US" w:eastAsia="zh-CN"/>
        </w:rPr>
        <w:t>成交金额的5%</w:t>
      </w:r>
      <w:r>
        <w:rPr>
          <w:rFonts w:hint="eastAsia" w:hAnsi="宋体" w:cs="宋体"/>
          <w:b w:val="0"/>
          <w:bCs w:val="0"/>
          <w:color w:val="auto"/>
          <w:sz w:val="28"/>
          <w:szCs w:val="28"/>
          <w:highlight w:val="none"/>
          <w:lang w:val="en-US" w:eastAsia="zh-CN"/>
        </w:rPr>
        <w:t>，即</w:t>
      </w:r>
      <w:r>
        <w:rPr>
          <w:rFonts w:hint="eastAsia" w:hAnsi="宋体" w:cs="宋体"/>
          <w:b w:val="0"/>
          <w:bCs w:val="0"/>
          <w:color w:val="auto"/>
          <w:sz w:val="28"/>
          <w:szCs w:val="28"/>
          <w:highlight w:val="none"/>
          <w:u w:val="single"/>
          <w:lang w:val="en-US" w:eastAsia="zh-CN"/>
        </w:rPr>
        <w:t xml:space="preserve"> XXX </w:t>
      </w:r>
      <w:r>
        <w:rPr>
          <w:rFonts w:hint="eastAsia" w:hAnsi="宋体" w:cs="宋体"/>
          <w:b w:val="0"/>
          <w:bCs w:val="0"/>
          <w:color w:val="auto"/>
          <w:sz w:val="28"/>
          <w:szCs w:val="28"/>
          <w:highlight w:val="none"/>
          <w:lang w:val="en-US" w:eastAsia="zh-CN"/>
        </w:rPr>
        <w:t>元（大写：XXX）</w:t>
      </w:r>
      <w:r>
        <w:rPr>
          <w:rFonts w:hint="eastAsia" w:ascii="宋体" w:hAnsi="宋体" w:eastAsia="宋体" w:cs="宋体"/>
          <w:b w:val="0"/>
          <w:bCs w:val="0"/>
          <w:color w:val="auto"/>
          <w:sz w:val="28"/>
          <w:szCs w:val="28"/>
          <w:highlight w:val="none"/>
        </w:rPr>
        <w:t>作为本</w:t>
      </w:r>
      <w:r>
        <w:rPr>
          <w:rFonts w:hint="eastAsia" w:hAnsi="宋体" w:cs="宋体"/>
          <w:b w:val="0"/>
          <w:bCs w:val="0"/>
          <w:color w:val="auto"/>
          <w:sz w:val="28"/>
          <w:szCs w:val="28"/>
          <w:highlight w:val="none"/>
          <w:lang w:eastAsia="zh-CN"/>
        </w:rPr>
        <w:t>项目</w:t>
      </w:r>
      <w:r>
        <w:rPr>
          <w:rFonts w:hint="eastAsia" w:ascii="宋体" w:hAnsi="宋体" w:eastAsia="宋体" w:cs="宋体"/>
          <w:b w:val="0"/>
          <w:bCs w:val="0"/>
          <w:color w:val="auto"/>
          <w:sz w:val="28"/>
          <w:szCs w:val="28"/>
          <w:highlight w:val="none"/>
        </w:rPr>
        <w:t>的履约保证金</w:t>
      </w:r>
      <w:r>
        <w:rPr>
          <w:rFonts w:hint="eastAsia" w:hAnsi="宋体" w:cs="宋体"/>
          <w:b w:val="0"/>
          <w:bCs w:val="0"/>
          <w:color w:val="auto"/>
          <w:sz w:val="28"/>
          <w:szCs w:val="28"/>
          <w:highlight w:val="none"/>
          <w:lang w:eastAsia="zh-CN"/>
        </w:rPr>
        <w:t>，合同届满，乙方履约完成后无息退还给乙方</w:t>
      </w:r>
      <w:r>
        <w:rPr>
          <w:rFonts w:hint="eastAsia" w:ascii="宋体" w:hAnsi="宋体" w:eastAsia="宋体" w:cs="宋体"/>
          <w:b w:val="0"/>
          <w:bCs w:val="0"/>
          <w:color w:val="auto"/>
          <w:sz w:val="28"/>
          <w:szCs w:val="28"/>
          <w:highlight w:val="none"/>
        </w:rPr>
        <w:t>。</w:t>
      </w:r>
    </w:p>
    <w:p>
      <w:pPr>
        <w:pStyle w:val="11"/>
        <w:keepNext w:val="0"/>
        <w:keepLines w:val="0"/>
        <w:pageBreakBefore w:val="0"/>
        <w:numPr>
          <w:ilvl w:val="0"/>
          <w:numId w:val="5"/>
        </w:numPr>
        <w:kinsoku/>
        <w:wordWrap/>
        <w:overflowPunct/>
        <w:topLinePunct w:val="0"/>
        <w:autoSpaceDE/>
        <w:autoSpaceDN/>
        <w:bidi w:val="0"/>
        <w:spacing w:line="480" w:lineRule="exact"/>
        <w:ind w:left="0" w:firstLine="567"/>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履约保证金作为违约金的一部分用于补偿甲方因乙方不能履行合同义务而蒙受的损失。</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甲方的权利和义务</w:t>
      </w:r>
    </w:p>
    <w:p>
      <w:pPr>
        <w:pStyle w:val="11"/>
        <w:keepNext w:val="0"/>
        <w:keepLines w:val="0"/>
        <w:pageBreakBefore w:val="0"/>
        <w:numPr>
          <w:ilvl w:val="0"/>
          <w:numId w:val="6"/>
        </w:numPr>
        <w:kinsoku/>
        <w:wordWrap/>
        <w:overflowPunct/>
        <w:topLinePunct w:val="0"/>
        <w:autoSpaceDE/>
        <w:autoSpaceDN/>
        <w:bidi w:val="0"/>
        <w:spacing w:line="480" w:lineRule="exact"/>
        <w:ind w:left="0" w:firstLine="567"/>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11"/>
        <w:keepNext w:val="0"/>
        <w:keepLines w:val="0"/>
        <w:pageBreakBefore w:val="0"/>
        <w:numPr>
          <w:ilvl w:val="0"/>
          <w:numId w:val="6"/>
        </w:numPr>
        <w:kinsoku/>
        <w:wordWrap/>
        <w:overflowPunct/>
        <w:topLinePunct w:val="0"/>
        <w:autoSpaceDE/>
        <w:autoSpaceDN/>
        <w:bidi w:val="0"/>
        <w:spacing w:line="480" w:lineRule="exact"/>
        <w:ind w:left="0" w:firstLine="567"/>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甲方有权依据双方签订的考评办法对乙方提供的服务进行定期考评。当考评结果未达到标准时，有权依据考评办法约定的数额扣除履约保证金。</w:t>
      </w:r>
    </w:p>
    <w:p>
      <w:pPr>
        <w:pStyle w:val="11"/>
        <w:keepNext w:val="0"/>
        <w:keepLines w:val="0"/>
        <w:pageBreakBefore w:val="0"/>
        <w:numPr>
          <w:ilvl w:val="0"/>
          <w:numId w:val="6"/>
        </w:numPr>
        <w:kinsoku/>
        <w:wordWrap/>
        <w:overflowPunct/>
        <w:topLinePunct w:val="0"/>
        <w:autoSpaceDE/>
        <w:autoSpaceDN/>
        <w:bidi w:val="0"/>
        <w:spacing w:line="480" w:lineRule="exact"/>
        <w:ind w:left="0" w:firstLine="567"/>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负责检查监督乙方管理工作的实施及制度的执行情况。</w:t>
      </w:r>
    </w:p>
    <w:p>
      <w:pPr>
        <w:pStyle w:val="11"/>
        <w:keepNext w:val="0"/>
        <w:keepLines w:val="0"/>
        <w:pageBreakBefore w:val="0"/>
        <w:numPr>
          <w:ilvl w:val="0"/>
          <w:numId w:val="6"/>
        </w:numPr>
        <w:kinsoku/>
        <w:wordWrap/>
        <w:overflowPunct/>
        <w:topLinePunct w:val="0"/>
        <w:autoSpaceDE/>
        <w:autoSpaceDN/>
        <w:bidi w:val="0"/>
        <w:spacing w:line="480" w:lineRule="exact"/>
        <w:ind w:left="0" w:firstLine="567"/>
        <w:rPr>
          <w:rFonts w:hint="default" w:eastAsia="宋体"/>
          <w:color w:val="auto"/>
          <w:sz w:val="28"/>
          <w:szCs w:val="28"/>
          <w:highlight w:val="none"/>
          <w:lang w:val="en-US" w:eastAsia="zh-CN"/>
        </w:rPr>
      </w:pPr>
      <w:r>
        <w:rPr>
          <w:rFonts w:hint="eastAsia" w:ascii="宋体" w:hAnsi="宋体" w:eastAsia="宋体" w:cs="宋体"/>
          <w:b w:val="0"/>
          <w:bCs w:val="0"/>
          <w:color w:val="auto"/>
          <w:sz w:val="28"/>
          <w:szCs w:val="28"/>
          <w:highlight w:val="none"/>
        </w:rPr>
        <w:t>根据本合同规定，按时向乙方支付应付服务费用。</w:t>
      </w:r>
    </w:p>
    <w:p>
      <w:pPr>
        <w:pStyle w:val="11"/>
        <w:keepNext w:val="0"/>
        <w:keepLines w:val="0"/>
        <w:pageBreakBefore w:val="0"/>
        <w:numPr>
          <w:ilvl w:val="0"/>
          <w:numId w:val="6"/>
        </w:numPr>
        <w:kinsoku/>
        <w:wordWrap/>
        <w:overflowPunct/>
        <w:topLinePunct w:val="0"/>
        <w:autoSpaceDE/>
        <w:autoSpaceDN/>
        <w:bidi w:val="0"/>
        <w:spacing w:line="480" w:lineRule="exact"/>
        <w:ind w:left="0" w:firstLine="567"/>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辖区内作业量增加或减少，在符合《中华人名共和国政府采购法》的前提下，经甲方批准后，由甲方下达辖区作业增减量通知书，乙方按照《招标文件》要求实施作业，当年作业量增加或减少经费（以中标单价为计算基础），由甲方予以支付或扣除。</w:t>
      </w:r>
    </w:p>
    <w:p>
      <w:pPr>
        <w:pStyle w:val="11"/>
        <w:keepNext w:val="0"/>
        <w:keepLines w:val="0"/>
        <w:pageBreakBefore w:val="0"/>
        <w:numPr>
          <w:ilvl w:val="0"/>
          <w:numId w:val="6"/>
        </w:numPr>
        <w:kinsoku/>
        <w:wordWrap/>
        <w:overflowPunct/>
        <w:topLinePunct w:val="0"/>
        <w:autoSpaceDE/>
        <w:autoSpaceDN/>
        <w:bidi w:val="0"/>
        <w:spacing w:line="480" w:lineRule="exact"/>
        <w:ind w:left="0" w:firstLine="567"/>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国家法律、法规所规定由甲方承担的其它责任。</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乙方的权利和义务</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对本合同规定的委托服务范围内的项目享有管理权及服务义务。</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根据本合同的规定向甲方收取相关服务费用，并有权在本项目管理范围内管理及合理使用。</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及时向甲方通告本项目服务范围内有关服务的重大事项，及时配合处理投诉。</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每月向甲方书面报告作业服务实施情况；接受甲方的监督、检查和指导，完成交办的临时性、突发性任务；对于作业服务范围内发生的违反城市管理法律法规的人和事，要积极采取劝阻、制止等措施并及时向甲方报告。</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乙方须服从甲方的临时工作安排，以本合同约定内容为限，按时保质完成交办临时性工作任务。</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接受项目行业管理部门及政府有关部门的指导，接受甲方的监督。</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2"/>
          <w:sz w:val="28"/>
          <w:szCs w:val="28"/>
          <w:highlight w:val="none"/>
          <w:lang w:val="en-US" w:eastAsia="zh-CN" w:bidi="ar-SA"/>
        </w:rPr>
        <w:t>在签订本合同前向甲方交履约保证书一份，保证书无制式格式，需对招标文件要求一一回应。乙方不得超过自己履约能力接受该项任务，该工作不允许转包或分包。若发现有转包或分包的行为，甲方有权无条件解除本合同，并没收乙方履约保证金；给甲方造成经济损失的，乙方并作相应赔偿。</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乙方应严格执行国家劳动保障相关政策规定，按照国家有关法律法规和合同要求，与职工签订劳动合同，为其购买保险，按时支付员工工资，不得拖欠。</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乙方自行承担履行本合同项下义务的全部成本和费用。乙方在履行本合同过程中发生的一切安全责任事件(不可抗力除外），所产生的责任和损失由乙方自行承担。甲方因此被先行追责的，乙方应全额赔偿。</w:t>
      </w:r>
    </w:p>
    <w:p>
      <w:pPr>
        <w:keepNext w:val="0"/>
        <w:keepLines w:val="0"/>
        <w:pageBreakBefore w:val="0"/>
        <w:numPr>
          <w:ilvl w:val="0"/>
          <w:numId w:val="7"/>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国家法律、法规所规定由乙方承担的其它责任。</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违约责任</w:t>
      </w:r>
    </w:p>
    <w:p>
      <w:pPr>
        <w:keepNext w:val="0"/>
        <w:keepLines w:val="0"/>
        <w:pageBreakBefore w:val="0"/>
        <w:numPr>
          <w:ilvl w:val="0"/>
          <w:numId w:val="8"/>
        </w:numPr>
        <w:kinsoku/>
        <w:wordWrap/>
        <w:overflowPunct/>
        <w:topLinePunct w:val="0"/>
        <w:autoSpaceDE/>
        <w:autoSpaceDN/>
        <w:bidi w:val="0"/>
        <w:adjustRightInd w:val="0"/>
        <w:spacing w:line="480" w:lineRule="exact"/>
        <w:ind w:left="0" w:firstLine="567"/>
        <w:jc w:val="both"/>
        <w:textAlignment w:val="baseline"/>
        <w:rPr>
          <w:rFonts w:hint="default" w:ascii="宋体" w:hAnsi="宋体" w:eastAsia="宋体" w:cs="宋体"/>
          <w:b w:val="0"/>
          <w:bCs w:val="0"/>
          <w:color w:val="auto"/>
          <w:kern w:val="2"/>
          <w:sz w:val="28"/>
          <w:szCs w:val="28"/>
          <w:highlight w:val="none"/>
          <w:lang w:val="en-US" w:eastAsia="zh-CN" w:bidi="ar-SA"/>
        </w:rPr>
      </w:pPr>
      <w:r>
        <w:rPr>
          <w:rFonts w:hint="default" w:ascii="宋体" w:hAnsi="宋体" w:eastAsia="宋体" w:cs="宋体"/>
          <w:b w:val="0"/>
          <w:bCs w:val="0"/>
          <w:color w:val="auto"/>
          <w:kern w:val="2"/>
          <w:sz w:val="28"/>
          <w:szCs w:val="28"/>
          <w:highlight w:val="none"/>
          <w:lang w:val="en-US" w:eastAsia="zh-CN" w:bidi="ar-SA"/>
        </w:rPr>
        <w:t>甲乙双方必须遵守本合同并执行合同中的各项约定，保证本合同的正常履行。甲方违反本合同的约定，使乙方未完成规定服务任务，乙方有权要求甲方在一定期限内解决，逾期未解决并造成乙方经济损失的，</w:t>
      </w:r>
      <w:r>
        <w:rPr>
          <w:rFonts w:ascii="宋体" w:hAnsi="宋体" w:cs="宋体"/>
          <w:color w:val="auto"/>
          <w:sz w:val="28"/>
          <w:szCs w:val="28"/>
          <w:highlight w:val="none"/>
        </w:rPr>
        <w:t>甲方</w:t>
      </w:r>
      <w:r>
        <w:rPr>
          <w:rFonts w:hint="eastAsia" w:ascii="宋体" w:hAnsi="宋体" w:cs="宋体"/>
          <w:color w:val="auto"/>
          <w:sz w:val="28"/>
          <w:szCs w:val="28"/>
          <w:highlight w:val="none"/>
        </w:rPr>
        <w:t>按照</w:t>
      </w:r>
      <w:r>
        <w:rPr>
          <w:rFonts w:ascii="宋体" w:hAnsi="宋体" w:cs="宋体"/>
          <w:color w:val="auto"/>
          <w:sz w:val="28"/>
          <w:szCs w:val="28"/>
          <w:highlight w:val="none"/>
        </w:rPr>
        <w:t>乙方</w:t>
      </w:r>
      <w:r>
        <w:rPr>
          <w:rFonts w:hint="eastAsia" w:ascii="宋体" w:hAnsi="宋体" w:cs="宋体"/>
          <w:color w:val="auto"/>
          <w:sz w:val="28"/>
          <w:szCs w:val="28"/>
          <w:highlight w:val="none"/>
        </w:rPr>
        <w:t>实际损失予以赔偿</w:t>
      </w:r>
      <w:r>
        <w:rPr>
          <w:rFonts w:hint="default" w:ascii="宋体" w:hAnsi="宋体" w:eastAsia="宋体" w:cs="宋体"/>
          <w:b w:val="0"/>
          <w:bCs w:val="0"/>
          <w:color w:val="auto"/>
          <w:kern w:val="2"/>
          <w:sz w:val="28"/>
          <w:szCs w:val="28"/>
          <w:highlight w:val="none"/>
          <w:lang w:val="en-US" w:eastAsia="zh-CN" w:bidi="ar-SA"/>
        </w:rPr>
        <w:t>；乙方不履行本合同约定，不按约定完成任务或未按投标书承诺投入人力、物力和设备，甲方有权要求乙方限期整改，逾期未整改或乙方严重违约的，甲方有权解除合同并不退还履约保证金；因此给甲方造成的经济损失超过履约保证金，乙方还应给予赔偿。</w:t>
      </w:r>
    </w:p>
    <w:p>
      <w:pPr>
        <w:keepNext w:val="0"/>
        <w:keepLines w:val="0"/>
        <w:pageBreakBefore w:val="0"/>
        <w:numPr>
          <w:ilvl w:val="0"/>
          <w:numId w:val="8"/>
        </w:numPr>
        <w:kinsoku/>
        <w:wordWrap/>
        <w:overflowPunct/>
        <w:topLinePunct w:val="0"/>
        <w:autoSpaceDE/>
        <w:autoSpaceDN/>
        <w:bidi w:val="0"/>
        <w:adjustRightInd w:val="0"/>
        <w:spacing w:line="480" w:lineRule="exact"/>
        <w:ind w:left="0" w:firstLine="567"/>
        <w:jc w:val="both"/>
        <w:textAlignment w:val="baseline"/>
        <w:rPr>
          <w:rFonts w:hint="default" w:ascii="宋体" w:hAnsi="宋体" w:eastAsia="宋体" w:cs="宋体"/>
          <w:b w:val="0"/>
          <w:bCs w:val="0"/>
          <w:color w:val="auto"/>
          <w:kern w:val="2"/>
          <w:sz w:val="28"/>
          <w:szCs w:val="28"/>
          <w:highlight w:val="none"/>
          <w:lang w:val="en-US" w:eastAsia="zh-CN" w:bidi="ar-SA"/>
        </w:rPr>
      </w:pPr>
      <w:r>
        <w:rPr>
          <w:rFonts w:hint="default" w:ascii="宋体" w:hAnsi="宋体" w:eastAsia="宋体" w:cs="宋体"/>
          <w:b w:val="0"/>
          <w:bCs w:val="0"/>
          <w:color w:val="auto"/>
          <w:kern w:val="2"/>
          <w:sz w:val="28"/>
          <w:szCs w:val="28"/>
          <w:highlight w:val="none"/>
          <w:lang w:val="en-US" w:eastAsia="zh-CN" w:bidi="ar-SA"/>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numPr>
          <w:ilvl w:val="0"/>
          <w:numId w:val="8"/>
        </w:numPr>
        <w:kinsoku/>
        <w:wordWrap/>
        <w:overflowPunct/>
        <w:topLinePunct w:val="0"/>
        <w:autoSpaceDE/>
        <w:autoSpaceDN/>
        <w:bidi w:val="0"/>
        <w:adjustRightInd w:val="0"/>
        <w:spacing w:line="480" w:lineRule="exact"/>
        <w:ind w:left="0" w:firstLine="567"/>
        <w:jc w:val="both"/>
        <w:textAlignment w:val="baseline"/>
        <w:rPr>
          <w:rFonts w:hint="default" w:ascii="宋体" w:hAnsi="宋体" w:eastAsia="宋体" w:cs="宋体"/>
          <w:b w:val="0"/>
          <w:bCs w:val="0"/>
          <w:color w:val="auto"/>
          <w:kern w:val="2"/>
          <w:sz w:val="28"/>
          <w:szCs w:val="28"/>
          <w:highlight w:val="none"/>
          <w:lang w:val="en-US" w:eastAsia="zh-CN" w:bidi="ar-SA"/>
        </w:rPr>
      </w:pPr>
      <w:r>
        <w:rPr>
          <w:rFonts w:hint="default" w:ascii="宋体" w:hAnsi="宋体" w:eastAsia="宋体" w:cs="宋体"/>
          <w:b w:val="0"/>
          <w:bCs w:val="0"/>
          <w:color w:val="auto"/>
          <w:kern w:val="2"/>
          <w:sz w:val="28"/>
          <w:szCs w:val="28"/>
          <w:highlight w:val="none"/>
          <w:lang w:val="en-US" w:eastAsia="zh-CN" w:bidi="ar-SA"/>
        </w:rPr>
        <w:t>乙方在本合同终止后，不按约定时间撤离作业区域的，每逾期一日应向甲方支付中标价万分之五的违约金，由此造成的经济损失超过违约金的，乙方还应按照甲方实际损失予以赔偿。</w:t>
      </w:r>
    </w:p>
    <w:p>
      <w:pPr>
        <w:keepNext w:val="0"/>
        <w:keepLines w:val="0"/>
        <w:pageBreakBefore w:val="0"/>
        <w:numPr>
          <w:ilvl w:val="0"/>
          <w:numId w:val="8"/>
        </w:numPr>
        <w:kinsoku/>
        <w:wordWrap/>
        <w:overflowPunct/>
        <w:topLinePunct w:val="0"/>
        <w:autoSpaceDE/>
        <w:autoSpaceDN/>
        <w:bidi w:val="0"/>
        <w:adjustRightInd w:val="0"/>
        <w:spacing w:line="480" w:lineRule="exact"/>
        <w:ind w:left="0" w:firstLine="567"/>
        <w:jc w:val="both"/>
        <w:textAlignment w:val="baseline"/>
        <w:rPr>
          <w:rFonts w:hint="eastAsia" w:ascii="宋体" w:hAnsi="宋体" w:eastAsia="宋体" w:cs="宋体"/>
          <w:b w:val="0"/>
          <w:bCs w:val="0"/>
          <w:color w:val="auto"/>
          <w:sz w:val="28"/>
          <w:szCs w:val="28"/>
          <w:highlight w:val="none"/>
          <w:lang w:val="en-US"/>
        </w:rPr>
      </w:pPr>
      <w:r>
        <w:rPr>
          <w:rFonts w:hint="default" w:ascii="宋体" w:hAnsi="宋体" w:eastAsia="宋体" w:cs="宋体"/>
          <w:b w:val="0"/>
          <w:bCs w:val="0"/>
          <w:color w:val="auto"/>
          <w:kern w:val="2"/>
          <w:sz w:val="28"/>
          <w:szCs w:val="28"/>
          <w:highlight w:val="none"/>
          <w:lang w:val="en-US" w:eastAsia="zh-CN" w:bidi="ar-SA"/>
        </w:rPr>
        <w:t>因乙方管理不善或操作不当等原因造成甲方、乙方或第三方重大人身、财产事故的，由乙方承担责任并负责善后处理，造成甲方经济损失的，乙方应给予甲方赔偿。事故的直接原因，以相关主管部门的鉴定为准。</w:t>
      </w:r>
    </w:p>
    <w:p>
      <w:pPr>
        <w:keepNext w:val="0"/>
        <w:keepLines w:val="0"/>
        <w:pageBreakBefore w:val="0"/>
        <w:numPr>
          <w:ilvl w:val="0"/>
          <w:numId w:val="8"/>
        </w:numPr>
        <w:kinsoku/>
        <w:wordWrap/>
        <w:overflowPunct/>
        <w:topLinePunct w:val="0"/>
        <w:autoSpaceDE/>
        <w:autoSpaceDN/>
        <w:bidi w:val="0"/>
        <w:adjustRightInd w:val="0"/>
        <w:spacing w:line="480" w:lineRule="exact"/>
        <w:ind w:left="0" w:firstLine="567"/>
        <w:jc w:val="both"/>
        <w:textAlignment w:val="baseline"/>
        <w:rPr>
          <w:rFonts w:hint="default" w:ascii="宋体" w:hAnsi="宋体" w:eastAsia="宋体" w:cs="宋体"/>
          <w:b w:val="0"/>
          <w:bCs w:val="0"/>
          <w:color w:val="auto"/>
          <w:kern w:val="2"/>
          <w:sz w:val="28"/>
          <w:szCs w:val="28"/>
          <w:highlight w:val="none"/>
          <w:lang w:val="en-US" w:eastAsia="zh-CN" w:bidi="ar-SA"/>
        </w:rPr>
      </w:pPr>
      <w:r>
        <w:rPr>
          <w:rFonts w:hint="default" w:ascii="宋体" w:hAnsi="宋体" w:eastAsia="宋体" w:cs="宋体"/>
          <w:b w:val="0"/>
          <w:bCs w:val="0"/>
          <w:color w:val="auto"/>
          <w:kern w:val="2"/>
          <w:sz w:val="28"/>
          <w:szCs w:val="28"/>
          <w:highlight w:val="none"/>
          <w:lang w:val="en-US" w:eastAsia="zh-CN" w:bidi="ar-SA"/>
        </w:rPr>
        <w:t>乙方</w:t>
      </w:r>
      <w:r>
        <w:rPr>
          <w:rFonts w:hint="eastAsia" w:ascii="宋体" w:hAnsi="宋体" w:cs="宋体"/>
          <w:b w:val="0"/>
          <w:bCs w:val="0"/>
          <w:color w:val="auto"/>
          <w:kern w:val="2"/>
          <w:sz w:val="28"/>
          <w:szCs w:val="28"/>
          <w:highlight w:val="none"/>
          <w:lang w:val="en-US" w:eastAsia="zh-CN" w:bidi="ar-SA"/>
        </w:rPr>
        <w:t>的考核结果符合《成都市郫都区综合行政执法局城市道路社会化养护管理考核办法》、《成都市郫都区综合行政执法局桥梁养护管理考核办法》、《成都市郫都区综合行政执法局市政照明管护市场化管理监督考核办法》</w:t>
      </w:r>
      <w:r>
        <w:rPr>
          <w:rFonts w:hint="eastAsia" w:ascii="宋体" w:hAnsi="宋体" w:cs="宋体"/>
          <w:b w:val="0"/>
          <w:bCs w:val="0"/>
          <w:color w:val="auto"/>
          <w:sz w:val="28"/>
          <w:szCs w:val="28"/>
          <w:highlight w:val="none"/>
          <w:lang w:eastAsia="zh-CN"/>
        </w:rPr>
        <w:t>等考核办法中关于解除合同的情形时，</w:t>
      </w:r>
      <w:r>
        <w:rPr>
          <w:rFonts w:hint="default" w:ascii="宋体" w:hAnsi="宋体" w:eastAsia="宋体" w:cs="宋体"/>
          <w:b w:val="0"/>
          <w:bCs w:val="0"/>
          <w:color w:val="auto"/>
          <w:kern w:val="2"/>
          <w:sz w:val="28"/>
          <w:szCs w:val="28"/>
          <w:highlight w:val="none"/>
          <w:lang w:val="en-US" w:eastAsia="zh-CN" w:bidi="ar-SA"/>
        </w:rPr>
        <w:t>甲方</w:t>
      </w:r>
      <w:r>
        <w:rPr>
          <w:rFonts w:hint="eastAsia" w:ascii="宋体" w:hAnsi="宋体" w:cs="宋体"/>
          <w:b w:val="0"/>
          <w:bCs w:val="0"/>
          <w:color w:val="auto"/>
          <w:kern w:val="2"/>
          <w:sz w:val="28"/>
          <w:szCs w:val="28"/>
          <w:highlight w:val="none"/>
          <w:lang w:val="en-US" w:eastAsia="zh-CN" w:bidi="ar-SA"/>
        </w:rPr>
        <w:t>有权</w:t>
      </w:r>
      <w:r>
        <w:rPr>
          <w:rFonts w:hint="default" w:ascii="宋体" w:hAnsi="宋体" w:eastAsia="宋体" w:cs="宋体"/>
          <w:b w:val="0"/>
          <w:bCs w:val="0"/>
          <w:color w:val="auto"/>
          <w:kern w:val="2"/>
          <w:sz w:val="28"/>
          <w:szCs w:val="28"/>
          <w:highlight w:val="none"/>
          <w:lang w:val="en-US" w:eastAsia="zh-CN" w:bidi="ar-SA"/>
        </w:rPr>
        <w:t>与乙方解除合同，并不承担违约责任。</w:t>
      </w:r>
    </w:p>
    <w:p>
      <w:pPr>
        <w:keepNext w:val="0"/>
        <w:keepLines w:val="0"/>
        <w:pageBreakBefore w:val="0"/>
        <w:numPr>
          <w:ilvl w:val="0"/>
          <w:numId w:val="8"/>
        </w:numPr>
        <w:kinsoku/>
        <w:wordWrap/>
        <w:overflowPunct/>
        <w:topLinePunct w:val="0"/>
        <w:autoSpaceDE/>
        <w:autoSpaceDN/>
        <w:bidi w:val="0"/>
        <w:adjustRightInd w:val="0"/>
        <w:spacing w:line="480" w:lineRule="exact"/>
        <w:ind w:left="0" w:firstLine="567"/>
        <w:jc w:val="both"/>
        <w:textAlignment w:val="baseline"/>
        <w:rPr>
          <w:rFonts w:hint="default"/>
          <w:color w:val="auto"/>
          <w:highlight w:val="none"/>
          <w:lang w:val="en-US" w:eastAsia="zh-CN"/>
        </w:rPr>
      </w:pPr>
      <w:r>
        <w:rPr>
          <w:rFonts w:hint="default" w:ascii="宋体" w:hAnsi="宋体" w:eastAsia="宋体" w:cs="宋体"/>
          <w:b w:val="0"/>
          <w:bCs w:val="0"/>
          <w:color w:val="auto"/>
          <w:kern w:val="2"/>
          <w:sz w:val="28"/>
          <w:szCs w:val="28"/>
          <w:highlight w:val="none"/>
          <w:lang w:val="en-US" w:eastAsia="zh-CN" w:bidi="ar-SA"/>
        </w:rPr>
        <w:t>任何一方单方面擅自终止或解除合同，视为违约，违约方应按合同总价的10%向守约方支付违约金，并承担因合同终止或解除给对方造成的全部经济损失。</w:t>
      </w:r>
    </w:p>
    <w:p>
      <w:pPr>
        <w:keepNext w:val="0"/>
        <w:keepLines w:val="0"/>
        <w:pageBreakBefore w:val="0"/>
        <w:numPr>
          <w:ilvl w:val="0"/>
          <w:numId w:val="8"/>
        </w:numPr>
        <w:kinsoku/>
        <w:wordWrap/>
        <w:overflowPunct/>
        <w:topLinePunct w:val="0"/>
        <w:autoSpaceDE/>
        <w:autoSpaceDN/>
        <w:bidi w:val="0"/>
        <w:adjustRightInd w:val="0"/>
        <w:spacing w:line="480" w:lineRule="exact"/>
        <w:ind w:left="0" w:firstLine="567"/>
        <w:jc w:val="both"/>
        <w:textAlignment w:val="baseline"/>
        <w:rPr>
          <w:rFonts w:hint="default"/>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合同签订后2个月内，乙方需按照投标承诺，在甲方所在地设立分公司，若超过该期限仍未设立分公司，甲方有权解除该合同，乙方对此应承担相应违约责任。</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不可抗力事件处理</w:t>
      </w:r>
    </w:p>
    <w:p>
      <w:pPr>
        <w:keepNext w:val="0"/>
        <w:keepLines w:val="0"/>
        <w:pageBreakBefore w:val="0"/>
        <w:numPr>
          <w:ilvl w:val="0"/>
          <w:numId w:val="9"/>
        </w:numPr>
        <w:tabs>
          <w:tab w:val="left" w:pos="0"/>
        </w:tabs>
        <w:kinsoku/>
        <w:wordWrap/>
        <w:overflowPunct/>
        <w:topLinePunct w:val="0"/>
        <w:autoSpaceDE/>
        <w:autoSpaceDN/>
        <w:bidi w:val="0"/>
        <w:spacing w:line="480" w:lineRule="exact"/>
        <w:ind w:left="0" w:firstLine="567"/>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在合同有效期内，任何一方因不可抗力事件导致不能履行合同，则合同履行期可延长，其延长期与不可抗力影响期相同。</w:t>
      </w:r>
    </w:p>
    <w:p>
      <w:pPr>
        <w:keepNext w:val="0"/>
        <w:keepLines w:val="0"/>
        <w:pageBreakBefore w:val="0"/>
        <w:numPr>
          <w:ilvl w:val="0"/>
          <w:numId w:val="9"/>
        </w:numPr>
        <w:tabs>
          <w:tab w:val="left" w:pos="0"/>
        </w:tabs>
        <w:kinsoku/>
        <w:wordWrap/>
        <w:overflowPunct/>
        <w:topLinePunct w:val="0"/>
        <w:autoSpaceDE/>
        <w:autoSpaceDN/>
        <w:bidi w:val="0"/>
        <w:spacing w:line="480" w:lineRule="exact"/>
        <w:ind w:left="0" w:firstLine="567"/>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不可抗力事件发生后，应立即通知对方，并寄送有关权威机构出具的证明。</w:t>
      </w:r>
    </w:p>
    <w:p>
      <w:pPr>
        <w:keepNext w:val="0"/>
        <w:keepLines w:val="0"/>
        <w:pageBreakBefore w:val="0"/>
        <w:numPr>
          <w:ilvl w:val="0"/>
          <w:numId w:val="9"/>
        </w:numPr>
        <w:tabs>
          <w:tab w:val="left" w:pos="0"/>
        </w:tabs>
        <w:kinsoku/>
        <w:wordWrap/>
        <w:overflowPunct/>
        <w:topLinePunct w:val="0"/>
        <w:autoSpaceDE/>
        <w:autoSpaceDN/>
        <w:bidi w:val="0"/>
        <w:spacing w:line="480" w:lineRule="exact"/>
        <w:ind w:left="0" w:firstLine="567"/>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不可抗力事件延续120天以上，双方应通过友好协商，确定是否继续履行合同。</w:t>
      </w:r>
    </w:p>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bookmarkStart w:id="379" w:name="_Toc225244857"/>
      <w:bookmarkStart w:id="380" w:name="_Toc225670756"/>
      <w:bookmarkStart w:id="381" w:name="_Toc237145411"/>
      <w:bookmarkStart w:id="382" w:name="_Toc211854454"/>
      <w:bookmarkStart w:id="383" w:name="_Toc211911353"/>
      <w:bookmarkStart w:id="384" w:name="_Toc212019599"/>
      <w:bookmarkStart w:id="385" w:name="_Toc241833908"/>
      <w:bookmarkStart w:id="386" w:name="_Toc247334846"/>
      <w:bookmarkStart w:id="387" w:name="_Toc185395254"/>
      <w:bookmarkStart w:id="388" w:name="_Toc225654649"/>
      <w:bookmarkStart w:id="389" w:name="_Toc251768867"/>
      <w:bookmarkStart w:id="390" w:name="_Toc239233919"/>
      <w:bookmarkStart w:id="391" w:name="_Toc239568423"/>
      <w:bookmarkStart w:id="392" w:name="_Toc238984980"/>
      <w:bookmarkStart w:id="393" w:name="_Toc232492933"/>
      <w:bookmarkStart w:id="394" w:name="_Toc286993792"/>
      <w:r>
        <w:rPr>
          <w:rFonts w:hint="eastAsia" w:ascii="黑体" w:hAnsi="黑体" w:eastAsia="黑体" w:cs="黑体"/>
          <w:b/>
          <w:bCs/>
          <w:color w:val="auto"/>
          <w:sz w:val="28"/>
          <w:szCs w:val="28"/>
          <w:highlight w:val="none"/>
        </w:rPr>
        <w:t>解决合同纠纷的方式</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keepNext w:val="0"/>
        <w:keepLines w:val="0"/>
        <w:pageBreakBefore w:val="0"/>
        <w:numPr>
          <w:ilvl w:val="0"/>
          <w:numId w:val="0"/>
        </w:numPr>
        <w:tabs>
          <w:tab w:val="left" w:pos="0"/>
        </w:tabs>
        <w:kinsoku/>
        <w:wordWrap/>
        <w:overflowPunct/>
        <w:topLinePunct w:val="0"/>
        <w:autoSpaceDE/>
        <w:autoSpaceDN/>
        <w:bidi w:val="0"/>
        <w:spacing w:line="48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cs="宋体"/>
          <w:color w:val="auto"/>
          <w:sz w:val="28"/>
          <w:szCs w:val="28"/>
          <w:highlight w:val="none"/>
        </w:rPr>
        <w:t>因本合同产生争议</w:t>
      </w:r>
      <w:r>
        <w:rPr>
          <w:rFonts w:hint="eastAsia" w:ascii="宋体" w:hAnsi="宋体" w:eastAsia="宋体" w:cs="宋体"/>
          <w:b w:val="0"/>
          <w:bCs w:val="0"/>
          <w:color w:val="auto"/>
          <w:sz w:val="28"/>
          <w:szCs w:val="28"/>
          <w:highlight w:val="none"/>
        </w:rPr>
        <w:t xml:space="preserve">，双方应通过友好协商解决，如协商不成，任何一方均可向甲方所在地人民法院提起诉讼。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bookmarkStart w:id="395" w:name="_Toc185395255"/>
      <w:bookmarkStart w:id="396" w:name="_Toc241833909"/>
      <w:bookmarkStart w:id="397" w:name="_Toc225670757"/>
      <w:bookmarkStart w:id="398" w:name="_Toc211854455"/>
      <w:bookmarkStart w:id="399" w:name="_Toc232492934"/>
      <w:bookmarkStart w:id="400" w:name="_Toc247334847"/>
      <w:bookmarkStart w:id="401" w:name="_Toc286993793"/>
      <w:bookmarkStart w:id="402" w:name="_Toc237145412"/>
      <w:bookmarkStart w:id="403" w:name="_Toc225244858"/>
      <w:bookmarkStart w:id="404" w:name="_Toc283019219"/>
      <w:bookmarkStart w:id="405" w:name="_Toc211911354"/>
      <w:bookmarkStart w:id="406" w:name="_Toc251768868"/>
      <w:bookmarkStart w:id="407" w:name="_Toc239233920"/>
      <w:bookmarkStart w:id="408" w:name="_Toc239568424"/>
      <w:bookmarkStart w:id="409" w:name="_Toc212019600"/>
      <w:bookmarkStart w:id="410" w:name="_Toc282696231"/>
      <w:bookmarkStart w:id="411" w:name="_Toc238984981"/>
      <w:bookmarkStart w:id="412" w:name="_Toc225654650"/>
      <w:r>
        <w:rPr>
          <w:rFonts w:hint="eastAsia" w:ascii="黑体" w:hAnsi="黑体" w:eastAsia="黑体" w:cs="黑体"/>
          <w:b/>
          <w:bCs/>
          <w:color w:val="auto"/>
          <w:sz w:val="28"/>
          <w:szCs w:val="28"/>
          <w:highlight w:val="none"/>
        </w:rPr>
        <w:t>合同</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ascii="黑体" w:hAnsi="黑体" w:eastAsia="黑体" w:cs="黑体"/>
          <w:b/>
          <w:bCs/>
          <w:color w:val="auto"/>
          <w:sz w:val="28"/>
          <w:szCs w:val="28"/>
          <w:highlight w:val="none"/>
        </w:rPr>
        <w:t>生效</w:t>
      </w:r>
    </w:p>
    <w:p>
      <w:pPr>
        <w:pStyle w:val="63"/>
        <w:keepNext w:val="0"/>
        <w:keepLines w:val="0"/>
        <w:pageBreakBefore w:val="0"/>
        <w:numPr>
          <w:ilvl w:val="0"/>
          <w:numId w:val="10"/>
        </w:numPr>
        <w:kinsoku/>
        <w:wordWrap/>
        <w:overflowPunct/>
        <w:topLinePunct w:val="0"/>
        <w:autoSpaceDE/>
        <w:autoSpaceDN/>
        <w:bidi w:val="0"/>
        <w:spacing w:line="480" w:lineRule="exact"/>
        <w:ind w:left="0" w:leftChars="0" w:firstLine="63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合同经双方法定代表人或授权代表人签字并加盖单位公章后生效。</w:t>
      </w:r>
    </w:p>
    <w:p>
      <w:pPr>
        <w:pStyle w:val="63"/>
        <w:keepNext w:val="0"/>
        <w:keepLines w:val="0"/>
        <w:pageBreakBefore w:val="0"/>
        <w:numPr>
          <w:ilvl w:val="0"/>
          <w:numId w:val="10"/>
        </w:numPr>
        <w:kinsoku/>
        <w:wordWrap/>
        <w:overflowPunct/>
        <w:topLinePunct w:val="0"/>
        <w:autoSpaceDE/>
        <w:autoSpaceDN/>
        <w:bidi w:val="0"/>
        <w:spacing w:line="480" w:lineRule="exact"/>
        <w:ind w:left="0" w:leftChars="0" w:firstLine="63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合同执行中涉及采购资金和采购内容修改或补充的，须经政府采购监管部门审批，并签书面补充协议报政府采购监督管理部门备案，方可作为主合同不可分割的一部分。</w:t>
      </w:r>
    </w:p>
    <w:p>
      <w:pPr>
        <w:pStyle w:val="63"/>
        <w:keepNext w:val="0"/>
        <w:keepLines w:val="0"/>
        <w:pageBreakBefore w:val="0"/>
        <w:numPr>
          <w:ilvl w:val="0"/>
          <w:numId w:val="10"/>
        </w:numPr>
        <w:kinsoku/>
        <w:wordWrap/>
        <w:overflowPunct/>
        <w:topLinePunct w:val="0"/>
        <w:autoSpaceDE/>
        <w:autoSpaceDN/>
        <w:bidi w:val="0"/>
        <w:spacing w:line="480" w:lineRule="exact"/>
        <w:ind w:left="0" w:leftChars="0" w:firstLine="63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本合同一式捌份，甲方执叁份，乙方执叁份，采购代理机构执</w:t>
      </w:r>
      <w:r>
        <w:rPr>
          <w:rFonts w:hint="eastAsia" w:ascii="宋体" w:hAnsi="宋体" w:cs="宋体"/>
          <w:b w:val="0"/>
          <w:bCs w:val="0"/>
          <w:color w:val="auto"/>
          <w:sz w:val="28"/>
          <w:szCs w:val="28"/>
          <w:highlight w:val="none"/>
          <w:lang w:eastAsia="zh-CN"/>
        </w:rPr>
        <w:t>壹</w:t>
      </w:r>
      <w:r>
        <w:rPr>
          <w:rFonts w:hint="eastAsia" w:ascii="宋体" w:hAnsi="宋体" w:eastAsia="宋体" w:cs="宋体"/>
          <w:b w:val="0"/>
          <w:bCs w:val="0"/>
          <w:color w:val="auto"/>
          <w:sz w:val="28"/>
          <w:szCs w:val="28"/>
          <w:highlight w:val="none"/>
        </w:rPr>
        <w:t>份，财政部门备案</w:t>
      </w:r>
      <w:r>
        <w:rPr>
          <w:rFonts w:hint="eastAsia" w:ascii="宋体" w:hAnsi="宋体" w:cs="宋体"/>
          <w:b w:val="0"/>
          <w:bCs w:val="0"/>
          <w:color w:val="auto"/>
          <w:sz w:val="28"/>
          <w:szCs w:val="28"/>
          <w:highlight w:val="none"/>
          <w:lang w:eastAsia="zh-CN"/>
        </w:rPr>
        <w:t>壹</w:t>
      </w:r>
      <w:r>
        <w:rPr>
          <w:rFonts w:hint="eastAsia" w:ascii="宋体" w:hAnsi="宋体" w:eastAsia="宋体" w:cs="宋体"/>
          <w:b w:val="0"/>
          <w:bCs w:val="0"/>
          <w:color w:val="auto"/>
          <w:sz w:val="28"/>
          <w:szCs w:val="28"/>
          <w:highlight w:val="none"/>
        </w:rPr>
        <w:t>份，具有同等法律效力。</w:t>
      </w:r>
    </w:p>
    <w:p>
      <w:pPr>
        <w:pStyle w:val="63"/>
        <w:keepNext w:val="0"/>
        <w:keepLines w:val="0"/>
        <w:pageBreakBefore w:val="0"/>
        <w:numPr>
          <w:ilvl w:val="0"/>
          <w:numId w:val="10"/>
        </w:numPr>
        <w:kinsoku/>
        <w:wordWrap/>
        <w:overflowPunct/>
        <w:topLinePunct w:val="0"/>
        <w:autoSpaceDE/>
        <w:autoSpaceDN/>
        <w:bidi w:val="0"/>
        <w:spacing w:line="480" w:lineRule="exact"/>
        <w:ind w:left="0" w:leftChars="0" w:firstLine="63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本合同未尽事宜，由双方友好协商解决。</w:t>
      </w:r>
    </w:p>
    <w:p>
      <w:pPr>
        <w:pStyle w:val="63"/>
        <w:keepNext w:val="0"/>
        <w:keepLines w:val="0"/>
        <w:pageBreakBefore w:val="0"/>
        <w:numPr>
          <w:ilvl w:val="0"/>
          <w:numId w:val="10"/>
        </w:numPr>
        <w:kinsoku/>
        <w:wordWrap/>
        <w:overflowPunct/>
        <w:topLinePunct w:val="0"/>
        <w:autoSpaceDE/>
        <w:autoSpaceDN/>
        <w:bidi w:val="0"/>
        <w:spacing w:line="480" w:lineRule="exact"/>
        <w:ind w:left="0" w:leftChars="0" w:firstLine="63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本合同自签订之日起生效。</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500" w:lineRule="exact"/>
        <w:ind w:left="1519" w:hanging="1094"/>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附件</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项目招标文件</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项目修改澄清文件</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项目投标文件</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中标通知书</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《犀浦街道城市道路明细表》</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《犀浦街道城市桥梁明细表》</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《成都市郫都区综合行政执法局城市道路社会化养护管理考核办法》</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《成都市郫都区综合行政执法局桥梁养护管理考核办法》</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《成都市郫都区综合行政执法局市政照明管护市场化管理监督考核办法》</w:t>
      </w:r>
    </w:p>
    <w:p>
      <w:pPr>
        <w:pStyle w:val="63"/>
        <w:keepNext w:val="0"/>
        <w:keepLines w:val="0"/>
        <w:pageBreakBefore w:val="0"/>
        <w:numPr>
          <w:ilvl w:val="0"/>
          <w:numId w:val="11"/>
        </w:numPr>
        <w:kinsoku/>
        <w:wordWrap/>
        <w:overflowPunct/>
        <w:topLinePunct w:val="0"/>
        <w:autoSpaceDE/>
        <w:autoSpaceDN/>
        <w:bidi w:val="0"/>
        <w:spacing w:line="480" w:lineRule="exact"/>
        <w:ind w:left="1140" w:leftChars="0" w:firstLineChars="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其他</w:t>
      </w:r>
    </w:p>
    <w:bookmarkEnd w:id="360"/>
    <w:p>
      <w:pPr>
        <w:pStyle w:val="45"/>
        <w:keepNext w:val="0"/>
        <w:keepLines w:val="0"/>
        <w:pageBreakBefore w:val="0"/>
        <w:kinsoku/>
        <w:wordWrap/>
        <w:overflowPunct/>
        <w:topLinePunct w:val="0"/>
        <w:autoSpaceDE/>
        <w:autoSpaceDN/>
        <w:bidi w:val="0"/>
        <w:spacing w:line="480" w:lineRule="exact"/>
        <w:ind w:firstLine="480"/>
        <w:rPr>
          <w:rFonts w:hint="eastAsia" w:ascii="宋体" w:hAnsi="宋体" w:eastAsia="宋体" w:cs="宋体"/>
          <w:b w:val="0"/>
          <w:bCs w:val="0"/>
          <w:color w:val="auto"/>
          <w:sz w:val="28"/>
          <w:szCs w:val="28"/>
          <w:highlight w:val="none"/>
        </w:rPr>
      </w:pPr>
    </w:p>
    <w:p>
      <w:pPr>
        <w:spacing w:line="360" w:lineRule="auto"/>
        <w:rPr>
          <w:rFonts w:hint="eastAsia" w:ascii="宋体" w:hAnsi="宋体" w:eastAsia="宋体" w:cs="宋体"/>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甲方：   （盖章）   </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 xml:space="preserve">    </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 xml:space="preserve">   乙方：   （盖章）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b w:val="0"/>
          <w:bCs w:val="0"/>
          <w:color w:val="auto"/>
          <w:spacing w:val="-20"/>
          <w:sz w:val="28"/>
          <w:szCs w:val="28"/>
          <w:highlight w:val="none"/>
          <w:lang w:eastAsia="zh-CN"/>
        </w:rPr>
      </w:pPr>
      <w:r>
        <w:rPr>
          <w:rFonts w:hint="eastAsia" w:ascii="宋体" w:hAnsi="宋体" w:eastAsia="宋体" w:cs="宋体"/>
          <w:b w:val="0"/>
          <w:bCs w:val="0"/>
          <w:color w:val="auto"/>
          <w:spacing w:val="-20"/>
          <w:sz w:val="28"/>
          <w:szCs w:val="28"/>
          <w:highlight w:val="none"/>
        </w:rPr>
        <w:t>法定代表人</w:t>
      </w:r>
      <w:r>
        <w:rPr>
          <w:rFonts w:hint="eastAsia" w:ascii="宋体" w:hAnsi="宋体" w:cs="宋体"/>
          <w:b w:val="0"/>
          <w:bCs w:val="0"/>
          <w:color w:val="auto"/>
          <w:spacing w:val="-20"/>
          <w:sz w:val="28"/>
          <w:szCs w:val="28"/>
          <w:highlight w:val="none"/>
          <w:lang w:eastAsia="zh-CN"/>
        </w:rPr>
        <w:t>（</w:t>
      </w:r>
      <w:r>
        <w:rPr>
          <w:rFonts w:hint="eastAsia" w:ascii="宋体" w:hAnsi="宋体" w:eastAsia="宋体" w:cs="宋体"/>
          <w:b w:val="0"/>
          <w:bCs w:val="0"/>
          <w:color w:val="auto"/>
          <w:spacing w:val="-20"/>
          <w:sz w:val="28"/>
          <w:szCs w:val="28"/>
          <w:highlight w:val="none"/>
        </w:rPr>
        <w:t>负责人</w:t>
      </w:r>
      <w:r>
        <w:rPr>
          <w:rFonts w:hint="eastAsia" w:ascii="宋体" w:hAnsi="宋体" w:cs="宋体"/>
          <w:b w:val="0"/>
          <w:bCs w:val="0"/>
          <w:color w:val="auto"/>
          <w:spacing w:val="-20"/>
          <w:sz w:val="28"/>
          <w:szCs w:val="28"/>
          <w:highlight w:val="none"/>
          <w:lang w:eastAsia="zh-CN"/>
        </w:rPr>
        <w:t>）或</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pacing w:val="-20"/>
          <w:sz w:val="28"/>
          <w:szCs w:val="28"/>
          <w:highlight w:val="none"/>
        </w:rPr>
        <w:t>法定代表人</w:t>
      </w:r>
      <w:r>
        <w:rPr>
          <w:rFonts w:hint="eastAsia" w:ascii="宋体" w:hAnsi="宋体" w:cs="宋体"/>
          <w:b w:val="0"/>
          <w:bCs w:val="0"/>
          <w:color w:val="auto"/>
          <w:spacing w:val="-20"/>
          <w:sz w:val="28"/>
          <w:szCs w:val="28"/>
          <w:highlight w:val="none"/>
          <w:lang w:eastAsia="zh-CN"/>
        </w:rPr>
        <w:t>（</w:t>
      </w:r>
      <w:r>
        <w:rPr>
          <w:rFonts w:hint="eastAsia" w:ascii="宋体" w:hAnsi="宋体" w:eastAsia="宋体" w:cs="宋体"/>
          <w:b w:val="0"/>
          <w:bCs w:val="0"/>
          <w:color w:val="auto"/>
          <w:spacing w:val="-20"/>
          <w:sz w:val="28"/>
          <w:szCs w:val="28"/>
          <w:highlight w:val="none"/>
        </w:rPr>
        <w:t>负责人</w:t>
      </w:r>
      <w:r>
        <w:rPr>
          <w:rFonts w:hint="eastAsia" w:ascii="宋体" w:hAnsi="宋体" w:cs="宋体"/>
          <w:b w:val="0"/>
          <w:bCs w:val="0"/>
          <w:color w:val="auto"/>
          <w:spacing w:val="-20"/>
          <w:sz w:val="28"/>
          <w:szCs w:val="28"/>
          <w:highlight w:val="none"/>
          <w:lang w:eastAsia="zh-CN"/>
        </w:rPr>
        <w:t>）或</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pacing w:val="-20"/>
          <w:sz w:val="28"/>
          <w:szCs w:val="28"/>
          <w:highlight w:val="none"/>
        </w:rPr>
        <w:t>授权代表</w:t>
      </w:r>
      <w:r>
        <w:rPr>
          <w:rFonts w:hint="eastAsia" w:ascii="宋体" w:hAnsi="宋体" w:cs="宋体"/>
          <w:b w:val="0"/>
          <w:bCs w:val="0"/>
          <w:color w:val="auto"/>
          <w:spacing w:val="-20"/>
          <w:sz w:val="28"/>
          <w:szCs w:val="28"/>
          <w:highlight w:val="none"/>
          <w:lang w:eastAsia="zh-CN"/>
        </w:rPr>
        <w:t>人</w:t>
      </w:r>
      <w:r>
        <w:rPr>
          <w:rFonts w:hint="eastAsia" w:ascii="宋体" w:hAnsi="宋体" w:eastAsia="宋体" w:cs="宋体"/>
          <w:b w:val="0"/>
          <w:bCs w:val="0"/>
          <w:color w:val="auto"/>
          <w:spacing w:val="-20"/>
          <w:sz w:val="28"/>
          <w:szCs w:val="28"/>
          <w:highlight w:val="none"/>
        </w:rPr>
        <w:t>：</w:t>
      </w:r>
      <w:r>
        <w:rPr>
          <w:rFonts w:hint="eastAsia" w:ascii="宋体" w:hAnsi="宋体" w:cs="宋体"/>
          <w:b w:val="0"/>
          <w:bCs w:val="0"/>
          <w:color w:val="auto"/>
          <w:spacing w:val="-20"/>
          <w:sz w:val="28"/>
          <w:szCs w:val="28"/>
          <w:highlight w:val="none"/>
          <w:lang w:val="en-US" w:eastAsia="zh-CN"/>
        </w:rPr>
        <w:t xml:space="preserve">                                  </w:t>
      </w:r>
      <w:r>
        <w:rPr>
          <w:rFonts w:hint="eastAsia" w:ascii="宋体" w:hAnsi="宋体" w:eastAsia="宋体" w:cs="宋体"/>
          <w:b w:val="0"/>
          <w:bCs w:val="0"/>
          <w:color w:val="auto"/>
          <w:spacing w:val="-20"/>
          <w:sz w:val="28"/>
          <w:szCs w:val="28"/>
          <w:highlight w:val="none"/>
        </w:rPr>
        <w:t>授权</w:t>
      </w:r>
      <w:r>
        <w:rPr>
          <w:rFonts w:hint="eastAsia" w:ascii="宋体" w:hAnsi="宋体" w:cs="宋体"/>
          <w:b w:val="0"/>
          <w:bCs w:val="0"/>
          <w:color w:val="auto"/>
          <w:spacing w:val="-20"/>
          <w:sz w:val="28"/>
          <w:szCs w:val="28"/>
          <w:highlight w:val="none"/>
          <w:lang w:eastAsia="zh-CN"/>
        </w:rPr>
        <w:t>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地    址：                       </w:t>
      </w:r>
      <w:r>
        <w:rPr>
          <w:rFonts w:hint="default" w:ascii="宋体" w:hAnsi="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rPr>
        <w:t xml:space="preserve"> 地    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开户银行：                         开户银行：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账号：                             账号：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电    话：                         电    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传    真：                         传    真：</w:t>
      </w:r>
    </w:p>
    <w:p>
      <w:pPr>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highlight w:val="none"/>
        </w:rPr>
      </w:pPr>
      <w:r>
        <w:rPr>
          <w:rFonts w:hint="eastAsia" w:ascii="宋体" w:hAnsi="宋体" w:eastAsia="宋体" w:cs="宋体"/>
          <w:b w:val="0"/>
          <w:bCs w:val="0"/>
          <w:color w:val="auto"/>
          <w:sz w:val="28"/>
          <w:szCs w:val="28"/>
          <w:highlight w:val="none"/>
        </w:rPr>
        <w:t>签约日期：</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 xml:space="preserve">  </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签约日期：</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日</w:t>
      </w:r>
    </w:p>
    <w:p>
      <w:pPr>
        <w:adjustRightInd w:val="0"/>
        <w:snapToGrid w:val="0"/>
        <w:spacing w:line="360" w:lineRule="auto"/>
        <w:ind w:firstLine="482" w:firstLineChars="200"/>
        <w:rPr>
          <w:rFonts w:hint="eastAsia" w:ascii="宋体" w:hAnsi="宋体" w:cs="宋体"/>
          <w:b/>
          <w:sz w:val="24"/>
          <w:highlight w:val="none"/>
        </w:rPr>
      </w:pPr>
    </w:p>
    <w:p>
      <w:pPr>
        <w:adjustRightInd w:val="0"/>
        <w:snapToGrid w:val="0"/>
        <w:spacing w:line="360" w:lineRule="auto"/>
        <w:ind w:firstLine="482" w:firstLineChars="200"/>
        <w:rPr>
          <w:rFonts w:hint="eastAsia" w:ascii="宋体" w:hAnsi="宋体" w:eastAsia="宋体" w:cs="宋体"/>
          <w:b/>
          <w:sz w:val="24"/>
          <w:highlight w:val="none"/>
          <w:lang w:eastAsia="zh-CN"/>
        </w:rPr>
      </w:pPr>
      <w:r>
        <w:rPr>
          <w:rFonts w:hint="eastAsia" w:ascii="宋体" w:hAnsi="宋体" w:cs="宋体"/>
          <w:b/>
          <w:sz w:val="24"/>
          <w:highlight w:val="none"/>
        </w:rPr>
        <w:t>注：其他合同专用条款在合同签定时另行约定</w:t>
      </w:r>
      <w:r>
        <w:rPr>
          <w:rFonts w:hint="eastAsia" w:ascii="宋体" w:hAnsi="宋体" w:cs="宋体"/>
          <w:b/>
          <w:sz w:val="24"/>
          <w:highlight w:val="none"/>
          <w:lang w:eastAsia="zh-CN"/>
        </w:rPr>
        <w:t>。</w:t>
      </w:r>
    </w:p>
    <w:p>
      <w:pPr>
        <w:rPr>
          <w:highlight w:val="none"/>
        </w:rPr>
      </w:pPr>
    </w:p>
    <w:sectPr>
      <w:headerReference r:id="rId13" w:type="default"/>
      <w:footerReference r:id="rId14" w:type="default"/>
      <w:pgSz w:w="11906" w:h="16838"/>
      <w:pgMar w:top="1440" w:right="1417" w:bottom="1440" w:left="1417" w:header="992"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yriad Pro">
    <w:altName w:val="Malgun Gothic"/>
    <w:panose1 w:val="00000000000000000000"/>
    <w:charset w:val="00"/>
    <w:family w:val="swiss"/>
    <w:pitch w:val="default"/>
    <w:sig w:usb0="00000000" w:usb1="00000000" w:usb2="00000000" w:usb3="00000000" w:csb0="2000019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雪炜锐黑 简">
    <w:altName w:val="黑体"/>
    <w:panose1 w:val="00000000000000000000"/>
    <w:charset w:val="00"/>
    <w:family w:val="auto"/>
    <w:pitch w:val="default"/>
    <w:sig w:usb0="00000000" w:usb1="00000000" w:usb2="00000000"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 xml:space="preserve"> </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w:pict>
        <v:shape id="_x0000_s1034" o:spid="_x0000_s103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0"/>
      <w:ind w:right="210"/>
      <w:jc w:val="right"/>
    </w:pPr>
    <w:r>
      <w:rPr>
        <w:sz w:val="18"/>
      </w:rPr>
      <w:pict>
        <v:shape id="_x0000_s1035" o:spid="_x0000_s103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1031" o:spid="_x0000_s103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lang w:val="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30" w:firstLineChars="300"/>
      <w:rPr>
        <w:rFonts w:hint="eastAsia" w:ascii="微软雅黑" w:hAnsi="微软雅黑" w:eastAsia="微软雅黑" w:cs="微软雅黑"/>
        <w:b/>
        <w:bCs/>
        <w:sz w:val="16"/>
        <w:szCs w:val="20"/>
      </w:rPr>
    </w:pPr>
    <w:r>
      <w:drawing>
        <wp:anchor distT="0" distB="0" distL="114300" distR="114300" simplePos="0" relativeHeight="251659264" behindDoc="1" locked="0" layoutInCell="1" allowOverlap="1">
          <wp:simplePos x="0" y="0"/>
          <wp:positionH relativeFrom="column">
            <wp:posOffset>-24765</wp:posOffset>
          </wp:positionH>
          <wp:positionV relativeFrom="page">
            <wp:posOffset>379730</wp:posOffset>
          </wp:positionV>
          <wp:extent cx="283210" cy="274320"/>
          <wp:effectExtent l="0" t="0" r="254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283210" cy="274320"/>
                  </a:xfrm>
                  <a:prstGeom prst="rect">
                    <a:avLst/>
                  </a:prstGeom>
                  <a:noFill/>
                  <a:ln>
                    <a:noFill/>
                  </a:ln>
                </pic:spPr>
              </pic:pic>
            </a:graphicData>
          </a:graphic>
        </wp:anchor>
      </w:drawing>
    </w:r>
    <w:r>
      <w:rPr>
        <w:rFonts w:hint="eastAsia" w:ascii="微软雅黑" w:hAnsi="微软雅黑" w:eastAsia="微软雅黑" w:cs="微软雅黑"/>
        <w:b/>
        <w:bCs/>
        <w:sz w:val="16"/>
        <w:szCs w:val="20"/>
      </w:rPr>
      <w:t>四 川 利 阳 招 投 标 代 理 有 限 公 司</w:t>
    </w:r>
  </w:p>
  <w:p>
    <w:pPr>
      <w:ind w:firstLine="650" w:firstLineChars="500"/>
    </w:pPr>
    <w:r>
      <w:rPr>
        <w:rFonts w:hint="eastAsia" w:ascii="微软雅黑" w:hAnsi="微软雅黑" w:eastAsia="微软雅黑" w:cs="微软雅黑"/>
        <w:sz w:val="13"/>
        <w:szCs w:val="16"/>
      </w:rPr>
      <w:t xml:space="preserve">SICHUAN LIYANG TENDERING AGENCY CO.LTD   </w:t>
    </w:r>
    <w:r>
      <w:rPr>
        <w:rFonts w:hint="eastAsia" w:ascii="微软雅黑" w:hAnsi="微软雅黑" w:eastAsia="微软雅黑" w:cs="微软雅黑"/>
        <w:sz w:val="11"/>
        <w:szCs w:val="15"/>
      </w:rPr>
      <w:t xml:space="preserve">                                            </w:t>
    </w:r>
    <w:r>
      <w:rPr>
        <w:rFonts w:hint="eastAsia" w:ascii="微软雅黑" w:hAnsi="微软雅黑" w:eastAsia="微软雅黑" w:cs="微软雅黑"/>
        <w:b/>
        <w:bCs/>
        <w:sz w:val="16"/>
        <w:szCs w:val="20"/>
      </w:rPr>
      <w:t>公平   公开   公正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1E14C"/>
    <w:multiLevelType w:val="multilevel"/>
    <w:tmpl w:val="8BF1E14C"/>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1">
    <w:nsid w:val="C67D6A38"/>
    <w:multiLevelType w:val="singleLevel"/>
    <w:tmpl w:val="C67D6A38"/>
    <w:lvl w:ilvl="0" w:tentative="0">
      <w:start w:val="6"/>
      <w:numFmt w:val="decimal"/>
      <w:suff w:val="space"/>
      <w:lvlText w:val="%1."/>
      <w:lvlJc w:val="left"/>
    </w:lvl>
  </w:abstractNum>
  <w:abstractNum w:abstractNumId="2">
    <w:nsid w:val="E5C9E07E"/>
    <w:multiLevelType w:val="multilevel"/>
    <w:tmpl w:val="E5C9E07E"/>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4">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7">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58F9B2B0"/>
    <w:multiLevelType w:val="multilevel"/>
    <w:tmpl w:val="58F9B2B0"/>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59C07086"/>
    <w:multiLevelType w:val="singleLevel"/>
    <w:tmpl w:val="59C07086"/>
    <w:lvl w:ilvl="0" w:tentative="0">
      <w:start w:val="1"/>
      <w:numFmt w:val="decimal"/>
      <w:suff w:val="nothing"/>
      <w:lvlText w:val="%1、"/>
      <w:lvlJc w:val="left"/>
    </w:lvl>
  </w:abstractNum>
  <w:num w:numId="1">
    <w:abstractNumId w:val="8"/>
  </w:num>
  <w:num w:numId="2">
    <w:abstractNumId w:val="10"/>
  </w:num>
  <w:num w:numId="3">
    <w:abstractNumId w:val="1"/>
  </w:num>
  <w:num w:numId="4">
    <w:abstractNumId w:val="6"/>
  </w:num>
  <w:num w:numId="5">
    <w:abstractNumId w:val="3"/>
  </w:num>
  <w:num w:numId="6">
    <w:abstractNumId w:val="0"/>
  </w:num>
  <w:num w:numId="7">
    <w:abstractNumId w:val="5"/>
  </w:num>
  <w:num w:numId="8">
    <w:abstractNumId w:val="2"/>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EAF22FD"/>
    <w:rsid w:val="00264070"/>
    <w:rsid w:val="00273C85"/>
    <w:rsid w:val="00542713"/>
    <w:rsid w:val="00643BE3"/>
    <w:rsid w:val="00721E33"/>
    <w:rsid w:val="00824069"/>
    <w:rsid w:val="00960926"/>
    <w:rsid w:val="00AE113B"/>
    <w:rsid w:val="00C83752"/>
    <w:rsid w:val="00F26D39"/>
    <w:rsid w:val="01694E46"/>
    <w:rsid w:val="0181165F"/>
    <w:rsid w:val="02347309"/>
    <w:rsid w:val="02681060"/>
    <w:rsid w:val="02824816"/>
    <w:rsid w:val="02FE7F4D"/>
    <w:rsid w:val="032111FA"/>
    <w:rsid w:val="03523446"/>
    <w:rsid w:val="03743110"/>
    <w:rsid w:val="03B8768B"/>
    <w:rsid w:val="03C42001"/>
    <w:rsid w:val="03F86DB0"/>
    <w:rsid w:val="043A712F"/>
    <w:rsid w:val="044A50F4"/>
    <w:rsid w:val="04B1655C"/>
    <w:rsid w:val="04D84690"/>
    <w:rsid w:val="04FF5313"/>
    <w:rsid w:val="05266F1A"/>
    <w:rsid w:val="0566728C"/>
    <w:rsid w:val="0575368D"/>
    <w:rsid w:val="05A07DA7"/>
    <w:rsid w:val="05BB690F"/>
    <w:rsid w:val="05DE2F51"/>
    <w:rsid w:val="06564725"/>
    <w:rsid w:val="06E77C4C"/>
    <w:rsid w:val="078C6095"/>
    <w:rsid w:val="0869083D"/>
    <w:rsid w:val="08B64716"/>
    <w:rsid w:val="08EF5B8B"/>
    <w:rsid w:val="094B402B"/>
    <w:rsid w:val="09B80603"/>
    <w:rsid w:val="09DB6ABC"/>
    <w:rsid w:val="0A7925F0"/>
    <w:rsid w:val="0B7B6C76"/>
    <w:rsid w:val="0BD64F2A"/>
    <w:rsid w:val="0C3A0C8F"/>
    <w:rsid w:val="0C4F04C3"/>
    <w:rsid w:val="0C5443AC"/>
    <w:rsid w:val="0C556BDD"/>
    <w:rsid w:val="0CF83CD1"/>
    <w:rsid w:val="0D395AD0"/>
    <w:rsid w:val="0D9F0F2E"/>
    <w:rsid w:val="0DA32A74"/>
    <w:rsid w:val="0DA34D1D"/>
    <w:rsid w:val="0DBA0BE0"/>
    <w:rsid w:val="0DD24150"/>
    <w:rsid w:val="0E240160"/>
    <w:rsid w:val="0E360497"/>
    <w:rsid w:val="0E6405C1"/>
    <w:rsid w:val="0EAC50D3"/>
    <w:rsid w:val="0F1E5078"/>
    <w:rsid w:val="0F2D166B"/>
    <w:rsid w:val="0F7873D9"/>
    <w:rsid w:val="0FE24A49"/>
    <w:rsid w:val="0FFF3284"/>
    <w:rsid w:val="101B5722"/>
    <w:rsid w:val="10677753"/>
    <w:rsid w:val="107B41D7"/>
    <w:rsid w:val="10DF5FB0"/>
    <w:rsid w:val="11214746"/>
    <w:rsid w:val="11B11FA0"/>
    <w:rsid w:val="12511C63"/>
    <w:rsid w:val="12EE6CC9"/>
    <w:rsid w:val="131C1E7E"/>
    <w:rsid w:val="13206686"/>
    <w:rsid w:val="136E73A6"/>
    <w:rsid w:val="140842AC"/>
    <w:rsid w:val="1463357C"/>
    <w:rsid w:val="147E0046"/>
    <w:rsid w:val="15023A3D"/>
    <w:rsid w:val="15024676"/>
    <w:rsid w:val="1552737B"/>
    <w:rsid w:val="155B2E04"/>
    <w:rsid w:val="159C7F5E"/>
    <w:rsid w:val="162729AB"/>
    <w:rsid w:val="168F6A6D"/>
    <w:rsid w:val="16A83B3E"/>
    <w:rsid w:val="16D33A46"/>
    <w:rsid w:val="17212808"/>
    <w:rsid w:val="183F055D"/>
    <w:rsid w:val="188B2674"/>
    <w:rsid w:val="19FD2F1A"/>
    <w:rsid w:val="1A6524F0"/>
    <w:rsid w:val="1A9C1008"/>
    <w:rsid w:val="1AE6782F"/>
    <w:rsid w:val="1B6044D4"/>
    <w:rsid w:val="1B9E2DDE"/>
    <w:rsid w:val="1BDC0EA6"/>
    <w:rsid w:val="1C264883"/>
    <w:rsid w:val="1C2C75D1"/>
    <w:rsid w:val="1C336D7B"/>
    <w:rsid w:val="1C423270"/>
    <w:rsid w:val="1CC56605"/>
    <w:rsid w:val="1D2742F5"/>
    <w:rsid w:val="1DC5117A"/>
    <w:rsid w:val="1E701465"/>
    <w:rsid w:val="1E83795A"/>
    <w:rsid w:val="203C2320"/>
    <w:rsid w:val="21C1652D"/>
    <w:rsid w:val="222A48EB"/>
    <w:rsid w:val="227674C0"/>
    <w:rsid w:val="233A753F"/>
    <w:rsid w:val="23771C78"/>
    <w:rsid w:val="23BE79A5"/>
    <w:rsid w:val="23CB6225"/>
    <w:rsid w:val="23EA195B"/>
    <w:rsid w:val="2408755C"/>
    <w:rsid w:val="24105818"/>
    <w:rsid w:val="247312AF"/>
    <w:rsid w:val="249A6C5B"/>
    <w:rsid w:val="24AC4E51"/>
    <w:rsid w:val="2522792A"/>
    <w:rsid w:val="25441544"/>
    <w:rsid w:val="25654E69"/>
    <w:rsid w:val="2582095F"/>
    <w:rsid w:val="25BB43DA"/>
    <w:rsid w:val="25E62B70"/>
    <w:rsid w:val="26035EA4"/>
    <w:rsid w:val="275F084A"/>
    <w:rsid w:val="276F047C"/>
    <w:rsid w:val="27AE697F"/>
    <w:rsid w:val="28006895"/>
    <w:rsid w:val="280C22E7"/>
    <w:rsid w:val="2872417E"/>
    <w:rsid w:val="287F32E3"/>
    <w:rsid w:val="28A603D3"/>
    <w:rsid w:val="28E937E5"/>
    <w:rsid w:val="29220014"/>
    <w:rsid w:val="29AA086A"/>
    <w:rsid w:val="29EF0A22"/>
    <w:rsid w:val="29EF3E72"/>
    <w:rsid w:val="2A3358ED"/>
    <w:rsid w:val="2A3F24A4"/>
    <w:rsid w:val="2A6226CD"/>
    <w:rsid w:val="2A9413C6"/>
    <w:rsid w:val="2A9739ED"/>
    <w:rsid w:val="2AC76B96"/>
    <w:rsid w:val="2ACC147E"/>
    <w:rsid w:val="2AD70285"/>
    <w:rsid w:val="2AE6491B"/>
    <w:rsid w:val="2B14786A"/>
    <w:rsid w:val="2B985DCD"/>
    <w:rsid w:val="2BE719F0"/>
    <w:rsid w:val="2BF60989"/>
    <w:rsid w:val="2BF83FD8"/>
    <w:rsid w:val="2C502F89"/>
    <w:rsid w:val="2C752FC6"/>
    <w:rsid w:val="2CA1188A"/>
    <w:rsid w:val="2D116F45"/>
    <w:rsid w:val="2D620BF4"/>
    <w:rsid w:val="2DAF12D3"/>
    <w:rsid w:val="2DFB4406"/>
    <w:rsid w:val="2EAF22FD"/>
    <w:rsid w:val="2F72577F"/>
    <w:rsid w:val="2F7762DB"/>
    <w:rsid w:val="2F901033"/>
    <w:rsid w:val="2FDE0496"/>
    <w:rsid w:val="30161CF4"/>
    <w:rsid w:val="303226C5"/>
    <w:rsid w:val="315A658E"/>
    <w:rsid w:val="318B02E7"/>
    <w:rsid w:val="31EB05DF"/>
    <w:rsid w:val="322B7CAD"/>
    <w:rsid w:val="323730C8"/>
    <w:rsid w:val="323B6BD7"/>
    <w:rsid w:val="327374BD"/>
    <w:rsid w:val="32E4235A"/>
    <w:rsid w:val="33006949"/>
    <w:rsid w:val="334A14DC"/>
    <w:rsid w:val="340958D4"/>
    <w:rsid w:val="34BF2DC0"/>
    <w:rsid w:val="35045ADE"/>
    <w:rsid w:val="36E87840"/>
    <w:rsid w:val="37C145BA"/>
    <w:rsid w:val="37CD2791"/>
    <w:rsid w:val="38344670"/>
    <w:rsid w:val="388E629A"/>
    <w:rsid w:val="38A25B59"/>
    <w:rsid w:val="38A50C6A"/>
    <w:rsid w:val="38B55643"/>
    <w:rsid w:val="397F0FF2"/>
    <w:rsid w:val="3A82375A"/>
    <w:rsid w:val="3AB81B9E"/>
    <w:rsid w:val="3ADC15C9"/>
    <w:rsid w:val="3ADF21C5"/>
    <w:rsid w:val="3AEE2DEA"/>
    <w:rsid w:val="3BA306FE"/>
    <w:rsid w:val="3BB50773"/>
    <w:rsid w:val="3BE12E63"/>
    <w:rsid w:val="3C33643B"/>
    <w:rsid w:val="3C691CF7"/>
    <w:rsid w:val="3C6E366A"/>
    <w:rsid w:val="3D4D70BD"/>
    <w:rsid w:val="3D627FCA"/>
    <w:rsid w:val="3E215302"/>
    <w:rsid w:val="3E5567DC"/>
    <w:rsid w:val="3E75624D"/>
    <w:rsid w:val="3EB47D3A"/>
    <w:rsid w:val="3F531C1E"/>
    <w:rsid w:val="3FEA17E3"/>
    <w:rsid w:val="3FEC45BE"/>
    <w:rsid w:val="4004788A"/>
    <w:rsid w:val="401D0A28"/>
    <w:rsid w:val="405C185F"/>
    <w:rsid w:val="40EC40B3"/>
    <w:rsid w:val="410B72A2"/>
    <w:rsid w:val="41E35FC7"/>
    <w:rsid w:val="421B029C"/>
    <w:rsid w:val="421E7562"/>
    <w:rsid w:val="42837B5C"/>
    <w:rsid w:val="438E5977"/>
    <w:rsid w:val="439539AE"/>
    <w:rsid w:val="44465A1E"/>
    <w:rsid w:val="44730E35"/>
    <w:rsid w:val="447908AA"/>
    <w:rsid w:val="44A1109F"/>
    <w:rsid w:val="453E29A4"/>
    <w:rsid w:val="45F76757"/>
    <w:rsid w:val="462C3F94"/>
    <w:rsid w:val="468A14B3"/>
    <w:rsid w:val="46CA1E04"/>
    <w:rsid w:val="46E80CDE"/>
    <w:rsid w:val="47231741"/>
    <w:rsid w:val="47597CD8"/>
    <w:rsid w:val="475E23B7"/>
    <w:rsid w:val="48243396"/>
    <w:rsid w:val="48311BC9"/>
    <w:rsid w:val="486B6FCF"/>
    <w:rsid w:val="48956FC4"/>
    <w:rsid w:val="49481FD5"/>
    <w:rsid w:val="49891CA3"/>
    <w:rsid w:val="49D57172"/>
    <w:rsid w:val="49EC294D"/>
    <w:rsid w:val="4A050FF7"/>
    <w:rsid w:val="4A1E2951"/>
    <w:rsid w:val="4A7556EB"/>
    <w:rsid w:val="4A953C3B"/>
    <w:rsid w:val="4AC2675B"/>
    <w:rsid w:val="4AC26D64"/>
    <w:rsid w:val="4ADF590D"/>
    <w:rsid w:val="4B091A22"/>
    <w:rsid w:val="4B9705E8"/>
    <w:rsid w:val="4BBD1AF4"/>
    <w:rsid w:val="4BD363B8"/>
    <w:rsid w:val="4C7D1249"/>
    <w:rsid w:val="4CD84AB1"/>
    <w:rsid w:val="4D430BB7"/>
    <w:rsid w:val="4D726A38"/>
    <w:rsid w:val="4E463862"/>
    <w:rsid w:val="4E5054B1"/>
    <w:rsid w:val="4E563B90"/>
    <w:rsid w:val="4EA80645"/>
    <w:rsid w:val="4EDD42A2"/>
    <w:rsid w:val="4F036E2F"/>
    <w:rsid w:val="4F1B4586"/>
    <w:rsid w:val="4F440929"/>
    <w:rsid w:val="4FB311C0"/>
    <w:rsid w:val="4FF42604"/>
    <w:rsid w:val="50B7276F"/>
    <w:rsid w:val="51233D5D"/>
    <w:rsid w:val="51BC3537"/>
    <w:rsid w:val="51D16F44"/>
    <w:rsid w:val="520730B4"/>
    <w:rsid w:val="52173852"/>
    <w:rsid w:val="52980BB5"/>
    <w:rsid w:val="52AA425C"/>
    <w:rsid w:val="52B465AA"/>
    <w:rsid w:val="52D448E3"/>
    <w:rsid w:val="52E00E82"/>
    <w:rsid w:val="5352072F"/>
    <w:rsid w:val="5390638A"/>
    <w:rsid w:val="53A653A3"/>
    <w:rsid w:val="547B3A21"/>
    <w:rsid w:val="550301A1"/>
    <w:rsid w:val="55E22AC6"/>
    <w:rsid w:val="56100C20"/>
    <w:rsid w:val="563C2FDF"/>
    <w:rsid w:val="567703BD"/>
    <w:rsid w:val="56E47939"/>
    <w:rsid w:val="57175EDA"/>
    <w:rsid w:val="57C50243"/>
    <w:rsid w:val="58060ADA"/>
    <w:rsid w:val="5883309E"/>
    <w:rsid w:val="58D26BD9"/>
    <w:rsid w:val="59186625"/>
    <w:rsid w:val="59695EE5"/>
    <w:rsid w:val="59953023"/>
    <w:rsid w:val="5A8075AF"/>
    <w:rsid w:val="5A8C7312"/>
    <w:rsid w:val="5ABA35E4"/>
    <w:rsid w:val="5B0631DD"/>
    <w:rsid w:val="5B9223E8"/>
    <w:rsid w:val="5BA077DD"/>
    <w:rsid w:val="5BE45361"/>
    <w:rsid w:val="5C115FFA"/>
    <w:rsid w:val="5C237D93"/>
    <w:rsid w:val="5C4D2F31"/>
    <w:rsid w:val="5CED0393"/>
    <w:rsid w:val="5D7756D8"/>
    <w:rsid w:val="5D834813"/>
    <w:rsid w:val="5D8C16CC"/>
    <w:rsid w:val="5E072F09"/>
    <w:rsid w:val="5E5F5BF4"/>
    <w:rsid w:val="5E671466"/>
    <w:rsid w:val="5E8A04E3"/>
    <w:rsid w:val="5E8C2C97"/>
    <w:rsid w:val="5EBF0D78"/>
    <w:rsid w:val="5F7F1015"/>
    <w:rsid w:val="5FC04FC0"/>
    <w:rsid w:val="5FE43B4E"/>
    <w:rsid w:val="5FEC36E0"/>
    <w:rsid w:val="5FF1201F"/>
    <w:rsid w:val="5FFC265B"/>
    <w:rsid w:val="6014463C"/>
    <w:rsid w:val="603B57F2"/>
    <w:rsid w:val="604868D3"/>
    <w:rsid w:val="60F872D1"/>
    <w:rsid w:val="610D5066"/>
    <w:rsid w:val="61FC4BC6"/>
    <w:rsid w:val="625260C1"/>
    <w:rsid w:val="628A1322"/>
    <w:rsid w:val="629D2A7B"/>
    <w:rsid w:val="63123934"/>
    <w:rsid w:val="632225B3"/>
    <w:rsid w:val="6351253B"/>
    <w:rsid w:val="635208EB"/>
    <w:rsid w:val="638866ED"/>
    <w:rsid w:val="63A65794"/>
    <w:rsid w:val="63AE4364"/>
    <w:rsid w:val="63E442E3"/>
    <w:rsid w:val="64155D50"/>
    <w:rsid w:val="64C07F3A"/>
    <w:rsid w:val="64F50FE3"/>
    <w:rsid w:val="64F81D85"/>
    <w:rsid w:val="658D4C95"/>
    <w:rsid w:val="65932E5F"/>
    <w:rsid w:val="65A7167F"/>
    <w:rsid w:val="65A9753D"/>
    <w:rsid w:val="65DB22E5"/>
    <w:rsid w:val="668C423C"/>
    <w:rsid w:val="67150357"/>
    <w:rsid w:val="671E6D09"/>
    <w:rsid w:val="67AF33D0"/>
    <w:rsid w:val="67FC420B"/>
    <w:rsid w:val="67FD64A6"/>
    <w:rsid w:val="680E53BD"/>
    <w:rsid w:val="683B5A41"/>
    <w:rsid w:val="68552301"/>
    <w:rsid w:val="68B9689B"/>
    <w:rsid w:val="68DC5CD9"/>
    <w:rsid w:val="690C2943"/>
    <w:rsid w:val="694B3D2F"/>
    <w:rsid w:val="69763B37"/>
    <w:rsid w:val="6A0B6C5B"/>
    <w:rsid w:val="6A1C4ADE"/>
    <w:rsid w:val="6A29105F"/>
    <w:rsid w:val="6A9F08B9"/>
    <w:rsid w:val="6ACB7799"/>
    <w:rsid w:val="6AD70C76"/>
    <w:rsid w:val="6B3C4E97"/>
    <w:rsid w:val="6B946AE0"/>
    <w:rsid w:val="6BBE5D7B"/>
    <w:rsid w:val="6C652C16"/>
    <w:rsid w:val="6D535020"/>
    <w:rsid w:val="6D7A68A3"/>
    <w:rsid w:val="6D8336E9"/>
    <w:rsid w:val="6DA5553F"/>
    <w:rsid w:val="6DB921FB"/>
    <w:rsid w:val="6E151731"/>
    <w:rsid w:val="6E3D6E02"/>
    <w:rsid w:val="6E6378A5"/>
    <w:rsid w:val="6EEB4D13"/>
    <w:rsid w:val="6F22269C"/>
    <w:rsid w:val="6F4B7827"/>
    <w:rsid w:val="700429E7"/>
    <w:rsid w:val="70853052"/>
    <w:rsid w:val="70B233A9"/>
    <w:rsid w:val="70E2178B"/>
    <w:rsid w:val="71145E1B"/>
    <w:rsid w:val="718D78AB"/>
    <w:rsid w:val="721D54AA"/>
    <w:rsid w:val="723F68E6"/>
    <w:rsid w:val="72602F96"/>
    <w:rsid w:val="726F2210"/>
    <w:rsid w:val="72993A33"/>
    <w:rsid w:val="72B26655"/>
    <w:rsid w:val="730D658F"/>
    <w:rsid w:val="731F6FC4"/>
    <w:rsid w:val="73937CDD"/>
    <w:rsid w:val="73F178BA"/>
    <w:rsid w:val="74816CB1"/>
    <w:rsid w:val="754C7AE7"/>
    <w:rsid w:val="75BB3DB3"/>
    <w:rsid w:val="75F50410"/>
    <w:rsid w:val="76166F38"/>
    <w:rsid w:val="763C4D18"/>
    <w:rsid w:val="76DC5DF3"/>
    <w:rsid w:val="76F46BC4"/>
    <w:rsid w:val="76FA5626"/>
    <w:rsid w:val="77240C76"/>
    <w:rsid w:val="775D69DE"/>
    <w:rsid w:val="77656883"/>
    <w:rsid w:val="77EF61F8"/>
    <w:rsid w:val="77F52B15"/>
    <w:rsid w:val="78606BD7"/>
    <w:rsid w:val="78784079"/>
    <w:rsid w:val="78B974B4"/>
    <w:rsid w:val="793A56D9"/>
    <w:rsid w:val="79463002"/>
    <w:rsid w:val="79733D4B"/>
    <w:rsid w:val="79A704C5"/>
    <w:rsid w:val="79AB35BB"/>
    <w:rsid w:val="79C414F9"/>
    <w:rsid w:val="79CE1352"/>
    <w:rsid w:val="79EA6C9C"/>
    <w:rsid w:val="7A211BCA"/>
    <w:rsid w:val="7B4F2E9A"/>
    <w:rsid w:val="7B521A14"/>
    <w:rsid w:val="7BB5051B"/>
    <w:rsid w:val="7BCB700D"/>
    <w:rsid w:val="7BCD01A5"/>
    <w:rsid w:val="7C6D6309"/>
    <w:rsid w:val="7D385DC5"/>
    <w:rsid w:val="7DB35752"/>
    <w:rsid w:val="7DF0257B"/>
    <w:rsid w:val="7E8017EF"/>
    <w:rsid w:val="7ED9263F"/>
    <w:rsid w:val="7F264338"/>
    <w:rsid w:val="7F3C1B08"/>
    <w:rsid w:val="7F931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adjustRightInd w:val="0"/>
      <w:snapToGrid w:val="0"/>
      <w:spacing w:line="360" w:lineRule="auto"/>
      <w:jc w:val="center"/>
      <w:outlineLvl w:val="0"/>
    </w:pPr>
    <w:rPr>
      <w:b/>
      <w:bCs/>
      <w:kern w:val="44"/>
      <w:sz w:val="36"/>
      <w:szCs w:val="44"/>
    </w:rPr>
  </w:style>
  <w:style w:type="paragraph" w:styleId="4">
    <w:name w:val="heading 2"/>
    <w:basedOn w:val="1"/>
    <w:next w:val="1"/>
    <w:qFormat/>
    <w:uiPriority w:val="9"/>
    <w:pPr>
      <w:keepNext/>
      <w:keepLines/>
      <w:adjustRightInd w:val="0"/>
      <w:snapToGrid w:val="0"/>
      <w:spacing w:line="416" w:lineRule="auto"/>
      <w:outlineLvl w:val="1"/>
    </w:pPr>
    <w:rPr>
      <w:rFonts w:ascii="Arial" w:hAnsi="Arial" w:eastAsia="黑体"/>
      <w:b/>
      <w:bCs/>
      <w:sz w:val="32"/>
      <w:szCs w:val="32"/>
    </w:rPr>
  </w:style>
  <w:style w:type="paragraph" w:styleId="5">
    <w:name w:val="heading 3"/>
    <w:basedOn w:val="1"/>
    <w:next w:val="1"/>
    <w:qFormat/>
    <w:uiPriority w:val="0"/>
    <w:pPr>
      <w:keepNext/>
      <w:keepLines/>
      <w:adjustRightInd w:val="0"/>
      <w:snapToGrid w:val="0"/>
      <w:spacing w:line="416" w:lineRule="auto"/>
      <w:ind w:firstLine="964" w:firstLineChars="200"/>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Indent"/>
    <w:basedOn w:val="1"/>
    <w:next w:val="10"/>
    <w:qFormat/>
    <w:uiPriority w:val="0"/>
    <w:pPr>
      <w:ind w:firstLine="630"/>
    </w:pPr>
    <w:rPr>
      <w:sz w:val="32"/>
      <w:szCs w:val="20"/>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szCs w:val="20"/>
    </w:rPr>
  </w:style>
  <w:style w:type="paragraph" w:styleId="12">
    <w:name w:val="Body Text Indent 2"/>
    <w:basedOn w:val="1"/>
    <w:unhideWhenUsed/>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7">
    <w:name w:val="List"/>
    <w:basedOn w:val="1"/>
    <w:qFormat/>
    <w:uiPriority w:val="0"/>
    <w:pPr>
      <w:ind w:left="200" w:hanging="200" w:hangingChars="200"/>
      <w:contextualSpacing/>
    </w:pPr>
    <w:rPr>
      <w:sz w:val="18"/>
      <w:szCs w:val="18"/>
    </w:rPr>
  </w:style>
  <w:style w:type="paragraph" w:styleId="18">
    <w:name w:val="Normal (Web)"/>
    <w:basedOn w:val="1"/>
    <w:qFormat/>
    <w:uiPriority w:val="0"/>
    <w:pPr>
      <w:widowControl/>
      <w:spacing w:before="100" w:beforeAutospacing="1" w:after="100" w:afterAutospacing="1"/>
      <w:jc w:val="left"/>
    </w:pPr>
    <w:rPr>
      <w:rFonts w:ascii="宋体"/>
      <w:kern w:val="0"/>
      <w:sz w:val="18"/>
      <w:szCs w:val="18"/>
    </w:rPr>
  </w:style>
  <w:style w:type="paragraph" w:styleId="19">
    <w:name w:val="Title"/>
    <w:basedOn w:val="1"/>
    <w:next w:val="1"/>
    <w:qFormat/>
    <w:uiPriority w:val="0"/>
    <w:pPr>
      <w:spacing w:before="240" w:after="60"/>
      <w:jc w:val="center"/>
      <w:outlineLvl w:val="0"/>
    </w:pPr>
    <w:rPr>
      <w:b/>
      <w:bCs/>
      <w:sz w:val="32"/>
      <w:szCs w:val="32"/>
    </w:rPr>
  </w:style>
  <w:style w:type="paragraph" w:styleId="20">
    <w:name w:val="Body Text First Indent"/>
    <w:basedOn w:val="2"/>
    <w:qFormat/>
    <w:uiPriority w:val="0"/>
    <w:pPr>
      <w:spacing w:after="0"/>
      <w:ind w:firstLine="420" w:firstLineChars="100"/>
    </w:pPr>
    <w:rPr>
      <w:rFonts w:ascii="Arial" w:hAnsi="Arial"/>
      <w:color w:val="000000"/>
    </w:rPr>
  </w:style>
  <w:style w:type="paragraph" w:styleId="21">
    <w:name w:val="Body Text First Indent 2"/>
    <w:basedOn w:val="9"/>
    <w:next w:val="1"/>
    <w:qFormat/>
    <w:uiPriority w:val="0"/>
    <w:pPr>
      <w:keepNext/>
      <w:keepLines/>
      <w:spacing w:line="380" w:lineRule="exact"/>
      <w:ind w:firstLine="480"/>
      <w:jc w:val="left"/>
      <w:outlineLvl w:val="3"/>
    </w:pPr>
    <w:rPr>
      <w:rFonts w:hint="eastAsia" w:ascii="Times New Roman" w:hAnsi="Times New Roman"/>
      <w:b/>
      <w:sz w:val="28"/>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style>
  <w:style w:type="character" w:styleId="26">
    <w:name w:val="FollowedHyperlink"/>
    <w:basedOn w:val="24"/>
    <w:qFormat/>
    <w:uiPriority w:val="0"/>
    <w:rPr>
      <w:color w:val="3D3D3D"/>
      <w:u w:val="none"/>
    </w:rPr>
  </w:style>
  <w:style w:type="character" w:styleId="27">
    <w:name w:val="HTML Definition"/>
    <w:basedOn w:val="24"/>
    <w:qFormat/>
    <w:uiPriority w:val="0"/>
  </w:style>
  <w:style w:type="character" w:styleId="28">
    <w:name w:val="HTML Variable"/>
    <w:basedOn w:val="24"/>
    <w:qFormat/>
    <w:uiPriority w:val="0"/>
  </w:style>
  <w:style w:type="character" w:styleId="29">
    <w:name w:val="Hyperlink"/>
    <w:basedOn w:val="24"/>
    <w:qFormat/>
    <w:uiPriority w:val="0"/>
    <w:rPr>
      <w:color w:val="3D3D3D"/>
      <w:u w:val="none"/>
    </w:rPr>
  </w:style>
  <w:style w:type="character" w:styleId="30">
    <w:name w:val="HTML Code"/>
    <w:basedOn w:val="24"/>
    <w:qFormat/>
    <w:uiPriority w:val="0"/>
    <w:rPr>
      <w:rFonts w:ascii="Courier New" w:hAnsi="Courier New"/>
      <w:sz w:val="20"/>
    </w:rPr>
  </w:style>
  <w:style w:type="character" w:styleId="31">
    <w:name w:val="annotation reference"/>
    <w:basedOn w:val="24"/>
    <w:qFormat/>
    <w:uiPriority w:val="0"/>
    <w:rPr>
      <w:sz w:val="21"/>
      <w:szCs w:val="21"/>
    </w:rPr>
  </w:style>
  <w:style w:type="character" w:styleId="32">
    <w:name w:val="HTML Cite"/>
    <w:basedOn w:val="24"/>
    <w:qFormat/>
    <w:uiPriority w:val="0"/>
  </w:style>
  <w:style w:type="paragraph" w:customStyle="1" w:styleId="33">
    <w:name w:val="标题 5（有编号）（绿盟科技）"/>
    <w:basedOn w:val="1"/>
    <w:next w:val="34"/>
    <w:qFormat/>
    <w:uiPriority w:val="99"/>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4">
    <w:name w:val="正文（绿盟科技）"/>
    <w:qFormat/>
    <w:uiPriority w:val="99"/>
    <w:pPr>
      <w:spacing w:line="300" w:lineRule="auto"/>
    </w:pPr>
    <w:rPr>
      <w:rFonts w:ascii="Arial" w:hAnsi="Arial" w:eastAsia="宋体" w:cs="黑体"/>
      <w:sz w:val="21"/>
      <w:szCs w:val="21"/>
      <w:lang w:val="en-US" w:eastAsia="zh-CN" w:bidi="ar-SA"/>
    </w:rPr>
  </w:style>
  <w:style w:type="paragraph" w:styleId="3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6">
    <w:name w:val="Default"/>
    <w:qFormat/>
    <w:uiPriority w:val="0"/>
    <w:pPr>
      <w:widowControl w:val="0"/>
      <w:autoSpaceDE w:val="0"/>
      <w:autoSpaceDN w:val="0"/>
      <w:adjustRightInd w:val="0"/>
    </w:pPr>
    <w:rPr>
      <w:rFonts w:ascii="Myriad Pro" w:hAnsi="Myriad Pro" w:eastAsia="Myriad Pro" w:cs="Myriad Pro"/>
      <w:color w:val="000000"/>
      <w:sz w:val="24"/>
      <w:szCs w:val="24"/>
      <w:lang w:val="en-US" w:eastAsia="zh-CN" w:bidi="ar-SA"/>
    </w:rPr>
  </w:style>
  <w:style w:type="paragraph" w:customStyle="1" w:styleId="37">
    <w:name w:val="WPSOffice手动目录 1"/>
    <w:qFormat/>
    <w:uiPriority w:val="0"/>
    <w:pPr>
      <w:adjustRightInd w:val="0"/>
      <w:snapToGrid w:val="0"/>
      <w:spacing w:line="360" w:lineRule="auto"/>
    </w:pPr>
    <w:rPr>
      <w:rFonts w:ascii="Times New Roman" w:hAnsi="Times New Roman" w:eastAsia="宋体" w:cs="Times New Roman"/>
      <w:sz w:val="24"/>
      <w:lang w:val="en-US" w:eastAsia="zh-CN" w:bidi="ar-SA"/>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正文文本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4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43">
    <w:name w:val="列出段落1"/>
    <w:basedOn w:val="1"/>
    <w:qFormat/>
    <w:uiPriority w:val="34"/>
    <w:pPr>
      <w:ind w:firstLine="420" w:firstLineChars="200"/>
    </w:pPr>
  </w:style>
  <w:style w:type="paragraph" w:customStyle="1" w:styleId="44">
    <w:name w:val="列出段落11"/>
    <w:basedOn w:val="1"/>
    <w:qFormat/>
    <w:uiPriority w:val="34"/>
    <w:pPr>
      <w:ind w:firstLine="420" w:firstLineChars="200"/>
    </w:pPr>
    <w:rPr>
      <w:rFonts w:ascii="宋体" w:hAnsi="宋体" w:cs="宋体"/>
      <w:sz w:val="24"/>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paragraph" w:customStyle="1" w:styleId="46">
    <w:name w:val="p0"/>
    <w:basedOn w:val="1"/>
    <w:qFormat/>
    <w:uiPriority w:val="0"/>
    <w:pPr>
      <w:widowControl/>
    </w:pPr>
    <w:rPr>
      <w:kern w:val="0"/>
      <w:szCs w:val="21"/>
    </w:rPr>
  </w:style>
  <w:style w:type="paragraph" w:customStyle="1" w:styleId="47">
    <w:name w:val="List Paragraph1"/>
    <w:basedOn w:val="1"/>
    <w:qFormat/>
    <w:uiPriority w:val="0"/>
    <w:pPr>
      <w:ind w:firstLine="420" w:firstLineChars="200"/>
    </w:pPr>
    <w:rPr>
      <w:rFonts w:ascii="Calibri" w:hAnsi="Calibri"/>
      <w:szCs w:val="22"/>
    </w:rPr>
  </w:style>
  <w:style w:type="character" w:customStyle="1" w:styleId="48">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49">
    <w:name w:val="img"/>
    <w:basedOn w:val="24"/>
    <w:qFormat/>
    <w:uiPriority w:val="0"/>
  </w:style>
  <w:style w:type="character" w:customStyle="1" w:styleId="50">
    <w:name w:val="img1"/>
    <w:basedOn w:val="24"/>
    <w:qFormat/>
    <w:uiPriority w:val="0"/>
  </w:style>
  <w:style w:type="paragraph" w:customStyle="1" w:styleId="51">
    <w:name w:val="BodyText"/>
    <w:basedOn w:val="1"/>
    <w:next w:val="52"/>
    <w:qFormat/>
    <w:uiPriority w:val="0"/>
    <w:pPr>
      <w:spacing w:after="120"/>
    </w:pPr>
  </w:style>
  <w:style w:type="paragraph" w:customStyle="1" w:styleId="52">
    <w:name w:val="UserStyle_0"/>
    <w:next w:val="1"/>
    <w:qFormat/>
    <w:uiPriority w:val="0"/>
    <w:pPr>
      <w:widowControl/>
      <w:spacing w:before="200" w:after="160"/>
      <w:ind w:left="864" w:right="864"/>
      <w:jc w:val="center"/>
      <w:textAlignment w:val="baseline"/>
    </w:pPr>
    <w:rPr>
      <w:rFonts w:ascii="Calibri" w:hAnsi="Calibri" w:eastAsia="宋体" w:cs="Times New Roman"/>
      <w:i/>
      <w:sz w:val="21"/>
      <w:szCs w:val="22"/>
      <w:lang w:val="en-US" w:eastAsia="zh-CN" w:bidi="ar-SA"/>
    </w:rPr>
  </w:style>
  <w:style w:type="paragraph" w:customStyle="1" w:styleId="53">
    <w:name w:val="Body text|1"/>
    <w:basedOn w:val="1"/>
    <w:qFormat/>
    <w:uiPriority w:val="0"/>
    <w:pPr>
      <w:spacing w:line="432" w:lineRule="auto"/>
    </w:pPr>
    <w:rPr>
      <w:rFonts w:ascii="宋体" w:hAnsi="宋体" w:cs="宋体"/>
      <w:sz w:val="22"/>
      <w:szCs w:val="22"/>
      <w:lang w:val="zh-TW" w:eastAsia="zh-TW" w:bidi="zh-TW"/>
    </w:rPr>
  </w:style>
  <w:style w:type="paragraph" w:customStyle="1" w:styleId="54">
    <w:name w:val="_Style 3"/>
    <w:basedOn w:val="1"/>
    <w:next w:val="1"/>
    <w:qFormat/>
    <w:uiPriority w:val="0"/>
    <w:pPr>
      <w:ind w:firstLine="420" w:firstLineChars="200"/>
    </w:pPr>
  </w:style>
  <w:style w:type="character" w:customStyle="1" w:styleId="55">
    <w:name w:val="font01"/>
    <w:basedOn w:val="24"/>
    <w:qFormat/>
    <w:uiPriority w:val="99"/>
    <w:rPr>
      <w:rFonts w:ascii="仿宋_GB2312" w:eastAsia="仿宋_GB2312" w:cs="仿宋_GB2312"/>
      <w:color w:val="000000"/>
      <w:sz w:val="20"/>
      <w:szCs w:val="20"/>
      <w:u w:val="none"/>
    </w:rPr>
  </w:style>
  <w:style w:type="paragraph" w:customStyle="1" w:styleId="56">
    <w:name w:val="Table Paragraph"/>
    <w:basedOn w:val="1"/>
    <w:unhideWhenUsed/>
    <w:qFormat/>
    <w:uiPriority w:val="1"/>
    <w:rPr>
      <w:sz w:val="24"/>
    </w:rPr>
  </w:style>
  <w:style w:type="paragraph" w:customStyle="1" w:styleId="57">
    <w:name w:val="_Style 1"/>
    <w:basedOn w:val="1"/>
    <w:qFormat/>
    <w:uiPriority w:val="0"/>
    <w:pPr>
      <w:ind w:firstLine="420" w:firstLineChars="200"/>
    </w:pPr>
  </w:style>
  <w:style w:type="paragraph" w:styleId="58">
    <w:name w:val="List Paragraph"/>
    <w:basedOn w:val="1"/>
    <w:qFormat/>
    <w:uiPriority w:val="1"/>
    <w:pPr>
      <w:ind w:left="119" w:hanging="223"/>
    </w:pPr>
    <w:rPr>
      <w:rFonts w:ascii="宋体" w:hAnsi="宋体" w:eastAsia="宋体" w:cs="宋体"/>
      <w:lang w:val="zh-CN" w:eastAsia="zh-CN" w:bidi="zh-CN"/>
    </w:rPr>
  </w:style>
  <w:style w:type="paragraph" w:customStyle="1" w:styleId="59">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0">
    <w:name w:val="Table Normal"/>
    <w:qFormat/>
    <w:uiPriority w:val="2"/>
    <w:tblPr>
      <w:tblCellMar>
        <w:top w:w="0" w:type="dxa"/>
        <w:left w:w="0" w:type="dxa"/>
        <w:bottom w:w="0" w:type="dxa"/>
        <w:right w:w="0" w:type="dxa"/>
      </w:tblCellMar>
    </w:tblPr>
  </w:style>
  <w:style w:type="character" w:customStyle="1" w:styleId="61">
    <w:name w:val="font61"/>
    <w:basedOn w:val="24"/>
    <w:qFormat/>
    <w:uiPriority w:val="99"/>
    <w:rPr>
      <w:rFonts w:ascii="宋体" w:hAnsi="宋体" w:eastAsia="宋体" w:cs="宋体"/>
      <w:color w:val="000000"/>
      <w:sz w:val="20"/>
      <w:szCs w:val="20"/>
      <w:u w:val="none"/>
    </w:rPr>
  </w:style>
  <w:style w:type="character" w:customStyle="1" w:styleId="62">
    <w:name w:val="font81"/>
    <w:basedOn w:val="24"/>
    <w:qFormat/>
    <w:uiPriority w:val="99"/>
    <w:rPr>
      <w:rFonts w:ascii="Times New Roman" w:hAnsi="Times New Roman" w:cs="Times New Roman"/>
      <w:color w:val="000000"/>
      <w:sz w:val="20"/>
      <w:szCs w:val="20"/>
      <w:u w:val="none"/>
    </w:rPr>
  </w:style>
  <w:style w:type="paragraph" w:customStyle="1" w:styleId="63">
    <w:name w:val="_Style 2"/>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2" textRotate="1"/>
    <customShpInfo spid="_x0000_s1034" textRotate="1"/>
    <customShpInfo spid="_x0000_s1035"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深度技术</Company>
  <Pages>84</Pages>
  <Words>45483</Words>
  <Characters>48931</Characters>
  <Lines>372</Lines>
  <Paragraphs>104</Paragraphs>
  <TotalTime>5</TotalTime>
  <ScaleCrop>false</ScaleCrop>
  <LinksUpToDate>false</LinksUpToDate>
  <CharactersWithSpaces>50499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2019-06-13T02:50:00Z</dcterms:created>
  <dc:creator>HP</dc:creator>
  <cp:lastModifiedBy>蔡</cp:lastModifiedBy>
  <cp:lastPrinted>2021-11-16T06:17:00Z</cp:lastPrinted>
  <dcterms:modified xsi:type="dcterms:W3CDTF">2021-11-30T03:07:02Z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8AE2C5378E72491099779A261A559CAC</vt:lpwstr>
  </property>
</Properties>
</file>